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27"/>
        <w:gridCol w:w="11"/>
        <w:gridCol w:w="273"/>
        <w:gridCol w:w="567"/>
        <w:gridCol w:w="32"/>
        <w:gridCol w:w="535"/>
        <w:gridCol w:w="567"/>
        <w:gridCol w:w="70"/>
        <w:gridCol w:w="497"/>
        <w:gridCol w:w="557"/>
        <w:gridCol w:w="10"/>
        <w:gridCol w:w="567"/>
        <w:gridCol w:w="196"/>
        <w:gridCol w:w="371"/>
        <w:gridCol w:w="200"/>
        <w:gridCol w:w="367"/>
        <w:gridCol w:w="500"/>
        <w:gridCol w:w="70"/>
        <w:gridCol w:w="344"/>
        <w:gridCol w:w="223"/>
        <w:gridCol w:w="76"/>
        <w:gridCol w:w="614"/>
        <w:gridCol w:w="915"/>
        <w:gridCol w:w="1485"/>
        <w:gridCol w:w="28"/>
      </w:tblGrid>
      <w:tr w:rsidR="001359B5" w:rsidRPr="009416AD" w14:paraId="0641425D" w14:textId="77777777" w:rsidTr="00AA6211">
        <w:trPr>
          <w:gridAfter w:val="1"/>
          <w:wAfter w:w="28" w:type="dxa"/>
          <w:trHeight w:val="1611"/>
        </w:trPr>
        <w:tc>
          <w:tcPr>
            <w:tcW w:w="6293" w:type="dxa"/>
            <w:gridSpan w:val="16"/>
          </w:tcPr>
          <w:p w14:paraId="2E49FABB" w14:textId="77777777" w:rsidR="001359B5" w:rsidRPr="00F45975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11EC026" w14:textId="7DFB12F9" w:rsidR="00571718" w:rsidRDefault="00B93E2D" w:rsidP="006A49D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1" w:name="_Hlk63153852"/>
            <w:r w:rsidRPr="00B93E2D">
              <w:rPr>
                <w:rFonts w:ascii="Times New Roman" w:hAnsi="Times New Roman"/>
                <w:color w:val="000000"/>
              </w:rPr>
              <w:t xml:space="preserve">Projekt rozporządzenia Ministra Zdrowia </w:t>
            </w:r>
            <w:r w:rsidR="00175B75">
              <w:rPr>
                <w:rFonts w:ascii="Times New Roman" w:hAnsi="Times New Roman"/>
                <w:color w:val="000000"/>
              </w:rPr>
              <w:t xml:space="preserve">zmieniającego rozporządzenie w sprawie </w:t>
            </w:r>
            <w:r w:rsidR="00175B75" w:rsidRPr="00175B75">
              <w:rPr>
                <w:rFonts w:ascii="Times New Roman" w:hAnsi="Times New Roman"/>
                <w:color w:val="000000"/>
              </w:rPr>
              <w:t>wykazu leków dla świadczeniobiorcy posiadającego tytuł „Zasłu</w:t>
            </w:r>
            <w:r w:rsidR="00175B75">
              <w:rPr>
                <w:rFonts w:ascii="Times New Roman" w:hAnsi="Times New Roman"/>
                <w:color w:val="000000"/>
              </w:rPr>
              <w:t>ż</w:t>
            </w:r>
            <w:r w:rsidR="00175B75" w:rsidRPr="00175B75">
              <w:rPr>
                <w:rFonts w:ascii="Times New Roman" w:hAnsi="Times New Roman"/>
                <w:color w:val="000000"/>
              </w:rPr>
              <w:t xml:space="preserve">onego Honorowego Dawcy Krwi” lub „Zasłużonego Dawcy Przeszczepu” </w:t>
            </w:r>
            <w:r w:rsidRPr="00B93E2D">
              <w:rPr>
                <w:rFonts w:ascii="Times New Roman" w:hAnsi="Times New Roman"/>
                <w:color w:val="000000"/>
              </w:rPr>
              <w:t xml:space="preserve"> </w:t>
            </w:r>
          </w:p>
          <w:bookmarkEnd w:id="1"/>
          <w:p w14:paraId="4163CBEC" w14:textId="77777777" w:rsidR="00B93E2D" w:rsidRPr="0086398C" w:rsidRDefault="00B93E2D" w:rsidP="006A49D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13BE109A" w14:textId="77777777" w:rsidR="001359B5" w:rsidRPr="009416AD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D8FB085" w14:textId="77777777" w:rsidR="001359B5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0C73DC16" w14:textId="77777777" w:rsidR="00571718" w:rsidRPr="009416AD" w:rsidRDefault="00571718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3CEFA4E" w14:textId="77777777" w:rsidR="001359B5" w:rsidRPr="009416AD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66552A9" w14:textId="77777777" w:rsidR="001359B5" w:rsidRDefault="00776347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8D2B6D">
              <w:rPr>
                <w:rFonts w:ascii="Times New Roman" w:hAnsi="Times New Roman"/>
              </w:rPr>
              <w:t xml:space="preserve"> </w:t>
            </w:r>
            <w:r w:rsidR="00050F89">
              <w:rPr>
                <w:rFonts w:ascii="Times New Roman" w:hAnsi="Times New Roman"/>
              </w:rPr>
              <w:t>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3820EC72" w14:textId="77777777" w:rsidR="00571718" w:rsidRPr="009416AD" w:rsidRDefault="00571718" w:rsidP="006A49D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21B9D17" w14:textId="77777777" w:rsidR="001359B5" w:rsidRPr="009416AD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BAE37EE" w14:textId="77777777" w:rsidR="00E716C0" w:rsidRDefault="001202D6" w:rsidP="001202D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Łukasz Szmulski, p.o. Dyrektora Departamentu Polityki Lekowej i Farmacji</w:t>
            </w:r>
            <w:r w:rsidR="0082493E">
              <w:rPr>
                <w:rFonts w:ascii="Times New Roman" w:hAnsi="Times New Roman"/>
                <w:color w:val="000000"/>
              </w:rPr>
              <w:t xml:space="preserve"> </w:t>
            </w:r>
            <w:r w:rsidR="00E716C0">
              <w:rPr>
                <w:rFonts w:ascii="Times New Roman" w:hAnsi="Times New Roman"/>
                <w:color w:val="000000"/>
              </w:rPr>
              <w:t xml:space="preserve">w Ministerstwie Zdrowia, </w:t>
            </w:r>
          </w:p>
          <w:p w14:paraId="586666BA" w14:textId="5C42D9E6" w:rsidR="001359B5" w:rsidRPr="009416AD" w:rsidRDefault="00360241" w:rsidP="001202D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8" w:history="1">
              <w:r w:rsidR="008801F8" w:rsidRPr="00677FB0">
                <w:rPr>
                  <w:rStyle w:val="Hipercze"/>
                  <w:rFonts w:ascii="Times New Roman" w:hAnsi="Times New Roman"/>
                </w:rPr>
                <w:t>dep-pl@mz.gov.pl</w:t>
              </w:r>
            </w:hyperlink>
          </w:p>
        </w:tc>
        <w:tc>
          <w:tcPr>
            <w:tcW w:w="4594" w:type="dxa"/>
            <w:gridSpan w:val="9"/>
            <w:shd w:val="clear" w:color="auto" w:fill="FFFFFF"/>
          </w:tcPr>
          <w:p w14:paraId="6B7FD292" w14:textId="5F031B5B" w:rsidR="001359B5" w:rsidRPr="008D2B6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34F40">
              <w:rPr>
                <w:rFonts w:ascii="Times New Roman" w:hAnsi="Times New Roman"/>
              </w:rPr>
              <w:t>22</w:t>
            </w:r>
            <w:r w:rsidR="008D2B6D">
              <w:rPr>
                <w:rFonts w:ascii="Times New Roman" w:hAnsi="Times New Roman"/>
              </w:rPr>
              <w:t>.</w:t>
            </w:r>
            <w:r w:rsidR="00C92764">
              <w:rPr>
                <w:rFonts w:ascii="Times New Roman" w:hAnsi="Times New Roman"/>
              </w:rPr>
              <w:t>0</w:t>
            </w:r>
            <w:r w:rsidR="00F33173">
              <w:rPr>
                <w:rFonts w:ascii="Times New Roman" w:hAnsi="Times New Roman"/>
              </w:rPr>
              <w:t>3</w:t>
            </w:r>
            <w:r w:rsidR="008D2B6D">
              <w:rPr>
                <w:rFonts w:ascii="Times New Roman" w:hAnsi="Times New Roman"/>
              </w:rPr>
              <w:t>.20</w:t>
            </w:r>
            <w:r w:rsidR="00B93E2D">
              <w:rPr>
                <w:rFonts w:ascii="Times New Roman" w:hAnsi="Times New Roman"/>
              </w:rPr>
              <w:t>21</w:t>
            </w:r>
            <w:r w:rsidR="008D2B6D">
              <w:rPr>
                <w:rFonts w:ascii="Times New Roman" w:hAnsi="Times New Roman"/>
              </w:rPr>
              <w:t xml:space="preserve"> r.</w:t>
            </w:r>
          </w:p>
          <w:p w14:paraId="21BE258D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B3451A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66EB6BB" w14:textId="374A99FC" w:rsidR="001359B5" w:rsidRDefault="000609B0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43 ust. 4 ustawy z dnia 27 sierpnia 2004 r. o świadczeniach opieki zdrowotnej finansowanych ze środków publicznych</w:t>
            </w:r>
            <w:r w:rsidR="00534F40">
              <w:rPr>
                <w:rFonts w:ascii="Times New Roman" w:hAnsi="Times New Roman"/>
              </w:rPr>
              <w:t xml:space="preserve"> (Dz. U. z 2020 r. poz. 1398, z </w:t>
            </w:r>
            <w:proofErr w:type="spellStart"/>
            <w:r w:rsidR="00534F40">
              <w:rPr>
                <w:rFonts w:ascii="Times New Roman" w:hAnsi="Times New Roman"/>
              </w:rPr>
              <w:t>późn</w:t>
            </w:r>
            <w:proofErr w:type="spellEnd"/>
            <w:r w:rsidR="00534F40">
              <w:rPr>
                <w:rFonts w:ascii="Times New Roman" w:hAnsi="Times New Roman"/>
              </w:rPr>
              <w:t xml:space="preserve">. zm.) </w:t>
            </w:r>
          </w:p>
          <w:p w14:paraId="10651E4B" w14:textId="77777777" w:rsidR="00507008" w:rsidRPr="009416AD" w:rsidRDefault="00507008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E26055F" w14:textId="3EC4C44E" w:rsidR="00CB5506" w:rsidRDefault="001359B5" w:rsidP="006A49D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E716C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703F6C">
              <w:rPr>
                <w:rFonts w:ascii="Times New Roman" w:hAnsi="Times New Roman"/>
                <w:b/>
                <w:color w:val="000000"/>
              </w:rPr>
              <w:t>M</w:t>
            </w:r>
            <w:r w:rsidR="00E716C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5D63FC">
              <w:rPr>
                <w:rFonts w:ascii="Times New Roman" w:hAnsi="Times New Roman"/>
                <w:b/>
                <w:color w:val="000000"/>
              </w:rPr>
              <w:t>Z</w:t>
            </w:r>
            <w:r w:rsidR="00E716C0">
              <w:rPr>
                <w:rFonts w:ascii="Times New Roman" w:hAnsi="Times New Roman"/>
                <w:b/>
                <w:color w:val="000000"/>
              </w:rPr>
              <w:t>drowia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DABBA35" w14:textId="09F7DD2D" w:rsidR="00E716C0" w:rsidRDefault="00E716C0" w:rsidP="006A49D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1136</w:t>
            </w:r>
          </w:p>
          <w:p w14:paraId="6C975FC0" w14:textId="77777777" w:rsidR="001359B5" w:rsidRPr="009416AD" w:rsidRDefault="001359B5" w:rsidP="00B93E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59B5" w:rsidRPr="009416AD" w14:paraId="3BCD71F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09B95C5" w14:textId="77777777" w:rsidR="001359B5" w:rsidRPr="009416AD" w:rsidRDefault="001359B5" w:rsidP="006A49D0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347D51A2" w14:textId="77777777" w:rsidTr="00AA6211">
        <w:trPr>
          <w:gridAfter w:val="1"/>
          <w:wAfter w:w="28" w:type="dxa"/>
          <w:trHeight w:val="333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5399206A" w14:textId="77777777" w:rsidR="001359B5" w:rsidRPr="00604A92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lang w:val="pl"/>
              </w:rPr>
            </w:pPr>
            <w:r w:rsidRPr="00604A92">
              <w:rPr>
                <w:rFonts w:ascii="Times New Roman" w:hAnsi="Times New Roman"/>
                <w:b/>
                <w:lang w:val="pl"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23819D6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46B1867F" w14:textId="04B66CFB" w:rsidR="008F16FD" w:rsidRPr="00604A92" w:rsidRDefault="00175B75" w:rsidP="00604A92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604A92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Uaktualniany jest załącznik </w:t>
            </w:r>
            <w:r w:rsidR="003248DB" w:rsidRPr="00604A92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do </w:t>
            </w:r>
            <w:r w:rsidRPr="00604A92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rozporządzenia Ministra Zdrowia z dnia 3 lutego 2010 r. w sprawie wykazu leków dla świadczeniobiorcy posiadającego 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tytuł „Zasłużonego Honorowego Dawcy Krwi” lub „Zasłużonego Dawcy Przeszczepu”</w:t>
            </w:r>
            <w:r w:rsidR="003248DB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 (Dz. U. z 2015 r. poz. 2098)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. </w:t>
            </w:r>
            <w:r w:rsidR="003248DB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Zmiana załącznika wynika z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 fakt</w:t>
            </w:r>
            <w:r w:rsidR="003248DB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u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, </w:t>
            </w:r>
            <w:r w:rsidR="00E71827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ż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e część </w:t>
            </w:r>
            <w:r w:rsidR="00604A92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leków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 określonych w</w:t>
            </w:r>
            <w:r w:rsidR="003248DB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 xml:space="preserve"> </w:t>
            </w:r>
            <w:r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załączniku nie jest już obecna na rynku polskim</w:t>
            </w:r>
            <w:r w:rsidR="002015D9" w:rsidRPr="00AF4BAC">
              <w:rPr>
                <w:rFonts w:ascii="Times New Roman" w:hAnsi="Times New Roman"/>
                <w:bCs/>
                <w:sz w:val="22"/>
                <w:szCs w:val="22"/>
                <w:lang w:val="pl"/>
              </w:rPr>
              <w:t>, w związku z czym w nowoprojektowanym wykazie zostały one zastąpione innymi lekami.</w:t>
            </w:r>
          </w:p>
        </w:tc>
      </w:tr>
      <w:tr w:rsidR="001359B5" w:rsidRPr="009416AD" w14:paraId="469C349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3E7FC458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77788EF1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1E81DFEF" w14:textId="3F754520" w:rsidR="00A92FFA" w:rsidRPr="006A49D0" w:rsidRDefault="00175B75" w:rsidP="000D179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Rekomendowana i jedynie zasadna jest interwencja legislacyjna.</w:t>
            </w:r>
          </w:p>
        </w:tc>
      </w:tr>
      <w:tr w:rsidR="001359B5" w:rsidRPr="009416AD" w14:paraId="02DBD22F" w14:textId="77777777" w:rsidTr="00AA6211">
        <w:trPr>
          <w:gridAfter w:val="1"/>
          <w:wAfter w:w="28" w:type="dxa"/>
          <w:trHeight w:val="307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67109974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14608F3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461AFCC9" w14:textId="77777777" w:rsidR="00A92FFA" w:rsidRPr="00604A92" w:rsidRDefault="00E64255" w:rsidP="00571718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04A92">
              <w:rPr>
                <w:rFonts w:ascii="Times New Roman" w:hAnsi="Times New Roman"/>
                <w:spacing w:val="-2"/>
              </w:rPr>
              <w:t xml:space="preserve">Projektowane przepisy nie </w:t>
            </w:r>
            <w:r w:rsidRPr="003248DB">
              <w:rPr>
                <w:rFonts w:ascii="Times New Roman" w:hAnsi="Times New Roman"/>
              </w:rPr>
              <w:t>były</w:t>
            </w:r>
            <w:r w:rsidRPr="00604A92">
              <w:rPr>
                <w:rFonts w:ascii="Times New Roman" w:hAnsi="Times New Roman"/>
                <w:spacing w:val="-2"/>
              </w:rPr>
              <w:t xml:space="preserve"> przedmiotem analizy porównawczej z systemami przyjętymi w innych</w:t>
            </w:r>
            <w:r w:rsidR="000D179C" w:rsidRPr="00604A92">
              <w:rPr>
                <w:rFonts w:ascii="Times New Roman" w:hAnsi="Times New Roman"/>
                <w:spacing w:val="-2"/>
              </w:rPr>
              <w:t xml:space="preserve"> </w:t>
            </w:r>
            <w:r w:rsidRPr="00604A92">
              <w:rPr>
                <w:rFonts w:ascii="Times New Roman" w:hAnsi="Times New Roman"/>
                <w:spacing w:val="-2"/>
              </w:rPr>
              <w:t>krajach.</w:t>
            </w:r>
          </w:p>
        </w:tc>
      </w:tr>
      <w:tr w:rsidR="001359B5" w:rsidRPr="009416AD" w14:paraId="793ED6D0" w14:textId="77777777" w:rsidTr="00AA6211">
        <w:trPr>
          <w:gridAfter w:val="1"/>
          <w:wAfter w:w="28" w:type="dxa"/>
          <w:trHeight w:val="359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576282C0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7AC35859" w14:textId="77777777" w:rsidTr="00AA6211">
        <w:trPr>
          <w:gridAfter w:val="1"/>
          <w:wAfter w:w="28" w:type="dxa"/>
          <w:trHeight w:val="667"/>
        </w:trPr>
        <w:tc>
          <w:tcPr>
            <w:tcW w:w="2723" w:type="dxa"/>
            <w:gridSpan w:val="6"/>
          </w:tcPr>
          <w:p w14:paraId="7AC3EC4F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5"/>
          </w:tcPr>
          <w:p w14:paraId="494D918D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1"/>
          </w:tcPr>
          <w:p w14:paraId="3FD5BBFE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4" w:type="dxa"/>
            <w:gridSpan w:val="3"/>
          </w:tcPr>
          <w:p w14:paraId="0599DD16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A3038" w:rsidRPr="009416AD" w14:paraId="223634AC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332159DA" w14:textId="3FABFF34" w:rsidR="000A3038" w:rsidRPr="000A376A" w:rsidRDefault="00175B75" w:rsidP="009E06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Zasłużeni Honorowi Dawcy Krwi</w:t>
            </w:r>
          </w:p>
        </w:tc>
        <w:tc>
          <w:tcPr>
            <w:tcW w:w="2226" w:type="dxa"/>
            <w:gridSpan w:val="5"/>
          </w:tcPr>
          <w:p w14:paraId="2180BC11" w14:textId="0E679226" w:rsidR="000A3038" w:rsidRPr="00BD2CFA" w:rsidRDefault="003D10CC" w:rsidP="009E06D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2015D9">
              <w:rPr>
                <w:rFonts w:ascii="Times New Roman" w:hAnsi="Times New Roman"/>
                <w:spacing w:val="-2"/>
              </w:rPr>
              <w:t xml:space="preserve">k. </w:t>
            </w:r>
            <w:r w:rsidR="00753E56" w:rsidRPr="00753E56">
              <w:rPr>
                <w:rFonts w:ascii="Times New Roman" w:hAnsi="Times New Roman"/>
                <w:spacing w:val="-2"/>
              </w:rPr>
              <w:t>591</w:t>
            </w:r>
            <w:r w:rsidR="008D713F">
              <w:rPr>
                <w:rFonts w:ascii="Times New Roman" w:hAnsi="Times New Roman"/>
                <w:spacing w:val="-2"/>
              </w:rPr>
              <w:t> </w:t>
            </w:r>
            <w:r w:rsidR="002015D9">
              <w:rPr>
                <w:rFonts w:ascii="Times New Roman" w:hAnsi="Times New Roman"/>
                <w:spacing w:val="-2"/>
              </w:rPr>
              <w:t>tys.</w:t>
            </w:r>
            <w:r w:rsidR="008D713F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24" w:type="dxa"/>
            <w:gridSpan w:val="11"/>
          </w:tcPr>
          <w:p w14:paraId="62BB90AC" w14:textId="09A5E285" w:rsidR="00946694" w:rsidRPr="00BD2CFA" w:rsidRDefault="00753E56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53E56">
              <w:rPr>
                <w:rFonts w:ascii="Times New Roman" w:hAnsi="Times New Roman"/>
                <w:spacing w:val="-2"/>
              </w:rPr>
              <w:t>https://krwiodawcy.org/statystyki/</w:t>
            </w:r>
          </w:p>
        </w:tc>
        <w:tc>
          <w:tcPr>
            <w:tcW w:w="3014" w:type="dxa"/>
            <w:gridSpan w:val="3"/>
          </w:tcPr>
          <w:p w14:paraId="50A9EEAD" w14:textId="4D4AF2C8" w:rsidR="000A3038" w:rsidRPr="00BD2CFA" w:rsidRDefault="00175B75" w:rsidP="00E4206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Osobom tym przyznane zostaną bezpłatnie  </w:t>
            </w:r>
            <w:r w:rsidR="00BF26A7">
              <w:rPr>
                <w:rFonts w:ascii="Times New Roman" w:hAnsi="Times New Roman"/>
                <w:spacing w:val="-2"/>
              </w:rPr>
              <w:t xml:space="preserve">leki </w:t>
            </w:r>
            <w:r>
              <w:rPr>
                <w:rFonts w:ascii="Times New Roman" w:hAnsi="Times New Roman"/>
                <w:spacing w:val="-2"/>
              </w:rPr>
              <w:t>określone w załączniku do rozporządzenia</w:t>
            </w:r>
            <w:r w:rsidR="00BF26A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46579" w:rsidRPr="009416AD" w14:paraId="0D903113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5D19E0C2" w14:textId="4F50C363" w:rsidR="00B46579" w:rsidRDefault="00175B75" w:rsidP="002476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Zasłużeni Dawcy </w:t>
            </w:r>
            <w:r w:rsidR="00BF26A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rzeszczepu</w:t>
            </w:r>
          </w:p>
        </w:tc>
        <w:tc>
          <w:tcPr>
            <w:tcW w:w="2226" w:type="dxa"/>
            <w:gridSpan w:val="5"/>
          </w:tcPr>
          <w:p w14:paraId="44D06557" w14:textId="5E16E364" w:rsidR="00B46579" w:rsidRPr="00BD2CFA" w:rsidRDefault="003D10CC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2015D9">
              <w:rPr>
                <w:rFonts w:ascii="Times New Roman" w:hAnsi="Times New Roman"/>
                <w:spacing w:val="-2"/>
              </w:rPr>
              <w:t>k. 2,2 tys.</w:t>
            </w:r>
          </w:p>
        </w:tc>
        <w:tc>
          <w:tcPr>
            <w:tcW w:w="2924" w:type="dxa"/>
            <w:gridSpan w:val="11"/>
          </w:tcPr>
          <w:p w14:paraId="0E070563" w14:textId="38E7D7C4" w:rsidR="002015D9" w:rsidRDefault="003D10CC" w:rsidP="002015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="002015D9">
              <w:rPr>
                <w:rFonts w:ascii="Times New Roman" w:hAnsi="Times New Roman"/>
                <w:spacing w:val="-2"/>
              </w:rPr>
              <w:t>ane własne Ministerstwa Zdrowia</w:t>
            </w:r>
          </w:p>
          <w:p w14:paraId="09CCA5E8" w14:textId="55753F37" w:rsidR="00B46579" w:rsidRPr="00BD2CFA" w:rsidRDefault="00B4657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14" w:type="dxa"/>
            <w:gridSpan w:val="3"/>
          </w:tcPr>
          <w:p w14:paraId="6A31A4E7" w14:textId="686499E9" w:rsidR="00B46579" w:rsidRPr="00BD2CFA" w:rsidRDefault="00BF26A7" w:rsidP="0024760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Osobom tym przyznane zostaną bezpłatnie  leki określone w załączniku do rozporządzenia.</w:t>
            </w:r>
          </w:p>
        </w:tc>
      </w:tr>
      <w:tr w:rsidR="00175B75" w:rsidRPr="009416AD" w14:paraId="43DF6BF4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79163507" w14:textId="2723646C" w:rsidR="00175B75" w:rsidRDefault="00175B75" w:rsidP="00EF14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Apteki ogólnodostępne i punkty apteczne</w:t>
            </w:r>
          </w:p>
        </w:tc>
        <w:tc>
          <w:tcPr>
            <w:tcW w:w="2226" w:type="dxa"/>
            <w:gridSpan w:val="5"/>
          </w:tcPr>
          <w:p w14:paraId="63FD5157" w14:textId="02ED1C25" w:rsidR="00175B75" w:rsidRDefault="002015D9" w:rsidP="00EF144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175B75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175B75">
              <w:rPr>
                <w:rFonts w:ascii="Times New Roman" w:hAnsi="Times New Roman"/>
                <w:spacing w:val="-2"/>
              </w:rPr>
              <w:t xml:space="preserve"> 12-13</w:t>
            </w:r>
            <w:r w:rsidR="00BF26A7">
              <w:rPr>
                <w:rFonts w:ascii="Times New Roman" w:hAnsi="Times New Roman"/>
                <w:spacing w:val="-2"/>
              </w:rPr>
              <w:t xml:space="preserve"> </w:t>
            </w:r>
            <w:r w:rsidR="00175B75">
              <w:rPr>
                <w:rFonts w:ascii="Times New Roman" w:hAnsi="Times New Roman"/>
                <w:spacing w:val="-2"/>
              </w:rPr>
              <w:t xml:space="preserve">tys. </w:t>
            </w:r>
          </w:p>
        </w:tc>
        <w:tc>
          <w:tcPr>
            <w:tcW w:w="2924" w:type="dxa"/>
            <w:gridSpan w:val="11"/>
          </w:tcPr>
          <w:p w14:paraId="082663EE" w14:textId="4A4ECBE1" w:rsidR="00175B75" w:rsidRPr="0024760B" w:rsidRDefault="00175B75" w:rsidP="00EF144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Rejestr Aptek Ogólnodostępnych </w:t>
            </w:r>
          </w:p>
        </w:tc>
        <w:tc>
          <w:tcPr>
            <w:tcW w:w="3014" w:type="dxa"/>
            <w:gridSpan w:val="3"/>
          </w:tcPr>
          <w:p w14:paraId="43D45576" w14:textId="1AB5ED54" w:rsidR="00175B75" w:rsidRPr="0024760B" w:rsidRDefault="003A72BB" w:rsidP="00B15C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 odniesieniu do </w:t>
            </w:r>
            <w:r w:rsidR="00BF26A7">
              <w:rPr>
                <w:rFonts w:ascii="Times New Roman" w:hAnsi="Times New Roman"/>
                <w:spacing w:val="-2"/>
              </w:rPr>
              <w:t>leków</w:t>
            </w:r>
            <w:r>
              <w:rPr>
                <w:rFonts w:ascii="Times New Roman" w:hAnsi="Times New Roman"/>
                <w:spacing w:val="-2"/>
              </w:rPr>
              <w:t xml:space="preserve"> określonych w załączniku do rozporządzenia osoby realizujące receptę z kodem uprawnienie dodatkowe ZK, po weryfikacji uprawnienia na podstawie stosownych dokumentów, będą obowiązane wydać te </w:t>
            </w:r>
            <w:r w:rsidR="00BF26A7">
              <w:rPr>
                <w:rFonts w:ascii="Times New Roman" w:hAnsi="Times New Roman"/>
                <w:spacing w:val="-2"/>
              </w:rPr>
              <w:t>leki</w:t>
            </w:r>
            <w:r>
              <w:rPr>
                <w:rFonts w:ascii="Times New Roman" w:hAnsi="Times New Roman"/>
                <w:spacing w:val="-2"/>
              </w:rPr>
              <w:t xml:space="preserve"> bezpłatnie. </w:t>
            </w:r>
            <w:r w:rsidR="00E71827"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  <w:spacing w:val="-2"/>
              </w:rPr>
              <w:t xml:space="preserve">ykaz </w:t>
            </w:r>
            <w:r w:rsidR="00604A92">
              <w:rPr>
                <w:rFonts w:ascii="Times New Roman" w:hAnsi="Times New Roman"/>
                <w:spacing w:val="-2"/>
              </w:rPr>
              <w:t>leków</w:t>
            </w:r>
            <w:r>
              <w:rPr>
                <w:rFonts w:ascii="Times New Roman" w:hAnsi="Times New Roman"/>
                <w:spacing w:val="-2"/>
              </w:rPr>
              <w:t xml:space="preserve"> podlega modyfikacji,</w:t>
            </w:r>
            <w:r w:rsidR="00E71827">
              <w:rPr>
                <w:rFonts w:ascii="Times New Roman" w:hAnsi="Times New Roman"/>
                <w:spacing w:val="-2"/>
              </w:rPr>
              <w:t xml:space="preserve"> dlatego</w:t>
            </w:r>
            <w:r>
              <w:rPr>
                <w:rFonts w:ascii="Times New Roman" w:hAnsi="Times New Roman"/>
                <w:spacing w:val="-2"/>
              </w:rPr>
              <w:t xml:space="preserve"> po stronie tych osób będzie musiała nastąpić aktualizacja wiedzy w zakresie tego, których </w:t>
            </w:r>
            <w:r w:rsidR="00604A92">
              <w:rPr>
                <w:rFonts w:ascii="Times New Roman" w:hAnsi="Times New Roman"/>
                <w:spacing w:val="-2"/>
              </w:rPr>
              <w:t>leków</w:t>
            </w:r>
            <w:r>
              <w:rPr>
                <w:rFonts w:ascii="Times New Roman" w:hAnsi="Times New Roman"/>
                <w:spacing w:val="-2"/>
              </w:rPr>
              <w:t xml:space="preserve"> będzie dotyczyło opisane działanie.</w:t>
            </w:r>
          </w:p>
        </w:tc>
      </w:tr>
      <w:tr w:rsidR="002015D9" w:rsidRPr="009416AD" w14:paraId="1082948D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760A46AB" w14:textId="32791BE3" w:rsidR="002015D9" w:rsidRDefault="002015D9" w:rsidP="002015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Podmioty odpowiedzialne dla leków, określonych w załączniku do rozporządzenia </w:t>
            </w:r>
          </w:p>
        </w:tc>
        <w:tc>
          <w:tcPr>
            <w:tcW w:w="2226" w:type="dxa"/>
            <w:gridSpan w:val="5"/>
          </w:tcPr>
          <w:p w14:paraId="034601F7" w14:textId="6B2FAC2D" w:rsidR="002015D9" w:rsidRDefault="002015D9" w:rsidP="002015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9 </w:t>
            </w:r>
          </w:p>
        </w:tc>
        <w:tc>
          <w:tcPr>
            <w:tcW w:w="2924" w:type="dxa"/>
            <w:gridSpan w:val="11"/>
          </w:tcPr>
          <w:p w14:paraId="1EED3CF3" w14:textId="7FEE4C89" w:rsidR="002015D9" w:rsidRDefault="003D10CC" w:rsidP="002015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="002015D9">
              <w:rPr>
                <w:rFonts w:ascii="Times New Roman" w:hAnsi="Times New Roman"/>
                <w:spacing w:val="-2"/>
              </w:rPr>
              <w:t>ane własne Ministerstwa Zdrowia</w:t>
            </w:r>
          </w:p>
          <w:p w14:paraId="0E4800D6" w14:textId="77777777" w:rsidR="002015D9" w:rsidRDefault="002015D9" w:rsidP="002015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2FC60D50" w14:textId="0FA74B7E" w:rsidR="002015D9" w:rsidRDefault="002015D9" w:rsidP="002015D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Projektowany wykaz leków dotyczy leków dokładnie 9 podmiotów odpowiedzialnych</w:t>
            </w:r>
          </w:p>
        </w:tc>
        <w:tc>
          <w:tcPr>
            <w:tcW w:w="3014" w:type="dxa"/>
            <w:gridSpan w:val="3"/>
          </w:tcPr>
          <w:p w14:paraId="5BF992D3" w14:textId="3D1BC4F7" w:rsidR="002015D9" w:rsidRDefault="002015D9" w:rsidP="002015D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Leki tych producentów zostaną objęte nowym wykazem </w:t>
            </w:r>
            <w:r w:rsidR="003D10CC">
              <w:rPr>
                <w:rFonts w:ascii="Times New Roman" w:hAnsi="Times New Roman"/>
                <w:spacing w:val="-2"/>
              </w:rPr>
              <w:t>określonym w załączniku do r</w:t>
            </w:r>
            <w:r>
              <w:rPr>
                <w:rFonts w:ascii="Times New Roman" w:hAnsi="Times New Roman"/>
                <w:spacing w:val="-2"/>
              </w:rPr>
              <w:t>ozporządzeni</w:t>
            </w:r>
            <w:r w:rsidR="003D10CC"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A72BB" w:rsidRPr="009416AD" w14:paraId="025EF6DF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26EE8420" w14:textId="27229751" w:rsidR="003A72BB" w:rsidRDefault="003A72BB" w:rsidP="00EF14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Narodowy Fundusz Zdrowia</w:t>
            </w:r>
          </w:p>
        </w:tc>
        <w:tc>
          <w:tcPr>
            <w:tcW w:w="2226" w:type="dxa"/>
            <w:gridSpan w:val="5"/>
          </w:tcPr>
          <w:p w14:paraId="274F7773" w14:textId="77777777" w:rsidR="003A72BB" w:rsidRDefault="003A72BB" w:rsidP="00EF144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24" w:type="dxa"/>
            <w:gridSpan w:val="11"/>
          </w:tcPr>
          <w:p w14:paraId="2EA6369E" w14:textId="77777777" w:rsidR="003A72BB" w:rsidRDefault="003A72BB" w:rsidP="00EF144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14" w:type="dxa"/>
            <w:gridSpan w:val="3"/>
          </w:tcPr>
          <w:p w14:paraId="398A1BF2" w14:textId="0E4D55A8" w:rsidR="003A72BB" w:rsidRPr="0024760B" w:rsidRDefault="003A72BB" w:rsidP="00B15C9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Konieczność finansowania w całości </w:t>
            </w:r>
            <w:r w:rsidR="00604A92">
              <w:rPr>
                <w:rFonts w:ascii="Times New Roman" w:hAnsi="Times New Roman"/>
                <w:spacing w:val="-2"/>
              </w:rPr>
              <w:t>leków</w:t>
            </w:r>
            <w:r>
              <w:rPr>
                <w:rFonts w:ascii="Times New Roman" w:hAnsi="Times New Roman"/>
                <w:spacing w:val="-2"/>
              </w:rPr>
              <w:t xml:space="preserve"> osobom posiadającym podmiotowe uprawnienie do ich otrzymania bezpłatnie</w:t>
            </w:r>
            <w:r w:rsidR="00AB7D06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68813D64" w14:textId="77777777" w:rsidTr="00AA6211">
        <w:trPr>
          <w:gridAfter w:val="1"/>
          <w:wAfter w:w="28" w:type="dxa"/>
          <w:trHeight w:val="30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2DE5EB51" w14:textId="77777777" w:rsidR="000A3038" w:rsidRPr="009416AD" w:rsidRDefault="000A3038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743C27C0" w14:textId="77777777" w:rsidTr="00AA6211">
        <w:trPr>
          <w:gridAfter w:val="1"/>
          <w:wAfter w:w="28" w:type="dxa"/>
          <w:trHeight w:val="342"/>
        </w:trPr>
        <w:tc>
          <w:tcPr>
            <w:tcW w:w="10887" w:type="dxa"/>
            <w:gridSpan w:val="25"/>
            <w:shd w:val="clear" w:color="auto" w:fill="FFFFFF"/>
          </w:tcPr>
          <w:p w14:paraId="15EDC750" w14:textId="3798D66B" w:rsidR="008400A3" w:rsidRPr="008400A3" w:rsidRDefault="00AB7D06" w:rsidP="008400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został</w:t>
            </w:r>
            <w:r w:rsidR="008400A3" w:rsidRPr="008400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przekazany do </w:t>
            </w:r>
            <w:r w:rsidR="008400A3" w:rsidRPr="008400A3">
              <w:rPr>
                <w:rFonts w:ascii="Times New Roman" w:hAnsi="Times New Roman"/>
              </w:rPr>
              <w:t xml:space="preserve">konsultacji publicznych </w:t>
            </w:r>
            <w:r>
              <w:rPr>
                <w:rFonts w:ascii="Times New Roman" w:hAnsi="Times New Roman"/>
              </w:rPr>
              <w:t xml:space="preserve">i opiniowania </w:t>
            </w:r>
            <w:r w:rsidR="008400A3" w:rsidRPr="008400A3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>21</w:t>
            </w:r>
            <w:r w:rsidR="008400A3" w:rsidRPr="008400A3">
              <w:rPr>
                <w:rFonts w:ascii="Times New Roman" w:hAnsi="Times New Roman"/>
              </w:rPr>
              <w:t>-dniowym terminem na zgłaszanie uwag, następujący</w:t>
            </w:r>
            <w:r w:rsidR="003D10CC">
              <w:rPr>
                <w:rFonts w:ascii="Times New Roman" w:hAnsi="Times New Roman"/>
              </w:rPr>
              <w:t>m</w:t>
            </w:r>
            <w:r w:rsidR="008400A3" w:rsidRPr="008400A3">
              <w:rPr>
                <w:rFonts w:ascii="Times New Roman" w:hAnsi="Times New Roman"/>
              </w:rPr>
              <w:t xml:space="preserve"> podmiot</w:t>
            </w:r>
            <w:r w:rsidR="003D10CC">
              <w:rPr>
                <w:rFonts w:ascii="Times New Roman" w:hAnsi="Times New Roman"/>
              </w:rPr>
              <w:t>om</w:t>
            </w:r>
            <w:r w:rsidR="008400A3" w:rsidRPr="008400A3">
              <w:rPr>
                <w:rFonts w:ascii="Times New Roman" w:hAnsi="Times New Roman"/>
              </w:rPr>
              <w:t>:</w:t>
            </w:r>
          </w:p>
          <w:p w14:paraId="1DC59DB4" w14:textId="64558891" w:rsidR="00ED613D" w:rsidRDefault="00ED613D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bookmarkStart w:id="4" w:name="_Hlk66263409"/>
            <w:r w:rsidRPr="00ED613D">
              <w:rPr>
                <w:rFonts w:ascii="Times New Roman" w:hAnsi="Times New Roman"/>
              </w:rPr>
              <w:t>Izb</w:t>
            </w:r>
            <w:r w:rsidR="00DF7672">
              <w:rPr>
                <w:rFonts w:ascii="Times New Roman" w:hAnsi="Times New Roman"/>
              </w:rPr>
              <w:t>a</w:t>
            </w:r>
            <w:r w:rsidRPr="00ED613D">
              <w:rPr>
                <w:rFonts w:ascii="Times New Roman" w:hAnsi="Times New Roman"/>
              </w:rPr>
              <w:t xml:space="preserve"> Gospodarcza Właścicieli Punktów Aptecznych </w:t>
            </w:r>
            <w:r w:rsidR="003A4B10">
              <w:rPr>
                <w:rFonts w:ascii="Times New Roman" w:hAnsi="Times New Roman"/>
              </w:rPr>
              <w:t>i</w:t>
            </w:r>
            <w:r w:rsidRPr="00ED613D">
              <w:rPr>
                <w:rFonts w:ascii="Times New Roman" w:hAnsi="Times New Roman"/>
              </w:rPr>
              <w:t xml:space="preserve"> Aptek</w:t>
            </w:r>
            <w:r w:rsidR="00AB7D06">
              <w:rPr>
                <w:rFonts w:ascii="Times New Roman" w:hAnsi="Times New Roman"/>
              </w:rPr>
              <w:t>;</w:t>
            </w:r>
          </w:p>
          <w:p w14:paraId="664510D1" w14:textId="406512D8" w:rsidR="003A4B10" w:rsidRDefault="00372AE5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72AE5">
              <w:rPr>
                <w:rFonts w:ascii="Times New Roman" w:hAnsi="Times New Roman"/>
              </w:rPr>
              <w:t>Ogólnopolski Związek Zawodowy Techników Farmaceutycznych</w:t>
            </w:r>
            <w:r w:rsidR="00AB7D06">
              <w:rPr>
                <w:rFonts w:ascii="Times New Roman" w:hAnsi="Times New Roman"/>
              </w:rPr>
              <w:t>;</w:t>
            </w:r>
          </w:p>
          <w:p w14:paraId="055B0B41" w14:textId="418DC517" w:rsidR="008400A3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Związ</w:t>
            </w:r>
            <w:r w:rsidR="00AB7D06">
              <w:rPr>
                <w:rFonts w:ascii="Times New Roman" w:hAnsi="Times New Roman"/>
              </w:rPr>
              <w:t>ek</w:t>
            </w:r>
            <w:r w:rsidRPr="00FA6AAE">
              <w:rPr>
                <w:rFonts w:ascii="Times New Roman" w:hAnsi="Times New Roman"/>
              </w:rPr>
              <w:t xml:space="preserve"> Pracodawców Business Centre Club;</w:t>
            </w:r>
          </w:p>
          <w:p w14:paraId="32C01867" w14:textId="0090BF17" w:rsidR="004A5000" w:rsidRDefault="004A5000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Centrum Krwi</w:t>
            </w:r>
            <w:r w:rsidR="00AB7D06">
              <w:rPr>
                <w:rFonts w:ascii="Times New Roman" w:hAnsi="Times New Roman"/>
              </w:rPr>
              <w:t>;</w:t>
            </w:r>
          </w:p>
          <w:p w14:paraId="71BC6303" w14:textId="4BFF87EF" w:rsidR="004A5000" w:rsidRPr="00FA6AAE" w:rsidRDefault="004A5000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Transplantacyjne</w:t>
            </w:r>
            <w:r w:rsidR="00AB7D0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0CB6EAB" w14:textId="76CEDB9E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Związ</w:t>
            </w:r>
            <w:r w:rsidR="00AB7D06">
              <w:rPr>
                <w:rFonts w:ascii="Times New Roman" w:hAnsi="Times New Roman"/>
              </w:rPr>
              <w:t>ek</w:t>
            </w:r>
            <w:r w:rsidRPr="00FA6AAE">
              <w:rPr>
                <w:rFonts w:ascii="Times New Roman" w:hAnsi="Times New Roman"/>
              </w:rPr>
              <w:t xml:space="preserve"> Przedsiębiorców i Pracodawców;</w:t>
            </w:r>
          </w:p>
          <w:p w14:paraId="1C3FAE03" w14:textId="77777777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Forum Związków Zawodowych;</w:t>
            </w:r>
          </w:p>
          <w:p w14:paraId="68F41676" w14:textId="14CAC301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Pracodawc</w:t>
            </w:r>
            <w:r w:rsidR="00AB7D06">
              <w:rPr>
                <w:rFonts w:ascii="Times New Roman" w:hAnsi="Times New Roman"/>
              </w:rPr>
              <w:t>y</w:t>
            </w:r>
            <w:r w:rsidRPr="00FA6AAE">
              <w:rPr>
                <w:rFonts w:ascii="Times New Roman" w:hAnsi="Times New Roman"/>
              </w:rPr>
              <w:t xml:space="preserve"> R</w:t>
            </w:r>
            <w:r w:rsidR="003D10CC">
              <w:rPr>
                <w:rFonts w:ascii="Times New Roman" w:hAnsi="Times New Roman"/>
              </w:rPr>
              <w:t xml:space="preserve">zeczypospolitej </w:t>
            </w:r>
            <w:r w:rsidRPr="00FA6AAE">
              <w:rPr>
                <w:rFonts w:ascii="Times New Roman" w:hAnsi="Times New Roman"/>
              </w:rPr>
              <w:t>P</w:t>
            </w:r>
            <w:r w:rsidR="003D10CC">
              <w:rPr>
                <w:rFonts w:ascii="Times New Roman" w:hAnsi="Times New Roman"/>
              </w:rPr>
              <w:t>olskiej</w:t>
            </w:r>
            <w:r w:rsidRPr="00FA6AAE">
              <w:rPr>
                <w:rFonts w:ascii="Times New Roman" w:hAnsi="Times New Roman"/>
              </w:rPr>
              <w:t>;</w:t>
            </w:r>
          </w:p>
          <w:p w14:paraId="770EA712" w14:textId="27FCE944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Naczeln</w:t>
            </w:r>
            <w:r w:rsidR="00AB7D06">
              <w:rPr>
                <w:rFonts w:ascii="Times New Roman" w:hAnsi="Times New Roman"/>
              </w:rPr>
              <w:t>a</w:t>
            </w:r>
            <w:r w:rsidRPr="00FA6AAE">
              <w:rPr>
                <w:rFonts w:ascii="Times New Roman" w:hAnsi="Times New Roman"/>
              </w:rPr>
              <w:t xml:space="preserve"> Rad</w:t>
            </w:r>
            <w:r w:rsidR="00AB7D06">
              <w:rPr>
                <w:rFonts w:ascii="Times New Roman" w:hAnsi="Times New Roman"/>
              </w:rPr>
              <w:t>a</w:t>
            </w:r>
            <w:r w:rsidRPr="00FA6AAE">
              <w:rPr>
                <w:rFonts w:ascii="Times New Roman" w:hAnsi="Times New Roman"/>
              </w:rPr>
              <w:t xml:space="preserve"> Aptekarskiej;</w:t>
            </w:r>
          </w:p>
          <w:p w14:paraId="082C6790" w14:textId="507AB15A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Naczeln</w:t>
            </w:r>
            <w:r w:rsidR="00AB7D06">
              <w:rPr>
                <w:rFonts w:ascii="Times New Roman" w:hAnsi="Times New Roman"/>
              </w:rPr>
              <w:t>a</w:t>
            </w:r>
            <w:r w:rsidRPr="00FA6AAE">
              <w:rPr>
                <w:rFonts w:ascii="Times New Roman" w:hAnsi="Times New Roman"/>
              </w:rPr>
              <w:t xml:space="preserve"> Rad</w:t>
            </w:r>
            <w:r w:rsidR="00AB7D06">
              <w:rPr>
                <w:rFonts w:ascii="Times New Roman" w:hAnsi="Times New Roman"/>
              </w:rPr>
              <w:t>a</w:t>
            </w:r>
            <w:r w:rsidRPr="00FA6AAE">
              <w:rPr>
                <w:rFonts w:ascii="Times New Roman" w:hAnsi="Times New Roman"/>
              </w:rPr>
              <w:t xml:space="preserve"> Lekarskiej;</w:t>
            </w:r>
          </w:p>
          <w:p w14:paraId="77EB1E8E" w14:textId="77777777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Konfederacji Lewiatan;</w:t>
            </w:r>
          </w:p>
          <w:p w14:paraId="2C7369EC" w14:textId="77777777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NSZZ „Solidarność”;</w:t>
            </w:r>
          </w:p>
          <w:p w14:paraId="1607642C" w14:textId="0DF2A676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Związ</w:t>
            </w:r>
            <w:r w:rsidR="00AB7D06">
              <w:rPr>
                <w:rFonts w:ascii="Times New Roman" w:hAnsi="Times New Roman"/>
              </w:rPr>
              <w:t>ek</w:t>
            </w:r>
            <w:r w:rsidRPr="00FA6AAE">
              <w:rPr>
                <w:rFonts w:ascii="Times New Roman" w:hAnsi="Times New Roman"/>
              </w:rPr>
              <w:t xml:space="preserve"> Pracodawców Innowacyjnych Firm Farmaceutycznych „INFARMA”;</w:t>
            </w:r>
          </w:p>
          <w:p w14:paraId="2C4013E4" w14:textId="69043A2D" w:rsidR="008400A3" w:rsidRPr="00FA6AAE" w:rsidRDefault="008400A3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A6AAE">
              <w:rPr>
                <w:rFonts w:ascii="Times New Roman" w:hAnsi="Times New Roman"/>
              </w:rPr>
              <w:t>Ogólnopolskie Porozumieni</w:t>
            </w:r>
            <w:r w:rsidR="00AB7D06">
              <w:rPr>
                <w:rFonts w:ascii="Times New Roman" w:hAnsi="Times New Roman"/>
              </w:rPr>
              <w:t>e</w:t>
            </w:r>
            <w:r w:rsidRPr="00FA6AAE">
              <w:rPr>
                <w:rFonts w:ascii="Times New Roman" w:hAnsi="Times New Roman"/>
              </w:rPr>
              <w:t xml:space="preserve"> Związków Zawodowych;</w:t>
            </w:r>
          </w:p>
          <w:p w14:paraId="3147EB4B" w14:textId="6238AD2F" w:rsidR="008400A3" w:rsidRDefault="007E5051" w:rsidP="00105A1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</w:t>
            </w:r>
            <w:r w:rsidR="00AB7D06">
              <w:rPr>
                <w:rFonts w:ascii="Times New Roman" w:hAnsi="Times New Roman"/>
              </w:rPr>
              <w:t>ek</w:t>
            </w:r>
            <w:r>
              <w:rPr>
                <w:rFonts w:ascii="Times New Roman" w:hAnsi="Times New Roman"/>
              </w:rPr>
              <w:t xml:space="preserve"> Rzemiosła Polskiego</w:t>
            </w:r>
            <w:r w:rsidR="003A72BB">
              <w:rPr>
                <w:rFonts w:ascii="Times New Roman" w:hAnsi="Times New Roman"/>
              </w:rPr>
              <w:t>.</w:t>
            </w:r>
          </w:p>
          <w:bookmarkEnd w:id="4"/>
          <w:p w14:paraId="57C4C6C3" w14:textId="043236A6" w:rsidR="008400A3" w:rsidRPr="008400A3" w:rsidRDefault="008400A3" w:rsidP="00A92FFA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8400A3">
              <w:rPr>
                <w:rFonts w:ascii="Times New Roman" w:hAnsi="Times New Roman"/>
              </w:rPr>
              <w:t xml:space="preserve">Projekt </w:t>
            </w:r>
            <w:r w:rsidR="00AB7D06">
              <w:rPr>
                <w:rFonts w:ascii="Times New Roman" w:hAnsi="Times New Roman"/>
              </w:rPr>
              <w:t>rozporządzenia</w:t>
            </w:r>
            <w:r w:rsidR="00AB7D06" w:rsidRPr="008400A3">
              <w:rPr>
                <w:rFonts w:ascii="Times New Roman" w:hAnsi="Times New Roman"/>
              </w:rPr>
              <w:t xml:space="preserve"> </w:t>
            </w:r>
            <w:r w:rsidRPr="008400A3">
              <w:rPr>
                <w:rFonts w:ascii="Times New Roman" w:hAnsi="Times New Roman"/>
              </w:rPr>
              <w:t>zosta</w:t>
            </w:r>
            <w:r w:rsidR="00196DAA">
              <w:rPr>
                <w:rFonts w:ascii="Times New Roman" w:hAnsi="Times New Roman"/>
              </w:rPr>
              <w:t>ł</w:t>
            </w:r>
            <w:r w:rsidRPr="008400A3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</w:t>
            </w:r>
            <w:r w:rsidR="00C10549">
              <w:rPr>
                <w:rFonts w:ascii="Times New Roman" w:hAnsi="Times New Roman"/>
              </w:rPr>
              <w:t xml:space="preserve">006, z </w:t>
            </w:r>
            <w:proofErr w:type="spellStart"/>
            <w:r w:rsidR="00C10549">
              <w:rPr>
                <w:rFonts w:ascii="Times New Roman" w:hAnsi="Times New Roman"/>
              </w:rPr>
              <w:t>późn</w:t>
            </w:r>
            <w:proofErr w:type="spellEnd"/>
            <w:r w:rsidR="00C10549">
              <w:rPr>
                <w:rFonts w:ascii="Times New Roman" w:hAnsi="Times New Roman"/>
              </w:rPr>
              <w:t>. zm.) projekt zosta</w:t>
            </w:r>
            <w:r w:rsidR="00196DAA">
              <w:rPr>
                <w:rFonts w:ascii="Times New Roman" w:hAnsi="Times New Roman"/>
              </w:rPr>
              <w:t>ł</w:t>
            </w:r>
            <w:r w:rsidRPr="008400A3">
              <w:rPr>
                <w:rFonts w:ascii="Times New Roman" w:hAnsi="Times New Roman"/>
              </w:rPr>
              <w:t xml:space="preserve"> opublikowany na stronie Rządowego Centrum Legislacji</w:t>
            </w:r>
            <w:r w:rsidR="00B15C93">
              <w:rPr>
                <w:rFonts w:ascii="Times New Roman" w:hAnsi="Times New Roman"/>
              </w:rPr>
              <w:t>,</w:t>
            </w:r>
            <w:r w:rsidRPr="008400A3">
              <w:rPr>
                <w:rFonts w:ascii="Times New Roman" w:hAnsi="Times New Roman"/>
              </w:rPr>
              <w:t xml:space="preserve"> w zakładce Rządowy Proces Legislacyjny.</w:t>
            </w:r>
          </w:p>
          <w:p w14:paraId="484AAF84" w14:textId="7A575234" w:rsidR="00333BC4" w:rsidRPr="00D40E67" w:rsidRDefault="008400A3" w:rsidP="008400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400A3">
              <w:rPr>
                <w:rFonts w:ascii="Times New Roman" w:hAnsi="Times New Roman"/>
              </w:rPr>
              <w:t>Wyniki konsultacji publicznych i opiniowania zostaną przedstawione</w:t>
            </w:r>
            <w:r w:rsidR="00D40E67">
              <w:rPr>
                <w:rFonts w:ascii="Times New Roman" w:hAnsi="Times New Roman"/>
              </w:rPr>
              <w:t>, po ich zakończeniu,</w:t>
            </w:r>
            <w:r w:rsidRPr="008400A3">
              <w:rPr>
                <w:rFonts w:ascii="Times New Roman" w:hAnsi="Times New Roman"/>
              </w:rPr>
              <w:t xml:space="preserve"> w raporcie dołączonym do niniejszej oceny.</w:t>
            </w:r>
          </w:p>
        </w:tc>
      </w:tr>
      <w:tr w:rsidR="00445A48" w:rsidRPr="00A5152D" w14:paraId="72ACE648" w14:textId="77777777" w:rsidTr="00AA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88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42CDF7EC" w14:textId="77777777" w:rsidR="00445A48" w:rsidRDefault="00AE76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675C2F08" w14:textId="77777777" w:rsidTr="00AA6211">
        <w:trPr>
          <w:trHeight w:val="142"/>
        </w:trPr>
        <w:tc>
          <w:tcPr>
            <w:tcW w:w="1840" w:type="dxa"/>
            <w:gridSpan w:val="2"/>
            <w:vMerge w:val="restart"/>
            <w:shd w:val="clear" w:color="auto" w:fill="FFFFFF"/>
          </w:tcPr>
          <w:p w14:paraId="6E0B584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9075" w:type="dxa"/>
            <w:gridSpan w:val="24"/>
            <w:shd w:val="clear" w:color="auto" w:fill="FFFFFF"/>
          </w:tcPr>
          <w:p w14:paraId="4446B35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871D3" w:rsidRPr="00A5152D" w14:paraId="2CC78432" w14:textId="77777777" w:rsidTr="00AA6211">
        <w:trPr>
          <w:trHeight w:val="142"/>
        </w:trPr>
        <w:tc>
          <w:tcPr>
            <w:tcW w:w="1840" w:type="dxa"/>
            <w:gridSpan w:val="2"/>
            <w:vMerge/>
            <w:shd w:val="clear" w:color="auto" w:fill="FFFFFF"/>
          </w:tcPr>
          <w:p w14:paraId="568538D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FE2A8BC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5700E36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6DE0641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EA2E73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8E2AA4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068563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1437D619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1D3A39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54F7EF1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C59C0B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900508D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5C1F031E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871D3" w:rsidRPr="00A5152D" w14:paraId="6DD3C103" w14:textId="77777777" w:rsidTr="00AA6211">
        <w:trPr>
          <w:trHeight w:val="32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D27340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6403BD6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E8699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C6FE7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1D605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06CC0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CD957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BEAB75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8758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6650B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2742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A01FD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0F2632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871D3" w:rsidRPr="00A5152D" w14:paraId="5924DCDD" w14:textId="77777777" w:rsidTr="00AA6211">
        <w:trPr>
          <w:trHeight w:val="32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6FA0801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7B5F867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AB66A6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1CF64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9206A6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9F4AF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0A984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680B36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6E9D6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995A5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2BF1A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E39FE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7579B5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871D3" w:rsidRPr="00A5152D" w14:paraId="46C20048" w14:textId="77777777" w:rsidTr="00AA6211">
        <w:trPr>
          <w:trHeight w:val="344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639FC6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2994C76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BB24EB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82F1A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47DD42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40F4B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F9302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AB924E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CA935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83DC2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2AD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E8AFB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6AA1A5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139DE9FE" w14:textId="77777777" w:rsidTr="00AA6211">
        <w:trPr>
          <w:trHeight w:val="344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1B91A13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3CE2E41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755452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4A10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D57AA3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2A60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C6766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BBA542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3BD94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0B429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06BE3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BB837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65AF5D5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6E9E012C" w14:textId="77777777" w:rsidTr="00AA6211">
        <w:trPr>
          <w:trHeight w:val="69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C267F0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5BE3190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2436527" w14:textId="2CCD5BD5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8C5392" w14:textId="52FF7236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86EF00A" w14:textId="59E22056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FB8DF7" w14:textId="747C269C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8230DE" w14:textId="2BE46825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899A352" w14:textId="4FF95951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1B3F22" w14:textId="7D4EB818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51B39F" w14:textId="582ACEDC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64C469" w14:textId="3D28900B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CFCE7A" w14:textId="403E9D62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D311275" w14:textId="10379AE9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717B659C" w14:textId="77777777" w:rsidTr="00AA6211">
        <w:trPr>
          <w:trHeight w:val="70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3E9FD9B0" w14:textId="7777777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156F1393" w14:textId="7777777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14EB1B0" w14:textId="742AEF95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038B20" w14:textId="65BF3A42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9FD0A76" w14:textId="1F5046F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8747C7" w14:textId="50DF3DBC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D9813F" w14:textId="54D029C5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6403391" w14:textId="0D60C772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0707E2" w14:textId="6F28DADA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C64A81" w14:textId="160C4111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53C2A" w14:textId="138FFDE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81D020" w14:textId="4C41CE31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41A56A9" w14:textId="5D48C88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6045DC49" w14:textId="77777777" w:rsidTr="00AA6211">
        <w:trPr>
          <w:trHeight w:val="35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5F6182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6D0A054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478947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E3500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B82C18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46A0A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8EB77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021D1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5F05F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473DD4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FD71E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081EE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395AE2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53E58D6A" w14:textId="77777777" w:rsidTr="00AA6211">
        <w:trPr>
          <w:trHeight w:val="35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320D47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pozostałe jednostki </w:t>
            </w:r>
            <w:r w:rsidR="004E1AD4">
              <w:rPr>
                <w:rFonts w:ascii="Times New Roman" w:eastAsia="MS Mincho" w:hAnsi="Times New Roman"/>
              </w:rPr>
              <w:t xml:space="preserve">(NFZ) </w:t>
            </w:r>
            <w:r w:rsidRPr="003F596C">
              <w:rPr>
                <w:rFonts w:ascii="Times New Roman" w:eastAsia="MS Mincho" w:hAnsi="Times New Roman"/>
              </w:rPr>
              <w:t>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4D84451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65BEF2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F29CE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7A662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AD68A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294353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AC97BE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A43F3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19EE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CF71F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53345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B0BEF3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5E23AE" w:rsidRPr="00A5152D" w14:paraId="3601FBD3" w14:textId="77777777" w:rsidTr="00AA6211">
        <w:trPr>
          <w:trHeight w:val="36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86EF353" w14:textId="7777777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43798C7F" w14:textId="7777777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B5418DD" w14:textId="04A2D9D2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765EE" w14:textId="00D19DE4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B9987C8" w14:textId="34782935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16A47B" w14:textId="4AE0FDDF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502C96" w14:textId="20DC9F89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467B56E" w14:textId="5A1CE07A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2D5BD" w14:textId="2F6894B0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460DBF1" w14:textId="039CBF6E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60CCEC" w14:textId="4D850850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8BC52D" w14:textId="0F7D1B1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718304E" w14:textId="4C951CC2" w:rsidR="005E23AE" w:rsidRPr="003F596C" w:rsidRDefault="005E23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0079AE" w:rsidRPr="00A5152D" w14:paraId="0031A2E6" w14:textId="77777777" w:rsidTr="00AA6211">
        <w:trPr>
          <w:trHeight w:val="36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05269F2E" w14:textId="77777777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35B54CCD" w14:textId="77777777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8C2A8E" w14:textId="02C21E1B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728A09" w14:textId="31F0ED08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4FFDDD2" w14:textId="040E416F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68F797" w14:textId="1ABA9C63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530F2C" w14:textId="6C267746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C5816C" w14:textId="19F52202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2A0E19" w14:textId="49F01226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C8F265" w14:textId="4463F663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61404" w14:textId="2F6B59E2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A2B7BD" w14:textId="4E30564B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D6FAC4C" w14:textId="768B0449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399A13B5" w14:textId="77777777" w:rsidTr="00AA6211">
        <w:trPr>
          <w:trHeight w:val="357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0B43096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25CB8E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D16743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744BB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589676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50102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8784F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7052D2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A141A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61645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54077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2AE7B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AB47FD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0E7ABD84" w14:textId="77777777" w:rsidTr="00AA6211">
        <w:trPr>
          <w:trHeight w:val="357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66F2D91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0D7F85D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03DBF2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DB0A4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D26B1E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835F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E367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111B54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655F7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0CCBF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F9E4A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C5A24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79F0305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03B83D1" w14:textId="77777777" w:rsidTr="00AA6211">
        <w:trPr>
          <w:trHeight w:val="348"/>
        </w:trPr>
        <w:tc>
          <w:tcPr>
            <w:tcW w:w="1851" w:type="dxa"/>
            <w:gridSpan w:val="3"/>
            <w:shd w:val="clear" w:color="auto" w:fill="FFFFFF"/>
            <w:vAlign w:val="center"/>
          </w:tcPr>
          <w:p w14:paraId="15C5310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4" w:type="dxa"/>
            <w:gridSpan w:val="23"/>
            <w:shd w:val="clear" w:color="auto" w:fill="FFFFFF"/>
            <w:vAlign w:val="center"/>
          </w:tcPr>
          <w:p w14:paraId="2BCADAE0" w14:textId="1DFA51B6" w:rsidR="003C46EA" w:rsidRPr="003F596C" w:rsidRDefault="003C46EA" w:rsidP="008D2B6D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547110F0" w14:textId="77777777" w:rsidTr="00AA6211">
        <w:trPr>
          <w:trHeight w:val="1520"/>
        </w:trPr>
        <w:tc>
          <w:tcPr>
            <w:tcW w:w="1851" w:type="dxa"/>
            <w:gridSpan w:val="3"/>
            <w:shd w:val="clear" w:color="auto" w:fill="FFFFFF"/>
          </w:tcPr>
          <w:p w14:paraId="263CA47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064" w:type="dxa"/>
            <w:gridSpan w:val="23"/>
            <w:shd w:val="clear" w:color="auto" w:fill="FFFFFF"/>
          </w:tcPr>
          <w:p w14:paraId="7F7F5F1E" w14:textId="60FCD104" w:rsidR="008D3724" w:rsidRPr="00036131" w:rsidRDefault="00990D27" w:rsidP="00105A19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Wejście w życie projektu </w:t>
            </w:r>
            <w:r w:rsidR="00846EBC">
              <w:rPr>
                <w:rFonts w:ascii="Times New Roman" w:eastAsia="MS Mincho" w:hAnsi="Times New Roman"/>
              </w:rPr>
              <w:t>rozporządzenia</w:t>
            </w:r>
            <w:r w:rsidR="00846EBC" w:rsidRPr="00846EBC">
              <w:rPr>
                <w:rFonts w:ascii="Times New Roman" w:eastAsia="MS Mincho" w:hAnsi="Times New Roman"/>
              </w:rPr>
              <w:t xml:space="preserve"> nie spowoduje dodatkowych skutków </w:t>
            </w:r>
            <w:r w:rsidR="005D63FC">
              <w:rPr>
                <w:rFonts w:ascii="Times New Roman" w:eastAsia="MS Mincho" w:hAnsi="Times New Roman"/>
              </w:rPr>
              <w:t xml:space="preserve">finansowych dla </w:t>
            </w:r>
            <w:r w:rsidR="00E71827">
              <w:rPr>
                <w:rFonts w:ascii="Times New Roman" w:eastAsia="MS Mincho" w:hAnsi="Times New Roman"/>
              </w:rPr>
              <w:t>b</w:t>
            </w:r>
            <w:r w:rsidR="005D63FC">
              <w:rPr>
                <w:rFonts w:ascii="Times New Roman" w:eastAsia="MS Mincho" w:hAnsi="Times New Roman"/>
              </w:rPr>
              <w:t>udżetu państwa ani dla budżetów jednostek samorządu terytorialnego</w:t>
            </w:r>
            <w:r w:rsidR="00846EBC" w:rsidRPr="00846EBC">
              <w:rPr>
                <w:rFonts w:ascii="Times New Roman" w:eastAsia="MS Mincho" w:hAnsi="Times New Roman"/>
              </w:rPr>
              <w:t>.</w:t>
            </w:r>
          </w:p>
        </w:tc>
      </w:tr>
      <w:tr w:rsidR="000A3038" w:rsidRPr="009416AD" w14:paraId="6EFB2B82" w14:textId="77777777" w:rsidTr="00AA6211">
        <w:trPr>
          <w:gridAfter w:val="1"/>
          <w:wAfter w:w="28" w:type="dxa"/>
          <w:trHeight w:val="345"/>
        </w:trPr>
        <w:tc>
          <w:tcPr>
            <w:tcW w:w="10887" w:type="dxa"/>
            <w:gridSpan w:val="25"/>
            <w:shd w:val="clear" w:color="auto" w:fill="99CCFF"/>
          </w:tcPr>
          <w:p w14:paraId="10A39797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6C625F43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34C10826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0D146298" w14:textId="77777777" w:rsidTr="00AA6211">
        <w:trPr>
          <w:gridAfter w:val="1"/>
          <w:wAfter w:w="28" w:type="dxa"/>
          <w:trHeight w:val="142"/>
        </w:trPr>
        <w:tc>
          <w:tcPr>
            <w:tcW w:w="3895" w:type="dxa"/>
            <w:gridSpan w:val="9"/>
            <w:shd w:val="clear" w:color="auto" w:fill="FFFFFF"/>
          </w:tcPr>
          <w:p w14:paraId="14ED75CB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497" w:type="dxa"/>
            <w:shd w:val="clear" w:color="auto" w:fill="FFFFFF"/>
          </w:tcPr>
          <w:p w14:paraId="74CCA850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gridSpan w:val="4"/>
            <w:shd w:val="clear" w:color="auto" w:fill="FFFFFF"/>
          </w:tcPr>
          <w:p w14:paraId="6A61EE69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041AF8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3"/>
            <w:shd w:val="clear" w:color="auto" w:fill="FFFFFF"/>
          </w:tcPr>
          <w:p w14:paraId="1A8B7A5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73E1BBDD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35F1001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799CBD3A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129AEB34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 w:val="restart"/>
            <w:shd w:val="clear" w:color="auto" w:fill="FFFFFF"/>
          </w:tcPr>
          <w:p w14:paraId="621712E5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2A3CC571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786F4941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605A2E35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497" w:type="dxa"/>
            <w:shd w:val="clear" w:color="auto" w:fill="FFFFFF"/>
          </w:tcPr>
          <w:p w14:paraId="7EABA129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952900B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0F6CAA13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4"/>
            <w:shd w:val="clear" w:color="auto" w:fill="FFFFFF"/>
          </w:tcPr>
          <w:p w14:paraId="56C55798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BBE4100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D0949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8E1146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3"/>
            <w:shd w:val="clear" w:color="auto" w:fill="FFFFFF"/>
          </w:tcPr>
          <w:p w14:paraId="1DD9CD5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7A7C62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0A6A3C9C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8A3F01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343F27EE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EBB36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6E4F0787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8E0C96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227A093B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5C3DF69E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502AE53D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18A926D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497" w:type="dxa"/>
            <w:shd w:val="clear" w:color="auto" w:fill="FFFFFF"/>
          </w:tcPr>
          <w:p w14:paraId="2C4392C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625DC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gridSpan w:val="4"/>
            <w:shd w:val="clear" w:color="auto" w:fill="FFFFFF"/>
          </w:tcPr>
          <w:p w14:paraId="53B5007F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1E0FA7A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EF5FB3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B2CE6A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3"/>
            <w:shd w:val="clear" w:color="auto" w:fill="FFFFFF"/>
          </w:tcPr>
          <w:p w14:paraId="1FA567C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8B7B76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2D0C37DC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8C7AC2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2F24BEC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FB75A8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28194B3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D66F962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4940335B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3EC0F42D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0B6430BA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1DAE02E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497" w:type="dxa"/>
            <w:shd w:val="clear" w:color="auto" w:fill="FFFFFF"/>
          </w:tcPr>
          <w:p w14:paraId="37B1F54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11BF98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gridSpan w:val="4"/>
            <w:shd w:val="clear" w:color="auto" w:fill="FFFFFF"/>
          </w:tcPr>
          <w:p w14:paraId="69400A6D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8DCF0C1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0D114D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35D941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3"/>
            <w:shd w:val="clear" w:color="auto" w:fill="FFFFFF"/>
          </w:tcPr>
          <w:p w14:paraId="5807C78B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7F0360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4CB15895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FFFFFF"/>
          </w:tcPr>
          <w:p w14:paraId="4AA03CB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shd w:val="clear" w:color="auto" w:fill="FFFFFF"/>
          </w:tcPr>
          <w:p w14:paraId="0047457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34A4524E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 w:val="restart"/>
            <w:shd w:val="clear" w:color="auto" w:fill="FFFFFF"/>
          </w:tcPr>
          <w:p w14:paraId="3EFEF71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5659E4BA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51A89653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4B9BD76D" w14:textId="7C9FECA9" w:rsidR="000A3038" w:rsidRPr="00990D27" w:rsidRDefault="00604A92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Projekt </w:t>
            </w:r>
            <w:r w:rsidR="00990D27">
              <w:rPr>
                <w:rFonts w:ascii="Times New Roman" w:hAnsi="Times New Roman"/>
                <w:bCs/>
              </w:rPr>
              <w:t xml:space="preserve">rozporządzenia </w:t>
            </w:r>
            <w:r>
              <w:rPr>
                <w:rFonts w:ascii="Times New Roman" w:hAnsi="Times New Roman"/>
                <w:bCs/>
              </w:rPr>
              <w:t>będzie miał wpływ</w:t>
            </w:r>
            <w:r w:rsidR="006E2119">
              <w:rPr>
                <w:rFonts w:ascii="Times New Roman" w:hAnsi="Times New Roman"/>
                <w:bCs/>
              </w:rPr>
              <w:t xml:space="preserve"> na podmioty odpowiedzialne</w:t>
            </w:r>
            <w:r w:rsidR="00990D27">
              <w:rPr>
                <w:rFonts w:ascii="Times New Roman" w:hAnsi="Times New Roman"/>
                <w:bCs/>
              </w:rPr>
              <w:t xml:space="preserve">, których leki zostaną objęte </w:t>
            </w:r>
            <w:r w:rsidR="006E2119">
              <w:rPr>
                <w:rFonts w:ascii="Times New Roman" w:hAnsi="Times New Roman"/>
                <w:bCs/>
              </w:rPr>
              <w:t>nowym wykazem</w:t>
            </w:r>
            <w:r w:rsidR="00990D27">
              <w:rPr>
                <w:rFonts w:ascii="Times New Roman" w:hAnsi="Times New Roman"/>
                <w:bCs/>
              </w:rPr>
              <w:t xml:space="preserve"> </w:t>
            </w:r>
            <w:r w:rsidR="00990D27" w:rsidRPr="00990D27">
              <w:rPr>
                <w:rFonts w:ascii="Times New Roman" w:hAnsi="Times New Roman"/>
              </w:rPr>
              <w:t>leków dla świadczeniobiorcy posiadającego tytuł „Zasłużonego Honorowego Dawcy Krwi” lub „Zasłużonego Dawcy Przeszczepu”</w:t>
            </w:r>
            <w:r w:rsidR="006E2119">
              <w:rPr>
                <w:rFonts w:ascii="Times New Roman" w:hAnsi="Times New Roman"/>
                <w:bCs/>
              </w:rPr>
              <w:t xml:space="preserve">. </w:t>
            </w:r>
            <w:r w:rsidR="00990D27">
              <w:rPr>
                <w:rFonts w:ascii="Times New Roman" w:hAnsi="Times New Roman"/>
                <w:bCs/>
              </w:rPr>
              <w:t>Jeżeli</w:t>
            </w:r>
            <w:r w:rsidR="006E2119">
              <w:rPr>
                <w:rFonts w:ascii="Times New Roman" w:hAnsi="Times New Roman"/>
                <w:bCs/>
              </w:rPr>
              <w:t xml:space="preserve"> leki tych podmiotów będą finansowane osobom uprawnionym przez Narodowy Fundusz Zdrowia, to może to przełoż</w:t>
            </w:r>
            <w:r w:rsidR="00990D27">
              <w:rPr>
                <w:rFonts w:ascii="Times New Roman" w:hAnsi="Times New Roman"/>
                <w:bCs/>
              </w:rPr>
              <w:t>y się to</w:t>
            </w:r>
            <w:r w:rsidR="006E2119">
              <w:rPr>
                <w:rFonts w:ascii="Times New Roman" w:hAnsi="Times New Roman"/>
                <w:bCs/>
              </w:rPr>
              <w:t xml:space="preserve"> na skalę sprzedaży tych leków przez ten podmiot.</w:t>
            </w:r>
          </w:p>
        </w:tc>
      </w:tr>
      <w:tr w:rsidR="000A3038" w:rsidRPr="009416AD" w14:paraId="340C1D7A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1EF64EC8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6A391D54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2C27151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098736F5" w14:textId="77777777" w:rsidR="00990D27" w:rsidRDefault="00990D27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0D27">
              <w:rPr>
                <w:rFonts w:ascii="Times New Roman" w:hAnsi="Times New Roman"/>
              </w:rPr>
              <w:t xml:space="preserve">Projekt rozporządzenia będzie miał wpływ na mikro-, małych- i średnich przedsiębiorców, w tym na podmioty odpowiedzialne, których leki zostaną objęte wykazem leków dla świadczeniobiorcy posiadającego tytuł „Zasłużonego Honorowego Dawcy Krwi” lub „Zasłużonego Dawcy Przeszczepu”. </w:t>
            </w:r>
          </w:p>
          <w:p w14:paraId="32A665C3" w14:textId="24B85396" w:rsidR="006E2119" w:rsidRPr="00990D27" w:rsidRDefault="00604A92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90D2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6E2119" w:rsidRPr="00990D27">
              <w:rPr>
                <w:rFonts w:ascii="Times New Roman" w:hAnsi="Times New Roman"/>
                <w:color w:val="000000"/>
                <w:spacing w:val="-2"/>
              </w:rPr>
              <w:t xml:space="preserve">pływ projektowanych regulacji </w:t>
            </w:r>
            <w:r w:rsidR="00990D27"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 w:rsidR="006E2119" w:rsidRPr="00990D27">
              <w:rPr>
                <w:rFonts w:ascii="Times New Roman" w:hAnsi="Times New Roman"/>
                <w:color w:val="000000"/>
                <w:spacing w:val="-2"/>
              </w:rPr>
              <w:t>dotyc</w:t>
            </w:r>
            <w:r w:rsidR="00990D27">
              <w:rPr>
                <w:rFonts w:ascii="Times New Roman" w:hAnsi="Times New Roman"/>
                <w:color w:val="000000"/>
                <w:spacing w:val="-2"/>
              </w:rPr>
              <w:t>zył</w:t>
            </w:r>
            <w:r w:rsidR="006E2119" w:rsidRPr="00990D27">
              <w:rPr>
                <w:rFonts w:ascii="Times New Roman" w:hAnsi="Times New Roman"/>
                <w:color w:val="000000"/>
                <w:spacing w:val="-2"/>
              </w:rPr>
              <w:t xml:space="preserve"> podmiotów prowadzących obrót lekami</w:t>
            </w:r>
            <w:r w:rsidR="00AF4BAC" w:rsidRPr="00990D27">
              <w:rPr>
                <w:rFonts w:ascii="Times New Roman" w:hAnsi="Times New Roman"/>
                <w:color w:val="000000"/>
                <w:spacing w:val="-2"/>
              </w:rPr>
              <w:t xml:space="preserve"> ujętymi w projektowanym wykazie</w:t>
            </w:r>
            <w:r w:rsidR="006E2119" w:rsidRPr="00990D27">
              <w:rPr>
                <w:rFonts w:ascii="Times New Roman" w:hAnsi="Times New Roman"/>
                <w:color w:val="000000"/>
                <w:spacing w:val="-2"/>
              </w:rPr>
              <w:t>, takich jak apteki i punkty apteczne, które jednocześnie spełniają kryteria mikro-, małych, czy średnich przedsiębiorców.</w:t>
            </w:r>
          </w:p>
          <w:p w14:paraId="7A308FDD" w14:textId="21616054" w:rsidR="006E2119" w:rsidRPr="00990D27" w:rsidRDefault="006E2119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90D27">
              <w:rPr>
                <w:rFonts w:ascii="Times New Roman" w:hAnsi="Times New Roman"/>
                <w:color w:val="000000"/>
                <w:spacing w:val="-2"/>
              </w:rPr>
              <w:t>Wpływ ten przejawiał się będzie w tym, ze sposób działania tych podmiotów w zakresie wydawania omawianych leków uprawnionym osobom bezpłatnie, będzie determinowany nowym zakresem  projektowanego wykazu, który jest inny, niż dotychczas obowiązujący.</w:t>
            </w:r>
          </w:p>
        </w:tc>
      </w:tr>
      <w:tr w:rsidR="000A3038" w:rsidRPr="009416AD" w14:paraId="472ACBFE" w14:textId="77777777" w:rsidTr="00AA6211">
        <w:trPr>
          <w:gridAfter w:val="1"/>
          <w:wAfter w:w="28" w:type="dxa"/>
          <w:trHeight w:val="557"/>
        </w:trPr>
        <w:tc>
          <w:tcPr>
            <w:tcW w:w="1713" w:type="dxa"/>
            <w:vMerge/>
            <w:shd w:val="clear" w:color="auto" w:fill="FFFFFF"/>
          </w:tcPr>
          <w:p w14:paraId="4FD3A577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057F9F66" w14:textId="77777777" w:rsidR="000A3038" w:rsidRPr="009416AD" w:rsidRDefault="000A3038" w:rsidP="006A49D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0C12C561" w14:textId="6BF290C4" w:rsidR="000A3038" w:rsidRPr="009416AD" w:rsidRDefault="00AB7D06" w:rsidP="006E21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nie ma wpływu na rodzinę i obywateli oraz na gospodarstwa domowe. </w:t>
            </w:r>
          </w:p>
        </w:tc>
      </w:tr>
      <w:tr w:rsidR="000A3038" w:rsidRPr="009416AD" w14:paraId="14F788B1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shd w:val="clear" w:color="auto" w:fill="FFFFFF"/>
          </w:tcPr>
          <w:p w14:paraId="4FE09A20" w14:textId="53A8B0FA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7685A912" w14:textId="43533AAF" w:rsidR="000A3038" w:rsidRPr="009416AD" w:rsidRDefault="00AB7D06" w:rsidP="006A49D0">
            <w:pPr>
              <w:spacing w:line="240" w:lineRule="auto"/>
              <w:rPr>
                <w:rFonts w:ascii="Times New Roman" w:hAnsi="Times New Roman"/>
              </w:rPr>
            </w:pPr>
            <w:r w:rsidRPr="00601966">
              <w:rPr>
                <w:rFonts w:ascii="Times New Roman" w:hAnsi="Times New Roman"/>
              </w:rPr>
              <w:t xml:space="preserve">osoby starsze </w:t>
            </w:r>
            <w:r w:rsidRPr="00601966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00B40384" w14:textId="3BB857C4" w:rsidR="000A3038" w:rsidRPr="009416AD" w:rsidRDefault="00AB7D06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nie ma wpływu na osoby starsze i niepełnosprawne.</w:t>
            </w:r>
          </w:p>
        </w:tc>
      </w:tr>
      <w:tr w:rsidR="000A3038" w:rsidRPr="009416AD" w14:paraId="70AC8CA1" w14:textId="77777777" w:rsidTr="00AA6211">
        <w:trPr>
          <w:gridAfter w:val="1"/>
          <w:wAfter w:w="28" w:type="dxa"/>
          <w:trHeight w:val="1643"/>
        </w:trPr>
        <w:tc>
          <w:tcPr>
            <w:tcW w:w="2723" w:type="dxa"/>
            <w:gridSpan w:val="6"/>
            <w:shd w:val="clear" w:color="auto" w:fill="FFFFFF"/>
          </w:tcPr>
          <w:p w14:paraId="7743A871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79A200F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4" w:type="dxa"/>
            <w:gridSpan w:val="19"/>
            <w:shd w:val="clear" w:color="auto" w:fill="FFFFFF"/>
            <w:vAlign w:val="center"/>
          </w:tcPr>
          <w:p w14:paraId="570B89A6" w14:textId="484F1D59" w:rsidR="000A3038" w:rsidRPr="006A49D0" w:rsidRDefault="000A3038" w:rsidP="007C3693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3038" w:rsidRPr="009416AD" w14:paraId="46402665" w14:textId="77777777" w:rsidTr="00AA6211">
        <w:trPr>
          <w:gridAfter w:val="1"/>
          <w:wAfter w:w="28" w:type="dxa"/>
          <w:trHeight w:val="34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269BE8D6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7914411A" w14:textId="77777777" w:rsidTr="00AA6211">
        <w:trPr>
          <w:gridAfter w:val="1"/>
          <w:wAfter w:w="28" w:type="dxa"/>
          <w:trHeight w:val="151"/>
        </w:trPr>
        <w:tc>
          <w:tcPr>
            <w:tcW w:w="10887" w:type="dxa"/>
            <w:gridSpan w:val="25"/>
            <w:shd w:val="clear" w:color="auto" w:fill="FFFFFF"/>
          </w:tcPr>
          <w:p w14:paraId="260DC390" w14:textId="77777777" w:rsidR="000A3038" w:rsidRPr="009416AD" w:rsidRDefault="00CF3DDA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79DE40E7" w14:textId="77777777" w:rsidTr="00AA6211">
        <w:trPr>
          <w:gridAfter w:val="1"/>
          <w:wAfter w:w="28" w:type="dxa"/>
          <w:trHeight w:val="946"/>
        </w:trPr>
        <w:tc>
          <w:tcPr>
            <w:tcW w:w="4392" w:type="dxa"/>
            <w:gridSpan w:val="10"/>
            <w:shd w:val="clear" w:color="auto" w:fill="FFFFFF"/>
          </w:tcPr>
          <w:p w14:paraId="191281D3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495" w:type="dxa"/>
            <w:gridSpan w:val="15"/>
            <w:shd w:val="clear" w:color="auto" w:fill="FFFFFF"/>
          </w:tcPr>
          <w:p w14:paraId="760B4D65" w14:textId="45E8E4A2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AA5226A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C2606C4" w14:textId="77777777" w:rsidR="000A3038" w:rsidRPr="00F45975" w:rsidRDefault="00CF3DDA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3ED276AB" w14:textId="77777777" w:rsidTr="00AA6211">
        <w:trPr>
          <w:gridAfter w:val="1"/>
          <w:wAfter w:w="28" w:type="dxa"/>
          <w:trHeight w:val="1245"/>
        </w:trPr>
        <w:tc>
          <w:tcPr>
            <w:tcW w:w="4392" w:type="dxa"/>
            <w:gridSpan w:val="10"/>
            <w:shd w:val="clear" w:color="auto" w:fill="FFFFFF"/>
          </w:tcPr>
          <w:p w14:paraId="5E6CC47E" w14:textId="0DD1EDE1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DBB093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B5E3F7A" w14:textId="0B127BF4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9B60EC0" w14:textId="77777777" w:rsidR="003C46EA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860B703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495" w:type="dxa"/>
            <w:gridSpan w:val="15"/>
            <w:shd w:val="clear" w:color="auto" w:fill="FFFFFF"/>
          </w:tcPr>
          <w:p w14:paraId="6159D11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DB6775B" w14:textId="77777777" w:rsidR="000A3038" w:rsidRPr="009416AD" w:rsidRDefault="003C46EA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C0DB366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4A84BFC" w14:textId="77777777" w:rsidR="000A3038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777ED2C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3C458731" w14:textId="77777777" w:rsidTr="00AA6211">
        <w:trPr>
          <w:gridAfter w:val="1"/>
          <w:wAfter w:w="28" w:type="dxa"/>
          <w:trHeight w:val="870"/>
        </w:trPr>
        <w:tc>
          <w:tcPr>
            <w:tcW w:w="4392" w:type="dxa"/>
            <w:gridSpan w:val="10"/>
            <w:shd w:val="clear" w:color="auto" w:fill="FFFFFF"/>
          </w:tcPr>
          <w:p w14:paraId="2B1F551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495" w:type="dxa"/>
            <w:gridSpan w:val="15"/>
            <w:shd w:val="clear" w:color="auto" w:fill="FFFFFF"/>
          </w:tcPr>
          <w:p w14:paraId="6C110EF3" w14:textId="0C1F5E50" w:rsidR="000A3038" w:rsidRPr="00F45975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="000A3038" w:rsidRPr="00F45975">
              <w:rPr>
                <w:rFonts w:ascii="Times New Roman" w:hAnsi="Times New Roman"/>
                <w:color w:val="000000"/>
              </w:rPr>
              <w:t>ak</w:t>
            </w:r>
          </w:p>
          <w:p w14:paraId="6577832D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4F03BC7" w14:textId="1E25B667" w:rsidR="000A3038" w:rsidRPr="00F45975" w:rsidRDefault="005D63FC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F320061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52F75ABF" w14:textId="77777777" w:rsidTr="00AA6211">
        <w:trPr>
          <w:gridAfter w:val="1"/>
          <w:wAfter w:w="28" w:type="dxa"/>
          <w:trHeight w:val="282"/>
        </w:trPr>
        <w:tc>
          <w:tcPr>
            <w:tcW w:w="10887" w:type="dxa"/>
            <w:gridSpan w:val="25"/>
            <w:shd w:val="clear" w:color="auto" w:fill="FFFFFF"/>
          </w:tcPr>
          <w:p w14:paraId="526049AD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0A3038" w:rsidRPr="009416AD" w14:paraId="0A790E1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7661369D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5DFBC24B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611E2EF1" w14:textId="3FFB4B85" w:rsidR="00445A48" w:rsidRPr="00132586" w:rsidRDefault="00CF3DD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DDA">
              <w:rPr>
                <w:rFonts w:ascii="Times New Roman" w:hAnsi="Times New Roman"/>
                <w:color w:val="000000"/>
              </w:rPr>
              <w:t xml:space="preserve">Nie </w:t>
            </w:r>
            <w:r w:rsidR="005D63FC">
              <w:rPr>
                <w:rFonts w:ascii="Times New Roman" w:hAnsi="Times New Roman"/>
                <w:color w:val="000000"/>
              </w:rPr>
              <w:t xml:space="preserve">przewiduje się </w:t>
            </w:r>
            <w:r w:rsidRPr="00CF3DDA">
              <w:rPr>
                <w:rFonts w:ascii="Times New Roman" w:hAnsi="Times New Roman"/>
                <w:color w:val="000000"/>
              </w:rPr>
              <w:t>wpływ</w:t>
            </w:r>
            <w:r w:rsidR="005D63FC">
              <w:rPr>
                <w:rFonts w:ascii="Times New Roman" w:hAnsi="Times New Roman"/>
                <w:color w:val="000000"/>
              </w:rPr>
              <w:t>u projektowanych przepisów</w:t>
            </w:r>
            <w:r w:rsidRPr="00CF3DDA">
              <w:rPr>
                <w:rFonts w:ascii="Times New Roman" w:hAnsi="Times New Roman"/>
                <w:color w:val="000000"/>
              </w:rPr>
              <w:t xml:space="preserve"> na rynek pracy.</w:t>
            </w:r>
          </w:p>
        </w:tc>
      </w:tr>
      <w:tr w:rsidR="000A3038" w:rsidRPr="009416AD" w14:paraId="6FCBEBE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E59A2EC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1B444249" w14:textId="77777777" w:rsidTr="00AA6211">
        <w:trPr>
          <w:gridAfter w:val="1"/>
          <w:wAfter w:w="28" w:type="dxa"/>
          <w:trHeight w:val="1031"/>
        </w:trPr>
        <w:tc>
          <w:tcPr>
            <w:tcW w:w="2691" w:type="dxa"/>
            <w:gridSpan w:val="5"/>
            <w:shd w:val="clear" w:color="auto" w:fill="FFFFFF"/>
          </w:tcPr>
          <w:p w14:paraId="7D25271F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5AD15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81EB56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22EBDE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69" w:type="dxa"/>
            <w:gridSpan w:val="13"/>
            <w:shd w:val="clear" w:color="auto" w:fill="FFFFFF"/>
          </w:tcPr>
          <w:p w14:paraId="2FBF7240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8EC97B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6D4516C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7" w:type="dxa"/>
            <w:gridSpan w:val="7"/>
            <w:shd w:val="clear" w:color="auto" w:fill="FFFFFF"/>
          </w:tcPr>
          <w:p w14:paraId="3A4458A1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08DB66" w14:textId="058BF22D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DD5B9C3" w14:textId="77777777" w:rsidR="000A3038" w:rsidRPr="009416AD" w:rsidRDefault="00E80D4C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60241">
              <w:rPr>
                <w:rFonts w:ascii="Times New Roman" w:hAnsi="Times New Roman"/>
                <w:color w:val="000000"/>
              </w:rPr>
            </w:r>
            <w:r w:rsidR="0036024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05760367" w14:textId="77777777" w:rsidTr="00AA6211">
        <w:trPr>
          <w:gridAfter w:val="1"/>
          <w:wAfter w:w="28" w:type="dxa"/>
          <w:trHeight w:val="712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4AFB93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047" w:type="dxa"/>
            <w:gridSpan w:val="23"/>
            <w:shd w:val="clear" w:color="auto" w:fill="FFFFFF"/>
            <w:vAlign w:val="center"/>
          </w:tcPr>
          <w:p w14:paraId="0460825E" w14:textId="268CF4BA" w:rsidR="002408BA" w:rsidRPr="00507008" w:rsidRDefault="002408BA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49B747D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B6D4330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41401E3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174B5D1F" w14:textId="0124BD3D" w:rsidR="000A3038" w:rsidRPr="009416AD" w:rsidRDefault="000A3038" w:rsidP="00016D7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416AD">
              <w:rPr>
                <w:rFonts w:ascii="Times New Roman" w:hAnsi="Times New Roman"/>
                <w:spacing w:val="-2"/>
              </w:rPr>
              <w:t xml:space="preserve">Zakłada się, że </w:t>
            </w:r>
            <w:r w:rsidR="00A85DC3">
              <w:rPr>
                <w:rFonts w:ascii="Times New Roman" w:hAnsi="Times New Roman"/>
                <w:spacing w:val="-2"/>
              </w:rPr>
              <w:t xml:space="preserve">rozporządzenie </w:t>
            </w:r>
            <w:r w:rsidRPr="009416AD">
              <w:rPr>
                <w:rFonts w:ascii="Times New Roman" w:hAnsi="Times New Roman"/>
                <w:spacing w:val="-2"/>
              </w:rPr>
              <w:t>wejdzie w życie</w:t>
            </w:r>
            <w:r w:rsidR="004B3D80">
              <w:rPr>
                <w:rFonts w:ascii="Times New Roman" w:hAnsi="Times New Roman"/>
                <w:spacing w:val="-2"/>
              </w:rPr>
              <w:t xml:space="preserve"> </w:t>
            </w:r>
            <w:r w:rsidR="00333BC4">
              <w:rPr>
                <w:rFonts w:ascii="Times New Roman" w:hAnsi="Times New Roman"/>
                <w:spacing w:val="-2"/>
              </w:rPr>
              <w:t xml:space="preserve">po upływie </w:t>
            </w:r>
            <w:r w:rsidR="003A72BB">
              <w:rPr>
                <w:rFonts w:ascii="Times New Roman" w:hAnsi="Times New Roman"/>
                <w:spacing w:val="-2"/>
              </w:rPr>
              <w:t>14</w:t>
            </w:r>
            <w:r w:rsidR="008D2B6D">
              <w:rPr>
                <w:rFonts w:ascii="Times New Roman" w:hAnsi="Times New Roman"/>
                <w:spacing w:val="-2"/>
              </w:rPr>
              <w:t xml:space="preserve"> dni</w:t>
            </w:r>
            <w:r w:rsidR="00016D70">
              <w:rPr>
                <w:rFonts w:ascii="Times New Roman" w:hAnsi="Times New Roman"/>
                <w:spacing w:val="-2"/>
              </w:rPr>
              <w:t xml:space="preserve"> od dnia</w:t>
            </w:r>
            <w:r w:rsidR="008D2B6D">
              <w:rPr>
                <w:rFonts w:ascii="Times New Roman" w:hAnsi="Times New Roman"/>
                <w:spacing w:val="-2"/>
              </w:rPr>
              <w:t xml:space="preserve"> ogłoszenia.</w:t>
            </w:r>
          </w:p>
        </w:tc>
      </w:tr>
      <w:tr w:rsidR="000A3038" w:rsidRPr="009416AD" w14:paraId="082D2269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53D40769" w14:textId="77777777" w:rsidR="000A3038" w:rsidRPr="00E80D4C" w:rsidRDefault="00445A4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49DB5AA8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468DD2C3" w14:textId="1218AA0E" w:rsidR="005D63FC" w:rsidRPr="009416AD" w:rsidRDefault="005D63FC" w:rsidP="00016D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ocenie projektodawcy nie jest konieczna ewaluacja projektowanych regulacji.</w:t>
            </w:r>
          </w:p>
        </w:tc>
      </w:tr>
      <w:tr w:rsidR="000A3038" w:rsidRPr="009416AD" w14:paraId="30E19C7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7F31B45F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38840388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5A3B85AC" w14:textId="51FB974D" w:rsidR="00445A48" w:rsidRPr="009416AD" w:rsidRDefault="00CB5506" w:rsidP="00CB55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</w:t>
            </w:r>
            <w:r w:rsidR="008D2B6D"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14:paraId="3B884F66" w14:textId="77777777" w:rsidR="001359B5" w:rsidRPr="00654452" w:rsidRDefault="001359B5" w:rsidP="006A49D0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E2C9" w14:textId="77777777" w:rsidR="00360241" w:rsidRDefault="00360241" w:rsidP="00044739">
      <w:pPr>
        <w:spacing w:line="240" w:lineRule="auto"/>
      </w:pPr>
      <w:r>
        <w:separator/>
      </w:r>
    </w:p>
  </w:endnote>
  <w:endnote w:type="continuationSeparator" w:id="0">
    <w:p w14:paraId="5F812413" w14:textId="77777777" w:rsidR="00360241" w:rsidRDefault="0036024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74D1" w14:textId="77777777" w:rsidR="00360241" w:rsidRDefault="00360241" w:rsidP="00044739">
      <w:pPr>
        <w:spacing w:line="240" w:lineRule="auto"/>
      </w:pPr>
      <w:r>
        <w:separator/>
      </w:r>
    </w:p>
  </w:footnote>
  <w:footnote w:type="continuationSeparator" w:id="0">
    <w:p w14:paraId="2A4D67AF" w14:textId="77777777" w:rsidR="00360241" w:rsidRDefault="0036024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92401"/>
    <w:multiLevelType w:val="hybridMultilevel"/>
    <w:tmpl w:val="F8020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04B"/>
    <w:multiLevelType w:val="hybridMultilevel"/>
    <w:tmpl w:val="CB4E0034"/>
    <w:lvl w:ilvl="0" w:tplc="82603B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8"/>
  </w:num>
  <w:num w:numId="4">
    <w:abstractNumId w:val="8"/>
  </w:num>
  <w:num w:numId="5">
    <w:abstractNumId w:val="30"/>
  </w:num>
  <w:num w:numId="6">
    <w:abstractNumId w:val="36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9"/>
  </w:num>
  <w:num w:numId="14">
    <w:abstractNumId w:val="33"/>
  </w:num>
  <w:num w:numId="15">
    <w:abstractNumId w:val="3"/>
  </w:num>
  <w:num w:numId="16">
    <w:abstractNumId w:val="20"/>
  </w:num>
  <w:num w:numId="17">
    <w:abstractNumId w:val="25"/>
  </w:num>
  <w:num w:numId="18">
    <w:abstractNumId w:val="27"/>
  </w:num>
  <w:num w:numId="19">
    <w:abstractNumId w:val="31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14"/>
  </w:num>
  <w:num w:numId="25">
    <w:abstractNumId w:val="26"/>
  </w:num>
  <w:num w:numId="26">
    <w:abstractNumId w:val="23"/>
  </w:num>
  <w:num w:numId="27">
    <w:abstractNumId w:val="12"/>
  </w:num>
  <w:num w:numId="28">
    <w:abstractNumId w:val="1"/>
  </w:num>
  <w:num w:numId="29">
    <w:abstractNumId w:val="0"/>
  </w:num>
  <w:num w:numId="30">
    <w:abstractNumId w:val="42"/>
  </w:num>
  <w:num w:numId="31">
    <w:abstractNumId w:val="28"/>
  </w:num>
  <w:num w:numId="32">
    <w:abstractNumId w:val="34"/>
  </w:num>
  <w:num w:numId="33">
    <w:abstractNumId w:val="22"/>
  </w:num>
  <w:num w:numId="34">
    <w:abstractNumId w:val="40"/>
  </w:num>
  <w:num w:numId="35">
    <w:abstractNumId w:val="32"/>
  </w:num>
  <w:num w:numId="36">
    <w:abstractNumId w:val="9"/>
  </w:num>
  <w:num w:numId="37">
    <w:abstractNumId w:val="13"/>
  </w:num>
  <w:num w:numId="38">
    <w:abstractNumId w:val="37"/>
  </w:num>
  <w:num w:numId="39">
    <w:abstractNumId w:val="10"/>
  </w:num>
  <w:num w:numId="40">
    <w:abstractNumId w:val="39"/>
  </w:num>
  <w:num w:numId="41">
    <w:abstractNumId w:val="16"/>
  </w:num>
  <w:num w:numId="42">
    <w:abstractNumId w:val="5"/>
  </w:num>
  <w:num w:numId="43">
    <w:abstractNumId w:val="41"/>
  </w:num>
  <w:num w:numId="4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FBA"/>
    <w:rsid w:val="000015EE"/>
    <w:rsid w:val="000022D5"/>
    <w:rsid w:val="00004C6A"/>
    <w:rsid w:val="000059FE"/>
    <w:rsid w:val="000079AE"/>
    <w:rsid w:val="00012D11"/>
    <w:rsid w:val="00013B0F"/>
    <w:rsid w:val="00013EB5"/>
    <w:rsid w:val="00015372"/>
    <w:rsid w:val="00016D70"/>
    <w:rsid w:val="00016E99"/>
    <w:rsid w:val="00023836"/>
    <w:rsid w:val="00024623"/>
    <w:rsid w:val="000338DB"/>
    <w:rsid w:val="000356A9"/>
    <w:rsid w:val="00036131"/>
    <w:rsid w:val="00036B02"/>
    <w:rsid w:val="00040C30"/>
    <w:rsid w:val="00041D83"/>
    <w:rsid w:val="00044138"/>
    <w:rsid w:val="000446F3"/>
    <w:rsid w:val="00044739"/>
    <w:rsid w:val="00047AAA"/>
    <w:rsid w:val="00050AF8"/>
    <w:rsid w:val="00050F89"/>
    <w:rsid w:val="00051637"/>
    <w:rsid w:val="00056681"/>
    <w:rsid w:val="0005707D"/>
    <w:rsid w:val="000609B0"/>
    <w:rsid w:val="000648A7"/>
    <w:rsid w:val="0006618B"/>
    <w:rsid w:val="000670C0"/>
    <w:rsid w:val="00071B99"/>
    <w:rsid w:val="00073856"/>
    <w:rsid w:val="000756E5"/>
    <w:rsid w:val="0007704E"/>
    <w:rsid w:val="00077C96"/>
    <w:rsid w:val="00080925"/>
    <w:rsid w:val="00080EC8"/>
    <w:rsid w:val="000814AC"/>
    <w:rsid w:val="00082BC1"/>
    <w:rsid w:val="00087E3F"/>
    <w:rsid w:val="000937C2"/>
    <w:rsid w:val="000944AC"/>
    <w:rsid w:val="00094B46"/>
    <w:rsid w:val="00094CB9"/>
    <w:rsid w:val="000956B2"/>
    <w:rsid w:val="000969E7"/>
    <w:rsid w:val="000A23DE"/>
    <w:rsid w:val="000A3038"/>
    <w:rsid w:val="000A376A"/>
    <w:rsid w:val="000A4020"/>
    <w:rsid w:val="000A4DAB"/>
    <w:rsid w:val="000B12C4"/>
    <w:rsid w:val="000B4F99"/>
    <w:rsid w:val="000B5376"/>
    <w:rsid w:val="000B54FB"/>
    <w:rsid w:val="000C163E"/>
    <w:rsid w:val="000C29B0"/>
    <w:rsid w:val="000C76FC"/>
    <w:rsid w:val="000D0A13"/>
    <w:rsid w:val="000D179C"/>
    <w:rsid w:val="000D38FC"/>
    <w:rsid w:val="000D4D90"/>
    <w:rsid w:val="000D77C3"/>
    <w:rsid w:val="000E2D10"/>
    <w:rsid w:val="000E2D78"/>
    <w:rsid w:val="000F08E2"/>
    <w:rsid w:val="000F3204"/>
    <w:rsid w:val="0010548B"/>
    <w:rsid w:val="00105A19"/>
    <w:rsid w:val="00105C24"/>
    <w:rsid w:val="00105EE5"/>
    <w:rsid w:val="001072D1"/>
    <w:rsid w:val="00111ADA"/>
    <w:rsid w:val="00111C84"/>
    <w:rsid w:val="00114072"/>
    <w:rsid w:val="00117017"/>
    <w:rsid w:val="00117136"/>
    <w:rsid w:val="001202D6"/>
    <w:rsid w:val="001216F0"/>
    <w:rsid w:val="00121B94"/>
    <w:rsid w:val="00122DBF"/>
    <w:rsid w:val="00130E8E"/>
    <w:rsid w:val="0013216E"/>
    <w:rsid w:val="00132586"/>
    <w:rsid w:val="001359B5"/>
    <w:rsid w:val="00136E77"/>
    <w:rsid w:val="0013743A"/>
    <w:rsid w:val="001401B5"/>
    <w:rsid w:val="001422B9"/>
    <w:rsid w:val="001429B9"/>
    <w:rsid w:val="0014665F"/>
    <w:rsid w:val="001478CA"/>
    <w:rsid w:val="00152410"/>
    <w:rsid w:val="00153464"/>
    <w:rsid w:val="001541B3"/>
    <w:rsid w:val="00155B15"/>
    <w:rsid w:val="00157EAB"/>
    <w:rsid w:val="001623B7"/>
    <w:rsid w:val="001625BE"/>
    <w:rsid w:val="00162D18"/>
    <w:rsid w:val="00163789"/>
    <w:rsid w:val="001643A4"/>
    <w:rsid w:val="0016790A"/>
    <w:rsid w:val="001727BB"/>
    <w:rsid w:val="00175B75"/>
    <w:rsid w:val="00180D25"/>
    <w:rsid w:val="00181753"/>
    <w:rsid w:val="0018318D"/>
    <w:rsid w:val="001838D0"/>
    <w:rsid w:val="00184DB8"/>
    <w:rsid w:val="0018572C"/>
    <w:rsid w:val="00187933"/>
    <w:rsid w:val="00187E79"/>
    <w:rsid w:val="00187F0D"/>
    <w:rsid w:val="00190C98"/>
    <w:rsid w:val="0019222D"/>
    <w:rsid w:val="00192CC5"/>
    <w:rsid w:val="001956A7"/>
    <w:rsid w:val="00196DAA"/>
    <w:rsid w:val="0019753A"/>
    <w:rsid w:val="001A0647"/>
    <w:rsid w:val="001A118A"/>
    <w:rsid w:val="001A27F4"/>
    <w:rsid w:val="001A2D95"/>
    <w:rsid w:val="001A4957"/>
    <w:rsid w:val="001B0C1E"/>
    <w:rsid w:val="001B2382"/>
    <w:rsid w:val="001B30C2"/>
    <w:rsid w:val="001B3460"/>
    <w:rsid w:val="001B4CA1"/>
    <w:rsid w:val="001B5DCD"/>
    <w:rsid w:val="001B5E94"/>
    <w:rsid w:val="001B75D8"/>
    <w:rsid w:val="001C0E65"/>
    <w:rsid w:val="001C1060"/>
    <w:rsid w:val="001C1D90"/>
    <w:rsid w:val="001C3C63"/>
    <w:rsid w:val="001C47DC"/>
    <w:rsid w:val="001D4732"/>
    <w:rsid w:val="001D51F9"/>
    <w:rsid w:val="001D55BC"/>
    <w:rsid w:val="001D6A3C"/>
    <w:rsid w:val="001D6D51"/>
    <w:rsid w:val="001E2B75"/>
    <w:rsid w:val="001E3048"/>
    <w:rsid w:val="001F1074"/>
    <w:rsid w:val="001F2249"/>
    <w:rsid w:val="001F5677"/>
    <w:rsid w:val="001F5E55"/>
    <w:rsid w:val="001F653A"/>
    <w:rsid w:val="001F6979"/>
    <w:rsid w:val="0020062B"/>
    <w:rsid w:val="00200F7D"/>
    <w:rsid w:val="002015D9"/>
    <w:rsid w:val="00202BC6"/>
    <w:rsid w:val="00205141"/>
    <w:rsid w:val="0020516B"/>
    <w:rsid w:val="002122CB"/>
    <w:rsid w:val="00213559"/>
    <w:rsid w:val="00213EFD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333D"/>
    <w:rsid w:val="00234040"/>
    <w:rsid w:val="00235CD2"/>
    <w:rsid w:val="00237879"/>
    <w:rsid w:val="002408BA"/>
    <w:rsid w:val="00241ACC"/>
    <w:rsid w:val="00242F05"/>
    <w:rsid w:val="00244282"/>
    <w:rsid w:val="0024561E"/>
    <w:rsid w:val="00245AC0"/>
    <w:rsid w:val="0024760B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62BD4"/>
    <w:rsid w:val="00265E48"/>
    <w:rsid w:val="002663A7"/>
    <w:rsid w:val="002704D8"/>
    <w:rsid w:val="00270C81"/>
    <w:rsid w:val="00271558"/>
    <w:rsid w:val="00274862"/>
    <w:rsid w:val="00281ADA"/>
    <w:rsid w:val="00282D72"/>
    <w:rsid w:val="00283402"/>
    <w:rsid w:val="00290AAF"/>
    <w:rsid w:val="00290E10"/>
    <w:rsid w:val="00290F19"/>
    <w:rsid w:val="00290FD6"/>
    <w:rsid w:val="00294259"/>
    <w:rsid w:val="002965A7"/>
    <w:rsid w:val="002A0202"/>
    <w:rsid w:val="002A2C81"/>
    <w:rsid w:val="002A43FD"/>
    <w:rsid w:val="002A4BF1"/>
    <w:rsid w:val="002B2DD1"/>
    <w:rsid w:val="002B3D1A"/>
    <w:rsid w:val="002B5CE0"/>
    <w:rsid w:val="002B7605"/>
    <w:rsid w:val="002C27D0"/>
    <w:rsid w:val="002C2C9B"/>
    <w:rsid w:val="002C7DC7"/>
    <w:rsid w:val="002D17D6"/>
    <w:rsid w:val="002D18D7"/>
    <w:rsid w:val="002D21CE"/>
    <w:rsid w:val="002D4734"/>
    <w:rsid w:val="002E3DA3"/>
    <w:rsid w:val="002E450F"/>
    <w:rsid w:val="002E59E3"/>
    <w:rsid w:val="002E5BD4"/>
    <w:rsid w:val="002E5E01"/>
    <w:rsid w:val="002E6B38"/>
    <w:rsid w:val="002E6D63"/>
    <w:rsid w:val="002E6E2B"/>
    <w:rsid w:val="002F48C3"/>
    <w:rsid w:val="002F500B"/>
    <w:rsid w:val="002F525C"/>
    <w:rsid w:val="002F71A5"/>
    <w:rsid w:val="00300991"/>
    <w:rsid w:val="00300A7A"/>
    <w:rsid w:val="00301744"/>
    <w:rsid w:val="00301959"/>
    <w:rsid w:val="00305B8A"/>
    <w:rsid w:val="00314A58"/>
    <w:rsid w:val="00314C2A"/>
    <w:rsid w:val="00317811"/>
    <w:rsid w:val="00317B04"/>
    <w:rsid w:val="003248DB"/>
    <w:rsid w:val="003249FC"/>
    <w:rsid w:val="00331BF9"/>
    <w:rsid w:val="00333902"/>
    <w:rsid w:val="00333BC4"/>
    <w:rsid w:val="0033495E"/>
    <w:rsid w:val="00334A79"/>
    <w:rsid w:val="00334D8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0241"/>
    <w:rsid w:val="00362C7E"/>
    <w:rsid w:val="00363309"/>
    <w:rsid w:val="00363601"/>
    <w:rsid w:val="0037226A"/>
    <w:rsid w:val="00372AE5"/>
    <w:rsid w:val="00372CFE"/>
    <w:rsid w:val="0037354E"/>
    <w:rsid w:val="003765A4"/>
    <w:rsid w:val="00376AC9"/>
    <w:rsid w:val="00377BB3"/>
    <w:rsid w:val="00381826"/>
    <w:rsid w:val="0038519C"/>
    <w:rsid w:val="003871D3"/>
    <w:rsid w:val="003878B4"/>
    <w:rsid w:val="0039016E"/>
    <w:rsid w:val="0039064F"/>
    <w:rsid w:val="0039132A"/>
    <w:rsid w:val="00393032"/>
    <w:rsid w:val="00394B69"/>
    <w:rsid w:val="00395C68"/>
    <w:rsid w:val="00397078"/>
    <w:rsid w:val="003A4B10"/>
    <w:rsid w:val="003A6953"/>
    <w:rsid w:val="003A6FD3"/>
    <w:rsid w:val="003A72BB"/>
    <w:rsid w:val="003B39BC"/>
    <w:rsid w:val="003B6083"/>
    <w:rsid w:val="003C3838"/>
    <w:rsid w:val="003C46EA"/>
    <w:rsid w:val="003C5847"/>
    <w:rsid w:val="003D0681"/>
    <w:rsid w:val="003D10CC"/>
    <w:rsid w:val="003D12F6"/>
    <w:rsid w:val="003D1426"/>
    <w:rsid w:val="003D5E31"/>
    <w:rsid w:val="003E2F4E"/>
    <w:rsid w:val="003E5FE8"/>
    <w:rsid w:val="003E720A"/>
    <w:rsid w:val="003F0629"/>
    <w:rsid w:val="003F596C"/>
    <w:rsid w:val="003F59AE"/>
    <w:rsid w:val="00403E6E"/>
    <w:rsid w:val="004050D4"/>
    <w:rsid w:val="0040564F"/>
    <w:rsid w:val="004129B4"/>
    <w:rsid w:val="00417EF0"/>
    <w:rsid w:val="00420DCB"/>
    <w:rsid w:val="00422181"/>
    <w:rsid w:val="004244A8"/>
    <w:rsid w:val="00424E47"/>
    <w:rsid w:val="00425F72"/>
    <w:rsid w:val="00427736"/>
    <w:rsid w:val="00432082"/>
    <w:rsid w:val="00441787"/>
    <w:rsid w:val="00444F2D"/>
    <w:rsid w:val="0044554D"/>
    <w:rsid w:val="00445A48"/>
    <w:rsid w:val="00452034"/>
    <w:rsid w:val="00455FA6"/>
    <w:rsid w:val="00457716"/>
    <w:rsid w:val="00466ABC"/>
    <w:rsid w:val="00466C70"/>
    <w:rsid w:val="004702C9"/>
    <w:rsid w:val="004721FD"/>
    <w:rsid w:val="00472E45"/>
    <w:rsid w:val="00473FEA"/>
    <w:rsid w:val="0047579D"/>
    <w:rsid w:val="00483262"/>
    <w:rsid w:val="00484107"/>
    <w:rsid w:val="004853ED"/>
    <w:rsid w:val="00485CC5"/>
    <w:rsid w:val="004866E1"/>
    <w:rsid w:val="004922C7"/>
    <w:rsid w:val="0049343F"/>
    <w:rsid w:val="004959C7"/>
    <w:rsid w:val="004964FC"/>
    <w:rsid w:val="004A145E"/>
    <w:rsid w:val="004A1F15"/>
    <w:rsid w:val="004A2A81"/>
    <w:rsid w:val="004A350B"/>
    <w:rsid w:val="004A5000"/>
    <w:rsid w:val="004A5654"/>
    <w:rsid w:val="004A7BD7"/>
    <w:rsid w:val="004B3898"/>
    <w:rsid w:val="004B3D80"/>
    <w:rsid w:val="004B44A9"/>
    <w:rsid w:val="004C1072"/>
    <w:rsid w:val="004C15C2"/>
    <w:rsid w:val="004C36D8"/>
    <w:rsid w:val="004D1248"/>
    <w:rsid w:val="004D1E3C"/>
    <w:rsid w:val="004D4169"/>
    <w:rsid w:val="004D5712"/>
    <w:rsid w:val="004D6E14"/>
    <w:rsid w:val="004E1734"/>
    <w:rsid w:val="004E1AD4"/>
    <w:rsid w:val="004E71A5"/>
    <w:rsid w:val="004F4E17"/>
    <w:rsid w:val="004F623D"/>
    <w:rsid w:val="004F7096"/>
    <w:rsid w:val="005007A0"/>
    <w:rsid w:val="0050082F"/>
    <w:rsid w:val="00500C56"/>
    <w:rsid w:val="00501713"/>
    <w:rsid w:val="00503AFD"/>
    <w:rsid w:val="00503D1C"/>
    <w:rsid w:val="00506568"/>
    <w:rsid w:val="00507008"/>
    <w:rsid w:val="0051352A"/>
    <w:rsid w:val="00514B9E"/>
    <w:rsid w:val="00514F53"/>
    <w:rsid w:val="0051551B"/>
    <w:rsid w:val="00520C57"/>
    <w:rsid w:val="00522260"/>
    <w:rsid w:val="00522D94"/>
    <w:rsid w:val="00532844"/>
    <w:rsid w:val="00533D89"/>
    <w:rsid w:val="00534F40"/>
    <w:rsid w:val="00536564"/>
    <w:rsid w:val="00540EE3"/>
    <w:rsid w:val="00544451"/>
    <w:rsid w:val="00544597"/>
    <w:rsid w:val="00544FFE"/>
    <w:rsid w:val="005473F5"/>
    <w:rsid w:val="00547606"/>
    <w:rsid w:val="005477E7"/>
    <w:rsid w:val="00552794"/>
    <w:rsid w:val="00563199"/>
    <w:rsid w:val="005633FC"/>
    <w:rsid w:val="00564874"/>
    <w:rsid w:val="00564F47"/>
    <w:rsid w:val="00567963"/>
    <w:rsid w:val="0057009A"/>
    <w:rsid w:val="00571260"/>
    <w:rsid w:val="005714DE"/>
    <w:rsid w:val="00571718"/>
    <w:rsid w:val="0057189C"/>
    <w:rsid w:val="00573FC1"/>
    <w:rsid w:val="005741EE"/>
    <w:rsid w:val="00574427"/>
    <w:rsid w:val="00575A4F"/>
    <w:rsid w:val="0057668E"/>
    <w:rsid w:val="00583A88"/>
    <w:rsid w:val="00585B14"/>
    <w:rsid w:val="00591069"/>
    <w:rsid w:val="00595E83"/>
    <w:rsid w:val="00596530"/>
    <w:rsid w:val="005967F3"/>
    <w:rsid w:val="005A06DF"/>
    <w:rsid w:val="005A1385"/>
    <w:rsid w:val="005A5527"/>
    <w:rsid w:val="005A5AE6"/>
    <w:rsid w:val="005A6CD0"/>
    <w:rsid w:val="005A7D29"/>
    <w:rsid w:val="005B1206"/>
    <w:rsid w:val="005B37E8"/>
    <w:rsid w:val="005B5ADB"/>
    <w:rsid w:val="005C0056"/>
    <w:rsid w:val="005D4B36"/>
    <w:rsid w:val="005D61D6"/>
    <w:rsid w:val="005D63FC"/>
    <w:rsid w:val="005D747A"/>
    <w:rsid w:val="005E0D13"/>
    <w:rsid w:val="005E17F7"/>
    <w:rsid w:val="005E23AE"/>
    <w:rsid w:val="005E5047"/>
    <w:rsid w:val="005E605D"/>
    <w:rsid w:val="005E6F45"/>
    <w:rsid w:val="005E7205"/>
    <w:rsid w:val="005E7371"/>
    <w:rsid w:val="005F0BDA"/>
    <w:rsid w:val="005F116C"/>
    <w:rsid w:val="005F2131"/>
    <w:rsid w:val="005F59D6"/>
    <w:rsid w:val="006038DD"/>
    <w:rsid w:val="00604A92"/>
    <w:rsid w:val="00605EF6"/>
    <w:rsid w:val="006062C5"/>
    <w:rsid w:val="00606455"/>
    <w:rsid w:val="00606660"/>
    <w:rsid w:val="0060705F"/>
    <w:rsid w:val="00607DE2"/>
    <w:rsid w:val="00611D46"/>
    <w:rsid w:val="00614929"/>
    <w:rsid w:val="00616511"/>
    <w:rsid w:val="006176ED"/>
    <w:rsid w:val="006202F3"/>
    <w:rsid w:val="0062097A"/>
    <w:rsid w:val="00621DA6"/>
    <w:rsid w:val="00623CFE"/>
    <w:rsid w:val="00624E66"/>
    <w:rsid w:val="00626505"/>
    <w:rsid w:val="00627221"/>
    <w:rsid w:val="00627EE8"/>
    <w:rsid w:val="006316FA"/>
    <w:rsid w:val="00632C78"/>
    <w:rsid w:val="006350D6"/>
    <w:rsid w:val="006370D2"/>
    <w:rsid w:val="0064074F"/>
    <w:rsid w:val="00640768"/>
    <w:rsid w:val="00640C7C"/>
    <w:rsid w:val="00641F55"/>
    <w:rsid w:val="00642BBC"/>
    <w:rsid w:val="00643623"/>
    <w:rsid w:val="00643F89"/>
    <w:rsid w:val="00645E4A"/>
    <w:rsid w:val="00650DBD"/>
    <w:rsid w:val="00651EBA"/>
    <w:rsid w:val="00653688"/>
    <w:rsid w:val="00654452"/>
    <w:rsid w:val="006545BD"/>
    <w:rsid w:val="0066091B"/>
    <w:rsid w:val="00660DAA"/>
    <w:rsid w:val="00664A27"/>
    <w:rsid w:val="006660E9"/>
    <w:rsid w:val="00667249"/>
    <w:rsid w:val="00667558"/>
    <w:rsid w:val="00671523"/>
    <w:rsid w:val="00674716"/>
    <w:rsid w:val="006754EF"/>
    <w:rsid w:val="00676C8D"/>
    <w:rsid w:val="00676D25"/>
    <w:rsid w:val="00676F1F"/>
    <w:rsid w:val="00677381"/>
    <w:rsid w:val="00677414"/>
    <w:rsid w:val="00677D48"/>
    <w:rsid w:val="00680E25"/>
    <w:rsid w:val="006832CF"/>
    <w:rsid w:val="0068601E"/>
    <w:rsid w:val="0068607F"/>
    <w:rsid w:val="00691659"/>
    <w:rsid w:val="0069486B"/>
    <w:rsid w:val="006A4904"/>
    <w:rsid w:val="006A49D0"/>
    <w:rsid w:val="006A548F"/>
    <w:rsid w:val="006A54EF"/>
    <w:rsid w:val="006A61F1"/>
    <w:rsid w:val="006A701A"/>
    <w:rsid w:val="006B64DC"/>
    <w:rsid w:val="006B701B"/>
    <w:rsid w:val="006B7A91"/>
    <w:rsid w:val="006C20D8"/>
    <w:rsid w:val="006C38CF"/>
    <w:rsid w:val="006C4007"/>
    <w:rsid w:val="006C585B"/>
    <w:rsid w:val="006D1770"/>
    <w:rsid w:val="006D4704"/>
    <w:rsid w:val="006D6A2D"/>
    <w:rsid w:val="006E1E18"/>
    <w:rsid w:val="006E2119"/>
    <w:rsid w:val="006E31CE"/>
    <w:rsid w:val="006E34D3"/>
    <w:rsid w:val="006E6222"/>
    <w:rsid w:val="006F1435"/>
    <w:rsid w:val="006F14FD"/>
    <w:rsid w:val="006F4103"/>
    <w:rsid w:val="006F53DE"/>
    <w:rsid w:val="006F574C"/>
    <w:rsid w:val="006F5B68"/>
    <w:rsid w:val="006F78C4"/>
    <w:rsid w:val="007031A0"/>
    <w:rsid w:val="00703F6C"/>
    <w:rsid w:val="007045FC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2A17"/>
    <w:rsid w:val="00744BF9"/>
    <w:rsid w:val="00752623"/>
    <w:rsid w:val="00753E56"/>
    <w:rsid w:val="00757FA6"/>
    <w:rsid w:val="00760F1F"/>
    <w:rsid w:val="0076423E"/>
    <w:rsid w:val="007646CB"/>
    <w:rsid w:val="00766389"/>
    <w:rsid w:val="0076658F"/>
    <w:rsid w:val="007677F5"/>
    <w:rsid w:val="0077040A"/>
    <w:rsid w:val="00772D64"/>
    <w:rsid w:val="00775C67"/>
    <w:rsid w:val="00776347"/>
    <w:rsid w:val="00776580"/>
    <w:rsid w:val="00780D7D"/>
    <w:rsid w:val="00784B23"/>
    <w:rsid w:val="00784FB3"/>
    <w:rsid w:val="0078548D"/>
    <w:rsid w:val="00792609"/>
    <w:rsid w:val="00792887"/>
    <w:rsid w:val="007928E4"/>
    <w:rsid w:val="00793A6F"/>
    <w:rsid w:val="007943E2"/>
    <w:rsid w:val="00794F2C"/>
    <w:rsid w:val="00795D58"/>
    <w:rsid w:val="007978DD"/>
    <w:rsid w:val="007A3BC7"/>
    <w:rsid w:val="007A5AC4"/>
    <w:rsid w:val="007A712D"/>
    <w:rsid w:val="007B0FDD"/>
    <w:rsid w:val="007B3C2B"/>
    <w:rsid w:val="007B4081"/>
    <w:rsid w:val="007B4802"/>
    <w:rsid w:val="007B6668"/>
    <w:rsid w:val="007B6B33"/>
    <w:rsid w:val="007B6BAF"/>
    <w:rsid w:val="007B7371"/>
    <w:rsid w:val="007B7F06"/>
    <w:rsid w:val="007C04C0"/>
    <w:rsid w:val="007C0C56"/>
    <w:rsid w:val="007C2701"/>
    <w:rsid w:val="007C353A"/>
    <w:rsid w:val="007C3693"/>
    <w:rsid w:val="007C7251"/>
    <w:rsid w:val="007D2192"/>
    <w:rsid w:val="007D3B44"/>
    <w:rsid w:val="007D6D78"/>
    <w:rsid w:val="007E18DE"/>
    <w:rsid w:val="007E37A3"/>
    <w:rsid w:val="007E5051"/>
    <w:rsid w:val="007E592D"/>
    <w:rsid w:val="007F0021"/>
    <w:rsid w:val="007F1CF9"/>
    <w:rsid w:val="007F2F52"/>
    <w:rsid w:val="007F63F8"/>
    <w:rsid w:val="00801F71"/>
    <w:rsid w:val="00805F28"/>
    <w:rsid w:val="0080749F"/>
    <w:rsid w:val="00811178"/>
    <w:rsid w:val="00811D46"/>
    <w:rsid w:val="0081226C"/>
    <w:rsid w:val="008125B0"/>
    <w:rsid w:val="008144CB"/>
    <w:rsid w:val="00821717"/>
    <w:rsid w:val="00821E87"/>
    <w:rsid w:val="00824210"/>
    <w:rsid w:val="008242FD"/>
    <w:rsid w:val="0082493E"/>
    <w:rsid w:val="008263C0"/>
    <w:rsid w:val="008338CD"/>
    <w:rsid w:val="008365B5"/>
    <w:rsid w:val="00840040"/>
    <w:rsid w:val="008400A3"/>
    <w:rsid w:val="00840D5E"/>
    <w:rsid w:val="00841422"/>
    <w:rsid w:val="00841D3B"/>
    <w:rsid w:val="0084314C"/>
    <w:rsid w:val="00843171"/>
    <w:rsid w:val="00846EBC"/>
    <w:rsid w:val="008513EC"/>
    <w:rsid w:val="00851991"/>
    <w:rsid w:val="00853A2F"/>
    <w:rsid w:val="008575C3"/>
    <w:rsid w:val="00863D28"/>
    <w:rsid w:val="00863F05"/>
    <w:rsid w:val="008648C3"/>
    <w:rsid w:val="0086601E"/>
    <w:rsid w:val="00874428"/>
    <w:rsid w:val="00874D2F"/>
    <w:rsid w:val="00876EF6"/>
    <w:rsid w:val="008801F8"/>
    <w:rsid w:val="00880F26"/>
    <w:rsid w:val="00885F87"/>
    <w:rsid w:val="00886688"/>
    <w:rsid w:val="008872D4"/>
    <w:rsid w:val="008936BC"/>
    <w:rsid w:val="00894CC8"/>
    <w:rsid w:val="00896876"/>
    <w:rsid w:val="00896C2E"/>
    <w:rsid w:val="008A1C5C"/>
    <w:rsid w:val="008A5095"/>
    <w:rsid w:val="008A590F"/>
    <w:rsid w:val="008A608F"/>
    <w:rsid w:val="008B092F"/>
    <w:rsid w:val="008B1A9A"/>
    <w:rsid w:val="008B2A26"/>
    <w:rsid w:val="008B3E30"/>
    <w:rsid w:val="008B4051"/>
    <w:rsid w:val="008B433F"/>
    <w:rsid w:val="008B4FE6"/>
    <w:rsid w:val="008B6C37"/>
    <w:rsid w:val="008C0696"/>
    <w:rsid w:val="008C0E3E"/>
    <w:rsid w:val="008C1F49"/>
    <w:rsid w:val="008C2350"/>
    <w:rsid w:val="008C29C0"/>
    <w:rsid w:val="008C523F"/>
    <w:rsid w:val="008D2AC8"/>
    <w:rsid w:val="008D2B6D"/>
    <w:rsid w:val="008D3724"/>
    <w:rsid w:val="008D5515"/>
    <w:rsid w:val="008D713F"/>
    <w:rsid w:val="008E18F7"/>
    <w:rsid w:val="008E1E10"/>
    <w:rsid w:val="008E291B"/>
    <w:rsid w:val="008E47B4"/>
    <w:rsid w:val="008E4F2F"/>
    <w:rsid w:val="008E516D"/>
    <w:rsid w:val="008E74B0"/>
    <w:rsid w:val="008F16FD"/>
    <w:rsid w:val="008F1A42"/>
    <w:rsid w:val="008F6A3D"/>
    <w:rsid w:val="008F72DA"/>
    <w:rsid w:val="009008A8"/>
    <w:rsid w:val="00901AA6"/>
    <w:rsid w:val="0090299C"/>
    <w:rsid w:val="0090461A"/>
    <w:rsid w:val="009063B0"/>
    <w:rsid w:val="00907106"/>
    <w:rsid w:val="009107FD"/>
    <w:rsid w:val="0091137C"/>
    <w:rsid w:val="00911567"/>
    <w:rsid w:val="00914E00"/>
    <w:rsid w:val="00916E50"/>
    <w:rsid w:val="00917361"/>
    <w:rsid w:val="00917AAE"/>
    <w:rsid w:val="009251A9"/>
    <w:rsid w:val="00925B87"/>
    <w:rsid w:val="00930699"/>
    <w:rsid w:val="00931F69"/>
    <w:rsid w:val="00934123"/>
    <w:rsid w:val="00934AE2"/>
    <w:rsid w:val="009353AA"/>
    <w:rsid w:val="00937632"/>
    <w:rsid w:val="009416AD"/>
    <w:rsid w:val="009464D2"/>
    <w:rsid w:val="00946694"/>
    <w:rsid w:val="009476EB"/>
    <w:rsid w:val="00947B63"/>
    <w:rsid w:val="009544F9"/>
    <w:rsid w:val="00955774"/>
    <w:rsid w:val="009560B5"/>
    <w:rsid w:val="00956AEE"/>
    <w:rsid w:val="00965C71"/>
    <w:rsid w:val="00966597"/>
    <w:rsid w:val="009703D6"/>
    <w:rsid w:val="0097092B"/>
    <w:rsid w:val="00970EDE"/>
    <w:rsid w:val="0097181B"/>
    <w:rsid w:val="0097524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5D61"/>
    <w:rsid w:val="00986610"/>
    <w:rsid w:val="009869D6"/>
    <w:rsid w:val="009877DC"/>
    <w:rsid w:val="00990794"/>
    <w:rsid w:val="00990D27"/>
    <w:rsid w:val="00991F96"/>
    <w:rsid w:val="009923B5"/>
    <w:rsid w:val="009951B6"/>
    <w:rsid w:val="00996F0A"/>
    <w:rsid w:val="009A0D70"/>
    <w:rsid w:val="009A0F1A"/>
    <w:rsid w:val="009A1D86"/>
    <w:rsid w:val="009A64E0"/>
    <w:rsid w:val="009A7B26"/>
    <w:rsid w:val="009B049C"/>
    <w:rsid w:val="009B0C84"/>
    <w:rsid w:val="009B11C8"/>
    <w:rsid w:val="009B2455"/>
    <w:rsid w:val="009B26F4"/>
    <w:rsid w:val="009B2BCF"/>
    <w:rsid w:val="009B2FF8"/>
    <w:rsid w:val="009B5B6E"/>
    <w:rsid w:val="009B5BA3"/>
    <w:rsid w:val="009B7188"/>
    <w:rsid w:val="009D0027"/>
    <w:rsid w:val="009D0655"/>
    <w:rsid w:val="009E01B3"/>
    <w:rsid w:val="009E06DC"/>
    <w:rsid w:val="009E1E98"/>
    <w:rsid w:val="009E3ABE"/>
    <w:rsid w:val="009E3C4B"/>
    <w:rsid w:val="009E4264"/>
    <w:rsid w:val="009E571F"/>
    <w:rsid w:val="009F0637"/>
    <w:rsid w:val="009F2076"/>
    <w:rsid w:val="009F5462"/>
    <w:rsid w:val="009F62A6"/>
    <w:rsid w:val="009F674F"/>
    <w:rsid w:val="009F799E"/>
    <w:rsid w:val="00A003CC"/>
    <w:rsid w:val="00A01168"/>
    <w:rsid w:val="00A01C0E"/>
    <w:rsid w:val="00A02020"/>
    <w:rsid w:val="00A04092"/>
    <w:rsid w:val="00A056CB"/>
    <w:rsid w:val="00A062B4"/>
    <w:rsid w:val="00A07A29"/>
    <w:rsid w:val="00A10AB7"/>
    <w:rsid w:val="00A10FF1"/>
    <w:rsid w:val="00A12D3E"/>
    <w:rsid w:val="00A13BD2"/>
    <w:rsid w:val="00A1506B"/>
    <w:rsid w:val="00A17CB2"/>
    <w:rsid w:val="00A2151B"/>
    <w:rsid w:val="00A216A1"/>
    <w:rsid w:val="00A22CED"/>
    <w:rsid w:val="00A23191"/>
    <w:rsid w:val="00A319C0"/>
    <w:rsid w:val="00A33560"/>
    <w:rsid w:val="00A338D1"/>
    <w:rsid w:val="00A34C6D"/>
    <w:rsid w:val="00A364E4"/>
    <w:rsid w:val="00A371A5"/>
    <w:rsid w:val="00A42241"/>
    <w:rsid w:val="00A424E2"/>
    <w:rsid w:val="00A427B1"/>
    <w:rsid w:val="00A47BDF"/>
    <w:rsid w:val="00A50ACC"/>
    <w:rsid w:val="00A512B7"/>
    <w:rsid w:val="00A51CD7"/>
    <w:rsid w:val="00A52ADB"/>
    <w:rsid w:val="00A533E8"/>
    <w:rsid w:val="00A539EB"/>
    <w:rsid w:val="00A542D9"/>
    <w:rsid w:val="00A55129"/>
    <w:rsid w:val="00A552A9"/>
    <w:rsid w:val="00A55D0A"/>
    <w:rsid w:val="00A565D0"/>
    <w:rsid w:val="00A56E64"/>
    <w:rsid w:val="00A624C3"/>
    <w:rsid w:val="00A630A1"/>
    <w:rsid w:val="00A6641C"/>
    <w:rsid w:val="00A72D1F"/>
    <w:rsid w:val="00A73B01"/>
    <w:rsid w:val="00A767D2"/>
    <w:rsid w:val="00A77616"/>
    <w:rsid w:val="00A80117"/>
    <w:rsid w:val="00A805DA"/>
    <w:rsid w:val="00A811B4"/>
    <w:rsid w:val="00A81949"/>
    <w:rsid w:val="00A85DC3"/>
    <w:rsid w:val="00A87CDE"/>
    <w:rsid w:val="00A92BAF"/>
    <w:rsid w:val="00A92FFA"/>
    <w:rsid w:val="00A94737"/>
    <w:rsid w:val="00A94BA3"/>
    <w:rsid w:val="00A96CBA"/>
    <w:rsid w:val="00A97735"/>
    <w:rsid w:val="00AA609A"/>
    <w:rsid w:val="00AA6211"/>
    <w:rsid w:val="00AA7278"/>
    <w:rsid w:val="00AA74CE"/>
    <w:rsid w:val="00AB1ACD"/>
    <w:rsid w:val="00AB277F"/>
    <w:rsid w:val="00AB4099"/>
    <w:rsid w:val="00AB449A"/>
    <w:rsid w:val="00AB4959"/>
    <w:rsid w:val="00AB7D06"/>
    <w:rsid w:val="00AC130A"/>
    <w:rsid w:val="00AC1C70"/>
    <w:rsid w:val="00AC2C0D"/>
    <w:rsid w:val="00AD14F9"/>
    <w:rsid w:val="00AD2ABD"/>
    <w:rsid w:val="00AD35D6"/>
    <w:rsid w:val="00AD58C5"/>
    <w:rsid w:val="00AD62CA"/>
    <w:rsid w:val="00AE1DC2"/>
    <w:rsid w:val="00AE36C4"/>
    <w:rsid w:val="00AE472C"/>
    <w:rsid w:val="00AE479E"/>
    <w:rsid w:val="00AE508A"/>
    <w:rsid w:val="00AE5375"/>
    <w:rsid w:val="00AE6CF8"/>
    <w:rsid w:val="00AE7569"/>
    <w:rsid w:val="00AE7638"/>
    <w:rsid w:val="00AF097B"/>
    <w:rsid w:val="00AF33D5"/>
    <w:rsid w:val="00AF4BAC"/>
    <w:rsid w:val="00AF4CAC"/>
    <w:rsid w:val="00AF5910"/>
    <w:rsid w:val="00AF7AC1"/>
    <w:rsid w:val="00B013E9"/>
    <w:rsid w:val="00B02BE1"/>
    <w:rsid w:val="00B034D2"/>
    <w:rsid w:val="00B03E0D"/>
    <w:rsid w:val="00B054F8"/>
    <w:rsid w:val="00B068C8"/>
    <w:rsid w:val="00B07B63"/>
    <w:rsid w:val="00B11674"/>
    <w:rsid w:val="00B13221"/>
    <w:rsid w:val="00B1502F"/>
    <w:rsid w:val="00B15C93"/>
    <w:rsid w:val="00B17AD8"/>
    <w:rsid w:val="00B2219A"/>
    <w:rsid w:val="00B227DC"/>
    <w:rsid w:val="00B2334D"/>
    <w:rsid w:val="00B23550"/>
    <w:rsid w:val="00B24DFC"/>
    <w:rsid w:val="00B26210"/>
    <w:rsid w:val="00B2668D"/>
    <w:rsid w:val="00B347FD"/>
    <w:rsid w:val="00B3581B"/>
    <w:rsid w:val="00B36B81"/>
    <w:rsid w:val="00B36FEE"/>
    <w:rsid w:val="00B37C80"/>
    <w:rsid w:val="00B4117E"/>
    <w:rsid w:val="00B4146C"/>
    <w:rsid w:val="00B417AD"/>
    <w:rsid w:val="00B45677"/>
    <w:rsid w:val="00B45B84"/>
    <w:rsid w:val="00B46579"/>
    <w:rsid w:val="00B5092B"/>
    <w:rsid w:val="00B5168F"/>
    <w:rsid w:val="00B5194E"/>
    <w:rsid w:val="00B51AF5"/>
    <w:rsid w:val="00B531FC"/>
    <w:rsid w:val="00B55054"/>
    <w:rsid w:val="00B55347"/>
    <w:rsid w:val="00B5565A"/>
    <w:rsid w:val="00B57E5E"/>
    <w:rsid w:val="00B60AD9"/>
    <w:rsid w:val="00B61F37"/>
    <w:rsid w:val="00B676AD"/>
    <w:rsid w:val="00B7061E"/>
    <w:rsid w:val="00B75E00"/>
    <w:rsid w:val="00B76920"/>
    <w:rsid w:val="00B772D5"/>
    <w:rsid w:val="00B7770F"/>
    <w:rsid w:val="00B77A89"/>
    <w:rsid w:val="00B77B27"/>
    <w:rsid w:val="00B8134E"/>
    <w:rsid w:val="00B81B55"/>
    <w:rsid w:val="00B84613"/>
    <w:rsid w:val="00B8619B"/>
    <w:rsid w:val="00B87AF0"/>
    <w:rsid w:val="00B9037B"/>
    <w:rsid w:val="00B910BD"/>
    <w:rsid w:val="00B9251E"/>
    <w:rsid w:val="00B9276C"/>
    <w:rsid w:val="00B93834"/>
    <w:rsid w:val="00B93E2D"/>
    <w:rsid w:val="00B948FF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2C45"/>
    <w:rsid w:val="00BC3773"/>
    <w:rsid w:val="00BC381A"/>
    <w:rsid w:val="00BC385B"/>
    <w:rsid w:val="00BD0962"/>
    <w:rsid w:val="00BD1EED"/>
    <w:rsid w:val="00BD2CFA"/>
    <w:rsid w:val="00BE0B52"/>
    <w:rsid w:val="00BE264A"/>
    <w:rsid w:val="00BE468B"/>
    <w:rsid w:val="00BE5B52"/>
    <w:rsid w:val="00BF0DA2"/>
    <w:rsid w:val="00BF109C"/>
    <w:rsid w:val="00BF26A7"/>
    <w:rsid w:val="00BF34FA"/>
    <w:rsid w:val="00BF57FF"/>
    <w:rsid w:val="00C004B6"/>
    <w:rsid w:val="00C047A7"/>
    <w:rsid w:val="00C05DE5"/>
    <w:rsid w:val="00C06E7C"/>
    <w:rsid w:val="00C0743F"/>
    <w:rsid w:val="00C10549"/>
    <w:rsid w:val="00C122C7"/>
    <w:rsid w:val="00C15E2B"/>
    <w:rsid w:val="00C15E6B"/>
    <w:rsid w:val="00C309CE"/>
    <w:rsid w:val="00C32A0A"/>
    <w:rsid w:val="00C33027"/>
    <w:rsid w:val="00C37667"/>
    <w:rsid w:val="00C435DB"/>
    <w:rsid w:val="00C44D73"/>
    <w:rsid w:val="00C47BBB"/>
    <w:rsid w:val="00C47EE0"/>
    <w:rsid w:val="00C47F05"/>
    <w:rsid w:val="00C503B8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3EBA"/>
    <w:rsid w:val="00C64F7D"/>
    <w:rsid w:val="00C67309"/>
    <w:rsid w:val="00C714CB"/>
    <w:rsid w:val="00C72150"/>
    <w:rsid w:val="00C73161"/>
    <w:rsid w:val="00C74CC9"/>
    <w:rsid w:val="00C75887"/>
    <w:rsid w:val="00C7614E"/>
    <w:rsid w:val="00C7748A"/>
    <w:rsid w:val="00C77BF1"/>
    <w:rsid w:val="00C80D60"/>
    <w:rsid w:val="00C82FBD"/>
    <w:rsid w:val="00C839AD"/>
    <w:rsid w:val="00C83A1B"/>
    <w:rsid w:val="00C85267"/>
    <w:rsid w:val="00C85B77"/>
    <w:rsid w:val="00C8721B"/>
    <w:rsid w:val="00C9058C"/>
    <w:rsid w:val="00C91A30"/>
    <w:rsid w:val="00C92764"/>
    <w:rsid w:val="00C931A0"/>
    <w:rsid w:val="00C9372C"/>
    <w:rsid w:val="00C9470E"/>
    <w:rsid w:val="00C95CEB"/>
    <w:rsid w:val="00CA1054"/>
    <w:rsid w:val="00CA2682"/>
    <w:rsid w:val="00CA4466"/>
    <w:rsid w:val="00CA4F26"/>
    <w:rsid w:val="00CA63EB"/>
    <w:rsid w:val="00CA69F1"/>
    <w:rsid w:val="00CB266E"/>
    <w:rsid w:val="00CB51C6"/>
    <w:rsid w:val="00CB5506"/>
    <w:rsid w:val="00CB669B"/>
    <w:rsid w:val="00CB6991"/>
    <w:rsid w:val="00CC0487"/>
    <w:rsid w:val="00CC1E0C"/>
    <w:rsid w:val="00CC2780"/>
    <w:rsid w:val="00CC4984"/>
    <w:rsid w:val="00CC49CE"/>
    <w:rsid w:val="00CC4E15"/>
    <w:rsid w:val="00CC50FB"/>
    <w:rsid w:val="00CC6194"/>
    <w:rsid w:val="00CC6305"/>
    <w:rsid w:val="00CC69C3"/>
    <w:rsid w:val="00CC78A5"/>
    <w:rsid w:val="00CD0516"/>
    <w:rsid w:val="00CD4605"/>
    <w:rsid w:val="00CD756B"/>
    <w:rsid w:val="00CD7F25"/>
    <w:rsid w:val="00CE4671"/>
    <w:rsid w:val="00CE734F"/>
    <w:rsid w:val="00CF112E"/>
    <w:rsid w:val="00CF1236"/>
    <w:rsid w:val="00CF2234"/>
    <w:rsid w:val="00CF3B10"/>
    <w:rsid w:val="00CF3DDA"/>
    <w:rsid w:val="00CF4428"/>
    <w:rsid w:val="00CF4623"/>
    <w:rsid w:val="00CF5F4F"/>
    <w:rsid w:val="00D11406"/>
    <w:rsid w:val="00D2059C"/>
    <w:rsid w:val="00D218DC"/>
    <w:rsid w:val="00D21ABA"/>
    <w:rsid w:val="00D2412D"/>
    <w:rsid w:val="00D24E56"/>
    <w:rsid w:val="00D26962"/>
    <w:rsid w:val="00D2721D"/>
    <w:rsid w:val="00D31643"/>
    <w:rsid w:val="00D31AEB"/>
    <w:rsid w:val="00D32D41"/>
    <w:rsid w:val="00D32ECD"/>
    <w:rsid w:val="00D361E4"/>
    <w:rsid w:val="00D40E67"/>
    <w:rsid w:val="00D4154C"/>
    <w:rsid w:val="00D42A8F"/>
    <w:rsid w:val="00D4326C"/>
    <w:rsid w:val="00D439F6"/>
    <w:rsid w:val="00D43D51"/>
    <w:rsid w:val="00D459C6"/>
    <w:rsid w:val="00D50538"/>
    <w:rsid w:val="00D50729"/>
    <w:rsid w:val="00D50C19"/>
    <w:rsid w:val="00D51D04"/>
    <w:rsid w:val="00D52A1D"/>
    <w:rsid w:val="00D5379E"/>
    <w:rsid w:val="00D6224E"/>
    <w:rsid w:val="00D62643"/>
    <w:rsid w:val="00D63FD0"/>
    <w:rsid w:val="00D64C0F"/>
    <w:rsid w:val="00D66195"/>
    <w:rsid w:val="00D66DDC"/>
    <w:rsid w:val="00D72EFE"/>
    <w:rsid w:val="00D76227"/>
    <w:rsid w:val="00D76EE9"/>
    <w:rsid w:val="00D77702"/>
    <w:rsid w:val="00D77DF1"/>
    <w:rsid w:val="00D77F8C"/>
    <w:rsid w:val="00D82FC0"/>
    <w:rsid w:val="00D85CA9"/>
    <w:rsid w:val="00D86AFF"/>
    <w:rsid w:val="00D86DC0"/>
    <w:rsid w:val="00D9187A"/>
    <w:rsid w:val="00D95A44"/>
    <w:rsid w:val="00D95D16"/>
    <w:rsid w:val="00D9638C"/>
    <w:rsid w:val="00D97C76"/>
    <w:rsid w:val="00DA6F27"/>
    <w:rsid w:val="00DB02B4"/>
    <w:rsid w:val="00DB0A4C"/>
    <w:rsid w:val="00DB259A"/>
    <w:rsid w:val="00DB372A"/>
    <w:rsid w:val="00DB538D"/>
    <w:rsid w:val="00DC275C"/>
    <w:rsid w:val="00DC2E45"/>
    <w:rsid w:val="00DC4B0D"/>
    <w:rsid w:val="00DC5DC4"/>
    <w:rsid w:val="00DC73EA"/>
    <w:rsid w:val="00DC7FE1"/>
    <w:rsid w:val="00DD1133"/>
    <w:rsid w:val="00DD3F3F"/>
    <w:rsid w:val="00DD5572"/>
    <w:rsid w:val="00DD5D67"/>
    <w:rsid w:val="00DE5D80"/>
    <w:rsid w:val="00DF22BC"/>
    <w:rsid w:val="00DF58CD"/>
    <w:rsid w:val="00DF65DE"/>
    <w:rsid w:val="00DF75FD"/>
    <w:rsid w:val="00DF7672"/>
    <w:rsid w:val="00E016C6"/>
    <w:rsid w:val="00E019A5"/>
    <w:rsid w:val="00E01BCA"/>
    <w:rsid w:val="00E02EC8"/>
    <w:rsid w:val="00E037F5"/>
    <w:rsid w:val="00E03A2C"/>
    <w:rsid w:val="00E04ECB"/>
    <w:rsid w:val="00E05A09"/>
    <w:rsid w:val="00E06551"/>
    <w:rsid w:val="00E06CA1"/>
    <w:rsid w:val="00E10934"/>
    <w:rsid w:val="00E13266"/>
    <w:rsid w:val="00E13E62"/>
    <w:rsid w:val="00E14D12"/>
    <w:rsid w:val="00E1723E"/>
    <w:rsid w:val="00E172B8"/>
    <w:rsid w:val="00E17FB4"/>
    <w:rsid w:val="00E20B75"/>
    <w:rsid w:val="00E214F2"/>
    <w:rsid w:val="00E21FE3"/>
    <w:rsid w:val="00E2371E"/>
    <w:rsid w:val="00E24BD7"/>
    <w:rsid w:val="00E25BDE"/>
    <w:rsid w:val="00E26523"/>
    <w:rsid w:val="00E26809"/>
    <w:rsid w:val="00E3412D"/>
    <w:rsid w:val="00E356D8"/>
    <w:rsid w:val="00E36D2F"/>
    <w:rsid w:val="00E4206D"/>
    <w:rsid w:val="00E429D9"/>
    <w:rsid w:val="00E510B6"/>
    <w:rsid w:val="00E529F2"/>
    <w:rsid w:val="00E533C0"/>
    <w:rsid w:val="00E54C7F"/>
    <w:rsid w:val="00E57322"/>
    <w:rsid w:val="00E628CB"/>
    <w:rsid w:val="00E62AD9"/>
    <w:rsid w:val="00E62E0A"/>
    <w:rsid w:val="00E62FC4"/>
    <w:rsid w:val="00E638C8"/>
    <w:rsid w:val="00E64255"/>
    <w:rsid w:val="00E648C7"/>
    <w:rsid w:val="00E66628"/>
    <w:rsid w:val="00E716C0"/>
    <w:rsid w:val="00E71827"/>
    <w:rsid w:val="00E7509B"/>
    <w:rsid w:val="00E75A32"/>
    <w:rsid w:val="00E80D4C"/>
    <w:rsid w:val="00E82DE0"/>
    <w:rsid w:val="00E83A57"/>
    <w:rsid w:val="00E8621D"/>
    <w:rsid w:val="00E86590"/>
    <w:rsid w:val="00E901D3"/>
    <w:rsid w:val="00E907FF"/>
    <w:rsid w:val="00E91B15"/>
    <w:rsid w:val="00E95847"/>
    <w:rsid w:val="00EA09C0"/>
    <w:rsid w:val="00EA1A81"/>
    <w:rsid w:val="00EA42D1"/>
    <w:rsid w:val="00EA42EF"/>
    <w:rsid w:val="00EB2DD1"/>
    <w:rsid w:val="00EB5F7C"/>
    <w:rsid w:val="00EB6B37"/>
    <w:rsid w:val="00EC0931"/>
    <w:rsid w:val="00EC09DB"/>
    <w:rsid w:val="00EC29FE"/>
    <w:rsid w:val="00EC3C70"/>
    <w:rsid w:val="00ED3A3D"/>
    <w:rsid w:val="00ED538A"/>
    <w:rsid w:val="00ED613D"/>
    <w:rsid w:val="00ED6E05"/>
    <w:rsid w:val="00ED6FBC"/>
    <w:rsid w:val="00EE0821"/>
    <w:rsid w:val="00EE2F16"/>
    <w:rsid w:val="00EE3861"/>
    <w:rsid w:val="00EE79A5"/>
    <w:rsid w:val="00EF0ECD"/>
    <w:rsid w:val="00EF144C"/>
    <w:rsid w:val="00EF2E73"/>
    <w:rsid w:val="00EF2EDA"/>
    <w:rsid w:val="00EF7683"/>
    <w:rsid w:val="00EF7A2D"/>
    <w:rsid w:val="00F0363A"/>
    <w:rsid w:val="00F04F8D"/>
    <w:rsid w:val="00F0749A"/>
    <w:rsid w:val="00F1047E"/>
    <w:rsid w:val="00F10AD0"/>
    <w:rsid w:val="00F116CC"/>
    <w:rsid w:val="00F12BD1"/>
    <w:rsid w:val="00F15327"/>
    <w:rsid w:val="00F15B56"/>
    <w:rsid w:val="00F168CF"/>
    <w:rsid w:val="00F16EA1"/>
    <w:rsid w:val="00F23EE8"/>
    <w:rsid w:val="00F2555C"/>
    <w:rsid w:val="00F31DF3"/>
    <w:rsid w:val="00F3231B"/>
    <w:rsid w:val="00F33173"/>
    <w:rsid w:val="00F33AE5"/>
    <w:rsid w:val="00F3597D"/>
    <w:rsid w:val="00F36738"/>
    <w:rsid w:val="00F3793A"/>
    <w:rsid w:val="00F40840"/>
    <w:rsid w:val="00F41755"/>
    <w:rsid w:val="00F4376D"/>
    <w:rsid w:val="00F43C38"/>
    <w:rsid w:val="00F45399"/>
    <w:rsid w:val="00F45975"/>
    <w:rsid w:val="00F465EA"/>
    <w:rsid w:val="00F47E8A"/>
    <w:rsid w:val="00F51690"/>
    <w:rsid w:val="00F52D52"/>
    <w:rsid w:val="00F537F9"/>
    <w:rsid w:val="00F54E7B"/>
    <w:rsid w:val="00F55A88"/>
    <w:rsid w:val="00F63B32"/>
    <w:rsid w:val="00F70B07"/>
    <w:rsid w:val="00F74005"/>
    <w:rsid w:val="00F76884"/>
    <w:rsid w:val="00F779C8"/>
    <w:rsid w:val="00F83D24"/>
    <w:rsid w:val="00F83DD9"/>
    <w:rsid w:val="00F83F40"/>
    <w:rsid w:val="00F8606D"/>
    <w:rsid w:val="00F869EB"/>
    <w:rsid w:val="00F912CB"/>
    <w:rsid w:val="00F91D91"/>
    <w:rsid w:val="00F94FFC"/>
    <w:rsid w:val="00F95822"/>
    <w:rsid w:val="00FA0964"/>
    <w:rsid w:val="00FA0E06"/>
    <w:rsid w:val="00FA117A"/>
    <w:rsid w:val="00FA219B"/>
    <w:rsid w:val="00FA356B"/>
    <w:rsid w:val="00FA6AAE"/>
    <w:rsid w:val="00FA6AB5"/>
    <w:rsid w:val="00FB386A"/>
    <w:rsid w:val="00FB413E"/>
    <w:rsid w:val="00FB4B67"/>
    <w:rsid w:val="00FB5A6D"/>
    <w:rsid w:val="00FC0786"/>
    <w:rsid w:val="00FC49EF"/>
    <w:rsid w:val="00FD0FED"/>
    <w:rsid w:val="00FD5C8A"/>
    <w:rsid w:val="00FD6F59"/>
    <w:rsid w:val="00FD7941"/>
    <w:rsid w:val="00FE0084"/>
    <w:rsid w:val="00FE0177"/>
    <w:rsid w:val="00FE337D"/>
    <w:rsid w:val="00FE36E2"/>
    <w:rsid w:val="00FE5FA6"/>
    <w:rsid w:val="00FE7C6F"/>
    <w:rsid w:val="00FF11AD"/>
    <w:rsid w:val="00FF1AF8"/>
    <w:rsid w:val="00FF2971"/>
    <w:rsid w:val="00FF34D4"/>
    <w:rsid w:val="00FF712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pl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C231-8877-41AB-815F-473FCA6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2021-03-25T12:06:00Z</dcterms:created>
  <dcterms:modified xsi:type="dcterms:W3CDTF">2021-03-25T12:06:00Z</dcterms:modified>
</cp:coreProperties>
</file>