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BA0180" w14:textId="356AE75A" w:rsidR="00EA0595" w:rsidRPr="00EA0595" w:rsidRDefault="007511BF" w:rsidP="00EA0595">
      <w:pPr>
        <w:rPr>
          <w:rStyle w:val="Ppogrubienie"/>
        </w:rPr>
      </w:pPr>
      <w:r>
        <w:rPr>
          <w:rStyle w:val="Ppogrubienie"/>
        </w:rPr>
        <w:t xml:space="preserve"> </w:t>
      </w:r>
      <w:r>
        <w:rPr>
          <w:rStyle w:val="Ppogrubienie"/>
        </w:rPr>
        <w:tab/>
      </w:r>
      <w:r>
        <w:rPr>
          <w:rStyle w:val="Ppogrubienie"/>
        </w:rPr>
        <w:tab/>
      </w:r>
      <w:r>
        <w:rPr>
          <w:rStyle w:val="Ppogrubienie"/>
        </w:rPr>
        <w:tab/>
      </w:r>
      <w:r>
        <w:rPr>
          <w:rStyle w:val="Ppogrubienie"/>
        </w:rPr>
        <w:tab/>
      </w:r>
      <w:r>
        <w:rPr>
          <w:rStyle w:val="Ppogrubienie"/>
        </w:rPr>
        <w:tab/>
      </w:r>
      <w:r>
        <w:rPr>
          <w:rStyle w:val="Ppogrubienie"/>
        </w:rPr>
        <w:tab/>
      </w:r>
      <w:r>
        <w:rPr>
          <w:rStyle w:val="Ppogrubienie"/>
        </w:rPr>
        <w:tab/>
      </w:r>
      <w:r>
        <w:rPr>
          <w:rStyle w:val="Ppogrubienie"/>
        </w:rPr>
        <w:tab/>
      </w:r>
      <w:r>
        <w:rPr>
          <w:rStyle w:val="Ppogrubienie"/>
        </w:rPr>
        <w:tab/>
      </w:r>
      <w:r>
        <w:rPr>
          <w:rStyle w:val="Ppogrubienie"/>
        </w:rPr>
        <w:tab/>
      </w:r>
      <w:r>
        <w:rPr>
          <w:rStyle w:val="Ppogrubienie"/>
        </w:rPr>
        <w:tab/>
      </w:r>
      <w:r>
        <w:rPr>
          <w:rStyle w:val="Ppogrubienie"/>
        </w:rPr>
        <w:tab/>
      </w:r>
      <w:r>
        <w:rPr>
          <w:rStyle w:val="Ppogrubienie"/>
        </w:rPr>
        <w:tab/>
      </w:r>
      <w:r>
        <w:rPr>
          <w:rStyle w:val="Ppogrubienie"/>
        </w:rPr>
        <w:tab/>
      </w:r>
      <w:r>
        <w:rPr>
          <w:rStyle w:val="Ppogrubienie"/>
        </w:rPr>
        <w:tab/>
      </w:r>
      <w:r>
        <w:rPr>
          <w:rStyle w:val="Ppogrubienie"/>
        </w:rPr>
        <w:tab/>
      </w:r>
      <w:r>
        <w:rPr>
          <w:rStyle w:val="Ppogrubienie"/>
        </w:rPr>
        <w:tab/>
      </w:r>
      <w:r>
        <w:rPr>
          <w:rStyle w:val="Ppogrubienie"/>
        </w:rPr>
        <w:tab/>
      </w:r>
      <w:r>
        <w:rPr>
          <w:rStyle w:val="Ppogrubienie"/>
        </w:rPr>
        <w:tab/>
      </w:r>
      <w:r>
        <w:rPr>
          <w:rStyle w:val="Ppogrubienie"/>
        </w:rPr>
        <w:tab/>
      </w:r>
      <w:r>
        <w:rPr>
          <w:rStyle w:val="Ppogrubienie"/>
        </w:rPr>
        <w:tab/>
      </w:r>
      <w:r>
        <w:rPr>
          <w:rStyle w:val="Ppogrubienie"/>
        </w:rPr>
        <w:tab/>
      </w:r>
      <w:r>
        <w:rPr>
          <w:rStyle w:val="Ppogrubienie"/>
        </w:rPr>
        <w:tab/>
      </w:r>
      <w:r>
        <w:rPr>
          <w:rStyle w:val="Ppogrubienie"/>
        </w:rPr>
        <w:tab/>
      </w:r>
      <w:r>
        <w:rPr>
          <w:rStyle w:val="Ppogrubienie"/>
        </w:rPr>
        <w:tab/>
      </w:r>
      <w:r>
        <w:rPr>
          <w:rStyle w:val="Ppogrubienie"/>
        </w:rPr>
        <w:tab/>
      </w:r>
      <w:r>
        <w:rPr>
          <w:rStyle w:val="Ppogrubienie"/>
        </w:rPr>
        <w:tab/>
      </w:r>
      <w:r>
        <w:rPr>
          <w:rStyle w:val="Ppogrubienie"/>
        </w:rPr>
        <w:tab/>
      </w:r>
      <w:r>
        <w:rPr>
          <w:rStyle w:val="Ppogrubienie"/>
        </w:rPr>
        <w:tab/>
      </w:r>
      <w:r>
        <w:rPr>
          <w:rStyle w:val="Ppogrubienie"/>
        </w:rPr>
        <w:tab/>
      </w:r>
      <w:r>
        <w:rPr>
          <w:rStyle w:val="Ppogrubienie"/>
        </w:rPr>
        <w:tab/>
      </w:r>
      <w:r>
        <w:rPr>
          <w:rStyle w:val="Ppogrubienie"/>
        </w:rPr>
        <w:tab/>
      </w:r>
      <w:r w:rsidR="00EA0595" w:rsidRPr="00EA0595">
        <w:rPr>
          <w:rStyle w:val="Ppogrubienie"/>
        </w:rPr>
        <w:t xml:space="preserve">Projekt z dnia </w:t>
      </w:r>
      <w:r w:rsidR="00EA0595">
        <w:rPr>
          <w:rStyle w:val="Ppogrubienie"/>
        </w:rPr>
        <w:t>11</w:t>
      </w:r>
      <w:r w:rsidR="00EA0595" w:rsidRPr="00EA0595">
        <w:rPr>
          <w:rStyle w:val="Ppogrubienie"/>
        </w:rPr>
        <w:t xml:space="preserve"> lutego 2021 r.</w:t>
      </w:r>
    </w:p>
    <w:p w14:paraId="4C4CD5DB" w14:textId="77777777" w:rsidR="00EA0595" w:rsidRDefault="00EA0595" w:rsidP="00E07616">
      <w:pPr>
        <w:pStyle w:val="OZNRODZAKTUtznustawalubrozporzdzenieiorganwydajcy"/>
      </w:pPr>
    </w:p>
    <w:p w14:paraId="793CB4C4" w14:textId="77777777" w:rsidR="00E07616" w:rsidRPr="00E07616" w:rsidRDefault="00E07616" w:rsidP="00E07616">
      <w:pPr>
        <w:pStyle w:val="OZNRODZAKTUtznustawalubrozporzdzenieiorganwydajcy"/>
      </w:pPr>
      <w:r w:rsidRPr="00E07616">
        <w:t>ROZPORZĄDZENIE</w:t>
      </w:r>
    </w:p>
    <w:p w14:paraId="28EFBACA" w14:textId="77777777" w:rsidR="00E07616" w:rsidRPr="00E07616" w:rsidRDefault="00E07616" w:rsidP="00E07616">
      <w:pPr>
        <w:pStyle w:val="OZNRODZAKTUtznustawalubrozporzdzenieiorganwydajcy"/>
      </w:pPr>
      <w:r w:rsidRPr="00E07616">
        <w:t>MINISTRA CYFRYZACJI</w:t>
      </w:r>
      <w:r w:rsidRPr="00E07616">
        <w:rPr>
          <w:rStyle w:val="IGindeksgrny"/>
        </w:rPr>
        <w:footnoteReference w:id="1"/>
      </w:r>
      <w:r w:rsidRPr="00E07616">
        <w:rPr>
          <w:rStyle w:val="IGindeksgrny"/>
        </w:rPr>
        <w:t>)</w:t>
      </w:r>
    </w:p>
    <w:p w14:paraId="0FDDAD54" w14:textId="7B398D1F" w:rsidR="00E07616" w:rsidRPr="00E07616" w:rsidRDefault="00E07616" w:rsidP="00E07616">
      <w:pPr>
        <w:pStyle w:val="DATAAKTUdatauchwalenialubwydaniaaktu"/>
      </w:pPr>
      <w:r w:rsidRPr="00E07616">
        <w:t xml:space="preserve">z dnia                      </w:t>
      </w:r>
      <w:r w:rsidR="00860FB6">
        <w:t xml:space="preserve">2021 </w:t>
      </w:r>
      <w:r w:rsidRPr="00E07616">
        <w:t>r.</w:t>
      </w:r>
    </w:p>
    <w:p w14:paraId="464F301B" w14:textId="77777777" w:rsidR="00E07616" w:rsidRPr="00D05A35" w:rsidRDefault="00E07616" w:rsidP="007F7286">
      <w:pPr>
        <w:pStyle w:val="TYTUAKTUprzedmiotregulacjiustawylubrozporzdzenia"/>
      </w:pPr>
      <w:r w:rsidRPr="00D05A35">
        <w:t>w sprawie gwarantowanych dostępności oraz pojemności skrzynek doręczeń</w:t>
      </w:r>
    </w:p>
    <w:p w14:paraId="66F54550" w14:textId="3258BB7B" w:rsidR="00E07616" w:rsidRPr="00E07616" w:rsidRDefault="00E07616" w:rsidP="00E07616">
      <w:pPr>
        <w:pStyle w:val="NIEARTTEKSTtekstnieartykuowanynppodstprawnarozplubpreambua"/>
      </w:pPr>
      <w:r w:rsidRPr="00E07616">
        <w:t>Na podstawie art. 38 ust. 6 ustawy z dnia 18 listopada 2020 r. o doręczen</w:t>
      </w:r>
      <w:r w:rsidR="007511BF">
        <w:t xml:space="preserve">iach elektronicznych (Dz. U. </w:t>
      </w:r>
      <w:r w:rsidRPr="00E07616">
        <w:t xml:space="preserve">poz. </w:t>
      </w:r>
      <w:r w:rsidR="007511BF">
        <w:t>2320</w:t>
      </w:r>
      <w:r w:rsidRPr="00E07616">
        <w:t>) zarządza się, co następuje:</w:t>
      </w:r>
    </w:p>
    <w:p w14:paraId="6A70EF2B" w14:textId="77777777" w:rsidR="00E07616" w:rsidRPr="00E07616" w:rsidRDefault="00E07616" w:rsidP="00E07616">
      <w:pPr>
        <w:pStyle w:val="ARTartustawynprozporzdzenia"/>
        <w:keepNext/>
      </w:pPr>
      <w:r w:rsidRPr="00E07616">
        <w:rPr>
          <w:rStyle w:val="Ppogrubienie"/>
        </w:rPr>
        <w:t>§</w:t>
      </w:r>
      <w:r>
        <w:rPr>
          <w:rStyle w:val="Ppogrubienie"/>
        </w:rPr>
        <w:t> </w:t>
      </w:r>
      <w:r w:rsidRPr="00E07616">
        <w:rPr>
          <w:rStyle w:val="Ppogrubienie"/>
        </w:rPr>
        <w:t>1.</w:t>
      </w:r>
      <w:r w:rsidRPr="00E07616">
        <w:t xml:space="preserve"> Rozporządzenie określa:</w:t>
      </w:r>
    </w:p>
    <w:p w14:paraId="09942E0D" w14:textId="77777777" w:rsidR="00E07616" w:rsidRPr="00E07616" w:rsidRDefault="00E07616" w:rsidP="00E07616">
      <w:pPr>
        <w:pStyle w:val="PKTpunkt"/>
      </w:pPr>
      <w:r w:rsidRPr="00E07616">
        <w:t>1)</w:t>
      </w:r>
      <w:r w:rsidRPr="00E07616">
        <w:tab/>
        <w:t>gwarantowaną dostępność skrzynek doręczeń dla podmiotów publicznych oraz podmiotów niepublicznych;</w:t>
      </w:r>
    </w:p>
    <w:p w14:paraId="14B74BA4" w14:textId="77777777" w:rsidR="00E07616" w:rsidRPr="00E07616" w:rsidRDefault="00E07616" w:rsidP="00E07616">
      <w:pPr>
        <w:pStyle w:val="PKTpunkt"/>
      </w:pPr>
      <w:r w:rsidRPr="00E07616">
        <w:t>2)</w:t>
      </w:r>
      <w:r w:rsidRPr="00E07616">
        <w:tab/>
        <w:t>gwarantowaną pojemność skrzynek doręczeń dla podmiotów publicznych oraz podmiotów niepublicznych.</w:t>
      </w:r>
    </w:p>
    <w:p w14:paraId="56DD9EC7" w14:textId="6C65CAC1" w:rsidR="00E07616" w:rsidRPr="00E07616" w:rsidRDefault="00E07616" w:rsidP="00E07616">
      <w:pPr>
        <w:pStyle w:val="ARTartustawynprozporzdzenia"/>
      </w:pPr>
      <w:r w:rsidRPr="00E07616">
        <w:rPr>
          <w:rStyle w:val="Ppogrubienie"/>
        </w:rPr>
        <w:t>§</w:t>
      </w:r>
      <w:r>
        <w:rPr>
          <w:rStyle w:val="Ppogrubienie"/>
        </w:rPr>
        <w:t> </w:t>
      </w:r>
      <w:r w:rsidRPr="00E07616">
        <w:rPr>
          <w:rStyle w:val="Ppogrubienie"/>
        </w:rPr>
        <w:t>2.</w:t>
      </w:r>
      <w:r w:rsidRPr="00E07616">
        <w:t xml:space="preserve"> 1. Gwarantowana, minimalna dostępność skrzynki doręczeń podmiotu publicznego, przy założeniu braku korespondencji wysłanej i otrzymanej, wynosi </w:t>
      </w:r>
      <w:r w:rsidR="00EA0595" w:rsidRPr="00EA0595">
        <w:t>97,</w:t>
      </w:r>
      <w:sdt>
        <w:sdtPr>
          <w:tag w:val="goog_rdk_4"/>
          <w:id w:val="2131435737"/>
        </w:sdtPr>
        <w:sdtEndPr/>
        <w:sdtContent>
          <w:r w:rsidR="00EA0595" w:rsidRPr="00EA0595">
            <w:t>850</w:t>
          </w:r>
        </w:sdtContent>
      </w:sdt>
      <w:r w:rsidR="00EA0595">
        <w:t xml:space="preserve"> </w:t>
      </w:r>
      <w:r w:rsidRPr="00E07616">
        <w:t>%.</w:t>
      </w:r>
    </w:p>
    <w:p w14:paraId="0F212E15" w14:textId="422849F0" w:rsidR="00E07616" w:rsidRPr="00E07616" w:rsidRDefault="00E07616" w:rsidP="00E07616">
      <w:pPr>
        <w:pStyle w:val="USTustnpkodeksu"/>
      </w:pPr>
      <w:r w:rsidRPr="00E07616">
        <w:t xml:space="preserve">2. Gwarantowana, minimalna dostępność skrzynki doręczeń podmiotu niepublicznego, przy założeniu braku korespondencji wysłanej i otrzymanej, wynosi </w:t>
      </w:r>
      <w:r w:rsidR="00EA0595" w:rsidRPr="00EA0595">
        <w:t>97,850</w:t>
      </w:r>
      <w:r w:rsidR="00EA0595">
        <w:t xml:space="preserve"> </w:t>
      </w:r>
      <w:r w:rsidRPr="00E07616">
        <w:t>%.</w:t>
      </w:r>
    </w:p>
    <w:p w14:paraId="06F1A3CA" w14:textId="194F48F1" w:rsidR="00E07616" w:rsidRPr="00E07616" w:rsidRDefault="00E07616" w:rsidP="00E07616">
      <w:pPr>
        <w:pStyle w:val="USTustnpkodeksu"/>
      </w:pPr>
      <w:r w:rsidRPr="00E07616">
        <w:t>3. Wartość wskaźnika dostępności skrzynki doręczeń oblicza się według wzoru określonego w załączniku do rozporządzenia.</w:t>
      </w:r>
      <w:r w:rsidR="00806645">
        <w:t xml:space="preserve"> </w:t>
      </w:r>
      <w:r w:rsidR="00806645" w:rsidRPr="00806645">
        <w:t xml:space="preserve">Dostępność obliczana jest z wyłączeniem czasu niedostępności z przyczyn niezależnych od </w:t>
      </w:r>
      <w:r w:rsidR="0074612F">
        <w:t>o</w:t>
      </w:r>
      <w:r w:rsidR="00806645" w:rsidRPr="00806645">
        <w:t xml:space="preserve">peratora </w:t>
      </w:r>
      <w:r w:rsidR="0074612F">
        <w:t>w</w:t>
      </w:r>
      <w:r w:rsidR="00806645" w:rsidRPr="00806645">
        <w:t>yznaczonego</w:t>
      </w:r>
      <w:r w:rsidR="00806645">
        <w:t>.</w:t>
      </w:r>
    </w:p>
    <w:p w14:paraId="7F252CC8" w14:textId="404CF0D3" w:rsidR="00E07616" w:rsidRPr="004608DD" w:rsidRDefault="00E07616" w:rsidP="00670D0A">
      <w:pPr>
        <w:pStyle w:val="ARTartustawynprozporzdzenia"/>
        <w:rPr>
          <w:rStyle w:val="Ppogrubienie"/>
        </w:rPr>
      </w:pPr>
      <w:r w:rsidRPr="004608DD">
        <w:rPr>
          <w:rStyle w:val="Ppogrubienie"/>
        </w:rPr>
        <w:t>§ 3.</w:t>
      </w:r>
      <w:r w:rsidRPr="004608DD">
        <w:t xml:space="preserve"> </w:t>
      </w:r>
      <w:r w:rsidRPr="004608DD">
        <w:rPr>
          <w:rStyle w:val="Ppogrubienie"/>
          <w:b w:val="0"/>
        </w:rPr>
        <w:t xml:space="preserve">Czas przywrócenia </w:t>
      </w:r>
      <w:r w:rsidR="00920A99" w:rsidRPr="004608DD">
        <w:rPr>
          <w:rStyle w:val="Ppogrubienie"/>
          <w:b w:val="0"/>
        </w:rPr>
        <w:t>dostępności</w:t>
      </w:r>
      <w:r w:rsidRPr="004608DD">
        <w:rPr>
          <w:rStyle w:val="Ppogrubienie"/>
          <w:b w:val="0"/>
        </w:rPr>
        <w:t xml:space="preserve"> skrzynki doręczeń </w:t>
      </w:r>
      <w:r w:rsidR="00860FB6" w:rsidRPr="004608DD">
        <w:t>dla podmiotu publicznego oraz podmiotu niepublicznego</w:t>
      </w:r>
      <w:r w:rsidR="00860FB6" w:rsidRPr="004608DD">
        <w:rPr>
          <w:rStyle w:val="Ppogrubienie"/>
          <w:b w:val="0"/>
        </w:rPr>
        <w:t xml:space="preserve"> </w:t>
      </w:r>
      <w:r w:rsidRPr="004608DD">
        <w:rPr>
          <w:rStyle w:val="Ppogrubienie"/>
          <w:b w:val="0"/>
        </w:rPr>
        <w:t>po zaistnieniu nieplanowanej niedostępn</w:t>
      </w:r>
      <w:r w:rsidR="00806645" w:rsidRPr="004608DD">
        <w:rPr>
          <w:rStyle w:val="Ppogrubienie"/>
          <w:b w:val="0"/>
        </w:rPr>
        <w:t xml:space="preserve">ości wynosi maksymalnie </w:t>
      </w:r>
      <w:r w:rsidR="00806645" w:rsidRPr="004608DD">
        <w:t>4 godziny</w:t>
      </w:r>
      <w:r w:rsidRPr="004608DD">
        <w:rPr>
          <w:rStyle w:val="Ppogrubienie"/>
          <w:b w:val="0"/>
        </w:rPr>
        <w:t>.</w:t>
      </w:r>
    </w:p>
    <w:p w14:paraId="503401E5" w14:textId="77777777" w:rsidR="00E07616" w:rsidRPr="00E07616" w:rsidRDefault="00E07616" w:rsidP="007F7286">
      <w:pPr>
        <w:pStyle w:val="ARTartustawynprozporzdzenia"/>
      </w:pPr>
      <w:r w:rsidRPr="00E07616">
        <w:rPr>
          <w:rStyle w:val="Ppogrubienie"/>
        </w:rPr>
        <w:t>§</w:t>
      </w:r>
      <w:r>
        <w:rPr>
          <w:rStyle w:val="Ppogrubienie"/>
        </w:rPr>
        <w:t> </w:t>
      </w:r>
      <w:r w:rsidRPr="00E07616">
        <w:rPr>
          <w:rStyle w:val="Ppogrubienie"/>
        </w:rPr>
        <w:t xml:space="preserve">4. </w:t>
      </w:r>
      <w:r w:rsidRPr="007F7286">
        <w:rPr>
          <w:rStyle w:val="Ppogrubienie"/>
          <w:b w:val="0"/>
        </w:rPr>
        <w:t>1</w:t>
      </w:r>
      <w:r w:rsidRPr="007F7286">
        <w:t>.</w:t>
      </w:r>
      <w:r w:rsidRPr="00E07616">
        <w:t xml:space="preserve"> Operator wyznaczony może dokonywać planowanych prac serwisowych mających na celu wdrożenie nowych funkcjonalności skrzynki doręczeń lub podniesienie jakości usługi rejestrowanego doręczenia elektronicznego.</w:t>
      </w:r>
    </w:p>
    <w:p w14:paraId="7639972A" w14:textId="62BFAD23" w:rsidR="00E07616" w:rsidRPr="00E07616" w:rsidRDefault="00E07616" w:rsidP="004608DD">
      <w:pPr>
        <w:pStyle w:val="USTustnpkodeksu"/>
      </w:pPr>
      <w:r w:rsidRPr="00E07616">
        <w:lastRenderedPageBreak/>
        <w:t xml:space="preserve">2. </w:t>
      </w:r>
      <w:r w:rsidR="00806645" w:rsidRPr="00806645">
        <w:t xml:space="preserve">Planowane prace serwisowe, które </w:t>
      </w:r>
      <w:r w:rsidR="00806645" w:rsidRPr="00860FB6">
        <w:t>powodują</w:t>
      </w:r>
      <w:r w:rsidR="00806645" w:rsidRPr="00806645">
        <w:t xml:space="preserve"> niedostępność skrzynek doręczeń</w:t>
      </w:r>
      <w:r w:rsidR="0074612F">
        <w:t>,</w:t>
      </w:r>
      <w:r w:rsidR="00806645" w:rsidRPr="00806645">
        <w:t xml:space="preserve"> odbywają się w godzinach </w:t>
      </w:r>
      <w:sdt>
        <w:sdtPr>
          <w:tag w:val="goog_rdk_24"/>
          <w:id w:val="120579804"/>
        </w:sdtPr>
        <w:sdtEndPr/>
        <w:sdtContent>
          <w:r w:rsidR="00806645" w:rsidRPr="00806645">
            <w:t>00:30</w:t>
          </w:r>
        </w:sdtContent>
      </w:sdt>
      <w:sdt>
        <w:sdtPr>
          <w:tag w:val="goog_rdk_25"/>
          <w:id w:val="-1429806183"/>
        </w:sdtPr>
        <w:sdtEndPr/>
        <w:sdtContent>
          <w:sdt>
            <w:sdtPr>
              <w:tag w:val="goog_rdk_26"/>
              <w:id w:val="-129628999"/>
            </w:sdtPr>
            <w:sdtEndPr/>
            <w:sdtContent/>
          </w:sdt>
        </w:sdtContent>
      </w:sdt>
      <w:r w:rsidR="00806645" w:rsidRPr="00806645">
        <w:t xml:space="preserve"> – </w:t>
      </w:r>
      <w:sdt>
        <w:sdtPr>
          <w:tag w:val="goog_rdk_28"/>
          <w:id w:val="-1052611695"/>
        </w:sdtPr>
        <w:sdtEndPr/>
        <w:sdtContent>
          <w:r w:rsidR="00806645" w:rsidRPr="00806645">
            <w:t>6</w:t>
          </w:r>
        </w:sdtContent>
      </w:sdt>
      <w:r w:rsidR="00806645" w:rsidRPr="00806645">
        <w:t xml:space="preserve">:00 oraz są zgłaszane organowi sprawującemu nadzór nad publiczną usługą rejestrowanego doręczenia elektronicznego z co najmniej 24 godzinnym wyprzedzeniem. </w:t>
      </w:r>
      <w:sdt>
        <w:sdtPr>
          <w:tag w:val="goog_rdk_30"/>
          <w:id w:val="-1361201749"/>
        </w:sdtPr>
        <w:sdtEndPr/>
        <w:sdtContent>
          <w:r w:rsidR="00806645" w:rsidRPr="00806645">
            <w:t>W niedzielę planowane prace serwisowe odbywają się w godzinach 1</w:t>
          </w:r>
        </w:sdtContent>
      </w:sdt>
      <w:sdt>
        <w:sdtPr>
          <w:tag w:val="goog_rdk_31"/>
          <w:id w:val="-1060246769"/>
        </w:sdtPr>
        <w:sdtEndPr/>
        <w:sdtContent>
          <w:r w:rsidR="00806645" w:rsidRPr="00806645">
            <w:t>5</w:t>
          </w:r>
        </w:sdtContent>
      </w:sdt>
      <w:sdt>
        <w:sdtPr>
          <w:tag w:val="goog_rdk_32"/>
          <w:id w:val="243065693"/>
        </w:sdtPr>
        <w:sdtEndPr/>
        <w:sdtContent>
          <w:sdt>
            <w:sdtPr>
              <w:tag w:val="goog_rdk_33"/>
              <w:id w:val="-1090007570"/>
            </w:sdtPr>
            <w:sdtEndPr/>
            <w:sdtContent/>
          </w:sdt>
          <w:r w:rsidR="00806645" w:rsidRPr="00806645">
            <w:t xml:space="preserve">:00 </w:t>
          </w:r>
          <w:r w:rsidR="00462535" w:rsidRPr="00806645">
            <w:t>–</w:t>
          </w:r>
          <w:r w:rsidR="00806645" w:rsidRPr="00806645">
            <w:t xml:space="preserve"> </w:t>
          </w:r>
        </w:sdtContent>
      </w:sdt>
      <w:sdt>
        <w:sdtPr>
          <w:tag w:val="goog_rdk_34"/>
          <w:id w:val="-1849394145"/>
        </w:sdtPr>
        <w:sdtEndPr/>
        <w:sdtContent>
          <w:r w:rsidR="00806645" w:rsidRPr="00806645">
            <w:t>20</w:t>
          </w:r>
        </w:sdtContent>
      </w:sdt>
      <w:r w:rsidR="00806645" w:rsidRPr="00806645">
        <w:t>:00.</w:t>
      </w:r>
    </w:p>
    <w:p w14:paraId="6A992817" w14:textId="77777777" w:rsidR="004E2A44" w:rsidRDefault="00E07616" w:rsidP="004E2A44">
      <w:pPr>
        <w:pStyle w:val="USTustnpkodeksu"/>
      </w:pPr>
      <w:r w:rsidRPr="00E07616">
        <w:t>3. Jeżeli planowane prace serwisowe powodują niedostępność skrzynki doręczeń lub publicznej usługi rejestrowanego doręczenia elektronicznego, ich łączny czas dla tej</w:t>
      </w:r>
      <w:r w:rsidR="00806645">
        <w:t xml:space="preserve"> skrzynki nie może przekroczyć 5,5</w:t>
      </w:r>
      <w:r w:rsidRPr="00E07616">
        <w:t xml:space="preserve"> godzin tygodniowo dla podmiotu publicznego i 5 godzin tygodniowo dla podmiotu niepublicznego.</w:t>
      </w:r>
    </w:p>
    <w:p w14:paraId="4BF5D112" w14:textId="10A3F76A" w:rsidR="00E07616" w:rsidRPr="00E07616" w:rsidRDefault="00E07616" w:rsidP="004E2A44">
      <w:pPr>
        <w:pStyle w:val="USTustnpkodeksu"/>
      </w:pPr>
      <w:r w:rsidRPr="00E07616">
        <w:rPr>
          <w:rStyle w:val="Ppogrubienie"/>
        </w:rPr>
        <w:t>§</w:t>
      </w:r>
      <w:r>
        <w:rPr>
          <w:rStyle w:val="Ppogrubienie"/>
        </w:rPr>
        <w:t> </w:t>
      </w:r>
      <w:r w:rsidRPr="00E07616">
        <w:rPr>
          <w:rStyle w:val="Ppogrubienie"/>
        </w:rPr>
        <w:t>5.</w:t>
      </w:r>
      <w:r w:rsidRPr="00E07616">
        <w:t xml:space="preserve"> 1. Gwarantowana pojemność skrzynek doręczeń wynosi 15 GB dla podmiotów publicznych i </w:t>
      </w:r>
      <w:r w:rsidR="006C0032">
        <w:t>1</w:t>
      </w:r>
      <w:r w:rsidRPr="00E07616">
        <w:t xml:space="preserve"> GB dla podmiotów niepublicznych, w tym:</w:t>
      </w:r>
    </w:p>
    <w:p w14:paraId="30626CB7" w14:textId="4BBC88B9" w:rsidR="00E07616" w:rsidRPr="00E07616" w:rsidRDefault="00E07616" w:rsidP="00E07616">
      <w:pPr>
        <w:pStyle w:val="PKTpunkt"/>
      </w:pPr>
      <w:r w:rsidRPr="00E07616">
        <w:t>1)</w:t>
      </w:r>
      <w:r w:rsidRPr="00E07616">
        <w:tab/>
        <w:t xml:space="preserve">8 </w:t>
      </w:r>
      <w:r w:rsidR="006C0032">
        <w:t>GB dla podmiotów publicznych i 0</w:t>
      </w:r>
      <w:r w:rsidRPr="00E07616">
        <w:t>,</w:t>
      </w:r>
      <w:r w:rsidR="006C0032">
        <w:t>7</w:t>
      </w:r>
      <w:r w:rsidRPr="00E07616">
        <w:t xml:space="preserve">5 GB dla </w:t>
      </w:r>
      <w:r w:rsidR="006E125D">
        <w:t xml:space="preserve">podmiotów </w:t>
      </w:r>
      <w:r w:rsidRPr="00E07616">
        <w:t>niepublicznych podstawowej przestrzeni na korespondencję otrzymaną i wysłaną wraz z dowodami wysłania oraz dowodami otrzymania, a także na korespondencję usuniętą i roboczą;</w:t>
      </w:r>
    </w:p>
    <w:p w14:paraId="4AF185C4" w14:textId="1AD5F86D" w:rsidR="00E07616" w:rsidRPr="00E07616" w:rsidRDefault="00E07616" w:rsidP="00E07616">
      <w:pPr>
        <w:pStyle w:val="PKTpunkt"/>
      </w:pPr>
      <w:r w:rsidRPr="00E07616">
        <w:t>2)</w:t>
      </w:r>
      <w:r w:rsidRPr="00E07616">
        <w:tab/>
        <w:t>7 GB dla podmiotów publicznych i 0,</w:t>
      </w:r>
      <w:r w:rsidR="006C0032">
        <w:t>2</w:t>
      </w:r>
      <w:r w:rsidRPr="00E07616">
        <w:t xml:space="preserve">5 GB dla </w:t>
      </w:r>
      <w:r w:rsidR="006E125D">
        <w:t xml:space="preserve">podmiotów </w:t>
      </w:r>
      <w:r w:rsidRPr="00E07616">
        <w:t>niepublicznych przestrzeni zapasowej, używanej po zapełnieniu przestrzeni podstawowej i przeznaczonej na korespondencję:</w:t>
      </w:r>
    </w:p>
    <w:p w14:paraId="2EA58F83" w14:textId="3EC48306" w:rsidR="00E07616" w:rsidRPr="00E07616" w:rsidRDefault="007F7286" w:rsidP="007F7286">
      <w:pPr>
        <w:pStyle w:val="LITlitera"/>
      </w:pPr>
      <w:r>
        <w:t>a)</w:t>
      </w:r>
      <w:r w:rsidR="00462535">
        <w:tab/>
      </w:r>
      <w:r w:rsidR="00E07616" w:rsidRPr="00E07616">
        <w:t>w przypadku skrzynki doręczeń należącej do podmiotu publicznego – otrzymaną od dowolnego rodzaju podmiotów oraz powiązane z nią dowody wysłania oraz dowody otrzymania</w:t>
      </w:r>
      <w:r w:rsidR="00462535">
        <w:t>,</w:t>
      </w:r>
    </w:p>
    <w:p w14:paraId="207F703B" w14:textId="13E362B6" w:rsidR="00E07616" w:rsidRPr="00E07616" w:rsidRDefault="007F7286" w:rsidP="007F7286">
      <w:pPr>
        <w:pStyle w:val="LITlitera"/>
      </w:pPr>
      <w:r>
        <w:t>b)</w:t>
      </w:r>
      <w:r w:rsidR="00462535">
        <w:tab/>
      </w:r>
      <w:r w:rsidR="00E07616" w:rsidRPr="00E07616">
        <w:t>w przypadku skrzynki doręczeń należącej do podmiotu niepublicznego – otrzymaną od podmiotów publicznych oraz powiązane z nią dowody wysłania oraz dowody otrzymania.</w:t>
      </w:r>
    </w:p>
    <w:p w14:paraId="54014087" w14:textId="2CF3A4C1" w:rsidR="00E07616" w:rsidRPr="00E07616" w:rsidRDefault="00E07616" w:rsidP="00E07616">
      <w:pPr>
        <w:pStyle w:val="USTustnpkodeksu"/>
      </w:pPr>
      <w:r w:rsidRPr="00E07616">
        <w:t>2.</w:t>
      </w:r>
      <w:r w:rsidRPr="00E07616">
        <w:rPr>
          <w:rStyle w:val="Ppogrubienie"/>
        </w:rPr>
        <w:t xml:space="preserve"> </w:t>
      </w:r>
      <w:r w:rsidRPr="00E07616">
        <w:t xml:space="preserve">Operator wyznaczony </w:t>
      </w:r>
      <w:r w:rsidR="006E125D">
        <w:t>zapewniając</w:t>
      </w:r>
      <w:r w:rsidRPr="00E07616">
        <w:t xml:space="preserve"> gwarantowaną pojemność skrzyn</w:t>
      </w:r>
      <w:r w:rsidR="006E125D">
        <w:t>ki</w:t>
      </w:r>
      <w:r w:rsidRPr="00E07616">
        <w:t xml:space="preserve"> doręczeń </w:t>
      </w:r>
      <w:r w:rsidR="006E125D">
        <w:t>umożliwia użytkownikom</w:t>
      </w:r>
      <w:r w:rsidRPr="00E07616">
        <w:t xml:space="preserve"> archiwizowan</w:t>
      </w:r>
      <w:r w:rsidR="006E125D">
        <w:t>ie</w:t>
      </w:r>
      <w:r w:rsidRPr="00E07616">
        <w:t xml:space="preserve"> znajdującej się </w:t>
      </w:r>
      <w:r w:rsidR="006E125D">
        <w:t>w</w:t>
      </w:r>
      <w:r w:rsidRPr="00E07616">
        <w:t xml:space="preserve"> ni</w:t>
      </w:r>
      <w:r w:rsidR="006E125D">
        <w:t xml:space="preserve">ej korespondencji albo usuwanie </w:t>
      </w:r>
      <w:r w:rsidRPr="00E07616">
        <w:t>jej.</w:t>
      </w:r>
    </w:p>
    <w:p w14:paraId="4F15649E" w14:textId="1A044679" w:rsidR="00E07616" w:rsidRPr="00E07616" w:rsidRDefault="006E125D" w:rsidP="00E07616">
      <w:pPr>
        <w:pStyle w:val="USTustnpkodeksu"/>
      </w:pPr>
      <w:r>
        <w:t xml:space="preserve">3. Do </w:t>
      </w:r>
      <w:r w:rsidR="00E07616" w:rsidRPr="00E07616">
        <w:t xml:space="preserve">gwarantowanej pojemności skrzynek </w:t>
      </w:r>
      <w:r>
        <w:t xml:space="preserve">doręczeń </w:t>
      </w:r>
      <w:r w:rsidR="00E07616" w:rsidRPr="00E07616">
        <w:t xml:space="preserve">nie wlicza się przestrzeni na </w:t>
      </w:r>
      <w:r>
        <w:t>korespondencję oczekującą na pobranie</w:t>
      </w:r>
      <w:r w:rsidR="00E07616" w:rsidRPr="00E07616">
        <w:t xml:space="preserve"> </w:t>
      </w:r>
      <w:r>
        <w:t>w ramach</w:t>
      </w:r>
      <w:r w:rsidR="00E07616" w:rsidRPr="00E07616">
        <w:t xml:space="preserve"> publicznej usługi rejestrowanego doręczenia elektronicznego na skrzynkę doręczeń.</w:t>
      </w:r>
    </w:p>
    <w:p w14:paraId="02C1D89E" w14:textId="792428A5" w:rsidR="00E07616" w:rsidRPr="00E07616" w:rsidRDefault="00E07616" w:rsidP="00E07616">
      <w:pPr>
        <w:pStyle w:val="USTustnpkodeksu"/>
      </w:pPr>
      <w:r w:rsidRPr="00E07616">
        <w:t xml:space="preserve">4. Operator wyznaczony </w:t>
      </w:r>
      <w:r w:rsidR="006E125D">
        <w:t>zapewnia gwarantowaną</w:t>
      </w:r>
      <w:r w:rsidRPr="00E07616">
        <w:t xml:space="preserve"> pojemność skrzynek doręczeń od momentu ich aktywacji.</w:t>
      </w:r>
    </w:p>
    <w:p w14:paraId="619FE95B" w14:textId="77777777" w:rsidR="00E07616" w:rsidRPr="00E07616" w:rsidRDefault="00E07616" w:rsidP="00E07616">
      <w:pPr>
        <w:pStyle w:val="ARTartustawynprozporzdzenia"/>
      </w:pPr>
      <w:r w:rsidRPr="00E07616">
        <w:rPr>
          <w:rStyle w:val="Ppogrubienie"/>
        </w:rPr>
        <w:t>§</w:t>
      </w:r>
      <w:r>
        <w:rPr>
          <w:rStyle w:val="Ppogrubienie"/>
        </w:rPr>
        <w:t> </w:t>
      </w:r>
      <w:r w:rsidRPr="00E07616">
        <w:rPr>
          <w:rStyle w:val="Ppogrubienie"/>
        </w:rPr>
        <w:t>6.</w:t>
      </w:r>
      <w:r w:rsidRPr="00E07616">
        <w:t xml:space="preserve"> 1. Operator wyznaczony monitoruje na bieżąco zapotrzebowanie na wolną przestrzeń skrzynek doręczeń.</w:t>
      </w:r>
    </w:p>
    <w:p w14:paraId="4EC83E99" w14:textId="77777777" w:rsidR="00E07616" w:rsidRPr="00E07616" w:rsidRDefault="00E07616" w:rsidP="00E07616">
      <w:pPr>
        <w:pStyle w:val="USTustnpkodeksu"/>
      </w:pPr>
      <w:r w:rsidRPr="00E07616">
        <w:lastRenderedPageBreak/>
        <w:t>2. Operator wyznaczony przed zapełnieniem przestrzeni podstawowej ostrzega użytkownika przed konsekwencjami zapełnienia skrzynki doręczeń.</w:t>
      </w:r>
    </w:p>
    <w:p w14:paraId="73164BB2" w14:textId="3200C516" w:rsidR="00E07616" w:rsidRPr="00E07616" w:rsidRDefault="00E07616" w:rsidP="00E07616">
      <w:pPr>
        <w:pStyle w:val="USTustnpkodeksu"/>
      </w:pPr>
      <w:r w:rsidRPr="00E07616">
        <w:t xml:space="preserve">3. Po zapełnieniu przestrzeni podstawowej skrzynka doręczeń pozwala użytkownikowi jedynie na odbieranie i usuwanie korespondencji. Jeżeli wiadomości są magazynowane w przestrzeni zapasowej użytkownik traci możliwość wysyłania </w:t>
      </w:r>
      <w:r w:rsidR="00D94612">
        <w:t>korespondencji</w:t>
      </w:r>
      <w:r w:rsidRPr="00E07616">
        <w:t xml:space="preserve"> do czasu zwolnienia przestrzeni na skrzynce doręczeń.</w:t>
      </w:r>
    </w:p>
    <w:p w14:paraId="145C2009" w14:textId="2D45BBBB" w:rsidR="00A44E13" w:rsidRPr="00E07616" w:rsidRDefault="00E07616" w:rsidP="00A44E13">
      <w:pPr>
        <w:pStyle w:val="USTustnpkodeksu"/>
      </w:pPr>
      <w:r w:rsidRPr="00E07616">
        <w:t xml:space="preserve">4. Przed zapełnieniem przestrzeni zapasowej operator wyznaczony informuje użytkownika, że będzie otrzymywał </w:t>
      </w:r>
      <w:r w:rsidR="00920A99">
        <w:t>korespondencję</w:t>
      </w:r>
      <w:r w:rsidRPr="00E07616">
        <w:t xml:space="preserve"> za pomocą innych kanałów.</w:t>
      </w:r>
    </w:p>
    <w:p w14:paraId="58820B1F" w14:textId="408AA595" w:rsidR="006C0032" w:rsidRPr="006C0032" w:rsidRDefault="00E07616" w:rsidP="00F22C66">
      <w:pPr>
        <w:pStyle w:val="ARTartustawynprozporzdzenia"/>
      </w:pPr>
      <w:r w:rsidRPr="00E07616">
        <w:rPr>
          <w:rStyle w:val="Ppogrubienie"/>
        </w:rPr>
        <w:t>§</w:t>
      </w:r>
      <w:r>
        <w:rPr>
          <w:rStyle w:val="Ppogrubienie"/>
        </w:rPr>
        <w:t> </w:t>
      </w:r>
      <w:r w:rsidRPr="00E07616">
        <w:rPr>
          <w:rStyle w:val="Ppogrubienie"/>
        </w:rPr>
        <w:t xml:space="preserve">7. </w:t>
      </w:r>
      <w:r w:rsidR="006C0032" w:rsidRPr="006C0032">
        <w:t>Operator wyznaczony zapewnia gwarantowaną pojemność oraz gwarantowaną dostępność skrzynek doręczeń od momentu ich aktywacji.</w:t>
      </w:r>
    </w:p>
    <w:p w14:paraId="20C08F43" w14:textId="44D1D515" w:rsidR="00E07616" w:rsidRPr="00F22C66" w:rsidRDefault="006C0032" w:rsidP="00F22C66">
      <w:pPr>
        <w:pStyle w:val="ARTartustawynprozporzdzenia"/>
      </w:pPr>
      <w:r w:rsidRPr="00F22C66">
        <w:rPr>
          <w:rStyle w:val="Ppogrubienie"/>
        </w:rPr>
        <w:t>§ 8.</w:t>
      </w:r>
      <w:r w:rsidRPr="00F22C66">
        <w:t xml:space="preserve"> </w:t>
      </w:r>
      <w:r w:rsidR="00E07616" w:rsidRPr="00F22C66">
        <w:t xml:space="preserve">Rozporządzenie wchodzi w życie z dniem </w:t>
      </w:r>
      <w:r w:rsidR="005F3DA7" w:rsidRPr="00F22C66">
        <w:t>następującym po dniu ogłoszenia</w:t>
      </w:r>
      <w:r w:rsidR="00E07616" w:rsidRPr="00F22C66">
        <w:t>.</w:t>
      </w:r>
    </w:p>
    <w:p w14:paraId="76FFE6F8" w14:textId="77777777" w:rsidR="007F7286" w:rsidRDefault="007F7286" w:rsidP="00E07616">
      <w:pPr>
        <w:pStyle w:val="ARTartustawynprozporzdzenia"/>
        <w:keepNext/>
      </w:pPr>
    </w:p>
    <w:p w14:paraId="524CA078" w14:textId="77777777" w:rsidR="007F7286" w:rsidRPr="00E07616" w:rsidRDefault="007F7286" w:rsidP="00E07616">
      <w:pPr>
        <w:pStyle w:val="ARTartustawynprozporzdzenia"/>
        <w:keepNext/>
      </w:pPr>
    </w:p>
    <w:p w14:paraId="68030845" w14:textId="79BEBFC5" w:rsidR="00E07616" w:rsidRDefault="00E07616" w:rsidP="00541A54">
      <w:pPr>
        <w:pStyle w:val="NAZORGWYDnazwaorganuwydajcegoprojektowanyakt"/>
      </w:pPr>
      <w:r w:rsidRPr="00E07616">
        <w:t>MINISTER Cyfryzacji</w:t>
      </w:r>
    </w:p>
    <w:p w14:paraId="25CFDAD5" w14:textId="77777777" w:rsidR="00541A54" w:rsidRDefault="00541A54" w:rsidP="00541A54">
      <w:pPr>
        <w:pStyle w:val="NAZORGWYDnazwaorganuwydajcegoprojektowanyakt"/>
      </w:pPr>
    </w:p>
    <w:p w14:paraId="320AF75E" w14:textId="77777777" w:rsidR="00541A54" w:rsidRDefault="00541A54" w:rsidP="00541A54">
      <w:pPr>
        <w:pStyle w:val="NAZORGWYDnazwaorganuwydajcegoprojektowanyakt"/>
      </w:pPr>
    </w:p>
    <w:p w14:paraId="69C0B0C1" w14:textId="77777777" w:rsidR="00541A54" w:rsidRDefault="00541A54" w:rsidP="00541A54">
      <w:pPr>
        <w:pStyle w:val="NAZORGWYDnazwaorganuwydajcegoprojektowanyakt"/>
      </w:pPr>
    </w:p>
    <w:p w14:paraId="13317382" w14:textId="77777777" w:rsidR="00541A54" w:rsidRDefault="00541A54" w:rsidP="00541A54"/>
    <w:p w14:paraId="6B28FADF" w14:textId="77777777" w:rsidR="00541A54" w:rsidRPr="00541A54" w:rsidRDefault="00541A54" w:rsidP="00541A54">
      <w:r w:rsidRPr="00541A54">
        <w:t>ZA ZGODNOŚĆ POD WZGLĘDEM PRAWNYM,</w:t>
      </w:r>
    </w:p>
    <w:p w14:paraId="1E2D2324" w14:textId="77777777" w:rsidR="00541A54" w:rsidRPr="00541A54" w:rsidRDefault="00541A54" w:rsidP="00541A54">
      <w:r w:rsidRPr="00541A54">
        <w:t>REDAKCYJNYM I LEGISLACYJNYM</w:t>
      </w:r>
    </w:p>
    <w:p w14:paraId="44A9E5BC" w14:textId="77777777" w:rsidR="00541A54" w:rsidRDefault="00541A54" w:rsidP="00541A54">
      <w:r>
        <w:t>Aleksandra Wrochna</w:t>
      </w:r>
    </w:p>
    <w:p w14:paraId="44DF25FA" w14:textId="77777777" w:rsidR="00541A54" w:rsidRDefault="00541A54" w:rsidP="00541A54">
      <w:r>
        <w:t>Zastępca Dyrektora Departamentu Prawnego</w:t>
      </w:r>
    </w:p>
    <w:p w14:paraId="3FC0C901" w14:textId="77777777" w:rsidR="00541A54" w:rsidRDefault="00541A54" w:rsidP="00541A54">
      <w:r>
        <w:t>w Kancelarii Prezesa Rady Ministrów</w:t>
      </w:r>
    </w:p>
    <w:p w14:paraId="334257DC" w14:textId="61EBF564" w:rsidR="00541A54" w:rsidRPr="00D05A35" w:rsidRDefault="00541A54" w:rsidP="00541A54">
      <w:r>
        <w:t>/- podpisano elektronicznie/</w:t>
      </w:r>
    </w:p>
    <w:p w14:paraId="4B487019" w14:textId="77777777" w:rsidR="00541A54" w:rsidRDefault="00541A54">
      <w:pPr>
        <w:widowControl/>
        <w:autoSpaceDE/>
        <w:autoSpaceDN/>
        <w:adjustRightInd/>
      </w:pPr>
      <w:r>
        <w:br w:type="page"/>
      </w:r>
    </w:p>
    <w:p w14:paraId="57613F58" w14:textId="1EA6F060" w:rsidR="00E07616" w:rsidRPr="00E07616" w:rsidRDefault="00E07616" w:rsidP="002F0DB3">
      <w:pPr>
        <w:pStyle w:val="TEKSTZacznikido"/>
        <w:ind w:left="4536"/>
      </w:pPr>
      <w:r w:rsidRPr="00E07616">
        <w:lastRenderedPageBreak/>
        <w:t>Załącznik do rozporządzenia Ministra Cyfryzacji z dnia    202</w:t>
      </w:r>
      <w:r w:rsidR="00480E91">
        <w:t>1</w:t>
      </w:r>
      <w:r w:rsidRPr="00E07616">
        <w:t xml:space="preserve"> r. (Dz. U. </w:t>
      </w:r>
      <w:r w:rsidR="002F0DB3">
        <w:t xml:space="preserve">poz. </w:t>
      </w:r>
      <w:r w:rsidRPr="00E07616">
        <w:t>….)</w:t>
      </w:r>
    </w:p>
    <w:p w14:paraId="48C7EB9C" w14:textId="77777777" w:rsidR="00E07616" w:rsidRPr="00E07616" w:rsidRDefault="00E07616" w:rsidP="00E07616">
      <w:pPr>
        <w:pStyle w:val="ARTartustawynprozporzdzenia"/>
      </w:pPr>
      <w:r w:rsidRPr="00E07616">
        <w:t>1. Dostępność skrzynki doręczeń podmiotu publicznego i niepublicznego oblicza się według wzoru:</w:t>
      </w:r>
    </w:p>
    <w:p w14:paraId="38A694F1" w14:textId="77777777" w:rsidR="00E07616" w:rsidRPr="00E07616" w:rsidRDefault="00E07616" w:rsidP="00E07616">
      <w:pPr>
        <w:pStyle w:val="ARTartustawynprozporzdzenia"/>
      </w:pPr>
      <w:r w:rsidRPr="00560372">
        <w:rPr>
          <w:rStyle w:val="Kkursywa"/>
        </w:rPr>
        <w:t>dostępność rzeczywista</w:t>
      </w:r>
      <w:r w:rsidRPr="00E07616">
        <w:t xml:space="preserve"> = </w:t>
      </w:r>
      <m:oMath>
        <m:r>
          <m:rPr>
            <m:sty m:val="p"/>
          </m:rPr>
          <w:rPr>
            <w:rFonts w:ascii="Cambria Math" w:hAnsi="Cambria Math"/>
          </w:rPr>
          <m:t xml:space="preserve"> </m:t>
        </m:r>
        <m:f>
          <m:fPr>
            <m:ctrlPr>
              <w:rPr>
                <w:rFonts w:ascii="Cambria Math" w:hAnsi="Cambria Math"/>
              </w:rPr>
            </m:ctrlPr>
          </m:fPr>
          <m:num>
            <m:r>
              <m:rPr>
                <m:sty m:val="p"/>
              </m:rPr>
              <w:rPr>
                <w:rFonts w:ascii="Cambria Math" w:hAnsi="Cambria Math"/>
              </w:rPr>
              <m:t>OCD-DON</m:t>
            </m:r>
          </m:num>
          <m:den>
            <m:r>
              <m:rPr>
                <m:sty m:val="p"/>
              </m:rPr>
              <w:rPr>
                <w:rFonts w:ascii="Cambria Math" w:hAnsi="Cambria Math"/>
              </w:rPr>
              <m:t>OCD-(WW*WO)</m:t>
            </m:r>
          </m:den>
        </m:f>
        <m:r>
          <m:rPr>
            <m:sty m:val="p"/>
          </m:rPr>
          <w:rPr>
            <w:rFonts w:ascii="Cambria Math" w:hAnsi="Cambria Math"/>
          </w:rPr>
          <m:t>*100</m:t>
        </m:r>
      </m:oMath>
    </w:p>
    <w:p w14:paraId="69ACB026" w14:textId="77777777" w:rsidR="00E07616" w:rsidRPr="00E07616" w:rsidRDefault="00E07616" w:rsidP="00E07616">
      <w:pPr>
        <w:pStyle w:val="ARTartustawynprozporzdzenia"/>
        <w:rPr>
          <w:rStyle w:val="Ppogrubienie"/>
        </w:rPr>
      </w:pPr>
      <w:r w:rsidRPr="00E07616">
        <w:rPr>
          <w:rStyle w:val="Ppogrubienie"/>
        </w:rPr>
        <w:t>gdzie:</w:t>
      </w:r>
    </w:p>
    <w:p w14:paraId="20EE9067" w14:textId="77777777" w:rsidR="00E07616" w:rsidRPr="00F05828" w:rsidRDefault="00E07616" w:rsidP="00E07616">
      <w:pPr>
        <w:pStyle w:val="ARTartustawynprozporzdzenia"/>
      </w:pPr>
      <w:r w:rsidRPr="00F05828">
        <w:t>1) OCD oznacza oczekiwaną liczbę godzin działania usługi tygodniowo,</w:t>
      </w:r>
    </w:p>
    <w:p w14:paraId="7B2676C9" w14:textId="77777777" w:rsidR="00E07616" w:rsidRPr="00F05828" w:rsidRDefault="00E07616" w:rsidP="00E07616">
      <w:pPr>
        <w:pStyle w:val="ARTartustawynprozporzdzenia"/>
      </w:pPr>
      <w:r w:rsidRPr="00F05828">
        <w:t>2) DON oznacza dopuszczalny okres niedostępności nieplanowanej tygodniowo</w:t>
      </w:r>
    </w:p>
    <w:p w14:paraId="0DA80624" w14:textId="77777777" w:rsidR="00E07616" w:rsidRPr="00F05828" w:rsidRDefault="00E07616" w:rsidP="00E07616">
      <w:pPr>
        <w:pStyle w:val="ARTartustawynprozporzdzenia"/>
      </w:pPr>
      <w:r w:rsidRPr="00F05828">
        <w:t>3) WW oznacza rzeczywisty współczynnik wiadomości wysłanych tygodniowo</w:t>
      </w:r>
    </w:p>
    <w:p w14:paraId="02005625" w14:textId="77777777" w:rsidR="00E07616" w:rsidRPr="00F05828" w:rsidRDefault="00E07616" w:rsidP="00E07616">
      <w:pPr>
        <w:pStyle w:val="ARTartustawynprozporzdzenia"/>
      </w:pPr>
      <w:r w:rsidRPr="00F05828">
        <w:t>4) WO oznacza rzeczywisty współczynnik wiadomości odebranych tygodniowo</w:t>
      </w:r>
    </w:p>
    <w:p w14:paraId="61F56C5B" w14:textId="77777777" w:rsidR="00E07616" w:rsidRPr="00F05828" w:rsidRDefault="00E07616" w:rsidP="00E07616">
      <w:pPr>
        <w:pStyle w:val="ARTartustawynprozporzdzenia"/>
      </w:pPr>
      <w:r w:rsidRPr="00F05828">
        <w:t xml:space="preserve">2. Współczynnik WW oblicza się za pomocą wzoru: </w:t>
      </w:r>
      <m:oMath>
        <m:r>
          <m:rPr>
            <m:sty m:val="p"/>
          </m:rPr>
          <w:rPr>
            <w:rFonts w:ascii="Cambria Math" w:hAnsi="Cambria Math"/>
          </w:rPr>
          <m:t xml:space="preserve"> </m:t>
        </m:r>
        <m:f>
          <m:fPr>
            <m:ctrlPr>
              <w:rPr>
                <w:rFonts w:ascii="Cambria Math" w:hAnsi="Cambria Math"/>
              </w:rPr>
            </m:ctrlPr>
          </m:fPr>
          <m:num>
            <m:r>
              <m:rPr>
                <m:sty m:val="p"/>
              </m:rPr>
              <w:rPr>
                <w:rFonts w:ascii="Cambria Math" w:hAnsi="Cambria Math"/>
              </w:rPr>
              <m:t>liczba wiadomości wysłanych - 0,01</m:t>
            </m:r>
          </m:num>
          <m:den>
            <m:r>
              <m:rPr>
                <m:sty m:val="p"/>
              </m:rPr>
              <w:rPr>
                <w:rFonts w:ascii="Cambria Math" w:hAnsi="Cambria Math"/>
              </w:rPr>
              <m:t>liczba wszystkich prób wysyłki - 0,1</m:t>
            </m:r>
          </m:den>
        </m:f>
      </m:oMath>
      <w:r w:rsidRPr="00F05828">
        <w:t>.</w:t>
      </w:r>
    </w:p>
    <w:p w14:paraId="1F4AD1A1" w14:textId="77777777" w:rsidR="00E07616" w:rsidRPr="00E07616" w:rsidRDefault="00E07616" w:rsidP="00E07616">
      <w:pPr>
        <w:pStyle w:val="ARTartustawynprozporzdzenia"/>
      </w:pPr>
      <w:r w:rsidRPr="00F05828">
        <w:t>3. Współczynnik WO oblicza się za pomocą wzoru:</w:t>
      </w:r>
      <w:r w:rsidRPr="00E07616">
        <w:rPr>
          <w:rStyle w:val="Ppogrubienie"/>
        </w:rPr>
        <w:t xml:space="preserve"> </w:t>
      </w:r>
      <m:oMath>
        <m:r>
          <m:rPr>
            <m:sty m:val="p"/>
          </m:rPr>
          <w:rPr>
            <w:rFonts w:ascii="Cambria Math" w:hAnsi="Cambria Math"/>
          </w:rPr>
          <m:t xml:space="preserve"> </m:t>
        </m:r>
        <m:f>
          <m:fPr>
            <m:ctrlPr>
              <w:rPr>
                <w:rFonts w:ascii="Cambria Math" w:hAnsi="Cambria Math"/>
              </w:rPr>
            </m:ctrlPr>
          </m:fPr>
          <m:num>
            <m:r>
              <m:rPr>
                <m:sty m:val="p"/>
              </m:rPr>
              <w:rPr>
                <w:rFonts w:ascii="Cambria Math" w:hAnsi="Cambria Math"/>
              </w:rPr>
              <m:t>liczba wiadomości odebranych- 0,01</m:t>
            </m:r>
          </m:num>
          <m:den>
            <m:r>
              <m:rPr>
                <m:sty m:val="p"/>
              </m:rPr>
              <w:rPr>
                <w:rFonts w:ascii="Cambria Math" w:hAnsi="Cambria Math"/>
              </w:rPr>
              <m:t>liczba wszystkich prób odbioru - 0,1</m:t>
            </m:r>
          </m:den>
        </m:f>
      </m:oMath>
      <w:r w:rsidRPr="00E07616">
        <w:t>.</w:t>
      </w:r>
    </w:p>
    <w:p w14:paraId="12B94A64" w14:textId="5E57122F" w:rsidR="00541A54" w:rsidRPr="00541A54" w:rsidRDefault="00541A54" w:rsidP="004608DD">
      <w:pPr>
        <w:pStyle w:val="ARTartustawynprozporzdzenia"/>
      </w:pPr>
      <w:r w:rsidRPr="00541A54">
        <w:t>4. Przyjmuje się dla podmiotu publicznego i niepublicznego:</w:t>
      </w:r>
    </w:p>
    <w:p w14:paraId="6967A3B6" w14:textId="12C444AE" w:rsidR="00541A54" w:rsidRPr="00541A54" w:rsidRDefault="00541A54" w:rsidP="002F0DB3">
      <w:pPr>
        <w:ind w:left="709"/>
      </w:pPr>
      <w:r w:rsidRPr="00541A54">
        <w:t>OCD -  wartość 96,73% czasu tygodnia, tj. 162,5 godziny.</w:t>
      </w:r>
    </w:p>
    <w:p w14:paraId="48006A1A" w14:textId="513CA9F0" w:rsidR="00541A54" w:rsidRPr="00541A54" w:rsidRDefault="00541A54" w:rsidP="002F0DB3">
      <w:pPr>
        <w:ind w:left="709"/>
      </w:pPr>
      <w:r w:rsidRPr="00541A54">
        <w:t>DON -  wartość 2,08% czasu tygodnia, tj.  3,5 godziny.</w:t>
      </w:r>
    </w:p>
    <w:p w14:paraId="5705AAE5" w14:textId="19A524E5" w:rsidR="00E07616" w:rsidRPr="00E07616" w:rsidRDefault="00E07616" w:rsidP="00E07616">
      <w:r w:rsidRPr="00E07616">
        <w:br w:type="page"/>
      </w:r>
    </w:p>
    <w:p w14:paraId="188255CD" w14:textId="77777777" w:rsidR="00E07616" w:rsidRPr="00E07616" w:rsidRDefault="00E07616" w:rsidP="00E07616">
      <w:pPr>
        <w:pStyle w:val="CZKSIGAoznaczenieiprzedmiotczcilubksigi"/>
      </w:pPr>
      <w:r w:rsidRPr="00E07616">
        <w:lastRenderedPageBreak/>
        <w:t>Uzasadnienie</w:t>
      </w:r>
    </w:p>
    <w:p w14:paraId="5B226526" w14:textId="3DE283E6" w:rsidR="00E07616" w:rsidRPr="00F05828" w:rsidRDefault="00E07616" w:rsidP="00E07616">
      <w:pPr>
        <w:pStyle w:val="NIEARTTEKSTtekstnieartykuowanynppodstprawnarozplubpreambua"/>
      </w:pPr>
      <w:r w:rsidRPr="00F05828">
        <w:t xml:space="preserve">Projekt rozporządzenia stanowi wykonanie upoważnienia zwartego w art. 38 ust. 6 ustawy z dnia 18 listopada 2020 r. o doręczeniach elektronicznych (Dz. U. poz. </w:t>
      </w:r>
      <w:r w:rsidR="009E10C5">
        <w:t>2320</w:t>
      </w:r>
      <w:r w:rsidRPr="00F05828">
        <w:t>), zwanej dalej „ustawą o doręczeniach elektronicznych”.</w:t>
      </w:r>
    </w:p>
    <w:p w14:paraId="518F4E2D" w14:textId="033617BF" w:rsidR="00E07616" w:rsidRPr="00F05828" w:rsidRDefault="00E07616" w:rsidP="00E07616">
      <w:pPr>
        <w:pStyle w:val="NIEARTTEKSTtekstnieartykuowanynppodstprawnarozplubpreambua"/>
      </w:pPr>
      <w:r w:rsidRPr="00F05828">
        <w:t>Projektowane rozporządzenie określa gwarantowaną dostępność oraz gwarantowaną pojemność skrzynek doręczeń dla podmiotów publicznych oraz podmiotów niepublicznych, którą, zgodnie art. 38 ust. 1, ma obowiązek zapewnić Operator wyznaczony w związku ze świadczeniem publicznej usługi rejestrowanego doręczenia elektronicznego. Operator wyznaczony jest zobowiązany do zapewnienia systemu teleinformatycznego, w którym udostępniane są skrzynki doręczeń. System ten powinien spełniać wymagania określone w przepisach wydanych na podstawie art. 18 ustawy z dnia 17 lutego 2005 r. o informatyzacji działalności podmiotów realizujących zadania publiczne</w:t>
      </w:r>
      <w:r w:rsidR="00A410D7">
        <w:t xml:space="preserve"> (Dz. U. z</w:t>
      </w:r>
      <w:r w:rsidR="00A410D7" w:rsidRPr="00A410D7">
        <w:t xml:space="preserve"> 2020 r. poz. 346, </w:t>
      </w:r>
      <w:r w:rsidR="00A410D7">
        <w:t xml:space="preserve">z późn. zm.). </w:t>
      </w:r>
      <w:r w:rsidRPr="00F05828">
        <w:t>W przepisach ustawy o doręczeniach elektronicznych skrzynka doręczeń została zdefiniowana jako narzędzie umożliwiające wysyłanie, odbieranie i przechowywanie danych zgodnie ze standardem, o którym mowa w art. 26a ustawy z dnia 5 września 2016 r. o usługach zaufania oraz identyfikacji elektronicznej (Dz. U. z 2020 r. poz. 1173</w:t>
      </w:r>
      <w:r w:rsidR="00A410D7">
        <w:t>,</w:t>
      </w:r>
      <w:r w:rsidRPr="00F05828">
        <w:t xml:space="preserve"> z późn. zm.), w ramach publicznej usługi rejestrowanego doręczenia elektronicznego, a także w ramach publicznej usługi hybrydowej (art. 2 pkt 9).</w:t>
      </w:r>
    </w:p>
    <w:p w14:paraId="01B6F95B" w14:textId="77777777" w:rsidR="00E07616" w:rsidRPr="00F05828" w:rsidRDefault="00E07616" w:rsidP="00E07616">
      <w:pPr>
        <w:pStyle w:val="NIEARTTEKSTtekstnieartykuowanynppodstprawnarozplubpreambua"/>
      </w:pPr>
      <w:r w:rsidRPr="00F05828">
        <w:t>Zagwarantowanie dostępności i pojemności ma na celu zapewnienie podmiotom korzystającym z usług Operatora wyznaczonego niezbędnej dla wykonywanych przez nich zadań sprawności, mającej duże znaczenie zwłaszcza dla podmiotów publicznych, które zgodnie z art. 8 ustawy, posiadać mogą adres do doręczeń elektronicznych i przyporządkowaną do niego skrzynkę doręczeń jedynie w domenie Operatora wyznaczonego.</w:t>
      </w:r>
    </w:p>
    <w:p w14:paraId="6388C5D7" w14:textId="617D376D" w:rsidR="00E07616" w:rsidRPr="00F05828" w:rsidRDefault="00E07616" w:rsidP="00E07616">
      <w:pPr>
        <w:pStyle w:val="NIEARTTEKSTtekstnieartykuowanynppodstprawnarozplubpreambua"/>
      </w:pPr>
      <w:r w:rsidRPr="00F05828">
        <w:t>Wsparcie zadań podmiotu przez skrzynkę doręczeń wymaga zapewnienia funkcji, które wynikają z poszczególnych artykułów ustawy o doręczeniach elektronicznych:</w:t>
      </w:r>
    </w:p>
    <w:p w14:paraId="111AA247" w14:textId="3A149A59" w:rsidR="00E07616" w:rsidRPr="00F05828" w:rsidRDefault="00E07616" w:rsidP="00E07616">
      <w:pPr>
        <w:pStyle w:val="NIEARTTEKSTtekstnieartykuowanynppodstprawnarozplubpreambua"/>
      </w:pPr>
      <w:r w:rsidRPr="00F05828">
        <w:t>1</w:t>
      </w:r>
      <w:r w:rsidR="00CD38E3">
        <w:t>)</w:t>
      </w:r>
      <w:r w:rsidRPr="00F05828">
        <w:t> wysyłanie dokumentów elektronicznych przygotowanych w aplikacji klienckiej, tj. przekazywanie ich do publicznej usługi rejestrowanego doręczenia elektronicznego i publicznej usługi hybrydowej oraz odbieranie dokumentów elektronicznych i dowodów z publicznej usługi rejestrowanego doręczenia elektronicznego</w:t>
      </w:r>
      <w:r w:rsidR="00CD38E3">
        <w:t>;</w:t>
      </w:r>
    </w:p>
    <w:p w14:paraId="45D027C1" w14:textId="43720D0B" w:rsidR="00E07616" w:rsidRPr="00F05828" w:rsidRDefault="00E07616" w:rsidP="00E07616">
      <w:pPr>
        <w:pStyle w:val="NIEARTTEKSTtekstnieartykuowanynppodstprawnarozplubpreambua"/>
      </w:pPr>
      <w:r w:rsidRPr="00F05828">
        <w:t>2</w:t>
      </w:r>
      <w:r w:rsidR="00CD38E3">
        <w:t>)</w:t>
      </w:r>
      <w:r w:rsidRPr="00F05828">
        <w:t xml:space="preserve"> przechowywanie wysłanych i odebranych dokumentów elektronicznych oraz ich dowodów, zarządzanie konfiguracją skrzynki oraz definiowanie reguł przekazywania </w:t>
      </w:r>
      <w:r w:rsidRPr="00F05828">
        <w:lastRenderedPageBreak/>
        <w:t>korespondencji do innych systemów teleinformatycznych, o czym mowa w art. 19 ustawy o doręczeniach elektronicznych.</w:t>
      </w:r>
    </w:p>
    <w:p w14:paraId="5D91E629" w14:textId="07E2D5A8" w:rsidR="00E07616" w:rsidRPr="00F05828" w:rsidRDefault="00E07616" w:rsidP="00E07616">
      <w:pPr>
        <w:pStyle w:val="NIEARTTEKSTtekstnieartykuowanynppodstprawnarozplubpreambua"/>
      </w:pPr>
      <w:r w:rsidRPr="00F05828">
        <w:t>Podział funkcji na obie grupy uzasadniony jest przez art. 21 ustawy o doręczeniach elektronicznych, który opisuje przypadek odłączenia od skrzynki funkcji pierwszej grupy i pozostawienia czynnych funkcji należących do drugiej grupy.</w:t>
      </w:r>
    </w:p>
    <w:p w14:paraId="4137A4F0" w14:textId="77777777" w:rsidR="00E07616" w:rsidRPr="00F05828" w:rsidRDefault="00E07616" w:rsidP="00E07616">
      <w:pPr>
        <w:pStyle w:val="NIEARTTEKSTtekstnieartykuowanynppodstprawnarozplubpreambua"/>
      </w:pPr>
      <w:r w:rsidRPr="00F05828">
        <w:t>Regulacje w zakresie ustalania dostępności skrzynki doręczeń zostały przygotowane w oparciu o definicję dostępności IEEE (Institute of Electrical and Electronics Engineers), wg której dostępność oznacza gotowość systemu lub jednego z elementów do zrealizowania postawionego przed nim zadania. W myśl tej definicji pojęcie dostępności należy traktować jako prawdopodobieństwo trwania takiego stanu systemu, w którym może on wykonywać wymagane w danych warunkach i w danym momencie funkcje. Dostępność jest określana jako wartość procentowa odnosząca się do całkowitego okresu jego eksploatacji.</w:t>
      </w:r>
    </w:p>
    <w:p w14:paraId="0EBF5033" w14:textId="283B3AE3" w:rsidR="00E07616" w:rsidRPr="00F05828" w:rsidRDefault="00E07616" w:rsidP="00E07616">
      <w:pPr>
        <w:pStyle w:val="NIEARTTEKSTtekstnieartykuowanynppodstprawnarozplubpreambua"/>
      </w:pPr>
      <w:r w:rsidRPr="00F05828">
        <w:t>Powyższe założenia posłużyły do przyjęcia w rozporządzeniu sposobu mierzenia dostępności skrzynki mając na uwadze jej przeznaczenie określone w art. 2 pkt 9 ustawy o doręczeniach elektronicznych; w przypadku skrzynki doręczeń dostępność oznacza zdolność do wykonywania zarówno pierwszej jak i drugiej grupy wymienionych powyżej funkcji. Należy podkreślić, że istotniejsza jest dostępność pierwszej grupy funkcji, ponieważ konsekwencje niemożności wysłania lub odebrania wiadomości są dla posiadacza skrzynki - ze względu na stosowanie przepisów fikcji doręczenia - bardziej dotkliwe niż niedostępność funkcji przeszukiwania, porządkowania i przeglądania zgromadzonej korespondencji.</w:t>
      </w:r>
    </w:p>
    <w:p w14:paraId="5C74732A" w14:textId="0616A591" w:rsidR="00E07616" w:rsidRPr="00F05828" w:rsidRDefault="00E07616" w:rsidP="00E07616">
      <w:pPr>
        <w:pStyle w:val="NIEARTTEKSTtekstnieartykuowanynppodstprawnarozplubpreambua"/>
      </w:pPr>
      <w:r w:rsidRPr="00F05828">
        <w:t xml:space="preserve">Uzasadnione jest zatem, aby wzór obliczeniowy, przedstawiony w załączniku zawierał wyrażenia WW i WO, które mają ścisły związek z pierwszą grupą funkcji. Wyrażenie DON odnosi się natomiast głównie do dostępności powiązanej z dostępem użytkowników wymienionych w art. 19 ustawy </w:t>
      </w:r>
      <w:r w:rsidR="00815524" w:rsidRPr="00F05828">
        <w:t xml:space="preserve">o doręczeniach elektronicznych </w:t>
      </w:r>
      <w:r w:rsidRPr="00F05828">
        <w:t xml:space="preserve">do korespondencji już zgromadzonej na skrzynce. Dopiero wysoka dostępność obu grup funkcji przesądza o dostępności skrzynki doręczeń jako narzędzia zdefiniowanego w art. 2 </w:t>
      </w:r>
      <w:r w:rsidR="00665B6A">
        <w:t xml:space="preserve">pkt 9 </w:t>
      </w:r>
      <w:r w:rsidRPr="00F05828">
        <w:t>ustawy.</w:t>
      </w:r>
    </w:p>
    <w:p w14:paraId="5BB68680" w14:textId="096B2821" w:rsidR="00815524" w:rsidRDefault="00E07616" w:rsidP="004608DD">
      <w:pPr>
        <w:pStyle w:val="ARTartustawynprozporzdzenia"/>
      </w:pPr>
      <w:r w:rsidRPr="00F05828">
        <w:t xml:space="preserve">W projekcie rozporządzenia zaproponowano, aby gwarantowaną dostępności skrzynki doręczeń obliczać za </w:t>
      </w:r>
      <w:r w:rsidRPr="004608DD">
        <w:rPr>
          <w:bCs/>
        </w:rPr>
        <w:t>pomocą</w:t>
      </w:r>
      <w:r w:rsidRPr="00F05828">
        <w:t xml:space="preserve"> wzoru, w którym dwa parametry (OCD i DON) zróżnicowane są adekwatnie do różnic w potrzebach korespondencyjnych podmiotów publicznych i podmiotów niepublicznych (obywateli, przedsiębiorców i osób reprezentujących zawody zaufania publicznego).</w:t>
      </w:r>
    </w:p>
    <w:p w14:paraId="760723CE" w14:textId="6EEF3840" w:rsidR="00815524" w:rsidRPr="00860FB6" w:rsidRDefault="00541A54" w:rsidP="004608DD">
      <w:pPr>
        <w:pStyle w:val="ARTartustawynprozporzdzenia"/>
      </w:pPr>
      <w:r w:rsidRPr="00541A54">
        <w:lastRenderedPageBreak/>
        <w:t>Wzór obliczeniowy używa</w:t>
      </w:r>
      <w:sdt>
        <w:sdtPr>
          <w:rPr>
            <w:bCs/>
          </w:rPr>
          <w:tag w:val="goog_rdk_95"/>
          <w:id w:val="-1057854356"/>
        </w:sdtPr>
        <w:sdtEndPr/>
        <w:sdtContent>
          <w:r w:rsidRPr="00541A54">
            <w:t xml:space="preserve"> -</w:t>
          </w:r>
        </w:sdtContent>
      </w:sdt>
      <w:r w:rsidRPr="00541A54">
        <w:t xml:space="preserve"> zgodnie z wyżej zapisaną definicją dostępności</w:t>
      </w:r>
      <w:sdt>
        <w:sdtPr>
          <w:rPr>
            <w:bCs/>
          </w:rPr>
          <w:tag w:val="goog_rdk_97"/>
          <w:id w:val="-88314140"/>
        </w:sdtPr>
        <w:sdtEndPr/>
        <w:sdtContent>
          <w:r w:rsidRPr="00541A54">
            <w:t xml:space="preserve"> -</w:t>
          </w:r>
        </w:sdtContent>
      </w:sdt>
      <w:r w:rsidRPr="00541A54">
        <w:t xml:space="preserve"> </w:t>
      </w:r>
      <w:sdt>
        <w:sdtPr>
          <w:rPr>
            <w:bCs/>
          </w:rPr>
          <w:tag w:val="goog_rdk_99"/>
          <w:id w:val="-2080350298"/>
        </w:sdtPr>
        <w:sdtEndPr/>
        <w:sdtContent>
          <w:r w:rsidRPr="00541A54">
            <w:t xml:space="preserve">tygodni jako </w:t>
          </w:r>
        </w:sdtContent>
      </w:sdt>
      <w:r w:rsidRPr="00541A54">
        <w:t>jednostek pomiaru czasu eksploatacji. Przyjęcie tygodnia wynika z równej liczby godzin tej jednostki (168) i równej liczby tygodni w roku (52), co ułatwi mierzenie i raportowanie liczby godzin dostępności i niedostępności.</w:t>
      </w:r>
      <w:sdt>
        <w:sdtPr>
          <w:rPr>
            <w:bCs/>
          </w:rPr>
          <w:tag w:val="goog_rdk_101"/>
          <w:id w:val="528839211"/>
        </w:sdtPr>
        <w:sdtEndPr/>
        <w:sdtContent>
          <w:r w:rsidRPr="00541A54">
            <w:t xml:space="preserve"> Tydzień jest najmniejszą i niepodzielną jednostką pomiarową. Pomiar i raportowanie powinno zatem rozpocząć się z początkiem kalendarzowego tygodnia, a wynik pomiaru, skorygowany o wyłączenie zdarzeń z przyczyn niezależnych od Operatora wyznaczonego, powinien być dostępny w ostatni dzień tygodnia. Użycie danych zebranych dla danego dnia tygodnia jest zatem jednorazowe, co redukuje moc obliczeniową zużywaną w celu prowadzenia pomiarów.</w:t>
          </w:r>
        </w:sdtContent>
      </w:sdt>
    </w:p>
    <w:p w14:paraId="1D7FE8E4" w14:textId="6A4DED47" w:rsidR="00541A54" w:rsidRPr="00541A54" w:rsidRDefault="00541A54" w:rsidP="004608DD">
      <w:pPr>
        <w:pStyle w:val="NIEARTTEKSTtekstnieartykuowanynppodstprawnarozplubpreambua"/>
      </w:pPr>
      <w:r w:rsidRPr="00541A54">
        <w:t>Przyjęte we wzorze stałych wartości wyrażeń OCD i DON oraz wymagane pojemności skrzynek zostały dobrane drogą przeprowadzonych symulacji</w:t>
      </w:r>
      <w:sdt>
        <w:sdtPr>
          <w:rPr>
            <w:bCs w:val="0"/>
          </w:rPr>
          <w:tag w:val="goog_rdk_102"/>
          <w:id w:val="1048420027"/>
        </w:sdtPr>
        <w:sdtEndPr/>
        <w:sdtContent>
          <w:r w:rsidRPr="00541A54">
            <w:t xml:space="preserve"> popytu na dostępność publicznej usługi rejestrowanego doręczenia</w:t>
          </w:r>
        </w:sdtContent>
      </w:sdt>
      <w:r w:rsidRPr="00541A54">
        <w:t>.</w:t>
      </w:r>
      <w:r w:rsidR="00815524">
        <w:t xml:space="preserve"> </w:t>
      </w:r>
      <w:r w:rsidRPr="00541A54">
        <w:t>Natomiast wartości zmiennych dotyczących stanu aktualnego dobrano poprzez badanie rejestrów publicznych oraz wniosków i pism przesłanych platformą ePUAP.</w:t>
      </w:r>
    </w:p>
    <w:p w14:paraId="4F164746" w14:textId="77777777" w:rsidR="00541A54" w:rsidRPr="00541A54" w:rsidRDefault="00541A54" w:rsidP="004608DD">
      <w:pPr>
        <w:ind w:left="170" w:firstLine="397"/>
      </w:pPr>
      <w:r w:rsidRPr="00541A54">
        <w:t>Obliczenia opierały się na:</w:t>
      </w:r>
    </w:p>
    <w:p w14:paraId="24B9171B" w14:textId="77777777" w:rsidR="00541A54" w:rsidRPr="00541A54" w:rsidRDefault="00541A54" w:rsidP="00541A54">
      <w:r w:rsidRPr="00541A54">
        <w:t>– uśrednionej liczbie podmiotów-nadawców,</w:t>
      </w:r>
    </w:p>
    <w:p w14:paraId="6BB83601" w14:textId="77777777" w:rsidR="00541A54" w:rsidRPr="00541A54" w:rsidRDefault="00541A54" w:rsidP="00541A54">
      <w:r w:rsidRPr="00541A54">
        <w:t>– uśrednionej liczbie podmiotów-odbiorców,</w:t>
      </w:r>
    </w:p>
    <w:p w14:paraId="14FCC458" w14:textId="77777777" w:rsidR="00541A54" w:rsidRPr="00541A54" w:rsidRDefault="00541A54" w:rsidP="00541A54">
      <w:r w:rsidRPr="00541A54">
        <w:t>– uśrednionej liczbie pracowników obsługujących skrzynkę doręczeń,</w:t>
      </w:r>
    </w:p>
    <w:p w14:paraId="400520BC" w14:textId="77777777" w:rsidR="00541A54" w:rsidRPr="00541A54" w:rsidRDefault="00541A54" w:rsidP="00541A54">
      <w:r w:rsidRPr="00541A54">
        <w:t>– uśrednionej liczbie dokumentów elektronicznych przychodzących na dobę,</w:t>
      </w:r>
    </w:p>
    <w:p w14:paraId="1FC5B20D" w14:textId="77777777" w:rsidR="00541A54" w:rsidRPr="00541A54" w:rsidRDefault="00541A54" w:rsidP="00541A54">
      <w:r w:rsidRPr="00541A54">
        <w:t>– uśrednionej liczbie dokumentów elektronicznych wychodzących na dobę,</w:t>
      </w:r>
    </w:p>
    <w:p w14:paraId="7E4C69D2" w14:textId="77777777" w:rsidR="00541A54" w:rsidRPr="00541A54" w:rsidRDefault="00541A54" w:rsidP="00541A54">
      <w:r w:rsidRPr="00541A54">
        <w:t>– uśrednionej liczbie dokumentów elektronicznych usuwanych na dobę,</w:t>
      </w:r>
    </w:p>
    <w:p w14:paraId="548499F8" w14:textId="77777777" w:rsidR="00541A54" w:rsidRPr="00541A54" w:rsidRDefault="00541A54" w:rsidP="00541A54">
      <w:r w:rsidRPr="00541A54">
        <w:t>– minimalnej i maksymalnej objętości pojedynczego dokumentu elektronicznego,</w:t>
      </w:r>
    </w:p>
    <w:p w14:paraId="7E13A285" w14:textId="77777777" w:rsidR="00541A54" w:rsidRPr="00541A54" w:rsidRDefault="00541A54" w:rsidP="00860FB6">
      <w:pPr>
        <w:ind w:left="142" w:hanging="142"/>
      </w:pPr>
      <w:r w:rsidRPr="00541A54">
        <w:t>– zbiorczej objętości dowodów technicznych oraz dowodów wysłania i odebrania wystawionych dla dokumentu elektronicznego,</w:t>
      </w:r>
    </w:p>
    <w:p w14:paraId="15D09E75" w14:textId="4A94AAB6" w:rsidR="00815524" w:rsidRPr="00541A54" w:rsidRDefault="00541A54" w:rsidP="00860FB6">
      <w:pPr>
        <w:ind w:left="142" w:hanging="142"/>
      </w:pPr>
      <w:r w:rsidRPr="00541A54">
        <w:t>– standardowej dla tego rodzaju usług wartość MTTR (mean time-to-recovery, średni czas odzyskania sprawności po awarii).</w:t>
      </w:r>
    </w:p>
    <w:p w14:paraId="33A605AF" w14:textId="4465F3DD" w:rsidR="00541A54" w:rsidRPr="00815524" w:rsidRDefault="00541A54" w:rsidP="004608DD">
      <w:pPr>
        <w:pStyle w:val="ARTartustawynprozporzdzenia"/>
      </w:pPr>
      <w:r w:rsidRPr="00815524">
        <w:rPr>
          <w:rFonts w:ascii="Times New Roman" w:hAnsi="Times New Roman"/>
        </w:rPr>
        <w:t>Wartości dostępności gwarantowanej określone w § 2</w:t>
      </w:r>
      <w:r w:rsidR="004E633A">
        <w:rPr>
          <w:rFonts w:ascii="Times New Roman" w:hAnsi="Times New Roman"/>
        </w:rPr>
        <w:t xml:space="preserve"> </w:t>
      </w:r>
      <w:r w:rsidRPr="00815524">
        <w:rPr>
          <w:rFonts w:ascii="Times New Roman" w:hAnsi="Times New Roman"/>
        </w:rPr>
        <w:t xml:space="preserve">ust. 1 i 2 rozporządzenia zostały ustalone jako minimalne, przy założeniu, że WW i WO mają wartość 0. Założenie to uzasadnione jest tym, że Operator wyznaczony nie ma wpływu na liczbę wysyłanych i odbieranych przez użytkownika dokumentów elektronicznych, ale przesył dokumentów elektronicznych pomiędzy skrzynką doręczeń a jego własną usługą doręczenia elektronicznego pozostaje pod jego wyłączną kontrolą. Postać wzoru obliczeniowego powoduje, że skuteczne </w:t>
      </w:r>
      <w:r w:rsidRPr="00815524">
        <w:rPr>
          <w:rFonts w:ascii="Times New Roman" w:hAnsi="Times New Roman"/>
        </w:rPr>
        <w:lastRenderedPageBreak/>
        <w:t>(pomyślne) wysłanie lub odebranie dokumentu elektronicznego podwyższa rzeczywistą dostępność skrzynki, natomiast podjęcie próby zakończonej niepowodzeniem – nieznacznie ją obniża.</w:t>
      </w:r>
    </w:p>
    <w:p w14:paraId="0334C9F8" w14:textId="77777777" w:rsidR="00541A54" w:rsidRPr="00815524" w:rsidRDefault="00541A54" w:rsidP="004608DD">
      <w:pPr>
        <w:pStyle w:val="ARTartustawynprozporzdzenia"/>
      </w:pPr>
      <w:r w:rsidRPr="00815524">
        <w:rPr>
          <w:rFonts w:ascii="Times New Roman" w:hAnsi="Times New Roman"/>
        </w:rPr>
        <w:t>Przyjęcie wartości OCD na poziomie niższym niż 100%, a DON na poziomie wyższym niż 0% podyktowane jest utrudnieniami w budowie rozwiązań technicznych obsługujących dużą liczbę podmiotów, wynikającymi z konieczności zbudowania nadmiarowej zapasowej infrastruktury technicznej, która przejmuje obsługę procesów dostawcy natychmiast po wystąpieniu usterki w infrastrukturze podstawowej. Przyjęte wartości są kompromisem między potrzebami klientów Operatora wyznaczonego a kosztami, które gwałtownie rosną przy wartościach dostępności bliskich 100%.</w:t>
      </w:r>
    </w:p>
    <w:p w14:paraId="1B34D5D6" w14:textId="77CF735E" w:rsidR="00541A54" w:rsidRPr="00815524" w:rsidRDefault="00541A54" w:rsidP="004608DD">
      <w:pPr>
        <w:pStyle w:val="ARTartustawynprozporzdzenia"/>
      </w:pPr>
      <w:r w:rsidRPr="00815524">
        <w:rPr>
          <w:rFonts w:ascii="Times New Roman" w:hAnsi="Times New Roman"/>
        </w:rPr>
        <w:t xml:space="preserve">Stała wartość OCD mniejsza niż 100% ma także zachęcić Operatora wyznaczonego do przeznaczenia ok. 2% czasu tygodnia na </w:t>
      </w:r>
      <w:sdt>
        <w:sdtPr>
          <w:rPr>
            <w:rFonts w:ascii="Times New Roman" w:hAnsi="Times New Roman"/>
          </w:rPr>
          <w:tag w:val="goog_rdk_104"/>
          <w:id w:val="-4601399"/>
        </w:sdtPr>
        <w:sdtEndPr/>
        <w:sdtContent>
          <w:r w:rsidRPr="00815524">
            <w:rPr>
              <w:rFonts w:ascii="Times New Roman" w:hAnsi="Times New Roman"/>
            </w:rPr>
            <w:t>planowane</w:t>
          </w:r>
        </w:sdtContent>
      </w:sdt>
      <w:r w:rsidRPr="00815524">
        <w:rPr>
          <w:rFonts w:ascii="Times New Roman" w:hAnsi="Times New Roman"/>
        </w:rPr>
        <w:t xml:space="preserve"> prace serwisowe i rozwojowe.</w:t>
      </w:r>
    </w:p>
    <w:p w14:paraId="54FC22B3" w14:textId="5608677F" w:rsidR="00541A54" w:rsidRPr="00815524" w:rsidRDefault="00541A54" w:rsidP="004608DD">
      <w:pPr>
        <w:pStyle w:val="ARTartustawynprozporzdzenia"/>
      </w:pPr>
      <w:r w:rsidRPr="00815524">
        <w:rPr>
          <w:rFonts w:ascii="Times New Roman" w:hAnsi="Times New Roman"/>
        </w:rPr>
        <w:t>Do rozporządzenia wprowadzono regulację na wypadek nieplanowanej niedostępności skrzynki, wyznaczając operatorowi czas na przywrócenie sprawności skrzynki doręczeń do maksymalnie</w:t>
      </w:r>
      <w:sdt>
        <w:sdtPr>
          <w:rPr>
            <w:rFonts w:ascii="Times New Roman" w:hAnsi="Times New Roman"/>
          </w:rPr>
          <w:tag w:val="goog_rdk_106"/>
          <w:id w:val="-610359795"/>
        </w:sdtPr>
        <w:sdtEndPr/>
        <w:sdtContent>
          <w:r w:rsidRPr="00815524">
            <w:rPr>
              <w:rFonts w:ascii="Times New Roman" w:hAnsi="Times New Roman"/>
            </w:rPr>
            <w:t xml:space="preserve"> 4 godzin</w:t>
          </w:r>
        </w:sdtContent>
      </w:sdt>
      <w:r w:rsidRPr="00815524">
        <w:rPr>
          <w:rFonts w:ascii="Times New Roman" w:hAnsi="Times New Roman"/>
        </w:rPr>
        <w:t xml:space="preserve">, po zaistnieniu nieplanowanej niedostępności skrzynki. Regulacja uzasadniona jest tym, że choć łączny czas niedostępności nie przekracza limitu DON, to dłuższe niedostępności powodują większe straty dla podmiotów korzystających z usługi niż </w:t>
      </w:r>
      <w:sdt>
        <w:sdtPr>
          <w:rPr>
            <w:rFonts w:ascii="Times New Roman" w:hAnsi="Times New Roman"/>
          </w:rPr>
          <w:tag w:val="goog_rdk_108"/>
          <w:id w:val="-628628228"/>
        </w:sdtPr>
        <w:sdtEndPr/>
        <w:sdtContent>
          <w:r w:rsidRPr="00815524">
            <w:rPr>
              <w:rFonts w:ascii="Times New Roman" w:hAnsi="Times New Roman"/>
            </w:rPr>
            <w:t xml:space="preserve">awarie </w:t>
          </w:r>
        </w:sdtContent>
      </w:sdt>
      <w:r w:rsidRPr="00815524">
        <w:rPr>
          <w:rFonts w:ascii="Times New Roman" w:hAnsi="Times New Roman"/>
        </w:rPr>
        <w:t>częstsze</w:t>
      </w:r>
      <w:sdt>
        <w:sdtPr>
          <w:rPr>
            <w:rFonts w:ascii="Times New Roman" w:hAnsi="Times New Roman"/>
          </w:rPr>
          <w:tag w:val="goog_rdk_109"/>
          <w:id w:val="-17323457"/>
        </w:sdtPr>
        <w:sdtEndPr/>
        <w:sdtContent>
          <w:r w:rsidRPr="00815524">
            <w:rPr>
              <w:rFonts w:ascii="Times New Roman" w:hAnsi="Times New Roman"/>
            </w:rPr>
            <w:t>,</w:t>
          </w:r>
        </w:sdtContent>
      </w:sdt>
      <w:r w:rsidRPr="00815524">
        <w:rPr>
          <w:rFonts w:ascii="Times New Roman" w:hAnsi="Times New Roman"/>
        </w:rPr>
        <w:t xml:space="preserve"> ale krótsze. Dla tych podmiotów istotna jest nie tylko suma godzin niedostępności, lecz także niska granulacja poszczególnych okresów niedostępności w okresie tygodniowym.</w:t>
      </w:r>
      <w:sdt>
        <w:sdtPr>
          <w:rPr>
            <w:rFonts w:ascii="Times New Roman" w:hAnsi="Times New Roman"/>
          </w:rPr>
          <w:tag w:val="goog_rdk_110"/>
          <w:id w:val="-1486461430"/>
        </w:sdtPr>
        <w:sdtEndPr/>
        <w:sdtContent>
          <w:r w:rsidRPr="00815524">
            <w:rPr>
              <w:rFonts w:ascii="Times New Roman" w:hAnsi="Times New Roman"/>
            </w:rPr>
            <w:t xml:space="preserve"> W szczególności podmioty odbierające znaczny wolumen korespondencji mogłyby w przypadku dłuższego okresu niedostępności utracić możliwość zapoznania się z nią, co powodowałoby zaległości.</w:t>
          </w:r>
        </w:sdtContent>
      </w:sdt>
      <w:r w:rsidRPr="00815524">
        <w:rPr>
          <w:rFonts w:ascii="Times New Roman" w:hAnsi="Times New Roman"/>
        </w:rPr>
        <w:t xml:space="preserve"> Jeśli Operator wyznaczony</w:t>
      </w:r>
      <w:sdt>
        <w:sdtPr>
          <w:rPr>
            <w:rFonts w:ascii="Times New Roman" w:hAnsi="Times New Roman"/>
          </w:rPr>
          <w:tag w:val="goog_rdk_111"/>
          <w:id w:val="-171724342"/>
        </w:sdtPr>
        <w:sdtEndPr/>
        <w:sdtContent>
          <w:r w:rsidRPr="00815524">
            <w:rPr>
              <w:rFonts w:ascii="Times New Roman" w:hAnsi="Times New Roman"/>
            </w:rPr>
            <w:t xml:space="preserve"> w ramach gwarantowanej dostępności</w:t>
          </w:r>
        </w:sdtContent>
      </w:sdt>
      <w:r w:rsidRPr="00815524">
        <w:rPr>
          <w:rFonts w:ascii="Times New Roman" w:hAnsi="Times New Roman"/>
        </w:rPr>
        <w:t xml:space="preserve"> nie zapewniałby </w:t>
      </w:r>
      <w:sdt>
        <w:sdtPr>
          <w:rPr>
            <w:rFonts w:ascii="Times New Roman" w:hAnsi="Times New Roman"/>
          </w:rPr>
          <w:tag w:val="goog_rdk_112"/>
          <w:id w:val="-325749217"/>
        </w:sdtPr>
        <w:sdtEndPr/>
        <w:sdtContent>
          <w:r w:rsidRPr="00815524">
            <w:rPr>
              <w:rFonts w:ascii="Times New Roman" w:hAnsi="Times New Roman"/>
            </w:rPr>
            <w:t xml:space="preserve">podmiotom korzystającym ze skrzynek doręczeń </w:t>
          </w:r>
        </w:sdtContent>
      </w:sdt>
      <w:r w:rsidRPr="00815524">
        <w:rPr>
          <w:rFonts w:ascii="Times New Roman" w:hAnsi="Times New Roman"/>
        </w:rPr>
        <w:t xml:space="preserve">krótkiego czasu oczekiwania na przywrócenie </w:t>
      </w:r>
      <w:sdt>
        <w:sdtPr>
          <w:rPr>
            <w:rFonts w:ascii="Times New Roman" w:hAnsi="Times New Roman"/>
          </w:rPr>
          <w:tag w:val="goog_rdk_114"/>
          <w:id w:val="-940917362"/>
        </w:sdtPr>
        <w:sdtEndPr/>
        <w:sdtContent>
          <w:r w:rsidRPr="00815524">
            <w:rPr>
              <w:rFonts w:ascii="Times New Roman" w:hAnsi="Times New Roman"/>
            </w:rPr>
            <w:t xml:space="preserve">ich </w:t>
          </w:r>
        </w:sdtContent>
      </w:sdt>
      <w:r w:rsidRPr="00815524">
        <w:rPr>
          <w:rFonts w:ascii="Times New Roman" w:hAnsi="Times New Roman"/>
        </w:rPr>
        <w:t>sprawności, parametr OCD powinien być wyższy.</w:t>
      </w:r>
    </w:p>
    <w:p w14:paraId="67CC0118" w14:textId="164946C5" w:rsidR="00541A54" w:rsidRPr="00815524" w:rsidRDefault="00541A54" w:rsidP="004608DD">
      <w:pPr>
        <w:pStyle w:val="ARTartustawynprozporzdzenia"/>
      </w:pPr>
      <w:r w:rsidRPr="00815524">
        <w:rPr>
          <w:rFonts w:ascii="Times New Roman" w:hAnsi="Times New Roman"/>
        </w:rPr>
        <w:t>W § 4 ust. 1 rozporządzenia określono także zakres planowanej niedostępności skrzynki doręczeń, która będzie miała miejsce w przypadku prac serwisowych. W przepisie tym doprecyzowano rodzaj prac serwisowych</w:t>
      </w:r>
      <w:sdt>
        <w:sdtPr>
          <w:rPr>
            <w:rFonts w:ascii="Times New Roman" w:hAnsi="Times New Roman"/>
          </w:rPr>
          <w:tag w:val="goog_rdk_119"/>
          <w:id w:val="808141022"/>
        </w:sdtPr>
        <w:sdtEndPr/>
        <w:sdtContent>
          <w:r w:rsidRPr="00815524">
            <w:rPr>
              <w:rFonts w:ascii="Times New Roman" w:hAnsi="Times New Roman"/>
            </w:rPr>
            <w:t>,</w:t>
          </w:r>
        </w:sdtContent>
      </w:sdt>
      <w:r w:rsidRPr="00815524">
        <w:rPr>
          <w:rFonts w:ascii="Times New Roman" w:hAnsi="Times New Roman"/>
        </w:rPr>
        <w:t xml:space="preserve"> wyszczególniając wdrożenie nowych funkcjonalności skrzynki doręczeń lub podniesienie jakości usługi rejestrowanego doręczenia elektronicznego. </w:t>
      </w:r>
      <w:sdt>
        <w:sdtPr>
          <w:rPr>
            <w:rFonts w:ascii="Times New Roman" w:hAnsi="Times New Roman"/>
          </w:rPr>
          <w:tag w:val="goog_rdk_120"/>
          <w:id w:val="-550772348"/>
        </w:sdtPr>
        <w:sdtEndPr/>
        <w:sdtContent>
          <w:r w:rsidRPr="00815524">
            <w:rPr>
              <w:rFonts w:ascii="Times New Roman" w:hAnsi="Times New Roman"/>
            </w:rPr>
            <w:t xml:space="preserve">Operator wyznaczony może prowadzić planowane prace serwisowe po północy, a przed rozpoczęciem dnia roboczego oraz w niedzielę po zakończeniu dnia roboczego, tj. w porach najmniej uciążliwych dla podmiotów korzystających ze skrzynek doręczeń. </w:t>
          </w:r>
        </w:sdtContent>
      </w:sdt>
      <w:r w:rsidRPr="00815524">
        <w:rPr>
          <w:rFonts w:ascii="Times New Roman" w:hAnsi="Times New Roman"/>
        </w:rPr>
        <w:t xml:space="preserve">Planowane prace serwisowe powinny być zgłaszane organowi nadzoru z co najmniej </w:t>
      </w:r>
      <w:r w:rsidRPr="00815524">
        <w:rPr>
          <w:rFonts w:ascii="Times New Roman" w:hAnsi="Times New Roman"/>
        </w:rPr>
        <w:lastRenderedPageBreak/>
        <w:t>24</w:t>
      </w:r>
      <w:sdt>
        <w:sdtPr>
          <w:rPr>
            <w:rFonts w:ascii="Times New Roman" w:hAnsi="Times New Roman"/>
          </w:rPr>
          <w:tag w:val="goog_rdk_122"/>
          <w:id w:val="-1255657121"/>
        </w:sdtPr>
        <w:sdtEndPr/>
        <w:sdtContent>
          <w:r w:rsidRPr="00815524">
            <w:rPr>
              <w:rFonts w:ascii="Times New Roman" w:hAnsi="Times New Roman"/>
            </w:rPr>
            <w:t>-</w:t>
          </w:r>
        </w:sdtContent>
      </w:sdt>
      <w:r w:rsidRPr="00815524">
        <w:rPr>
          <w:rFonts w:ascii="Times New Roman" w:hAnsi="Times New Roman"/>
        </w:rPr>
        <w:t xml:space="preserve">godzinnym wyprzedzeniem. Regulacja wprowadza możliwość mitygacji ryzyka i ograniczenia strat dla </w:t>
      </w:r>
      <w:sdt>
        <w:sdtPr>
          <w:rPr>
            <w:rFonts w:ascii="Times New Roman" w:hAnsi="Times New Roman"/>
          </w:rPr>
          <w:tag w:val="goog_rdk_124"/>
          <w:id w:val="-1066100115"/>
        </w:sdtPr>
        <w:sdtEndPr/>
        <w:sdtContent>
          <w:r w:rsidRPr="00815524">
            <w:rPr>
              <w:rFonts w:ascii="Times New Roman" w:hAnsi="Times New Roman"/>
            </w:rPr>
            <w:t xml:space="preserve">podmiotów </w:t>
          </w:r>
        </w:sdtContent>
      </w:sdt>
      <w:r w:rsidRPr="00815524">
        <w:rPr>
          <w:rFonts w:ascii="Times New Roman" w:hAnsi="Times New Roman"/>
        </w:rPr>
        <w:t xml:space="preserve">korzystających </w:t>
      </w:r>
      <w:sdt>
        <w:sdtPr>
          <w:rPr>
            <w:rFonts w:ascii="Times New Roman" w:hAnsi="Times New Roman"/>
          </w:rPr>
          <w:tag w:val="goog_rdk_125"/>
          <w:id w:val="-1611654074"/>
        </w:sdtPr>
        <w:sdtEndPr/>
        <w:sdtContent>
          <w:r w:rsidRPr="00815524">
            <w:rPr>
              <w:rFonts w:ascii="Times New Roman" w:hAnsi="Times New Roman"/>
            </w:rPr>
            <w:t>ze skrzynek doręczeń</w:t>
          </w:r>
        </w:sdtContent>
      </w:sdt>
      <w:r w:rsidRPr="00815524">
        <w:rPr>
          <w:rFonts w:ascii="Times New Roman" w:hAnsi="Times New Roman"/>
        </w:rPr>
        <w:t>, jeśli o niedostępności planowanej dowiedzą się z wyprzedzeniem.</w:t>
      </w:r>
    </w:p>
    <w:p w14:paraId="795051AA" w14:textId="142CB31C" w:rsidR="00A44E13" w:rsidRPr="00815524" w:rsidRDefault="00A44E13" w:rsidP="004608DD">
      <w:pPr>
        <w:pStyle w:val="ARTartustawynprozporzdzenia"/>
      </w:pPr>
      <w:r w:rsidRPr="00815524">
        <w:rPr>
          <w:rFonts w:ascii="Times New Roman" w:hAnsi="Times New Roman"/>
        </w:rPr>
        <w:t xml:space="preserve">Zgodnie z art. 38 ust. 5 pkt 3 ustawy </w:t>
      </w:r>
      <w:r w:rsidR="00815524" w:rsidRPr="00F05828">
        <w:t>o doręczeniach elektronicznych</w:t>
      </w:r>
      <w:sdt>
        <w:sdtPr>
          <w:rPr>
            <w:rFonts w:ascii="Times New Roman" w:hAnsi="Times New Roman"/>
          </w:rPr>
          <w:tag w:val="goog_rdk_131"/>
          <w:id w:val="1601606442"/>
        </w:sdtPr>
        <w:sdtEndPr/>
        <w:sdtContent>
          <w:r w:rsidRPr="00815524">
            <w:rPr>
              <w:rFonts w:ascii="Times New Roman" w:hAnsi="Times New Roman"/>
            </w:rPr>
            <w:t>,</w:t>
          </w:r>
        </w:sdtContent>
      </w:sdt>
      <w:r w:rsidRPr="00815524">
        <w:rPr>
          <w:rFonts w:ascii="Times New Roman" w:hAnsi="Times New Roman"/>
        </w:rPr>
        <w:t xml:space="preserve"> Operator wyznaczony udostępnia podmiotom publicznym oraz podmiotom niepublicznym korzystającym z publicznej usługi rejestrowanego doręczenia elektronicznego skrzynki doręczeń, z obowiązkiem zapewnienia przechowywania wysłanych i odebranych danych w ramach gwarantowanej pojemności skrzynki doręczeń.</w:t>
      </w:r>
    </w:p>
    <w:p w14:paraId="7ED994C6" w14:textId="77777777" w:rsidR="00E07616" w:rsidRPr="00F05828" w:rsidRDefault="00E07616" w:rsidP="00E07616">
      <w:pPr>
        <w:pStyle w:val="NIEARTTEKSTtekstnieartykuowanynppodstprawnarozplubpreambua"/>
      </w:pPr>
      <w:r w:rsidRPr="00F05828">
        <w:t>Gwarantowana pojemność skrzynki doręczeń, wyrażana w gigabajtach, oznacza maksymalny wolumen danych, które można umieścić na skrzynce doręczeń w ramach usługi publicznej. Wolna przestrzeń skrzynki doręczeń jest różnicą pomiędzy pojemnością gwarantowaną a wielkością wolumenu zgromadzonych danych.</w:t>
      </w:r>
    </w:p>
    <w:p w14:paraId="7C2D6DA8" w14:textId="77777777" w:rsidR="00E07616" w:rsidRPr="00F05828" w:rsidRDefault="00E07616" w:rsidP="00E07616">
      <w:pPr>
        <w:pStyle w:val="NIEARTTEKSTtekstnieartykuowanynppodstprawnarozplubpreambua"/>
      </w:pPr>
      <w:r w:rsidRPr="00F05828">
        <w:t>W zakresie ustalania gwarantowanej pojemności skrzynki doręczeń przewidziano także rozróżnienie wielkości tej pojemności ze względu na podmiot zarządzający skrzynką (§ 5).</w:t>
      </w:r>
    </w:p>
    <w:p w14:paraId="75D4BE70" w14:textId="77777777" w:rsidR="00E07616" w:rsidRPr="00F05828" w:rsidRDefault="00E07616" w:rsidP="00E07616">
      <w:pPr>
        <w:pStyle w:val="NIEARTTEKSTtekstnieartykuowanynppodstprawnarozplubpreambua"/>
      </w:pPr>
      <w:r w:rsidRPr="00F05828">
        <w:t>Wartości przyjęte w rozporządzeniu dla gwarantowanej pojemności skrzynek wynikają ze zróżnicowania potrzeb korespondencyjnych podmiotów publicznych wyspecjalizowanych w obsłudze korespondencji wychodzącej i przychodzącej oraz archiwizowaniu jej i podmiotów niepublicznych, które wymagają nieco wyższej dostępności, a znacząco mniejszej pojemności.</w:t>
      </w:r>
    </w:p>
    <w:p w14:paraId="7D9ACAFD" w14:textId="77777777" w:rsidR="00E07616" w:rsidRPr="00F05828" w:rsidRDefault="00E07616" w:rsidP="00E07616">
      <w:pPr>
        <w:pStyle w:val="NIEARTTEKSTtekstnieartykuowanynppodstprawnarozplubpreambua"/>
      </w:pPr>
      <w:r w:rsidRPr="00F05828">
        <w:t>Dla podmiotów publicznych wyznaczono maksymalną pojemność 15 GB. Przy czym pojemność ta została podzielona na przestrzeń podstawową, która wyniesie 8 GB z przeznaczeniem na korespondencję otrzymaną i wysłaną wraz z dowodami wysłania oraz dowodami otrzymania, a także na korespondencję usuniętą i roboczą.</w:t>
      </w:r>
    </w:p>
    <w:p w14:paraId="366A594D" w14:textId="77777777" w:rsidR="00E07616" w:rsidRPr="00F05828" w:rsidRDefault="00E07616" w:rsidP="00E07616">
      <w:pPr>
        <w:pStyle w:val="NIEARTTEKSTtekstnieartykuowanynppodstprawnarozplubpreambua"/>
      </w:pPr>
      <w:r w:rsidRPr="00F05828">
        <w:t>W ramach gwarantowanej pojemności przeznaczono także 7 GB przestrzeni zapasowej, która będzie mogła być używana po zapełnieniu przestrzeni podstawowej, która przeznaczona na korespondencję otrzymaną od dowolnego rodzaju podmiotów oraz na powiązane z nią dowody wysłania oraz dowody otrzymania.</w:t>
      </w:r>
    </w:p>
    <w:p w14:paraId="28F0AF86" w14:textId="0E274A5A" w:rsidR="00E07616" w:rsidRPr="00F05828" w:rsidRDefault="00E07616" w:rsidP="00E07616">
      <w:pPr>
        <w:pStyle w:val="NIEARTTEKSTtekstnieartykuowanynppodstprawnarozplubpreambua"/>
      </w:pPr>
      <w:r w:rsidRPr="00F05828">
        <w:t>Dla podmiotów niepublicznych gwarantowana pojemność skrzynek doręczeń pro</w:t>
      </w:r>
      <w:r w:rsidR="00A44E13">
        <w:t>ponuje się ustalić na poziomie 1</w:t>
      </w:r>
      <w:r w:rsidRPr="00F05828">
        <w:t xml:space="preserve"> GB, również z podziałem na przestrzeń podstawową korespondencję otrzymaną, wysłaną, usuniętą, roboczą i związane z nią dowody wysłania oraz</w:t>
      </w:r>
      <w:r w:rsidR="00A44E13">
        <w:t xml:space="preserve"> dowody otrzymania w wielkości 0</w:t>
      </w:r>
      <w:r w:rsidRPr="00F05828">
        <w:t>,</w:t>
      </w:r>
      <w:r w:rsidR="00A44E13">
        <w:t>7</w:t>
      </w:r>
      <w:r w:rsidRPr="00F05828">
        <w:t>5 GB. Pozostałe 0,</w:t>
      </w:r>
      <w:r w:rsidR="00A44E13">
        <w:t>25</w:t>
      </w:r>
      <w:r w:rsidRPr="00F05828">
        <w:t xml:space="preserve"> GB przeznacza się na przestrzeń zapasową, używaną po zapełnieniu przestrzeni podstawowej, z zastrzeżeniem, że przestrzeń ta jest </w:t>
      </w:r>
      <w:r w:rsidRPr="00F05828">
        <w:lastRenderedPageBreak/>
        <w:t>zarezerwowana na wiadomości otrzymane od podmiotów publicznych oraz na powiązane z nimi dowody wysłania oraz dowody otrzymania.</w:t>
      </w:r>
    </w:p>
    <w:p w14:paraId="348A6546" w14:textId="77777777" w:rsidR="00E07616" w:rsidRPr="00F05828" w:rsidRDefault="00E07616" w:rsidP="00E07616">
      <w:pPr>
        <w:pStyle w:val="NIEARTTEKSTtekstnieartykuowanynppodstprawnarozplubpreambua"/>
      </w:pPr>
      <w:r w:rsidRPr="00F05828">
        <w:t>Jeśli Operator wyznaczony nie zapewniałby użytkownikom usługi możliwości usuwania i pobierania danych ze skrzynki, gwarantowane pojemności musiałyby być znacznie większe, aby poziom zapełnienia skrzynki nie powodował efektu ubocznego dla nadawców w postaci odmowy doręczenia korespondencji na adres do doręczeń elektronicznych adresata. Stąd wprowadzono dodatkową regulację w § 6 ust. 3 i przepisy mające na celu przeciwdziałanie zapełnianiu skrzynki doręczeń. W tym celu wskazano, ze operator wyznaczony ma za zadanie monitorować na bieżąco zapotrzebowanie na wolną przestrzeń skrzynek doręczeń. W przypadku zapełniania się przestrzeni podstawowej operator wyznaczony powinien ostrzegać użytkownika przed konsekwencjami zapełnienia skrzynki doręczeń. Natomiast po zapełnieniu przestrzeni podstawowej funkcjonalność skrzynki doręczeń zostanie ograniczono wyłącznie do odbierania i usuwania korespondencji. W tej sytuacji użytkownik będzie mógł wysyłać nowe wiadomości dopiero po zwolnieniu przestrzeni na skrzynce doręczeń.</w:t>
      </w:r>
    </w:p>
    <w:p w14:paraId="3C5BEDBF" w14:textId="77777777" w:rsidR="00E07616" w:rsidRPr="00F05828" w:rsidRDefault="00E07616" w:rsidP="00E07616">
      <w:pPr>
        <w:pStyle w:val="NIEARTTEKSTtekstnieartykuowanynppodstprawnarozplubpreambua"/>
      </w:pPr>
      <w:r w:rsidRPr="00F05828">
        <w:t>W przypadku dalszego zapełniania skrzynki przez użytkownika również w przestrzeni zapasowej, operator wyznaczony poinformuje informuje, że użytkownik będzie otrzymywał wiadomości za pomocą innych kanałów, przede wszystkim – kanału hybrydowego. Wynika to z wyższego priorytetu zasady o wykonalności doręczenia korespondencji przez nadawcę – adresatowi nad prawem wskazania kanału elektronicznego jako preferowanego przez adresata.</w:t>
      </w:r>
    </w:p>
    <w:p w14:paraId="2DBC7E85" w14:textId="77777777" w:rsidR="00E07616" w:rsidRPr="00F05828" w:rsidRDefault="00E07616" w:rsidP="00E07616">
      <w:pPr>
        <w:pStyle w:val="NIEARTTEKSTtekstnieartykuowanynppodstprawnarozplubpreambua"/>
      </w:pPr>
      <w:r w:rsidRPr="00F05828">
        <w:t>Wartość gwarantowanej pojemności jest w największej mierze zależna od oczekiwanej średniej objętości dokumentu elektronicznego, oczekiwanej liczby przetwarzanych dokumentów elektronicznych, ale jest także uzależniona od oczekiwanego tempa archiwizowania i usuwania ze skrzynki przez użytkownika zgromadzonej tam korespondencji. Przyjęte w symulacjach założenia pozwoliły na dobór wartości pojemności gwarantowanej na poziomie bezpiecznym, tj. nie powodującym przymuszenia użytkownika do odbierania ze skrzynki korespondencji z częstotliwością krótszą niż tygodniowa.</w:t>
      </w:r>
    </w:p>
    <w:p w14:paraId="334E8EC2" w14:textId="77777777" w:rsidR="00E07616" w:rsidRPr="00F05828" w:rsidRDefault="00E07616" w:rsidP="00E07616">
      <w:pPr>
        <w:pStyle w:val="NIEARTTEKSTtekstnieartykuowanynppodstprawnarozplubpreambua"/>
      </w:pPr>
      <w:r w:rsidRPr="00F05828">
        <w:t xml:space="preserve">W § 5 ust. 3 rozporządzenia doprecyzowano, że do gwarantowanej pojemności skrzynek nie będzie wliczana przestrzeń na wiadomości oczekujące na pobranie ich z usługi rejestrowanego doręczenia elektronicznego na skrzynkę doręczeń. Przestrzeń na wiadomości oczekujące na pobranie jest rozwiązaniem obejmującym wszystkich dostawców i należy ona do obszaru usługi rejestrowanego doręczenia elektronicznego, podczas gdy przestrzeń skrzynki </w:t>
      </w:r>
      <w:r w:rsidRPr="00F05828">
        <w:lastRenderedPageBreak/>
        <w:t>doręczeń znajduje się pod kontrolą użytkownika usługi. Przestrzenie te muszą zatem być traktowane rozdzielnie i nie jest dopuszczalne traktowanie ich lub łączenie w jedną całość.</w:t>
      </w:r>
    </w:p>
    <w:p w14:paraId="67C7652B" w14:textId="7430D26B" w:rsidR="00E07616" w:rsidRPr="00F05828" w:rsidRDefault="00E07616" w:rsidP="00E07616">
      <w:pPr>
        <w:pStyle w:val="NIEARTTEKSTtekstnieartykuowanynppodstprawnarozplubpreambua"/>
      </w:pPr>
      <w:r w:rsidRPr="00F05828">
        <w:t xml:space="preserve">Obowiązek monitorowania i wykonywania pomiaru stopnia zapełnienia skrzynki doręczeń został nałożony na </w:t>
      </w:r>
      <w:r w:rsidR="0074612F">
        <w:t>o</w:t>
      </w:r>
      <w:r w:rsidRPr="00F05828">
        <w:t>peratora wyznaczonego, ponieważ:</w:t>
      </w:r>
    </w:p>
    <w:p w14:paraId="67810167" w14:textId="4FE5FC49" w:rsidR="00E07616" w:rsidRPr="00F05828" w:rsidRDefault="00E07616" w:rsidP="00E07616">
      <w:pPr>
        <w:pStyle w:val="NIEARTTEKSTtekstnieartykuowanynppodstprawnarozplubpreambua"/>
      </w:pPr>
      <w:r w:rsidRPr="00F05828">
        <w:t>– również jego dotykają konsekwencje przepełnienia skrzynki (niemożność przekazania wiadomości, konieczność wykazania, że usługa nie została wykonana z winy adresata)</w:t>
      </w:r>
      <w:r w:rsidR="0046172A">
        <w:t>,</w:t>
      </w:r>
    </w:p>
    <w:p w14:paraId="5B1FC401" w14:textId="10055BC5" w:rsidR="00E07616" w:rsidRPr="00F05828" w:rsidRDefault="00E07616" w:rsidP="00E07616">
      <w:pPr>
        <w:pStyle w:val="NIEARTTEKSTtekstnieartykuowanynppodstprawnarozplubpreambua"/>
      </w:pPr>
      <w:r w:rsidRPr="00F05828">
        <w:t>– </w:t>
      </w:r>
      <w:r w:rsidR="0074612F">
        <w:t>o</w:t>
      </w:r>
      <w:r w:rsidRPr="00F05828">
        <w:t>perator wyznaczony może najszybciej i najskuteczniej reagować na ryzyko przekroczenia stanów alarmowych zapełnienia skrzynki.</w:t>
      </w:r>
    </w:p>
    <w:p w14:paraId="6CAF304E" w14:textId="77777777" w:rsidR="00E07616" w:rsidRPr="00F05828" w:rsidRDefault="00E07616" w:rsidP="00E07616">
      <w:pPr>
        <w:pStyle w:val="NIEARTTEKSTtekstnieartykuowanynppodstprawnarozplubpreambua"/>
      </w:pPr>
      <w:r w:rsidRPr="00F05828">
        <w:t>Reakcja Operatora wyznaczonego obejmuje wysłanie powiadomień i ograniczenie możliwości wysyłania korespondencji przez użytkownika. Dzięki temu rozwiązaniu możliwe jest zmniejszenie ryzyka obciążenia konsekwencjami problemu potencjalnych nadawców, którzy nie mogliby przesyłać kolejnych wiadomości do adresata, gdyby wyczerpał on całą dostępną przestrzeń oferowaną przez skrzynkę i usługę rejestrowanego doręczenia.</w:t>
      </w:r>
    </w:p>
    <w:p w14:paraId="17DD074A" w14:textId="77777777" w:rsidR="00E07616" w:rsidRPr="00F05828" w:rsidRDefault="00E07616" w:rsidP="00E07616">
      <w:pPr>
        <w:pStyle w:val="NIEARTTEKSTtekstnieartykuowanynppodstprawnarozplubpreambua"/>
      </w:pPr>
      <w:r w:rsidRPr="00F05828">
        <w:t>OSR projektu nie był oceniany w trybie § 32 uchwały nr 190 Rady Ministrów z dnia 29 października 2013 r. – Regulamin pracy Rady Ministrów (M. P. z 2016 r. poz. 1006, z późn. zm.).</w:t>
      </w:r>
    </w:p>
    <w:p w14:paraId="156D6B8A" w14:textId="77777777" w:rsidR="00E07616" w:rsidRPr="00F05828" w:rsidRDefault="00E07616" w:rsidP="00E07616">
      <w:pPr>
        <w:pStyle w:val="NIEARTTEKSTtekstnieartykuowanynppodstprawnarozplubpreambua"/>
      </w:pPr>
      <w:r w:rsidRPr="00F05828">
        <w:t>Projektowana regulacja nie zawiera przepisów technicznych w rozumieniu rozporządzenia Rady Ministrów z dnia 23 grudnia 2002 r. w sprawie sposobu funkcjonowania krajowego systemu notyfikacji norm i aktów prawnych (Dz. U. poz. 2039, z późn. zm.) i nie podlega notyfikacji Komisji Europejskiej.</w:t>
      </w:r>
    </w:p>
    <w:p w14:paraId="21C355D1" w14:textId="77777777" w:rsidR="00E07616" w:rsidRPr="00F05828" w:rsidRDefault="00E07616" w:rsidP="00E07616">
      <w:pPr>
        <w:pStyle w:val="NIEARTTEKSTtekstnieartykuowanynppodstprawnarozplubpreambua"/>
      </w:pPr>
      <w:r w:rsidRPr="00F05828">
        <w:t>Projektowana regulacja nie będzie wymagała notyfikacji Komisji Europejskiej w trybie ustawy z dnia 30 kwietnia 2004 r. o postępowaniu w sprawach dotyczących pomocy publicznej (Dz. U. z 2018 r. poz. 362, z 2019 r. poz. 730 i 1063 oraz z 2020 r. poz. 284).</w:t>
      </w:r>
    </w:p>
    <w:p w14:paraId="5DBFEDBE" w14:textId="77777777" w:rsidR="00E07616" w:rsidRPr="00F05828" w:rsidRDefault="00E07616" w:rsidP="00E07616">
      <w:pPr>
        <w:pStyle w:val="NIEARTTEKSTtekstnieartykuowanynppodstprawnarozplubpreambua"/>
      </w:pPr>
      <w:r w:rsidRPr="00F05828">
        <w:t>Projekt rozporządzenia nie jest sprzeczny z prawem Unii Europejskiej.</w:t>
      </w:r>
    </w:p>
    <w:p w14:paraId="2710826B" w14:textId="77777777" w:rsidR="00E07616" w:rsidRPr="00F05828" w:rsidRDefault="00E07616" w:rsidP="00E07616">
      <w:pPr>
        <w:pStyle w:val="NIEARTTEKSTtekstnieartykuowanynppodstprawnarozplubpreambua"/>
      </w:pPr>
      <w:r w:rsidRPr="00F05828">
        <w:t>Projekt rozporządzenia nie wymaga przedłożenia instytucjom i organom Unii Europejskiej, w tym Europejskiemu Bankowi Centralnemu, w celu uzyskania opinii, dokonania powiadomienia, konsultacji albo uzgodnienia.</w:t>
      </w:r>
    </w:p>
    <w:p w14:paraId="3F680808" w14:textId="77777777" w:rsidR="00E07616" w:rsidRPr="00F05828" w:rsidRDefault="00E07616" w:rsidP="00E07616">
      <w:pPr>
        <w:pStyle w:val="NIEARTTEKSTtekstnieartykuowanynppodstprawnarozplubpreambua"/>
      </w:pPr>
      <w:r w:rsidRPr="00F05828">
        <w:t xml:space="preserve">Projekt zostanie udostępniony w Biuletynie Informacji Publicznej na stronie internetowej Rządowego Centrum Legislacji w zakładce Rządowy Proces Legislacyjny zgodnie z § 52 uchwały nr 190 Rady Ministrów z dnia 29 października 2013 r. – Regulamin pracy Rady </w:t>
      </w:r>
      <w:r w:rsidRPr="00F05828">
        <w:lastRenderedPageBreak/>
        <w:t>Ministrów (M.P. z 2016 r. poz. 1006, z późn. zm.) oraz stosownie do wymogów art. 5 ustawy z dnia 7 lipca 2005 r. o działalności lobbingowej w procesie stanowienia prawa (Dz. U. z 2017 r. poz. 248) oraz w Biuletynie Informacji Publicznej na stronie podmiotowej Ministra Cyfryzacji.</w:t>
      </w:r>
    </w:p>
    <w:p w14:paraId="1508E77C" w14:textId="77777777" w:rsidR="00E07616" w:rsidRPr="00D05A35" w:rsidRDefault="00E07616" w:rsidP="00E07616">
      <w:r w:rsidRPr="00D05A35">
        <w:br w:type="page"/>
      </w:r>
    </w:p>
    <w:tbl>
      <w:tblPr>
        <w:tblW w:w="109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96"/>
        <w:gridCol w:w="460"/>
        <w:gridCol w:w="187"/>
        <w:gridCol w:w="890"/>
        <w:gridCol w:w="414"/>
        <w:gridCol w:w="134"/>
        <w:gridCol w:w="208"/>
        <w:gridCol w:w="383"/>
        <w:gridCol w:w="194"/>
        <w:gridCol w:w="360"/>
        <w:gridCol w:w="16"/>
        <w:gridCol w:w="269"/>
        <w:gridCol w:w="300"/>
        <w:gridCol w:w="353"/>
        <w:gridCol w:w="217"/>
        <w:gridCol w:w="570"/>
        <w:gridCol w:w="80"/>
        <w:gridCol w:w="71"/>
        <w:gridCol w:w="174"/>
        <w:gridCol w:w="245"/>
        <w:gridCol w:w="113"/>
        <w:gridCol w:w="405"/>
        <w:gridCol w:w="51"/>
        <w:gridCol w:w="570"/>
        <w:gridCol w:w="317"/>
        <w:gridCol w:w="253"/>
        <w:gridCol w:w="570"/>
        <w:gridCol w:w="115"/>
        <w:gridCol w:w="1401"/>
      </w:tblGrid>
      <w:tr w:rsidR="00E07616" w:rsidRPr="0000175D" w14:paraId="7E39BFEB" w14:textId="77777777" w:rsidTr="00DF3E14">
        <w:trPr>
          <w:trHeight w:val="1611"/>
          <w:jc w:val="center"/>
        </w:trPr>
        <w:tc>
          <w:tcPr>
            <w:tcW w:w="6631" w:type="dxa"/>
            <w:gridSpan w:val="17"/>
          </w:tcPr>
          <w:p w14:paraId="11A54BF4" w14:textId="7FECB93F" w:rsidR="00E07616" w:rsidRPr="00DF3E14" w:rsidRDefault="00E07616" w:rsidP="00DF3E14">
            <w:pPr>
              <w:rPr>
                <w:rStyle w:val="Ppogrubienie"/>
              </w:rPr>
            </w:pPr>
            <w:bookmarkStart w:id="0" w:name="t1"/>
            <w:r w:rsidRPr="00DF3E14">
              <w:rPr>
                <w:rStyle w:val="Ppogrubienie"/>
              </w:rPr>
              <w:lastRenderedPageBreak/>
              <w:t>Nazwa projektu</w:t>
            </w:r>
            <w:r w:rsidR="00DF3E14" w:rsidRPr="00DF3E14">
              <w:rPr>
                <w:rStyle w:val="Ppogrubienie"/>
              </w:rPr>
              <w:t>:</w:t>
            </w:r>
          </w:p>
          <w:p w14:paraId="0D5F8332" w14:textId="5836413B" w:rsidR="00E07616" w:rsidRDefault="00E07616" w:rsidP="00DF3E14">
            <w:r w:rsidRPr="00E07616">
              <w:t>Projekt rozporządzenia</w:t>
            </w:r>
            <w:r w:rsidRPr="0000175D">
              <w:t xml:space="preserve"> Ministra Cyfryzacji</w:t>
            </w:r>
            <w:r w:rsidRPr="00E07616">
              <w:t xml:space="preserve"> </w:t>
            </w:r>
            <w:r w:rsidRPr="0000175D">
              <w:t xml:space="preserve">w sprawie gwarantowanych dostępności i pojemności skrzynek doręczeń </w:t>
            </w:r>
          </w:p>
          <w:p w14:paraId="347164D4" w14:textId="77777777" w:rsidR="005F3DA7" w:rsidRPr="0000175D" w:rsidRDefault="005F3DA7" w:rsidP="00DF3E14"/>
          <w:p w14:paraId="2438C771" w14:textId="6AF18BC9" w:rsidR="00E07616" w:rsidRPr="004608DD" w:rsidRDefault="00E07616" w:rsidP="00DF3E14">
            <w:pPr>
              <w:rPr>
                <w:rStyle w:val="Ppogrubienie"/>
              </w:rPr>
            </w:pPr>
            <w:r w:rsidRPr="004608DD">
              <w:rPr>
                <w:rStyle w:val="Ppogrubienie"/>
              </w:rPr>
              <w:t>Ministerstwo wiodące i ministerstwa współpracujące</w:t>
            </w:r>
            <w:r w:rsidR="00815524">
              <w:rPr>
                <w:rStyle w:val="Ppogrubienie"/>
              </w:rPr>
              <w:t>:</w:t>
            </w:r>
          </w:p>
          <w:bookmarkEnd w:id="0"/>
          <w:p w14:paraId="31480F52" w14:textId="77777777" w:rsidR="00E07616" w:rsidRPr="00E07616" w:rsidRDefault="00E07616" w:rsidP="00DF3E14">
            <w:r w:rsidRPr="0000175D">
              <w:t xml:space="preserve">Kancelaria Prezesa Rady Ministrów </w:t>
            </w:r>
          </w:p>
          <w:p w14:paraId="34808B64" w14:textId="77777777" w:rsidR="00E07616" w:rsidRDefault="00E07616" w:rsidP="00DF3E14"/>
          <w:p w14:paraId="4270438F" w14:textId="77777777" w:rsidR="00E07616" w:rsidRPr="00DF3E14" w:rsidRDefault="00E07616" w:rsidP="00DF3E14">
            <w:pPr>
              <w:rPr>
                <w:rStyle w:val="Ppogrubienie"/>
              </w:rPr>
            </w:pPr>
            <w:r w:rsidRPr="00DF3E14">
              <w:rPr>
                <w:rStyle w:val="Ppogrubienie"/>
              </w:rPr>
              <w:t xml:space="preserve">Osoba odpowiedzialna za projekt w randze Ministra, Sekretarza Stanu lub Podsekretarza Stanu </w:t>
            </w:r>
          </w:p>
          <w:p w14:paraId="67DCA2AF" w14:textId="77777777" w:rsidR="00E07616" w:rsidRDefault="00E07616" w:rsidP="00DF3E14">
            <w:r w:rsidRPr="00E07616">
              <w:t xml:space="preserve">Marek Zagórski, </w:t>
            </w:r>
            <w:r w:rsidRPr="0000175D">
              <w:t>Sekretarz Stanu w Kancelarii Prezesa Rady Ministrów</w:t>
            </w:r>
          </w:p>
          <w:p w14:paraId="7D35DE2C" w14:textId="77777777" w:rsidR="005F3DA7" w:rsidRPr="00E07616" w:rsidRDefault="005F3DA7" w:rsidP="00DF3E14"/>
          <w:p w14:paraId="1659F655" w14:textId="54C40B27" w:rsidR="00E07616" w:rsidRPr="00DF3E14" w:rsidRDefault="00E07616" w:rsidP="00DF3E14">
            <w:pPr>
              <w:rPr>
                <w:rStyle w:val="Ppogrubienie"/>
              </w:rPr>
            </w:pPr>
            <w:r w:rsidRPr="00DF3E14">
              <w:rPr>
                <w:rStyle w:val="Ppogrubienie"/>
              </w:rPr>
              <w:t>Kontakt do opiekuna merytorycznego projektu</w:t>
            </w:r>
            <w:r w:rsidR="00DF3E14">
              <w:rPr>
                <w:rStyle w:val="Ppogrubienie"/>
              </w:rPr>
              <w:t>:</w:t>
            </w:r>
          </w:p>
          <w:p w14:paraId="144BDDCB" w14:textId="77777777" w:rsidR="00E07616" w:rsidRPr="00E07616" w:rsidRDefault="00E07616" w:rsidP="00DF3E14">
            <w:r w:rsidRPr="00D05A35">
              <w:t xml:space="preserve">Michał Przymusiński – </w:t>
            </w:r>
            <w:r>
              <w:t xml:space="preserve">Zastępca </w:t>
            </w:r>
            <w:r w:rsidRPr="00D05A35">
              <w:t>Dyrektor</w:t>
            </w:r>
            <w:r>
              <w:t>a</w:t>
            </w:r>
            <w:r w:rsidRPr="00D05A35">
              <w:t xml:space="preserve"> Departamentu Rozwoju Usług w Kancelarii Prezesa Rady Ministrów, adres e-mail: Sekretariat.DRU@mc.gov.pl, tel. 222455883 lub 605333553</w:t>
            </w:r>
          </w:p>
        </w:tc>
        <w:tc>
          <w:tcPr>
            <w:tcW w:w="4285" w:type="dxa"/>
            <w:gridSpan w:val="12"/>
            <w:shd w:val="clear" w:color="auto" w:fill="FFFFFF"/>
          </w:tcPr>
          <w:p w14:paraId="3D887017" w14:textId="77777777" w:rsidR="00E07616" w:rsidRDefault="00E07616" w:rsidP="00DF3E14">
            <w:r w:rsidRPr="0000175D">
              <w:t>Data sporządzenia</w:t>
            </w:r>
          </w:p>
          <w:p w14:paraId="3640F6CD" w14:textId="2BB562B2" w:rsidR="00E07616" w:rsidRPr="00E07616" w:rsidRDefault="00A44E13" w:rsidP="00DF3E14">
            <w:r>
              <w:t>11.02.2021</w:t>
            </w:r>
            <w:r w:rsidR="00E07616" w:rsidRPr="0000175D">
              <w:t xml:space="preserve"> r.</w:t>
            </w:r>
          </w:p>
          <w:p w14:paraId="7548E525" w14:textId="77777777" w:rsidR="00E07616" w:rsidRPr="0000175D" w:rsidRDefault="00E07616" w:rsidP="00DF3E14">
            <w:r w:rsidRPr="0000175D">
              <w:t xml:space="preserve">Źródło: </w:t>
            </w:r>
            <w:bookmarkStart w:id="1" w:name="Lista1"/>
          </w:p>
          <w:bookmarkEnd w:id="1"/>
          <w:p w14:paraId="088BB202" w14:textId="77777777" w:rsidR="00E07616" w:rsidRPr="0000175D" w:rsidRDefault="00E07616" w:rsidP="00DF3E14">
            <w:r w:rsidRPr="0000175D">
              <w:fldChar w:fldCharType="begin">
                <w:ffData>
                  <w:name w:val=""/>
                  <w:enabled/>
                  <w:calcOnExit w:val="0"/>
                  <w:ddList>
                    <w:listEntry w:val="Upoważnienie ustawowe"/>
                    <w:listEntry w:val="inne"/>
                    <w:listEntry w:val="Expose Premiera"/>
                    <w:listEntry w:val="decyzja PRM/RM"/>
                    <w:listEntry w:val="Prawo UE"/>
                    <w:listEntry w:val="Orzeczenie TK"/>
                    <w:listEntry w:val="Stategia"/>
                  </w:ddList>
                </w:ffData>
              </w:fldChar>
            </w:r>
            <w:r w:rsidRPr="0000175D">
              <w:instrText xml:space="preserve"> FORMDROPDOWN </w:instrText>
            </w:r>
            <w:r w:rsidR="000A61D2">
              <w:fldChar w:fldCharType="separate"/>
            </w:r>
            <w:r w:rsidRPr="0000175D">
              <w:fldChar w:fldCharType="end"/>
            </w:r>
          </w:p>
          <w:p w14:paraId="7238AA0D" w14:textId="4F8C9707" w:rsidR="00E07616" w:rsidRPr="0000175D" w:rsidRDefault="00E07616" w:rsidP="00DF3E14">
            <w:r w:rsidRPr="0000175D">
              <w:t>- art. 38 ust. 6 ustawy z dnia 18 listopada 2020 r. o doręczeniach elektronicznych (Dz.</w:t>
            </w:r>
            <w:r w:rsidR="00815524">
              <w:t xml:space="preserve"> </w:t>
            </w:r>
            <w:r w:rsidRPr="0000175D">
              <w:t xml:space="preserve">U. poz. </w:t>
            </w:r>
            <w:r w:rsidR="0046172A">
              <w:t>2320</w:t>
            </w:r>
            <w:r w:rsidRPr="0000175D">
              <w:t>)</w:t>
            </w:r>
          </w:p>
          <w:p w14:paraId="02E09ED3" w14:textId="257D6DC9" w:rsidR="00E07616" w:rsidRPr="0000175D" w:rsidRDefault="00E07616" w:rsidP="00DF3E14">
            <w:r>
              <w:t>Nr w wykazie prac:</w:t>
            </w:r>
            <w:r w:rsidR="00C65F93">
              <w:t xml:space="preserve"> 169</w:t>
            </w:r>
          </w:p>
        </w:tc>
      </w:tr>
      <w:tr w:rsidR="00E07616" w:rsidRPr="0000175D" w14:paraId="6050977D" w14:textId="77777777" w:rsidTr="00DF3E14">
        <w:trPr>
          <w:trHeight w:val="142"/>
          <w:jc w:val="center"/>
        </w:trPr>
        <w:tc>
          <w:tcPr>
            <w:tcW w:w="10916" w:type="dxa"/>
            <w:gridSpan w:val="29"/>
            <w:shd w:val="clear" w:color="auto" w:fill="99CCFF"/>
          </w:tcPr>
          <w:p w14:paraId="08848E37" w14:textId="77777777" w:rsidR="00E07616" w:rsidRPr="00DF3E14" w:rsidRDefault="00E07616" w:rsidP="00DF3E14">
            <w:pPr>
              <w:rPr>
                <w:rStyle w:val="Ppogrubienie"/>
              </w:rPr>
            </w:pPr>
            <w:r w:rsidRPr="00DF3E14">
              <w:rPr>
                <w:rStyle w:val="Ppogrubienie"/>
              </w:rPr>
              <w:t>OCENA SKUTKÓW REGULACJI</w:t>
            </w:r>
          </w:p>
        </w:tc>
      </w:tr>
      <w:tr w:rsidR="00E07616" w:rsidRPr="0000175D" w14:paraId="7137CD56" w14:textId="77777777" w:rsidTr="00DF3E14">
        <w:trPr>
          <w:trHeight w:val="333"/>
          <w:jc w:val="center"/>
        </w:trPr>
        <w:tc>
          <w:tcPr>
            <w:tcW w:w="10916" w:type="dxa"/>
            <w:gridSpan w:val="29"/>
            <w:shd w:val="clear" w:color="auto" w:fill="99CCFF"/>
            <w:vAlign w:val="center"/>
          </w:tcPr>
          <w:p w14:paraId="0ED08981" w14:textId="77777777" w:rsidR="00E07616" w:rsidRPr="00DF3E14" w:rsidRDefault="00E07616" w:rsidP="00DF3E14">
            <w:pPr>
              <w:rPr>
                <w:rStyle w:val="Ppogrubienie"/>
              </w:rPr>
            </w:pPr>
            <w:r w:rsidRPr="00DF3E14">
              <w:rPr>
                <w:rStyle w:val="Ppogrubienie"/>
              </w:rPr>
              <w:t>1.</w:t>
            </w:r>
            <w:r w:rsidRPr="00DF3E14">
              <w:rPr>
                <w:rStyle w:val="Ppogrubienie"/>
              </w:rPr>
              <w:tab/>
              <w:t>Jaki problem jest rozwiązywany?</w:t>
            </w:r>
            <w:bookmarkStart w:id="2" w:name="Wybór1"/>
            <w:bookmarkEnd w:id="2"/>
          </w:p>
        </w:tc>
      </w:tr>
      <w:tr w:rsidR="00E07616" w:rsidRPr="0000175D" w14:paraId="1D1920A7" w14:textId="77777777" w:rsidTr="00DF3E14">
        <w:trPr>
          <w:trHeight w:val="142"/>
          <w:jc w:val="center"/>
        </w:trPr>
        <w:tc>
          <w:tcPr>
            <w:tcW w:w="10916" w:type="dxa"/>
            <w:gridSpan w:val="29"/>
            <w:shd w:val="clear" w:color="auto" w:fill="FFFFFF"/>
          </w:tcPr>
          <w:p w14:paraId="04CD5448" w14:textId="629C8775" w:rsidR="00E07616" w:rsidRPr="0000175D" w:rsidRDefault="00E07616" w:rsidP="00DF3E14">
            <w:r w:rsidRPr="0000175D">
              <w:t>W związku z ustawowym obowiązkiem, wyrażonym w art. 38 ust. 5,</w:t>
            </w:r>
            <w:r w:rsidRPr="00560372">
              <w:rPr>
                <w:rStyle w:val="Kkursywa"/>
              </w:rPr>
              <w:t xml:space="preserve"> </w:t>
            </w:r>
            <w:r w:rsidRPr="0000175D">
              <w:t xml:space="preserve">zapewnienia przez Operatora wyznaczonego w ramach udostępniania skrzynek gwarantowanej dostępności i pojemności skrzynek doręczeń pojawiła się konieczność określenia wartości </w:t>
            </w:r>
            <w:r w:rsidR="004E633A">
              <w:t>tych</w:t>
            </w:r>
            <w:r w:rsidR="004E633A" w:rsidRPr="0000175D">
              <w:t xml:space="preserve"> </w:t>
            </w:r>
            <w:bookmarkStart w:id="3" w:name="_GoBack"/>
            <w:bookmarkEnd w:id="3"/>
            <w:r w:rsidRPr="0000175D">
              <w:t xml:space="preserve">parametrów. </w:t>
            </w:r>
          </w:p>
          <w:p w14:paraId="54270155" w14:textId="43DAC8C3" w:rsidR="00E07616" w:rsidRPr="0000175D" w:rsidRDefault="00E07616" w:rsidP="00DF3E14">
            <w:r w:rsidRPr="0000175D">
              <w:t>Zagwarantowanie przez Operatora wyznaczonego określonej pojemności</w:t>
            </w:r>
            <w:r w:rsidR="004E633A">
              <w:t>,</w:t>
            </w:r>
            <w:r w:rsidRPr="0000175D">
              <w:t xml:space="preserve"> jak i dostępności skrzynek doręczeń jest niezbędne w celu zapewnienia wysokiej jakości obsługi podmiotu korzystającego z usługi </w:t>
            </w:r>
            <w:r w:rsidRPr="00E07616">
              <w:t>na całej drodze</w:t>
            </w:r>
            <w:r w:rsidRPr="0000175D">
              <w:t xml:space="preserve"> od nadawcy do adresata. </w:t>
            </w:r>
          </w:p>
          <w:p w14:paraId="776AF60A" w14:textId="77777777" w:rsidR="00E07616" w:rsidRPr="0000175D" w:rsidRDefault="00E07616" w:rsidP="00DF3E14">
            <w:r w:rsidRPr="0000175D">
              <w:t xml:space="preserve">Szacuje się, że w ciągu 5 lat od wdrożenia, publiczna usługa doręczenia elektronicznego w Polsce może swoim zasięgiem objąć ponad </w:t>
            </w:r>
            <w:r w:rsidRPr="00E07616">
              <w:t>18 mln podmiotów</w:t>
            </w:r>
            <w:r w:rsidRPr="0000175D">
              <w:t xml:space="preserve"> (w tym ok. 17 mln. osób fizycznych, 1,5 mln. przedsiębiorców i ok. 60 tys. podmiotów publicznych). Tak duża skala działalności systemu wymaga szczególnego przemyślenia i określenia najbardziej newralgicznych z punktu widzenia używalności oraz komfortu pracy użytkownika kluczowych czynników wydajności (KPI) oraz niezbędnej dla sprawnego kontaktu nadawcy z adresatem w doręczeniach publicznych, unifikacji rozwiązań stosowanych przez podmioty korzystające z usługi.</w:t>
            </w:r>
          </w:p>
          <w:p w14:paraId="5D6DC781" w14:textId="39A71CBC" w:rsidR="00E07616" w:rsidRPr="0000175D" w:rsidRDefault="00E07616" w:rsidP="00DF3E14">
            <w:r w:rsidRPr="0000175D">
              <w:t>Brak określenia sposobu funkcjonowania skrzynki doręczeń powiększał</w:t>
            </w:r>
            <w:r w:rsidR="00DF3E14">
              <w:t>o</w:t>
            </w:r>
            <w:r w:rsidRPr="0000175D">
              <w:t xml:space="preserve">by </w:t>
            </w:r>
            <w:r w:rsidRPr="00E07616">
              <w:t>bariery</w:t>
            </w:r>
            <w:r w:rsidRPr="0000175D">
              <w:t xml:space="preserve"> konieczne do pokonania przez podmiot, </w:t>
            </w:r>
            <w:r w:rsidRPr="00E07616">
              <w:t>aby rozpocząć korzystanie</w:t>
            </w:r>
            <w:r w:rsidRPr="0000175D">
              <w:t xml:space="preserve"> z usługi</w:t>
            </w:r>
            <w:r w:rsidR="00DF3E14">
              <w:t xml:space="preserve"> oraz powiększałoby</w:t>
            </w:r>
            <w:r w:rsidRPr="0000175D">
              <w:t xml:space="preserve"> </w:t>
            </w:r>
            <w:r w:rsidRPr="00E07616">
              <w:t>nakład prac integracyjnych</w:t>
            </w:r>
            <w:r w:rsidR="00DF3E14">
              <w:t xml:space="preserve"> po stronie podmiotu. Wpłynęło</w:t>
            </w:r>
            <w:r w:rsidR="00DF3E14" w:rsidRPr="0000175D">
              <w:t>by</w:t>
            </w:r>
            <w:r w:rsidRPr="0000175D">
              <w:t xml:space="preserve"> także negatywnie na </w:t>
            </w:r>
            <w:r w:rsidRPr="00E07616">
              <w:t xml:space="preserve">odsetek korespondencji odrzuconej na etapie przekazania </w:t>
            </w:r>
            <w:r w:rsidRPr="00E07616">
              <w:lastRenderedPageBreak/>
              <w:t>pomiędzy dostawcami</w:t>
            </w:r>
            <w:r w:rsidRPr="0000175D">
              <w:t xml:space="preserve">. </w:t>
            </w:r>
          </w:p>
          <w:p w14:paraId="578B9307" w14:textId="77777777" w:rsidR="00E07616" w:rsidRPr="0000175D" w:rsidRDefault="00E07616" w:rsidP="00DF3E14">
            <w:r w:rsidRPr="0000175D">
              <w:t xml:space="preserve">Do kluczowych czynników zapewniających sprawność działania podmiotu należą także pojemność i dostępność skrzynek doręczeń. Gdyby zostały one określone po wdrożeniu usługi e-doręczeń, mogłoby to spowodować konieczność </w:t>
            </w:r>
            <w:r w:rsidRPr="00E07616">
              <w:t>przedefiniowania projektu</w:t>
            </w:r>
            <w:r w:rsidRPr="0000175D">
              <w:t xml:space="preserve"> systemu teleinformatycznego Operatora wyznaczonego i wdrażania kosztownych </w:t>
            </w:r>
            <w:r w:rsidRPr="00E07616">
              <w:t>poprawek infrastruktury</w:t>
            </w:r>
            <w:r w:rsidRPr="0000175D">
              <w:t xml:space="preserve"> przy konieczności zachowania ciągłości obsługi. Istnienie obowiązku korzystania z usług RDE dla podmiotów publicznych, w połączeniu z niedostatecznym poziomem omawianych parametrów jakościowych skrzynki doręczeń </w:t>
            </w:r>
            <w:r w:rsidRPr="00E07616">
              <w:t>zagrażałoby sprawnemu wykonywaniu wyznaczonych tym podmiotom zadań i mogłoby wpłynąć na ich ogólną wydajność oraz zniechęcić kolejne podmioty do podniesienia poziomu cyfryzacji swoich procesów</w:t>
            </w:r>
            <w:r w:rsidRPr="0000175D">
              <w:t xml:space="preserve">. </w:t>
            </w:r>
          </w:p>
          <w:p w14:paraId="2094545A" w14:textId="77777777" w:rsidR="00E07616" w:rsidRPr="0000175D" w:rsidRDefault="00E07616" w:rsidP="00DF3E14">
            <w:r w:rsidRPr="0000175D">
              <w:t>Podmiot, który zdecyduje się na zaprzestanie korzystania z papierowej postaci korespondencji rejestrowanej lub skrzynki ePUAP, znając gwarantowany poziom dostępności i pojemności skrzynki doręczeń, może dokonać samo-oceny, czy założone w rozporządzeniu wartości pozwolą mu na sprawne działanie.</w:t>
            </w:r>
          </w:p>
          <w:p w14:paraId="7574CE3E" w14:textId="77777777" w:rsidR="00E07616" w:rsidRPr="00560372" w:rsidRDefault="00E07616" w:rsidP="00DF3E14">
            <w:pPr>
              <w:rPr>
                <w:rStyle w:val="Kkursywa"/>
              </w:rPr>
            </w:pPr>
            <w:r w:rsidRPr="0000175D">
              <w:t>Określenie minimalnej, gwarantowanej pojemności i dostępności skrzynki doręczeń nie tylko zabezpiecza podmioty korzystające z publicznej usługi RDE, ale także pełni rolę wytycznej dla podejścia wykonawczego operatora wyznaczonego do zadań utrzymania infrastruktury technicznej.</w:t>
            </w:r>
          </w:p>
        </w:tc>
      </w:tr>
      <w:tr w:rsidR="00E07616" w:rsidRPr="0000175D" w14:paraId="5A3DE6C3" w14:textId="77777777" w:rsidTr="00DF3E14">
        <w:trPr>
          <w:trHeight w:val="142"/>
          <w:jc w:val="center"/>
        </w:trPr>
        <w:tc>
          <w:tcPr>
            <w:tcW w:w="10916" w:type="dxa"/>
            <w:gridSpan w:val="29"/>
            <w:shd w:val="clear" w:color="auto" w:fill="99CCFF"/>
            <w:vAlign w:val="center"/>
          </w:tcPr>
          <w:p w14:paraId="68067185" w14:textId="77777777" w:rsidR="00E07616" w:rsidRPr="00DF3E14" w:rsidRDefault="00E07616" w:rsidP="00DF3E14">
            <w:pPr>
              <w:rPr>
                <w:rStyle w:val="Ppogrubienie"/>
              </w:rPr>
            </w:pPr>
            <w:r w:rsidRPr="00DF3E14">
              <w:rPr>
                <w:rStyle w:val="Ppogrubienie"/>
              </w:rPr>
              <w:lastRenderedPageBreak/>
              <w:t>2.</w:t>
            </w:r>
            <w:r w:rsidRPr="00DF3E14">
              <w:rPr>
                <w:rStyle w:val="Ppogrubienie"/>
              </w:rPr>
              <w:tab/>
              <w:t>Rekomendowane rozwiązanie, w tym planowane narzędzia interwencji, i oczekiwany efekt</w:t>
            </w:r>
          </w:p>
        </w:tc>
      </w:tr>
      <w:tr w:rsidR="00E07616" w:rsidRPr="0000175D" w14:paraId="31F9A7CE" w14:textId="77777777" w:rsidTr="00DF3E14">
        <w:trPr>
          <w:trHeight w:val="142"/>
          <w:jc w:val="center"/>
        </w:trPr>
        <w:tc>
          <w:tcPr>
            <w:tcW w:w="10916" w:type="dxa"/>
            <w:gridSpan w:val="29"/>
            <w:shd w:val="clear" w:color="auto" w:fill="auto"/>
          </w:tcPr>
          <w:p w14:paraId="13CAB2D1" w14:textId="77777777" w:rsidR="00E07616" w:rsidRPr="0000175D" w:rsidRDefault="00E07616" w:rsidP="00DF3E14">
            <w:r w:rsidRPr="0000175D">
              <w:t>Przedmiotowy projekt określa wartości dla gwarantowanej dostępność i pojemności skrzynki doręczeń. Jest to niezbędne do prawidłowego wykonania ustawowego obowiązku zapewnienia przez Operatora wyznaczonego zagwarantowanego dostępu oraz możliwości przechowywania wysłanych i odebranych danych w ramach gwarantowanej pojemności skrzynki.</w:t>
            </w:r>
          </w:p>
          <w:p w14:paraId="623AA596" w14:textId="77777777" w:rsidR="00E07616" w:rsidRPr="0000175D" w:rsidRDefault="00E07616" w:rsidP="00DF3E14">
            <w:r w:rsidRPr="0000175D">
              <w:t xml:space="preserve">Przepisy zawarte w niniejszym rozporządzeniu zaprojektowane zostały tak, aby zapewnić równowagę między potrzebami użytkowników skrzynek doręczeń a potrzebą operatora wyznaczonego polegającą na wypełnieniu zarówno ustawowego obowiązku utrzymania rozwiązań zaprojektowanych dla obsługi klienta masowego jak i planowym wykonywaniem prac naprawczych i rozwojowych przy zachowaniu rozsądnego ekonomicznie poziomu alokacji personelu zajmującego się utrzymaniem i administracją systemami teleinformatycznymi. </w:t>
            </w:r>
          </w:p>
          <w:p w14:paraId="7EEF4507" w14:textId="77777777" w:rsidR="00E07616" w:rsidRPr="0000175D" w:rsidRDefault="00E07616" w:rsidP="00DF3E14">
            <w:r w:rsidRPr="0000175D">
              <w:t>Rozwiązania zaproponowane w rozporządzeniu obejmują:</w:t>
            </w:r>
          </w:p>
          <w:p w14:paraId="3C382012" w14:textId="77777777" w:rsidR="00E07616" w:rsidRPr="00560372" w:rsidRDefault="00E07616" w:rsidP="00DF3E14">
            <w:r w:rsidRPr="00E07616">
              <w:t></w:t>
            </w:r>
            <w:r w:rsidRPr="00E07616">
              <w:tab/>
            </w:r>
            <w:r w:rsidRPr="00560372">
              <w:t>Zagwarantowanie minimalnej dostępności skrzynek doręczeń podmiotów publicznych obliczanej na podstawie przyjętego wzoru, podanego w załączniku;</w:t>
            </w:r>
          </w:p>
          <w:p w14:paraId="50331633" w14:textId="77777777" w:rsidR="00E07616" w:rsidRPr="00560372" w:rsidRDefault="00E07616" w:rsidP="00DF3E14">
            <w:r w:rsidRPr="00E07616">
              <w:t></w:t>
            </w:r>
            <w:r w:rsidRPr="00E07616">
              <w:tab/>
            </w:r>
            <w:r w:rsidRPr="00560372">
              <w:t>Zagwarantowanie minimalnej dostępności skrzynki doręczeń podmiotu niepublicznego obliczanej na podstawie przyjętego wzoru, podanego w załączniku;</w:t>
            </w:r>
          </w:p>
          <w:p w14:paraId="52E77D31" w14:textId="77777777" w:rsidR="00E07616" w:rsidRPr="00560372" w:rsidRDefault="00E07616" w:rsidP="00DF3E14">
            <w:r w:rsidRPr="00E07616">
              <w:t></w:t>
            </w:r>
            <w:r w:rsidRPr="00E07616">
              <w:tab/>
            </w:r>
            <w:r w:rsidRPr="00560372">
              <w:t>Ustalenie maksymalnego czasu przywrócenia sprawności skrzynki doręczeń w sytuacji gdy wystąpi jej nieplanowana niedostępność;</w:t>
            </w:r>
          </w:p>
          <w:p w14:paraId="15BA9267" w14:textId="3228C220" w:rsidR="00E07616" w:rsidRPr="00560372" w:rsidRDefault="00E07616" w:rsidP="00DF3E14">
            <w:r w:rsidRPr="00E07616">
              <w:t></w:t>
            </w:r>
            <w:r w:rsidRPr="00E07616">
              <w:tab/>
            </w:r>
            <w:r w:rsidRPr="00560372">
              <w:t xml:space="preserve">Określenie podstawowych zasad przeprowadzania planowanych prac serwisowych, mających na celu </w:t>
            </w:r>
            <w:r w:rsidRPr="00560372">
              <w:lastRenderedPageBreak/>
              <w:t>przeniesienie okresów planowanej niedostępności na pory dnia powodujące najmniejsze uciążliwości</w:t>
            </w:r>
            <w:r w:rsidR="002F0DB3">
              <w:t>;</w:t>
            </w:r>
          </w:p>
          <w:p w14:paraId="318F257A" w14:textId="60AC2130" w:rsidR="00E07616" w:rsidRPr="00560372" w:rsidRDefault="00E07616" w:rsidP="00DF3E14">
            <w:r w:rsidRPr="00E07616">
              <w:t></w:t>
            </w:r>
            <w:r w:rsidRPr="00E07616">
              <w:tab/>
            </w:r>
            <w:r w:rsidRPr="00560372">
              <w:t>Zagwarantowanie przez Operatora wyznaczonego minimalnej pojemności z uwzględnieniem różnic w potrzebach podmiotów publicznych i niepublicznych</w:t>
            </w:r>
            <w:r w:rsidR="002F0DB3">
              <w:t>;</w:t>
            </w:r>
          </w:p>
          <w:p w14:paraId="5B9D8BAA" w14:textId="537A24DF" w:rsidR="00E07616" w:rsidRPr="00560372" w:rsidRDefault="00E07616" w:rsidP="00DF3E14">
            <w:r w:rsidRPr="00E07616">
              <w:t></w:t>
            </w:r>
            <w:r w:rsidRPr="00E07616">
              <w:tab/>
            </w:r>
            <w:r w:rsidRPr="00560372">
              <w:t>Zapewnienie przez Operatora wyznaczonego podmiotom korzystającym ze skrzynki doręczeń możliwości odbierania korespondencji i opróżniania skrzynki doręczeń</w:t>
            </w:r>
            <w:r w:rsidR="002F0DB3">
              <w:t>;</w:t>
            </w:r>
          </w:p>
          <w:p w14:paraId="4603EA80" w14:textId="77777777" w:rsidR="00E07616" w:rsidRPr="00560372" w:rsidRDefault="00E07616" w:rsidP="00DF3E14">
            <w:r w:rsidRPr="00E07616">
              <w:t></w:t>
            </w:r>
            <w:r w:rsidRPr="00E07616">
              <w:tab/>
            </w:r>
            <w:r w:rsidRPr="00560372">
              <w:t>Zapewnienie dostawcy rozwiązania możliwości reagowania na zapełnienie skrzynki doręczeń ponad bezpieczny poziom.</w:t>
            </w:r>
          </w:p>
          <w:p w14:paraId="1F480000" w14:textId="77777777" w:rsidR="00E07616" w:rsidRPr="00D05A35" w:rsidRDefault="00E07616" w:rsidP="00DF3E14">
            <w:r w:rsidRPr="00D05A35">
              <w:t xml:space="preserve">Oczekiwanym efektem jest: </w:t>
            </w:r>
          </w:p>
          <w:p w14:paraId="2834CF20" w14:textId="77777777" w:rsidR="00E07616" w:rsidRPr="00E07616" w:rsidRDefault="00E07616" w:rsidP="00DF3E14">
            <w:r w:rsidRPr="00E07616">
              <w:t></w:t>
            </w:r>
            <w:r w:rsidRPr="00E07616">
              <w:tab/>
            </w:r>
            <w:r w:rsidRPr="00560372">
              <w:t>Maksymalizacja odsetka doręczeń zakończonych przekazaniem wiadomości adresatowi - skrzynka doręczeń znajdująca się w infrastrukturze tego samego podmiotu, który realizuje doręczenie, powinna zatem płynnie wysyłać i odbierać wiadomości z/do usługi.</w:t>
            </w:r>
          </w:p>
          <w:p w14:paraId="0CFAD146" w14:textId="77777777" w:rsidR="00E07616" w:rsidRPr="00E07616" w:rsidRDefault="00E07616" w:rsidP="00DF3E14">
            <w:r w:rsidRPr="00E07616">
              <w:t></w:t>
            </w:r>
            <w:r w:rsidRPr="00E07616">
              <w:tab/>
            </w:r>
            <w:r w:rsidRPr="00560372">
              <w:t>Zmniejszenie liczby sytuacji spornych i nieokreślonych prawnie, polegających na trudności z określeniem, czy wiadomość została faktycznie przekazana podmiotowi czy nie – poprzez położenie nacisku na sprawność komunikacji skrzynka-usługa.</w:t>
            </w:r>
          </w:p>
          <w:p w14:paraId="0D3B2B52" w14:textId="77777777" w:rsidR="00E07616" w:rsidRPr="00E07616" w:rsidRDefault="00E07616" w:rsidP="00DF3E14">
            <w:r w:rsidRPr="00E07616">
              <w:t></w:t>
            </w:r>
            <w:r w:rsidRPr="00E07616">
              <w:tab/>
            </w:r>
            <w:r w:rsidRPr="00560372">
              <w:t xml:space="preserve">Oddzielenie czynności przekazania od czynności archiwizacji – doręczenie korespondencji następuje poprzez przekazanie jej na skrzynkę, której pojemność gwarantuje, że całość korespondencji oczekującej na odebranie pojemność się w skrzynce. Korespondencja może zostać zarchiwizowana przez podmiot w kolejnych krokach.  </w:t>
            </w:r>
          </w:p>
        </w:tc>
      </w:tr>
      <w:tr w:rsidR="00E07616" w:rsidRPr="0000175D" w14:paraId="1C46256E" w14:textId="77777777" w:rsidTr="00DF3E14">
        <w:trPr>
          <w:trHeight w:val="307"/>
          <w:jc w:val="center"/>
        </w:trPr>
        <w:tc>
          <w:tcPr>
            <w:tcW w:w="10916" w:type="dxa"/>
            <w:gridSpan w:val="29"/>
            <w:shd w:val="clear" w:color="auto" w:fill="99CCFF"/>
            <w:vAlign w:val="center"/>
          </w:tcPr>
          <w:p w14:paraId="51A75A75" w14:textId="77777777" w:rsidR="00E07616" w:rsidRPr="00DF3E14" w:rsidRDefault="00E07616" w:rsidP="00DF3E14">
            <w:pPr>
              <w:rPr>
                <w:rStyle w:val="Ppogrubienie"/>
              </w:rPr>
            </w:pPr>
            <w:r w:rsidRPr="00DF3E14">
              <w:rPr>
                <w:rStyle w:val="Ppogrubienie"/>
              </w:rPr>
              <w:lastRenderedPageBreak/>
              <w:t>3.</w:t>
            </w:r>
            <w:r w:rsidRPr="00DF3E14">
              <w:rPr>
                <w:rStyle w:val="Ppogrubienie"/>
              </w:rPr>
              <w:tab/>
              <w:t xml:space="preserve">Jak problem został rozwiązany w innych krajach, w szczególności krajach członkowskich OECD/UE? </w:t>
            </w:r>
          </w:p>
        </w:tc>
      </w:tr>
      <w:tr w:rsidR="00E07616" w:rsidRPr="0000175D" w14:paraId="624B614C" w14:textId="77777777" w:rsidTr="00DF3E14">
        <w:trPr>
          <w:trHeight w:val="142"/>
          <w:jc w:val="center"/>
        </w:trPr>
        <w:tc>
          <w:tcPr>
            <w:tcW w:w="10916" w:type="dxa"/>
            <w:gridSpan w:val="29"/>
            <w:shd w:val="clear" w:color="auto" w:fill="auto"/>
          </w:tcPr>
          <w:p w14:paraId="4A16A827" w14:textId="77777777" w:rsidR="00E07616" w:rsidRPr="0000175D" w:rsidRDefault="00E07616" w:rsidP="00DF3E14">
            <w:r w:rsidRPr="0000175D">
              <w:t>Rejestrowane doręczenie elektroniczne powiązane z możliwością składowania korespondencji zostało skutecznie wdrożone i umocowane prawnie w wielu krajach członkowskich Unii Europejskiej takich jak Francja, Czechy, Dania, Włochy, Estonia i in.. Zagadnienia objęte niniejszym rozporządzeniem pozostają w gestii państw członkowskich. W ramach prac nad niniejszym rozporządzeniem przeanalizowano kilka wybranych wariantów zaimplementowanych w krajach na terenie UE:</w:t>
            </w:r>
          </w:p>
          <w:tbl>
            <w:tblPr>
              <w:tblW w:w="10343" w:type="dxa"/>
              <w:tblLayout w:type="fixed"/>
              <w:tblCellMar>
                <w:left w:w="0" w:type="dxa"/>
                <w:right w:w="0" w:type="dxa"/>
              </w:tblCellMar>
              <w:tblLook w:val="04A0" w:firstRow="1" w:lastRow="0" w:firstColumn="1" w:lastColumn="0" w:noHBand="0" w:noVBand="1"/>
            </w:tblPr>
            <w:tblGrid>
              <w:gridCol w:w="1896"/>
              <w:gridCol w:w="2126"/>
              <w:gridCol w:w="3028"/>
              <w:gridCol w:w="3293"/>
            </w:tblGrid>
            <w:tr w:rsidR="00E07616" w:rsidRPr="0000175D" w14:paraId="2F6887ED" w14:textId="77777777" w:rsidTr="00DF3E14">
              <w:trPr>
                <w:trHeight w:val="404"/>
              </w:trPr>
              <w:tc>
                <w:tcPr>
                  <w:tcW w:w="1896" w:type="dxa"/>
                  <w:tcBorders>
                    <w:top w:val="single" w:sz="8" w:space="0" w:color="FFFFFF"/>
                    <w:left w:val="single" w:sz="8" w:space="0" w:color="FFFFFF"/>
                    <w:bottom w:val="single" w:sz="24" w:space="0" w:color="FFFFFF"/>
                    <w:right w:val="single" w:sz="8" w:space="0" w:color="FFFFFF"/>
                  </w:tcBorders>
                  <w:shd w:val="clear" w:color="auto" w:fill="A5A5A5"/>
                  <w:tcMar>
                    <w:top w:w="16" w:type="dxa"/>
                    <w:left w:w="16" w:type="dxa"/>
                    <w:bottom w:w="0" w:type="dxa"/>
                    <w:right w:w="16" w:type="dxa"/>
                  </w:tcMar>
                  <w:hideMark/>
                </w:tcPr>
                <w:p w14:paraId="623DCD09" w14:textId="77777777" w:rsidR="00E07616" w:rsidRPr="0000175D" w:rsidRDefault="00E07616" w:rsidP="00DF3E14">
                  <w:r w:rsidRPr="0000175D">
                    <w:t>Kraj</w:t>
                  </w:r>
                </w:p>
              </w:tc>
              <w:tc>
                <w:tcPr>
                  <w:tcW w:w="2126" w:type="dxa"/>
                  <w:tcBorders>
                    <w:top w:val="single" w:sz="8" w:space="0" w:color="FFFFFF"/>
                    <w:left w:val="single" w:sz="8" w:space="0" w:color="FFFFFF"/>
                    <w:bottom w:val="single" w:sz="24" w:space="0" w:color="FFFFFF"/>
                    <w:right w:val="single" w:sz="8" w:space="0" w:color="FFFFFF"/>
                  </w:tcBorders>
                  <w:shd w:val="clear" w:color="auto" w:fill="A5A5A5"/>
                  <w:tcMar>
                    <w:top w:w="16" w:type="dxa"/>
                    <w:left w:w="16" w:type="dxa"/>
                    <w:bottom w:w="0" w:type="dxa"/>
                    <w:right w:w="16" w:type="dxa"/>
                  </w:tcMar>
                  <w:hideMark/>
                </w:tcPr>
                <w:p w14:paraId="77EFCF8C" w14:textId="77777777" w:rsidR="00E07616" w:rsidRPr="0000175D" w:rsidRDefault="00E07616" w:rsidP="00DF3E14">
                  <w:r w:rsidRPr="0000175D">
                    <w:t>Strony doręczeń</w:t>
                  </w:r>
                </w:p>
              </w:tc>
              <w:tc>
                <w:tcPr>
                  <w:tcW w:w="3028" w:type="dxa"/>
                  <w:tcBorders>
                    <w:top w:val="single" w:sz="8" w:space="0" w:color="FFFFFF"/>
                    <w:left w:val="single" w:sz="8" w:space="0" w:color="FFFFFF"/>
                    <w:bottom w:val="single" w:sz="24" w:space="0" w:color="FFFFFF"/>
                    <w:right w:val="single" w:sz="8" w:space="0" w:color="FFFFFF"/>
                  </w:tcBorders>
                  <w:shd w:val="clear" w:color="auto" w:fill="A5A5A5"/>
                  <w:tcMar>
                    <w:top w:w="16" w:type="dxa"/>
                    <w:left w:w="16" w:type="dxa"/>
                    <w:bottom w:w="0" w:type="dxa"/>
                    <w:right w:w="16" w:type="dxa"/>
                  </w:tcMar>
                  <w:hideMark/>
                </w:tcPr>
                <w:p w14:paraId="45FA22AC" w14:textId="77777777" w:rsidR="00E07616" w:rsidRPr="0000175D" w:rsidRDefault="00E07616" w:rsidP="00DF3E14">
                  <w:r w:rsidRPr="0000175D">
                    <w:t>Warunki świadczenia usługi</w:t>
                  </w:r>
                </w:p>
              </w:tc>
              <w:tc>
                <w:tcPr>
                  <w:tcW w:w="3293" w:type="dxa"/>
                  <w:tcBorders>
                    <w:top w:val="single" w:sz="8" w:space="0" w:color="FFFFFF"/>
                    <w:left w:val="single" w:sz="8" w:space="0" w:color="FFFFFF"/>
                    <w:bottom w:val="single" w:sz="24" w:space="0" w:color="FFFFFF"/>
                    <w:right w:val="single" w:sz="8" w:space="0" w:color="FFFFFF"/>
                  </w:tcBorders>
                  <w:shd w:val="clear" w:color="auto" w:fill="A5A5A5"/>
                  <w:tcMar>
                    <w:top w:w="16" w:type="dxa"/>
                    <w:left w:w="16" w:type="dxa"/>
                    <w:bottom w:w="0" w:type="dxa"/>
                    <w:right w:w="16" w:type="dxa"/>
                  </w:tcMar>
                  <w:hideMark/>
                </w:tcPr>
                <w:p w14:paraId="28110138" w14:textId="77777777" w:rsidR="00E07616" w:rsidRPr="0000175D" w:rsidRDefault="00E07616" w:rsidP="00DF3E14">
                  <w:r w:rsidRPr="0000175D">
                    <w:t>Uwarunkowania Prawne</w:t>
                  </w:r>
                </w:p>
              </w:tc>
            </w:tr>
            <w:tr w:rsidR="00E07616" w:rsidRPr="0000175D" w14:paraId="75F2BC71" w14:textId="77777777" w:rsidTr="00DF3E14">
              <w:trPr>
                <w:trHeight w:val="978"/>
              </w:trPr>
              <w:tc>
                <w:tcPr>
                  <w:tcW w:w="1896" w:type="dxa"/>
                  <w:tcBorders>
                    <w:top w:val="single" w:sz="24" w:space="0" w:color="FFFFFF"/>
                    <w:left w:val="single" w:sz="8" w:space="0" w:color="FFFFFF"/>
                    <w:bottom w:val="single" w:sz="8" w:space="0" w:color="FFFFFF"/>
                    <w:right w:val="single" w:sz="8" w:space="0" w:color="FFFFFF"/>
                  </w:tcBorders>
                  <w:shd w:val="clear" w:color="auto" w:fill="A5A5A5"/>
                  <w:tcMar>
                    <w:top w:w="72" w:type="dxa"/>
                    <w:left w:w="144" w:type="dxa"/>
                    <w:bottom w:w="72" w:type="dxa"/>
                    <w:right w:w="144" w:type="dxa"/>
                  </w:tcMar>
                  <w:hideMark/>
                </w:tcPr>
                <w:p w14:paraId="58336CFB" w14:textId="77777777" w:rsidR="00E07616" w:rsidRPr="0000175D" w:rsidRDefault="00E07616" w:rsidP="00DF3E14">
                  <w:r w:rsidRPr="0000175D">
                    <w:t xml:space="preserve">Francja, </w:t>
                  </w:r>
                </w:p>
                <w:p w14:paraId="47E8C9E0" w14:textId="77777777" w:rsidR="00E07616" w:rsidRPr="0000175D" w:rsidRDefault="00E07616" w:rsidP="00DF3E14">
                  <w:r w:rsidRPr="0000175D">
                    <w:t>Le Poste</w:t>
                  </w:r>
                </w:p>
              </w:tc>
              <w:tc>
                <w:tcPr>
                  <w:tcW w:w="2126" w:type="dxa"/>
                  <w:tcBorders>
                    <w:top w:val="single" w:sz="24" w:space="0" w:color="FFFFFF"/>
                    <w:left w:val="single" w:sz="8" w:space="0" w:color="FFFFFF"/>
                    <w:bottom w:val="single" w:sz="8" w:space="0" w:color="FFFFFF"/>
                    <w:right w:val="single" w:sz="8" w:space="0" w:color="FFFFFF"/>
                  </w:tcBorders>
                  <w:shd w:val="clear" w:color="auto" w:fill="E1E1E1"/>
                  <w:tcMar>
                    <w:top w:w="72" w:type="dxa"/>
                    <w:left w:w="144" w:type="dxa"/>
                    <w:bottom w:w="72" w:type="dxa"/>
                    <w:right w:w="144" w:type="dxa"/>
                  </w:tcMar>
                  <w:hideMark/>
                </w:tcPr>
                <w:p w14:paraId="48957768" w14:textId="77777777" w:rsidR="00E07616" w:rsidRPr="0000175D" w:rsidRDefault="00E07616" w:rsidP="00DF3E14">
                  <w:r w:rsidRPr="0000175D">
                    <w:t>Osoby fizyczne, przedsiębiorcy, administracja</w:t>
                  </w:r>
                </w:p>
              </w:tc>
              <w:tc>
                <w:tcPr>
                  <w:tcW w:w="3028" w:type="dxa"/>
                  <w:tcBorders>
                    <w:top w:val="single" w:sz="24" w:space="0" w:color="FFFFFF"/>
                    <w:left w:val="single" w:sz="8" w:space="0" w:color="FFFFFF"/>
                    <w:bottom w:val="single" w:sz="8" w:space="0" w:color="FFFFFF"/>
                    <w:right w:val="single" w:sz="8" w:space="0" w:color="FFFFFF"/>
                  </w:tcBorders>
                  <w:shd w:val="clear" w:color="auto" w:fill="E1E1E1"/>
                  <w:tcMar>
                    <w:top w:w="72" w:type="dxa"/>
                    <w:left w:w="144" w:type="dxa"/>
                    <w:bottom w:w="72" w:type="dxa"/>
                    <w:right w:w="144" w:type="dxa"/>
                  </w:tcMar>
                  <w:hideMark/>
                </w:tcPr>
                <w:p w14:paraId="2912B33D" w14:textId="77777777" w:rsidR="00E07616" w:rsidRPr="00560372" w:rsidRDefault="00E07616" w:rsidP="00DF3E14">
                  <w:r w:rsidRPr="00E07616">
                    <w:t></w:t>
                  </w:r>
                  <w:r w:rsidRPr="00E07616">
                    <w:tab/>
                  </w:r>
                  <w:r w:rsidRPr="00560372">
                    <w:t>Gwarantowane 5GB przestrzeni dyskowej;</w:t>
                  </w:r>
                </w:p>
                <w:p w14:paraId="4D72F890" w14:textId="77777777" w:rsidR="00E07616" w:rsidRPr="00560372" w:rsidRDefault="00E07616" w:rsidP="00DF3E14">
                  <w:r w:rsidRPr="00E07616">
                    <w:t></w:t>
                  </w:r>
                  <w:r w:rsidRPr="00E07616">
                    <w:tab/>
                  </w:r>
                  <w:r w:rsidRPr="00560372">
                    <w:t>Korespondencja o maksymalnej wielkości 20MB;</w:t>
                  </w:r>
                </w:p>
                <w:p w14:paraId="4EB67824" w14:textId="77777777" w:rsidR="00E07616" w:rsidRPr="00560372" w:rsidRDefault="00E07616" w:rsidP="00DF3E14">
                  <w:r w:rsidRPr="00E07616">
                    <w:t></w:t>
                  </w:r>
                  <w:r w:rsidRPr="00E07616">
                    <w:tab/>
                  </w:r>
                  <w:r w:rsidRPr="00560372">
                    <w:t xml:space="preserve">Płatne nadanie przesyłki </w:t>
                  </w:r>
                  <w:r w:rsidRPr="00560372">
                    <w:lastRenderedPageBreak/>
                    <w:t>i dodatkowa przestrzeń dyskowa.</w:t>
                  </w:r>
                </w:p>
              </w:tc>
              <w:tc>
                <w:tcPr>
                  <w:tcW w:w="3293" w:type="dxa"/>
                  <w:tcBorders>
                    <w:top w:val="single" w:sz="24" w:space="0" w:color="FFFFFF"/>
                    <w:left w:val="single" w:sz="8" w:space="0" w:color="FFFFFF"/>
                    <w:bottom w:val="single" w:sz="8" w:space="0" w:color="FFFFFF"/>
                    <w:right w:val="single" w:sz="8" w:space="0" w:color="FFFFFF"/>
                  </w:tcBorders>
                  <w:shd w:val="clear" w:color="auto" w:fill="E1E1E1"/>
                  <w:tcMar>
                    <w:top w:w="72" w:type="dxa"/>
                    <w:left w:w="144" w:type="dxa"/>
                    <w:bottom w:w="72" w:type="dxa"/>
                    <w:right w:w="144" w:type="dxa"/>
                  </w:tcMar>
                  <w:hideMark/>
                </w:tcPr>
                <w:p w14:paraId="492BD006" w14:textId="77777777" w:rsidR="00E07616" w:rsidRPr="0000175D" w:rsidRDefault="00E07616" w:rsidP="00DF3E14">
                  <w:r w:rsidRPr="0000175D">
                    <w:lastRenderedPageBreak/>
                    <w:t>Ustawa o Republice Cyfrowej (</w:t>
                  </w:r>
                  <w:r w:rsidRPr="00E07616">
                    <w:t>LOI n° 2016-1321 du 7 octobre 2016 pour une République numérique</w:t>
                  </w:r>
                  <w:r w:rsidRPr="0000175D">
                    <w:t>) art. 93</w:t>
                  </w:r>
                </w:p>
                <w:p w14:paraId="30D852F1" w14:textId="77777777" w:rsidR="00E07616" w:rsidRPr="0000175D" w:rsidRDefault="00E07616" w:rsidP="00DF3E14"/>
              </w:tc>
            </w:tr>
            <w:tr w:rsidR="00E07616" w:rsidRPr="0000175D" w14:paraId="2C4AE61B" w14:textId="77777777" w:rsidTr="00DF3E14">
              <w:trPr>
                <w:trHeight w:val="1565"/>
              </w:trPr>
              <w:tc>
                <w:tcPr>
                  <w:tcW w:w="1896" w:type="dxa"/>
                  <w:tcBorders>
                    <w:top w:val="single" w:sz="8" w:space="0" w:color="FFFFFF"/>
                    <w:left w:val="single" w:sz="8" w:space="0" w:color="FFFFFF"/>
                    <w:bottom w:val="single" w:sz="8" w:space="0" w:color="FFFFFF"/>
                    <w:right w:val="single" w:sz="8" w:space="0" w:color="FFFFFF"/>
                  </w:tcBorders>
                  <w:shd w:val="clear" w:color="auto" w:fill="A5A5A5"/>
                  <w:tcMar>
                    <w:top w:w="72" w:type="dxa"/>
                    <w:left w:w="144" w:type="dxa"/>
                    <w:bottom w:w="72" w:type="dxa"/>
                    <w:right w:w="144" w:type="dxa"/>
                  </w:tcMar>
                  <w:hideMark/>
                </w:tcPr>
                <w:p w14:paraId="7C343388" w14:textId="77777777" w:rsidR="00E07616" w:rsidRPr="0000175D" w:rsidRDefault="00E07616" w:rsidP="00DF3E14">
                  <w:r w:rsidRPr="0000175D">
                    <w:t xml:space="preserve">Włochy, </w:t>
                  </w:r>
                </w:p>
                <w:p w14:paraId="79A9EB9A" w14:textId="77777777" w:rsidR="00E07616" w:rsidRPr="0000175D" w:rsidRDefault="00E07616" w:rsidP="00DF3E14">
                  <w:r w:rsidRPr="00E07616">
                    <w:t xml:space="preserve">Posta </w:t>
                  </w:r>
                  <w:r w:rsidRPr="0000175D">
                    <w:t>E</w:t>
                  </w:r>
                  <w:r w:rsidRPr="00E07616">
                    <w:t>lettronica</w:t>
                  </w:r>
                  <w:r w:rsidRPr="0000175D">
                    <w:t xml:space="preserve">                               </w:t>
                  </w:r>
                  <w:r w:rsidRPr="00E07616">
                    <w:t xml:space="preserve"> Certificata </w:t>
                  </w:r>
                </w:p>
              </w:tc>
              <w:tc>
                <w:tcPr>
                  <w:tcW w:w="2126" w:type="dxa"/>
                  <w:tcBorders>
                    <w:top w:val="single" w:sz="8" w:space="0" w:color="FFFFFF"/>
                    <w:left w:val="single" w:sz="8" w:space="0" w:color="FFFFFF"/>
                    <w:bottom w:val="single" w:sz="8" w:space="0" w:color="FFFFFF"/>
                    <w:right w:val="single" w:sz="8" w:space="0" w:color="FFFFFF"/>
                  </w:tcBorders>
                  <w:shd w:val="clear" w:color="auto" w:fill="F0F0F0"/>
                  <w:tcMar>
                    <w:top w:w="72" w:type="dxa"/>
                    <w:left w:w="144" w:type="dxa"/>
                    <w:bottom w:w="72" w:type="dxa"/>
                    <w:right w:w="144" w:type="dxa"/>
                  </w:tcMar>
                  <w:hideMark/>
                </w:tcPr>
                <w:p w14:paraId="06C07540" w14:textId="77777777" w:rsidR="00E07616" w:rsidRPr="0000175D" w:rsidRDefault="00E07616" w:rsidP="00DF3E14">
                  <w:r w:rsidRPr="0000175D">
                    <w:t>Osoby fizyczne, przedsiębiorcy, podmioty publiczne</w:t>
                  </w:r>
                </w:p>
              </w:tc>
              <w:tc>
                <w:tcPr>
                  <w:tcW w:w="3028" w:type="dxa"/>
                  <w:tcBorders>
                    <w:top w:val="single" w:sz="8" w:space="0" w:color="FFFFFF"/>
                    <w:left w:val="single" w:sz="8" w:space="0" w:color="FFFFFF"/>
                    <w:bottom w:val="single" w:sz="8" w:space="0" w:color="FFFFFF"/>
                    <w:right w:val="single" w:sz="8" w:space="0" w:color="FFFFFF"/>
                  </w:tcBorders>
                  <w:shd w:val="clear" w:color="auto" w:fill="F0F0F0"/>
                  <w:tcMar>
                    <w:top w:w="72" w:type="dxa"/>
                    <w:left w:w="144" w:type="dxa"/>
                    <w:bottom w:w="72" w:type="dxa"/>
                    <w:right w:w="144" w:type="dxa"/>
                  </w:tcMar>
                  <w:hideMark/>
                </w:tcPr>
                <w:p w14:paraId="205EC6EF" w14:textId="77777777" w:rsidR="00E07616" w:rsidRPr="00560372" w:rsidRDefault="00E07616" w:rsidP="00DF3E14">
                  <w:r w:rsidRPr="00E07616">
                    <w:t></w:t>
                  </w:r>
                  <w:r w:rsidRPr="00E07616">
                    <w:tab/>
                  </w:r>
                  <w:r w:rsidRPr="00560372">
                    <w:t>Opłaty abonamentowe w różnych wysokościach ustalanych przez dostawców usług;</w:t>
                  </w:r>
                </w:p>
                <w:p w14:paraId="6F027884" w14:textId="77777777" w:rsidR="00E07616" w:rsidRPr="00560372" w:rsidRDefault="00E07616" w:rsidP="00DF3E14">
                  <w:r w:rsidRPr="00E07616">
                    <w:t></w:t>
                  </w:r>
                  <w:r w:rsidRPr="00E07616">
                    <w:tab/>
                  </w:r>
                  <w:r w:rsidRPr="00560372">
                    <w:t>Minimalna pojemność skrzynki doręczeń wynosi 100MB;</w:t>
                  </w:r>
                </w:p>
                <w:p w14:paraId="4CD65AE9" w14:textId="77777777" w:rsidR="00E07616" w:rsidRPr="00560372" w:rsidRDefault="00E07616" w:rsidP="00DF3E14">
                  <w:r w:rsidRPr="00E07616">
                    <w:t></w:t>
                  </w:r>
                  <w:r w:rsidRPr="00E07616">
                    <w:tab/>
                  </w:r>
                  <w:r w:rsidRPr="00560372">
                    <w:t>Maksymalna wielkość pojedynczej wysyłanej korespondencji różni się w zależności od wybranego dostawcy;</w:t>
                  </w:r>
                </w:p>
                <w:p w14:paraId="566A7954" w14:textId="77777777" w:rsidR="00E07616" w:rsidRPr="0000175D" w:rsidRDefault="00E07616" w:rsidP="00DF3E14"/>
              </w:tc>
              <w:tc>
                <w:tcPr>
                  <w:tcW w:w="3293" w:type="dxa"/>
                  <w:tcBorders>
                    <w:top w:val="single" w:sz="8" w:space="0" w:color="FFFFFF"/>
                    <w:left w:val="single" w:sz="8" w:space="0" w:color="FFFFFF"/>
                    <w:bottom w:val="single" w:sz="8" w:space="0" w:color="FFFFFF"/>
                    <w:right w:val="single" w:sz="8" w:space="0" w:color="FFFFFF"/>
                  </w:tcBorders>
                  <w:shd w:val="clear" w:color="auto" w:fill="F0F0F0"/>
                  <w:tcMar>
                    <w:top w:w="72" w:type="dxa"/>
                    <w:left w:w="144" w:type="dxa"/>
                    <w:bottom w:w="72" w:type="dxa"/>
                    <w:right w:w="144" w:type="dxa"/>
                  </w:tcMar>
                  <w:hideMark/>
                </w:tcPr>
                <w:p w14:paraId="4DBD7FCE" w14:textId="77777777" w:rsidR="00E07616" w:rsidRPr="00EA0595" w:rsidRDefault="00E07616" w:rsidP="00DF3E14">
                  <w:pPr>
                    <w:rPr>
                      <w:lang w:val="en-GB"/>
                    </w:rPr>
                  </w:pPr>
                  <w:r w:rsidRPr="00EA0595">
                    <w:rPr>
                      <w:lang w:val="en-GB"/>
                    </w:rPr>
                    <w:t>Kodeks Administracji Cyfrowej (Codice dell’Administrazione Digitale, Decreto Legislativo 82/2005 modificato ed integrato dal Decreto Legislativo 235/2010),</w:t>
                  </w:r>
                </w:p>
                <w:p w14:paraId="79DCD813" w14:textId="77777777" w:rsidR="00E07616" w:rsidRPr="00E07616" w:rsidRDefault="00E07616" w:rsidP="00DF3E14">
                  <w:r w:rsidRPr="00E07616">
                    <w:t>Dekret Prezydenta Republiki z dnia 11 lutego 2005 r. N. 68 (Decreto del Presidente della Repubblica 11 febbraio 2005 n. 68)</w:t>
                  </w:r>
                </w:p>
                <w:p w14:paraId="285A53BB" w14:textId="77777777" w:rsidR="00E07616" w:rsidRPr="00E07616" w:rsidRDefault="00E07616" w:rsidP="00DF3E14"/>
              </w:tc>
            </w:tr>
            <w:tr w:rsidR="00E07616" w:rsidRPr="0000175D" w14:paraId="4408947B" w14:textId="77777777" w:rsidTr="00DF3E14">
              <w:trPr>
                <w:trHeight w:val="978"/>
              </w:trPr>
              <w:tc>
                <w:tcPr>
                  <w:tcW w:w="1896" w:type="dxa"/>
                  <w:tcBorders>
                    <w:top w:val="single" w:sz="8" w:space="0" w:color="FFFFFF"/>
                    <w:left w:val="single" w:sz="8" w:space="0" w:color="FFFFFF"/>
                    <w:bottom w:val="single" w:sz="8" w:space="0" w:color="FFFFFF"/>
                    <w:right w:val="single" w:sz="8" w:space="0" w:color="FFFFFF"/>
                  </w:tcBorders>
                  <w:shd w:val="clear" w:color="auto" w:fill="A5A5A5"/>
                  <w:tcMar>
                    <w:top w:w="72" w:type="dxa"/>
                    <w:left w:w="144" w:type="dxa"/>
                    <w:bottom w:w="72" w:type="dxa"/>
                    <w:right w:w="144" w:type="dxa"/>
                  </w:tcMar>
                  <w:hideMark/>
                </w:tcPr>
                <w:p w14:paraId="506A63FD" w14:textId="77777777" w:rsidR="00E07616" w:rsidRPr="0000175D" w:rsidRDefault="00E07616" w:rsidP="00DF3E14">
                  <w:r w:rsidRPr="0000175D">
                    <w:t>Czechy, Datova Schranka</w:t>
                  </w:r>
                </w:p>
              </w:tc>
              <w:tc>
                <w:tcPr>
                  <w:tcW w:w="2126" w:type="dxa"/>
                  <w:tcBorders>
                    <w:top w:val="single" w:sz="8" w:space="0" w:color="FFFFFF"/>
                    <w:left w:val="single" w:sz="8" w:space="0" w:color="FFFFFF"/>
                    <w:bottom w:val="single" w:sz="8" w:space="0" w:color="FFFFFF"/>
                    <w:right w:val="single" w:sz="8" w:space="0" w:color="FFFFFF"/>
                  </w:tcBorders>
                  <w:shd w:val="clear" w:color="auto" w:fill="E1E1E1"/>
                  <w:tcMar>
                    <w:top w:w="72" w:type="dxa"/>
                    <w:left w:w="144" w:type="dxa"/>
                    <w:bottom w:w="72" w:type="dxa"/>
                    <w:right w:w="144" w:type="dxa"/>
                  </w:tcMar>
                  <w:hideMark/>
                </w:tcPr>
                <w:p w14:paraId="1C8AB402" w14:textId="77777777" w:rsidR="00E07616" w:rsidRPr="0000175D" w:rsidRDefault="00E07616" w:rsidP="00DF3E14">
                  <w:r w:rsidRPr="0000175D">
                    <w:t>Osoby fizyczne, przedsiębiorcy, administracja</w:t>
                  </w:r>
                </w:p>
              </w:tc>
              <w:tc>
                <w:tcPr>
                  <w:tcW w:w="3028" w:type="dxa"/>
                  <w:tcBorders>
                    <w:top w:val="single" w:sz="8" w:space="0" w:color="FFFFFF"/>
                    <w:left w:val="single" w:sz="8" w:space="0" w:color="FFFFFF"/>
                    <w:bottom w:val="single" w:sz="8" w:space="0" w:color="FFFFFF"/>
                    <w:right w:val="single" w:sz="8" w:space="0" w:color="FFFFFF"/>
                  </w:tcBorders>
                  <w:shd w:val="clear" w:color="auto" w:fill="E1E1E1"/>
                  <w:tcMar>
                    <w:top w:w="72" w:type="dxa"/>
                    <w:left w:w="144" w:type="dxa"/>
                    <w:bottom w:w="72" w:type="dxa"/>
                    <w:right w:w="144" w:type="dxa"/>
                  </w:tcMar>
                  <w:hideMark/>
                </w:tcPr>
                <w:p w14:paraId="10287510" w14:textId="77777777" w:rsidR="00E07616" w:rsidRPr="00560372" w:rsidRDefault="00E07616" w:rsidP="00DF3E14">
                  <w:r w:rsidRPr="00E07616">
                    <w:t></w:t>
                  </w:r>
                  <w:r w:rsidRPr="00E07616">
                    <w:tab/>
                  </w:r>
                  <w:r w:rsidRPr="00560372">
                    <w:t>Darmowe dla osób fizycznych i przedsiębiorców;</w:t>
                  </w:r>
                </w:p>
                <w:p w14:paraId="7B1FB376" w14:textId="77777777" w:rsidR="00E07616" w:rsidRPr="00560372" w:rsidRDefault="00E07616" w:rsidP="00DF3E14">
                  <w:r w:rsidRPr="00E07616">
                    <w:t></w:t>
                  </w:r>
                  <w:r w:rsidRPr="00E07616">
                    <w:tab/>
                  </w:r>
                  <w:r w:rsidRPr="00560372">
                    <w:t>Użytkownicy płacą za usługi dodatkowe;</w:t>
                  </w:r>
                </w:p>
                <w:p w14:paraId="0A34AF1B" w14:textId="77777777" w:rsidR="00E07616" w:rsidRPr="00560372" w:rsidRDefault="00E07616" w:rsidP="00DF3E14">
                  <w:r w:rsidRPr="00E07616">
                    <w:t></w:t>
                  </w:r>
                  <w:r w:rsidRPr="00E07616">
                    <w:tab/>
                  </w:r>
                  <w:r w:rsidRPr="00560372">
                    <w:t>Pojemność skrzynki nie jest ograniczona, korespondencja jest automatycznie kasowana po 90 dniach;</w:t>
                  </w:r>
                </w:p>
                <w:p w14:paraId="222E4E64" w14:textId="77777777" w:rsidR="00E07616" w:rsidRPr="00560372" w:rsidRDefault="00E07616" w:rsidP="00DF3E14">
                  <w:r w:rsidRPr="00E07616">
                    <w:t></w:t>
                  </w:r>
                  <w:r w:rsidRPr="00E07616">
                    <w:tab/>
                  </w:r>
                  <w:r w:rsidRPr="00560372">
                    <w:t>Maksymalna wielkość pojedynczej wiadomości to 50MB;</w:t>
                  </w:r>
                </w:p>
              </w:tc>
              <w:tc>
                <w:tcPr>
                  <w:tcW w:w="3293" w:type="dxa"/>
                  <w:tcBorders>
                    <w:top w:val="single" w:sz="8" w:space="0" w:color="FFFFFF"/>
                    <w:left w:val="single" w:sz="8" w:space="0" w:color="FFFFFF"/>
                    <w:bottom w:val="single" w:sz="8" w:space="0" w:color="FFFFFF"/>
                    <w:right w:val="single" w:sz="8" w:space="0" w:color="FFFFFF"/>
                  </w:tcBorders>
                  <w:shd w:val="clear" w:color="auto" w:fill="E1E1E1"/>
                  <w:tcMar>
                    <w:top w:w="72" w:type="dxa"/>
                    <w:left w:w="144" w:type="dxa"/>
                    <w:bottom w:w="72" w:type="dxa"/>
                    <w:right w:w="144" w:type="dxa"/>
                  </w:tcMar>
                  <w:hideMark/>
                </w:tcPr>
                <w:p w14:paraId="658212EA" w14:textId="77777777" w:rsidR="00E07616" w:rsidRPr="0000175D" w:rsidRDefault="00E07616" w:rsidP="00DF3E14">
                  <w:r w:rsidRPr="0000175D">
                    <w:t>Ustawa nr 300/2008 kol. w sprawie działań elektronicznych i autoryzowanej konwersji dokumentów (Zákon č. 300/2008 Sb. O elektronických úkonech a autorizované konverzi dokumentu)</w:t>
                  </w:r>
                </w:p>
                <w:p w14:paraId="4A1C8AE0" w14:textId="77777777" w:rsidR="00E07616" w:rsidRPr="0000175D" w:rsidRDefault="00E07616" w:rsidP="00DF3E14"/>
              </w:tc>
            </w:tr>
            <w:tr w:rsidR="00E07616" w:rsidRPr="0000175D" w14:paraId="5C9DE584" w14:textId="77777777" w:rsidTr="00DF3E14">
              <w:trPr>
                <w:trHeight w:val="1468"/>
              </w:trPr>
              <w:tc>
                <w:tcPr>
                  <w:tcW w:w="1896" w:type="dxa"/>
                  <w:tcBorders>
                    <w:top w:val="single" w:sz="8" w:space="0" w:color="FFFFFF"/>
                    <w:left w:val="single" w:sz="8" w:space="0" w:color="FFFFFF"/>
                    <w:bottom w:val="single" w:sz="8" w:space="0" w:color="FFFFFF"/>
                    <w:right w:val="single" w:sz="8" w:space="0" w:color="FFFFFF"/>
                  </w:tcBorders>
                  <w:shd w:val="clear" w:color="auto" w:fill="A5A5A5"/>
                  <w:tcMar>
                    <w:top w:w="72" w:type="dxa"/>
                    <w:left w:w="144" w:type="dxa"/>
                    <w:bottom w:w="72" w:type="dxa"/>
                    <w:right w:w="144" w:type="dxa"/>
                  </w:tcMar>
                  <w:hideMark/>
                </w:tcPr>
                <w:p w14:paraId="18351C1C" w14:textId="77777777" w:rsidR="00E07616" w:rsidRPr="0000175D" w:rsidRDefault="00E07616" w:rsidP="00DF3E14">
                  <w:r w:rsidRPr="0000175D">
                    <w:lastRenderedPageBreak/>
                    <w:t xml:space="preserve">Dania, </w:t>
                  </w:r>
                </w:p>
                <w:p w14:paraId="48842774" w14:textId="77777777" w:rsidR="00E07616" w:rsidRPr="0000175D" w:rsidRDefault="00E07616" w:rsidP="00DF3E14">
                  <w:r w:rsidRPr="0000175D">
                    <w:t xml:space="preserve">DigitalPost </w:t>
                  </w:r>
                </w:p>
                <w:p w14:paraId="10EA5959" w14:textId="77777777" w:rsidR="00E07616" w:rsidRPr="0000175D" w:rsidRDefault="00E07616" w:rsidP="00DF3E14">
                  <w:r w:rsidRPr="0000175D">
                    <w:t>(eBoks, vrk.dk)</w:t>
                  </w:r>
                </w:p>
              </w:tc>
              <w:tc>
                <w:tcPr>
                  <w:tcW w:w="2126" w:type="dxa"/>
                  <w:tcBorders>
                    <w:top w:val="single" w:sz="8" w:space="0" w:color="FFFFFF"/>
                    <w:left w:val="single" w:sz="8" w:space="0" w:color="FFFFFF"/>
                    <w:bottom w:val="single" w:sz="8" w:space="0" w:color="FFFFFF"/>
                    <w:right w:val="single" w:sz="8" w:space="0" w:color="FFFFFF"/>
                  </w:tcBorders>
                  <w:shd w:val="clear" w:color="auto" w:fill="F0F0F0"/>
                  <w:tcMar>
                    <w:top w:w="72" w:type="dxa"/>
                    <w:left w:w="144" w:type="dxa"/>
                    <w:bottom w:w="72" w:type="dxa"/>
                    <w:right w:w="144" w:type="dxa"/>
                  </w:tcMar>
                  <w:hideMark/>
                </w:tcPr>
                <w:p w14:paraId="09725465" w14:textId="77777777" w:rsidR="00E07616" w:rsidRPr="0000175D" w:rsidRDefault="00E07616" w:rsidP="00DF3E14">
                  <w:r w:rsidRPr="0000175D">
                    <w:t>Osoby fizyczne, przedsiębiorcy, administracja,</w:t>
                  </w:r>
                </w:p>
                <w:p w14:paraId="021C6EDA" w14:textId="77777777" w:rsidR="00E07616" w:rsidRPr="0000175D" w:rsidRDefault="00E07616" w:rsidP="00DF3E14">
                  <w:r w:rsidRPr="0000175D">
                    <w:t>częściowo sądy (nawet w postępowaniach karnych)</w:t>
                  </w:r>
                </w:p>
              </w:tc>
              <w:tc>
                <w:tcPr>
                  <w:tcW w:w="3028" w:type="dxa"/>
                  <w:tcBorders>
                    <w:top w:val="single" w:sz="8" w:space="0" w:color="FFFFFF"/>
                    <w:left w:val="single" w:sz="8" w:space="0" w:color="FFFFFF"/>
                    <w:bottom w:val="single" w:sz="8" w:space="0" w:color="FFFFFF"/>
                    <w:right w:val="single" w:sz="8" w:space="0" w:color="FFFFFF"/>
                  </w:tcBorders>
                  <w:shd w:val="clear" w:color="auto" w:fill="F0F0F0"/>
                  <w:tcMar>
                    <w:top w:w="72" w:type="dxa"/>
                    <w:left w:w="144" w:type="dxa"/>
                    <w:bottom w:w="72" w:type="dxa"/>
                    <w:right w:w="144" w:type="dxa"/>
                  </w:tcMar>
                  <w:hideMark/>
                </w:tcPr>
                <w:p w14:paraId="17D5519A" w14:textId="77777777" w:rsidR="00E07616" w:rsidRPr="00560372" w:rsidRDefault="00E07616" w:rsidP="00DF3E14">
                  <w:r w:rsidRPr="00E07616">
                    <w:t></w:t>
                  </w:r>
                  <w:r w:rsidRPr="00E07616">
                    <w:tab/>
                  </w:r>
                  <w:r w:rsidRPr="00560372">
                    <w:t>Darmowa korespondencja dla osób fizycznych, płatna wysyłka dla firm i podmiotów publicznych.</w:t>
                  </w:r>
                </w:p>
                <w:p w14:paraId="6DA84175" w14:textId="77777777" w:rsidR="00E07616" w:rsidRPr="00560372" w:rsidRDefault="00E07616" w:rsidP="00DF3E14">
                  <w:r w:rsidRPr="00E07616">
                    <w:t></w:t>
                  </w:r>
                  <w:r w:rsidRPr="00E07616">
                    <w:tab/>
                  </w:r>
                  <w:r w:rsidRPr="00560372">
                    <w:t>Brak ograniczeń w przechowywaniu ilości korespondencji otrzymanej;</w:t>
                  </w:r>
                </w:p>
                <w:p w14:paraId="6AE42567" w14:textId="77777777" w:rsidR="00E07616" w:rsidRPr="00560372" w:rsidRDefault="00E07616" w:rsidP="00DF3E14">
                  <w:r w:rsidRPr="00E07616">
                    <w:t></w:t>
                  </w:r>
                  <w:r w:rsidRPr="00E07616">
                    <w:tab/>
                  </w:r>
                  <w:r w:rsidRPr="00560372">
                    <w:t>Dostępny 1GB przestrzeni dyskowej na korespondencję wysyłaną;</w:t>
                  </w:r>
                </w:p>
                <w:p w14:paraId="4D7BE304" w14:textId="77777777" w:rsidR="00E07616" w:rsidRPr="00560372" w:rsidRDefault="00E07616" w:rsidP="00DF3E14">
                  <w:r w:rsidRPr="00E07616">
                    <w:t></w:t>
                  </w:r>
                  <w:r w:rsidRPr="00E07616">
                    <w:tab/>
                  </w:r>
                  <w:r w:rsidRPr="00560372">
                    <w:t>Maksymalna wielkość pojedynczej korespondencji wynosi 10MB;</w:t>
                  </w:r>
                </w:p>
              </w:tc>
              <w:tc>
                <w:tcPr>
                  <w:tcW w:w="3293" w:type="dxa"/>
                  <w:tcBorders>
                    <w:top w:val="single" w:sz="8" w:space="0" w:color="FFFFFF"/>
                    <w:left w:val="single" w:sz="8" w:space="0" w:color="FFFFFF"/>
                    <w:bottom w:val="single" w:sz="8" w:space="0" w:color="FFFFFF"/>
                    <w:right w:val="single" w:sz="8" w:space="0" w:color="FFFFFF"/>
                  </w:tcBorders>
                  <w:shd w:val="clear" w:color="auto" w:fill="F0F0F0"/>
                  <w:tcMar>
                    <w:top w:w="72" w:type="dxa"/>
                    <w:left w:w="144" w:type="dxa"/>
                    <w:bottom w:w="72" w:type="dxa"/>
                    <w:right w:w="144" w:type="dxa"/>
                  </w:tcMar>
                  <w:hideMark/>
                </w:tcPr>
                <w:p w14:paraId="24C1015F" w14:textId="77777777" w:rsidR="00E07616" w:rsidRDefault="00E07616" w:rsidP="00DF3E14">
                  <w:r w:rsidRPr="0000175D">
                    <w:t xml:space="preserve">Ustawa o postępowaniu cyfrowym (Lov om Offentlig Digital Post). Zrównanie listu poleconego </w:t>
                  </w:r>
                </w:p>
                <w:p w14:paraId="1B5E6917" w14:textId="77777777" w:rsidR="00E07616" w:rsidRPr="0000175D" w:rsidRDefault="00E07616" w:rsidP="00DF3E14">
                  <w:r w:rsidRPr="0000175D">
                    <w:t>z e-doręczeniem. Obowiązek odbierania Digital Post od podmiotów publicznych nałożony na przedsiębiorców i osoby fizyczne. Minister Finansów wyznacza dostawcę usług e-doręczeń</w:t>
                  </w:r>
                </w:p>
                <w:p w14:paraId="0FF24717" w14:textId="77777777" w:rsidR="00E07616" w:rsidRPr="0000175D" w:rsidRDefault="00E07616" w:rsidP="00DF3E14"/>
              </w:tc>
            </w:tr>
            <w:tr w:rsidR="00E07616" w:rsidRPr="0000175D" w14:paraId="1D753E48" w14:textId="77777777" w:rsidTr="00DF3E14">
              <w:trPr>
                <w:trHeight w:val="978"/>
              </w:trPr>
              <w:tc>
                <w:tcPr>
                  <w:tcW w:w="1896" w:type="dxa"/>
                  <w:tcBorders>
                    <w:top w:val="single" w:sz="8" w:space="0" w:color="FFFFFF"/>
                    <w:left w:val="single" w:sz="8" w:space="0" w:color="FFFFFF"/>
                    <w:bottom w:val="single" w:sz="8" w:space="0" w:color="FFFFFF"/>
                    <w:right w:val="single" w:sz="8" w:space="0" w:color="FFFFFF"/>
                  </w:tcBorders>
                  <w:shd w:val="clear" w:color="auto" w:fill="A5A5A5"/>
                  <w:tcMar>
                    <w:top w:w="72" w:type="dxa"/>
                    <w:left w:w="144" w:type="dxa"/>
                    <w:bottom w:w="72" w:type="dxa"/>
                    <w:right w:w="144" w:type="dxa"/>
                  </w:tcMar>
                  <w:hideMark/>
                </w:tcPr>
                <w:p w14:paraId="307AE095" w14:textId="77777777" w:rsidR="00E07616" w:rsidRPr="0000175D" w:rsidRDefault="00E07616" w:rsidP="00DF3E14">
                  <w:r w:rsidRPr="0000175D">
                    <w:t xml:space="preserve">Estonia, </w:t>
                  </w:r>
                </w:p>
                <w:p w14:paraId="75066F9E" w14:textId="77777777" w:rsidR="00E07616" w:rsidRPr="0000175D" w:rsidRDefault="00E07616" w:rsidP="00DF3E14">
                  <w:r w:rsidRPr="0000175D">
                    <w:t xml:space="preserve">DigiDoc, </w:t>
                  </w:r>
                </w:p>
                <w:p w14:paraId="12F50925" w14:textId="77777777" w:rsidR="00E07616" w:rsidRPr="0000175D" w:rsidRDefault="00E07616" w:rsidP="00DF3E14">
                  <w:r w:rsidRPr="0000175D">
                    <w:t>e-resident</w:t>
                  </w:r>
                </w:p>
              </w:tc>
              <w:tc>
                <w:tcPr>
                  <w:tcW w:w="2126" w:type="dxa"/>
                  <w:tcBorders>
                    <w:top w:val="single" w:sz="8" w:space="0" w:color="FFFFFF"/>
                    <w:left w:val="single" w:sz="8" w:space="0" w:color="FFFFFF"/>
                    <w:bottom w:val="single" w:sz="8" w:space="0" w:color="FFFFFF"/>
                    <w:right w:val="single" w:sz="8" w:space="0" w:color="FFFFFF"/>
                  </w:tcBorders>
                  <w:shd w:val="clear" w:color="auto" w:fill="E1E1E1"/>
                  <w:tcMar>
                    <w:top w:w="72" w:type="dxa"/>
                    <w:left w:w="144" w:type="dxa"/>
                    <w:bottom w:w="72" w:type="dxa"/>
                    <w:right w:w="144" w:type="dxa"/>
                  </w:tcMar>
                  <w:hideMark/>
                </w:tcPr>
                <w:p w14:paraId="5D6C96F3" w14:textId="77777777" w:rsidR="00E07616" w:rsidRPr="0000175D" w:rsidRDefault="00E07616" w:rsidP="00DF3E14">
                  <w:r w:rsidRPr="0000175D">
                    <w:t>Osoby fizyczne, przedsiębiorcy, administracja.</w:t>
                  </w:r>
                </w:p>
              </w:tc>
              <w:tc>
                <w:tcPr>
                  <w:tcW w:w="3028" w:type="dxa"/>
                  <w:tcBorders>
                    <w:top w:val="single" w:sz="8" w:space="0" w:color="FFFFFF"/>
                    <w:left w:val="single" w:sz="8" w:space="0" w:color="FFFFFF"/>
                    <w:bottom w:val="single" w:sz="8" w:space="0" w:color="FFFFFF"/>
                    <w:right w:val="single" w:sz="8" w:space="0" w:color="FFFFFF"/>
                  </w:tcBorders>
                  <w:shd w:val="clear" w:color="auto" w:fill="E1E1E1"/>
                  <w:tcMar>
                    <w:top w:w="72" w:type="dxa"/>
                    <w:left w:w="144" w:type="dxa"/>
                    <w:bottom w:w="72" w:type="dxa"/>
                    <w:right w:w="144" w:type="dxa"/>
                  </w:tcMar>
                  <w:hideMark/>
                </w:tcPr>
                <w:p w14:paraId="29E7BF32" w14:textId="77777777" w:rsidR="00E07616" w:rsidRPr="00560372" w:rsidRDefault="00E07616" w:rsidP="00DF3E14">
                  <w:r w:rsidRPr="00E07616">
                    <w:t></w:t>
                  </w:r>
                  <w:r w:rsidRPr="00E07616">
                    <w:tab/>
                  </w:r>
                  <w:r w:rsidRPr="00560372">
                    <w:t>Brak ograniczenia dot. liczby archiwizowanych korespondencji.</w:t>
                  </w:r>
                </w:p>
                <w:p w14:paraId="3A9EAF9D" w14:textId="77777777" w:rsidR="00E07616" w:rsidRPr="00560372" w:rsidRDefault="00E07616" w:rsidP="00DF3E14">
                  <w:r w:rsidRPr="00E07616">
                    <w:t></w:t>
                  </w:r>
                  <w:r w:rsidRPr="00E07616">
                    <w:tab/>
                  </w:r>
                  <w:r w:rsidRPr="00560372">
                    <w:t>Zróżnicowana wysokość opłat abonamentowych.</w:t>
                  </w:r>
                </w:p>
              </w:tc>
              <w:tc>
                <w:tcPr>
                  <w:tcW w:w="3293" w:type="dxa"/>
                  <w:tcBorders>
                    <w:top w:val="single" w:sz="8" w:space="0" w:color="FFFFFF"/>
                    <w:left w:val="single" w:sz="8" w:space="0" w:color="FFFFFF"/>
                    <w:bottom w:val="single" w:sz="8" w:space="0" w:color="FFFFFF"/>
                    <w:right w:val="single" w:sz="8" w:space="0" w:color="FFFFFF"/>
                  </w:tcBorders>
                  <w:shd w:val="clear" w:color="auto" w:fill="E1E1E1"/>
                  <w:tcMar>
                    <w:top w:w="72" w:type="dxa"/>
                    <w:left w:w="144" w:type="dxa"/>
                    <w:bottom w:w="72" w:type="dxa"/>
                    <w:right w:w="144" w:type="dxa"/>
                  </w:tcMar>
                  <w:hideMark/>
                </w:tcPr>
                <w:p w14:paraId="74C3FAB1" w14:textId="77777777" w:rsidR="00E07616" w:rsidRPr="0000175D" w:rsidRDefault="00E07616" w:rsidP="00DF3E14">
                  <w:r w:rsidRPr="0000175D">
                    <w:t>Porozumienie rządowe</w:t>
                  </w:r>
                </w:p>
              </w:tc>
            </w:tr>
            <w:tr w:rsidR="00A44E13" w:rsidRPr="0000175D" w14:paraId="2EE70977" w14:textId="77777777" w:rsidTr="00DF3E14">
              <w:trPr>
                <w:trHeight w:val="978"/>
              </w:trPr>
              <w:tc>
                <w:tcPr>
                  <w:tcW w:w="1896" w:type="dxa"/>
                  <w:tcBorders>
                    <w:top w:val="single" w:sz="8" w:space="0" w:color="FFFFFF"/>
                    <w:left w:val="single" w:sz="8" w:space="0" w:color="FFFFFF"/>
                    <w:bottom w:val="single" w:sz="8" w:space="0" w:color="FFFFFF"/>
                    <w:right w:val="single" w:sz="8" w:space="0" w:color="FFFFFF"/>
                  </w:tcBorders>
                  <w:shd w:val="clear" w:color="auto" w:fill="A5A5A5"/>
                  <w:tcMar>
                    <w:top w:w="72" w:type="dxa"/>
                    <w:left w:w="144" w:type="dxa"/>
                    <w:bottom w:w="72" w:type="dxa"/>
                    <w:right w:w="144" w:type="dxa"/>
                  </w:tcMar>
                </w:tcPr>
                <w:p w14:paraId="6FCF4091" w14:textId="683F5547" w:rsidR="00A44E13" w:rsidRDefault="000A61D2" w:rsidP="00A44E13">
                  <w:sdt>
                    <w:sdtPr>
                      <w:tag w:val="goog_rdk_300"/>
                      <w:id w:val="-1170942990"/>
                    </w:sdtPr>
                    <w:sdtEndPr/>
                    <w:sdtContent>
                      <w:r w:rsidR="00A44E13">
                        <w:t>Litwa,</w:t>
                      </w:r>
                    </w:sdtContent>
                  </w:sdt>
                </w:p>
                <w:sdt>
                  <w:sdtPr>
                    <w:tag w:val="goog_rdk_303"/>
                    <w:id w:val="-1606339164"/>
                  </w:sdtPr>
                  <w:sdtEndPr/>
                  <w:sdtContent>
                    <w:p w14:paraId="1E425C02" w14:textId="7CECE213" w:rsidR="00A44E13" w:rsidRPr="0000175D" w:rsidRDefault="000A61D2" w:rsidP="00A44E13">
                      <w:sdt>
                        <w:sdtPr>
                          <w:tag w:val="goog_rdk_302"/>
                          <w:id w:val="-1498416184"/>
                        </w:sdtPr>
                        <w:sdtEndPr/>
                        <w:sdtContent>
                          <w:r w:rsidR="00A44E13">
                            <w:t>E. pristatymas</w:t>
                          </w:r>
                        </w:sdtContent>
                      </w:sdt>
                    </w:p>
                  </w:sdtContent>
                </w:sdt>
              </w:tc>
              <w:tc>
                <w:tcPr>
                  <w:tcW w:w="2126" w:type="dxa"/>
                  <w:tcBorders>
                    <w:top w:val="single" w:sz="8" w:space="0" w:color="FFFFFF"/>
                    <w:left w:val="single" w:sz="8" w:space="0" w:color="FFFFFF"/>
                    <w:bottom w:val="single" w:sz="8" w:space="0" w:color="FFFFFF"/>
                    <w:right w:val="single" w:sz="8" w:space="0" w:color="FFFFFF"/>
                  </w:tcBorders>
                  <w:shd w:val="clear" w:color="auto" w:fill="E1E1E1"/>
                  <w:tcMar>
                    <w:top w:w="72" w:type="dxa"/>
                    <w:left w:w="144" w:type="dxa"/>
                    <w:bottom w:w="72" w:type="dxa"/>
                    <w:right w:w="144" w:type="dxa"/>
                  </w:tcMar>
                </w:tcPr>
                <w:sdt>
                  <w:sdtPr>
                    <w:tag w:val="goog_rdk_305"/>
                    <w:id w:val="692420685"/>
                  </w:sdtPr>
                  <w:sdtEndPr/>
                  <w:sdtContent>
                    <w:p w14:paraId="72D08A2C" w14:textId="26A9E638" w:rsidR="00A44E13" w:rsidRPr="0000175D" w:rsidRDefault="000A61D2" w:rsidP="00A44E13">
                      <w:sdt>
                        <w:sdtPr>
                          <w:tag w:val="goog_rdk_304"/>
                          <w:id w:val="553580475"/>
                        </w:sdtPr>
                        <w:sdtEndPr/>
                        <w:sdtContent>
                          <w:r w:rsidR="00A44E13">
                            <w:t>Osoby fizyczne,</w:t>
                          </w:r>
                          <w:r w:rsidR="00A44E13">
                            <w:br/>
                            <w:t>przedsiębiorcy,</w:t>
                          </w:r>
                          <w:r w:rsidR="00A44E13">
                            <w:br/>
                            <w:t>administracja</w:t>
                          </w:r>
                        </w:sdtContent>
                      </w:sdt>
                    </w:p>
                  </w:sdtContent>
                </w:sdt>
              </w:tc>
              <w:tc>
                <w:tcPr>
                  <w:tcW w:w="3028" w:type="dxa"/>
                  <w:tcBorders>
                    <w:top w:val="single" w:sz="8" w:space="0" w:color="FFFFFF"/>
                    <w:left w:val="single" w:sz="8" w:space="0" w:color="FFFFFF"/>
                    <w:bottom w:val="single" w:sz="8" w:space="0" w:color="FFFFFF"/>
                    <w:right w:val="single" w:sz="8" w:space="0" w:color="FFFFFF"/>
                  </w:tcBorders>
                  <w:shd w:val="clear" w:color="auto" w:fill="E1E1E1"/>
                  <w:tcMar>
                    <w:top w:w="72" w:type="dxa"/>
                    <w:left w:w="144" w:type="dxa"/>
                    <w:bottom w:w="72" w:type="dxa"/>
                    <w:right w:w="144" w:type="dxa"/>
                  </w:tcMar>
                </w:tcPr>
                <w:sdt>
                  <w:sdtPr>
                    <w:tag w:val="goog_rdk_307"/>
                    <w:id w:val="128455789"/>
                  </w:sdtPr>
                  <w:sdtEndPr/>
                  <w:sdtContent>
                    <w:p w14:paraId="5EF1BACC" w14:textId="77777777" w:rsidR="00A44E13" w:rsidRDefault="000A61D2" w:rsidP="00A44E13">
                      <w:sdt>
                        <w:sdtPr>
                          <w:tag w:val="goog_rdk_306"/>
                          <w:id w:val="1423369321"/>
                        </w:sdtPr>
                        <w:sdtEndPr/>
                        <w:sdtContent>
                          <w:r w:rsidR="00A44E13">
                            <w:t></w:t>
                          </w:r>
                          <w:r w:rsidR="00A44E13">
                            <w:tab/>
                            <w:t>Brak ograniczenia dot. liczby archiwizowanych korespondencji.</w:t>
                          </w:r>
                        </w:sdtContent>
                      </w:sdt>
                    </w:p>
                  </w:sdtContent>
                </w:sdt>
                <w:sdt>
                  <w:sdtPr>
                    <w:tag w:val="goog_rdk_309"/>
                    <w:id w:val="1885827734"/>
                  </w:sdtPr>
                  <w:sdtEndPr/>
                  <w:sdtContent>
                    <w:p w14:paraId="4551A4D5" w14:textId="7A9816BF" w:rsidR="00A44E13" w:rsidRPr="00E07616" w:rsidRDefault="000A61D2" w:rsidP="00A44E13">
                      <w:sdt>
                        <w:sdtPr>
                          <w:tag w:val="goog_rdk_308"/>
                          <w:id w:val="-513529632"/>
                        </w:sdtPr>
                        <w:sdtEndPr/>
                        <w:sdtContent>
                          <w:r w:rsidR="00A44E13">
                            <w:t></w:t>
                          </w:r>
                          <w:r w:rsidR="00A44E13">
                            <w:tab/>
                            <w:t>Automatyczne kasowanie korespondencji po 180 dniach</w:t>
                          </w:r>
                        </w:sdtContent>
                      </w:sdt>
                    </w:p>
                  </w:sdtContent>
                </w:sdt>
              </w:tc>
              <w:tc>
                <w:tcPr>
                  <w:tcW w:w="3293" w:type="dxa"/>
                  <w:tcBorders>
                    <w:top w:val="single" w:sz="8" w:space="0" w:color="FFFFFF"/>
                    <w:left w:val="single" w:sz="8" w:space="0" w:color="FFFFFF"/>
                    <w:bottom w:val="single" w:sz="8" w:space="0" w:color="FFFFFF"/>
                    <w:right w:val="single" w:sz="8" w:space="0" w:color="FFFFFF"/>
                  </w:tcBorders>
                  <w:shd w:val="clear" w:color="auto" w:fill="E1E1E1"/>
                  <w:tcMar>
                    <w:top w:w="72" w:type="dxa"/>
                    <w:left w:w="144" w:type="dxa"/>
                    <w:bottom w:w="72" w:type="dxa"/>
                    <w:right w:w="144" w:type="dxa"/>
                  </w:tcMar>
                </w:tcPr>
                <w:p w14:paraId="682D5A1D" w14:textId="70829C54" w:rsidR="00A44E13" w:rsidRPr="0000175D" w:rsidRDefault="000A61D2" w:rsidP="00A44E13">
                  <w:sdt>
                    <w:sdtPr>
                      <w:tag w:val="goog_rdk_311"/>
                      <w:id w:val="522453630"/>
                    </w:sdtPr>
                    <w:sdtEndPr/>
                    <w:sdtContent>
                      <w:sdt>
                        <w:sdtPr>
                          <w:tag w:val="goog_rdk_310"/>
                          <w:id w:val="1091904363"/>
                        </w:sdtPr>
                        <w:sdtEndPr/>
                        <w:sdtContent>
                          <w:r w:rsidR="00A44E13">
                            <w:t xml:space="preserve">Ustawa nr 914 </w:t>
                          </w:r>
                          <w:r w:rsidR="00A44E13">
                            <w:br/>
                            <w:t>„O zatwierdzeniu zapisów Krajowego Systemu Informatycznego Doręczania Przesyłek Elektronicznych w Sieci Pocztowej” („Dėl Nacionalinės elektroninių siuntų pristatymo, naudojant pašto tinklą, informacinės sistemos nuostatų patvirtinimo“)</w:t>
                          </w:r>
                        </w:sdtContent>
                      </w:sdt>
                    </w:sdtContent>
                  </w:sdt>
                </w:p>
              </w:tc>
            </w:tr>
          </w:tbl>
          <w:p w14:paraId="35E30BE0" w14:textId="77777777" w:rsidR="00E07616" w:rsidRPr="00E07616" w:rsidRDefault="00E07616" w:rsidP="00DF3E14">
            <w:r w:rsidRPr="0000175D">
              <w:t xml:space="preserve">Różnice w podejściu do omawianego zagadnienia w innych krajach UE obejmują nie tylko pojemność </w:t>
            </w:r>
            <w:r w:rsidRPr="0000175D">
              <w:lastRenderedPageBreak/>
              <w:t>skrzynki lub limit wolumenu dokumentu elektronicznego, ale też możliwość (lub jej brak) dynamicznego zarządzania dostępną pojemnością przez wykupienie dodatkowych pakietów rozszerzających lub zastosowanie mechanizmów automatycznego kasowania archiwalnych wiadomości. Wybór konkretnych rozwiązań zależny jest przede wszystkim od uwarunkowań prawa państwa członkowskiego oraz od technicznych i organizacyjnych ograniczeń systemów elektronicznych doręczeń w danym państwie, a także od przyjętego modelu jednostki służącej do pomiaru ilości korespondencji (np. liczba wiadomości w Czechach i liczba MB/GB w większości pozostałych krajów UE).</w:t>
            </w:r>
          </w:p>
        </w:tc>
      </w:tr>
      <w:tr w:rsidR="00E07616" w:rsidRPr="0000175D" w14:paraId="3FC35412" w14:textId="77777777" w:rsidTr="00DF3E14">
        <w:trPr>
          <w:trHeight w:val="359"/>
          <w:jc w:val="center"/>
        </w:trPr>
        <w:tc>
          <w:tcPr>
            <w:tcW w:w="10916" w:type="dxa"/>
            <w:gridSpan w:val="29"/>
            <w:shd w:val="clear" w:color="auto" w:fill="99CCFF"/>
            <w:vAlign w:val="center"/>
          </w:tcPr>
          <w:p w14:paraId="00E0810C" w14:textId="77777777" w:rsidR="00E07616" w:rsidRPr="00DF3E14" w:rsidRDefault="00E07616" w:rsidP="00DF3E14">
            <w:pPr>
              <w:rPr>
                <w:rStyle w:val="Ppogrubienie"/>
              </w:rPr>
            </w:pPr>
            <w:r w:rsidRPr="00DF3E14">
              <w:rPr>
                <w:rStyle w:val="Ppogrubienie"/>
              </w:rPr>
              <w:lastRenderedPageBreak/>
              <w:t>4.</w:t>
            </w:r>
            <w:r w:rsidRPr="00DF3E14">
              <w:rPr>
                <w:rStyle w:val="Ppogrubienie"/>
              </w:rPr>
              <w:tab/>
              <w:t>Podmioty, na które oddziałuje projekt</w:t>
            </w:r>
          </w:p>
        </w:tc>
      </w:tr>
      <w:tr w:rsidR="00E07616" w:rsidRPr="0000175D" w14:paraId="2EB96A18" w14:textId="77777777" w:rsidTr="00DF3E14">
        <w:trPr>
          <w:trHeight w:val="142"/>
          <w:jc w:val="center"/>
        </w:trPr>
        <w:tc>
          <w:tcPr>
            <w:tcW w:w="2056" w:type="dxa"/>
            <w:gridSpan w:val="2"/>
            <w:shd w:val="clear" w:color="auto" w:fill="auto"/>
          </w:tcPr>
          <w:p w14:paraId="437CFE8C" w14:textId="77777777" w:rsidR="00E07616" w:rsidRPr="0000175D" w:rsidRDefault="00E07616" w:rsidP="00DF3E14">
            <w:r w:rsidRPr="0000175D">
              <w:t>Grupa</w:t>
            </w:r>
          </w:p>
        </w:tc>
        <w:tc>
          <w:tcPr>
            <w:tcW w:w="2410" w:type="dxa"/>
            <w:gridSpan w:val="7"/>
            <w:shd w:val="clear" w:color="auto" w:fill="auto"/>
          </w:tcPr>
          <w:p w14:paraId="2D3E1528" w14:textId="77777777" w:rsidR="00E07616" w:rsidRPr="0000175D" w:rsidRDefault="00E07616" w:rsidP="00DF3E14">
            <w:r w:rsidRPr="0000175D">
              <w:t>Wielkość</w:t>
            </w:r>
          </w:p>
        </w:tc>
        <w:tc>
          <w:tcPr>
            <w:tcW w:w="2410" w:type="dxa"/>
            <w:gridSpan w:val="10"/>
            <w:shd w:val="clear" w:color="auto" w:fill="auto"/>
          </w:tcPr>
          <w:p w14:paraId="41BE6045" w14:textId="77777777" w:rsidR="00E07616" w:rsidRPr="0000175D" w:rsidRDefault="00E07616" w:rsidP="00DF3E14">
            <w:r w:rsidRPr="0000175D">
              <w:t>Źródło danych</w:t>
            </w:r>
            <w:r w:rsidRPr="0000175D" w:rsidDel="00260F33">
              <w:t xml:space="preserve"> </w:t>
            </w:r>
          </w:p>
        </w:tc>
        <w:tc>
          <w:tcPr>
            <w:tcW w:w="4040" w:type="dxa"/>
            <w:gridSpan w:val="10"/>
            <w:shd w:val="clear" w:color="auto" w:fill="auto"/>
          </w:tcPr>
          <w:p w14:paraId="3F800E82" w14:textId="77777777" w:rsidR="00E07616" w:rsidRPr="0000175D" w:rsidRDefault="00E07616" w:rsidP="00DF3E14">
            <w:r w:rsidRPr="0000175D">
              <w:t>Oddziaływanie</w:t>
            </w:r>
          </w:p>
        </w:tc>
      </w:tr>
      <w:tr w:rsidR="00E07616" w:rsidRPr="0000175D" w14:paraId="539A588B" w14:textId="77777777" w:rsidTr="00DF3E14">
        <w:trPr>
          <w:trHeight w:val="142"/>
          <w:jc w:val="center"/>
        </w:trPr>
        <w:tc>
          <w:tcPr>
            <w:tcW w:w="2056" w:type="dxa"/>
            <w:gridSpan w:val="2"/>
            <w:shd w:val="clear" w:color="auto" w:fill="auto"/>
          </w:tcPr>
          <w:p w14:paraId="1A27DE88" w14:textId="77777777" w:rsidR="00E07616" w:rsidRPr="00E07616" w:rsidRDefault="00E07616" w:rsidP="00DF3E14">
            <w:pPr>
              <w:rPr>
                <w:rStyle w:val="Ppogrubienie"/>
              </w:rPr>
            </w:pPr>
            <w:r w:rsidRPr="00E07616">
              <w:rPr>
                <w:rStyle w:val="Kkursywa"/>
              </w:rPr>
              <w:t>Operator wyznaczony – Poczta Polska S.A.</w:t>
            </w:r>
          </w:p>
        </w:tc>
        <w:tc>
          <w:tcPr>
            <w:tcW w:w="2410" w:type="dxa"/>
            <w:gridSpan w:val="7"/>
            <w:shd w:val="clear" w:color="auto" w:fill="auto"/>
          </w:tcPr>
          <w:p w14:paraId="0690C9A6" w14:textId="77777777" w:rsidR="00E07616" w:rsidRPr="0000175D" w:rsidRDefault="00E07616" w:rsidP="00DF3E14">
            <w:r w:rsidRPr="0000175D">
              <w:t xml:space="preserve">Przedsiębiorca o </w:t>
            </w:r>
          </w:p>
          <w:p w14:paraId="7B94884B" w14:textId="77777777" w:rsidR="00E07616" w:rsidRPr="0000175D" w:rsidRDefault="00E07616" w:rsidP="00DF3E14">
            <w:r w:rsidRPr="0000175D">
              <w:t xml:space="preserve">ogólnopolskim zasięgu </w:t>
            </w:r>
          </w:p>
          <w:p w14:paraId="0C3D9EC9" w14:textId="77777777" w:rsidR="00E07616" w:rsidRPr="0000175D" w:rsidRDefault="00E07616" w:rsidP="00DF3E14">
            <w:r w:rsidRPr="0000175D">
              <w:t xml:space="preserve">działania zatrudniający ok. </w:t>
            </w:r>
          </w:p>
          <w:p w14:paraId="33012A1C" w14:textId="77777777" w:rsidR="00E07616" w:rsidRPr="0000175D" w:rsidRDefault="00E07616" w:rsidP="00DF3E14">
            <w:r w:rsidRPr="0000175D">
              <w:t>80 000 osób</w:t>
            </w:r>
          </w:p>
        </w:tc>
        <w:tc>
          <w:tcPr>
            <w:tcW w:w="2410" w:type="dxa"/>
            <w:gridSpan w:val="10"/>
            <w:shd w:val="clear" w:color="auto" w:fill="auto"/>
          </w:tcPr>
          <w:p w14:paraId="4EB94AA3" w14:textId="77777777" w:rsidR="00E07616" w:rsidRPr="0000175D" w:rsidRDefault="00E07616" w:rsidP="00DF3E14">
            <w:r w:rsidRPr="0000175D">
              <w:t xml:space="preserve">Raport UKE o stanie </w:t>
            </w:r>
          </w:p>
          <w:p w14:paraId="35714095" w14:textId="77777777" w:rsidR="00E07616" w:rsidRPr="0000175D" w:rsidRDefault="00E07616" w:rsidP="00DF3E14">
            <w:r w:rsidRPr="0000175D">
              <w:t xml:space="preserve">rynku pocztowego w </w:t>
            </w:r>
          </w:p>
          <w:p w14:paraId="54C76726" w14:textId="77777777" w:rsidR="00E07616" w:rsidRPr="0000175D" w:rsidRDefault="00E07616" w:rsidP="00DF3E14">
            <w:r w:rsidRPr="0000175D">
              <w:t>2017 roku</w:t>
            </w:r>
          </w:p>
        </w:tc>
        <w:tc>
          <w:tcPr>
            <w:tcW w:w="4040" w:type="dxa"/>
            <w:gridSpan w:val="10"/>
            <w:shd w:val="clear" w:color="auto" w:fill="auto"/>
          </w:tcPr>
          <w:p w14:paraId="00CD008A" w14:textId="77777777" w:rsidR="00E07616" w:rsidRPr="0000175D" w:rsidRDefault="00E07616" w:rsidP="00DF3E14">
            <w:r w:rsidRPr="00E07616">
              <w:t xml:space="preserve">Rozporządzenie doprecyzowuje wymagania ustawy w zakresie warunków przyjmowania i przekazywania danych z/do publicznej usługi rejestrowanego doręczenia elektronicznego realizowanej przez Operatora Wyznaczonego. </w:t>
            </w:r>
          </w:p>
        </w:tc>
      </w:tr>
      <w:tr w:rsidR="00E07616" w:rsidRPr="0000175D" w14:paraId="6251B223" w14:textId="77777777" w:rsidTr="00DF3E14">
        <w:trPr>
          <w:trHeight w:val="142"/>
          <w:jc w:val="center"/>
        </w:trPr>
        <w:tc>
          <w:tcPr>
            <w:tcW w:w="2056" w:type="dxa"/>
            <w:gridSpan w:val="2"/>
            <w:shd w:val="clear" w:color="auto" w:fill="auto"/>
          </w:tcPr>
          <w:p w14:paraId="63439EFE" w14:textId="77777777" w:rsidR="00E07616" w:rsidRPr="0000175D" w:rsidRDefault="00E07616" w:rsidP="00DF3E14">
            <w:r w:rsidRPr="00E07616">
              <w:rPr>
                <w:rStyle w:val="Kkursywa"/>
              </w:rPr>
              <w:t>Końcowi użytkownicy skrzynek doręczeń</w:t>
            </w:r>
          </w:p>
        </w:tc>
        <w:tc>
          <w:tcPr>
            <w:tcW w:w="2410" w:type="dxa"/>
            <w:gridSpan w:val="7"/>
            <w:shd w:val="clear" w:color="auto" w:fill="auto"/>
          </w:tcPr>
          <w:p w14:paraId="34375B0E" w14:textId="77777777" w:rsidR="00E07616" w:rsidRPr="0000175D" w:rsidRDefault="00E07616" w:rsidP="00DF3E14">
            <w:r w:rsidRPr="00E07616">
              <w:rPr>
                <w:rStyle w:val="Kkursywa"/>
              </w:rPr>
              <w:t xml:space="preserve">Ok. 31,5 miliona osób w wieku produkcyjnym i poprodukcyjnym oraz ok. 4,5 mln podmiotów zarejestrowanych w rejestrze REGON, </w:t>
            </w:r>
          </w:p>
          <w:p w14:paraId="4AACE753" w14:textId="77777777" w:rsidR="00E07616" w:rsidRPr="0000175D" w:rsidRDefault="00E07616" w:rsidP="00DF3E14">
            <w:r w:rsidRPr="0000175D">
              <w:t xml:space="preserve">w tym: </w:t>
            </w:r>
          </w:p>
          <w:p w14:paraId="663340AE" w14:textId="77777777" w:rsidR="00E07616" w:rsidRPr="0000175D" w:rsidRDefault="00E07616" w:rsidP="00DF3E14">
            <w:r w:rsidRPr="0000175D">
              <w:t xml:space="preserve">podmioty sektora </w:t>
            </w:r>
          </w:p>
          <w:p w14:paraId="574531C5" w14:textId="77777777" w:rsidR="00E07616" w:rsidRPr="0000175D" w:rsidRDefault="00E07616" w:rsidP="00DF3E14">
            <w:r w:rsidRPr="0000175D">
              <w:t xml:space="preserve">publicznego  </w:t>
            </w:r>
          </w:p>
          <w:p w14:paraId="14933540" w14:textId="77777777" w:rsidR="00E07616" w:rsidRPr="0000175D" w:rsidRDefault="00E07616" w:rsidP="00DF3E14">
            <w:r w:rsidRPr="0000175D">
              <w:t xml:space="preserve">ok. 70 000  </w:t>
            </w:r>
          </w:p>
          <w:p w14:paraId="6E6E9431" w14:textId="77777777" w:rsidR="00E07616" w:rsidRPr="0000175D" w:rsidRDefault="00E07616" w:rsidP="00DF3E14">
            <w:r w:rsidRPr="0000175D">
              <w:t>oraz ok. 3,5 mln przedsiębiorców</w:t>
            </w:r>
          </w:p>
        </w:tc>
        <w:tc>
          <w:tcPr>
            <w:tcW w:w="2410" w:type="dxa"/>
            <w:gridSpan w:val="10"/>
            <w:shd w:val="clear" w:color="auto" w:fill="auto"/>
          </w:tcPr>
          <w:p w14:paraId="233801A1" w14:textId="77777777" w:rsidR="00E07616" w:rsidRPr="00E07616" w:rsidRDefault="00E07616" w:rsidP="00DF3E14">
            <w:pPr>
              <w:rPr>
                <w:rStyle w:val="Kkursywa"/>
              </w:rPr>
            </w:pPr>
            <w:r w:rsidRPr="00E07616">
              <w:rPr>
                <w:rStyle w:val="Kkursywa"/>
              </w:rPr>
              <w:t xml:space="preserve">Mały Rocznik Statystyczny GUS 2020, </w:t>
            </w:r>
          </w:p>
          <w:p w14:paraId="36A351A2" w14:textId="77777777" w:rsidR="00E07616" w:rsidRPr="0000175D" w:rsidRDefault="00E07616" w:rsidP="00DF3E14">
            <w:r w:rsidRPr="00E07616">
              <w:rPr>
                <w:rStyle w:val="Kkursywa"/>
              </w:rPr>
              <w:t>Rejestr REGON</w:t>
            </w:r>
          </w:p>
        </w:tc>
        <w:tc>
          <w:tcPr>
            <w:tcW w:w="4040" w:type="dxa"/>
            <w:gridSpan w:val="10"/>
            <w:shd w:val="clear" w:color="auto" w:fill="auto"/>
          </w:tcPr>
          <w:p w14:paraId="327F8D04" w14:textId="77777777" w:rsidR="00E07616" w:rsidRPr="0000175D" w:rsidRDefault="00E07616" w:rsidP="00DF3E14">
            <w:r w:rsidRPr="00E07616">
              <w:rPr>
                <w:rStyle w:val="Kkursywa"/>
              </w:rPr>
              <w:t>Projekt wpływa na użytkowników skrzynek doręczeń – ich poziom zaufania do niezawodności usługi oraz nawyk regularnego archiwizowania wiadomości. Są oni odbiorcami powiadomień o przepełnieniu skrzynki. W przypadku wyznaczenia administratora skrzynki doręczeń będzie on obowiązany do reagowania na informacje i ostrzeżenia OW związane z zapełnianiem przestrzeni dyskowej skrzynki doręczeń.</w:t>
            </w:r>
          </w:p>
        </w:tc>
      </w:tr>
      <w:tr w:rsidR="00E07616" w:rsidRPr="0000175D" w14:paraId="00EB36E8" w14:textId="77777777" w:rsidTr="00DF3E14">
        <w:trPr>
          <w:trHeight w:val="142"/>
          <w:jc w:val="center"/>
        </w:trPr>
        <w:tc>
          <w:tcPr>
            <w:tcW w:w="2056" w:type="dxa"/>
            <w:gridSpan w:val="2"/>
            <w:shd w:val="clear" w:color="auto" w:fill="auto"/>
          </w:tcPr>
          <w:p w14:paraId="732BC0D4" w14:textId="77777777" w:rsidR="00E07616" w:rsidRPr="00E07616" w:rsidRDefault="00E07616" w:rsidP="00DF3E14">
            <w:pPr>
              <w:rPr>
                <w:rStyle w:val="Kkursywa"/>
              </w:rPr>
            </w:pPr>
            <w:r w:rsidRPr="00E07616">
              <w:rPr>
                <w:rStyle w:val="Kkursywa"/>
              </w:rPr>
              <w:t>Producenci aplikacji klienckich (EZD)</w:t>
            </w:r>
          </w:p>
        </w:tc>
        <w:tc>
          <w:tcPr>
            <w:tcW w:w="2410" w:type="dxa"/>
            <w:gridSpan w:val="7"/>
            <w:shd w:val="clear" w:color="auto" w:fill="auto"/>
          </w:tcPr>
          <w:p w14:paraId="7091763B" w14:textId="77777777" w:rsidR="00E07616" w:rsidRPr="00E07616" w:rsidRDefault="00E07616" w:rsidP="00DF3E14">
            <w:pPr>
              <w:rPr>
                <w:rStyle w:val="Kkursywa"/>
              </w:rPr>
            </w:pPr>
            <w:r w:rsidRPr="00E07616">
              <w:rPr>
                <w:rStyle w:val="Kkursywa"/>
              </w:rPr>
              <w:t xml:space="preserve">Do 10: EZD RP, eDOK, EZD PUW, Comarch EZD, </w:t>
            </w:r>
            <w:r w:rsidRPr="00E07616">
              <w:rPr>
                <w:rStyle w:val="Kkursywa"/>
              </w:rPr>
              <w:lastRenderedPageBreak/>
              <w:t>eObiegEZD i aplikacje, które powstaną dla klienta niepublicznego</w:t>
            </w:r>
          </w:p>
        </w:tc>
        <w:tc>
          <w:tcPr>
            <w:tcW w:w="2410" w:type="dxa"/>
            <w:gridSpan w:val="10"/>
            <w:shd w:val="clear" w:color="auto" w:fill="auto"/>
          </w:tcPr>
          <w:p w14:paraId="1771A0F5" w14:textId="77777777" w:rsidR="00E07616" w:rsidRPr="00E07616" w:rsidRDefault="00E07616" w:rsidP="00DF3E14">
            <w:pPr>
              <w:rPr>
                <w:rStyle w:val="Kkursywa"/>
              </w:rPr>
            </w:pPr>
            <w:r w:rsidRPr="00E07616">
              <w:rPr>
                <w:rStyle w:val="Kkursywa"/>
              </w:rPr>
              <w:lastRenderedPageBreak/>
              <w:t>Wartość szacunkowa</w:t>
            </w:r>
          </w:p>
        </w:tc>
        <w:tc>
          <w:tcPr>
            <w:tcW w:w="4040" w:type="dxa"/>
            <w:gridSpan w:val="10"/>
            <w:shd w:val="clear" w:color="auto" w:fill="auto"/>
          </w:tcPr>
          <w:p w14:paraId="7D38A3A7" w14:textId="77777777" w:rsidR="00E07616" w:rsidRPr="00E07616" w:rsidRDefault="00E07616" w:rsidP="00DF3E14">
            <w:pPr>
              <w:rPr>
                <w:rStyle w:val="Kkursywa"/>
              </w:rPr>
            </w:pPr>
            <w:r w:rsidRPr="00E07616">
              <w:rPr>
                <w:rStyle w:val="Kkursywa"/>
              </w:rPr>
              <w:t xml:space="preserve">Aplikacje klienckie będą musiały zostać zmodyfikowane w celu łączenia się ze skrzynką doręczeń i usługą RDE. Ich </w:t>
            </w:r>
            <w:r w:rsidRPr="00E07616">
              <w:rPr>
                <w:rStyle w:val="Kkursywa"/>
              </w:rPr>
              <w:lastRenderedPageBreak/>
              <w:t>producenci mogą wyposażyć je w mechanizmy pomiaru rzeczywistej dostępności i pojemności skrzynki doręczeń, co wiąże się z przetwarzaniem danych stricte technicznych.</w:t>
            </w:r>
          </w:p>
        </w:tc>
      </w:tr>
      <w:tr w:rsidR="00E07616" w:rsidRPr="0000175D" w14:paraId="4D56AA2A" w14:textId="77777777" w:rsidTr="00DF3E14">
        <w:trPr>
          <w:trHeight w:val="142"/>
          <w:jc w:val="center"/>
        </w:trPr>
        <w:tc>
          <w:tcPr>
            <w:tcW w:w="2056" w:type="dxa"/>
            <w:gridSpan w:val="2"/>
            <w:shd w:val="clear" w:color="auto" w:fill="auto"/>
          </w:tcPr>
          <w:p w14:paraId="5AA611DC" w14:textId="77777777" w:rsidR="00E07616" w:rsidRPr="00E07616" w:rsidRDefault="00E07616" w:rsidP="00DF3E14">
            <w:pPr>
              <w:rPr>
                <w:rStyle w:val="Kkursywa"/>
              </w:rPr>
            </w:pPr>
            <w:r w:rsidRPr="00E07616">
              <w:rPr>
                <w:rStyle w:val="Kkursywa"/>
              </w:rPr>
              <w:lastRenderedPageBreak/>
              <w:t>Producent aplikacji frontendowej e-Doręczenia</w:t>
            </w:r>
          </w:p>
        </w:tc>
        <w:tc>
          <w:tcPr>
            <w:tcW w:w="2410" w:type="dxa"/>
            <w:gridSpan w:val="7"/>
            <w:shd w:val="clear" w:color="auto" w:fill="auto"/>
          </w:tcPr>
          <w:p w14:paraId="30080BE0" w14:textId="77777777" w:rsidR="00E07616" w:rsidRPr="00E07616" w:rsidRDefault="00E07616" w:rsidP="00DF3E14">
            <w:pPr>
              <w:rPr>
                <w:rStyle w:val="Kkursywa"/>
              </w:rPr>
            </w:pPr>
            <w:r w:rsidRPr="00E07616">
              <w:rPr>
                <w:rStyle w:val="Kkursywa"/>
              </w:rPr>
              <w:t>2 (aplikacja dla obywatela i urzędnika oraz aplikacja dla przedsiębiorcy)</w:t>
            </w:r>
          </w:p>
        </w:tc>
        <w:tc>
          <w:tcPr>
            <w:tcW w:w="2410" w:type="dxa"/>
            <w:gridSpan w:val="10"/>
            <w:shd w:val="clear" w:color="auto" w:fill="auto"/>
          </w:tcPr>
          <w:p w14:paraId="3FBC6558" w14:textId="77777777" w:rsidR="00E07616" w:rsidRPr="00E07616" w:rsidRDefault="00E07616" w:rsidP="00DF3E14">
            <w:pPr>
              <w:rPr>
                <w:rStyle w:val="Kkursywa"/>
              </w:rPr>
            </w:pPr>
            <w:r w:rsidRPr="00E07616">
              <w:rPr>
                <w:rStyle w:val="Kkursywa"/>
              </w:rPr>
              <w:t>Studium wykonalności i założenia projektu e-Doręczenia</w:t>
            </w:r>
          </w:p>
        </w:tc>
        <w:tc>
          <w:tcPr>
            <w:tcW w:w="4040" w:type="dxa"/>
            <w:gridSpan w:val="10"/>
            <w:shd w:val="clear" w:color="auto" w:fill="auto"/>
          </w:tcPr>
          <w:p w14:paraId="3988BA0F" w14:textId="77777777" w:rsidR="00E07616" w:rsidRPr="00E07616" w:rsidRDefault="00E07616" w:rsidP="00DF3E14">
            <w:pPr>
              <w:rPr>
                <w:rStyle w:val="Kkursywa"/>
              </w:rPr>
            </w:pPr>
            <w:r w:rsidRPr="00E07616">
              <w:rPr>
                <w:rStyle w:val="Kkursywa"/>
              </w:rPr>
              <w:t>Aplikacje państwowe zostaną przygotowane do łączenia się ze skrzynką doręczeń i usługą RDE oraz będą mogły prowadzić pomiar rzeczywistej dostępności i pojemności skrzynki doręczeń. Pozyskane dane pozwolą planować rozwój usługi.</w:t>
            </w:r>
          </w:p>
        </w:tc>
      </w:tr>
      <w:tr w:rsidR="00E07616" w:rsidRPr="0000175D" w14:paraId="536C779D" w14:textId="77777777" w:rsidTr="00DF3E14">
        <w:trPr>
          <w:trHeight w:val="302"/>
          <w:jc w:val="center"/>
        </w:trPr>
        <w:tc>
          <w:tcPr>
            <w:tcW w:w="10916" w:type="dxa"/>
            <w:gridSpan w:val="29"/>
            <w:shd w:val="clear" w:color="auto" w:fill="99CCFF"/>
            <w:vAlign w:val="center"/>
          </w:tcPr>
          <w:p w14:paraId="10CAE97F" w14:textId="77777777" w:rsidR="00E07616" w:rsidRPr="003C30BD" w:rsidRDefault="00E07616" w:rsidP="00DF3E14">
            <w:pPr>
              <w:rPr>
                <w:rStyle w:val="Ppogrubienie"/>
              </w:rPr>
            </w:pPr>
            <w:r w:rsidRPr="003C30BD">
              <w:rPr>
                <w:rStyle w:val="Ppogrubienie"/>
              </w:rPr>
              <w:t>Informacje na temat zakresu, czasu trwania i podsumowanie wyników konsultacji</w:t>
            </w:r>
          </w:p>
        </w:tc>
      </w:tr>
      <w:tr w:rsidR="00E07616" w:rsidRPr="0000175D" w14:paraId="34345F49" w14:textId="77777777" w:rsidTr="00DF3E14">
        <w:trPr>
          <w:trHeight w:val="342"/>
          <w:jc w:val="center"/>
        </w:trPr>
        <w:tc>
          <w:tcPr>
            <w:tcW w:w="10916" w:type="dxa"/>
            <w:gridSpan w:val="29"/>
            <w:shd w:val="clear" w:color="auto" w:fill="FFFFFF"/>
          </w:tcPr>
          <w:p w14:paraId="0335B102" w14:textId="15CCF0C3" w:rsidR="00E07616" w:rsidRPr="0000175D" w:rsidRDefault="00E07616" w:rsidP="00DF3E14">
            <w:r w:rsidRPr="0000175D">
              <w:t xml:space="preserve">Projekt rozporządzenia zostanie skierowany do </w:t>
            </w:r>
            <w:r w:rsidR="00DF3E14">
              <w:t>opiniowania</w:t>
            </w:r>
            <w:r w:rsidRPr="0000175D">
              <w:t xml:space="preserve"> do następujących podmiotów:</w:t>
            </w:r>
          </w:p>
          <w:p w14:paraId="3DD44D94" w14:textId="492ED8D6" w:rsidR="00E07616" w:rsidRPr="00560372" w:rsidRDefault="00E07616" w:rsidP="00DF3E14">
            <w:r w:rsidRPr="00E07616">
              <w:t>1)</w:t>
            </w:r>
            <w:r w:rsidRPr="00E07616">
              <w:tab/>
            </w:r>
            <w:r w:rsidRPr="00560372">
              <w:t>Prezes Urz</w:t>
            </w:r>
            <w:r w:rsidR="003C30BD">
              <w:t>ędu Komunikacji Elektronicznej</w:t>
            </w:r>
          </w:p>
          <w:p w14:paraId="14B0F4EC" w14:textId="565FD647" w:rsidR="00E07616" w:rsidRPr="00560372" w:rsidRDefault="00E07616" w:rsidP="00DF3E14">
            <w:r w:rsidRPr="00E07616">
              <w:t>2)</w:t>
            </w:r>
            <w:r w:rsidRPr="00E07616">
              <w:tab/>
            </w:r>
            <w:r w:rsidRPr="00560372">
              <w:t>Prezes Urzędu Ochrony Kon</w:t>
            </w:r>
            <w:r w:rsidR="003C30BD">
              <w:t>kurencji i Konsumentów</w:t>
            </w:r>
          </w:p>
          <w:p w14:paraId="63B0B728" w14:textId="2C55DD91" w:rsidR="00E07616" w:rsidRPr="00560372" w:rsidRDefault="00E07616" w:rsidP="00DF3E14">
            <w:r w:rsidRPr="00E07616">
              <w:t>3)</w:t>
            </w:r>
            <w:r w:rsidRPr="00E07616">
              <w:tab/>
            </w:r>
            <w:r w:rsidRPr="00560372">
              <w:t>Naczeln</w:t>
            </w:r>
            <w:r w:rsidR="003C30BD">
              <w:t>y Dyrektor Archiwów Państwowych</w:t>
            </w:r>
          </w:p>
          <w:p w14:paraId="1A96D961" w14:textId="2D9B1561" w:rsidR="00E07616" w:rsidRPr="00560372" w:rsidRDefault="00E07616" w:rsidP="00DF3E14">
            <w:r w:rsidRPr="00E07616">
              <w:t>7)</w:t>
            </w:r>
            <w:r w:rsidRPr="00E07616">
              <w:tab/>
            </w:r>
            <w:r w:rsidRPr="00560372">
              <w:t>Prezes U</w:t>
            </w:r>
            <w:r w:rsidR="003C30BD">
              <w:t>rzędu Ochrony Danych Osobowych</w:t>
            </w:r>
          </w:p>
          <w:p w14:paraId="281E2B91" w14:textId="7A7B21A5" w:rsidR="00E07616" w:rsidRPr="00560372" w:rsidRDefault="00E07616" w:rsidP="00DF3E14">
            <w:r w:rsidRPr="00E07616">
              <w:t>8)</w:t>
            </w:r>
            <w:r w:rsidRPr="00E07616">
              <w:tab/>
            </w:r>
            <w:r w:rsidRPr="00560372">
              <w:t>Prez</w:t>
            </w:r>
            <w:r w:rsidR="003C30BD">
              <w:t>es Urzędu Zamówień Publicznych</w:t>
            </w:r>
          </w:p>
          <w:p w14:paraId="287A1E89" w14:textId="417B630D" w:rsidR="00E07616" w:rsidRPr="00560372" w:rsidRDefault="00E07616" w:rsidP="00DF3E14">
            <w:r w:rsidRPr="00E07616">
              <w:t>9)</w:t>
            </w:r>
            <w:r w:rsidRPr="00E07616">
              <w:tab/>
            </w:r>
            <w:r w:rsidRPr="00560372">
              <w:t>Prezes Nac</w:t>
            </w:r>
            <w:r w:rsidR="003C30BD">
              <w:t>zelnego Sądu Administracyjnego</w:t>
            </w:r>
          </w:p>
          <w:p w14:paraId="6FF244D5" w14:textId="01DED02F" w:rsidR="00E07616" w:rsidRPr="00560372" w:rsidRDefault="00E07616" w:rsidP="00DF3E14">
            <w:r w:rsidRPr="00E07616">
              <w:t>10)</w:t>
            </w:r>
            <w:r w:rsidRPr="00E07616">
              <w:tab/>
            </w:r>
            <w:r w:rsidRPr="00560372">
              <w:t>Szef Agenc</w:t>
            </w:r>
            <w:r w:rsidR="003C30BD">
              <w:t>ji Bezpieczeństwa Wewnętrznego</w:t>
            </w:r>
          </w:p>
          <w:p w14:paraId="3C47A221" w14:textId="090B917E" w:rsidR="00E07616" w:rsidRPr="00560372" w:rsidRDefault="00E07616" w:rsidP="00DF3E14">
            <w:r w:rsidRPr="00E07616">
              <w:t>11)</w:t>
            </w:r>
            <w:r w:rsidRPr="00E07616">
              <w:tab/>
            </w:r>
            <w:r w:rsidR="003C30BD">
              <w:t>Szef Agencji Wywiadu</w:t>
            </w:r>
          </w:p>
          <w:p w14:paraId="2323A47B" w14:textId="79A41959" w:rsidR="00E07616" w:rsidRPr="00560372" w:rsidRDefault="00E07616" w:rsidP="00DF3E14">
            <w:r w:rsidRPr="00E07616">
              <w:t>12)</w:t>
            </w:r>
            <w:r w:rsidRPr="00E07616">
              <w:tab/>
            </w:r>
            <w:r w:rsidRPr="00560372">
              <w:t>Szef Cen</w:t>
            </w:r>
            <w:r w:rsidR="003C30BD">
              <w:t>tralnego Biura Antykorupcyjnego</w:t>
            </w:r>
          </w:p>
          <w:p w14:paraId="2969CA04" w14:textId="2BFCB5EE" w:rsidR="00E07616" w:rsidRPr="003C30BD" w:rsidRDefault="00E07616" w:rsidP="00DF3E14">
            <w:r w:rsidRPr="003C30BD">
              <w:t>13)</w:t>
            </w:r>
            <w:r w:rsidRPr="003C30BD">
              <w:tab/>
              <w:t>Szef</w:t>
            </w:r>
            <w:r w:rsidR="003C30BD">
              <w:t xml:space="preserve"> Służby Kontrwywiadu Wojskowego</w:t>
            </w:r>
          </w:p>
          <w:p w14:paraId="5A77D24B" w14:textId="557B0B39" w:rsidR="00E07616" w:rsidRDefault="00E07616" w:rsidP="00DF3E14">
            <w:r w:rsidRPr="003C30BD">
              <w:t>14)</w:t>
            </w:r>
            <w:r w:rsidRPr="003C30BD">
              <w:tab/>
            </w:r>
            <w:r w:rsidR="003C30BD">
              <w:t>Szef Służby Wywiadu Wojskowego</w:t>
            </w:r>
          </w:p>
          <w:p w14:paraId="05935D42" w14:textId="4E209612" w:rsidR="000F0679" w:rsidRPr="00560372" w:rsidRDefault="000F0679" w:rsidP="000F0679">
            <w:r>
              <w:t>1</w:t>
            </w:r>
            <w:r w:rsidRPr="00E07616">
              <w:t>5)</w:t>
            </w:r>
            <w:r w:rsidRPr="00E07616">
              <w:tab/>
            </w:r>
            <w:r w:rsidRPr="00560372">
              <w:t>Dolnośląski Urząd Wojewódz</w:t>
            </w:r>
            <w:r>
              <w:t>ki</w:t>
            </w:r>
          </w:p>
          <w:p w14:paraId="016D7270" w14:textId="353ADFB9" w:rsidR="000F0679" w:rsidRPr="00560372" w:rsidRDefault="009D4663" w:rsidP="000F0679">
            <w:r>
              <w:t>1</w:t>
            </w:r>
            <w:r w:rsidR="000F0679" w:rsidRPr="00E07616">
              <w:t>6)</w:t>
            </w:r>
            <w:r w:rsidR="000F0679" w:rsidRPr="00E07616">
              <w:tab/>
            </w:r>
            <w:r w:rsidR="000F0679" w:rsidRPr="00560372">
              <w:t>Kujaw</w:t>
            </w:r>
            <w:r w:rsidR="000F0679">
              <w:t>sko-Pomorski Urząd Wojewódzki</w:t>
            </w:r>
          </w:p>
          <w:p w14:paraId="5ECBF4C6" w14:textId="1DB4477D" w:rsidR="000F0679" w:rsidRPr="00560372" w:rsidRDefault="009D4663" w:rsidP="000F0679">
            <w:r>
              <w:t>1</w:t>
            </w:r>
            <w:r w:rsidR="000F0679" w:rsidRPr="00E07616">
              <w:t>7)</w:t>
            </w:r>
            <w:r w:rsidR="000F0679" w:rsidRPr="00E07616">
              <w:tab/>
            </w:r>
            <w:r w:rsidR="000F0679">
              <w:t>Lubelski Urząd Wojewódzki</w:t>
            </w:r>
          </w:p>
          <w:p w14:paraId="517A31B6" w14:textId="045D45B5" w:rsidR="000F0679" w:rsidRPr="00560372" w:rsidRDefault="009D4663" w:rsidP="000F0679">
            <w:r>
              <w:t>1</w:t>
            </w:r>
            <w:r w:rsidR="000F0679" w:rsidRPr="00E07616">
              <w:t>8)</w:t>
            </w:r>
            <w:r w:rsidR="000F0679" w:rsidRPr="00E07616">
              <w:tab/>
            </w:r>
            <w:r w:rsidR="000F0679">
              <w:t>Lubuski Urząd Wojewódzki</w:t>
            </w:r>
          </w:p>
          <w:p w14:paraId="57D1F9FE" w14:textId="28C8DD8D" w:rsidR="000F0679" w:rsidRPr="00560372" w:rsidRDefault="009D4663" w:rsidP="000F0679">
            <w:r>
              <w:t>1</w:t>
            </w:r>
            <w:r w:rsidR="000F0679" w:rsidRPr="00E07616">
              <w:t>9)</w:t>
            </w:r>
            <w:r w:rsidR="000F0679" w:rsidRPr="00E07616">
              <w:tab/>
            </w:r>
            <w:r w:rsidR="000F0679">
              <w:t>Łódzki Urząd Wojewódzki</w:t>
            </w:r>
          </w:p>
          <w:p w14:paraId="2D706E2D" w14:textId="34403A3B" w:rsidR="000F0679" w:rsidRPr="00560372" w:rsidRDefault="009D4663" w:rsidP="000F0679">
            <w:r>
              <w:t>2</w:t>
            </w:r>
            <w:r w:rsidR="000F0679" w:rsidRPr="00E07616">
              <w:t>0)</w:t>
            </w:r>
            <w:r w:rsidR="000F0679" w:rsidRPr="00E07616">
              <w:tab/>
            </w:r>
            <w:r w:rsidR="000F0679">
              <w:t>Małopolski Urząd Wojewódzki</w:t>
            </w:r>
          </w:p>
          <w:p w14:paraId="4D3F7336" w14:textId="5D1758CC" w:rsidR="000F0679" w:rsidRPr="00560372" w:rsidRDefault="009D4663" w:rsidP="000F0679">
            <w:r>
              <w:t>2</w:t>
            </w:r>
            <w:r w:rsidR="000F0679" w:rsidRPr="00E07616">
              <w:t>1)</w:t>
            </w:r>
            <w:r w:rsidR="000F0679" w:rsidRPr="00E07616">
              <w:tab/>
            </w:r>
            <w:r w:rsidR="000F0679">
              <w:t>Mazowiecki Urząd Wojewódzki</w:t>
            </w:r>
          </w:p>
          <w:p w14:paraId="1633C7AB" w14:textId="67B4EC7B" w:rsidR="000F0679" w:rsidRPr="00560372" w:rsidRDefault="009D4663" w:rsidP="000F0679">
            <w:r>
              <w:lastRenderedPageBreak/>
              <w:t>2</w:t>
            </w:r>
            <w:r w:rsidR="000F0679" w:rsidRPr="00E07616">
              <w:t>2)</w:t>
            </w:r>
            <w:r w:rsidR="000F0679" w:rsidRPr="00E07616">
              <w:tab/>
            </w:r>
            <w:r w:rsidR="000F0679">
              <w:t>Śląski Urząd Wojewódzki</w:t>
            </w:r>
          </w:p>
          <w:p w14:paraId="5B7FB7EC" w14:textId="3103B17C" w:rsidR="000F0679" w:rsidRPr="00560372" w:rsidRDefault="009D4663" w:rsidP="000F0679">
            <w:r>
              <w:t>2</w:t>
            </w:r>
            <w:r w:rsidR="000F0679" w:rsidRPr="00E07616">
              <w:t>3)</w:t>
            </w:r>
            <w:r w:rsidR="000F0679" w:rsidRPr="00E07616">
              <w:tab/>
            </w:r>
            <w:r w:rsidR="000F0679" w:rsidRPr="00560372">
              <w:t xml:space="preserve">Świętokrzyski </w:t>
            </w:r>
            <w:r w:rsidR="000F0679">
              <w:t>Urząd Wojewódzki</w:t>
            </w:r>
          </w:p>
          <w:p w14:paraId="4DBFB98B" w14:textId="64C0024A" w:rsidR="000F0679" w:rsidRPr="00560372" w:rsidRDefault="009D4663" w:rsidP="000F0679">
            <w:r>
              <w:t>2</w:t>
            </w:r>
            <w:r w:rsidR="000F0679" w:rsidRPr="00E07616">
              <w:t>4)</w:t>
            </w:r>
            <w:r w:rsidR="000F0679" w:rsidRPr="00E07616">
              <w:tab/>
            </w:r>
            <w:r w:rsidR="000F0679">
              <w:t>Opolski Urząd Wojewódzki</w:t>
            </w:r>
          </w:p>
          <w:p w14:paraId="4F3DD70C" w14:textId="5E4E237E" w:rsidR="000F0679" w:rsidRPr="00560372" w:rsidRDefault="009D4663" w:rsidP="000F0679">
            <w:r>
              <w:t>2</w:t>
            </w:r>
            <w:r w:rsidR="000F0679" w:rsidRPr="00E07616">
              <w:t>5)</w:t>
            </w:r>
            <w:r w:rsidR="000F0679" w:rsidRPr="00E07616">
              <w:tab/>
            </w:r>
            <w:r w:rsidR="000F0679">
              <w:t>Podkarpacki Urząd Wojewódzki</w:t>
            </w:r>
          </w:p>
          <w:p w14:paraId="126FC120" w14:textId="07245A1A" w:rsidR="000F0679" w:rsidRPr="00560372" w:rsidRDefault="009D4663" w:rsidP="000F0679">
            <w:r>
              <w:t>2</w:t>
            </w:r>
            <w:r w:rsidR="000F0679" w:rsidRPr="00E07616">
              <w:t>6)</w:t>
            </w:r>
            <w:r w:rsidR="000F0679" w:rsidRPr="00E07616">
              <w:tab/>
            </w:r>
            <w:r w:rsidR="000F0679">
              <w:t>Podlaski Urząd Wojewódzki</w:t>
            </w:r>
          </w:p>
          <w:p w14:paraId="6450B354" w14:textId="003F8057" w:rsidR="000F0679" w:rsidRPr="00560372" w:rsidRDefault="009D4663" w:rsidP="000F0679">
            <w:r>
              <w:t>2</w:t>
            </w:r>
            <w:r w:rsidR="000F0679" w:rsidRPr="00E07616">
              <w:t>7)</w:t>
            </w:r>
            <w:r w:rsidR="000F0679" w:rsidRPr="00E07616">
              <w:tab/>
            </w:r>
            <w:r w:rsidR="000F0679">
              <w:t>Pomorski Urząd Wojewódzki</w:t>
            </w:r>
          </w:p>
          <w:p w14:paraId="06FC7B08" w14:textId="57B96CFA" w:rsidR="000F0679" w:rsidRPr="00560372" w:rsidRDefault="009D4663" w:rsidP="000F0679">
            <w:r>
              <w:t>2</w:t>
            </w:r>
            <w:r w:rsidR="000F0679" w:rsidRPr="00E07616">
              <w:t>8)</w:t>
            </w:r>
            <w:r w:rsidR="000F0679" w:rsidRPr="00E07616">
              <w:tab/>
            </w:r>
            <w:r w:rsidR="000F0679" w:rsidRPr="00560372">
              <w:t>Warmi</w:t>
            </w:r>
            <w:r w:rsidR="000F0679">
              <w:t>ńsko-Mazurski Urząd Wojewódzki</w:t>
            </w:r>
          </w:p>
          <w:p w14:paraId="1F088965" w14:textId="4CFE084F" w:rsidR="000F0679" w:rsidRPr="00560372" w:rsidRDefault="009D4663" w:rsidP="000F0679">
            <w:r>
              <w:t>2</w:t>
            </w:r>
            <w:r w:rsidR="000F0679" w:rsidRPr="00E07616">
              <w:t>9)</w:t>
            </w:r>
            <w:r w:rsidR="000F0679" w:rsidRPr="00E07616">
              <w:tab/>
            </w:r>
            <w:r w:rsidR="000F0679">
              <w:t>Wielkopolski Urząd Wojewódzki</w:t>
            </w:r>
          </w:p>
          <w:p w14:paraId="258BB6F8" w14:textId="14A1374A" w:rsidR="000F0679" w:rsidRPr="003C30BD" w:rsidRDefault="009D4663" w:rsidP="000F0679">
            <w:r>
              <w:t>3</w:t>
            </w:r>
            <w:r w:rsidR="000F0679" w:rsidRPr="00E07616">
              <w:t>0)</w:t>
            </w:r>
            <w:r w:rsidR="000F0679" w:rsidRPr="00E07616">
              <w:tab/>
            </w:r>
            <w:r w:rsidR="000F0679" w:rsidRPr="00560372">
              <w:t>Zachodniopomorski Urząd W</w:t>
            </w:r>
            <w:r w:rsidR="000F0679">
              <w:t>ojewódzki</w:t>
            </w:r>
          </w:p>
          <w:p w14:paraId="62E60D1B" w14:textId="66450A29" w:rsidR="00E07616" w:rsidRPr="003C30BD" w:rsidRDefault="00E07616" w:rsidP="00DF3E14">
            <w:r w:rsidRPr="003C30BD">
              <w:t xml:space="preserve">oraz do </w:t>
            </w:r>
            <w:r w:rsidR="009E774B">
              <w:t>konsultacji publicznych</w:t>
            </w:r>
            <w:r w:rsidR="005F3DA7">
              <w:t xml:space="preserve"> do następujących podmiotów</w:t>
            </w:r>
            <w:r w:rsidRPr="003C30BD">
              <w:t>:</w:t>
            </w:r>
          </w:p>
          <w:p w14:paraId="224260C8" w14:textId="7FC561A3" w:rsidR="003C30BD" w:rsidRPr="003C30BD" w:rsidRDefault="003C30BD" w:rsidP="003C30BD">
            <w:r w:rsidRPr="003C30BD">
              <w:t>1)</w:t>
            </w:r>
            <w:r w:rsidRPr="003C30BD">
              <w:tab/>
              <w:t>Stowa</w:t>
            </w:r>
            <w:r>
              <w:t>rzyszenie Archiwistów Polskich</w:t>
            </w:r>
          </w:p>
          <w:p w14:paraId="6787AC6D" w14:textId="6F657D72" w:rsidR="003C30BD" w:rsidRPr="003C30BD" w:rsidRDefault="003C30BD" w:rsidP="003C30BD">
            <w:r w:rsidRPr="003C30BD">
              <w:t>2)</w:t>
            </w:r>
            <w:r w:rsidRPr="003C30BD">
              <w:tab/>
              <w:t>Inst</w:t>
            </w:r>
            <w:r>
              <w:t>ytut Logistyki i Magazynowania</w:t>
            </w:r>
          </w:p>
          <w:p w14:paraId="5AEEAE48" w14:textId="11A9F66C" w:rsidR="003C30BD" w:rsidRPr="003C30BD" w:rsidRDefault="003C30BD" w:rsidP="003C30BD">
            <w:r w:rsidRPr="003C30BD">
              <w:t>3)</w:t>
            </w:r>
            <w:r w:rsidRPr="003C30BD">
              <w:tab/>
            </w:r>
            <w:r>
              <w:t>Poczta Polska</w:t>
            </w:r>
          </w:p>
          <w:p w14:paraId="5A1A5E5F" w14:textId="651FFC04" w:rsidR="003C30BD" w:rsidRPr="003C30BD" w:rsidRDefault="003C30BD" w:rsidP="003C30BD">
            <w:r w:rsidRPr="003C30BD">
              <w:t>4)</w:t>
            </w:r>
            <w:r w:rsidRPr="003C30BD">
              <w:tab/>
              <w:t>Polska Izba In</w:t>
            </w:r>
            <w:r>
              <w:t>formatyki i Telekomunikacji</w:t>
            </w:r>
          </w:p>
          <w:p w14:paraId="40A3584D" w14:textId="7A5476F1" w:rsidR="003C30BD" w:rsidRPr="003C30BD" w:rsidRDefault="003C30BD" w:rsidP="003C30BD">
            <w:r w:rsidRPr="003C30BD">
              <w:t>6)</w:t>
            </w:r>
            <w:r w:rsidRPr="003C30BD">
              <w:tab/>
              <w:t>Krajow</w:t>
            </w:r>
            <w:r>
              <w:t>a Izba Gospodarcza Elektroniki</w:t>
            </w:r>
          </w:p>
          <w:p w14:paraId="557F4A21" w14:textId="37C3AC9A" w:rsidR="003C30BD" w:rsidRPr="003C30BD" w:rsidRDefault="003C30BD" w:rsidP="003C30BD">
            <w:r w:rsidRPr="003C30BD">
              <w:t>7)</w:t>
            </w:r>
            <w:r w:rsidRPr="003C30BD">
              <w:tab/>
              <w:t>Krajowa Izba Gospodarcza</w:t>
            </w:r>
            <w:r>
              <w:t xml:space="preserve"> Elektroniki i Telekomunikacji</w:t>
            </w:r>
          </w:p>
          <w:p w14:paraId="0F4BAAC2" w14:textId="5EC1F8AA" w:rsidR="003C30BD" w:rsidRPr="003C30BD" w:rsidRDefault="003C30BD" w:rsidP="003C30BD">
            <w:r w:rsidRPr="003C30BD">
              <w:t>8)</w:t>
            </w:r>
            <w:r w:rsidRPr="003C30BD">
              <w:tab/>
              <w:t xml:space="preserve">Polska </w:t>
            </w:r>
            <w:r>
              <w:t>Izba Komunikacji Elektronicznej</w:t>
            </w:r>
          </w:p>
          <w:p w14:paraId="64E294FD" w14:textId="4D691FDD" w:rsidR="003C30BD" w:rsidRPr="003C30BD" w:rsidRDefault="003C30BD" w:rsidP="003C30BD">
            <w:r w:rsidRPr="003C30BD">
              <w:t>9)</w:t>
            </w:r>
            <w:r w:rsidRPr="003C30BD">
              <w:tab/>
            </w:r>
            <w:r>
              <w:t>Krajowa Izba Gospodarcza</w:t>
            </w:r>
          </w:p>
          <w:p w14:paraId="637A96CF" w14:textId="50887D3D" w:rsidR="003C30BD" w:rsidRPr="003C30BD" w:rsidRDefault="003C30BD" w:rsidP="003C30BD">
            <w:r w:rsidRPr="003C30BD">
              <w:t>10)</w:t>
            </w:r>
            <w:r w:rsidRPr="003C30BD">
              <w:tab/>
              <w:t>Krajowa</w:t>
            </w:r>
            <w:r>
              <w:t xml:space="preserve"> Izba Komunikacji Internetowej</w:t>
            </w:r>
          </w:p>
          <w:p w14:paraId="70F8686D" w14:textId="788A58A9" w:rsidR="003C30BD" w:rsidRPr="003C30BD" w:rsidRDefault="003C30BD" w:rsidP="003C30BD">
            <w:r w:rsidRPr="003C30BD">
              <w:t>11)</w:t>
            </w:r>
            <w:r w:rsidRPr="003C30BD">
              <w:tab/>
            </w:r>
            <w:r>
              <w:t>Polska Izba Handlu</w:t>
            </w:r>
          </w:p>
          <w:p w14:paraId="04CB06A7" w14:textId="1601F4E4" w:rsidR="003C30BD" w:rsidRPr="003C30BD" w:rsidRDefault="003C30BD" w:rsidP="003C30BD">
            <w:r w:rsidRPr="003C30BD">
              <w:t>12)</w:t>
            </w:r>
            <w:r w:rsidRPr="003C30BD">
              <w:tab/>
              <w:t>Fund</w:t>
            </w:r>
            <w:r>
              <w:t>acja Bezpieczna Cyberprzestrzeń</w:t>
            </w:r>
          </w:p>
          <w:p w14:paraId="7BCADB41" w14:textId="338949FA" w:rsidR="003C30BD" w:rsidRPr="003C30BD" w:rsidRDefault="003C30BD" w:rsidP="003C30BD">
            <w:r w:rsidRPr="003C30BD">
              <w:t>13)</w:t>
            </w:r>
            <w:r w:rsidRPr="003C30BD">
              <w:tab/>
              <w:t>Pol</w:t>
            </w:r>
            <w:r>
              <w:t>skie Towarzystwo Informatyczne</w:t>
            </w:r>
          </w:p>
          <w:p w14:paraId="304A3B5C" w14:textId="3AA0E13A" w:rsidR="003C30BD" w:rsidRPr="003C30BD" w:rsidRDefault="003C30BD" w:rsidP="003C30BD">
            <w:r w:rsidRPr="003C30BD">
              <w:t>14)</w:t>
            </w:r>
            <w:r w:rsidRPr="003C30BD">
              <w:tab/>
              <w:t>Stowarzysze</w:t>
            </w:r>
            <w:r>
              <w:t>nie Inżynierów Telekomunikacji</w:t>
            </w:r>
          </w:p>
          <w:p w14:paraId="2AD3FDE2" w14:textId="2CA8D0EA" w:rsidR="003C30BD" w:rsidRPr="003C30BD" w:rsidRDefault="003C30BD" w:rsidP="003C30BD">
            <w:r w:rsidRPr="003C30BD">
              <w:t>15)</w:t>
            </w:r>
            <w:r w:rsidRPr="003C30BD">
              <w:tab/>
              <w:t>Fundacja Panoptykon</w:t>
            </w:r>
          </w:p>
          <w:p w14:paraId="21BF8931" w14:textId="78DA3A9B" w:rsidR="003C30BD" w:rsidRPr="003C30BD" w:rsidRDefault="003C30BD" w:rsidP="003C30BD">
            <w:r w:rsidRPr="003C30BD">
              <w:t>16)</w:t>
            </w:r>
            <w:r w:rsidRPr="003C30BD">
              <w:tab/>
              <w:t>Stowarzyszenie Naukowe Centrum Prawno – Informatyczne</w:t>
            </w:r>
          </w:p>
          <w:p w14:paraId="4BFED838" w14:textId="4F51A552" w:rsidR="003C30BD" w:rsidRPr="003C30BD" w:rsidRDefault="003C30BD" w:rsidP="003C30BD">
            <w:r w:rsidRPr="003C30BD">
              <w:t>17)</w:t>
            </w:r>
            <w:r w:rsidRPr="003C30BD">
              <w:tab/>
              <w:t>Ogólnopolski Związek Pracodawców Niepub</w:t>
            </w:r>
            <w:r>
              <w:t>licznych Operatorów Pocztowych</w:t>
            </w:r>
          </w:p>
          <w:p w14:paraId="0AB9B7C3" w14:textId="0E88016C" w:rsidR="003C30BD" w:rsidRPr="003C30BD" w:rsidRDefault="003C30BD" w:rsidP="003C30BD">
            <w:r w:rsidRPr="003C30BD">
              <w:t>18)</w:t>
            </w:r>
            <w:r w:rsidRPr="003C30BD">
              <w:tab/>
              <w:t>Centrum Badań Problemów Prawnych i Ekonomicznych Komunikacji Elektroniczn</w:t>
            </w:r>
            <w:r>
              <w:t>ej Uniwersytetu Wrocławskiego</w:t>
            </w:r>
          </w:p>
          <w:p w14:paraId="11CB5809" w14:textId="56DFFC1C" w:rsidR="003C30BD" w:rsidRPr="003C30BD" w:rsidRDefault="003C30BD" w:rsidP="003C30BD">
            <w:r w:rsidRPr="003C30BD">
              <w:t>19)</w:t>
            </w:r>
            <w:r w:rsidRPr="003C30BD">
              <w:tab/>
            </w:r>
            <w:r>
              <w:t>Polski Komitet Normalizacyjny</w:t>
            </w:r>
          </w:p>
          <w:p w14:paraId="40FCFA7B" w14:textId="4DE3445C" w:rsidR="003C30BD" w:rsidRPr="003C30BD" w:rsidRDefault="003C30BD" w:rsidP="003C30BD">
            <w:r w:rsidRPr="003C30BD">
              <w:t>20)</w:t>
            </w:r>
            <w:r w:rsidRPr="003C30BD">
              <w:tab/>
              <w:t>Związek Importerów i Producentów Sprzętu Elektrycznego i E</w:t>
            </w:r>
            <w:r>
              <w:t>lektronicznego – ZIPSEE Cyfrowa</w:t>
            </w:r>
          </w:p>
          <w:p w14:paraId="2E91ACF6" w14:textId="143E7B27" w:rsidR="00E07616" w:rsidRPr="003C30BD" w:rsidRDefault="003C30BD" w:rsidP="00DF3E14">
            <w:r w:rsidRPr="003C30BD">
              <w:t>2</w:t>
            </w:r>
            <w:r w:rsidR="00E07616" w:rsidRPr="003C30BD">
              <w:t>1)</w:t>
            </w:r>
            <w:r w:rsidR="00E07616" w:rsidRPr="003C30BD">
              <w:tab/>
            </w:r>
            <w:r>
              <w:t>Krajowa Rada Komornicza</w:t>
            </w:r>
          </w:p>
          <w:p w14:paraId="25A51F47" w14:textId="7ED4416B" w:rsidR="00E07616" w:rsidRPr="003C30BD" w:rsidRDefault="003C30BD" w:rsidP="00DF3E14">
            <w:r w:rsidRPr="003C30BD">
              <w:t>2</w:t>
            </w:r>
            <w:r w:rsidR="00E07616" w:rsidRPr="003C30BD">
              <w:t>2)</w:t>
            </w:r>
            <w:r w:rsidR="00E07616" w:rsidRPr="003C30BD">
              <w:tab/>
            </w:r>
            <w:r>
              <w:t>Krajowa Rada Notarialna</w:t>
            </w:r>
          </w:p>
          <w:p w14:paraId="4AADAC53" w14:textId="091D951B" w:rsidR="00E07616" w:rsidRPr="003C30BD" w:rsidRDefault="003C30BD" w:rsidP="00DF3E14">
            <w:r w:rsidRPr="003C30BD">
              <w:t>2</w:t>
            </w:r>
            <w:r w:rsidR="00E07616" w:rsidRPr="003C30BD">
              <w:t>3)</w:t>
            </w:r>
            <w:r w:rsidR="00E07616" w:rsidRPr="003C30BD">
              <w:tab/>
            </w:r>
            <w:r>
              <w:t>Krajowa Rada Radców Prawnych</w:t>
            </w:r>
          </w:p>
          <w:p w14:paraId="03B8DB93" w14:textId="159FCF42" w:rsidR="00E07616" w:rsidRPr="003C30BD" w:rsidRDefault="003C30BD" w:rsidP="00DF3E14">
            <w:r w:rsidRPr="003C30BD">
              <w:lastRenderedPageBreak/>
              <w:t>2</w:t>
            </w:r>
            <w:r w:rsidR="00E07616" w:rsidRPr="003C30BD">
              <w:t>4)</w:t>
            </w:r>
            <w:r w:rsidR="00E07616" w:rsidRPr="003C30BD">
              <w:tab/>
            </w:r>
            <w:r>
              <w:t>Krajowa Federacja Konsumentów</w:t>
            </w:r>
          </w:p>
          <w:p w14:paraId="410ED3DE" w14:textId="0A8FCF0A" w:rsidR="00E07616" w:rsidRPr="003C30BD" w:rsidRDefault="003C30BD" w:rsidP="00DF3E14">
            <w:r w:rsidRPr="003C30BD">
              <w:t>25</w:t>
            </w:r>
            <w:r w:rsidR="00E07616" w:rsidRPr="003C30BD">
              <w:t>)</w:t>
            </w:r>
            <w:r w:rsidR="00E07616" w:rsidRPr="003C30BD">
              <w:tab/>
              <w:t>Polska Wytwórn</w:t>
            </w:r>
            <w:r>
              <w:t>ia Papierów Wartościowych S.A.</w:t>
            </w:r>
          </w:p>
          <w:p w14:paraId="70E2CBA1" w14:textId="6A9B8474" w:rsidR="00E07616" w:rsidRPr="003C30BD" w:rsidRDefault="003C30BD" w:rsidP="00DF3E14">
            <w:r w:rsidRPr="003C30BD">
              <w:t>26</w:t>
            </w:r>
            <w:r w:rsidR="00E07616" w:rsidRPr="003C30BD">
              <w:t>)</w:t>
            </w:r>
            <w:r w:rsidR="00E07616" w:rsidRPr="003C30BD">
              <w:tab/>
              <w:t>K</w:t>
            </w:r>
            <w:r>
              <w:t>rajowa Izba Rozliczeniowa S.A.</w:t>
            </w:r>
          </w:p>
          <w:p w14:paraId="47AAD37A" w14:textId="73647782" w:rsidR="00E07616" w:rsidRPr="003C30BD" w:rsidRDefault="003C30BD" w:rsidP="00DF3E14">
            <w:r w:rsidRPr="003C30BD">
              <w:t>27</w:t>
            </w:r>
            <w:r w:rsidR="00E07616" w:rsidRPr="003C30BD">
              <w:t>)</w:t>
            </w:r>
            <w:r w:rsidR="00E07616" w:rsidRPr="003C30BD">
              <w:tab/>
              <w:t>Enigma Systemy</w:t>
            </w:r>
            <w:r>
              <w:t xml:space="preserve"> Ochrony Informacji Sp. z o.o.</w:t>
            </w:r>
          </w:p>
          <w:p w14:paraId="7F7FD00D" w14:textId="5373138A" w:rsidR="00E07616" w:rsidRPr="003C30BD" w:rsidRDefault="003C30BD" w:rsidP="00DF3E14">
            <w:r w:rsidRPr="003C30BD">
              <w:t>28</w:t>
            </w:r>
            <w:r w:rsidR="00E07616" w:rsidRPr="003C30BD">
              <w:t>)</w:t>
            </w:r>
            <w:r w:rsidR="00E07616" w:rsidRPr="003C30BD">
              <w:tab/>
            </w:r>
            <w:r>
              <w:t>EuroCert Sp. z o.o.</w:t>
            </w:r>
          </w:p>
          <w:p w14:paraId="655D6FAB" w14:textId="1946870F" w:rsidR="00E07616" w:rsidRPr="00EA0595" w:rsidRDefault="003C30BD" w:rsidP="00DF3E14">
            <w:pPr>
              <w:rPr>
                <w:lang w:val="en-GB"/>
              </w:rPr>
            </w:pPr>
            <w:r w:rsidRPr="00EA0595">
              <w:rPr>
                <w:lang w:val="en-GB"/>
              </w:rPr>
              <w:t>29</w:t>
            </w:r>
            <w:r w:rsidR="00E07616" w:rsidRPr="00EA0595">
              <w:rPr>
                <w:lang w:val="en-GB"/>
              </w:rPr>
              <w:t>)</w:t>
            </w:r>
            <w:r w:rsidR="00E07616" w:rsidRPr="00EA0595">
              <w:rPr>
                <w:lang w:val="en-GB"/>
              </w:rPr>
              <w:tab/>
            </w:r>
            <w:r w:rsidRPr="00EA0595">
              <w:rPr>
                <w:lang w:val="en-GB"/>
              </w:rPr>
              <w:t>Asseco Data Systems S.A.</w:t>
            </w:r>
          </w:p>
          <w:p w14:paraId="4C91D128" w14:textId="4F3B54BB" w:rsidR="00E07616" w:rsidRPr="003C30BD" w:rsidRDefault="003C30BD" w:rsidP="00DF3E14">
            <w:r w:rsidRPr="003C30BD">
              <w:t>30</w:t>
            </w:r>
            <w:r w:rsidR="00E07616" w:rsidRPr="003C30BD">
              <w:t>)</w:t>
            </w:r>
            <w:r w:rsidR="00E07616" w:rsidRPr="003C30BD">
              <w:tab/>
            </w:r>
            <w:r>
              <w:t>Madkom S.A.</w:t>
            </w:r>
          </w:p>
          <w:p w14:paraId="1111C3CD" w14:textId="381E1B75" w:rsidR="00E07616" w:rsidRPr="003C30BD" w:rsidRDefault="003C30BD" w:rsidP="00DF3E14">
            <w:r w:rsidRPr="003C30BD">
              <w:t>31</w:t>
            </w:r>
            <w:r w:rsidR="00E07616" w:rsidRPr="003C30BD">
              <w:t>)</w:t>
            </w:r>
            <w:r w:rsidR="00E07616" w:rsidRPr="003C30BD">
              <w:tab/>
            </w:r>
            <w:r>
              <w:t>Orange Polska S.A.</w:t>
            </w:r>
            <w:r w:rsidR="00E07616" w:rsidRPr="003C30BD">
              <w:t xml:space="preserve"> </w:t>
            </w:r>
          </w:p>
          <w:p w14:paraId="719141E6" w14:textId="646D43B8" w:rsidR="00E07616" w:rsidRPr="003C30BD" w:rsidRDefault="003C30BD" w:rsidP="00DF3E14">
            <w:r w:rsidRPr="003C30BD">
              <w:t>32</w:t>
            </w:r>
            <w:r w:rsidR="00E07616" w:rsidRPr="003C30BD">
              <w:t>)</w:t>
            </w:r>
            <w:r w:rsidR="00E07616" w:rsidRPr="003C30BD">
              <w:tab/>
            </w:r>
            <w:r>
              <w:t>T-Mobile Polska S.A.</w:t>
            </w:r>
          </w:p>
          <w:p w14:paraId="6C99F7C2" w14:textId="7CFEC123" w:rsidR="00E07616" w:rsidRPr="003C30BD" w:rsidRDefault="003C30BD" w:rsidP="00DF3E14">
            <w:r w:rsidRPr="003C30BD">
              <w:t>33</w:t>
            </w:r>
            <w:r w:rsidR="00E07616" w:rsidRPr="003C30BD">
              <w:t>)</w:t>
            </w:r>
            <w:r w:rsidR="00E07616" w:rsidRPr="003C30BD">
              <w:tab/>
            </w:r>
            <w:r>
              <w:t>P4 Sp z o.o.</w:t>
            </w:r>
          </w:p>
          <w:p w14:paraId="69C2BA32" w14:textId="345B79E0" w:rsidR="00E07616" w:rsidRPr="003C30BD" w:rsidRDefault="003C30BD" w:rsidP="00DF3E14">
            <w:r w:rsidRPr="003C30BD">
              <w:t>34</w:t>
            </w:r>
            <w:r w:rsidR="00E07616" w:rsidRPr="003C30BD">
              <w:t>)</w:t>
            </w:r>
            <w:r w:rsidR="00E07616" w:rsidRPr="003C30BD">
              <w:tab/>
              <w:t>Polkomtel Sp. z o.o.</w:t>
            </w:r>
          </w:p>
          <w:p w14:paraId="6E6DFF94" w14:textId="77777777" w:rsidR="00E07616" w:rsidRPr="0000175D" w:rsidRDefault="00E07616" w:rsidP="00DF3E14">
            <w:r w:rsidRPr="0000175D">
              <w:t>oraz na 21 dni do następujących podmiotów:</w:t>
            </w:r>
          </w:p>
          <w:p w14:paraId="0CF2D4CB" w14:textId="77777777" w:rsidR="00E07616" w:rsidRPr="00560372" w:rsidRDefault="00E07616" w:rsidP="00DF3E14">
            <w:r w:rsidRPr="00E07616">
              <w:t>1)</w:t>
            </w:r>
            <w:r w:rsidRPr="00E07616">
              <w:tab/>
            </w:r>
            <w:r w:rsidRPr="00560372">
              <w:t>Rada Dialogu Społecznego</w:t>
            </w:r>
          </w:p>
          <w:p w14:paraId="5ADA2552" w14:textId="77777777" w:rsidR="00E07616" w:rsidRPr="00560372" w:rsidRDefault="00E07616" w:rsidP="00DF3E14">
            <w:r w:rsidRPr="00E07616">
              <w:t>2)</w:t>
            </w:r>
            <w:r w:rsidRPr="00E07616">
              <w:tab/>
            </w:r>
            <w:r w:rsidRPr="00560372">
              <w:t>Business Centre Club – Związku Pracodawców</w:t>
            </w:r>
          </w:p>
          <w:p w14:paraId="7DD68FC1" w14:textId="77777777" w:rsidR="00E07616" w:rsidRPr="00560372" w:rsidRDefault="00E07616" w:rsidP="00DF3E14">
            <w:r w:rsidRPr="00E07616">
              <w:t>3)</w:t>
            </w:r>
            <w:r w:rsidRPr="00E07616">
              <w:tab/>
            </w:r>
            <w:r w:rsidRPr="00560372">
              <w:t xml:space="preserve">Niezależny Samorządny Związek Zawodowy </w:t>
            </w:r>
            <w:r>
              <w:t>„</w:t>
            </w:r>
            <w:r w:rsidRPr="00560372">
              <w:t>Solidarność</w:t>
            </w:r>
            <w:r>
              <w:t>”</w:t>
            </w:r>
          </w:p>
          <w:p w14:paraId="2B55DE91" w14:textId="77777777" w:rsidR="00E07616" w:rsidRPr="00560372" w:rsidRDefault="00E07616" w:rsidP="00DF3E14">
            <w:r w:rsidRPr="00E07616">
              <w:t>4)</w:t>
            </w:r>
            <w:r w:rsidRPr="00E07616">
              <w:tab/>
            </w:r>
            <w:r w:rsidRPr="00560372">
              <w:t>Ogólnopolskie Porozumienie Związków Zawodowych</w:t>
            </w:r>
          </w:p>
          <w:p w14:paraId="18483978" w14:textId="77777777" w:rsidR="00E07616" w:rsidRPr="00560372" w:rsidRDefault="00E07616" w:rsidP="00DF3E14">
            <w:r w:rsidRPr="00E07616">
              <w:t>5)</w:t>
            </w:r>
            <w:r w:rsidRPr="00E07616">
              <w:tab/>
            </w:r>
            <w:r w:rsidRPr="00560372">
              <w:t>Forum Związków Zawodowych</w:t>
            </w:r>
          </w:p>
          <w:p w14:paraId="25D16D70" w14:textId="77777777" w:rsidR="00E07616" w:rsidRPr="00560372" w:rsidRDefault="00E07616" w:rsidP="00DF3E14">
            <w:r w:rsidRPr="00E07616">
              <w:t>6)</w:t>
            </w:r>
            <w:r w:rsidRPr="00E07616">
              <w:tab/>
            </w:r>
            <w:r w:rsidRPr="00560372">
              <w:t>Pracodawcy Rzeczypospolitej Polskiej</w:t>
            </w:r>
          </w:p>
          <w:p w14:paraId="6E60280B" w14:textId="77777777" w:rsidR="00E07616" w:rsidRPr="00560372" w:rsidRDefault="00E07616" w:rsidP="00DF3E14">
            <w:r w:rsidRPr="00E07616">
              <w:t>7)</w:t>
            </w:r>
            <w:r w:rsidRPr="00E07616">
              <w:tab/>
            </w:r>
            <w:r w:rsidRPr="00560372">
              <w:t>Konfederacja Lewiatan</w:t>
            </w:r>
          </w:p>
          <w:p w14:paraId="79ED1D56" w14:textId="77777777" w:rsidR="00E07616" w:rsidRPr="00560372" w:rsidRDefault="00E07616" w:rsidP="00DF3E14">
            <w:r w:rsidRPr="00E07616">
              <w:t>8)</w:t>
            </w:r>
            <w:r w:rsidRPr="00E07616">
              <w:tab/>
            </w:r>
            <w:r w:rsidRPr="00560372">
              <w:t>Związek Przedsiębiorców i Pracodawców</w:t>
            </w:r>
          </w:p>
          <w:p w14:paraId="188B6973" w14:textId="77777777" w:rsidR="00E07616" w:rsidRPr="00560372" w:rsidRDefault="00E07616" w:rsidP="00DF3E14">
            <w:r w:rsidRPr="00E07616">
              <w:t>9)</w:t>
            </w:r>
            <w:r w:rsidRPr="00E07616">
              <w:tab/>
            </w:r>
            <w:r w:rsidRPr="00560372">
              <w:t>Związek Rzemiosła Polskiego</w:t>
            </w:r>
          </w:p>
          <w:p w14:paraId="37592856" w14:textId="77777777" w:rsidR="00E07616" w:rsidRPr="00560372" w:rsidRDefault="00E07616" w:rsidP="00DF3E14">
            <w:r w:rsidRPr="00E07616">
              <w:t>10)</w:t>
            </w:r>
            <w:r w:rsidRPr="00E07616">
              <w:tab/>
            </w:r>
            <w:r w:rsidRPr="00560372">
              <w:t>Związek Przedsiębiorców i Pracodawców</w:t>
            </w:r>
          </w:p>
          <w:p w14:paraId="726D309F" w14:textId="703BC4C5" w:rsidR="00E07616" w:rsidRPr="00560372" w:rsidRDefault="00E07616" w:rsidP="00DF3E14">
            <w:r w:rsidRPr="00E07616">
              <w:t>11)</w:t>
            </w:r>
            <w:r w:rsidRPr="00E07616">
              <w:tab/>
            </w:r>
            <w:r w:rsidRPr="00560372">
              <w:t>Forum Związków Zawodowych</w:t>
            </w:r>
            <w:r w:rsidR="003C30BD">
              <w:t>.</w:t>
            </w:r>
          </w:p>
          <w:p w14:paraId="61EF4B9B" w14:textId="77777777" w:rsidR="00E07616" w:rsidRPr="0000175D" w:rsidRDefault="00E07616" w:rsidP="00DF3E14">
            <w:r w:rsidRPr="0000175D">
              <w:t xml:space="preserve">Zgodnie z art. 5 ustawy z dnia 7 lipca 2005 r. o działalności lobbingowej w procesie stanowienia prawa (Dz. U. z 2017 r. poz. 248) projektowane rozporządzenie zostanie zamieszczone w Biuletynie Informacji Publicznej na stronie podmiotowej Rządowego Centrum Legislacji, w serwisie </w:t>
            </w:r>
            <w:r>
              <w:t>„</w:t>
            </w:r>
            <w:r w:rsidRPr="0000175D">
              <w:t>Rządowy Proces Legislacyjny</w:t>
            </w:r>
            <w:r>
              <w:t>”</w:t>
            </w:r>
            <w:r w:rsidRPr="0000175D">
              <w:t xml:space="preserve"> oraz w Biuletynie Informacji Publicznej na stronie podmiotowej Ministra Cyfryzacji.</w:t>
            </w:r>
          </w:p>
        </w:tc>
      </w:tr>
      <w:tr w:rsidR="00E07616" w:rsidRPr="0000175D" w14:paraId="0435E600" w14:textId="77777777" w:rsidTr="00DF3E14">
        <w:trPr>
          <w:trHeight w:val="363"/>
          <w:jc w:val="center"/>
        </w:trPr>
        <w:tc>
          <w:tcPr>
            <w:tcW w:w="10916" w:type="dxa"/>
            <w:gridSpan w:val="29"/>
            <w:shd w:val="clear" w:color="auto" w:fill="99CCFF"/>
            <w:vAlign w:val="center"/>
          </w:tcPr>
          <w:p w14:paraId="58385586" w14:textId="77777777" w:rsidR="00E07616" w:rsidRPr="003C30BD" w:rsidRDefault="00E07616" w:rsidP="00DF3E14">
            <w:pPr>
              <w:rPr>
                <w:rStyle w:val="Ppogrubienie"/>
              </w:rPr>
            </w:pPr>
            <w:r w:rsidRPr="0000175D">
              <w:lastRenderedPageBreak/>
              <w:t xml:space="preserve"> </w:t>
            </w:r>
            <w:r w:rsidRPr="003C30BD">
              <w:rPr>
                <w:rStyle w:val="Ppogrubienie"/>
              </w:rPr>
              <w:t>Wpływ na sektor finansów publicznych</w:t>
            </w:r>
          </w:p>
        </w:tc>
      </w:tr>
      <w:tr w:rsidR="00E07616" w:rsidRPr="0000175D" w14:paraId="19672E08" w14:textId="77777777" w:rsidTr="00DF3E14">
        <w:trPr>
          <w:trHeight w:val="142"/>
          <w:jc w:val="center"/>
        </w:trPr>
        <w:tc>
          <w:tcPr>
            <w:tcW w:w="3133" w:type="dxa"/>
            <w:gridSpan w:val="4"/>
            <w:vMerge w:val="restart"/>
            <w:shd w:val="clear" w:color="auto" w:fill="FFFFFF"/>
          </w:tcPr>
          <w:p w14:paraId="22C54C31" w14:textId="77777777" w:rsidR="00E07616" w:rsidRPr="0000175D" w:rsidRDefault="00E07616" w:rsidP="00DF3E14">
            <w:r w:rsidRPr="0000175D">
              <w:t>(ceny stałe z …… r.)</w:t>
            </w:r>
          </w:p>
        </w:tc>
        <w:tc>
          <w:tcPr>
            <w:tcW w:w="7783" w:type="dxa"/>
            <w:gridSpan w:val="25"/>
            <w:shd w:val="clear" w:color="auto" w:fill="FFFFFF"/>
          </w:tcPr>
          <w:p w14:paraId="0608C481" w14:textId="77777777" w:rsidR="00E07616" w:rsidRPr="0000175D" w:rsidRDefault="00E07616" w:rsidP="00DF3E14">
            <w:r w:rsidRPr="0000175D">
              <w:t>Skutki w okresie 10 lat od wejścia w życie zmian [mln zł]</w:t>
            </w:r>
          </w:p>
        </w:tc>
      </w:tr>
      <w:tr w:rsidR="00E07616" w:rsidRPr="0000175D" w14:paraId="22916831" w14:textId="77777777" w:rsidTr="00DF3E14">
        <w:trPr>
          <w:trHeight w:val="142"/>
          <w:jc w:val="center"/>
        </w:trPr>
        <w:tc>
          <w:tcPr>
            <w:tcW w:w="3133" w:type="dxa"/>
            <w:gridSpan w:val="4"/>
            <w:vMerge/>
            <w:shd w:val="clear" w:color="auto" w:fill="FFFFFF"/>
          </w:tcPr>
          <w:p w14:paraId="265D9FFB" w14:textId="77777777" w:rsidR="00E07616" w:rsidRPr="0000175D" w:rsidRDefault="00E07616" w:rsidP="00DF3E14"/>
        </w:tc>
        <w:tc>
          <w:tcPr>
            <w:tcW w:w="548" w:type="dxa"/>
            <w:gridSpan w:val="2"/>
            <w:shd w:val="clear" w:color="auto" w:fill="FFFFFF"/>
          </w:tcPr>
          <w:p w14:paraId="70CF2710" w14:textId="77777777" w:rsidR="00E07616" w:rsidRPr="0000175D" w:rsidRDefault="00E07616" w:rsidP="00DF3E14">
            <w:r w:rsidRPr="0000175D">
              <w:t>0</w:t>
            </w:r>
          </w:p>
        </w:tc>
        <w:tc>
          <w:tcPr>
            <w:tcW w:w="591" w:type="dxa"/>
            <w:gridSpan w:val="2"/>
            <w:shd w:val="clear" w:color="auto" w:fill="FFFFFF"/>
          </w:tcPr>
          <w:p w14:paraId="561A8A92" w14:textId="77777777" w:rsidR="00E07616" w:rsidRPr="0000175D" w:rsidRDefault="00E07616" w:rsidP="00DF3E14">
            <w:r w:rsidRPr="0000175D">
              <w:t>1</w:t>
            </w:r>
          </w:p>
        </w:tc>
        <w:tc>
          <w:tcPr>
            <w:tcW w:w="570" w:type="dxa"/>
            <w:gridSpan w:val="3"/>
            <w:shd w:val="clear" w:color="auto" w:fill="FFFFFF"/>
          </w:tcPr>
          <w:p w14:paraId="5342E352" w14:textId="77777777" w:rsidR="00E07616" w:rsidRPr="0000175D" w:rsidRDefault="00E07616" w:rsidP="00DF3E14">
            <w:r w:rsidRPr="0000175D">
              <w:t>2</w:t>
            </w:r>
          </w:p>
        </w:tc>
        <w:tc>
          <w:tcPr>
            <w:tcW w:w="569" w:type="dxa"/>
            <w:gridSpan w:val="2"/>
            <w:shd w:val="clear" w:color="auto" w:fill="FFFFFF"/>
          </w:tcPr>
          <w:p w14:paraId="4817AA4A" w14:textId="77777777" w:rsidR="00E07616" w:rsidRPr="0000175D" w:rsidRDefault="00E07616" w:rsidP="00DF3E14">
            <w:r w:rsidRPr="0000175D">
              <w:t>3</w:t>
            </w:r>
          </w:p>
        </w:tc>
        <w:tc>
          <w:tcPr>
            <w:tcW w:w="570" w:type="dxa"/>
            <w:gridSpan w:val="2"/>
            <w:shd w:val="clear" w:color="auto" w:fill="FFFFFF"/>
          </w:tcPr>
          <w:p w14:paraId="4EECA921" w14:textId="77777777" w:rsidR="00E07616" w:rsidRPr="0000175D" w:rsidRDefault="00E07616" w:rsidP="00DF3E14">
            <w:r w:rsidRPr="0000175D">
              <w:t>4</w:t>
            </w:r>
          </w:p>
        </w:tc>
        <w:tc>
          <w:tcPr>
            <w:tcW w:w="570" w:type="dxa"/>
            <w:shd w:val="clear" w:color="auto" w:fill="FFFFFF"/>
          </w:tcPr>
          <w:p w14:paraId="6821456E" w14:textId="77777777" w:rsidR="00E07616" w:rsidRPr="0000175D" w:rsidRDefault="00E07616" w:rsidP="00DF3E14">
            <w:r w:rsidRPr="0000175D">
              <w:t>5</w:t>
            </w:r>
          </w:p>
        </w:tc>
        <w:tc>
          <w:tcPr>
            <w:tcW w:w="570" w:type="dxa"/>
            <w:gridSpan w:val="4"/>
            <w:shd w:val="clear" w:color="auto" w:fill="FFFFFF"/>
          </w:tcPr>
          <w:p w14:paraId="5F71831F" w14:textId="77777777" w:rsidR="00E07616" w:rsidRPr="0000175D" w:rsidRDefault="00E07616" w:rsidP="00DF3E14">
            <w:r w:rsidRPr="0000175D">
              <w:t>6</w:t>
            </w:r>
          </w:p>
        </w:tc>
        <w:tc>
          <w:tcPr>
            <w:tcW w:w="569" w:type="dxa"/>
            <w:gridSpan w:val="3"/>
            <w:shd w:val="clear" w:color="auto" w:fill="FFFFFF"/>
          </w:tcPr>
          <w:p w14:paraId="20C02743" w14:textId="77777777" w:rsidR="00E07616" w:rsidRPr="0000175D" w:rsidRDefault="00E07616" w:rsidP="00DF3E14">
            <w:r w:rsidRPr="0000175D">
              <w:t>7</w:t>
            </w:r>
          </w:p>
        </w:tc>
        <w:tc>
          <w:tcPr>
            <w:tcW w:w="570" w:type="dxa"/>
            <w:shd w:val="clear" w:color="auto" w:fill="FFFFFF"/>
          </w:tcPr>
          <w:p w14:paraId="06AEF781" w14:textId="77777777" w:rsidR="00E07616" w:rsidRPr="0000175D" w:rsidRDefault="00E07616" w:rsidP="00DF3E14">
            <w:r w:rsidRPr="0000175D">
              <w:t>8</w:t>
            </w:r>
          </w:p>
        </w:tc>
        <w:tc>
          <w:tcPr>
            <w:tcW w:w="570" w:type="dxa"/>
            <w:gridSpan w:val="2"/>
            <w:shd w:val="clear" w:color="auto" w:fill="FFFFFF"/>
          </w:tcPr>
          <w:p w14:paraId="0159D241" w14:textId="77777777" w:rsidR="00E07616" w:rsidRPr="0000175D" w:rsidRDefault="00E07616" w:rsidP="00DF3E14">
            <w:r w:rsidRPr="0000175D">
              <w:t>9</w:t>
            </w:r>
          </w:p>
        </w:tc>
        <w:tc>
          <w:tcPr>
            <w:tcW w:w="570" w:type="dxa"/>
            <w:shd w:val="clear" w:color="auto" w:fill="FFFFFF"/>
          </w:tcPr>
          <w:p w14:paraId="6DE3B88A" w14:textId="77777777" w:rsidR="00E07616" w:rsidRPr="0000175D" w:rsidRDefault="00E07616" w:rsidP="00DF3E14">
            <w:r w:rsidRPr="0000175D">
              <w:t>10</w:t>
            </w:r>
          </w:p>
        </w:tc>
        <w:tc>
          <w:tcPr>
            <w:tcW w:w="1516" w:type="dxa"/>
            <w:gridSpan w:val="2"/>
            <w:shd w:val="clear" w:color="auto" w:fill="FFFFFF"/>
          </w:tcPr>
          <w:p w14:paraId="542B776D" w14:textId="77777777" w:rsidR="00E07616" w:rsidRPr="0000175D" w:rsidRDefault="00E07616" w:rsidP="00DF3E14">
            <w:r w:rsidRPr="0000175D">
              <w:t>Łącznie (0-10)</w:t>
            </w:r>
          </w:p>
        </w:tc>
      </w:tr>
      <w:tr w:rsidR="00E07616" w:rsidRPr="0000175D" w14:paraId="2C2A830D" w14:textId="77777777" w:rsidTr="00DF3E14">
        <w:trPr>
          <w:trHeight w:val="321"/>
          <w:jc w:val="center"/>
        </w:trPr>
        <w:tc>
          <w:tcPr>
            <w:tcW w:w="3133" w:type="dxa"/>
            <w:gridSpan w:val="4"/>
            <w:shd w:val="clear" w:color="auto" w:fill="FFFFFF"/>
            <w:vAlign w:val="center"/>
          </w:tcPr>
          <w:p w14:paraId="3F56E03D" w14:textId="77777777" w:rsidR="00E07616" w:rsidRPr="0000175D" w:rsidRDefault="00E07616" w:rsidP="00DF3E14">
            <w:r w:rsidRPr="0000175D">
              <w:t>Dochody ogółem</w:t>
            </w:r>
          </w:p>
        </w:tc>
        <w:tc>
          <w:tcPr>
            <w:tcW w:w="548" w:type="dxa"/>
            <w:gridSpan w:val="2"/>
            <w:shd w:val="clear" w:color="auto" w:fill="FFFFFF"/>
          </w:tcPr>
          <w:p w14:paraId="02E56618" w14:textId="77777777" w:rsidR="00E07616" w:rsidRPr="0000175D" w:rsidRDefault="00E07616" w:rsidP="00DF3E14">
            <w:r w:rsidRPr="0000175D">
              <w:t>0</w:t>
            </w:r>
          </w:p>
        </w:tc>
        <w:tc>
          <w:tcPr>
            <w:tcW w:w="591" w:type="dxa"/>
            <w:gridSpan w:val="2"/>
            <w:shd w:val="clear" w:color="auto" w:fill="FFFFFF"/>
          </w:tcPr>
          <w:p w14:paraId="358A69B5" w14:textId="77777777" w:rsidR="00E07616" w:rsidRPr="0000175D" w:rsidRDefault="00E07616" w:rsidP="00DF3E14">
            <w:r w:rsidRPr="0000175D">
              <w:t>0</w:t>
            </w:r>
          </w:p>
        </w:tc>
        <w:tc>
          <w:tcPr>
            <w:tcW w:w="570" w:type="dxa"/>
            <w:gridSpan w:val="3"/>
            <w:shd w:val="clear" w:color="auto" w:fill="FFFFFF"/>
          </w:tcPr>
          <w:p w14:paraId="1A060712" w14:textId="77777777" w:rsidR="00E07616" w:rsidRPr="0000175D" w:rsidRDefault="00E07616" w:rsidP="00DF3E14">
            <w:r w:rsidRPr="0000175D">
              <w:t>0</w:t>
            </w:r>
          </w:p>
        </w:tc>
        <w:tc>
          <w:tcPr>
            <w:tcW w:w="569" w:type="dxa"/>
            <w:gridSpan w:val="2"/>
            <w:shd w:val="clear" w:color="auto" w:fill="FFFFFF"/>
          </w:tcPr>
          <w:p w14:paraId="7449FE80" w14:textId="77777777" w:rsidR="00E07616" w:rsidRPr="0000175D" w:rsidRDefault="00E07616" w:rsidP="00DF3E14">
            <w:r w:rsidRPr="0000175D">
              <w:t>0</w:t>
            </w:r>
          </w:p>
        </w:tc>
        <w:tc>
          <w:tcPr>
            <w:tcW w:w="570" w:type="dxa"/>
            <w:gridSpan w:val="2"/>
            <w:shd w:val="clear" w:color="auto" w:fill="FFFFFF"/>
          </w:tcPr>
          <w:p w14:paraId="55B560D8" w14:textId="77777777" w:rsidR="00E07616" w:rsidRPr="0000175D" w:rsidRDefault="00E07616" w:rsidP="00DF3E14">
            <w:r w:rsidRPr="0000175D">
              <w:t>0</w:t>
            </w:r>
          </w:p>
        </w:tc>
        <w:tc>
          <w:tcPr>
            <w:tcW w:w="570" w:type="dxa"/>
            <w:shd w:val="clear" w:color="auto" w:fill="FFFFFF"/>
          </w:tcPr>
          <w:p w14:paraId="2A51317C" w14:textId="77777777" w:rsidR="00E07616" w:rsidRPr="0000175D" w:rsidRDefault="00E07616" w:rsidP="00DF3E14">
            <w:r w:rsidRPr="0000175D">
              <w:t>0</w:t>
            </w:r>
          </w:p>
        </w:tc>
        <w:tc>
          <w:tcPr>
            <w:tcW w:w="570" w:type="dxa"/>
            <w:gridSpan w:val="4"/>
            <w:shd w:val="clear" w:color="auto" w:fill="FFFFFF"/>
          </w:tcPr>
          <w:p w14:paraId="07E434EC" w14:textId="77777777" w:rsidR="00E07616" w:rsidRPr="0000175D" w:rsidRDefault="00E07616" w:rsidP="00DF3E14">
            <w:r w:rsidRPr="0000175D">
              <w:t>0</w:t>
            </w:r>
          </w:p>
        </w:tc>
        <w:tc>
          <w:tcPr>
            <w:tcW w:w="569" w:type="dxa"/>
            <w:gridSpan w:val="3"/>
            <w:shd w:val="clear" w:color="auto" w:fill="FFFFFF"/>
          </w:tcPr>
          <w:p w14:paraId="58CEF12A" w14:textId="77777777" w:rsidR="00E07616" w:rsidRPr="0000175D" w:rsidRDefault="00E07616" w:rsidP="00DF3E14">
            <w:r w:rsidRPr="0000175D">
              <w:t>0</w:t>
            </w:r>
          </w:p>
        </w:tc>
        <w:tc>
          <w:tcPr>
            <w:tcW w:w="570" w:type="dxa"/>
            <w:shd w:val="clear" w:color="auto" w:fill="FFFFFF"/>
          </w:tcPr>
          <w:p w14:paraId="1606B147" w14:textId="77777777" w:rsidR="00E07616" w:rsidRPr="0000175D" w:rsidRDefault="00E07616" w:rsidP="00DF3E14">
            <w:r w:rsidRPr="0000175D">
              <w:t>0</w:t>
            </w:r>
          </w:p>
        </w:tc>
        <w:tc>
          <w:tcPr>
            <w:tcW w:w="570" w:type="dxa"/>
            <w:gridSpan w:val="2"/>
            <w:shd w:val="clear" w:color="auto" w:fill="FFFFFF"/>
          </w:tcPr>
          <w:p w14:paraId="19CB9C2E" w14:textId="77777777" w:rsidR="00E07616" w:rsidRPr="0000175D" w:rsidRDefault="00E07616" w:rsidP="00DF3E14">
            <w:r w:rsidRPr="0000175D">
              <w:t>0</w:t>
            </w:r>
          </w:p>
        </w:tc>
        <w:tc>
          <w:tcPr>
            <w:tcW w:w="570" w:type="dxa"/>
            <w:shd w:val="clear" w:color="auto" w:fill="FFFFFF"/>
          </w:tcPr>
          <w:p w14:paraId="33334AB5" w14:textId="77777777" w:rsidR="00E07616" w:rsidRPr="0000175D" w:rsidRDefault="00E07616" w:rsidP="00DF3E14">
            <w:r w:rsidRPr="0000175D">
              <w:t>0</w:t>
            </w:r>
          </w:p>
        </w:tc>
        <w:tc>
          <w:tcPr>
            <w:tcW w:w="1516" w:type="dxa"/>
            <w:gridSpan w:val="2"/>
            <w:shd w:val="clear" w:color="auto" w:fill="FFFFFF"/>
          </w:tcPr>
          <w:p w14:paraId="51C5CBDB" w14:textId="77777777" w:rsidR="00E07616" w:rsidRPr="00560372" w:rsidRDefault="00E07616" w:rsidP="00DF3E14">
            <w:pPr>
              <w:rPr>
                <w:rStyle w:val="Kkursywa"/>
              </w:rPr>
            </w:pPr>
          </w:p>
        </w:tc>
      </w:tr>
      <w:tr w:rsidR="00E07616" w:rsidRPr="0000175D" w14:paraId="0D7B9727" w14:textId="77777777" w:rsidTr="00DF3E14">
        <w:trPr>
          <w:trHeight w:val="321"/>
          <w:jc w:val="center"/>
        </w:trPr>
        <w:tc>
          <w:tcPr>
            <w:tcW w:w="3133" w:type="dxa"/>
            <w:gridSpan w:val="4"/>
            <w:shd w:val="clear" w:color="auto" w:fill="FFFFFF"/>
            <w:vAlign w:val="center"/>
          </w:tcPr>
          <w:p w14:paraId="75F2522D" w14:textId="77777777" w:rsidR="00E07616" w:rsidRPr="0000175D" w:rsidRDefault="00E07616" w:rsidP="00DF3E14">
            <w:r w:rsidRPr="0000175D">
              <w:lastRenderedPageBreak/>
              <w:t>budżet państwa</w:t>
            </w:r>
          </w:p>
        </w:tc>
        <w:tc>
          <w:tcPr>
            <w:tcW w:w="548" w:type="dxa"/>
            <w:gridSpan w:val="2"/>
            <w:shd w:val="clear" w:color="auto" w:fill="FFFFFF"/>
          </w:tcPr>
          <w:p w14:paraId="6C477AFC" w14:textId="77777777" w:rsidR="00E07616" w:rsidRPr="0000175D" w:rsidRDefault="00E07616" w:rsidP="00DF3E14">
            <w:r w:rsidRPr="0000175D">
              <w:t>0</w:t>
            </w:r>
          </w:p>
        </w:tc>
        <w:tc>
          <w:tcPr>
            <w:tcW w:w="591" w:type="dxa"/>
            <w:gridSpan w:val="2"/>
            <w:shd w:val="clear" w:color="auto" w:fill="FFFFFF"/>
          </w:tcPr>
          <w:p w14:paraId="0D461275" w14:textId="77777777" w:rsidR="00E07616" w:rsidRPr="0000175D" w:rsidRDefault="00E07616" w:rsidP="00DF3E14">
            <w:r w:rsidRPr="0000175D">
              <w:t>0</w:t>
            </w:r>
          </w:p>
        </w:tc>
        <w:tc>
          <w:tcPr>
            <w:tcW w:w="570" w:type="dxa"/>
            <w:gridSpan w:val="3"/>
            <w:shd w:val="clear" w:color="auto" w:fill="FFFFFF"/>
          </w:tcPr>
          <w:p w14:paraId="543EBE30" w14:textId="77777777" w:rsidR="00E07616" w:rsidRPr="0000175D" w:rsidRDefault="00E07616" w:rsidP="00DF3E14">
            <w:r w:rsidRPr="0000175D">
              <w:t>0</w:t>
            </w:r>
          </w:p>
        </w:tc>
        <w:tc>
          <w:tcPr>
            <w:tcW w:w="569" w:type="dxa"/>
            <w:gridSpan w:val="2"/>
            <w:shd w:val="clear" w:color="auto" w:fill="FFFFFF"/>
          </w:tcPr>
          <w:p w14:paraId="06130D4F" w14:textId="77777777" w:rsidR="00E07616" w:rsidRPr="0000175D" w:rsidRDefault="00E07616" w:rsidP="00DF3E14">
            <w:r w:rsidRPr="0000175D">
              <w:t>0</w:t>
            </w:r>
          </w:p>
        </w:tc>
        <w:tc>
          <w:tcPr>
            <w:tcW w:w="570" w:type="dxa"/>
            <w:gridSpan w:val="2"/>
            <w:shd w:val="clear" w:color="auto" w:fill="FFFFFF"/>
          </w:tcPr>
          <w:p w14:paraId="23F24952" w14:textId="77777777" w:rsidR="00E07616" w:rsidRPr="0000175D" w:rsidRDefault="00E07616" w:rsidP="00DF3E14">
            <w:r w:rsidRPr="0000175D">
              <w:t>0</w:t>
            </w:r>
          </w:p>
        </w:tc>
        <w:tc>
          <w:tcPr>
            <w:tcW w:w="570" w:type="dxa"/>
            <w:shd w:val="clear" w:color="auto" w:fill="FFFFFF"/>
          </w:tcPr>
          <w:p w14:paraId="20F39C6B" w14:textId="77777777" w:rsidR="00E07616" w:rsidRPr="0000175D" w:rsidRDefault="00E07616" w:rsidP="00DF3E14">
            <w:r w:rsidRPr="0000175D">
              <w:t>0</w:t>
            </w:r>
          </w:p>
        </w:tc>
        <w:tc>
          <w:tcPr>
            <w:tcW w:w="570" w:type="dxa"/>
            <w:gridSpan w:val="4"/>
            <w:shd w:val="clear" w:color="auto" w:fill="FFFFFF"/>
          </w:tcPr>
          <w:p w14:paraId="3CC46F3E" w14:textId="77777777" w:rsidR="00E07616" w:rsidRPr="0000175D" w:rsidRDefault="00E07616" w:rsidP="00DF3E14">
            <w:r w:rsidRPr="0000175D">
              <w:t>0</w:t>
            </w:r>
          </w:p>
        </w:tc>
        <w:tc>
          <w:tcPr>
            <w:tcW w:w="569" w:type="dxa"/>
            <w:gridSpan w:val="3"/>
            <w:shd w:val="clear" w:color="auto" w:fill="FFFFFF"/>
          </w:tcPr>
          <w:p w14:paraId="56EC641B" w14:textId="77777777" w:rsidR="00E07616" w:rsidRPr="0000175D" w:rsidRDefault="00E07616" w:rsidP="00DF3E14">
            <w:r w:rsidRPr="0000175D">
              <w:t>0</w:t>
            </w:r>
          </w:p>
        </w:tc>
        <w:tc>
          <w:tcPr>
            <w:tcW w:w="570" w:type="dxa"/>
            <w:shd w:val="clear" w:color="auto" w:fill="FFFFFF"/>
          </w:tcPr>
          <w:p w14:paraId="45C93DB2" w14:textId="77777777" w:rsidR="00E07616" w:rsidRPr="0000175D" w:rsidRDefault="00E07616" w:rsidP="00DF3E14">
            <w:r w:rsidRPr="0000175D">
              <w:t>0</w:t>
            </w:r>
          </w:p>
        </w:tc>
        <w:tc>
          <w:tcPr>
            <w:tcW w:w="570" w:type="dxa"/>
            <w:gridSpan w:val="2"/>
            <w:shd w:val="clear" w:color="auto" w:fill="FFFFFF"/>
          </w:tcPr>
          <w:p w14:paraId="54509FFE" w14:textId="77777777" w:rsidR="00E07616" w:rsidRPr="0000175D" w:rsidRDefault="00E07616" w:rsidP="00DF3E14">
            <w:r w:rsidRPr="0000175D">
              <w:t>0</w:t>
            </w:r>
          </w:p>
        </w:tc>
        <w:tc>
          <w:tcPr>
            <w:tcW w:w="570" w:type="dxa"/>
            <w:shd w:val="clear" w:color="auto" w:fill="FFFFFF"/>
          </w:tcPr>
          <w:p w14:paraId="3416B44E" w14:textId="77777777" w:rsidR="00E07616" w:rsidRPr="0000175D" w:rsidRDefault="00E07616" w:rsidP="00DF3E14">
            <w:r w:rsidRPr="0000175D">
              <w:t>0</w:t>
            </w:r>
          </w:p>
        </w:tc>
        <w:tc>
          <w:tcPr>
            <w:tcW w:w="1516" w:type="dxa"/>
            <w:gridSpan w:val="2"/>
            <w:shd w:val="clear" w:color="auto" w:fill="FFFFFF"/>
          </w:tcPr>
          <w:p w14:paraId="660FF6CA" w14:textId="77777777" w:rsidR="00E07616" w:rsidRPr="0000175D" w:rsidRDefault="00E07616" w:rsidP="00DF3E14">
            <w:r w:rsidRPr="0000175D">
              <w:t>0</w:t>
            </w:r>
          </w:p>
        </w:tc>
      </w:tr>
      <w:tr w:rsidR="00E07616" w:rsidRPr="0000175D" w14:paraId="2B01BF57" w14:textId="77777777" w:rsidTr="00DF3E14">
        <w:trPr>
          <w:trHeight w:val="344"/>
          <w:jc w:val="center"/>
        </w:trPr>
        <w:tc>
          <w:tcPr>
            <w:tcW w:w="3133" w:type="dxa"/>
            <w:gridSpan w:val="4"/>
            <w:shd w:val="clear" w:color="auto" w:fill="FFFFFF"/>
            <w:vAlign w:val="center"/>
          </w:tcPr>
          <w:p w14:paraId="596258A2" w14:textId="77777777" w:rsidR="00E07616" w:rsidRPr="0000175D" w:rsidRDefault="00E07616" w:rsidP="00DF3E14">
            <w:r w:rsidRPr="0000175D">
              <w:t>JST</w:t>
            </w:r>
          </w:p>
        </w:tc>
        <w:tc>
          <w:tcPr>
            <w:tcW w:w="548" w:type="dxa"/>
            <w:gridSpan w:val="2"/>
            <w:shd w:val="clear" w:color="auto" w:fill="FFFFFF"/>
          </w:tcPr>
          <w:p w14:paraId="2CEF11CC" w14:textId="77777777" w:rsidR="00E07616" w:rsidRPr="0000175D" w:rsidRDefault="00E07616" w:rsidP="00DF3E14">
            <w:r w:rsidRPr="0000175D">
              <w:t>0</w:t>
            </w:r>
          </w:p>
        </w:tc>
        <w:tc>
          <w:tcPr>
            <w:tcW w:w="591" w:type="dxa"/>
            <w:gridSpan w:val="2"/>
            <w:shd w:val="clear" w:color="auto" w:fill="FFFFFF"/>
          </w:tcPr>
          <w:p w14:paraId="6A8A9BDE" w14:textId="77777777" w:rsidR="00E07616" w:rsidRPr="0000175D" w:rsidRDefault="00E07616" w:rsidP="00DF3E14">
            <w:r w:rsidRPr="0000175D">
              <w:t>0</w:t>
            </w:r>
          </w:p>
        </w:tc>
        <w:tc>
          <w:tcPr>
            <w:tcW w:w="570" w:type="dxa"/>
            <w:gridSpan w:val="3"/>
            <w:shd w:val="clear" w:color="auto" w:fill="FFFFFF"/>
          </w:tcPr>
          <w:p w14:paraId="628A8EE7" w14:textId="77777777" w:rsidR="00E07616" w:rsidRPr="0000175D" w:rsidRDefault="00E07616" w:rsidP="00DF3E14">
            <w:r w:rsidRPr="0000175D">
              <w:t>0</w:t>
            </w:r>
          </w:p>
        </w:tc>
        <w:tc>
          <w:tcPr>
            <w:tcW w:w="569" w:type="dxa"/>
            <w:gridSpan w:val="2"/>
            <w:shd w:val="clear" w:color="auto" w:fill="FFFFFF"/>
          </w:tcPr>
          <w:p w14:paraId="78992C66" w14:textId="77777777" w:rsidR="00E07616" w:rsidRPr="0000175D" w:rsidRDefault="00E07616" w:rsidP="00DF3E14">
            <w:r w:rsidRPr="0000175D">
              <w:t>0</w:t>
            </w:r>
          </w:p>
        </w:tc>
        <w:tc>
          <w:tcPr>
            <w:tcW w:w="570" w:type="dxa"/>
            <w:gridSpan w:val="2"/>
            <w:shd w:val="clear" w:color="auto" w:fill="FFFFFF"/>
          </w:tcPr>
          <w:p w14:paraId="27494842" w14:textId="77777777" w:rsidR="00E07616" w:rsidRPr="0000175D" w:rsidRDefault="00E07616" w:rsidP="00DF3E14">
            <w:r w:rsidRPr="0000175D">
              <w:t>0</w:t>
            </w:r>
          </w:p>
        </w:tc>
        <w:tc>
          <w:tcPr>
            <w:tcW w:w="570" w:type="dxa"/>
            <w:shd w:val="clear" w:color="auto" w:fill="FFFFFF"/>
          </w:tcPr>
          <w:p w14:paraId="4165C18D" w14:textId="77777777" w:rsidR="00E07616" w:rsidRPr="0000175D" w:rsidRDefault="00E07616" w:rsidP="00DF3E14">
            <w:r w:rsidRPr="0000175D">
              <w:t>0</w:t>
            </w:r>
          </w:p>
        </w:tc>
        <w:tc>
          <w:tcPr>
            <w:tcW w:w="570" w:type="dxa"/>
            <w:gridSpan w:val="4"/>
            <w:shd w:val="clear" w:color="auto" w:fill="FFFFFF"/>
          </w:tcPr>
          <w:p w14:paraId="77BF1330" w14:textId="77777777" w:rsidR="00E07616" w:rsidRPr="0000175D" w:rsidRDefault="00E07616" w:rsidP="00DF3E14">
            <w:r w:rsidRPr="0000175D">
              <w:t>0</w:t>
            </w:r>
          </w:p>
        </w:tc>
        <w:tc>
          <w:tcPr>
            <w:tcW w:w="569" w:type="dxa"/>
            <w:gridSpan w:val="3"/>
            <w:shd w:val="clear" w:color="auto" w:fill="FFFFFF"/>
          </w:tcPr>
          <w:p w14:paraId="785017E3" w14:textId="77777777" w:rsidR="00E07616" w:rsidRPr="0000175D" w:rsidRDefault="00E07616" w:rsidP="00DF3E14">
            <w:r w:rsidRPr="0000175D">
              <w:t>0</w:t>
            </w:r>
          </w:p>
        </w:tc>
        <w:tc>
          <w:tcPr>
            <w:tcW w:w="570" w:type="dxa"/>
            <w:shd w:val="clear" w:color="auto" w:fill="FFFFFF"/>
          </w:tcPr>
          <w:p w14:paraId="33B15E9F" w14:textId="77777777" w:rsidR="00E07616" w:rsidRPr="0000175D" w:rsidRDefault="00E07616" w:rsidP="00DF3E14">
            <w:r w:rsidRPr="0000175D">
              <w:t>0</w:t>
            </w:r>
          </w:p>
        </w:tc>
        <w:tc>
          <w:tcPr>
            <w:tcW w:w="570" w:type="dxa"/>
            <w:gridSpan w:val="2"/>
            <w:shd w:val="clear" w:color="auto" w:fill="FFFFFF"/>
          </w:tcPr>
          <w:p w14:paraId="3687B6AE" w14:textId="77777777" w:rsidR="00E07616" w:rsidRPr="0000175D" w:rsidRDefault="00E07616" w:rsidP="00DF3E14">
            <w:r w:rsidRPr="0000175D">
              <w:t>0</w:t>
            </w:r>
          </w:p>
        </w:tc>
        <w:tc>
          <w:tcPr>
            <w:tcW w:w="570" w:type="dxa"/>
            <w:shd w:val="clear" w:color="auto" w:fill="FFFFFF"/>
          </w:tcPr>
          <w:p w14:paraId="0F77FE8A" w14:textId="77777777" w:rsidR="00E07616" w:rsidRPr="0000175D" w:rsidRDefault="00E07616" w:rsidP="00DF3E14">
            <w:r w:rsidRPr="0000175D">
              <w:t>0</w:t>
            </w:r>
          </w:p>
        </w:tc>
        <w:tc>
          <w:tcPr>
            <w:tcW w:w="1516" w:type="dxa"/>
            <w:gridSpan w:val="2"/>
            <w:shd w:val="clear" w:color="auto" w:fill="FFFFFF"/>
          </w:tcPr>
          <w:p w14:paraId="096CB8FF" w14:textId="77777777" w:rsidR="00E07616" w:rsidRPr="0000175D" w:rsidRDefault="00E07616" w:rsidP="00DF3E14">
            <w:r w:rsidRPr="0000175D">
              <w:t>0</w:t>
            </w:r>
          </w:p>
        </w:tc>
      </w:tr>
      <w:tr w:rsidR="00E07616" w:rsidRPr="0000175D" w14:paraId="1A6047E2" w14:textId="77777777" w:rsidTr="00DF3E14">
        <w:trPr>
          <w:trHeight w:val="344"/>
          <w:jc w:val="center"/>
        </w:trPr>
        <w:tc>
          <w:tcPr>
            <w:tcW w:w="3133" w:type="dxa"/>
            <w:gridSpan w:val="4"/>
            <w:shd w:val="clear" w:color="auto" w:fill="FFFFFF"/>
            <w:vAlign w:val="center"/>
          </w:tcPr>
          <w:p w14:paraId="7D1648FD" w14:textId="77777777" w:rsidR="00E07616" w:rsidRPr="0000175D" w:rsidRDefault="00E07616" w:rsidP="00DF3E14">
            <w:r w:rsidRPr="0000175D">
              <w:t>pozostałe jednostki (oddzielnie)</w:t>
            </w:r>
          </w:p>
        </w:tc>
        <w:tc>
          <w:tcPr>
            <w:tcW w:w="548" w:type="dxa"/>
            <w:gridSpan w:val="2"/>
            <w:shd w:val="clear" w:color="auto" w:fill="FFFFFF"/>
          </w:tcPr>
          <w:p w14:paraId="5AFB10B0" w14:textId="77777777" w:rsidR="00E07616" w:rsidRPr="0000175D" w:rsidRDefault="00E07616" w:rsidP="00DF3E14">
            <w:r w:rsidRPr="0000175D">
              <w:t>0</w:t>
            </w:r>
          </w:p>
        </w:tc>
        <w:tc>
          <w:tcPr>
            <w:tcW w:w="591" w:type="dxa"/>
            <w:gridSpan w:val="2"/>
            <w:shd w:val="clear" w:color="auto" w:fill="FFFFFF"/>
          </w:tcPr>
          <w:p w14:paraId="6CBC16A9" w14:textId="77777777" w:rsidR="00E07616" w:rsidRPr="0000175D" w:rsidRDefault="00E07616" w:rsidP="00DF3E14">
            <w:r w:rsidRPr="0000175D">
              <w:t>0</w:t>
            </w:r>
          </w:p>
        </w:tc>
        <w:tc>
          <w:tcPr>
            <w:tcW w:w="570" w:type="dxa"/>
            <w:gridSpan w:val="3"/>
            <w:shd w:val="clear" w:color="auto" w:fill="FFFFFF"/>
          </w:tcPr>
          <w:p w14:paraId="06BE52B9" w14:textId="77777777" w:rsidR="00E07616" w:rsidRPr="0000175D" w:rsidRDefault="00E07616" w:rsidP="00DF3E14">
            <w:r w:rsidRPr="0000175D">
              <w:t>0</w:t>
            </w:r>
          </w:p>
        </w:tc>
        <w:tc>
          <w:tcPr>
            <w:tcW w:w="569" w:type="dxa"/>
            <w:gridSpan w:val="2"/>
            <w:shd w:val="clear" w:color="auto" w:fill="FFFFFF"/>
          </w:tcPr>
          <w:p w14:paraId="4E784A77" w14:textId="77777777" w:rsidR="00E07616" w:rsidRPr="0000175D" w:rsidRDefault="00E07616" w:rsidP="00DF3E14">
            <w:r w:rsidRPr="0000175D">
              <w:t>0</w:t>
            </w:r>
          </w:p>
        </w:tc>
        <w:tc>
          <w:tcPr>
            <w:tcW w:w="570" w:type="dxa"/>
            <w:gridSpan w:val="2"/>
            <w:shd w:val="clear" w:color="auto" w:fill="FFFFFF"/>
          </w:tcPr>
          <w:p w14:paraId="77CD871A" w14:textId="77777777" w:rsidR="00E07616" w:rsidRPr="0000175D" w:rsidRDefault="00E07616" w:rsidP="00DF3E14">
            <w:r w:rsidRPr="0000175D">
              <w:t>0</w:t>
            </w:r>
          </w:p>
        </w:tc>
        <w:tc>
          <w:tcPr>
            <w:tcW w:w="570" w:type="dxa"/>
            <w:shd w:val="clear" w:color="auto" w:fill="FFFFFF"/>
          </w:tcPr>
          <w:p w14:paraId="22C4E26A" w14:textId="77777777" w:rsidR="00E07616" w:rsidRPr="0000175D" w:rsidRDefault="00E07616" w:rsidP="00DF3E14">
            <w:r w:rsidRPr="0000175D">
              <w:t>0</w:t>
            </w:r>
          </w:p>
        </w:tc>
        <w:tc>
          <w:tcPr>
            <w:tcW w:w="570" w:type="dxa"/>
            <w:gridSpan w:val="4"/>
            <w:shd w:val="clear" w:color="auto" w:fill="FFFFFF"/>
          </w:tcPr>
          <w:p w14:paraId="762EBA9F" w14:textId="77777777" w:rsidR="00E07616" w:rsidRPr="0000175D" w:rsidRDefault="00E07616" w:rsidP="00DF3E14">
            <w:r w:rsidRPr="0000175D">
              <w:t>0</w:t>
            </w:r>
          </w:p>
        </w:tc>
        <w:tc>
          <w:tcPr>
            <w:tcW w:w="569" w:type="dxa"/>
            <w:gridSpan w:val="3"/>
            <w:shd w:val="clear" w:color="auto" w:fill="FFFFFF"/>
          </w:tcPr>
          <w:p w14:paraId="79BA55DA" w14:textId="77777777" w:rsidR="00E07616" w:rsidRPr="0000175D" w:rsidRDefault="00E07616" w:rsidP="00DF3E14">
            <w:r w:rsidRPr="0000175D">
              <w:t>0</w:t>
            </w:r>
          </w:p>
        </w:tc>
        <w:tc>
          <w:tcPr>
            <w:tcW w:w="570" w:type="dxa"/>
            <w:shd w:val="clear" w:color="auto" w:fill="FFFFFF"/>
          </w:tcPr>
          <w:p w14:paraId="7C7C8234" w14:textId="77777777" w:rsidR="00E07616" w:rsidRPr="0000175D" w:rsidRDefault="00E07616" w:rsidP="00DF3E14">
            <w:r w:rsidRPr="0000175D">
              <w:t>0</w:t>
            </w:r>
          </w:p>
        </w:tc>
        <w:tc>
          <w:tcPr>
            <w:tcW w:w="570" w:type="dxa"/>
            <w:gridSpan w:val="2"/>
            <w:shd w:val="clear" w:color="auto" w:fill="FFFFFF"/>
          </w:tcPr>
          <w:p w14:paraId="4F9C0864" w14:textId="77777777" w:rsidR="00E07616" w:rsidRPr="0000175D" w:rsidRDefault="00E07616" w:rsidP="00DF3E14">
            <w:r w:rsidRPr="0000175D">
              <w:t>0</w:t>
            </w:r>
          </w:p>
        </w:tc>
        <w:tc>
          <w:tcPr>
            <w:tcW w:w="570" w:type="dxa"/>
            <w:shd w:val="clear" w:color="auto" w:fill="FFFFFF"/>
          </w:tcPr>
          <w:p w14:paraId="2FFAB5C7" w14:textId="77777777" w:rsidR="00E07616" w:rsidRPr="0000175D" w:rsidRDefault="00E07616" w:rsidP="00DF3E14">
            <w:r w:rsidRPr="0000175D">
              <w:t>0</w:t>
            </w:r>
          </w:p>
        </w:tc>
        <w:tc>
          <w:tcPr>
            <w:tcW w:w="1516" w:type="dxa"/>
            <w:gridSpan w:val="2"/>
            <w:shd w:val="clear" w:color="auto" w:fill="FFFFFF"/>
          </w:tcPr>
          <w:p w14:paraId="401C57C7" w14:textId="77777777" w:rsidR="00E07616" w:rsidRPr="0000175D" w:rsidRDefault="00E07616" w:rsidP="00DF3E14">
            <w:r w:rsidRPr="0000175D">
              <w:t>0</w:t>
            </w:r>
          </w:p>
        </w:tc>
      </w:tr>
      <w:tr w:rsidR="00E07616" w:rsidRPr="0000175D" w14:paraId="457A2B1F" w14:textId="77777777" w:rsidTr="00DF3E14">
        <w:trPr>
          <w:trHeight w:val="330"/>
          <w:jc w:val="center"/>
        </w:trPr>
        <w:tc>
          <w:tcPr>
            <w:tcW w:w="3133" w:type="dxa"/>
            <w:gridSpan w:val="4"/>
            <w:shd w:val="clear" w:color="auto" w:fill="FFFFFF"/>
            <w:vAlign w:val="center"/>
          </w:tcPr>
          <w:p w14:paraId="7AB273BA" w14:textId="77777777" w:rsidR="00E07616" w:rsidRPr="0000175D" w:rsidRDefault="00E07616" w:rsidP="00DF3E14">
            <w:r w:rsidRPr="0000175D">
              <w:t>Wydatki ogółem</w:t>
            </w:r>
          </w:p>
        </w:tc>
        <w:tc>
          <w:tcPr>
            <w:tcW w:w="548" w:type="dxa"/>
            <w:gridSpan w:val="2"/>
            <w:shd w:val="clear" w:color="auto" w:fill="FFFFFF"/>
          </w:tcPr>
          <w:p w14:paraId="2B0EA37A" w14:textId="77777777" w:rsidR="00E07616" w:rsidRPr="0000175D" w:rsidRDefault="00E07616" w:rsidP="00DF3E14">
            <w:r w:rsidRPr="0000175D">
              <w:t>0</w:t>
            </w:r>
          </w:p>
        </w:tc>
        <w:tc>
          <w:tcPr>
            <w:tcW w:w="591" w:type="dxa"/>
            <w:gridSpan w:val="2"/>
            <w:shd w:val="clear" w:color="auto" w:fill="FFFFFF"/>
          </w:tcPr>
          <w:p w14:paraId="6BA2515D" w14:textId="77777777" w:rsidR="00E07616" w:rsidRPr="0000175D" w:rsidRDefault="00E07616" w:rsidP="00DF3E14">
            <w:r w:rsidRPr="0000175D">
              <w:t>0</w:t>
            </w:r>
          </w:p>
        </w:tc>
        <w:tc>
          <w:tcPr>
            <w:tcW w:w="570" w:type="dxa"/>
            <w:gridSpan w:val="3"/>
            <w:shd w:val="clear" w:color="auto" w:fill="FFFFFF"/>
          </w:tcPr>
          <w:p w14:paraId="4D185904" w14:textId="77777777" w:rsidR="00E07616" w:rsidRPr="0000175D" w:rsidRDefault="00E07616" w:rsidP="00DF3E14">
            <w:r w:rsidRPr="0000175D">
              <w:t>0</w:t>
            </w:r>
          </w:p>
        </w:tc>
        <w:tc>
          <w:tcPr>
            <w:tcW w:w="569" w:type="dxa"/>
            <w:gridSpan w:val="2"/>
            <w:shd w:val="clear" w:color="auto" w:fill="FFFFFF"/>
          </w:tcPr>
          <w:p w14:paraId="3A1BCE96" w14:textId="77777777" w:rsidR="00E07616" w:rsidRPr="0000175D" w:rsidRDefault="00E07616" w:rsidP="00DF3E14">
            <w:r w:rsidRPr="0000175D">
              <w:t>0</w:t>
            </w:r>
          </w:p>
        </w:tc>
        <w:tc>
          <w:tcPr>
            <w:tcW w:w="570" w:type="dxa"/>
            <w:gridSpan w:val="2"/>
            <w:shd w:val="clear" w:color="auto" w:fill="FFFFFF"/>
          </w:tcPr>
          <w:p w14:paraId="57D12C0E" w14:textId="77777777" w:rsidR="00E07616" w:rsidRPr="0000175D" w:rsidRDefault="00E07616" w:rsidP="00DF3E14">
            <w:r w:rsidRPr="0000175D">
              <w:t>0</w:t>
            </w:r>
          </w:p>
        </w:tc>
        <w:tc>
          <w:tcPr>
            <w:tcW w:w="570" w:type="dxa"/>
            <w:shd w:val="clear" w:color="auto" w:fill="FFFFFF"/>
          </w:tcPr>
          <w:p w14:paraId="0E93ED94" w14:textId="77777777" w:rsidR="00E07616" w:rsidRPr="0000175D" w:rsidRDefault="00E07616" w:rsidP="00DF3E14">
            <w:r w:rsidRPr="0000175D">
              <w:t>0</w:t>
            </w:r>
          </w:p>
        </w:tc>
        <w:tc>
          <w:tcPr>
            <w:tcW w:w="570" w:type="dxa"/>
            <w:gridSpan w:val="4"/>
            <w:shd w:val="clear" w:color="auto" w:fill="FFFFFF"/>
          </w:tcPr>
          <w:p w14:paraId="5C0E0E19" w14:textId="77777777" w:rsidR="00E07616" w:rsidRPr="0000175D" w:rsidRDefault="00E07616" w:rsidP="00DF3E14">
            <w:r w:rsidRPr="0000175D">
              <w:t>0</w:t>
            </w:r>
          </w:p>
        </w:tc>
        <w:tc>
          <w:tcPr>
            <w:tcW w:w="569" w:type="dxa"/>
            <w:gridSpan w:val="3"/>
            <w:shd w:val="clear" w:color="auto" w:fill="FFFFFF"/>
          </w:tcPr>
          <w:p w14:paraId="223FABED" w14:textId="77777777" w:rsidR="00E07616" w:rsidRPr="0000175D" w:rsidRDefault="00E07616" w:rsidP="00DF3E14">
            <w:r w:rsidRPr="0000175D">
              <w:t>0</w:t>
            </w:r>
          </w:p>
        </w:tc>
        <w:tc>
          <w:tcPr>
            <w:tcW w:w="570" w:type="dxa"/>
            <w:shd w:val="clear" w:color="auto" w:fill="FFFFFF"/>
          </w:tcPr>
          <w:p w14:paraId="7FB36A93" w14:textId="77777777" w:rsidR="00E07616" w:rsidRPr="0000175D" w:rsidRDefault="00E07616" w:rsidP="00DF3E14">
            <w:r w:rsidRPr="0000175D">
              <w:t>0</w:t>
            </w:r>
          </w:p>
        </w:tc>
        <w:tc>
          <w:tcPr>
            <w:tcW w:w="570" w:type="dxa"/>
            <w:gridSpan w:val="2"/>
            <w:shd w:val="clear" w:color="auto" w:fill="FFFFFF"/>
          </w:tcPr>
          <w:p w14:paraId="210C948C" w14:textId="77777777" w:rsidR="00E07616" w:rsidRPr="0000175D" w:rsidRDefault="00E07616" w:rsidP="00DF3E14">
            <w:r w:rsidRPr="0000175D">
              <w:t>0</w:t>
            </w:r>
          </w:p>
        </w:tc>
        <w:tc>
          <w:tcPr>
            <w:tcW w:w="570" w:type="dxa"/>
            <w:shd w:val="clear" w:color="auto" w:fill="FFFFFF"/>
          </w:tcPr>
          <w:p w14:paraId="7AAB7E2C" w14:textId="77777777" w:rsidR="00E07616" w:rsidRPr="0000175D" w:rsidRDefault="00E07616" w:rsidP="00DF3E14">
            <w:r w:rsidRPr="0000175D">
              <w:t>0</w:t>
            </w:r>
          </w:p>
        </w:tc>
        <w:tc>
          <w:tcPr>
            <w:tcW w:w="1516" w:type="dxa"/>
            <w:gridSpan w:val="2"/>
            <w:shd w:val="clear" w:color="auto" w:fill="FFFFFF"/>
          </w:tcPr>
          <w:p w14:paraId="20144A7C" w14:textId="77777777" w:rsidR="00E07616" w:rsidRPr="00E07616" w:rsidRDefault="00E07616" w:rsidP="00DF3E14">
            <w:r w:rsidRPr="00560372">
              <w:rPr>
                <w:rStyle w:val="Kkursywa"/>
              </w:rPr>
              <w:t xml:space="preserve"> </w:t>
            </w:r>
          </w:p>
        </w:tc>
      </w:tr>
      <w:tr w:rsidR="00E07616" w:rsidRPr="0000175D" w14:paraId="66DCDF1E" w14:textId="77777777" w:rsidTr="00DF3E14">
        <w:trPr>
          <w:trHeight w:val="330"/>
          <w:jc w:val="center"/>
        </w:trPr>
        <w:tc>
          <w:tcPr>
            <w:tcW w:w="3133" w:type="dxa"/>
            <w:gridSpan w:val="4"/>
            <w:shd w:val="clear" w:color="auto" w:fill="FFFFFF"/>
          </w:tcPr>
          <w:p w14:paraId="7AD52750" w14:textId="77777777" w:rsidR="00E07616" w:rsidRPr="0000175D" w:rsidRDefault="00E07616" w:rsidP="00DF3E14">
            <w:r w:rsidRPr="0000175D">
              <w:t>0</w:t>
            </w:r>
          </w:p>
        </w:tc>
        <w:tc>
          <w:tcPr>
            <w:tcW w:w="548" w:type="dxa"/>
            <w:gridSpan w:val="2"/>
            <w:shd w:val="clear" w:color="auto" w:fill="FFFFFF"/>
          </w:tcPr>
          <w:p w14:paraId="5E522D35" w14:textId="77777777" w:rsidR="00E07616" w:rsidRPr="0000175D" w:rsidRDefault="00E07616" w:rsidP="00DF3E14">
            <w:r w:rsidRPr="0000175D">
              <w:t>0</w:t>
            </w:r>
          </w:p>
        </w:tc>
        <w:tc>
          <w:tcPr>
            <w:tcW w:w="591" w:type="dxa"/>
            <w:gridSpan w:val="2"/>
            <w:shd w:val="clear" w:color="auto" w:fill="FFFFFF"/>
          </w:tcPr>
          <w:p w14:paraId="119D41EB" w14:textId="77777777" w:rsidR="00E07616" w:rsidRPr="0000175D" w:rsidRDefault="00E07616" w:rsidP="00DF3E14">
            <w:r w:rsidRPr="0000175D">
              <w:t>0</w:t>
            </w:r>
          </w:p>
        </w:tc>
        <w:tc>
          <w:tcPr>
            <w:tcW w:w="570" w:type="dxa"/>
            <w:gridSpan w:val="3"/>
            <w:shd w:val="clear" w:color="auto" w:fill="FFFFFF"/>
          </w:tcPr>
          <w:p w14:paraId="58F68AEB" w14:textId="77777777" w:rsidR="00E07616" w:rsidRPr="0000175D" w:rsidRDefault="00E07616" w:rsidP="00DF3E14">
            <w:r w:rsidRPr="0000175D">
              <w:t>0</w:t>
            </w:r>
          </w:p>
        </w:tc>
        <w:tc>
          <w:tcPr>
            <w:tcW w:w="569" w:type="dxa"/>
            <w:gridSpan w:val="2"/>
            <w:shd w:val="clear" w:color="auto" w:fill="FFFFFF"/>
          </w:tcPr>
          <w:p w14:paraId="053C3C35" w14:textId="77777777" w:rsidR="00E07616" w:rsidRPr="0000175D" w:rsidRDefault="00E07616" w:rsidP="00DF3E14">
            <w:r w:rsidRPr="0000175D">
              <w:t>0</w:t>
            </w:r>
          </w:p>
        </w:tc>
        <w:tc>
          <w:tcPr>
            <w:tcW w:w="570" w:type="dxa"/>
            <w:gridSpan w:val="2"/>
            <w:shd w:val="clear" w:color="auto" w:fill="FFFFFF"/>
          </w:tcPr>
          <w:p w14:paraId="72DE60C4" w14:textId="77777777" w:rsidR="00E07616" w:rsidRPr="0000175D" w:rsidRDefault="00E07616" w:rsidP="00DF3E14">
            <w:r w:rsidRPr="0000175D">
              <w:t>0</w:t>
            </w:r>
          </w:p>
        </w:tc>
        <w:tc>
          <w:tcPr>
            <w:tcW w:w="570" w:type="dxa"/>
            <w:shd w:val="clear" w:color="auto" w:fill="FFFFFF"/>
          </w:tcPr>
          <w:p w14:paraId="58334327" w14:textId="77777777" w:rsidR="00E07616" w:rsidRPr="0000175D" w:rsidRDefault="00E07616" w:rsidP="00DF3E14">
            <w:r w:rsidRPr="0000175D">
              <w:t>0</w:t>
            </w:r>
          </w:p>
        </w:tc>
        <w:tc>
          <w:tcPr>
            <w:tcW w:w="570" w:type="dxa"/>
            <w:gridSpan w:val="4"/>
            <w:shd w:val="clear" w:color="auto" w:fill="FFFFFF"/>
          </w:tcPr>
          <w:p w14:paraId="41A40410" w14:textId="77777777" w:rsidR="00E07616" w:rsidRPr="0000175D" w:rsidRDefault="00E07616" w:rsidP="00DF3E14">
            <w:r w:rsidRPr="0000175D">
              <w:t>0</w:t>
            </w:r>
          </w:p>
        </w:tc>
        <w:tc>
          <w:tcPr>
            <w:tcW w:w="569" w:type="dxa"/>
            <w:gridSpan w:val="3"/>
            <w:shd w:val="clear" w:color="auto" w:fill="FFFFFF"/>
          </w:tcPr>
          <w:p w14:paraId="4C3CABEF" w14:textId="77777777" w:rsidR="00E07616" w:rsidRPr="0000175D" w:rsidRDefault="00E07616" w:rsidP="00DF3E14">
            <w:r w:rsidRPr="0000175D">
              <w:t>0</w:t>
            </w:r>
          </w:p>
        </w:tc>
        <w:tc>
          <w:tcPr>
            <w:tcW w:w="570" w:type="dxa"/>
            <w:shd w:val="clear" w:color="auto" w:fill="FFFFFF"/>
          </w:tcPr>
          <w:p w14:paraId="4E9CCCA9" w14:textId="77777777" w:rsidR="00E07616" w:rsidRPr="0000175D" w:rsidRDefault="00E07616" w:rsidP="00DF3E14">
            <w:r w:rsidRPr="0000175D">
              <w:t>0</w:t>
            </w:r>
          </w:p>
        </w:tc>
        <w:tc>
          <w:tcPr>
            <w:tcW w:w="570" w:type="dxa"/>
            <w:gridSpan w:val="2"/>
            <w:shd w:val="clear" w:color="auto" w:fill="FFFFFF"/>
          </w:tcPr>
          <w:p w14:paraId="70644B41" w14:textId="77777777" w:rsidR="00E07616" w:rsidRPr="0000175D" w:rsidRDefault="00E07616" w:rsidP="00DF3E14">
            <w:r w:rsidRPr="0000175D">
              <w:t>0</w:t>
            </w:r>
          </w:p>
        </w:tc>
        <w:tc>
          <w:tcPr>
            <w:tcW w:w="570" w:type="dxa"/>
            <w:shd w:val="clear" w:color="auto" w:fill="FFFFFF"/>
          </w:tcPr>
          <w:p w14:paraId="52A7F0FA" w14:textId="77777777" w:rsidR="00E07616" w:rsidRPr="0000175D" w:rsidRDefault="00E07616" w:rsidP="00DF3E14">
            <w:r w:rsidRPr="0000175D">
              <w:t>0</w:t>
            </w:r>
          </w:p>
        </w:tc>
        <w:tc>
          <w:tcPr>
            <w:tcW w:w="1516" w:type="dxa"/>
            <w:gridSpan w:val="2"/>
            <w:shd w:val="clear" w:color="auto" w:fill="FFFFFF"/>
          </w:tcPr>
          <w:p w14:paraId="0FD4841C" w14:textId="77777777" w:rsidR="00E07616" w:rsidRPr="0000175D" w:rsidRDefault="00E07616" w:rsidP="00DF3E14">
            <w:r w:rsidRPr="0000175D">
              <w:t>0</w:t>
            </w:r>
          </w:p>
        </w:tc>
      </w:tr>
      <w:tr w:rsidR="00E07616" w:rsidRPr="0000175D" w14:paraId="35BB459D" w14:textId="77777777" w:rsidTr="00DF3E14">
        <w:trPr>
          <w:trHeight w:val="351"/>
          <w:jc w:val="center"/>
        </w:trPr>
        <w:tc>
          <w:tcPr>
            <w:tcW w:w="3133" w:type="dxa"/>
            <w:gridSpan w:val="4"/>
            <w:shd w:val="clear" w:color="auto" w:fill="FFFFFF"/>
            <w:vAlign w:val="center"/>
          </w:tcPr>
          <w:p w14:paraId="42685D89" w14:textId="77777777" w:rsidR="00E07616" w:rsidRPr="0000175D" w:rsidRDefault="00E07616" w:rsidP="00DF3E14">
            <w:r w:rsidRPr="0000175D">
              <w:t>JST</w:t>
            </w:r>
          </w:p>
        </w:tc>
        <w:tc>
          <w:tcPr>
            <w:tcW w:w="548" w:type="dxa"/>
            <w:gridSpan w:val="2"/>
            <w:shd w:val="clear" w:color="auto" w:fill="FFFFFF"/>
          </w:tcPr>
          <w:p w14:paraId="38D9303B" w14:textId="77777777" w:rsidR="00E07616" w:rsidRPr="0000175D" w:rsidRDefault="00E07616" w:rsidP="00DF3E14">
            <w:r w:rsidRPr="0000175D">
              <w:t>0</w:t>
            </w:r>
          </w:p>
        </w:tc>
        <w:tc>
          <w:tcPr>
            <w:tcW w:w="591" w:type="dxa"/>
            <w:gridSpan w:val="2"/>
            <w:shd w:val="clear" w:color="auto" w:fill="FFFFFF"/>
          </w:tcPr>
          <w:p w14:paraId="7F1C0AA4" w14:textId="77777777" w:rsidR="00E07616" w:rsidRPr="0000175D" w:rsidRDefault="00E07616" w:rsidP="00DF3E14">
            <w:r w:rsidRPr="0000175D">
              <w:t>0</w:t>
            </w:r>
          </w:p>
        </w:tc>
        <w:tc>
          <w:tcPr>
            <w:tcW w:w="570" w:type="dxa"/>
            <w:gridSpan w:val="3"/>
            <w:shd w:val="clear" w:color="auto" w:fill="FFFFFF"/>
          </w:tcPr>
          <w:p w14:paraId="71D13328" w14:textId="77777777" w:rsidR="00E07616" w:rsidRPr="0000175D" w:rsidRDefault="00E07616" w:rsidP="00DF3E14">
            <w:r w:rsidRPr="0000175D">
              <w:t>0</w:t>
            </w:r>
          </w:p>
        </w:tc>
        <w:tc>
          <w:tcPr>
            <w:tcW w:w="569" w:type="dxa"/>
            <w:gridSpan w:val="2"/>
            <w:shd w:val="clear" w:color="auto" w:fill="FFFFFF"/>
          </w:tcPr>
          <w:p w14:paraId="01A46FDC" w14:textId="77777777" w:rsidR="00E07616" w:rsidRPr="0000175D" w:rsidRDefault="00E07616" w:rsidP="00DF3E14">
            <w:r w:rsidRPr="0000175D">
              <w:t>0</w:t>
            </w:r>
          </w:p>
        </w:tc>
        <w:tc>
          <w:tcPr>
            <w:tcW w:w="570" w:type="dxa"/>
            <w:gridSpan w:val="2"/>
            <w:shd w:val="clear" w:color="auto" w:fill="FFFFFF"/>
          </w:tcPr>
          <w:p w14:paraId="1C63F4CF" w14:textId="77777777" w:rsidR="00E07616" w:rsidRPr="0000175D" w:rsidRDefault="00E07616" w:rsidP="00DF3E14">
            <w:r w:rsidRPr="0000175D">
              <w:t>0</w:t>
            </w:r>
          </w:p>
        </w:tc>
        <w:tc>
          <w:tcPr>
            <w:tcW w:w="570" w:type="dxa"/>
            <w:shd w:val="clear" w:color="auto" w:fill="FFFFFF"/>
          </w:tcPr>
          <w:p w14:paraId="41B37148" w14:textId="77777777" w:rsidR="00E07616" w:rsidRPr="0000175D" w:rsidRDefault="00E07616" w:rsidP="00DF3E14">
            <w:r w:rsidRPr="0000175D">
              <w:t>0</w:t>
            </w:r>
          </w:p>
        </w:tc>
        <w:tc>
          <w:tcPr>
            <w:tcW w:w="570" w:type="dxa"/>
            <w:gridSpan w:val="4"/>
            <w:shd w:val="clear" w:color="auto" w:fill="FFFFFF"/>
          </w:tcPr>
          <w:p w14:paraId="1C0DB275" w14:textId="77777777" w:rsidR="00E07616" w:rsidRPr="0000175D" w:rsidRDefault="00E07616" w:rsidP="00DF3E14">
            <w:r w:rsidRPr="0000175D">
              <w:t>0</w:t>
            </w:r>
          </w:p>
        </w:tc>
        <w:tc>
          <w:tcPr>
            <w:tcW w:w="569" w:type="dxa"/>
            <w:gridSpan w:val="3"/>
            <w:shd w:val="clear" w:color="auto" w:fill="FFFFFF"/>
          </w:tcPr>
          <w:p w14:paraId="548405D3" w14:textId="77777777" w:rsidR="00E07616" w:rsidRPr="0000175D" w:rsidRDefault="00E07616" w:rsidP="00DF3E14">
            <w:r w:rsidRPr="0000175D">
              <w:t>0</w:t>
            </w:r>
          </w:p>
        </w:tc>
        <w:tc>
          <w:tcPr>
            <w:tcW w:w="570" w:type="dxa"/>
            <w:shd w:val="clear" w:color="auto" w:fill="FFFFFF"/>
          </w:tcPr>
          <w:p w14:paraId="67E048E4" w14:textId="77777777" w:rsidR="00E07616" w:rsidRPr="0000175D" w:rsidRDefault="00E07616" w:rsidP="00DF3E14">
            <w:r w:rsidRPr="0000175D">
              <w:t>0</w:t>
            </w:r>
          </w:p>
        </w:tc>
        <w:tc>
          <w:tcPr>
            <w:tcW w:w="570" w:type="dxa"/>
            <w:gridSpan w:val="2"/>
            <w:shd w:val="clear" w:color="auto" w:fill="FFFFFF"/>
          </w:tcPr>
          <w:p w14:paraId="2259397B" w14:textId="77777777" w:rsidR="00E07616" w:rsidRPr="0000175D" w:rsidRDefault="00E07616" w:rsidP="00DF3E14">
            <w:r w:rsidRPr="0000175D">
              <w:t>0</w:t>
            </w:r>
          </w:p>
        </w:tc>
        <w:tc>
          <w:tcPr>
            <w:tcW w:w="570" w:type="dxa"/>
            <w:shd w:val="clear" w:color="auto" w:fill="FFFFFF"/>
          </w:tcPr>
          <w:p w14:paraId="53FEF7AD" w14:textId="77777777" w:rsidR="00E07616" w:rsidRPr="0000175D" w:rsidRDefault="00E07616" w:rsidP="00DF3E14">
            <w:r w:rsidRPr="0000175D">
              <w:t>0</w:t>
            </w:r>
          </w:p>
        </w:tc>
        <w:tc>
          <w:tcPr>
            <w:tcW w:w="1516" w:type="dxa"/>
            <w:gridSpan w:val="2"/>
            <w:shd w:val="clear" w:color="auto" w:fill="FFFFFF"/>
          </w:tcPr>
          <w:p w14:paraId="77709970" w14:textId="77777777" w:rsidR="00E07616" w:rsidRPr="0000175D" w:rsidRDefault="00E07616" w:rsidP="00DF3E14">
            <w:r w:rsidRPr="0000175D">
              <w:t>0</w:t>
            </w:r>
          </w:p>
        </w:tc>
      </w:tr>
      <w:tr w:rsidR="00E07616" w:rsidRPr="0000175D" w14:paraId="3954BCF9" w14:textId="77777777" w:rsidTr="00DF3E14">
        <w:trPr>
          <w:trHeight w:val="351"/>
          <w:jc w:val="center"/>
        </w:trPr>
        <w:tc>
          <w:tcPr>
            <w:tcW w:w="3133" w:type="dxa"/>
            <w:gridSpan w:val="4"/>
            <w:shd w:val="clear" w:color="auto" w:fill="FFFFFF"/>
            <w:vAlign w:val="center"/>
          </w:tcPr>
          <w:p w14:paraId="6C6A6F79" w14:textId="77777777" w:rsidR="00E07616" w:rsidRPr="0000175D" w:rsidRDefault="00E07616" w:rsidP="00DF3E14">
            <w:r w:rsidRPr="0000175D">
              <w:t>pozostałe jednostki (oddzielnie)</w:t>
            </w:r>
          </w:p>
        </w:tc>
        <w:tc>
          <w:tcPr>
            <w:tcW w:w="548" w:type="dxa"/>
            <w:gridSpan w:val="2"/>
            <w:shd w:val="clear" w:color="auto" w:fill="FFFFFF"/>
          </w:tcPr>
          <w:p w14:paraId="4A43742F" w14:textId="77777777" w:rsidR="00E07616" w:rsidRPr="0000175D" w:rsidRDefault="00E07616" w:rsidP="00DF3E14">
            <w:r w:rsidRPr="0000175D">
              <w:t>0</w:t>
            </w:r>
          </w:p>
        </w:tc>
        <w:tc>
          <w:tcPr>
            <w:tcW w:w="591" w:type="dxa"/>
            <w:gridSpan w:val="2"/>
            <w:shd w:val="clear" w:color="auto" w:fill="FFFFFF"/>
          </w:tcPr>
          <w:p w14:paraId="18CD1966" w14:textId="77777777" w:rsidR="00E07616" w:rsidRPr="0000175D" w:rsidRDefault="00E07616" w:rsidP="00DF3E14">
            <w:r w:rsidRPr="0000175D">
              <w:t>0</w:t>
            </w:r>
          </w:p>
        </w:tc>
        <w:tc>
          <w:tcPr>
            <w:tcW w:w="570" w:type="dxa"/>
            <w:gridSpan w:val="3"/>
            <w:shd w:val="clear" w:color="auto" w:fill="FFFFFF"/>
          </w:tcPr>
          <w:p w14:paraId="0F542E3B" w14:textId="77777777" w:rsidR="00E07616" w:rsidRPr="0000175D" w:rsidRDefault="00E07616" w:rsidP="00DF3E14">
            <w:r w:rsidRPr="0000175D">
              <w:t>0</w:t>
            </w:r>
          </w:p>
        </w:tc>
        <w:tc>
          <w:tcPr>
            <w:tcW w:w="569" w:type="dxa"/>
            <w:gridSpan w:val="2"/>
            <w:shd w:val="clear" w:color="auto" w:fill="FFFFFF"/>
          </w:tcPr>
          <w:p w14:paraId="2B7E4E8C" w14:textId="77777777" w:rsidR="00E07616" w:rsidRPr="0000175D" w:rsidRDefault="00E07616" w:rsidP="00DF3E14">
            <w:r w:rsidRPr="0000175D">
              <w:t>0</w:t>
            </w:r>
          </w:p>
        </w:tc>
        <w:tc>
          <w:tcPr>
            <w:tcW w:w="570" w:type="dxa"/>
            <w:gridSpan w:val="2"/>
            <w:shd w:val="clear" w:color="auto" w:fill="FFFFFF"/>
          </w:tcPr>
          <w:p w14:paraId="279824C8" w14:textId="77777777" w:rsidR="00E07616" w:rsidRPr="0000175D" w:rsidRDefault="00E07616" w:rsidP="00DF3E14">
            <w:r w:rsidRPr="0000175D">
              <w:t>0</w:t>
            </w:r>
          </w:p>
        </w:tc>
        <w:tc>
          <w:tcPr>
            <w:tcW w:w="570" w:type="dxa"/>
            <w:shd w:val="clear" w:color="auto" w:fill="FFFFFF"/>
          </w:tcPr>
          <w:p w14:paraId="12C7D0EB" w14:textId="77777777" w:rsidR="00E07616" w:rsidRPr="0000175D" w:rsidRDefault="00E07616" w:rsidP="00DF3E14">
            <w:r w:rsidRPr="0000175D">
              <w:t>0</w:t>
            </w:r>
          </w:p>
        </w:tc>
        <w:tc>
          <w:tcPr>
            <w:tcW w:w="570" w:type="dxa"/>
            <w:gridSpan w:val="4"/>
            <w:shd w:val="clear" w:color="auto" w:fill="FFFFFF"/>
          </w:tcPr>
          <w:p w14:paraId="16A68D0F" w14:textId="77777777" w:rsidR="00E07616" w:rsidRPr="0000175D" w:rsidRDefault="00E07616" w:rsidP="00DF3E14">
            <w:r w:rsidRPr="0000175D">
              <w:t>0</w:t>
            </w:r>
          </w:p>
        </w:tc>
        <w:tc>
          <w:tcPr>
            <w:tcW w:w="569" w:type="dxa"/>
            <w:gridSpan w:val="3"/>
            <w:shd w:val="clear" w:color="auto" w:fill="FFFFFF"/>
          </w:tcPr>
          <w:p w14:paraId="0E7E2915" w14:textId="77777777" w:rsidR="00E07616" w:rsidRPr="0000175D" w:rsidRDefault="00E07616" w:rsidP="00DF3E14">
            <w:r w:rsidRPr="0000175D">
              <w:t>0</w:t>
            </w:r>
          </w:p>
        </w:tc>
        <w:tc>
          <w:tcPr>
            <w:tcW w:w="570" w:type="dxa"/>
            <w:shd w:val="clear" w:color="auto" w:fill="FFFFFF"/>
          </w:tcPr>
          <w:p w14:paraId="18FAB9B0" w14:textId="77777777" w:rsidR="00E07616" w:rsidRPr="0000175D" w:rsidRDefault="00E07616" w:rsidP="00DF3E14">
            <w:r w:rsidRPr="0000175D">
              <w:t>0</w:t>
            </w:r>
          </w:p>
        </w:tc>
        <w:tc>
          <w:tcPr>
            <w:tcW w:w="570" w:type="dxa"/>
            <w:gridSpan w:val="2"/>
            <w:shd w:val="clear" w:color="auto" w:fill="FFFFFF"/>
          </w:tcPr>
          <w:p w14:paraId="65B24B1C" w14:textId="77777777" w:rsidR="00E07616" w:rsidRPr="0000175D" w:rsidRDefault="00E07616" w:rsidP="00DF3E14">
            <w:r w:rsidRPr="0000175D">
              <w:t>0</w:t>
            </w:r>
          </w:p>
        </w:tc>
        <w:tc>
          <w:tcPr>
            <w:tcW w:w="570" w:type="dxa"/>
            <w:shd w:val="clear" w:color="auto" w:fill="FFFFFF"/>
          </w:tcPr>
          <w:p w14:paraId="03F85787" w14:textId="77777777" w:rsidR="00E07616" w:rsidRPr="0000175D" w:rsidRDefault="00E07616" w:rsidP="00DF3E14">
            <w:r w:rsidRPr="0000175D">
              <w:t>0</w:t>
            </w:r>
          </w:p>
        </w:tc>
        <w:tc>
          <w:tcPr>
            <w:tcW w:w="1516" w:type="dxa"/>
            <w:gridSpan w:val="2"/>
            <w:shd w:val="clear" w:color="auto" w:fill="FFFFFF"/>
          </w:tcPr>
          <w:p w14:paraId="69428E29" w14:textId="77777777" w:rsidR="00E07616" w:rsidRPr="0000175D" w:rsidRDefault="00E07616" w:rsidP="00DF3E14">
            <w:r w:rsidRPr="0000175D">
              <w:t>0</w:t>
            </w:r>
          </w:p>
        </w:tc>
      </w:tr>
      <w:tr w:rsidR="00E07616" w:rsidRPr="0000175D" w14:paraId="2A1DD7CD" w14:textId="77777777" w:rsidTr="00DF3E14">
        <w:trPr>
          <w:trHeight w:val="360"/>
          <w:jc w:val="center"/>
        </w:trPr>
        <w:tc>
          <w:tcPr>
            <w:tcW w:w="3133" w:type="dxa"/>
            <w:gridSpan w:val="4"/>
            <w:shd w:val="clear" w:color="auto" w:fill="FFFFFF"/>
            <w:vAlign w:val="center"/>
          </w:tcPr>
          <w:p w14:paraId="02E25C86" w14:textId="77777777" w:rsidR="00E07616" w:rsidRPr="0000175D" w:rsidRDefault="00E07616" w:rsidP="00DF3E14">
            <w:r w:rsidRPr="0000175D">
              <w:t>Saldo ogółem</w:t>
            </w:r>
          </w:p>
        </w:tc>
        <w:tc>
          <w:tcPr>
            <w:tcW w:w="548" w:type="dxa"/>
            <w:gridSpan w:val="2"/>
            <w:shd w:val="clear" w:color="auto" w:fill="FFFFFF"/>
          </w:tcPr>
          <w:p w14:paraId="41043FC5" w14:textId="77777777" w:rsidR="00E07616" w:rsidRPr="0000175D" w:rsidRDefault="00E07616" w:rsidP="00DF3E14">
            <w:r w:rsidRPr="0000175D">
              <w:t>0</w:t>
            </w:r>
          </w:p>
        </w:tc>
        <w:tc>
          <w:tcPr>
            <w:tcW w:w="591" w:type="dxa"/>
            <w:gridSpan w:val="2"/>
            <w:shd w:val="clear" w:color="auto" w:fill="FFFFFF"/>
          </w:tcPr>
          <w:p w14:paraId="5B0F4029" w14:textId="77777777" w:rsidR="00E07616" w:rsidRPr="0000175D" w:rsidRDefault="00E07616" w:rsidP="00DF3E14">
            <w:r w:rsidRPr="0000175D">
              <w:t>0</w:t>
            </w:r>
          </w:p>
        </w:tc>
        <w:tc>
          <w:tcPr>
            <w:tcW w:w="570" w:type="dxa"/>
            <w:gridSpan w:val="3"/>
            <w:shd w:val="clear" w:color="auto" w:fill="FFFFFF"/>
          </w:tcPr>
          <w:p w14:paraId="731D3C55" w14:textId="77777777" w:rsidR="00E07616" w:rsidRPr="0000175D" w:rsidRDefault="00E07616" w:rsidP="00DF3E14">
            <w:r w:rsidRPr="0000175D">
              <w:t>0</w:t>
            </w:r>
          </w:p>
        </w:tc>
        <w:tc>
          <w:tcPr>
            <w:tcW w:w="569" w:type="dxa"/>
            <w:gridSpan w:val="2"/>
            <w:shd w:val="clear" w:color="auto" w:fill="FFFFFF"/>
          </w:tcPr>
          <w:p w14:paraId="43A0881B" w14:textId="77777777" w:rsidR="00E07616" w:rsidRPr="0000175D" w:rsidRDefault="00E07616" w:rsidP="00DF3E14">
            <w:r w:rsidRPr="0000175D">
              <w:t>0</w:t>
            </w:r>
          </w:p>
        </w:tc>
        <w:tc>
          <w:tcPr>
            <w:tcW w:w="570" w:type="dxa"/>
            <w:gridSpan w:val="2"/>
            <w:shd w:val="clear" w:color="auto" w:fill="FFFFFF"/>
          </w:tcPr>
          <w:p w14:paraId="00925E23" w14:textId="77777777" w:rsidR="00E07616" w:rsidRPr="0000175D" w:rsidRDefault="00E07616" w:rsidP="00DF3E14">
            <w:r w:rsidRPr="0000175D">
              <w:t>0</w:t>
            </w:r>
          </w:p>
        </w:tc>
        <w:tc>
          <w:tcPr>
            <w:tcW w:w="570" w:type="dxa"/>
            <w:shd w:val="clear" w:color="auto" w:fill="FFFFFF"/>
          </w:tcPr>
          <w:p w14:paraId="0A320E87" w14:textId="77777777" w:rsidR="00E07616" w:rsidRPr="0000175D" w:rsidRDefault="00E07616" w:rsidP="00DF3E14">
            <w:r w:rsidRPr="0000175D">
              <w:t>0</w:t>
            </w:r>
          </w:p>
        </w:tc>
        <w:tc>
          <w:tcPr>
            <w:tcW w:w="570" w:type="dxa"/>
            <w:gridSpan w:val="4"/>
            <w:shd w:val="clear" w:color="auto" w:fill="FFFFFF"/>
          </w:tcPr>
          <w:p w14:paraId="3D641228" w14:textId="77777777" w:rsidR="00E07616" w:rsidRPr="0000175D" w:rsidRDefault="00E07616" w:rsidP="00DF3E14">
            <w:r w:rsidRPr="0000175D">
              <w:t>0</w:t>
            </w:r>
          </w:p>
        </w:tc>
        <w:tc>
          <w:tcPr>
            <w:tcW w:w="569" w:type="dxa"/>
            <w:gridSpan w:val="3"/>
            <w:shd w:val="clear" w:color="auto" w:fill="FFFFFF"/>
          </w:tcPr>
          <w:p w14:paraId="431967F4" w14:textId="77777777" w:rsidR="00E07616" w:rsidRPr="0000175D" w:rsidRDefault="00E07616" w:rsidP="00DF3E14">
            <w:r w:rsidRPr="0000175D">
              <w:t>0</w:t>
            </w:r>
          </w:p>
        </w:tc>
        <w:tc>
          <w:tcPr>
            <w:tcW w:w="570" w:type="dxa"/>
            <w:shd w:val="clear" w:color="auto" w:fill="FFFFFF"/>
          </w:tcPr>
          <w:p w14:paraId="40B5CE83" w14:textId="77777777" w:rsidR="00E07616" w:rsidRPr="0000175D" w:rsidRDefault="00E07616" w:rsidP="00DF3E14">
            <w:r w:rsidRPr="0000175D">
              <w:t>0</w:t>
            </w:r>
          </w:p>
        </w:tc>
        <w:tc>
          <w:tcPr>
            <w:tcW w:w="570" w:type="dxa"/>
            <w:gridSpan w:val="2"/>
            <w:shd w:val="clear" w:color="auto" w:fill="FFFFFF"/>
          </w:tcPr>
          <w:p w14:paraId="19C04D63" w14:textId="77777777" w:rsidR="00E07616" w:rsidRPr="0000175D" w:rsidRDefault="00E07616" w:rsidP="00DF3E14">
            <w:r w:rsidRPr="0000175D">
              <w:t>0</w:t>
            </w:r>
          </w:p>
        </w:tc>
        <w:tc>
          <w:tcPr>
            <w:tcW w:w="570" w:type="dxa"/>
            <w:shd w:val="clear" w:color="auto" w:fill="FFFFFF"/>
          </w:tcPr>
          <w:p w14:paraId="0165819F" w14:textId="77777777" w:rsidR="00E07616" w:rsidRPr="0000175D" w:rsidRDefault="00E07616" w:rsidP="00DF3E14">
            <w:r w:rsidRPr="0000175D">
              <w:t>0</w:t>
            </w:r>
          </w:p>
        </w:tc>
        <w:tc>
          <w:tcPr>
            <w:tcW w:w="1516" w:type="dxa"/>
            <w:gridSpan w:val="2"/>
            <w:shd w:val="clear" w:color="auto" w:fill="FFFFFF"/>
          </w:tcPr>
          <w:p w14:paraId="2E2A5C26" w14:textId="77777777" w:rsidR="00E07616" w:rsidRPr="0000175D" w:rsidRDefault="00E07616" w:rsidP="00DF3E14">
            <w:r w:rsidRPr="0000175D">
              <w:t>0</w:t>
            </w:r>
          </w:p>
        </w:tc>
      </w:tr>
      <w:tr w:rsidR="00E07616" w:rsidRPr="0000175D" w14:paraId="29632DD1" w14:textId="77777777" w:rsidTr="00DF3E14">
        <w:trPr>
          <w:trHeight w:val="360"/>
          <w:jc w:val="center"/>
        </w:trPr>
        <w:tc>
          <w:tcPr>
            <w:tcW w:w="3133" w:type="dxa"/>
            <w:gridSpan w:val="4"/>
            <w:shd w:val="clear" w:color="auto" w:fill="FFFFFF"/>
            <w:vAlign w:val="center"/>
          </w:tcPr>
          <w:p w14:paraId="55ECA914" w14:textId="77777777" w:rsidR="00E07616" w:rsidRPr="0000175D" w:rsidRDefault="00E07616" w:rsidP="00DF3E14">
            <w:r w:rsidRPr="0000175D">
              <w:t>budżet państwa</w:t>
            </w:r>
          </w:p>
        </w:tc>
        <w:tc>
          <w:tcPr>
            <w:tcW w:w="548" w:type="dxa"/>
            <w:gridSpan w:val="2"/>
            <w:shd w:val="clear" w:color="auto" w:fill="FFFFFF"/>
          </w:tcPr>
          <w:p w14:paraId="731F3F0A" w14:textId="77777777" w:rsidR="00E07616" w:rsidRPr="0000175D" w:rsidRDefault="00E07616" w:rsidP="00DF3E14">
            <w:r w:rsidRPr="0000175D">
              <w:t>0</w:t>
            </w:r>
          </w:p>
        </w:tc>
        <w:tc>
          <w:tcPr>
            <w:tcW w:w="591" w:type="dxa"/>
            <w:gridSpan w:val="2"/>
            <w:shd w:val="clear" w:color="auto" w:fill="FFFFFF"/>
          </w:tcPr>
          <w:p w14:paraId="10C251D4" w14:textId="77777777" w:rsidR="00E07616" w:rsidRPr="0000175D" w:rsidRDefault="00E07616" w:rsidP="00DF3E14">
            <w:r w:rsidRPr="0000175D">
              <w:t>0</w:t>
            </w:r>
          </w:p>
        </w:tc>
        <w:tc>
          <w:tcPr>
            <w:tcW w:w="570" w:type="dxa"/>
            <w:gridSpan w:val="3"/>
            <w:shd w:val="clear" w:color="auto" w:fill="FFFFFF"/>
          </w:tcPr>
          <w:p w14:paraId="09C9FAC6" w14:textId="77777777" w:rsidR="00E07616" w:rsidRPr="0000175D" w:rsidRDefault="00E07616" w:rsidP="00DF3E14">
            <w:r w:rsidRPr="0000175D">
              <w:t>0</w:t>
            </w:r>
          </w:p>
        </w:tc>
        <w:tc>
          <w:tcPr>
            <w:tcW w:w="569" w:type="dxa"/>
            <w:gridSpan w:val="2"/>
            <w:shd w:val="clear" w:color="auto" w:fill="FFFFFF"/>
          </w:tcPr>
          <w:p w14:paraId="24A63FB8" w14:textId="77777777" w:rsidR="00E07616" w:rsidRPr="0000175D" w:rsidRDefault="00E07616" w:rsidP="00DF3E14">
            <w:r w:rsidRPr="0000175D">
              <w:t>0</w:t>
            </w:r>
          </w:p>
        </w:tc>
        <w:tc>
          <w:tcPr>
            <w:tcW w:w="570" w:type="dxa"/>
            <w:gridSpan w:val="2"/>
            <w:shd w:val="clear" w:color="auto" w:fill="FFFFFF"/>
          </w:tcPr>
          <w:p w14:paraId="18E73BC1" w14:textId="77777777" w:rsidR="00E07616" w:rsidRPr="0000175D" w:rsidRDefault="00E07616" w:rsidP="00DF3E14">
            <w:r w:rsidRPr="0000175D">
              <w:t>0</w:t>
            </w:r>
          </w:p>
        </w:tc>
        <w:tc>
          <w:tcPr>
            <w:tcW w:w="570" w:type="dxa"/>
            <w:shd w:val="clear" w:color="auto" w:fill="FFFFFF"/>
          </w:tcPr>
          <w:p w14:paraId="79EC20A5" w14:textId="77777777" w:rsidR="00E07616" w:rsidRPr="0000175D" w:rsidRDefault="00E07616" w:rsidP="00DF3E14">
            <w:r w:rsidRPr="0000175D">
              <w:t>0</w:t>
            </w:r>
          </w:p>
        </w:tc>
        <w:tc>
          <w:tcPr>
            <w:tcW w:w="570" w:type="dxa"/>
            <w:gridSpan w:val="4"/>
            <w:shd w:val="clear" w:color="auto" w:fill="FFFFFF"/>
          </w:tcPr>
          <w:p w14:paraId="72AD495B" w14:textId="77777777" w:rsidR="00E07616" w:rsidRPr="0000175D" w:rsidRDefault="00E07616" w:rsidP="00DF3E14">
            <w:r w:rsidRPr="0000175D">
              <w:t>0</w:t>
            </w:r>
          </w:p>
        </w:tc>
        <w:tc>
          <w:tcPr>
            <w:tcW w:w="569" w:type="dxa"/>
            <w:gridSpan w:val="3"/>
            <w:shd w:val="clear" w:color="auto" w:fill="FFFFFF"/>
          </w:tcPr>
          <w:p w14:paraId="7CE42C27" w14:textId="77777777" w:rsidR="00E07616" w:rsidRPr="0000175D" w:rsidRDefault="00E07616" w:rsidP="00DF3E14">
            <w:r w:rsidRPr="0000175D">
              <w:t>0</w:t>
            </w:r>
          </w:p>
        </w:tc>
        <w:tc>
          <w:tcPr>
            <w:tcW w:w="570" w:type="dxa"/>
            <w:shd w:val="clear" w:color="auto" w:fill="FFFFFF"/>
          </w:tcPr>
          <w:p w14:paraId="587EDD5C" w14:textId="77777777" w:rsidR="00E07616" w:rsidRPr="0000175D" w:rsidRDefault="00E07616" w:rsidP="00DF3E14">
            <w:r w:rsidRPr="0000175D">
              <w:t>0</w:t>
            </w:r>
          </w:p>
        </w:tc>
        <w:tc>
          <w:tcPr>
            <w:tcW w:w="570" w:type="dxa"/>
            <w:gridSpan w:val="2"/>
            <w:shd w:val="clear" w:color="auto" w:fill="FFFFFF"/>
          </w:tcPr>
          <w:p w14:paraId="15FF02BE" w14:textId="77777777" w:rsidR="00E07616" w:rsidRPr="0000175D" w:rsidRDefault="00E07616" w:rsidP="00DF3E14">
            <w:r w:rsidRPr="0000175D">
              <w:t>0</w:t>
            </w:r>
          </w:p>
        </w:tc>
        <w:tc>
          <w:tcPr>
            <w:tcW w:w="570" w:type="dxa"/>
            <w:shd w:val="clear" w:color="auto" w:fill="FFFFFF"/>
          </w:tcPr>
          <w:p w14:paraId="7318F136" w14:textId="77777777" w:rsidR="00E07616" w:rsidRPr="0000175D" w:rsidRDefault="00E07616" w:rsidP="00DF3E14">
            <w:r w:rsidRPr="0000175D">
              <w:t>0</w:t>
            </w:r>
          </w:p>
        </w:tc>
        <w:tc>
          <w:tcPr>
            <w:tcW w:w="1516" w:type="dxa"/>
            <w:gridSpan w:val="2"/>
            <w:shd w:val="clear" w:color="auto" w:fill="FFFFFF"/>
          </w:tcPr>
          <w:p w14:paraId="1EEA9BAE" w14:textId="77777777" w:rsidR="00E07616" w:rsidRPr="0000175D" w:rsidRDefault="00E07616" w:rsidP="00DF3E14">
            <w:r w:rsidRPr="0000175D">
              <w:t>0</w:t>
            </w:r>
          </w:p>
        </w:tc>
      </w:tr>
      <w:tr w:rsidR="00E07616" w:rsidRPr="0000175D" w14:paraId="3A72F151" w14:textId="77777777" w:rsidTr="00DF3E14">
        <w:trPr>
          <w:trHeight w:val="357"/>
          <w:jc w:val="center"/>
        </w:trPr>
        <w:tc>
          <w:tcPr>
            <w:tcW w:w="3133" w:type="dxa"/>
            <w:gridSpan w:val="4"/>
            <w:shd w:val="clear" w:color="auto" w:fill="FFFFFF"/>
            <w:vAlign w:val="center"/>
          </w:tcPr>
          <w:p w14:paraId="5CE168F7" w14:textId="77777777" w:rsidR="00E07616" w:rsidRPr="0000175D" w:rsidRDefault="00E07616" w:rsidP="00DF3E14">
            <w:r w:rsidRPr="0000175D">
              <w:t>JST</w:t>
            </w:r>
          </w:p>
        </w:tc>
        <w:tc>
          <w:tcPr>
            <w:tcW w:w="548" w:type="dxa"/>
            <w:gridSpan w:val="2"/>
            <w:shd w:val="clear" w:color="auto" w:fill="FFFFFF"/>
          </w:tcPr>
          <w:p w14:paraId="4E84B4DB" w14:textId="77777777" w:rsidR="00E07616" w:rsidRPr="0000175D" w:rsidRDefault="00E07616" w:rsidP="00DF3E14">
            <w:r w:rsidRPr="0000175D">
              <w:t>0</w:t>
            </w:r>
          </w:p>
        </w:tc>
        <w:tc>
          <w:tcPr>
            <w:tcW w:w="591" w:type="dxa"/>
            <w:gridSpan w:val="2"/>
            <w:shd w:val="clear" w:color="auto" w:fill="FFFFFF"/>
          </w:tcPr>
          <w:p w14:paraId="541B0954" w14:textId="77777777" w:rsidR="00E07616" w:rsidRPr="0000175D" w:rsidRDefault="00E07616" w:rsidP="00DF3E14">
            <w:r w:rsidRPr="0000175D">
              <w:t>0</w:t>
            </w:r>
          </w:p>
        </w:tc>
        <w:tc>
          <w:tcPr>
            <w:tcW w:w="570" w:type="dxa"/>
            <w:gridSpan w:val="3"/>
            <w:shd w:val="clear" w:color="auto" w:fill="FFFFFF"/>
          </w:tcPr>
          <w:p w14:paraId="2C41B834" w14:textId="77777777" w:rsidR="00E07616" w:rsidRPr="0000175D" w:rsidRDefault="00E07616" w:rsidP="00DF3E14">
            <w:r w:rsidRPr="0000175D">
              <w:t>0</w:t>
            </w:r>
          </w:p>
        </w:tc>
        <w:tc>
          <w:tcPr>
            <w:tcW w:w="569" w:type="dxa"/>
            <w:gridSpan w:val="2"/>
            <w:shd w:val="clear" w:color="auto" w:fill="FFFFFF"/>
          </w:tcPr>
          <w:p w14:paraId="704470D0" w14:textId="77777777" w:rsidR="00E07616" w:rsidRPr="0000175D" w:rsidRDefault="00E07616" w:rsidP="00DF3E14">
            <w:r w:rsidRPr="0000175D">
              <w:t>0</w:t>
            </w:r>
          </w:p>
        </w:tc>
        <w:tc>
          <w:tcPr>
            <w:tcW w:w="570" w:type="dxa"/>
            <w:gridSpan w:val="2"/>
            <w:shd w:val="clear" w:color="auto" w:fill="FFFFFF"/>
          </w:tcPr>
          <w:p w14:paraId="0CA8D82C" w14:textId="77777777" w:rsidR="00E07616" w:rsidRPr="0000175D" w:rsidRDefault="00E07616" w:rsidP="00DF3E14">
            <w:r w:rsidRPr="0000175D">
              <w:t>0</w:t>
            </w:r>
          </w:p>
        </w:tc>
        <w:tc>
          <w:tcPr>
            <w:tcW w:w="570" w:type="dxa"/>
            <w:shd w:val="clear" w:color="auto" w:fill="FFFFFF"/>
          </w:tcPr>
          <w:p w14:paraId="4479C628" w14:textId="77777777" w:rsidR="00E07616" w:rsidRPr="0000175D" w:rsidRDefault="00E07616" w:rsidP="00DF3E14">
            <w:r w:rsidRPr="0000175D">
              <w:t>0</w:t>
            </w:r>
          </w:p>
        </w:tc>
        <w:tc>
          <w:tcPr>
            <w:tcW w:w="570" w:type="dxa"/>
            <w:gridSpan w:val="4"/>
            <w:shd w:val="clear" w:color="auto" w:fill="FFFFFF"/>
          </w:tcPr>
          <w:p w14:paraId="0EB3D2E3" w14:textId="77777777" w:rsidR="00E07616" w:rsidRPr="0000175D" w:rsidRDefault="00E07616" w:rsidP="00DF3E14">
            <w:r w:rsidRPr="0000175D">
              <w:t>0</w:t>
            </w:r>
          </w:p>
        </w:tc>
        <w:tc>
          <w:tcPr>
            <w:tcW w:w="569" w:type="dxa"/>
            <w:gridSpan w:val="3"/>
            <w:shd w:val="clear" w:color="auto" w:fill="FFFFFF"/>
          </w:tcPr>
          <w:p w14:paraId="23AE0697" w14:textId="77777777" w:rsidR="00E07616" w:rsidRPr="0000175D" w:rsidRDefault="00E07616" w:rsidP="00DF3E14">
            <w:r w:rsidRPr="0000175D">
              <w:t>0</w:t>
            </w:r>
          </w:p>
        </w:tc>
        <w:tc>
          <w:tcPr>
            <w:tcW w:w="570" w:type="dxa"/>
            <w:shd w:val="clear" w:color="auto" w:fill="FFFFFF"/>
          </w:tcPr>
          <w:p w14:paraId="663F8434" w14:textId="77777777" w:rsidR="00E07616" w:rsidRPr="0000175D" w:rsidRDefault="00E07616" w:rsidP="00DF3E14">
            <w:r w:rsidRPr="0000175D">
              <w:t>0</w:t>
            </w:r>
          </w:p>
        </w:tc>
        <w:tc>
          <w:tcPr>
            <w:tcW w:w="570" w:type="dxa"/>
            <w:gridSpan w:val="2"/>
            <w:shd w:val="clear" w:color="auto" w:fill="FFFFFF"/>
          </w:tcPr>
          <w:p w14:paraId="2DBFA552" w14:textId="77777777" w:rsidR="00E07616" w:rsidRPr="0000175D" w:rsidRDefault="00E07616" w:rsidP="00DF3E14">
            <w:r w:rsidRPr="0000175D">
              <w:t>0</w:t>
            </w:r>
          </w:p>
        </w:tc>
        <w:tc>
          <w:tcPr>
            <w:tcW w:w="570" w:type="dxa"/>
            <w:shd w:val="clear" w:color="auto" w:fill="FFFFFF"/>
          </w:tcPr>
          <w:p w14:paraId="2C35F9E1" w14:textId="77777777" w:rsidR="00E07616" w:rsidRPr="0000175D" w:rsidRDefault="00E07616" w:rsidP="00DF3E14">
            <w:r w:rsidRPr="0000175D">
              <w:t>0</w:t>
            </w:r>
          </w:p>
        </w:tc>
        <w:tc>
          <w:tcPr>
            <w:tcW w:w="1516" w:type="dxa"/>
            <w:gridSpan w:val="2"/>
            <w:shd w:val="clear" w:color="auto" w:fill="FFFFFF"/>
          </w:tcPr>
          <w:p w14:paraId="2DC00455" w14:textId="77777777" w:rsidR="00E07616" w:rsidRPr="0000175D" w:rsidRDefault="00E07616" w:rsidP="00DF3E14">
            <w:r w:rsidRPr="0000175D">
              <w:t>0</w:t>
            </w:r>
          </w:p>
        </w:tc>
      </w:tr>
      <w:tr w:rsidR="00E07616" w:rsidRPr="0000175D" w14:paraId="1815DADD" w14:textId="77777777" w:rsidTr="00DF3E14">
        <w:trPr>
          <w:trHeight w:val="357"/>
          <w:jc w:val="center"/>
        </w:trPr>
        <w:tc>
          <w:tcPr>
            <w:tcW w:w="3133" w:type="dxa"/>
            <w:gridSpan w:val="4"/>
            <w:shd w:val="clear" w:color="auto" w:fill="FFFFFF"/>
            <w:vAlign w:val="center"/>
          </w:tcPr>
          <w:p w14:paraId="66A0925B" w14:textId="77777777" w:rsidR="00E07616" w:rsidRPr="0000175D" w:rsidRDefault="00E07616" w:rsidP="00DF3E14">
            <w:r w:rsidRPr="0000175D">
              <w:t>pozostałe jednostki (oddzielnie)</w:t>
            </w:r>
          </w:p>
        </w:tc>
        <w:tc>
          <w:tcPr>
            <w:tcW w:w="548" w:type="dxa"/>
            <w:gridSpan w:val="2"/>
            <w:shd w:val="clear" w:color="auto" w:fill="FFFFFF"/>
          </w:tcPr>
          <w:p w14:paraId="391B9669" w14:textId="77777777" w:rsidR="00E07616" w:rsidRPr="0000175D" w:rsidRDefault="00E07616" w:rsidP="00DF3E14">
            <w:r w:rsidRPr="0000175D">
              <w:t>0</w:t>
            </w:r>
          </w:p>
        </w:tc>
        <w:tc>
          <w:tcPr>
            <w:tcW w:w="591" w:type="dxa"/>
            <w:gridSpan w:val="2"/>
            <w:shd w:val="clear" w:color="auto" w:fill="FFFFFF"/>
          </w:tcPr>
          <w:p w14:paraId="7265FC74" w14:textId="77777777" w:rsidR="00E07616" w:rsidRPr="0000175D" w:rsidRDefault="00E07616" w:rsidP="00DF3E14">
            <w:r w:rsidRPr="0000175D">
              <w:t>0</w:t>
            </w:r>
          </w:p>
        </w:tc>
        <w:tc>
          <w:tcPr>
            <w:tcW w:w="570" w:type="dxa"/>
            <w:gridSpan w:val="3"/>
            <w:shd w:val="clear" w:color="auto" w:fill="FFFFFF"/>
          </w:tcPr>
          <w:p w14:paraId="4D92E4D4" w14:textId="77777777" w:rsidR="00E07616" w:rsidRPr="0000175D" w:rsidRDefault="00E07616" w:rsidP="00DF3E14">
            <w:r w:rsidRPr="0000175D">
              <w:t>0</w:t>
            </w:r>
          </w:p>
        </w:tc>
        <w:tc>
          <w:tcPr>
            <w:tcW w:w="569" w:type="dxa"/>
            <w:gridSpan w:val="2"/>
            <w:shd w:val="clear" w:color="auto" w:fill="FFFFFF"/>
          </w:tcPr>
          <w:p w14:paraId="17616811" w14:textId="77777777" w:rsidR="00E07616" w:rsidRPr="0000175D" w:rsidRDefault="00E07616" w:rsidP="00DF3E14">
            <w:r w:rsidRPr="0000175D">
              <w:t>0</w:t>
            </w:r>
          </w:p>
        </w:tc>
        <w:tc>
          <w:tcPr>
            <w:tcW w:w="570" w:type="dxa"/>
            <w:gridSpan w:val="2"/>
            <w:shd w:val="clear" w:color="auto" w:fill="FFFFFF"/>
          </w:tcPr>
          <w:p w14:paraId="0EE21FDB" w14:textId="77777777" w:rsidR="00E07616" w:rsidRPr="0000175D" w:rsidRDefault="00E07616" w:rsidP="00DF3E14">
            <w:r w:rsidRPr="0000175D">
              <w:t>0</w:t>
            </w:r>
          </w:p>
        </w:tc>
        <w:tc>
          <w:tcPr>
            <w:tcW w:w="570" w:type="dxa"/>
            <w:shd w:val="clear" w:color="auto" w:fill="FFFFFF"/>
          </w:tcPr>
          <w:p w14:paraId="13ECD992" w14:textId="77777777" w:rsidR="00E07616" w:rsidRPr="0000175D" w:rsidRDefault="00E07616" w:rsidP="00DF3E14">
            <w:r w:rsidRPr="0000175D">
              <w:t>0</w:t>
            </w:r>
          </w:p>
        </w:tc>
        <w:tc>
          <w:tcPr>
            <w:tcW w:w="570" w:type="dxa"/>
            <w:gridSpan w:val="4"/>
            <w:shd w:val="clear" w:color="auto" w:fill="FFFFFF"/>
          </w:tcPr>
          <w:p w14:paraId="006374AF" w14:textId="77777777" w:rsidR="00E07616" w:rsidRPr="0000175D" w:rsidRDefault="00E07616" w:rsidP="00DF3E14">
            <w:r w:rsidRPr="0000175D">
              <w:t>0</w:t>
            </w:r>
          </w:p>
        </w:tc>
        <w:tc>
          <w:tcPr>
            <w:tcW w:w="569" w:type="dxa"/>
            <w:gridSpan w:val="3"/>
            <w:shd w:val="clear" w:color="auto" w:fill="FFFFFF"/>
          </w:tcPr>
          <w:p w14:paraId="02800B5C" w14:textId="77777777" w:rsidR="00E07616" w:rsidRPr="0000175D" w:rsidRDefault="00E07616" w:rsidP="00DF3E14">
            <w:r w:rsidRPr="0000175D">
              <w:t>0</w:t>
            </w:r>
          </w:p>
        </w:tc>
        <w:tc>
          <w:tcPr>
            <w:tcW w:w="570" w:type="dxa"/>
            <w:shd w:val="clear" w:color="auto" w:fill="FFFFFF"/>
          </w:tcPr>
          <w:p w14:paraId="05407B3B" w14:textId="77777777" w:rsidR="00E07616" w:rsidRPr="0000175D" w:rsidRDefault="00E07616" w:rsidP="00DF3E14">
            <w:r w:rsidRPr="0000175D">
              <w:t>0</w:t>
            </w:r>
          </w:p>
        </w:tc>
        <w:tc>
          <w:tcPr>
            <w:tcW w:w="570" w:type="dxa"/>
            <w:gridSpan w:val="2"/>
            <w:shd w:val="clear" w:color="auto" w:fill="FFFFFF"/>
          </w:tcPr>
          <w:p w14:paraId="15C427C5" w14:textId="77777777" w:rsidR="00E07616" w:rsidRPr="0000175D" w:rsidRDefault="00E07616" w:rsidP="00DF3E14">
            <w:r w:rsidRPr="0000175D">
              <w:t>0</w:t>
            </w:r>
          </w:p>
        </w:tc>
        <w:tc>
          <w:tcPr>
            <w:tcW w:w="570" w:type="dxa"/>
            <w:shd w:val="clear" w:color="auto" w:fill="FFFFFF"/>
          </w:tcPr>
          <w:p w14:paraId="21365DA3" w14:textId="77777777" w:rsidR="00E07616" w:rsidRPr="0000175D" w:rsidRDefault="00E07616" w:rsidP="00DF3E14">
            <w:r w:rsidRPr="0000175D">
              <w:t>0</w:t>
            </w:r>
          </w:p>
        </w:tc>
        <w:tc>
          <w:tcPr>
            <w:tcW w:w="1516" w:type="dxa"/>
            <w:gridSpan w:val="2"/>
            <w:shd w:val="clear" w:color="auto" w:fill="FFFFFF"/>
          </w:tcPr>
          <w:p w14:paraId="3DB306BA" w14:textId="77777777" w:rsidR="00E07616" w:rsidRPr="0000175D" w:rsidRDefault="00E07616" w:rsidP="00DF3E14">
            <w:r w:rsidRPr="0000175D">
              <w:t>0</w:t>
            </w:r>
          </w:p>
        </w:tc>
      </w:tr>
      <w:tr w:rsidR="00E07616" w:rsidRPr="0000175D" w14:paraId="735E19BD" w14:textId="77777777" w:rsidTr="00DF3E14">
        <w:trPr>
          <w:trHeight w:val="348"/>
          <w:jc w:val="center"/>
        </w:trPr>
        <w:tc>
          <w:tcPr>
            <w:tcW w:w="2243" w:type="dxa"/>
            <w:gridSpan w:val="3"/>
            <w:shd w:val="clear" w:color="auto" w:fill="FFFFFF"/>
            <w:vAlign w:val="center"/>
          </w:tcPr>
          <w:p w14:paraId="1979FE72" w14:textId="77777777" w:rsidR="00E07616" w:rsidRPr="0000175D" w:rsidRDefault="00E07616" w:rsidP="00DF3E14">
            <w:r w:rsidRPr="0000175D">
              <w:t xml:space="preserve">Źródła finansowania </w:t>
            </w:r>
          </w:p>
        </w:tc>
        <w:tc>
          <w:tcPr>
            <w:tcW w:w="8673" w:type="dxa"/>
            <w:gridSpan w:val="26"/>
            <w:shd w:val="clear" w:color="auto" w:fill="FFFFFF"/>
            <w:vAlign w:val="center"/>
          </w:tcPr>
          <w:p w14:paraId="78230AB1" w14:textId="15EE7C36" w:rsidR="00E07616" w:rsidRPr="0000175D" w:rsidRDefault="00DA4DF4" w:rsidP="00DA4DF4">
            <w:r w:rsidRPr="00DA4DF4">
              <w:t>Niniejsze rozporządzenie gwarantujące określoną dostępność i pojemność skrzynek doręczeń nie będzie miało wpływu na sektor finansów publicznych.</w:t>
            </w:r>
          </w:p>
        </w:tc>
      </w:tr>
      <w:tr w:rsidR="00E07616" w:rsidRPr="0000175D" w14:paraId="67D1C9E6" w14:textId="77777777" w:rsidTr="00DF3E14">
        <w:trPr>
          <w:trHeight w:val="1926"/>
          <w:jc w:val="center"/>
        </w:trPr>
        <w:tc>
          <w:tcPr>
            <w:tcW w:w="2243" w:type="dxa"/>
            <w:gridSpan w:val="3"/>
            <w:shd w:val="clear" w:color="auto" w:fill="FFFFFF"/>
          </w:tcPr>
          <w:p w14:paraId="7C0E6829" w14:textId="77777777" w:rsidR="00E07616" w:rsidRPr="0000175D" w:rsidRDefault="00E07616" w:rsidP="00DF3E14">
            <w:r w:rsidRPr="0000175D">
              <w:t>Dodatkowe informacje, w tym wskazanie źródeł danych i przyjętych do obliczeń założeń</w:t>
            </w:r>
          </w:p>
        </w:tc>
        <w:tc>
          <w:tcPr>
            <w:tcW w:w="8673" w:type="dxa"/>
            <w:gridSpan w:val="26"/>
            <w:shd w:val="clear" w:color="auto" w:fill="FFFFFF"/>
          </w:tcPr>
          <w:p w14:paraId="4FBEDA84" w14:textId="55624BAB" w:rsidR="00E07616" w:rsidRPr="000F0679" w:rsidRDefault="00E07616" w:rsidP="00DA4DF4">
            <w:r w:rsidRPr="000F0679">
              <w:t xml:space="preserve"> Szczegóły dot</w:t>
            </w:r>
            <w:r w:rsidR="002F0DB3">
              <w:t>yczące</w:t>
            </w:r>
            <w:r w:rsidRPr="000F0679">
              <w:t xml:space="preserve"> wpływu całości projektu e-Doręczeń na sektor finansów publiczny zostały opisane w ramach dokumentu OSR ustawy z dn. 18 listopada 2020 r. o doręczeniach elektronicznych. Koszty utrzymywania skrzynki doręczeń ponoszone przez operatora wyznaczonego wliczone są do opłat za usługę rejestrowanego doręczenia (art. 52 ust. 4 ustawy </w:t>
            </w:r>
            <w:r w:rsidR="004E633A" w:rsidRPr="00F05828">
              <w:t>z dnia 18 listopada 2020 r.</w:t>
            </w:r>
            <w:r w:rsidR="004E633A">
              <w:t xml:space="preserve"> o</w:t>
            </w:r>
            <w:r w:rsidRPr="000F0679">
              <w:t xml:space="preserve"> doręczeniach elektronicznych). Natomiast użytkownikom udostępniona zostanie bezpłatna aplikacja kliencka.</w:t>
            </w:r>
          </w:p>
        </w:tc>
      </w:tr>
      <w:tr w:rsidR="00E07616" w:rsidRPr="0000175D" w14:paraId="62171CB1" w14:textId="77777777" w:rsidTr="00DF3E14">
        <w:trPr>
          <w:trHeight w:val="345"/>
          <w:jc w:val="center"/>
        </w:trPr>
        <w:tc>
          <w:tcPr>
            <w:tcW w:w="10916" w:type="dxa"/>
            <w:gridSpan w:val="29"/>
            <w:shd w:val="clear" w:color="auto" w:fill="99CCFF"/>
          </w:tcPr>
          <w:p w14:paraId="763B757C" w14:textId="77777777" w:rsidR="00E07616" w:rsidRPr="000F0679" w:rsidRDefault="00E07616" w:rsidP="00DF3E14">
            <w:pPr>
              <w:rPr>
                <w:rStyle w:val="Ppogrubienie"/>
              </w:rPr>
            </w:pPr>
            <w:r w:rsidRPr="000F0679">
              <w:rPr>
                <w:rStyle w:val="Ppogrubienie"/>
              </w:rPr>
              <w:t xml:space="preserve">Wpływ na konkurencyjność gospodarki i przedsiębiorczość, w tym funkcjonowanie przedsiębiorców oraz na rodzinę, obywateli i gospodarstwa domowe </w:t>
            </w:r>
          </w:p>
        </w:tc>
      </w:tr>
      <w:tr w:rsidR="00E07616" w:rsidRPr="0000175D" w14:paraId="4ACCB797" w14:textId="77777777" w:rsidTr="00DF3E14">
        <w:trPr>
          <w:trHeight w:val="142"/>
          <w:jc w:val="center"/>
        </w:trPr>
        <w:tc>
          <w:tcPr>
            <w:tcW w:w="10916" w:type="dxa"/>
            <w:gridSpan w:val="29"/>
            <w:shd w:val="clear" w:color="auto" w:fill="FFFFFF"/>
          </w:tcPr>
          <w:p w14:paraId="2BB49BE0" w14:textId="77777777" w:rsidR="00E07616" w:rsidRPr="0000175D" w:rsidRDefault="00E07616" w:rsidP="00DF3E14">
            <w:r w:rsidRPr="0000175D">
              <w:t>Skutki</w:t>
            </w:r>
          </w:p>
        </w:tc>
      </w:tr>
      <w:tr w:rsidR="00E07616" w:rsidRPr="0000175D" w14:paraId="4435F4E4" w14:textId="77777777" w:rsidTr="00DF3E14">
        <w:trPr>
          <w:trHeight w:val="142"/>
          <w:jc w:val="center"/>
        </w:trPr>
        <w:tc>
          <w:tcPr>
            <w:tcW w:w="3889" w:type="dxa"/>
            <w:gridSpan w:val="7"/>
            <w:shd w:val="clear" w:color="auto" w:fill="FFFFFF"/>
          </w:tcPr>
          <w:p w14:paraId="2AAC062E" w14:textId="77777777" w:rsidR="00E07616" w:rsidRPr="0000175D" w:rsidRDefault="00E07616" w:rsidP="00DF3E14">
            <w:r w:rsidRPr="0000175D">
              <w:t>Czas w latach od wejścia w życie zmian</w:t>
            </w:r>
          </w:p>
        </w:tc>
        <w:tc>
          <w:tcPr>
            <w:tcW w:w="937" w:type="dxa"/>
            <w:gridSpan w:val="3"/>
            <w:shd w:val="clear" w:color="auto" w:fill="FFFFFF"/>
          </w:tcPr>
          <w:p w14:paraId="2475E2E3" w14:textId="77777777" w:rsidR="00E07616" w:rsidRPr="0000175D" w:rsidRDefault="00E07616" w:rsidP="00DF3E14">
            <w:r w:rsidRPr="0000175D">
              <w:t>0</w:t>
            </w:r>
          </w:p>
        </w:tc>
        <w:tc>
          <w:tcPr>
            <w:tcW w:w="938" w:type="dxa"/>
            <w:gridSpan w:val="4"/>
            <w:shd w:val="clear" w:color="auto" w:fill="FFFFFF"/>
          </w:tcPr>
          <w:p w14:paraId="598DDF94" w14:textId="77777777" w:rsidR="00E07616" w:rsidRPr="0000175D" w:rsidRDefault="00E07616" w:rsidP="00DF3E14">
            <w:r w:rsidRPr="0000175D">
              <w:t>1</w:t>
            </w:r>
          </w:p>
        </w:tc>
        <w:tc>
          <w:tcPr>
            <w:tcW w:w="938" w:type="dxa"/>
            <w:gridSpan w:val="4"/>
            <w:shd w:val="clear" w:color="auto" w:fill="FFFFFF"/>
          </w:tcPr>
          <w:p w14:paraId="32C704B0" w14:textId="77777777" w:rsidR="00E07616" w:rsidRPr="0000175D" w:rsidRDefault="00E07616" w:rsidP="00DF3E14">
            <w:r w:rsidRPr="0000175D">
              <w:t>2</w:t>
            </w:r>
          </w:p>
        </w:tc>
        <w:tc>
          <w:tcPr>
            <w:tcW w:w="937" w:type="dxa"/>
            <w:gridSpan w:val="4"/>
            <w:shd w:val="clear" w:color="auto" w:fill="FFFFFF"/>
          </w:tcPr>
          <w:p w14:paraId="180B9833" w14:textId="77777777" w:rsidR="00E07616" w:rsidRPr="0000175D" w:rsidRDefault="00E07616" w:rsidP="00DF3E14">
            <w:r w:rsidRPr="0000175D">
              <w:t>3</w:t>
            </w:r>
          </w:p>
        </w:tc>
        <w:tc>
          <w:tcPr>
            <w:tcW w:w="938" w:type="dxa"/>
            <w:gridSpan w:val="3"/>
            <w:shd w:val="clear" w:color="auto" w:fill="FFFFFF"/>
          </w:tcPr>
          <w:p w14:paraId="0FDAA237" w14:textId="77777777" w:rsidR="00E07616" w:rsidRPr="0000175D" w:rsidRDefault="00E07616" w:rsidP="00DF3E14">
            <w:r w:rsidRPr="0000175D">
              <w:t>5</w:t>
            </w:r>
          </w:p>
        </w:tc>
        <w:tc>
          <w:tcPr>
            <w:tcW w:w="938" w:type="dxa"/>
            <w:gridSpan w:val="3"/>
            <w:shd w:val="clear" w:color="auto" w:fill="FFFFFF"/>
          </w:tcPr>
          <w:p w14:paraId="518DC89C" w14:textId="77777777" w:rsidR="00E07616" w:rsidRPr="0000175D" w:rsidRDefault="00E07616" w:rsidP="00DF3E14">
            <w:r w:rsidRPr="0000175D">
              <w:t>10</w:t>
            </w:r>
          </w:p>
        </w:tc>
        <w:tc>
          <w:tcPr>
            <w:tcW w:w="1401" w:type="dxa"/>
            <w:shd w:val="clear" w:color="auto" w:fill="FFFFFF"/>
          </w:tcPr>
          <w:p w14:paraId="4755DE17" w14:textId="77777777" w:rsidR="00E07616" w:rsidRPr="0000175D" w:rsidRDefault="00E07616" w:rsidP="00DF3E14">
            <w:r w:rsidRPr="0000175D">
              <w:t>Łącznie</w:t>
            </w:r>
            <w:r w:rsidRPr="0000175D" w:rsidDel="0073273A">
              <w:t xml:space="preserve"> </w:t>
            </w:r>
            <w:r w:rsidRPr="0000175D">
              <w:t>(0-10)</w:t>
            </w:r>
          </w:p>
        </w:tc>
      </w:tr>
      <w:tr w:rsidR="00E07616" w:rsidRPr="0000175D" w14:paraId="6A9F3D53" w14:textId="77777777" w:rsidTr="00DF3E14">
        <w:trPr>
          <w:trHeight w:val="142"/>
          <w:jc w:val="center"/>
        </w:trPr>
        <w:tc>
          <w:tcPr>
            <w:tcW w:w="1596" w:type="dxa"/>
            <w:vMerge w:val="restart"/>
            <w:shd w:val="clear" w:color="auto" w:fill="FFFFFF"/>
          </w:tcPr>
          <w:p w14:paraId="6500B52E" w14:textId="77777777" w:rsidR="00E07616" w:rsidRPr="0000175D" w:rsidRDefault="00E07616" w:rsidP="00DF3E14">
            <w:r w:rsidRPr="0000175D">
              <w:t>W ujęciu pieniężnym</w:t>
            </w:r>
          </w:p>
          <w:p w14:paraId="67338432" w14:textId="77777777" w:rsidR="00E07616" w:rsidRPr="0000175D" w:rsidRDefault="00E07616" w:rsidP="00DF3E14">
            <w:r w:rsidRPr="0000175D">
              <w:t xml:space="preserve">(w mln zł, </w:t>
            </w:r>
          </w:p>
          <w:p w14:paraId="3E634DE0" w14:textId="77777777" w:rsidR="00E07616" w:rsidRPr="0000175D" w:rsidRDefault="00E07616" w:rsidP="00DF3E14">
            <w:r w:rsidRPr="0000175D">
              <w:t xml:space="preserve">ceny stałe z </w:t>
            </w:r>
            <w:r w:rsidRPr="0000175D">
              <w:lastRenderedPageBreak/>
              <w:t>…… r.)</w:t>
            </w:r>
          </w:p>
        </w:tc>
        <w:tc>
          <w:tcPr>
            <w:tcW w:w="2293" w:type="dxa"/>
            <w:gridSpan w:val="6"/>
            <w:shd w:val="clear" w:color="auto" w:fill="FFFFFF"/>
          </w:tcPr>
          <w:p w14:paraId="02AF70CE" w14:textId="77777777" w:rsidR="00E07616" w:rsidRPr="0000175D" w:rsidRDefault="00E07616" w:rsidP="00DF3E14">
            <w:r w:rsidRPr="0000175D">
              <w:lastRenderedPageBreak/>
              <w:t>duże przedsiębiorstwa</w:t>
            </w:r>
          </w:p>
        </w:tc>
        <w:tc>
          <w:tcPr>
            <w:tcW w:w="937" w:type="dxa"/>
            <w:gridSpan w:val="3"/>
            <w:shd w:val="clear" w:color="auto" w:fill="FFFFFF"/>
          </w:tcPr>
          <w:p w14:paraId="1F874DEE" w14:textId="77777777" w:rsidR="00E07616" w:rsidRPr="0000175D" w:rsidRDefault="00E07616" w:rsidP="00DF3E14">
            <w:r w:rsidRPr="0000175D">
              <w:t>Brak danych</w:t>
            </w:r>
          </w:p>
        </w:tc>
        <w:tc>
          <w:tcPr>
            <w:tcW w:w="938" w:type="dxa"/>
            <w:gridSpan w:val="4"/>
            <w:shd w:val="clear" w:color="auto" w:fill="FFFFFF"/>
          </w:tcPr>
          <w:p w14:paraId="24C554B1" w14:textId="77777777" w:rsidR="00E07616" w:rsidRPr="0000175D" w:rsidRDefault="00E07616" w:rsidP="00DF3E14"/>
        </w:tc>
        <w:tc>
          <w:tcPr>
            <w:tcW w:w="938" w:type="dxa"/>
            <w:gridSpan w:val="4"/>
            <w:shd w:val="clear" w:color="auto" w:fill="FFFFFF"/>
          </w:tcPr>
          <w:p w14:paraId="414EE1BE" w14:textId="77777777" w:rsidR="00E07616" w:rsidRPr="0000175D" w:rsidRDefault="00E07616" w:rsidP="00DF3E14"/>
        </w:tc>
        <w:tc>
          <w:tcPr>
            <w:tcW w:w="937" w:type="dxa"/>
            <w:gridSpan w:val="4"/>
            <w:shd w:val="clear" w:color="auto" w:fill="FFFFFF"/>
          </w:tcPr>
          <w:p w14:paraId="0A370EE4" w14:textId="77777777" w:rsidR="00E07616" w:rsidRPr="0000175D" w:rsidRDefault="00E07616" w:rsidP="00DF3E14"/>
        </w:tc>
        <w:tc>
          <w:tcPr>
            <w:tcW w:w="938" w:type="dxa"/>
            <w:gridSpan w:val="3"/>
            <w:shd w:val="clear" w:color="auto" w:fill="FFFFFF"/>
          </w:tcPr>
          <w:p w14:paraId="7D4304A3" w14:textId="77777777" w:rsidR="00E07616" w:rsidRPr="0000175D" w:rsidRDefault="00E07616" w:rsidP="00DF3E14"/>
        </w:tc>
        <w:tc>
          <w:tcPr>
            <w:tcW w:w="938" w:type="dxa"/>
            <w:gridSpan w:val="3"/>
            <w:shd w:val="clear" w:color="auto" w:fill="FFFFFF"/>
          </w:tcPr>
          <w:p w14:paraId="0F15C9D1" w14:textId="77777777" w:rsidR="00E07616" w:rsidRPr="0000175D" w:rsidRDefault="00E07616" w:rsidP="00DF3E14"/>
        </w:tc>
        <w:tc>
          <w:tcPr>
            <w:tcW w:w="1401" w:type="dxa"/>
            <w:shd w:val="clear" w:color="auto" w:fill="FFFFFF"/>
          </w:tcPr>
          <w:p w14:paraId="51EC2048" w14:textId="77777777" w:rsidR="00E07616" w:rsidRPr="0000175D" w:rsidRDefault="00E07616" w:rsidP="00DF3E14"/>
        </w:tc>
      </w:tr>
      <w:tr w:rsidR="00E07616" w:rsidRPr="0000175D" w14:paraId="1FB18629" w14:textId="77777777" w:rsidTr="00DF3E14">
        <w:trPr>
          <w:trHeight w:val="142"/>
          <w:jc w:val="center"/>
        </w:trPr>
        <w:tc>
          <w:tcPr>
            <w:tcW w:w="1596" w:type="dxa"/>
            <w:vMerge/>
            <w:shd w:val="clear" w:color="auto" w:fill="FFFFFF"/>
          </w:tcPr>
          <w:p w14:paraId="7A008AD1" w14:textId="77777777" w:rsidR="00E07616" w:rsidRPr="0000175D" w:rsidRDefault="00E07616" w:rsidP="00DF3E14"/>
        </w:tc>
        <w:tc>
          <w:tcPr>
            <w:tcW w:w="2293" w:type="dxa"/>
            <w:gridSpan w:val="6"/>
            <w:shd w:val="clear" w:color="auto" w:fill="FFFFFF"/>
          </w:tcPr>
          <w:p w14:paraId="01DA62D3" w14:textId="77777777" w:rsidR="00E07616" w:rsidRPr="0000175D" w:rsidRDefault="00E07616" w:rsidP="00DF3E14">
            <w:r w:rsidRPr="0000175D">
              <w:t xml:space="preserve">sektor mikro-, małych i średnich </w:t>
            </w:r>
            <w:r w:rsidRPr="0000175D">
              <w:lastRenderedPageBreak/>
              <w:t>przedsiębiorstw</w:t>
            </w:r>
          </w:p>
        </w:tc>
        <w:tc>
          <w:tcPr>
            <w:tcW w:w="937" w:type="dxa"/>
            <w:gridSpan w:val="3"/>
            <w:shd w:val="clear" w:color="auto" w:fill="FFFFFF"/>
          </w:tcPr>
          <w:p w14:paraId="320DE589" w14:textId="77777777" w:rsidR="00E07616" w:rsidRPr="0000175D" w:rsidRDefault="00E07616" w:rsidP="00DF3E14">
            <w:r w:rsidRPr="0000175D">
              <w:lastRenderedPageBreak/>
              <w:t>Brak danych</w:t>
            </w:r>
          </w:p>
        </w:tc>
        <w:tc>
          <w:tcPr>
            <w:tcW w:w="938" w:type="dxa"/>
            <w:gridSpan w:val="4"/>
            <w:shd w:val="clear" w:color="auto" w:fill="FFFFFF"/>
          </w:tcPr>
          <w:p w14:paraId="5A2B8B0B" w14:textId="77777777" w:rsidR="00E07616" w:rsidRPr="0000175D" w:rsidRDefault="00E07616" w:rsidP="00DF3E14"/>
        </w:tc>
        <w:tc>
          <w:tcPr>
            <w:tcW w:w="938" w:type="dxa"/>
            <w:gridSpan w:val="4"/>
            <w:shd w:val="clear" w:color="auto" w:fill="FFFFFF"/>
          </w:tcPr>
          <w:p w14:paraId="53820068" w14:textId="77777777" w:rsidR="00E07616" w:rsidRPr="0000175D" w:rsidRDefault="00E07616" w:rsidP="00DF3E14"/>
        </w:tc>
        <w:tc>
          <w:tcPr>
            <w:tcW w:w="937" w:type="dxa"/>
            <w:gridSpan w:val="4"/>
            <w:shd w:val="clear" w:color="auto" w:fill="FFFFFF"/>
          </w:tcPr>
          <w:p w14:paraId="3D5686B3" w14:textId="77777777" w:rsidR="00E07616" w:rsidRPr="0000175D" w:rsidRDefault="00E07616" w:rsidP="00DF3E14"/>
        </w:tc>
        <w:tc>
          <w:tcPr>
            <w:tcW w:w="938" w:type="dxa"/>
            <w:gridSpan w:val="3"/>
            <w:shd w:val="clear" w:color="auto" w:fill="FFFFFF"/>
          </w:tcPr>
          <w:p w14:paraId="3B7A509A" w14:textId="77777777" w:rsidR="00E07616" w:rsidRPr="0000175D" w:rsidRDefault="00E07616" w:rsidP="00DF3E14"/>
        </w:tc>
        <w:tc>
          <w:tcPr>
            <w:tcW w:w="938" w:type="dxa"/>
            <w:gridSpan w:val="3"/>
            <w:shd w:val="clear" w:color="auto" w:fill="FFFFFF"/>
          </w:tcPr>
          <w:p w14:paraId="5E72FA09" w14:textId="77777777" w:rsidR="00E07616" w:rsidRPr="0000175D" w:rsidRDefault="00E07616" w:rsidP="00DF3E14"/>
        </w:tc>
        <w:tc>
          <w:tcPr>
            <w:tcW w:w="1401" w:type="dxa"/>
            <w:shd w:val="clear" w:color="auto" w:fill="FFFFFF"/>
          </w:tcPr>
          <w:p w14:paraId="7BEF2028" w14:textId="77777777" w:rsidR="00E07616" w:rsidRPr="0000175D" w:rsidRDefault="00E07616" w:rsidP="00DF3E14"/>
        </w:tc>
      </w:tr>
      <w:tr w:rsidR="00E07616" w:rsidRPr="0000175D" w14:paraId="08416026" w14:textId="77777777" w:rsidTr="00DF3E14">
        <w:trPr>
          <w:trHeight w:val="493"/>
          <w:jc w:val="center"/>
        </w:trPr>
        <w:tc>
          <w:tcPr>
            <w:tcW w:w="1596" w:type="dxa"/>
            <w:vMerge/>
            <w:shd w:val="clear" w:color="auto" w:fill="FFFFFF"/>
          </w:tcPr>
          <w:p w14:paraId="78748E76" w14:textId="77777777" w:rsidR="00E07616" w:rsidRPr="0000175D" w:rsidRDefault="00E07616" w:rsidP="00DF3E14"/>
        </w:tc>
        <w:tc>
          <w:tcPr>
            <w:tcW w:w="2293" w:type="dxa"/>
            <w:gridSpan w:val="6"/>
            <w:shd w:val="clear" w:color="auto" w:fill="FFFFFF"/>
          </w:tcPr>
          <w:p w14:paraId="2A8A2E38" w14:textId="77777777" w:rsidR="00E07616" w:rsidRPr="0000175D" w:rsidRDefault="00E07616" w:rsidP="00DF3E14">
            <w:r w:rsidRPr="0000175D">
              <w:t>rodzina, obywatele oraz gospodarstwa domowe</w:t>
            </w:r>
          </w:p>
        </w:tc>
        <w:tc>
          <w:tcPr>
            <w:tcW w:w="937" w:type="dxa"/>
            <w:gridSpan w:val="3"/>
            <w:shd w:val="clear" w:color="auto" w:fill="FFFFFF"/>
          </w:tcPr>
          <w:p w14:paraId="121BDCCF" w14:textId="77777777" w:rsidR="00E07616" w:rsidRPr="0000175D" w:rsidRDefault="00E07616" w:rsidP="00DF3E14">
            <w:r w:rsidRPr="0000175D">
              <w:t>Brak danych</w:t>
            </w:r>
          </w:p>
        </w:tc>
        <w:tc>
          <w:tcPr>
            <w:tcW w:w="938" w:type="dxa"/>
            <w:gridSpan w:val="4"/>
            <w:shd w:val="clear" w:color="auto" w:fill="FFFFFF"/>
          </w:tcPr>
          <w:p w14:paraId="51F2A918" w14:textId="77777777" w:rsidR="00E07616" w:rsidRPr="0000175D" w:rsidRDefault="00E07616" w:rsidP="00DF3E14"/>
        </w:tc>
        <w:tc>
          <w:tcPr>
            <w:tcW w:w="938" w:type="dxa"/>
            <w:gridSpan w:val="4"/>
            <w:shd w:val="clear" w:color="auto" w:fill="FFFFFF"/>
          </w:tcPr>
          <w:p w14:paraId="654DEAE3" w14:textId="77777777" w:rsidR="00E07616" w:rsidRPr="0000175D" w:rsidRDefault="00E07616" w:rsidP="00DF3E14"/>
        </w:tc>
        <w:tc>
          <w:tcPr>
            <w:tcW w:w="937" w:type="dxa"/>
            <w:gridSpan w:val="4"/>
            <w:shd w:val="clear" w:color="auto" w:fill="FFFFFF"/>
          </w:tcPr>
          <w:p w14:paraId="7938F940" w14:textId="77777777" w:rsidR="00E07616" w:rsidRPr="0000175D" w:rsidRDefault="00E07616" w:rsidP="00DF3E14"/>
        </w:tc>
        <w:tc>
          <w:tcPr>
            <w:tcW w:w="938" w:type="dxa"/>
            <w:gridSpan w:val="3"/>
            <w:shd w:val="clear" w:color="auto" w:fill="FFFFFF"/>
          </w:tcPr>
          <w:p w14:paraId="19BF16F2" w14:textId="77777777" w:rsidR="00E07616" w:rsidRPr="0000175D" w:rsidRDefault="00E07616" w:rsidP="00DF3E14"/>
        </w:tc>
        <w:tc>
          <w:tcPr>
            <w:tcW w:w="938" w:type="dxa"/>
            <w:gridSpan w:val="3"/>
            <w:shd w:val="clear" w:color="auto" w:fill="FFFFFF"/>
          </w:tcPr>
          <w:p w14:paraId="52DFFDC8" w14:textId="77777777" w:rsidR="00E07616" w:rsidRPr="0000175D" w:rsidRDefault="00E07616" w:rsidP="00DF3E14"/>
        </w:tc>
        <w:tc>
          <w:tcPr>
            <w:tcW w:w="1401" w:type="dxa"/>
            <w:shd w:val="clear" w:color="auto" w:fill="FFFFFF"/>
          </w:tcPr>
          <w:p w14:paraId="7617C083" w14:textId="77777777" w:rsidR="00E07616" w:rsidRPr="0000175D" w:rsidRDefault="00E07616" w:rsidP="00DF3E14"/>
        </w:tc>
      </w:tr>
      <w:tr w:rsidR="00E07616" w:rsidRPr="0000175D" w14:paraId="5685A95D" w14:textId="77777777" w:rsidTr="00DF3E14">
        <w:trPr>
          <w:trHeight w:val="142"/>
          <w:jc w:val="center"/>
        </w:trPr>
        <w:tc>
          <w:tcPr>
            <w:tcW w:w="1596" w:type="dxa"/>
            <w:vMerge w:val="restart"/>
            <w:shd w:val="clear" w:color="auto" w:fill="FFFFFF"/>
          </w:tcPr>
          <w:p w14:paraId="4F123D56" w14:textId="77777777" w:rsidR="00E07616" w:rsidRPr="0000175D" w:rsidRDefault="00E07616" w:rsidP="00DF3E14">
            <w:r w:rsidRPr="0000175D">
              <w:t>W ujęciu niepieniężnym</w:t>
            </w:r>
          </w:p>
        </w:tc>
        <w:tc>
          <w:tcPr>
            <w:tcW w:w="2293" w:type="dxa"/>
            <w:gridSpan w:val="6"/>
            <w:shd w:val="clear" w:color="auto" w:fill="FFFFFF"/>
          </w:tcPr>
          <w:p w14:paraId="09C7FA8A" w14:textId="77777777" w:rsidR="00E07616" w:rsidRPr="0000175D" w:rsidRDefault="00E07616" w:rsidP="00DF3E14">
            <w:r w:rsidRPr="0000175D">
              <w:t>duże przedsiębiorstwa</w:t>
            </w:r>
          </w:p>
        </w:tc>
        <w:tc>
          <w:tcPr>
            <w:tcW w:w="7027" w:type="dxa"/>
            <w:gridSpan w:val="22"/>
            <w:shd w:val="clear" w:color="auto" w:fill="FFFFFF"/>
          </w:tcPr>
          <w:p w14:paraId="57E341FE" w14:textId="5370E3DD" w:rsidR="00E07616" w:rsidRPr="00E07616" w:rsidRDefault="00E07616">
            <w:pPr>
              <w:rPr>
                <w:rStyle w:val="Kkursywa"/>
              </w:rPr>
            </w:pPr>
            <w:r w:rsidRPr="00E07616">
              <w:rPr>
                <w:rStyle w:val="Kkursywa"/>
              </w:rPr>
              <w:t>Przedsiębiorcy będą mogli obniżyć koszty stałe dzięki możliwości bezpłatnej komunikacji elektronicznej z organami administracji publicznej. Wysyłanie korespondencji poprzez skrzynkę doręczeń wprowadza alternatywę wobec konieczności posiadania kont i manualnego przekazywania danych osobowych, medycznych, skarbowych i innych danych wrażliwych w trakcie sesji użytkowników publicznych lub niepublicznych portali WWW, co podniesie bezpieczeństwo teleinformatyczne i ograniczy nakłady na obsługę administracyjną do archiwizowania korespondencji.</w:t>
            </w:r>
          </w:p>
          <w:p w14:paraId="4467A083" w14:textId="77777777" w:rsidR="00E07616" w:rsidRPr="00560372" w:rsidRDefault="00E07616">
            <w:pPr>
              <w:rPr>
                <w:rStyle w:val="Kkursywa"/>
              </w:rPr>
            </w:pPr>
            <w:r w:rsidRPr="00E07616">
              <w:rPr>
                <w:rStyle w:val="Kkursywa"/>
              </w:rPr>
              <w:t xml:space="preserve">Zmieni to proces korzystania z usług i sposób kontaktu z administracją publiczną, np. dokonywanie wpisu w KRS/CEIDG. </w:t>
            </w:r>
          </w:p>
        </w:tc>
      </w:tr>
      <w:tr w:rsidR="00E07616" w:rsidRPr="0000175D" w14:paraId="42423E70" w14:textId="77777777" w:rsidTr="00DF3E14">
        <w:trPr>
          <w:trHeight w:val="142"/>
          <w:jc w:val="center"/>
        </w:trPr>
        <w:tc>
          <w:tcPr>
            <w:tcW w:w="1596" w:type="dxa"/>
            <w:vMerge/>
            <w:shd w:val="clear" w:color="auto" w:fill="FFFFFF"/>
          </w:tcPr>
          <w:p w14:paraId="60BF4494" w14:textId="77777777" w:rsidR="00E07616" w:rsidRPr="0000175D" w:rsidRDefault="00E07616" w:rsidP="00DF3E14"/>
        </w:tc>
        <w:tc>
          <w:tcPr>
            <w:tcW w:w="2293" w:type="dxa"/>
            <w:gridSpan w:val="6"/>
            <w:shd w:val="clear" w:color="auto" w:fill="FFFFFF"/>
          </w:tcPr>
          <w:p w14:paraId="24B6BBE8" w14:textId="77777777" w:rsidR="00E07616" w:rsidRPr="0000175D" w:rsidRDefault="00E07616" w:rsidP="00DF3E14">
            <w:r w:rsidRPr="0000175D">
              <w:t>sektor mikro-, małych i średnich przedsiębiorstw</w:t>
            </w:r>
          </w:p>
        </w:tc>
        <w:tc>
          <w:tcPr>
            <w:tcW w:w="7027" w:type="dxa"/>
            <w:gridSpan w:val="22"/>
            <w:shd w:val="clear" w:color="auto" w:fill="FFFFFF"/>
          </w:tcPr>
          <w:p w14:paraId="11537A77" w14:textId="77777777" w:rsidR="00E07616" w:rsidRPr="00E07616" w:rsidRDefault="00E07616" w:rsidP="005F3DA7">
            <w:pPr>
              <w:rPr>
                <w:rStyle w:val="Kkursywa"/>
              </w:rPr>
            </w:pPr>
            <w:r w:rsidRPr="00E07616">
              <w:rPr>
                <w:rStyle w:val="Kkursywa"/>
              </w:rPr>
              <w:t>Przedsiębiorcy odczują korzyści analogicznie do dużych przedsiębiorstw. Należy podkreślić, że gwarantowana pojemność i dostępność skrzynki doręczeń zmniejszy liczbę doręczeń korespondencji w trybie fikcji doręczenia od organów administracji lub sądów.</w:t>
            </w:r>
          </w:p>
          <w:p w14:paraId="4A8DF023" w14:textId="77777777" w:rsidR="00E07616" w:rsidRPr="00560372" w:rsidRDefault="00E07616" w:rsidP="005F3DA7">
            <w:pPr>
              <w:rPr>
                <w:rStyle w:val="Kkursywa"/>
              </w:rPr>
            </w:pPr>
            <w:r w:rsidRPr="00E07616">
              <w:rPr>
                <w:rStyle w:val="Kkursywa"/>
              </w:rPr>
              <w:t>Przedsiębiorca będzie mógł – korzystając z dostępności skrzynki doręczeń także w godzinach nocnych – przesłać korespondencję rejestrowaną o godzinie wygodnej dla siebie, bez konieczności udawania się do placówki pocztowej.</w:t>
            </w:r>
          </w:p>
        </w:tc>
      </w:tr>
      <w:tr w:rsidR="00E07616" w:rsidRPr="0000175D" w14:paraId="160A3C6C" w14:textId="77777777" w:rsidTr="00DF3E14">
        <w:trPr>
          <w:trHeight w:val="652"/>
          <w:jc w:val="center"/>
        </w:trPr>
        <w:tc>
          <w:tcPr>
            <w:tcW w:w="1596" w:type="dxa"/>
            <w:vMerge/>
            <w:shd w:val="clear" w:color="auto" w:fill="FFFFFF"/>
          </w:tcPr>
          <w:p w14:paraId="026232B9" w14:textId="77777777" w:rsidR="00E07616" w:rsidRPr="0000175D" w:rsidRDefault="00E07616" w:rsidP="00DF3E14"/>
        </w:tc>
        <w:tc>
          <w:tcPr>
            <w:tcW w:w="2293" w:type="dxa"/>
            <w:gridSpan w:val="6"/>
            <w:shd w:val="clear" w:color="auto" w:fill="FFFFFF"/>
          </w:tcPr>
          <w:p w14:paraId="0C408321" w14:textId="77777777" w:rsidR="00E07616" w:rsidRPr="0000175D" w:rsidRDefault="00E07616" w:rsidP="00DF3E14">
            <w:r w:rsidRPr="0000175D">
              <w:t xml:space="preserve">rodzina, obywatele oraz gospodarstwa domowe </w:t>
            </w:r>
          </w:p>
        </w:tc>
        <w:tc>
          <w:tcPr>
            <w:tcW w:w="7027" w:type="dxa"/>
            <w:gridSpan w:val="22"/>
            <w:shd w:val="clear" w:color="auto" w:fill="FFFFFF"/>
          </w:tcPr>
          <w:p w14:paraId="21F34B01" w14:textId="77777777" w:rsidR="00E07616" w:rsidRPr="00E07616" w:rsidRDefault="00E07616" w:rsidP="005F3DA7">
            <w:pPr>
              <w:rPr>
                <w:rStyle w:val="Kkursywa"/>
              </w:rPr>
            </w:pPr>
            <w:r w:rsidRPr="00E07616">
              <w:rPr>
                <w:rStyle w:val="Kkursywa"/>
              </w:rPr>
              <w:t>Istnienie skrzynki doręczeń i jej dostępność poprzez portale ministrów informatyzacji i gospodarki ogranicza nakłady na pozyskanie możliwości prowadzenia korespondencji w kanale elektronicznym do zaopatrzenia się w urządzenie końcowe z przeglądarką internetową.</w:t>
            </w:r>
          </w:p>
          <w:p w14:paraId="0D9130CF" w14:textId="77777777" w:rsidR="00E07616" w:rsidRPr="00560372" w:rsidRDefault="00E07616" w:rsidP="005F3DA7">
            <w:pPr>
              <w:rPr>
                <w:rStyle w:val="Kkursywa"/>
              </w:rPr>
            </w:pPr>
            <w:r w:rsidRPr="00E07616">
              <w:rPr>
                <w:rStyle w:val="Kkursywa"/>
              </w:rPr>
              <w:t xml:space="preserve">Gwarantowana pojemność skrzynki ograniczy do minimum konieczność archiwizowania wiadomości dla tych obywateli, którzy wymieniają z innymi podmiotami korespondencję w ilościach nie przekraczających 100 pism rocznie. </w:t>
            </w:r>
          </w:p>
        </w:tc>
      </w:tr>
      <w:tr w:rsidR="00E07616" w:rsidRPr="0000175D" w14:paraId="2BAACCA1" w14:textId="77777777" w:rsidTr="00DF3E14">
        <w:trPr>
          <w:trHeight w:val="142"/>
          <w:jc w:val="center"/>
        </w:trPr>
        <w:tc>
          <w:tcPr>
            <w:tcW w:w="1596" w:type="dxa"/>
            <w:shd w:val="clear" w:color="auto" w:fill="FFFFFF"/>
          </w:tcPr>
          <w:p w14:paraId="21BCB472" w14:textId="77777777" w:rsidR="00E07616" w:rsidRPr="0000175D" w:rsidRDefault="00E07616" w:rsidP="00DF3E14">
            <w:r w:rsidRPr="0000175D">
              <w:lastRenderedPageBreak/>
              <w:t>Niemierzalne</w:t>
            </w:r>
          </w:p>
        </w:tc>
        <w:tc>
          <w:tcPr>
            <w:tcW w:w="2293" w:type="dxa"/>
            <w:gridSpan w:val="6"/>
            <w:shd w:val="clear" w:color="auto" w:fill="FFFFFF"/>
          </w:tcPr>
          <w:p w14:paraId="5F6333E5" w14:textId="77777777" w:rsidR="00E07616" w:rsidRPr="0000175D" w:rsidRDefault="00E07616" w:rsidP="00DF3E14"/>
        </w:tc>
        <w:tc>
          <w:tcPr>
            <w:tcW w:w="7027" w:type="dxa"/>
            <w:gridSpan w:val="22"/>
            <w:shd w:val="clear" w:color="auto" w:fill="FFFFFF"/>
          </w:tcPr>
          <w:p w14:paraId="7BCABC68" w14:textId="77777777" w:rsidR="00E07616" w:rsidRPr="0000175D" w:rsidRDefault="00E07616" w:rsidP="005F3DA7">
            <w:r w:rsidRPr="0000175D">
              <w:t>Zmniejszające się zapotrzebowanie na skrzynki ESP i ESD platformy ePUAP. Tempo jest zależne od popytu na skrzynkę doręczeń i jej zdolności do zaspokojenia potrzeby przechowywania korespondencji podmiotu.</w:t>
            </w:r>
          </w:p>
        </w:tc>
      </w:tr>
      <w:tr w:rsidR="00E07616" w:rsidRPr="0000175D" w14:paraId="745C0F83" w14:textId="77777777" w:rsidTr="00DF3E14">
        <w:trPr>
          <w:trHeight w:val="1643"/>
          <w:jc w:val="center"/>
        </w:trPr>
        <w:tc>
          <w:tcPr>
            <w:tcW w:w="2243" w:type="dxa"/>
            <w:gridSpan w:val="3"/>
            <w:shd w:val="clear" w:color="auto" w:fill="FFFFFF"/>
          </w:tcPr>
          <w:p w14:paraId="5279173A" w14:textId="77777777" w:rsidR="00E07616" w:rsidRPr="0000175D" w:rsidRDefault="00E07616" w:rsidP="00DF3E14">
            <w:r w:rsidRPr="0000175D">
              <w:t xml:space="preserve">Dodatkowe informacje, w tym wskazanie źródeł danych i przyjętych do obliczeń założeń </w:t>
            </w:r>
          </w:p>
        </w:tc>
        <w:tc>
          <w:tcPr>
            <w:tcW w:w="8673" w:type="dxa"/>
            <w:gridSpan w:val="26"/>
            <w:shd w:val="clear" w:color="auto" w:fill="FFFFFF"/>
            <w:vAlign w:val="center"/>
          </w:tcPr>
          <w:p w14:paraId="0A7CE4A4" w14:textId="77777777" w:rsidR="00E07616" w:rsidRPr="0000175D" w:rsidRDefault="00E07616" w:rsidP="005F3DA7"/>
        </w:tc>
      </w:tr>
      <w:tr w:rsidR="00E07616" w:rsidRPr="0000175D" w14:paraId="51356DB4" w14:textId="77777777" w:rsidTr="00DF3E14">
        <w:trPr>
          <w:trHeight w:val="342"/>
          <w:jc w:val="center"/>
        </w:trPr>
        <w:tc>
          <w:tcPr>
            <w:tcW w:w="10916" w:type="dxa"/>
            <w:gridSpan w:val="29"/>
            <w:shd w:val="clear" w:color="auto" w:fill="99CCFF"/>
            <w:vAlign w:val="center"/>
          </w:tcPr>
          <w:p w14:paraId="0ACC0DAD" w14:textId="0D16130E" w:rsidR="00E07616" w:rsidRPr="000F0679" w:rsidRDefault="00E07616" w:rsidP="00DF3E14">
            <w:pPr>
              <w:rPr>
                <w:rStyle w:val="Ppogrubienie"/>
              </w:rPr>
            </w:pPr>
            <w:r w:rsidRPr="000F0679">
              <w:rPr>
                <w:rStyle w:val="Ppogrubienie"/>
              </w:rPr>
              <w:t>Zmiana obciążeń regulacyjnych (w tym obowiązków informacyjnych) wynikających z projektu</w:t>
            </w:r>
          </w:p>
        </w:tc>
      </w:tr>
      <w:tr w:rsidR="00E07616" w:rsidRPr="0000175D" w14:paraId="6A67784D" w14:textId="77777777" w:rsidTr="00DF3E14">
        <w:trPr>
          <w:trHeight w:val="151"/>
          <w:jc w:val="center"/>
        </w:trPr>
        <w:tc>
          <w:tcPr>
            <w:tcW w:w="10916" w:type="dxa"/>
            <w:gridSpan w:val="29"/>
            <w:shd w:val="clear" w:color="auto" w:fill="FFFFFF"/>
          </w:tcPr>
          <w:p w14:paraId="09BE73A7" w14:textId="77777777" w:rsidR="00E07616" w:rsidRPr="0000175D" w:rsidRDefault="00E07616" w:rsidP="00DF3E14">
            <w:r w:rsidRPr="0000175D">
              <w:fldChar w:fldCharType="begin">
                <w:ffData>
                  <w:name w:val=""/>
                  <w:enabled/>
                  <w:calcOnExit w:val="0"/>
                  <w:checkBox>
                    <w:sizeAuto/>
                    <w:default w:val="0"/>
                  </w:checkBox>
                </w:ffData>
              </w:fldChar>
            </w:r>
            <w:r w:rsidRPr="0000175D">
              <w:instrText xml:space="preserve"> FORMCHECKBOX </w:instrText>
            </w:r>
            <w:r w:rsidR="000A61D2">
              <w:fldChar w:fldCharType="separate"/>
            </w:r>
            <w:r w:rsidRPr="0000175D">
              <w:fldChar w:fldCharType="end"/>
            </w:r>
            <w:r w:rsidRPr="0000175D">
              <w:t xml:space="preserve"> nie dotyczy</w:t>
            </w:r>
          </w:p>
        </w:tc>
      </w:tr>
      <w:tr w:rsidR="00E07616" w:rsidRPr="0000175D" w14:paraId="2F08D960" w14:textId="77777777" w:rsidTr="00DF3E14">
        <w:trPr>
          <w:trHeight w:val="946"/>
          <w:jc w:val="center"/>
        </w:trPr>
        <w:tc>
          <w:tcPr>
            <w:tcW w:w="5111" w:type="dxa"/>
            <w:gridSpan w:val="12"/>
            <w:shd w:val="clear" w:color="auto" w:fill="FFFFFF"/>
          </w:tcPr>
          <w:p w14:paraId="1E7F0960" w14:textId="77777777" w:rsidR="00E07616" w:rsidRPr="0000175D" w:rsidRDefault="00E07616" w:rsidP="00DF3E14">
            <w:r w:rsidRPr="0000175D">
              <w:t>Wprowadzane są obciążenia poza bezwzględnie wymaganymi przez UE (szczegóły w odwróconej tabeli zgodności).</w:t>
            </w:r>
          </w:p>
        </w:tc>
        <w:tc>
          <w:tcPr>
            <w:tcW w:w="5805" w:type="dxa"/>
            <w:gridSpan w:val="17"/>
            <w:shd w:val="clear" w:color="auto" w:fill="FFFFFF"/>
          </w:tcPr>
          <w:p w14:paraId="0A9774D4" w14:textId="77777777" w:rsidR="00E07616" w:rsidRPr="0000175D" w:rsidRDefault="00E07616" w:rsidP="00DF3E14">
            <w:r w:rsidRPr="0000175D">
              <w:fldChar w:fldCharType="begin">
                <w:ffData>
                  <w:name w:val="Wybór1"/>
                  <w:enabled/>
                  <w:calcOnExit w:val="0"/>
                  <w:checkBox>
                    <w:sizeAuto/>
                    <w:default w:val="0"/>
                  </w:checkBox>
                </w:ffData>
              </w:fldChar>
            </w:r>
            <w:r w:rsidRPr="0000175D">
              <w:instrText xml:space="preserve"> FORMCHECKBOX </w:instrText>
            </w:r>
            <w:r w:rsidR="000A61D2">
              <w:fldChar w:fldCharType="separate"/>
            </w:r>
            <w:r w:rsidRPr="0000175D">
              <w:fldChar w:fldCharType="end"/>
            </w:r>
            <w:r w:rsidRPr="0000175D">
              <w:t xml:space="preserve"> tak</w:t>
            </w:r>
          </w:p>
          <w:p w14:paraId="6F69B165" w14:textId="77777777" w:rsidR="00E07616" w:rsidRPr="0000175D" w:rsidRDefault="00E07616" w:rsidP="00DF3E14">
            <w:r w:rsidRPr="0000175D">
              <w:fldChar w:fldCharType="begin">
                <w:ffData>
                  <w:name w:val="Wybór1"/>
                  <w:enabled/>
                  <w:calcOnExit w:val="0"/>
                  <w:checkBox>
                    <w:sizeAuto/>
                    <w:default w:val="0"/>
                  </w:checkBox>
                </w:ffData>
              </w:fldChar>
            </w:r>
            <w:r w:rsidRPr="0000175D">
              <w:instrText xml:space="preserve"> FORMCHECKBOX </w:instrText>
            </w:r>
            <w:r w:rsidR="000A61D2">
              <w:fldChar w:fldCharType="separate"/>
            </w:r>
            <w:r w:rsidRPr="0000175D">
              <w:fldChar w:fldCharType="end"/>
            </w:r>
            <w:r w:rsidRPr="0000175D">
              <w:t xml:space="preserve"> nie</w:t>
            </w:r>
          </w:p>
          <w:p w14:paraId="44C75B5D" w14:textId="77777777" w:rsidR="00E07616" w:rsidRPr="0000175D" w:rsidRDefault="00E07616" w:rsidP="00DF3E14">
            <w:r w:rsidRPr="0000175D">
              <w:fldChar w:fldCharType="begin">
                <w:ffData>
                  <w:name w:val=""/>
                  <w:enabled/>
                  <w:calcOnExit w:val="0"/>
                  <w:checkBox>
                    <w:sizeAuto/>
                    <w:default w:val="1"/>
                  </w:checkBox>
                </w:ffData>
              </w:fldChar>
            </w:r>
            <w:r w:rsidRPr="0000175D">
              <w:instrText xml:space="preserve"> FORMCHECKBOX </w:instrText>
            </w:r>
            <w:r w:rsidR="000A61D2">
              <w:fldChar w:fldCharType="separate"/>
            </w:r>
            <w:r w:rsidRPr="0000175D">
              <w:fldChar w:fldCharType="end"/>
            </w:r>
            <w:r w:rsidRPr="0000175D">
              <w:t xml:space="preserve"> nie dotyczy</w:t>
            </w:r>
          </w:p>
        </w:tc>
      </w:tr>
      <w:tr w:rsidR="00E07616" w:rsidRPr="0000175D" w14:paraId="234C5628" w14:textId="77777777" w:rsidTr="00DF3E14">
        <w:trPr>
          <w:trHeight w:val="1245"/>
          <w:jc w:val="center"/>
        </w:trPr>
        <w:tc>
          <w:tcPr>
            <w:tcW w:w="5111" w:type="dxa"/>
            <w:gridSpan w:val="12"/>
            <w:shd w:val="clear" w:color="auto" w:fill="FFFFFF"/>
          </w:tcPr>
          <w:p w14:paraId="01880282" w14:textId="77777777" w:rsidR="00E07616" w:rsidRPr="0000175D" w:rsidRDefault="00E07616" w:rsidP="00DF3E14">
            <w:r w:rsidRPr="0000175D">
              <w:fldChar w:fldCharType="begin">
                <w:ffData>
                  <w:name w:val=""/>
                  <w:enabled/>
                  <w:calcOnExit w:val="0"/>
                  <w:checkBox>
                    <w:sizeAuto/>
                    <w:default w:val="0"/>
                  </w:checkBox>
                </w:ffData>
              </w:fldChar>
            </w:r>
            <w:r w:rsidRPr="0000175D">
              <w:instrText xml:space="preserve"> FORMCHECKBOX </w:instrText>
            </w:r>
            <w:r w:rsidR="000A61D2">
              <w:fldChar w:fldCharType="separate"/>
            </w:r>
            <w:r w:rsidRPr="0000175D">
              <w:fldChar w:fldCharType="end"/>
            </w:r>
            <w:r w:rsidRPr="0000175D">
              <w:t xml:space="preserve"> zmniejszenie liczby dokumentów </w:t>
            </w:r>
          </w:p>
          <w:p w14:paraId="59D4E567" w14:textId="77777777" w:rsidR="00E07616" w:rsidRPr="0000175D" w:rsidRDefault="00E07616" w:rsidP="00DF3E14">
            <w:r w:rsidRPr="0000175D">
              <w:fldChar w:fldCharType="begin">
                <w:ffData>
                  <w:name w:val=""/>
                  <w:enabled/>
                  <w:calcOnExit w:val="0"/>
                  <w:checkBox>
                    <w:sizeAuto/>
                    <w:default w:val="0"/>
                  </w:checkBox>
                </w:ffData>
              </w:fldChar>
            </w:r>
            <w:r w:rsidRPr="0000175D">
              <w:instrText xml:space="preserve"> FORMCHECKBOX </w:instrText>
            </w:r>
            <w:r w:rsidR="000A61D2">
              <w:fldChar w:fldCharType="separate"/>
            </w:r>
            <w:r w:rsidRPr="0000175D">
              <w:fldChar w:fldCharType="end"/>
            </w:r>
            <w:r w:rsidRPr="0000175D">
              <w:t xml:space="preserve"> zmniejszenie liczby procedur</w:t>
            </w:r>
          </w:p>
          <w:p w14:paraId="577198C1" w14:textId="77777777" w:rsidR="00E07616" w:rsidRPr="0000175D" w:rsidRDefault="00E07616" w:rsidP="00DF3E14">
            <w:r w:rsidRPr="0000175D">
              <w:fldChar w:fldCharType="begin">
                <w:ffData>
                  <w:name w:val=""/>
                  <w:enabled/>
                  <w:calcOnExit w:val="0"/>
                  <w:checkBox>
                    <w:sizeAuto/>
                    <w:default w:val="0"/>
                  </w:checkBox>
                </w:ffData>
              </w:fldChar>
            </w:r>
            <w:r w:rsidRPr="0000175D">
              <w:instrText xml:space="preserve"> FORMCHECKBOX </w:instrText>
            </w:r>
            <w:r w:rsidR="000A61D2">
              <w:fldChar w:fldCharType="separate"/>
            </w:r>
            <w:r w:rsidRPr="0000175D">
              <w:fldChar w:fldCharType="end"/>
            </w:r>
            <w:r w:rsidRPr="0000175D">
              <w:t xml:space="preserve"> skrócenie czasu na załatwienie sprawy</w:t>
            </w:r>
          </w:p>
          <w:p w14:paraId="3BFDFE7A" w14:textId="77777777" w:rsidR="00E07616" w:rsidRPr="0000175D" w:rsidRDefault="00E07616" w:rsidP="00DF3E14">
            <w:r w:rsidRPr="0000175D">
              <w:fldChar w:fldCharType="begin">
                <w:ffData>
                  <w:name w:val=""/>
                  <w:enabled/>
                  <w:calcOnExit w:val="0"/>
                  <w:checkBox>
                    <w:sizeAuto/>
                    <w:default w:val="0"/>
                  </w:checkBox>
                </w:ffData>
              </w:fldChar>
            </w:r>
            <w:r w:rsidRPr="0000175D">
              <w:instrText xml:space="preserve"> FORMCHECKBOX </w:instrText>
            </w:r>
            <w:r w:rsidR="000A61D2">
              <w:fldChar w:fldCharType="separate"/>
            </w:r>
            <w:r w:rsidRPr="0000175D">
              <w:fldChar w:fldCharType="end"/>
            </w:r>
            <w:r w:rsidRPr="0000175D">
              <w:t xml:space="preserve"> inne: </w:t>
            </w:r>
          </w:p>
        </w:tc>
        <w:tc>
          <w:tcPr>
            <w:tcW w:w="5805" w:type="dxa"/>
            <w:gridSpan w:val="17"/>
            <w:shd w:val="clear" w:color="auto" w:fill="FFFFFF"/>
          </w:tcPr>
          <w:p w14:paraId="1A186A69" w14:textId="77777777" w:rsidR="00E07616" w:rsidRPr="0000175D" w:rsidRDefault="00E07616" w:rsidP="00DF3E14">
            <w:r w:rsidRPr="0000175D">
              <w:fldChar w:fldCharType="begin">
                <w:ffData>
                  <w:name w:val="Wybór1"/>
                  <w:enabled/>
                  <w:calcOnExit w:val="0"/>
                  <w:checkBox>
                    <w:sizeAuto/>
                    <w:default w:val="0"/>
                  </w:checkBox>
                </w:ffData>
              </w:fldChar>
            </w:r>
            <w:r w:rsidRPr="0000175D">
              <w:instrText xml:space="preserve"> FORMCHECKBOX </w:instrText>
            </w:r>
            <w:r w:rsidR="000A61D2">
              <w:fldChar w:fldCharType="separate"/>
            </w:r>
            <w:r w:rsidRPr="0000175D">
              <w:fldChar w:fldCharType="end"/>
            </w:r>
            <w:r w:rsidRPr="0000175D">
              <w:t xml:space="preserve"> zwiększenie liczby dokumentów</w:t>
            </w:r>
          </w:p>
          <w:p w14:paraId="35B6FAB0" w14:textId="77777777" w:rsidR="00E07616" w:rsidRPr="0000175D" w:rsidRDefault="00E07616" w:rsidP="00DF3E14">
            <w:r w:rsidRPr="0000175D">
              <w:fldChar w:fldCharType="begin">
                <w:ffData>
                  <w:name w:val="Wybór1"/>
                  <w:enabled/>
                  <w:calcOnExit w:val="0"/>
                  <w:checkBox>
                    <w:sizeAuto/>
                    <w:default w:val="0"/>
                  </w:checkBox>
                </w:ffData>
              </w:fldChar>
            </w:r>
            <w:r w:rsidRPr="0000175D">
              <w:instrText xml:space="preserve"> FORMCHECKBOX </w:instrText>
            </w:r>
            <w:r w:rsidR="000A61D2">
              <w:fldChar w:fldCharType="separate"/>
            </w:r>
            <w:r w:rsidRPr="0000175D">
              <w:fldChar w:fldCharType="end"/>
            </w:r>
            <w:r w:rsidRPr="0000175D">
              <w:t xml:space="preserve"> zwiększenie liczby procedur</w:t>
            </w:r>
          </w:p>
          <w:p w14:paraId="47BC02C9" w14:textId="77777777" w:rsidR="00E07616" w:rsidRPr="0000175D" w:rsidRDefault="00E07616" w:rsidP="00DF3E14">
            <w:r w:rsidRPr="0000175D">
              <w:fldChar w:fldCharType="begin">
                <w:ffData>
                  <w:name w:val="Wybór1"/>
                  <w:enabled/>
                  <w:calcOnExit w:val="0"/>
                  <w:checkBox>
                    <w:sizeAuto/>
                    <w:default w:val="0"/>
                  </w:checkBox>
                </w:ffData>
              </w:fldChar>
            </w:r>
            <w:r w:rsidRPr="0000175D">
              <w:instrText xml:space="preserve"> FORMCHECKBOX </w:instrText>
            </w:r>
            <w:r w:rsidR="000A61D2">
              <w:fldChar w:fldCharType="separate"/>
            </w:r>
            <w:r w:rsidRPr="0000175D">
              <w:fldChar w:fldCharType="end"/>
            </w:r>
            <w:r w:rsidRPr="0000175D">
              <w:t xml:space="preserve"> wydłużenie czasu na załatwienie sprawy</w:t>
            </w:r>
          </w:p>
          <w:p w14:paraId="12C3B27D" w14:textId="77777777" w:rsidR="00E07616" w:rsidRPr="0000175D" w:rsidRDefault="00E07616" w:rsidP="00DF3E14">
            <w:r w:rsidRPr="0000175D">
              <w:fldChar w:fldCharType="begin">
                <w:ffData>
                  <w:name w:val="Wybór1"/>
                  <w:enabled/>
                  <w:calcOnExit w:val="0"/>
                  <w:checkBox>
                    <w:sizeAuto/>
                    <w:default w:val="0"/>
                  </w:checkBox>
                </w:ffData>
              </w:fldChar>
            </w:r>
            <w:r w:rsidRPr="0000175D">
              <w:instrText xml:space="preserve"> FORMCHECKBOX </w:instrText>
            </w:r>
            <w:r w:rsidR="000A61D2">
              <w:fldChar w:fldCharType="separate"/>
            </w:r>
            <w:r w:rsidRPr="0000175D">
              <w:fldChar w:fldCharType="end"/>
            </w:r>
            <w:r w:rsidRPr="0000175D">
              <w:t xml:space="preserve"> inne: </w:t>
            </w:r>
            <w:r w:rsidRPr="0000175D">
              <w:fldChar w:fldCharType="begin">
                <w:ffData>
                  <w:name w:val=""/>
                  <w:enabled/>
                  <w:calcOnExit w:val="0"/>
                  <w:helpText w:type="text" w:val="W przypadku wyboru Upoważnienie ustawowe, Strategia lub Inne wpisz dokładnie źródła tj. jaka ustawa, tytuł strategii i jaki inny dokument"/>
                  <w:statusText w:type="text" w:val="W przypadku wyboru Upoważnienie ustawowe, Strategia lub Inne wpisz dokładnie źródła tj. jaka ustawa, tytuł strategii i jaki inny dokument"/>
                  <w:textInput/>
                </w:ffData>
              </w:fldChar>
            </w:r>
            <w:r w:rsidRPr="0000175D">
              <w:instrText xml:space="preserve"> FORMTEXT </w:instrText>
            </w:r>
            <w:r w:rsidRPr="0000175D">
              <w:fldChar w:fldCharType="separate"/>
            </w:r>
            <w:r w:rsidRPr="0000175D">
              <w:t> </w:t>
            </w:r>
            <w:r w:rsidRPr="0000175D">
              <w:t> </w:t>
            </w:r>
            <w:r w:rsidRPr="0000175D">
              <w:t> </w:t>
            </w:r>
            <w:r w:rsidRPr="0000175D">
              <w:t> </w:t>
            </w:r>
            <w:r w:rsidRPr="0000175D">
              <w:t> </w:t>
            </w:r>
            <w:r w:rsidRPr="0000175D">
              <w:fldChar w:fldCharType="end"/>
            </w:r>
          </w:p>
          <w:p w14:paraId="78A3143D" w14:textId="77777777" w:rsidR="00E07616" w:rsidRPr="0000175D" w:rsidRDefault="00E07616" w:rsidP="00DF3E14"/>
        </w:tc>
      </w:tr>
      <w:tr w:rsidR="00E07616" w:rsidRPr="0000175D" w14:paraId="20FCAD8F" w14:textId="77777777" w:rsidTr="00DF3E14">
        <w:trPr>
          <w:trHeight w:val="870"/>
          <w:jc w:val="center"/>
        </w:trPr>
        <w:tc>
          <w:tcPr>
            <w:tcW w:w="5111" w:type="dxa"/>
            <w:gridSpan w:val="12"/>
            <w:shd w:val="clear" w:color="auto" w:fill="FFFFFF"/>
          </w:tcPr>
          <w:p w14:paraId="429208E2" w14:textId="77777777" w:rsidR="00E07616" w:rsidRPr="0000175D" w:rsidRDefault="00E07616" w:rsidP="00DF3E14">
            <w:r w:rsidRPr="0000175D">
              <w:t xml:space="preserve">Wprowadzane obciążenia są przystosowane do ich elektronizacji. </w:t>
            </w:r>
          </w:p>
        </w:tc>
        <w:tc>
          <w:tcPr>
            <w:tcW w:w="5805" w:type="dxa"/>
            <w:gridSpan w:val="17"/>
            <w:shd w:val="clear" w:color="auto" w:fill="FFFFFF"/>
          </w:tcPr>
          <w:p w14:paraId="776BA376" w14:textId="77777777" w:rsidR="00E07616" w:rsidRPr="0000175D" w:rsidRDefault="00E07616" w:rsidP="00DF3E14">
            <w:r w:rsidRPr="0000175D">
              <w:fldChar w:fldCharType="begin">
                <w:ffData>
                  <w:name w:val=""/>
                  <w:enabled/>
                  <w:calcOnExit w:val="0"/>
                  <w:checkBox>
                    <w:sizeAuto/>
                    <w:default w:val="1"/>
                  </w:checkBox>
                </w:ffData>
              </w:fldChar>
            </w:r>
            <w:r w:rsidRPr="0000175D">
              <w:instrText xml:space="preserve"> FORMCHECKBOX </w:instrText>
            </w:r>
            <w:r w:rsidR="000A61D2">
              <w:fldChar w:fldCharType="separate"/>
            </w:r>
            <w:r w:rsidRPr="0000175D">
              <w:fldChar w:fldCharType="end"/>
            </w:r>
            <w:r w:rsidRPr="0000175D">
              <w:t xml:space="preserve"> tak</w:t>
            </w:r>
          </w:p>
          <w:p w14:paraId="776ACC24" w14:textId="77777777" w:rsidR="00E07616" w:rsidRPr="0000175D" w:rsidRDefault="00E07616" w:rsidP="00DF3E14">
            <w:r w:rsidRPr="0000175D">
              <w:fldChar w:fldCharType="begin">
                <w:ffData>
                  <w:name w:val="Wybór1"/>
                  <w:enabled/>
                  <w:calcOnExit w:val="0"/>
                  <w:checkBox>
                    <w:sizeAuto/>
                    <w:default w:val="0"/>
                  </w:checkBox>
                </w:ffData>
              </w:fldChar>
            </w:r>
            <w:r w:rsidRPr="0000175D">
              <w:instrText xml:space="preserve"> FORMCHECKBOX </w:instrText>
            </w:r>
            <w:r w:rsidR="000A61D2">
              <w:fldChar w:fldCharType="separate"/>
            </w:r>
            <w:r w:rsidRPr="0000175D">
              <w:fldChar w:fldCharType="end"/>
            </w:r>
            <w:r w:rsidRPr="0000175D">
              <w:t xml:space="preserve"> nie</w:t>
            </w:r>
          </w:p>
          <w:p w14:paraId="57267F08" w14:textId="77777777" w:rsidR="00E07616" w:rsidRPr="0000175D" w:rsidRDefault="00E07616" w:rsidP="00DF3E14">
            <w:r w:rsidRPr="0000175D">
              <w:fldChar w:fldCharType="begin">
                <w:ffData>
                  <w:name w:val=""/>
                  <w:enabled/>
                  <w:calcOnExit w:val="0"/>
                  <w:checkBox>
                    <w:sizeAuto/>
                    <w:default w:val="0"/>
                  </w:checkBox>
                </w:ffData>
              </w:fldChar>
            </w:r>
            <w:r w:rsidRPr="0000175D">
              <w:instrText xml:space="preserve"> FORMCHECKBOX </w:instrText>
            </w:r>
            <w:r w:rsidR="000A61D2">
              <w:fldChar w:fldCharType="separate"/>
            </w:r>
            <w:r w:rsidRPr="0000175D">
              <w:fldChar w:fldCharType="end"/>
            </w:r>
            <w:r w:rsidRPr="0000175D">
              <w:t xml:space="preserve"> nie dotyczy</w:t>
            </w:r>
          </w:p>
          <w:p w14:paraId="7AE43CC8" w14:textId="77777777" w:rsidR="00E07616" w:rsidRPr="0000175D" w:rsidRDefault="00E07616" w:rsidP="00DF3E14"/>
        </w:tc>
      </w:tr>
      <w:tr w:rsidR="00E07616" w:rsidRPr="0000175D" w14:paraId="0E3AE59E" w14:textId="77777777" w:rsidTr="00DF3E14">
        <w:trPr>
          <w:trHeight w:val="630"/>
          <w:jc w:val="center"/>
        </w:trPr>
        <w:tc>
          <w:tcPr>
            <w:tcW w:w="10916" w:type="dxa"/>
            <w:gridSpan w:val="29"/>
            <w:shd w:val="clear" w:color="auto" w:fill="FFFFFF"/>
          </w:tcPr>
          <w:p w14:paraId="189B05D1" w14:textId="77777777" w:rsidR="00E07616" w:rsidRPr="000F0679" w:rsidRDefault="00E07616" w:rsidP="00DF3E14">
            <w:r w:rsidRPr="000F0679">
              <w:t>Komentarz: Projektowane rozporządzenie nie będzie miało bezpośrednio wpływu na powyższe zagadnienia. Wyznaczenie gwarantowanej dostępności i pojemności skrzynek doręczeń stanowi doprecyzowanie ustawowej zasady zagwarantowania określonej przepisami rozporządzenia dostępności i pojemności skrzynek. Wprowadzane regulacje wpływają pośrednio na realizację celu wprowadzenia elektronizacji doręczeń.</w:t>
            </w:r>
          </w:p>
        </w:tc>
      </w:tr>
      <w:tr w:rsidR="00E07616" w:rsidRPr="0000175D" w14:paraId="5DFFE68C" w14:textId="77777777" w:rsidTr="00DF3E14">
        <w:trPr>
          <w:trHeight w:val="142"/>
          <w:jc w:val="center"/>
        </w:trPr>
        <w:tc>
          <w:tcPr>
            <w:tcW w:w="10916" w:type="dxa"/>
            <w:gridSpan w:val="29"/>
            <w:shd w:val="clear" w:color="auto" w:fill="99CCFF"/>
          </w:tcPr>
          <w:p w14:paraId="048784D7" w14:textId="77777777" w:rsidR="00E07616" w:rsidRPr="000F0679" w:rsidRDefault="00E07616" w:rsidP="00DF3E14">
            <w:pPr>
              <w:rPr>
                <w:rStyle w:val="Ppogrubienie"/>
              </w:rPr>
            </w:pPr>
            <w:r w:rsidRPr="000F0679">
              <w:rPr>
                <w:rStyle w:val="Ppogrubienie"/>
              </w:rPr>
              <w:t xml:space="preserve">Wpływ na rynek pracy </w:t>
            </w:r>
          </w:p>
        </w:tc>
      </w:tr>
      <w:tr w:rsidR="00E07616" w:rsidRPr="0000175D" w14:paraId="548B91B1" w14:textId="77777777" w:rsidTr="00DF3E14">
        <w:trPr>
          <w:trHeight w:val="142"/>
          <w:jc w:val="center"/>
        </w:trPr>
        <w:tc>
          <w:tcPr>
            <w:tcW w:w="10916" w:type="dxa"/>
            <w:gridSpan w:val="29"/>
            <w:shd w:val="clear" w:color="auto" w:fill="auto"/>
          </w:tcPr>
          <w:p w14:paraId="3D3C7CC6" w14:textId="36FDC03B" w:rsidR="00E07616" w:rsidRPr="000F0679" w:rsidRDefault="00E07616" w:rsidP="005F3DA7">
            <w:r w:rsidRPr="000F0679">
              <w:t>Niniejsze rozporządzenie gwarantujące określoną dostępność i pojemność skrzynek doręczeń nie będzie miało wpływu na rynek pracy. Szczegóły dot</w:t>
            </w:r>
            <w:r w:rsidR="002F0DB3">
              <w:t>yczące</w:t>
            </w:r>
            <w:r w:rsidRPr="000F0679">
              <w:t xml:space="preserve"> wpływu całości projektu e-Doręczeń na rynek pracy zostały opisane w ramach dokumentu OSR ustawy z dn</w:t>
            </w:r>
            <w:r w:rsidR="005F3DA7">
              <w:t>ia</w:t>
            </w:r>
            <w:r w:rsidRPr="000F0679">
              <w:t xml:space="preserve"> 18 listopada 2020 r. o doręczeniach elektronicznych. </w:t>
            </w:r>
          </w:p>
        </w:tc>
      </w:tr>
      <w:tr w:rsidR="00E07616" w:rsidRPr="0000175D" w14:paraId="6EBD07A8" w14:textId="77777777" w:rsidTr="00DF3E14">
        <w:trPr>
          <w:trHeight w:val="142"/>
          <w:jc w:val="center"/>
        </w:trPr>
        <w:tc>
          <w:tcPr>
            <w:tcW w:w="10916" w:type="dxa"/>
            <w:gridSpan w:val="29"/>
            <w:shd w:val="clear" w:color="auto" w:fill="99CCFF"/>
          </w:tcPr>
          <w:p w14:paraId="0961245F" w14:textId="77777777" w:rsidR="00E07616" w:rsidRPr="000F0679" w:rsidRDefault="00E07616" w:rsidP="00DF3E14">
            <w:pPr>
              <w:rPr>
                <w:rStyle w:val="Ppogrubienie"/>
              </w:rPr>
            </w:pPr>
            <w:r w:rsidRPr="000F0679">
              <w:rPr>
                <w:rStyle w:val="Ppogrubienie"/>
              </w:rPr>
              <w:t>Wpływ na pozostałe obszary</w:t>
            </w:r>
          </w:p>
        </w:tc>
      </w:tr>
      <w:tr w:rsidR="00E07616" w:rsidRPr="0000175D" w14:paraId="6E062C3F" w14:textId="77777777" w:rsidTr="00DF3E14">
        <w:trPr>
          <w:trHeight w:val="1031"/>
          <w:jc w:val="center"/>
        </w:trPr>
        <w:tc>
          <w:tcPr>
            <w:tcW w:w="3547" w:type="dxa"/>
            <w:gridSpan w:val="5"/>
            <w:shd w:val="clear" w:color="auto" w:fill="FFFFFF"/>
          </w:tcPr>
          <w:p w14:paraId="64DBAC3E" w14:textId="77777777" w:rsidR="00E07616" w:rsidRPr="0000175D" w:rsidRDefault="00E07616" w:rsidP="00DF3E14"/>
          <w:p w14:paraId="5A6BBC3C" w14:textId="77777777" w:rsidR="00E07616" w:rsidRPr="0000175D" w:rsidRDefault="00E07616" w:rsidP="00DF3E14">
            <w:r w:rsidRPr="0000175D">
              <w:fldChar w:fldCharType="begin">
                <w:ffData>
                  <w:name w:val="Wybór1"/>
                  <w:enabled/>
                  <w:calcOnExit w:val="0"/>
                  <w:checkBox>
                    <w:sizeAuto/>
                    <w:default w:val="0"/>
                  </w:checkBox>
                </w:ffData>
              </w:fldChar>
            </w:r>
            <w:r w:rsidRPr="0000175D">
              <w:instrText xml:space="preserve"> FORMCHECKBOX </w:instrText>
            </w:r>
            <w:r w:rsidR="000A61D2">
              <w:fldChar w:fldCharType="separate"/>
            </w:r>
            <w:r w:rsidRPr="0000175D">
              <w:fldChar w:fldCharType="end"/>
            </w:r>
            <w:r w:rsidRPr="0000175D">
              <w:t xml:space="preserve"> środowisko naturalne</w:t>
            </w:r>
          </w:p>
          <w:p w14:paraId="72213158" w14:textId="77777777" w:rsidR="00E07616" w:rsidRPr="0000175D" w:rsidRDefault="00E07616" w:rsidP="00DF3E14">
            <w:r w:rsidRPr="0000175D">
              <w:fldChar w:fldCharType="begin">
                <w:ffData>
                  <w:name w:val=""/>
                  <w:enabled/>
                  <w:calcOnExit w:val="0"/>
                  <w:checkBox>
                    <w:sizeAuto/>
                    <w:default w:val="0"/>
                  </w:checkBox>
                </w:ffData>
              </w:fldChar>
            </w:r>
            <w:r w:rsidRPr="0000175D">
              <w:instrText xml:space="preserve"> FORMCHECKBOX </w:instrText>
            </w:r>
            <w:r w:rsidR="000A61D2">
              <w:fldChar w:fldCharType="separate"/>
            </w:r>
            <w:r w:rsidRPr="0000175D">
              <w:fldChar w:fldCharType="end"/>
            </w:r>
            <w:r w:rsidRPr="0000175D">
              <w:t xml:space="preserve"> sytuacja i rozwój regionalny</w:t>
            </w:r>
          </w:p>
          <w:p w14:paraId="7E6EFE37" w14:textId="77777777" w:rsidR="00E07616" w:rsidRPr="0000175D" w:rsidRDefault="00E07616" w:rsidP="00DF3E14">
            <w:r w:rsidRPr="0000175D">
              <w:fldChar w:fldCharType="begin">
                <w:ffData>
                  <w:name w:val=""/>
                  <w:enabled/>
                  <w:calcOnExit w:val="0"/>
                  <w:checkBox>
                    <w:sizeAuto/>
                    <w:default w:val="0"/>
                  </w:checkBox>
                </w:ffData>
              </w:fldChar>
            </w:r>
            <w:r w:rsidRPr="0000175D">
              <w:instrText xml:space="preserve"> FORMCHECKBOX </w:instrText>
            </w:r>
            <w:r w:rsidR="000A61D2">
              <w:fldChar w:fldCharType="separate"/>
            </w:r>
            <w:r w:rsidRPr="0000175D">
              <w:fldChar w:fldCharType="end"/>
            </w:r>
            <w:r w:rsidRPr="0000175D">
              <w:t xml:space="preserve"> inne: </w:t>
            </w:r>
          </w:p>
        </w:tc>
        <w:tc>
          <w:tcPr>
            <w:tcW w:w="3687" w:type="dxa"/>
            <w:gridSpan w:val="16"/>
            <w:shd w:val="clear" w:color="auto" w:fill="FFFFFF"/>
          </w:tcPr>
          <w:p w14:paraId="031B90ED" w14:textId="77777777" w:rsidR="00E07616" w:rsidRPr="0000175D" w:rsidRDefault="00E07616" w:rsidP="00DF3E14"/>
          <w:p w14:paraId="53937AD6" w14:textId="77777777" w:rsidR="00E07616" w:rsidRPr="0000175D" w:rsidRDefault="00E07616" w:rsidP="00DF3E14">
            <w:r w:rsidRPr="0000175D">
              <w:fldChar w:fldCharType="begin">
                <w:ffData>
                  <w:name w:val="Wybór1"/>
                  <w:enabled/>
                  <w:calcOnExit w:val="0"/>
                  <w:checkBox>
                    <w:sizeAuto/>
                    <w:default w:val="0"/>
                  </w:checkBox>
                </w:ffData>
              </w:fldChar>
            </w:r>
            <w:r w:rsidRPr="0000175D">
              <w:instrText xml:space="preserve"> FORMCHECKBOX </w:instrText>
            </w:r>
            <w:r w:rsidR="000A61D2">
              <w:fldChar w:fldCharType="separate"/>
            </w:r>
            <w:r w:rsidRPr="0000175D">
              <w:fldChar w:fldCharType="end"/>
            </w:r>
            <w:r w:rsidRPr="0000175D">
              <w:t xml:space="preserve"> demografia</w:t>
            </w:r>
          </w:p>
          <w:p w14:paraId="5BDC3A10" w14:textId="77777777" w:rsidR="00E07616" w:rsidRPr="0000175D" w:rsidRDefault="00E07616" w:rsidP="00DF3E14">
            <w:r w:rsidRPr="0000175D">
              <w:fldChar w:fldCharType="begin">
                <w:ffData>
                  <w:name w:val=""/>
                  <w:enabled/>
                  <w:calcOnExit w:val="0"/>
                  <w:checkBox>
                    <w:sizeAuto/>
                    <w:default w:val="0"/>
                  </w:checkBox>
                </w:ffData>
              </w:fldChar>
            </w:r>
            <w:r w:rsidRPr="0000175D">
              <w:instrText xml:space="preserve"> FORMCHECKBOX </w:instrText>
            </w:r>
            <w:r w:rsidR="000A61D2">
              <w:fldChar w:fldCharType="separate"/>
            </w:r>
            <w:r w:rsidRPr="0000175D">
              <w:fldChar w:fldCharType="end"/>
            </w:r>
            <w:r w:rsidRPr="0000175D">
              <w:t xml:space="preserve"> mienie państwowe</w:t>
            </w:r>
          </w:p>
        </w:tc>
        <w:tc>
          <w:tcPr>
            <w:tcW w:w="3682" w:type="dxa"/>
            <w:gridSpan w:val="8"/>
            <w:shd w:val="clear" w:color="auto" w:fill="FFFFFF"/>
          </w:tcPr>
          <w:p w14:paraId="2AAC4BE2" w14:textId="77777777" w:rsidR="00E07616" w:rsidRPr="0000175D" w:rsidRDefault="00E07616" w:rsidP="00DF3E14"/>
          <w:p w14:paraId="2EE7EF4D" w14:textId="77777777" w:rsidR="00E07616" w:rsidRPr="0000175D" w:rsidRDefault="00E07616" w:rsidP="00DF3E14">
            <w:r w:rsidRPr="0000175D">
              <w:fldChar w:fldCharType="begin">
                <w:ffData>
                  <w:name w:val=""/>
                  <w:enabled/>
                  <w:calcOnExit w:val="0"/>
                  <w:checkBox>
                    <w:sizeAuto/>
                    <w:default w:val="1"/>
                  </w:checkBox>
                </w:ffData>
              </w:fldChar>
            </w:r>
            <w:r w:rsidRPr="0000175D">
              <w:instrText xml:space="preserve"> FORMCHECKBOX </w:instrText>
            </w:r>
            <w:r w:rsidR="000A61D2">
              <w:fldChar w:fldCharType="separate"/>
            </w:r>
            <w:r w:rsidRPr="0000175D">
              <w:fldChar w:fldCharType="end"/>
            </w:r>
            <w:r w:rsidRPr="0000175D">
              <w:t xml:space="preserve"> informatyzacja</w:t>
            </w:r>
          </w:p>
          <w:p w14:paraId="12D41A6B" w14:textId="77777777" w:rsidR="00E07616" w:rsidRPr="0000175D" w:rsidRDefault="00E07616" w:rsidP="00DF3E14">
            <w:r w:rsidRPr="0000175D">
              <w:fldChar w:fldCharType="begin">
                <w:ffData>
                  <w:name w:val="Wybór1"/>
                  <w:enabled/>
                  <w:calcOnExit w:val="0"/>
                  <w:checkBox>
                    <w:sizeAuto/>
                    <w:default w:val="0"/>
                  </w:checkBox>
                </w:ffData>
              </w:fldChar>
            </w:r>
            <w:r w:rsidRPr="0000175D">
              <w:instrText xml:space="preserve"> FORMCHECKBOX </w:instrText>
            </w:r>
            <w:r w:rsidR="000A61D2">
              <w:fldChar w:fldCharType="separate"/>
            </w:r>
            <w:r w:rsidRPr="0000175D">
              <w:fldChar w:fldCharType="end"/>
            </w:r>
            <w:r w:rsidRPr="0000175D">
              <w:t xml:space="preserve"> zdrowie</w:t>
            </w:r>
          </w:p>
        </w:tc>
      </w:tr>
      <w:tr w:rsidR="00E07616" w:rsidRPr="0000175D" w14:paraId="5389A57A" w14:textId="77777777" w:rsidTr="00DF3E14">
        <w:trPr>
          <w:trHeight w:val="712"/>
          <w:jc w:val="center"/>
        </w:trPr>
        <w:tc>
          <w:tcPr>
            <w:tcW w:w="2243" w:type="dxa"/>
            <w:gridSpan w:val="3"/>
            <w:shd w:val="clear" w:color="auto" w:fill="FFFFFF"/>
            <w:vAlign w:val="center"/>
          </w:tcPr>
          <w:p w14:paraId="7DDC619F" w14:textId="77777777" w:rsidR="00E07616" w:rsidRPr="0000175D" w:rsidRDefault="00E07616" w:rsidP="00DF3E14">
            <w:r w:rsidRPr="0000175D">
              <w:t>Omówienie wpływu</w:t>
            </w:r>
          </w:p>
        </w:tc>
        <w:tc>
          <w:tcPr>
            <w:tcW w:w="8673" w:type="dxa"/>
            <w:gridSpan w:val="26"/>
            <w:shd w:val="clear" w:color="auto" w:fill="FFFFFF"/>
            <w:vAlign w:val="center"/>
          </w:tcPr>
          <w:p w14:paraId="0A9A10F8" w14:textId="77777777" w:rsidR="00E07616" w:rsidRPr="000F0679" w:rsidRDefault="00E07616" w:rsidP="00DF3E14">
            <w:r w:rsidRPr="000F0679">
              <w:t>Możliwość czasowego składowania na skrzynce doręczeń wolumenu korespondencji w ilości odpowiadającej gwarantowanej pojemności określonej niniejszym rozporządzeniem oraz możliwość jej archiwizowania w postaci elektronicznej skutkować będzie zmniejszeniem zużycia papieru oraz prawdopodobnie zwiększy popyt na usługi przechowywania danych w postaci elektronicznej i na usługi zaufania polegające na weryfikacji integralności treści dokumentu elektronicznego lub autentyczności podpisu.</w:t>
            </w:r>
          </w:p>
        </w:tc>
      </w:tr>
      <w:tr w:rsidR="00E07616" w:rsidRPr="0000175D" w14:paraId="664BF250" w14:textId="77777777" w:rsidTr="00DF3E14">
        <w:trPr>
          <w:trHeight w:val="142"/>
          <w:jc w:val="center"/>
        </w:trPr>
        <w:tc>
          <w:tcPr>
            <w:tcW w:w="10916" w:type="dxa"/>
            <w:gridSpan w:val="29"/>
            <w:shd w:val="clear" w:color="auto" w:fill="99CCFF"/>
          </w:tcPr>
          <w:p w14:paraId="629E19AD" w14:textId="77777777" w:rsidR="00E07616" w:rsidRPr="000F0679" w:rsidRDefault="00E07616" w:rsidP="00DF3E14">
            <w:pPr>
              <w:rPr>
                <w:rStyle w:val="Ppogrubienie"/>
              </w:rPr>
            </w:pPr>
            <w:r w:rsidRPr="000F0679">
              <w:rPr>
                <w:rStyle w:val="Ppogrubienie"/>
              </w:rPr>
              <w:t>Planowane wykonanie przepisów aktu prawnego</w:t>
            </w:r>
          </w:p>
        </w:tc>
      </w:tr>
      <w:tr w:rsidR="00E07616" w:rsidRPr="0000175D" w14:paraId="4F60A346" w14:textId="77777777" w:rsidTr="00DF3E14">
        <w:trPr>
          <w:trHeight w:val="142"/>
          <w:jc w:val="center"/>
        </w:trPr>
        <w:tc>
          <w:tcPr>
            <w:tcW w:w="10916" w:type="dxa"/>
            <w:gridSpan w:val="29"/>
            <w:shd w:val="clear" w:color="auto" w:fill="FFFFFF"/>
          </w:tcPr>
          <w:p w14:paraId="17F5E50B" w14:textId="57060843" w:rsidR="00E07616" w:rsidRPr="0000175D" w:rsidRDefault="00E07616" w:rsidP="00D94612">
            <w:r w:rsidRPr="0000175D">
              <w:t xml:space="preserve">Rozporządzenie </w:t>
            </w:r>
            <w:r w:rsidR="005F3DA7" w:rsidRPr="00E07616">
              <w:t xml:space="preserve">wchodzi w życie z dniem </w:t>
            </w:r>
            <w:r w:rsidR="005F3DA7" w:rsidRPr="005F3DA7">
              <w:t>następującym po dniu ogłoszenia.</w:t>
            </w:r>
          </w:p>
        </w:tc>
      </w:tr>
      <w:tr w:rsidR="00E07616" w:rsidRPr="0000175D" w14:paraId="312E84B0" w14:textId="77777777" w:rsidTr="00DF3E14">
        <w:trPr>
          <w:trHeight w:val="142"/>
          <w:jc w:val="center"/>
        </w:trPr>
        <w:tc>
          <w:tcPr>
            <w:tcW w:w="10916" w:type="dxa"/>
            <w:gridSpan w:val="29"/>
            <w:shd w:val="clear" w:color="auto" w:fill="99CCFF"/>
          </w:tcPr>
          <w:p w14:paraId="49648AD2" w14:textId="54B6B8D9" w:rsidR="00E07616" w:rsidRPr="000F0679" w:rsidRDefault="00E07616" w:rsidP="00DF3E14">
            <w:pPr>
              <w:rPr>
                <w:rStyle w:val="Ppogrubienie"/>
              </w:rPr>
            </w:pPr>
            <w:r w:rsidRPr="000F0679">
              <w:rPr>
                <w:rStyle w:val="Ppogrubienie"/>
              </w:rPr>
              <w:t>W jaki sposób i kiedy nastąpi ewaluacja efektów projektu oraz jakie mierniki zostaną zastosowane?</w:t>
            </w:r>
          </w:p>
        </w:tc>
      </w:tr>
      <w:tr w:rsidR="00E07616" w:rsidRPr="0000175D" w14:paraId="32E3850F" w14:textId="77777777" w:rsidTr="00DF3E14">
        <w:trPr>
          <w:trHeight w:val="142"/>
          <w:jc w:val="center"/>
        </w:trPr>
        <w:tc>
          <w:tcPr>
            <w:tcW w:w="10916" w:type="dxa"/>
            <w:gridSpan w:val="29"/>
            <w:shd w:val="clear" w:color="auto" w:fill="FFFFFF"/>
          </w:tcPr>
          <w:p w14:paraId="3B72819F" w14:textId="7EFE58CE" w:rsidR="00E07616" w:rsidRPr="0000175D" w:rsidRDefault="00714E37" w:rsidP="00DF3E14">
            <w:r>
              <w:t>Art. 51</w:t>
            </w:r>
            <w:r w:rsidR="00E07616" w:rsidRPr="0000175D">
              <w:t xml:space="preserve"> ustawy </w:t>
            </w:r>
            <w:r w:rsidR="004E633A" w:rsidRPr="00F05828">
              <w:t>z dnia 18 listopada 2020 r.</w:t>
            </w:r>
            <w:r w:rsidR="004E633A">
              <w:t xml:space="preserve"> </w:t>
            </w:r>
            <w:r w:rsidR="00E07616" w:rsidRPr="0000175D">
              <w:t>o doręczeniach nakazuje operatorowi wyznaczonemu przekazywanie zagregowanych danych z wykonywania usługi RDE. Wyniki pomiarów jakości komunikacji skrzynki doręczeń z usługą rejestrowanego doręczenia elektronicznego prowadzonych przez aplikacje klienckie lub dowolne inne oprogramowanie usługowe, umożliwiają obliczenie jej rzeczywistej dostępności i pojemności.</w:t>
            </w:r>
          </w:p>
        </w:tc>
      </w:tr>
      <w:tr w:rsidR="00E07616" w:rsidRPr="0000175D" w14:paraId="525B75E1" w14:textId="77777777" w:rsidTr="00DF3E14">
        <w:trPr>
          <w:trHeight w:val="142"/>
          <w:jc w:val="center"/>
        </w:trPr>
        <w:tc>
          <w:tcPr>
            <w:tcW w:w="10916" w:type="dxa"/>
            <w:gridSpan w:val="29"/>
            <w:shd w:val="clear" w:color="auto" w:fill="99CCFF"/>
          </w:tcPr>
          <w:p w14:paraId="5D745130" w14:textId="77777777" w:rsidR="00E07616" w:rsidRPr="000F0679" w:rsidRDefault="00E07616" w:rsidP="00DF3E14">
            <w:pPr>
              <w:rPr>
                <w:rStyle w:val="Ppogrubienie"/>
              </w:rPr>
            </w:pPr>
            <w:r w:rsidRPr="000F0679">
              <w:rPr>
                <w:rStyle w:val="Ppogrubienie"/>
              </w:rPr>
              <w:t xml:space="preserve">Załączniki (istotne dokumenty źródłowe, badania, analizy itp.) </w:t>
            </w:r>
          </w:p>
        </w:tc>
      </w:tr>
      <w:tr w:rsidR="00E07616" w:rsidRPr="0000175D" w14:paraId="5E9E2B1E" w14:textId="77777777" w:rsidTr="00DF3E14">
        <w:trPr>
          <w:trHeight w:val="633"/>
          <w:jc w:val="center"/>
        </w:trPr>
        <w:tc>
          <w:tcPr>
            <w:tcW w:w="10916" w:type="dxa"/>
            <w:gridSpan w:val="29"/>
            <w:shd w:val="clear" w:color="auto" w:fill="FFFFFF"/>
          </w:tcPr>
          <w:p w14:paraId="19C6119B" w14:textId="3FFEDDE6" w:rsidR="00E07616" w:rsidRPr="0000175D" w:rsidRDefault="005F3DA7" w:rsidP="00DF3E14">
            <w:r>
              <w:t>Brak</w:t>
            </w:r>
          </w:p>
        </w:tc>
      </w:tr>
    </w:tbl>
    <w:p w14:paraId="74E9067F" w14:textId="77777777" w:rsidR="00261A16" w:rsidRPr="00737F6A" w:rsidRDefault="00261A16" w:rsidP="00737F6A"/>
    <w:sectPr w:rsidR="00261A16" w:rsidRPr="00737F6A" w:rsidSect="001A7F15">
      <w:headerReference w:type="default" r:id="rId8"/>
      <w:footnotePr>
        <w:numRestart w:val="eachSect"/>
      </w:footnotePr>
      <w:pgSz w:w="11906" w:h="16838"/>
      <w:pgMar w:top="1560" w:right="1434" w:bottom="1560" w:left="1418" w:header="709" w:footer="709" w:gutter="0"/>
      <w:cols w:space="708"/>
      <w:titlePg/>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AA7770" w14:textId="77777777" w:rsidR="000A61D2" w:rsidRDefault="000A61D2">
      <w:r>
        <w:separator/>
      </w:r>
    </w:p>
  </w:endnote>
  <w:endnote w:type="continuationSeparator" w:id="0">
    <w:p w14:paraId="51F90F4E" w14:textId="77777777" w:rsidR="000A61D2" w:rsidRDefault="000A6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20603050405020304"/>
    <w:charset w:val="EE"/>
    <w:family w:val="roman"/>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111953" w14:textId="77777777" w:rsidR="000A61D2" w:rsidRDefault="000A61D2">
      <w:r>
        <w:separator/>
      </w:r>
    </w:p>
  </w:footnote>
  <w:footnote w:type="continuationSeparator" w:id="0">
    <w:p w14:paraId="7D9471E3" w14:textId="77777777" w:rsidR="000A61D2" w:rsidRDefault="000A61D2">
      <w:r>
        <w:continuationSeparator/>
      </w:r>
    </w:p>
  </w:footnote>
  <w:footnote w:id="1">
    <w:p w14:paraId="43B5E1F3" w14:textId="77777777" w:rsidR="00462535" w:rsidRPr="004E1CB0" w:rsidRDefault="00462535" w:rsidP="00E07616">
      <w:pPr>
        <w:pStyle w:val="ODNONIKtreodnonika"/>
      </w:pPr>
      <w:r w:rsidRPr="00990EB9">
        <w:rPr>
          <w:rStyle w:val="IGindeksgrny"/>
        </w:rPr>
        <w:footnoteRef/>
      </w:r>
      <w:r w:rsidRPr="00990EB9">
        <w:rPr>
          <w:rStyle w:val="IGindeksgrny"/>
        </w:rPr>
        <w:t>)</w:t>
      </w:r>
      <w:r>
        <w:tab/>
      </w:r>
      <w:r w:rsidRPr="00612ADC">
        <w:t xml:space="preserve">Minister Cyfryzacji kieruje działem administracji rządowej – informatyzacja, na podstawie § 1 ust. 2 rozporządzenia </w:t>
      </w:r>
      <w:r>
        <w:t>Prezesa Rady Ministrów z dnia 6 października 2020</w:t>
      </w:r>
      <w:r w:rsidRPr="00612ADC">
        <w:t xml:space="preserve"> r. w sprawie szczegółowego zakresu działania Minis</w:t>
      </w:r>
      <w:r>
        <w:t>tra Cyfryzacji (Dz. U. poz. 1716</w:t>
      </w:r>
      <w:r w:rsidRPr="00612ADC">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248DAE" w14:textId="77777777" w:rsidR="00462535" w:rsidRPr="00B371CC" w:rsidRDefault="00462535" w:rsidP="00B371CC">
    <w:pPr>
      <w:pStyle w:val="Nagwek"/>
      <w:jc w:val="center"/>
    </w:pPr>
    <w:r>
      <w:t xml:space="preserve">– </w:t>
    </w:r>
    <w:r>
      <w:fldChar w:fldCharType="begin"/>
    </w:r>
    <w:r>
      <w:instrText xml:space="preserve"> PAGE  \* MERGEFORMAT </w:instrText>
    </w:r>
    <w:r>
      <w:fldChar w:fldCharType="separate"/>
    </w:r>
    <w:r w:rsidR="004608DD">
      <w:rPr>
        <w:noProof/>
      </w:rPr>
      <w:t>20</w:t>
    </w:r>
    <w:r>
      <w:rPr>
        <w:noProof/>
      </w:rPr>
      <w:fldChar w:fldCharType="end"/>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LockTheme/>
  <w:styleLockQFSet/>
  <w:defaultTabStop w:val="170"/>
  <w:hyphenationZone w:val="425"/>
  <w:drawingGridHorizontalSpacing w:val="187"/>
  <w:displayHorizontalDrawingGridEvery w:val="0"/>
  <w:displayVerticalDrawingGridEvery w:val="0"/>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616"/>
    <w:rsid w:val="000012DA"/>
    <w:rsid w:val="0000246E"/>
    <w:rsid w:val="00003862"/>
    <w:rsid w:val="00012A35"/>
    <w:rsid w:val="00016099"/>
    <w:rsid w:val="00017DC2"/>
    <w:rsid w:val="00021522"/>
    <w:rsid w:val="00023471"/>
    <w:rsid w:val="00023F13"/>
    <w:rsid w:val="00030634"/>
    <w:rsid w:val="000319C1"/>
    <w:rsid w:val="00031A8B"/>
    <w:rsid w:val="00031BCA"/>
    <w:rsid w:val="000330FA"/>
    <w:rsid w:val="0003362F"/>
    <w:rsid w:val="00036B63"/>
    <w:rsid w:val="00037E1A"/>
    <w:rsid w:val="00043495"/>
    <w:rsid w:val="00046A75"/>
    <w:rsid w:val="00047312"/>
    <w:rsid w:val="000508BD"/>
    <w:rsid w:val="000517AB"/>
    <w:rsid w:val="0005339C"/>
    <w:rsid w:val="0005571B"/>
    <w:rsid w:val="00057AB3"/>
    <w:rsid w:val="00060076"/>
    <w:rsid w:val="00060432"/>
    <w:rsid w:val="00060D87"/>
    <w:rsid w:val="000615A5"/>
    <w:rsid w:val="00064E4C"/>
    <w:rsid w:val="00066901"/>
    <w:rsid w:val="00071BEE"/>
    <w:rsid w:val="000736CD"/>
    <w:rsid w:val="0007533B"/>
    <w:rsid w:val="0007545D"/>
    <w:rsid w:val="000760BF"/>
    <w:rsid w:val="0007613E"/>
    <w:rsid w:val="00076BFC"/>
    <w:rsid w:val="000814A7"/>
    <w:rsid w:val="0008557B"/>
    <w:rsid w:val="00085CE7"/>
    <w:rsid w:val="000906EE"/>
    <w:rsid w:val="00091BA2"/>
    <w:rsid w:val="000944EF"/>
    <w:rsid w:val="0009732D"/>
    <w:rsid w:val="000973F0"/>
    <w:rsid w:val="000A1296"/>
    <w:rsid w:val="000A1C27"/>
    <w:rsid w:val="000A1DAD"/>
    <w:rsid w:val="000A2649"/>
    <w:rsid w:val="000A323B"/>
    <w:rsid w:val="000A61D2"/>
    <w:rsid w:val="000B298D"/>
    <w:rsid w:val="000B5B2D"/>
    <w:rsid w:val="000B5DCE"/>
    <w:rsid w:val="000C05BA"/>
    <w:rsid w:val="000C0E8F"/>
    <w:rsid w:val="000C4BC4"/>
    <w:rsid w:val="000D0110"/>
    <w:rsid w:val="000D2468"/>
    <w:rsid w:val="000D318A"/>
    <w:rsid w:val="000D6173"/>
    <w:rsid w:val="000D6F83"/>
    <w:rsid w:val="000E25CC"/>
    <w:rsid w:val="000E3694"/>
    <w:rsid w:val="000E490F"/>
    <w:rsid w:val="000E6241"/>
    <w:rsid w:val="000F0679"/>
    <w:rsid w:val="000F2BE3"/>
    <w:rsid w:val="000F3D0D"/>
    <w:rsid w:val="000F6ED4"/>
    <w:rsid w:val="000F7A6E"/>
    <w:rsid w:val="00102341"/>
    <w:rsid w:val="001042BA"/>
    <w:rsid w:val="00106D03"/>
    <w:rsid w:val="00110465"/>
    <w:rsid w:val="00110628"/>
    <w:rsid w:val="0011245A"/>
    <w:rsid w:val="0011493E"/>
    <w:rsid w:val="00115B72"/>
    <w:rsid w:val="001209EC"/>
    <w:rsid w:val="00120A9E"/>
    <w:rsid w:val="00125A9C"/>
    <w:rsid w:val="001270A2"/>
    <w:rsid w:val="00131237"/>
    <w:rsid w:val="001329AC"/>
    <w:rsid w:val="00134CA0"/>
    <w:rsid w:val="0014026F"/>
    <w:rsid w:val="00147A47"/>
    <w:rsid w:val="00147AA1"/>
    <w:rsid w:val="001520CF"/>
    <w:rsid w:val="0015340D"/>
    <w:rsid w:val="0015667C"/>
    <w:rsid w:val="00157110"/>
    <w:rsid w:val="0015742A"/>
    <w:rsid w:val="00157DA1"/>
    <w:rsid w:val="00163147"/>
    <w:rsid w:val="00164C57"/>
    <w:rsid w:val="00164C9D"/>
    <w:rsid w:val="00172F7A"/>
    <w:rsid w:val="00173150"/>
    <w:rsid w:val="00173390"/>
    <w:rsid w:val="001736F0"/>
    <w:rsid w:val="00173BB3"/>
    <w:rsid w:val="001740D0"/>
    <w:rsid w:val="00174F2C"/>
    <w:rsid w:val="00180F2A"/>
    <w:rsid w:val="00184B91"/>
    <w:rsid w:val="00184D4A"/>
    <w:rsid w:val="00186EC1"/>
    <w:rsid w:val="00191E1F"/>
    <w:rsid w:val="0019473B"/>
    <w:rsid w:val="001952B1"/>
    <w:rsid w:val="00196E39"/>
    <w:rsid w:val="00197649"/>
    <w:rsid w:val="001A01FB"/>
    <w:rsid w:val="001A10E9"/>
    <w:rsid w:val="001A183D"/>
    <w:rsid w:val="001A2B65"/>
    <w:rsid w:val="001A3CD3"/>
    <w:rsid w:val="001A5BEF"/>
    <w:rsid w:val="001A7F15"/>
    <w:rsid w:val="001B342E"/>
    <w:rsid w:val="001C1832"/>
    <w:rsid w:val="001C188C"/>
    <w:rsid w:val="001D1783"/>
    <w:rsid w:val="001D53CD"/>
    <w:rsid w:val="001D55A3"/>
    <w:rsid w:val="001D5AF5"/>
    <w:rsid w:val="001E1E73"/>
    <w:rsid w:val="001E4E0C"/>
    <w:rsid w:val="001E526D"/>
    <w:rsid w:val="001E5655"/>
    <w:rsid w:val="001F1832"/>
    <w:rsid w:val="001F220F"/>
    <w:rsid w:val="001F25B3"/>
    <w:rsid w:val="001F6616"/>
    <w:rsid w:val="00202BD4"/>
    <w:rsid w:val="00204A97"/>
    <w:rsid w:val="002114EF"/>
    <w:rsid w:val="002166AD"/>
    <w:rsid w:val="00217871"/>
    <w:rsid w:val="00221ED8"/>
    <w:rsid w:val="002231EA"/>
    <w:rsid w:val="00223FDF"/>
    <w:rsid w:val="002279C0"/>
    <w:rsid w:val="0023727E"/>
    <w:rsid w:val="00242081"/>
    <w:rsid w:val="00243777"/>
    <w:rsid w:val="002441CD"/>
    <w:rsid w:val="00246F07"/>
    <w:rsid w:val="002501A3"/>
    <w:rsid w:val="0025166C"/>
    <w:rsid w:val="002555D4"/>
    <w:rsid w:val="00261A16"/>
    <w:rsid w:val="00263522"/>
    <w:rsid w:val="00264EC6"/>
    <w:rsid w:val="00271013"/>
    <w:rsid w:val="00273FE4"/>
    <w:rsid w:val="002765B4"/>
    <w:rsid w:val="00276A94"/>
    <w:rsid w:val="0029405D"/>
    <w:rsid w:val="00294FA6"/>
    <w:rsid w:val="00295A6F"/>
    <w:rsid w:val="002A20C4"/>
    <w:rsid w:val="002A570F"/>
    <w:rsid w:val="002A7292"/>
    <w:rsid w:val="002A7358"/>
    <w:rsid w:val="002A7902"/>
    <w:rsid w:val="002B0F6B"/>
    <w:rsid w:val="002B23B8"/>
    <w:rsid w:val="002B4429"/>
    <w:rsid w:val="002B68A6"/>
    <w:rsid w:val="002B7FAF"/>
    <w:rsid w:val="002D0C4F"/>
    <w:rsid w:val="002D1364"/>
    <w:rsid w:val="002D4D30"/>
    <w:rsid w:val="002D5000"/>
    <w:rsid w:val="002D598D"/>
    <w:rsid w:val="002D7188"/>
    <w:rsid w:val="002E1DE3"/>
    <w:rsid w:val="002E2AB6"/>
    <w:rsid w:val="002E3F34"/>
    <w:rsid w:val="002E5F79"/>
    <w:rsid w:val="002E64FA"/>
    <w:rsid w:val="002F0A00"/>
    <w:rsid w:val="002F0CFA"/>
    <w:rsid w:val="002F0DB3"/>
    <w:rsid w:val="002F669F"/>
    <w:rsid w:val="00301C97"/>
    <w:rsid w:val="0031004C"/>
    <w:rsid w:val="003105F6"/>
    <w:rsid w:val="00311297"/>
    <w:rsid w:val="003113BE"/>
    <w:rsid w:val="003122CA"/>
    <w:rsid w:val="003148FD"/>
    <w:rsid w:val="00321080"/>
    <w:rsid w:val="00322D45"/>
    <w:rsid w:val="0032569A"/>
    <w:rsid w:val="00325A1F"/>
    <w:rsid w:val="003268F9"/>
    <w:rsid w:val="00330BAF"/>
    <w:rsid w:val="00334E3A"/>
    <w:rsid w:val="003361DD"/>
    <w:rsid w:val="00341A6A"/>
    <w:rsid w:val="00345B9C"/>
    <w:rsid w:val="00352DAE"/>
    <w:rsid w:val="00354EB9"/>
    <w:rsid w:val="003602AE"/>
    <w:rsid w:val="00360929"/>
    <w:rsid w:val="003647D5"/>
    <w:rsid w:val="00364E6C"/>
    <w:rsid w:val="003674B0"/>
    <w:rsid w:val="0037727C"/>
    <w:rsid w:val="00377E70"/>
    <w:rsid w:val="00380904"/>
    <w:rsid w:val="003823EE"/>
    <w:rsid w:val="00382960"/>
    <w:rsid w:val="003846F7"/>
    <w:rsid w:val="003851ED"/>
    <w:rsid w:val="00385B39"/>
    <w:rsid w:val="00386785"/>
    <w:rsid w:val="00390E89"/>
    <w:rsid w:val="00391B1A"/>
    <w:rsid w:val="003940F3"/>
    <w:rsid w:val="00394423"/>
    <w:rsid w:val="00396942"/>
    <w:rsid w:val="00396B49"/>
    <w:rsid w:val="00396E3E"/>
    <w:rsid w:val="003A306E"/>
    <w:rsid w:val="003A60DC"/>
    <w:rsid w:val="003A6A46"/>
    <w:rsid w:val="003A7A63"/>
    <w:rsid w:val="003B000C"/>
    <w:rsid w:val="003B0F1D"/>
    <w:rsid w:val="003B4A57"/>
    <w:rsid w:val="003C0AD9"/>
    <w:rsid w:val="003C0ED0"/>
    <w:rsid w:val="003C1D49"/>
    <w:rsid w:val="003C30BD"/>
    <w:rsid w:val="003C35C4"/>
    <w:rsid w:val="003D12C2"/>
    <w:rsid w:val="003D31B9"/>
    <w:rsid w:val="003D3867"/>
    <w:rsid w:val="003E0D1A"/>
    <w:rsid w:val="003E2DA3"/>
    <w:rsid w:val="003F020D"/>
    <w:rsid w:val="003F03D9"/>
    <w:rsid w:val="003F2FBE"/>
    <w:rsid w:val="003F318D"/>
    <w:rsid w:val="003F5BAE"/>
    <w:rsid w:val="003F6ED7"/>
    <w:rsid w:val="00401C84"/>
    <w:rsid w:val="00403210"/>
    <w:rsid w:val="004035BB"/>
    <w:rsid w:val="004035EB"/>
    <w:rsid w:val="00407332"/>
    <w:rsid w:val="00407828"/>
    <w:rsid w:val="00413D8E"/>
    <w:rsid w:val="004140F2"/>
    <w:rsid w:val="00417B22"/>
    <w:rsid w:val="00421085"/>
    <w:rsid w:val="0042465E"/>
    <w:rsid w:val="00424DF7"/>
    <w:rsid w:val="00432B76"/>
    <w:rsid w:val="00434D01"/>
    <w:rsid w:val="00435D26"/>
    <w:rsid w:val="00440C99"/>
    <w:rsid w:val="0044175C"/>
    <w:rsid w:val="00445F4D"/>
    <w:rsid w:val="004504C0"/>
    <w:rsid w:val="004550FB"/>
    <w:rsid w:val="004608DD"/>
    <w:rsid w:val="0046111A"/>
    <w:rsid w:val="0046172A"/>
    <w:rsid w:val="00462535"/>
    <w:rsid w:val="00462946"/>
    <w:rsid w:val="00463F43"/>
    <w:rsid w:val="00464B94"/>
    <w:rsid w:val="004653A8"/>
    <w:rsid w:val="00465A0B"/>
    <w:rsid w:val="0047077C"/>
    <w:rsid w:val="00470B05"/>
    <w:rsid w:val="0047207C"/>
    <w:rsid w:val="00472CD6"/>
    <w:rsid w:val="00474E3C"/>
    <w:rsid w:val="00480A58"/>
    <w:rsid w:val="00480E91"/>
    <w:rsid w:val="00482151"/>
    <w:rsid w:val="00485FAD"/>
    <w:rsid w:val="00487AED"/>
    <w:rsid w:val="00491EDF"/>
    <w:rsid w:val="00492A3F"/>
    <w:rsid w:val="00494F62"/>
    <w:rsid w:val="004A2001"/>
    <w:rsid w:val="004A3590"/>
    <w:rsid w:val="004B00A7"/>
    <w:rsid w:val="004B25E2"/>
    <w:rsid w:val="004B34D7"/>
    <w:rsid w:val="004B5037"/>
    <w:rsid w:val="004B5B2F"/>
    <w:rsid w:val="004B626A"/>
    <w:rsid w:val="004B660E"/>
    <w:rsid w:val="004C05BD"/>
    <w:rsid w:val="004C3B06"/>
    <w:rsid w:val="004C3F97"/>
    <w:rsid w:val="004C7EE7"/>
    <w:rsid w:val="004D2DEE"/>
    <w:rsid w:val="004D2E1F"/>
    <w:rsid w:val="004D7FD9"/>
    <w:rsid w:val="004E1324"/>
    <w:rsid w:val="004E19A5"/>
    <w:rsid w:val="004E2A44"/>
    <w:rsid w:val="004E37E5"/>
    <w:rsid w:val="004E3FDB"/>
    <w:rsid w:val="004E633A"/>
    <w:rsid w:val="004F1F4A"/>
    <w:rsid w:val="004F296D"/>
    <w:rsid w:val="004F508B"/>
    <w:rsid w:val="004F695F"/>
    <w:rsid w:val="004F6CA4"/>
    <w:rsid w:val="00500752"/>
    <w:rsid w:val="00501A50"/>
    <w:rsid w:val="0050222D"/>
    <w:rsid w:val="00503AF3"/>
    <w:rsid w:val="0050696D"/>
    <w:rsid w:val="0051094B"/>
    <w:rsid w:val="005110D7"/>
    <w:rsid w:val="00511D99"/>
    <w:rsid w:val="005128D3"/>
    <w:rsid w:val="005147E8"/>
    <w:rsid w:val="005158F2"/>
    <w:rsid w:val="00526DFC"/>
    <w:rsid w:val="00526F43"/>
    <w:rsid w:val="00527651"/>
    <w:rsid w:val="005363AB"/>
    <w:rsid w:val="00541A54"/>
    <w:rsid w:val="00544EF4"/>
    <w:rsid w:val="00545E53"/>
    <w:rsid w:val="005479D9"/>
    <w:rsid w:val="005572BD"/>
    <w:rsid w:val="00557A12"/>
    <w:rsid w:val="00560AC7"/>
    <w:rsid w:val="00561AFB"/>
    <w:rsid w:val="00561FA8"/>
    <w:rsid w:val="005635ED"/>
    <w:rsid w:val="00565253"/>
    <w:rsid w:val="00570191"/>
    <w:rsid w:val="00570570"/>
    <w:rsid w:val="00572512"/>
    <w:rsid w:val="00573EE6"/>
    <w:rsid w:val="0057547F"/>
    <w:rsid w:val="005754EE"/>
    <w:rsid w:val="0057617E"/>
    <w:rsid w:val="00576497"/>
    <w:rsid w:val="005835E7"/>
    <w:rsid w:val="0058397F"/>
    <w:rsid w:val="00583BF8"/>
    <w:rsid w:val="00585F33"/>
    <w:rsid w:val="00591124"/>
    <w:rsid w:val="00597024"/>
    <w:rsid w:val="005A0274"/>
    <w:rsid w:val="005A095C"/>
    <w:rsid w:val="005A669D"/>
    <w:rsid w:val="005A75D8"/>
    <w:rsid w:val="005B713E"/>
    <w:rsid w:val="005C03B6"/>
    <w:rsid w:val="005C348E"/>
    <w:rsid w:val="005C68E1"/>
    <w:rsid w:val="005D34BC"/>
    <w:rsid w:val="005D3763"/>
    <w:rsid w:val="005D55E1"/>
    <w:rsid w:val="005E19F7"/>
    <w:rsid w:val="005E4F04"/>
    <w:rsid w:val="005E62C2"/>
    <w:rsid w:val="005E6C71"/>
    <w:rsid w:val="005F0963"/>
    <w:rsid w:val="005F2824"/>
    <w:rsid w:val="005F2EBA"/>
    <w:rsid w:val="005F35ED"/>
    <w:rsid w:val="005F3DA7"/>
    <w:rsid w:val="005F7812"/>
    <w:rsid w:val="005F7A88"/>
    <w:rsid w:val="00603A1A"/>
    <w:rsid w:val="006046D5"/>
    <w:rsid w:val="00607A93"/>
    <w:rsid w:val="00610C08"/>
    <w:rsid w:val="00611F74"/>
    <w:rsid w:val="00615772"/>
    <w:rsid w:val="00621256"/>
    <w:rsid w:val="00621FCC"/>
    <w:rsid w:val="00622E4B"/>
    <w:rsid w:val="006333DA"/>
    <w:rsid w:val="00635134"/>
    <w:rsid w:val="006356E2"/>
    <w:rsid w:val="00642A65"/>
    <w:rsid w:val="00645DCE"/>
    <w:rsid w:val="006465AC"/>
    <w:rsid w:val="006465BF"/>
    <w:rsid w:val="00653B22"/>
    <w:rsid w:val="00657BF4"/>
    <w:rsid w:val="006603FB"/>
    <w:rsid w:val="006608DF"/>
    <w:rsid w:val="006623AC"/>
    <w:rsid w:val="00665B6A"/>
    <w:rsid w:val="006678AF"/>
    <w:rsid w:val="006701EF"/>
    <w:rsid w:val="00670D0A"/>
    <w:rsid w:val="00673BA5"/>
    <w:rsid w:val="00680058"/>
    <w:rsid w:val="00681F9F"/>
    <w:rsid w:val="006840EA"/>
    <w:rsid w:val="006844E2"/>
    <w:rsid w:val="00685267"/>
    <w:rsid w:val="006872AE"/>
    <w:rsid w:val="00690082"/>
    <w:rsid w:val="00690252"/>
    <w:rsid w:val="006946BB"/>
    <w:rsid w:val="006969FA"/>
    <w:rsid w:val="006A0A9E"/>
    <w:rsid w:val="006A35D5"/>
    <w:rsid w:val="006A748A"/>
    <w:rsid w:val="006C0032"/>
    <w:rsid w:val="006C419E"/>
    <w:rsid w:val="006C4A31"/>
    <w:rsid w:val="006C5AC2"/>
    <w:rsid w:val="006C6AFB"/>
    <w:rsid w:val="006D2735"/>
    <w:rsid w:val="006D45B2"/>
    <w:rsid w:val="006E0FCC"/>
    <w:rsid w:val="006E125D"/>
    <w:rsid w:val="006E1E96"/>
    <w:rsid w:val="006E3EED"/>
    <w:rsid w:val="006E5E21"/>
    <w:rsid w:val="006F2648"/>
    <w:rsid w:val="006F2F10"/>
    <w:rsid w:val="006F482B"/>
    <w:rsid w:val="006F6311"/>
    <w:rsid w:val="00701952"/>
    <w:rsid w:val="00702556"/>
    <w:rsid w:val="0070277E"/>
    <w:rsid w:val="00704156"/>
    <w:rsid w:val="007069FC"/>
    <w:rsid w:val="00711221"/>
    <w:rsid w:val="00712675"/>
    <w:rsid w:val="00713808"/>
    <w:rsid w:val="00714E37"/>
    <w:rsid w:val="007151B6"/>
    <w:rsid w:val="0071520D"/>
    <w:rsid w:val="00715EDB"/>
    <w:rsid w:val="007160D5"/>
    <w:rsid w:val="007163FB"/>
    <w:rsid w:val="00717C2E"/>
    <w:rsid w:val="007204FA"/>
    <w:rsid w:val="007213B3"/>
    <w:rsid w:val="0072457F"/>
    <w:rsid w:val="00725406"/>
    <w:rsid w:val="0072621B"/>
    <w:rsid w:val="00730555"/>
    <w:rsid w:val="007312CC"/>
    <w:rsid w:val="00736A64"/>
    <w:rsid w:val="00737F6A"/>
    <w:rsid w:val="007410B6"/>
    <w:rsid w:val="00744C6F"/>
    <w:rsid w:val="007457F6"/>
    <w:rsid w:val="00745ABB"/>
    <w:rsid w:val="0074612F"/>
    <w:rsid w:val="00746E38"/>
    <w:rsid w:val="00747CD5"/>
    <w:rsid w:val="007511BF"/>
    <w:rsid w:val="00753B51"/>
    <w:rsid w:val="00756629"/>
    <w:rsid w:val="007575D2"/>
    <w:rsid w:val="00757B4F"/>
    <w:rsid w:val="00757B6A"/>
    <w:rsid w:val="007610E0"/>
    <w:rsid w:val="007621AA"/>
    <w:rsid w:val="0076260A"/>
    <w:rsid w:val="00764A67"/>
    <w:rsid w:val="00770F6B"/>
    <w:rsid w:val="00771883"/>
    <w:rsid w:val="00776DC2"/>
    <w:rsid w:val="00780122"/>
    <w:rsid w:val="0078214B"/>
    <w:rsid w:val="0078498A"/>
    <w:rsid w:val="007878FE"/>
    <w:rsid w:val="00792207"/>
    <w:rsid w:val="00792B64"/>
    <w:rsid w:val="00792E29"/>
    <w:rsid w:val="0079379A"/>
    <w:rsid w:val="00794953"/>
    <w:rsid w:val="007A1F2F"/>
    <w:rsid w:val="007A2A5C"/>
    <w:rsid w:val="007A5150"/>
    <w:rsid w:val="007A5373"/>
    <w:rsid w:val="007A789F"/>
    <w:rsid w:val="007B10D7"/>
    <w:rsid w:val="007B75BC"/>
    <w:rsid w:val="007C0BD6"/>
    <w:rsid w:val="007C3806"/>
    <w:rsid w:val="007C5BB7"/>
    <w:rsid w:val="007D07D5"/>
    <w:rsid w:val="007D1C64"/>
    <w:rsid w:val="007D32DD"/>
    <w:rsid w:val="007D6DCE"/>
    <w:rsid w:val="007D72C4"/>
    <w:rsid w:val="007E2CFE"/>
    <w:rsid w:val="007E59C9"/>
    <w:rsid w:val="007F0072"/>
    <w:rsid w:val="007F2EB6"/>
    <w:rsid w:val="007F54C3"/>
    <w:rsid w:val="007F7286"/>
    <w:rsid w:val="00802949"/>
    <w:rsid w:val="0080301E"/>
    <w:rsid w:val="0080365F"/>
    <w:rsid w:val="00806645"/>
    <w:rsid w:val="00812BE5"/>
    <w:rsid w:val="00815524"/>
    <w:rsid w:val="008163BF"/>
    <w:rsid w:val="00817429"/>
    <w:rsid w:val="00821514"/>
    <w:rsid w:val="00821E35"/>
    <w:rsid w:val="00824591"/>
    <w:rsid w:val="00824AED"/>
    <w:rsid w:val="00827820"/>
    <w:rsid w:val="00831B8B"/>
    <w:rsid w:val="0083405D"/>
    <w:rsid w:val="008352D4"/>
    <w:rsid w:val="00836DB9"/>
    <w:rsid w:val="00837C67"/>
    <w:rsid w:val="008415B0"/>
    <w:rsid w:val="00842028"/>
    <w:rsid w:val="008436B8"/>
    <w:rsid w:val="008460B6"/>
    <w:rsid w:val="00850C9D"/>
    <w:rsid w:val="00852B59"/>
    <w:rsid w:val="00856272"/>
    <w:rsid w:val="008563FF"/>
    <w:rsid w:val="0086018B"/>
    <w:rsid w:val="00860FB6"/>
    <w:rsid w:val="008611DD"/>
    <w:rsid w:val="008620DE"/>
    <w:rsid w:val="00866867"/>
    <w:rsid w:val="00872257"/>
    <w:rsid w:val="008753E6"/>
    <w:rsid w:val="0087738C"/>
    <w:rsid w:val="008802AF"/>
    <w:rsid w:val="00881926"/>
    <w:rsid w:val="0088318F"/>
    <w:rsid w:val="0088331D"/>
    <w:rsid w:val="008852B0"/>
    <w:rsid w:val="00885AE7"/>
    <w:rsid w:val="00886B60"/>
    <w:rsid w:val="00887889"/>
    <w:rsid w:val="008920FF"/>
    <w:rsid w:val="008926E8"/>
    <w:rsid w:val="00894F19"/>
    <w:rsid w:val="00896A10"/>
    <w:rsid w:val="008971B5"/>
    <w:rsid w:val="008A5D26"/>
    <w:rsid w:val="008A6B13"/>
    <w:rsid w:val="008A6ECB"/>
    <w:rsid w:val="008B0BF9"/>
    <w:rsid w:val="008B2866"/>
    <w:rsid w:val="008B3859"/>
    <w:rsid w:val="008B436D"/>
    <w:rsid w:val="008B4E49"/>
    <w:rsid w:val="008B7712"/>
    <w:rsid w:val="008B7B26"/>
    <w:rsid w:val="008C3524"/>
    <w:rsid w:val="008C4061"/>
    <w:rsid w:val="008C4229"/>
    <w:rsid w:val="008C5BE0"/>
    <w:rsid w:val="008C7233"/>
    <w:rsid w:val="008D2434"/>
    <w:rsid w:val="008E171D"/>
    <w:rsid w:val="008E2785"/>
    <w:rsid w:val="008E6B50"/>
    <w:rsid w:val="008E78A3"/>
    <w:rsid w:val="008F0654"/>
    <w:rsid w:val="008F06CB"/>
    <w:rsid w:val="008F2E83"/>
    <w:rsid w:val="008F612A"/>
    <w:rsid w:val="0090293D"/>
    <w:rsid w:val="009034DE"/>
    <w:rsid w:val="00905396"/>
    <w:rsid w:val="0090605D"/>
    <w:rsid w:val="00906419"/>
    <w:rsid w:val="00912889"/>
    <w:rsid w:val="00913A42"/>
    <w:rsid w:val="00914167"/>
    <w:rsid w:val="009143DB"/>
    <w:rsid w:val="00915065"/>
    <w:rsid w:val="00917CE5"/>
    <w:rsid w:val="00920A99"/>
    <w:rsid w:val="009217C0"/>
    <w:rsid w:val="00925241"/>
    <w:rsid w:val="00925CEC"/>
    <w:rsid w:val="00926A3F"/>
    <w:rsid w:val="00927396"/>
    <w:rsid w:val="0092794E"/>
    <w:rsid w:val="00930D30"/>
    <w:rsid w:val="009332A2"/>
    <w:rsid w:val="00937598"/>
    <w:rsid w:val="0093790B"/>
    <w:rsid w:val="009426DE"/>
    <w:rsid w:val="00943751"/>
    <w:rsid w:val="00946DD0"/>
    <w:rsid w:val="009509E6"/>
    <w:rsid w:val="00952018"/>
    <w:rsid w:val="00952800"/>
    <w:rsid w:val="0095300D"/>
    <w:rsid w:val="00956812"/>
    <w:rsid w:val="0095719A"/>
    <w:rsid w:val="009623E9"/>
    <w:rsid w:val="00963EEB"/>
    <w:rsid w:val="009648BC"/>
    <w:rsid w:val="00964C2F"/>
    <w:rsid w:val="00965F88"/>
    <w:rsid w:val="00983881"/>
    <w:rsid w:val="00984E03"/>
    <w:rsid w:val="00987E85"/>
    <w:rsid w:val="009A0D12"/>
    <w:rsid w:val="009A1987"/>
    <w:rsid w:val="009A2BEE"/>
    <w:rsid w:val="009A5289"/>
    <w:rsid w:val="009A7A53"/>
    <w:rsid w:val="009B0402"/>
    <w:rsid w:val="009B0B75"/>
    <w:rsid w:val="009B16DF"/>
    <w:rsid w:val="009B4CB2"/>
    <w:rsid w:val="009B6701"/>
    <w:rsid w:val="009B6EF7"/>
    <w:rsid w:val="009B7000"/>
    <w:rsid w:val="009B739C"/>
    <w:rsid w:val="009C04EC"/>
    <w:rsid w:val="009C328C"/>
    <w:rsid w:val="009C4444"/>
    <w:rsid w:val="009C5D5D"/>
    <w:rsid w:val="009C79AD"/>
    <w:rsid w:val="009C7CA6"/>
    <w:rsid w:val="009D3316"/>
    <w:rsid w:val="009D4663"/>
    <w:rsid w:val="009D55AA"/>
    <w:rsid w:val="009E10C5"/>
    <w:rsid w:val="009E3E77"/>
    <w:rsid w:val="009E3FAB"/>
    <w:rsid w:val="009E5B3F"/>
    <w:rsid w:val="009E774B"/>
    <w:rsid w:val="009E7D90"/>
    <w:rsid w:val="009F1AB0"/>
    <w:rsid w:val="009F501D"/>
    <w:rsid w:val="00A039D5"/>
    <w:rsid w:val="00A046AD"/>
    <w:rsid w:val="00A079C1"/>
    <w:rsid w:val="00A12520"/>
    <w:rsid w:val="00A130FD"/>
    <w:rsid w:val="00A13D6D"/>
    <w:rsid w:val="00A14769"/>
    <w:rsid w:val="00A16151"/>
    <w:rsid w:val="00A16EC6"/>
    <w:rsid w:val="00A17C06"/>
    <w:rsid w:val="00A2126E"/>
    <w:rsid w:val="00A21706"/>
    <w:rsid w:val="00A24FCC"/>
    <w:rsid w:val="00A26A90"/>
    <w:rsid w:val="00A26B27"/>
    <w:rsid w:val="00A30E4F"/>
    <w:rsid w:val="00A32253"/>
    <w:rsid w:val="00A3310E"/>
    <w:rsid w:val="00A333A0"/>
    <w:rsid w:val="00A37E70"/>
    <w:rsid w:val="00A410D7"/>
    <w:rsid w:val="00A437E1"/>
    <w:rsid w:val="00A44E13"/>
    <w:rsid w:val="00A4685E"/>
    <w:rsid w:val="00A50CD4"/>
    <w:rsid w:val="00A51191"/>
    <w:rsid w:val="00A56D62"/>
    <w:rsid w:val="00A56F07"/>
    <w:rsid w:val="00A5762C"/>
    <w:rsid w:val="00A600FC"/>
    <w:rsid w:val="00A60BCA"/>
    <w:rsid w:val="00A638DA"/>
    <w:rsid w:val="00A65B41"/>
    <w:rsid w:val="00A65E00"/>
    <w:rsid w:val="00A66A78"/>
    <w:rsid w:val="00A7436E"/>
    <w:rsid w:val="00A74E96"/>
    <w:rsid w:val="00A75A8E"/>
    <w:rsid w:val="00A824DD"/>
    <w:rsid w:val="00A83676"/>
    <w:rsid w:val="00A83B7B"/>
    <w:rsid w:val="00A84274"/>
    <w:rsid w:val="00A850F3"/>
    <w:rsid w:val="00A864E3"/>
    <w:rsid w:val="00A94574"/>
    <w:rsid w:val="00A95936"/>
    <w:rsid w:val="00A96265"/>
    <w:rsid w:val="00A97084"/>
    <w:rsid w:val="00AA1C2C"/>
    <w:rsid w:val="00AA35F6"/>
    <w:rsid w:val="00AA667C"/>
    <w:rsid w:val="00AA6E91"/>
    <w:rsid w:val="00AA7439"/>
    <w:rsid w:val="00AB047E"/>
    <w:rsid w:val="00AB0B0A"/>
    <w:rsid w:val="00AB0BB7"/>
    <w:rsid w:val="00AB22C6"/>
    <w:rsid w:val="00AB2AD0"/>
    <w:rsid w:val="00AB67FC"/>
    <w:rsid w:val="00AC00F2"/>
    <w:rsid w:val="00AC31B5"/>
    <w:rsid w:val="00AC4EA1"/>
    <w:rsid w:val="00AC5381"/>
    <w:rsid w:val="00AC5920"/>
    <w:rsid w:val="00AD0E65"/>
    <w:rsid w:val="00AD2BF2"/>
    <w:rsid w:val="00AD4E90"/>
    <w:rsid w:val="00AD5422"/>
    <w:rsid w:val="00AE4179"/>
    <w:rsid w:val="00AE4425"/>
    <w:rsid w:val="00AE4FBE"/>
    <w:rsid w:val="00AE650F"/>
    <w:rsid w:val="00AE6555"/>
    <w:rsid w:val="00AE7D16"/>
    <w:rsid w:val="00AF4CAA"/>
    <w:rsid w:val="00AF571A"/>
    <w:rsid w:val="00AF60A0"/>
    <w:rsid w:val="00AF67FC"/>
    <w:rsid w:val="00AF7DF5"/>
    <w:rsid w:val="00B006E5"/>
    <w:rsid w:val="00B024C2"/>
    <w:rsid w:val="00B07700"/>
    <w:rsid w:val="00B13921"/>
    <w:rsid w:val="00B1528C"/>
    <w:rsid w:val="00B16ACD"/>
    <w:rsid w:val="00B21487"/>
    <w:rsid w:val="00B22F1C"/>
    <w:rsid w:val="00B232D1"/>
    <w:rsid w:val="00B24DB5"/>
    <w:rsid w:val="00B31F9E"/>
    <w:rsid w:val="00B3268F"/>
    <w:rsid w:val="00B32C2C"/>
    <w:rsid w:val="00B33A1A"/>
    <w:rsid w:val="00B33E6C"/>
    <w:rsid w:val="00B371CC"/>
    <w:rsid w:val="00B41CD9"/>
    <w:rsid w:val="00B427E6"/>
    <w:rsid w:val="00B428A6"/>
    <w:rsid w:val="00B43E1F"/>
    <w:rsid w:val="00B45FBC"/>
    <w:rsid w:val="00B51A7D"/>
    <w:rsid w:val="00B535C2"/>
    <w:rsid w:val="00B55544"/>
    <w:rsid w:val="00B642FC"/>
    <w:rsid w:val="00B64D26"/>
    <w:rsid w:val="00B64FBB"/>
    <w:rsid w:val="00B70E22"/>
    <w:rsid w:val="00B774CB"/>
    <w:rsid w:val="00B80402"/>
    <w:rsid w:val="00B80B9A"/>
    <w:rsid w:val="00B830B7"/>
    <w:rsid w:val="00B848EA"/>
    <w:rsid w:val="00B84B2B"/>
    <w:rsid w:val="00B90500"/>
    <w:rsid w:val="00B9176C"/>
    <w:rsid w:val="00B935A4"/>
    <w:rsid w:val="00BA561A"/>
    <w:rsid w:val="00BB0DC6"/>
    <w:rsid w:val="00BB15E4"/>
    <w:rsid w:val="00BB1E19"/>
    <w:rsid w:val="00BB21D1"/>
    <w:rsid w:val="00BB32F2"/>
    <w:rsid w:val="00BB4338"/>
    <w:rsid w:val="00BB6C0E"/>
    <w:rsid w:val="00BB7B38"/>
    <w:rsid w:val="00BC11E5"/>
    <w:rsid w:val="00BC4BC6"/>
    <w:rsid w:val="00BC52FD"/>
    <w:rsid w:val="00BC58AE"/>
    <w:rsid w:val="00BC6E62"/>
    <w:rsid w:val="00BC7443"/>
    <w:rsid w:val="00BD0648"/>
    <w:rsid w:val="00BD1040"/>
    <w:rsid w:val="00BD34AA"/>
    <w:rsid w:val="00BE0C44"/>
    <w:rsid w:val="00BE1B8B"/>
    <w:rsid w:val="00BE2A18"/>
    <w:rsid w:val="00BE2C01"/>
    <w:rsid w:val="00BE41EC"/>
    <w:rsid w:val="00BE56FB"/>
    <w:rsid w:val="00BF3DDE"/>
    <w:rsid w:val="00BF6589"/>
    <w:rsid w:val="00BF6F7F"/>
    <w:rsid w:val="00C00647"/>
    <w:rsid w:val="00C02764"/>
    <w:rsid w:val="00C04CEF"/>
    <w:rsid w:val="00C0662F"/>
    <w:rsid w:val="00C11943"/>
    <w:rsid w:val="00C12E96"/>
    <w:rsid w:val="00C14763"/>
    <w:rsid w:val="00C16141"/>
    <w:rsid w:val="00C2363F"/>
    <w:rsid w:val="00C236C8"/>
    <w:rsid w:val="00C260B1"/>
    <w:rsid w:val="00C26E56"/>
    <w:rsid w:val="00C31406"/>
    <w:rsid w:val="00C37194"/>
    <w:rsid w:val="00C40637"/>
    <w:rsid w:val="00C40F6C"/>
    <w:rsid w:val="00C44426"/>
    <w:rsid w:val="00C445F3"/>
    <w:rsid w:val="00C451F4"/>
    <w:rsid w:val="00C45EB1"/>
    <w:rsid w:val="00C54A3A"/>
    <w:rsid w:val="00C55566"/>
    <w:rsid w:val="00C56448"/>
    <w:rsid w:val="00C5679F"/>
    <w:rsid w:val="00C65F93"/>
    <w:rsid w:val="00C667BE"/>
    <w:rsid w:val="00C6766B"/>
    <w:rsid w:val="00C72223"/>
    <w:rsid w:val="00C76417"/>
    <w:rsid w:val="00C7726F"/>
    <w:rsid w:val="00C823DA"/>
    <w:rsid w:val="00C8259F"/>
    <w:rsid w:val="00C82746"/>
    <w:rsid w:val="00C8312F"/>
    <w:rsid w:val="00C84C47"/>
    <w:rsid w:val="00C858A4"/>
    <w:rsid w:val="00C86AFA"/>
    <w:rsid w:val="00CB18D0"/>
    <w:rsid w:val="00CB1C8A"/>
    <w:rsid w:val="00CB24F5"/>
    <w:rsid w:val="00CB2663"/>
    <w:rsid w:val="00CB3BBE"/>
    <w:rsid w:val="00CB59E9"/>
    <w:rsid w:val="00CC0D6A"/>
    <w:rsid w:val="00CC3831"/>
    <w:rsid w:val="00CC3E3D"/>
    <w:rsid w:val="00CC519B"/>
    <w:rsid w:val="00CD12C1"/>
    <w:rsid w:val="00CD214E"/>
    <w:rsid w:val="00CD38E3"/>
    <w:rsid w:val="00CD46FA"/>
    <w:rsid w:val="00CD5973"/>
    <w:rsid w:val="00CE31A6"/>
    <w:rsid w:val="00CF09AA"/>
    <w:rsid w:val="00CF4813"/>
    <w:rsid w:val="00CF5233"/>
    <w:rsid w:val="00D029B8"/>
    <w:rsid w:val="00D02F60"/>
    <w:rsid w:val="00D0464E"/>
    <w:rsid w:val="00D04A96"/>
    <w:rsid w:val="00D07A7B"/>
    <w:rsid w:val="00D10E06"/>
    <w:rsid w:val="00D15197"/>
    <w:rsid w:val="00D16820"/>
    <w:rsid w:val="00D169C8"/>
    <w:rsid w:val="00D1793F"/>
    <w:rsid w:val="00D22AF5"/>
    <w:rsid w:val="00D235EA"/>
    <w:rsid w:val="00D247A9"/>
    <w:rsid w:val="00D32721"/>
    <w:rsid w:val="00D328DC"/>
    <w:rsid w:val="00D33387"/>
    <w:rsid w:val="00D402FB"/>
    <w:rsid w:val="00D4685B"/>
    <w:rsid w:val="00D47D7A"/>
    <w:rsid w:val="00D50ABD"/>
    <w:rsid w:val="00D55290"/>
    <w:rsid w:val="00D57791"/>
    <w:rsid w:val="00D6046A"/>
    <w:rsid w:val="00D62870"/>
    <w:rsid w:val="00D655D9"/>
    <w:rsid w:val="00D65872"/>
    <w:rsid w:val="00D676F3"/>
    <w:rsid w:val="00D70EF5"/>
    <w:rsid w:val="00D71024"/>
    <w:rsid w:val="00D71A25"/>
    <w:rsid w:val="00D71FCF"/>
    <w:rsid w:val="00D72A54"/>
    <w:rsid w:val="00D72CC1"/>
    <w:rsid w:val="00D76EC9"/>
    <w:rsid w:val="00D80E7D"/>
    <w:rsid w:val="00D81397"/>
    <w:rsid w:val="00D848B9"/>
    <w:rsid w:val="00D90E69"/>
    <w:rsid w:val="00D91368"/>
    <w:rsid w:val="00D93106"/>
    <w:rsid w:val="00D933E9"/>
    <w:rsid w:val="00D94612"/>
    <w:rsid w:val="00D9505D"/>
    <w:rsid w:val="00D953D0"/>
    <w:rsid w:val="00D959F5"/>
    <w:rsid w:val="00D96884"/>
    <w:rsid w:val="00DA3FDD"/>
    <w:rsid w:val="00DA4DF4"/>
    <w:rsid w:val="00DA7017"/>
    <w:rsid w:val="00DA7028"/>
    <w:rsid w:val="00DB1AD2"/>
    <w:rsid w:val="00DB2B58"/>
    <w:rsid w:val="00DB5206"/>
    <w:rsid w:val="00DB6276"/>
    <w:rsid w:val="00DB63F5"/>
    <w:rsid w:val="00DC1C6B"/>
    <w:rsid w:val="00DC2C2E"/>
    <w:rsid w:val="00DC4AF0"/>
    <w:rsid w:val="00DC7886"/>
    <w:rsid w:val="00DD0CF2"/>
    <w:rsid w:val="00DE1554"/>
    <w:rsid w:val="00DE2901"/>
    <w:rsid w:val="00DE590F"/>
    <w:rsid w:val="00DE7DC1"/>
    <w:rsid w:val="00DF3E14"/>
    <w:rsid w:val="00DF3F7E"/>
    <w:rsid w:val="00DF50AC"/>
    <w:rsid w:val="00DF7648"/>
    <w:rsid w:val="00E00E29"/>
    <w:rsid w:val="00E02BAB"/>
    <w:rsid w:val="00E04CEB"/>
    <w:rsid w:val="00E060BC"/>
    <w:rsid w:val="00E07616"/>
    <w:rsid w:val="00E11420"/>
    <w:rsid w:val="00E132FB"/>
    <w:rsid w:val="00E170B7"/>
    <w:rsid w:val="00E177DD"/>
    <w:rsid w:val="00E20900"/>
    <w:rsid w:val="00E20C7F"/>
    <w:rsid w:val="00E2396E"/>
    <w:rsid w:val="00E24728"/>
    <w:rsid w:val="00E276AC"/>
    <w:rsid w:val="00E34A35"/>
    <w:rsid w:val="00E37C2F"/>
    <w:rsid w:val="00E41C28"/>
    <w:rsid w:val="00E46308"/>
    <w:rsid w:val="00E51E17"/>
    <w:rsid w:val="00E52DAB"/>
    <w:rsid w:val="00E539B0"/>
    <w:rsid w:val="00E55994"/>
    <w:rsid w:val="00E60606"/>
    <w:rsid w:val="00E60C66"/>
    <w:rsid w:val="00E6164D"/>
    <w:rsid w:val="00E618C9"/>
    <w:rsid w:val="00E62774"/>
    <w:rsid w:val="00E6307C"/>
    <w:rsid w:val="00E636FA"/>
    <w:rsid w:val="00E66C50"/>
    <w:rsid w:val="00E679D3"/>
    <w:rsid w:val="00E71208"/>
    <w:rsid w:val="00E71444"/>
    <w:rsid w:val="00E71C91"/>
    <w:rsid w:val="00E720A1"/>
    <w:rsid w:val="00E75B11"/>
    <w:rsid w:val="00E75DDA"/>
    <w:rsid w:val="00E773E8"/>
    <w:rsid w:val="00E83ADD"/>
    <w:rsid w:val="00E84F38"/>
    <w:rsid w:val="00E85623"/>
    <w:rsid w:val="00E87441"/>
    <w:rsid w:val="00E91FAE"/>
    <w:rsid w:val="00E96521"/>
    <w:rsid w:val="00E96E3F"/>
    <w:rsid w:val="00EA0595"/>
    <w:rsid w:val="00EA270C"/>
    <w:rsid w:val="00EA4974"/>
    <w:rsid w:val="00EA532E"/>
    <w:rsid w:val="00EB06D9"/>
    <w:rsid w:val="00EB192B"/>
    <w:rsid w:val="00EB19ED"/>
    <w:rsid w:val="00EB1CAB"/>
    <w:rsid w:val="00EC0F5A"/>
    <w:rsid w:val="00EC4265"/>
    <w:rsid w:val="00EC4CEB"/>
    <w:rsid w:val="00EC659E"/>
    <w:rsid w:val="00ED2072"/>
    <w:rsid w:val="00ED2AE0"/>
    <w:rsid w:val="00ED5553"/>
    <w:rsid w:val="00ED5E36"/>
    <w:rsid w:val="00ED6961"/>
    <w:rsid w:val="00EE5868"/>
    <w:rsid w:val="00EF0B96"/>
    <w:rsid w:val="00EF3486"/>
    <w:rsid w:val="00EF47AF"/>
    <w:rsid w:val="00EF53B6"/>
    <w:rsid w:val="00F00B73"/>
    <w:rsid w:val="00F05828"/>
    <w:rsid w:val="00F115CA"/>
    <w:rsid w:val="00F14817"/>
    <w:rsid w:val="00F14EBA"/>
    <w:rsid w:val="00F1510F"/>
    <w:rsid w:val="00F1533A"/>
    <w:rsid w:val="00F15E5A"/>
    <w:rsid w:val="00F17F0A"/>
    <w:rsid w:val="00F22C66"/>
    <w:rsid w:val="00F2668F"/>
    <w:rsid w:val="00F2742F"/>
    <w:rsid w:val="00F2753B"/>
    <w:rsid w:val="00F33F8B"/>
    <w:rsid w:val="00F340B2"/>
    <w:rsid w:val="00F43390"/>
    <w:rsid w:val="00F443B2"/>
    <w:rsid w:val="00F458D8"/>
    <w:rsid w:val="00F50237"/>
    <w:rsid w:val="00F53596"/>
    <w:rsid w:val="00F55BA8"/>
    <w:rsid w:val="00F55DB1"/>
    <w:rsid w:val="00F56ACA"/>
    <w:rsid w:val="00F600FE"/>
    <w:rsid w:val="00F62E4D"/>
    <w:rsid w:val="00F66B34"/>
    <w:rsid w:val="00F675B9"/>
    <w:rsid w:val="00F711C9"/>
    <w:rsid w:val="00F74C59"/>
    <w:rsid w:val="00F75C3A"/>
    <w:rsid w:val="00F82E30"/>
    <w:rsid w:val="00F831CB"/>
    <w:rsid w:val="00F848A3"/>
    <w:rsid w:val="00F84ACF"/>
    <w:rsid w:val="00F85742"/>
    <w:rsid w:val="00F85BF8"/>
    <w:rsid w:val="00F871CE"/>
    <w:rsid w:val="00F87802"/>
    <w:rsid w:val="00F92C0A"/>
    <w:rsid w:val="00F9415B"/>
    <w:rsid w:val="00FA13C2"/>
    <w:rsid w:val="00FA7F91"/>
    <w:rsid w:val="00FB121C"/>
    <w:rsid w:val="00FB1CDD"/>
    <w:rsid w:val="00FB1FBF"/>
    <w:rsid w:val="00FB2C2F"/>
    <w:rsid w:val="00FB305C"/>
    <w:rsid w:val="00FC2E3D"/>
    <w:rsid w:val="00FC3BDE"/>
    <w:rsid w:val="00FD1DBE"/>
    <w:rsid w:val="00FD25A7"/>
    <w:rsid w:val="00FD27B6"/>
    <w:rsid w:val="00FD3689"/>
    <w:rsid w:val="00FD42A3"/>
    <w:rsid w:val="00FD7468"/>
    <w:rsid w:val="00FD7CE0"/>
    <w:rsid w:val="00FE0B3B"/>
    <w:rsid w:val="00FE1BE2"/>
    <w:rsid w:val="00FE730A"/>
    <w:rsid w:val="00FF1DD7"/>
    <w:rsid w:val="00FF445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308CEA7"/>
  <w15:docId w15:val="{D7102449-5F14-49F9-A307-43B70D764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sz w:val="24"/>
        <w:szCs w:val="24"/>
        <w:lang w:val="pl-PL" w:eastAsia="pl-PL"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1"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locked="1" w:semiHidden="1" w:uiPriority="0" w:unhideWhenUsed="1"/>
    <w:lsdException w:name="Outline List 2" w:locked="1" w:semiHidden="1" w:uiPriority="0" w:unhideWhenUsed="1"/>
    <w:lsdException w:name="Outline List 3" w:semiHidden="1" w:uiPriority="0"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semiHidden="1" w:unhideWhenUsed="1"/>
    <w:lsdException w:name="Table Grid" w:locked="1" w:uiPriority="0"/>
    <w:lsdException w:name="Table Theme" w:locked="1" w:semiHidden="1" w:uiPriority="0" w:unhideWhenUsed="1"/>
    <w:lsdException w:name="Placeholder Text" w:semiHidden="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semiHidden="1" w:uiPriority="34" w:qFormat="1"/>
    <w:lsdException w:name="Quote" w:semiHidden="1" w:qFormat="1"/>
    <w:lsdException w:name="Intense Quote" w:semiHidden="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D25A7"/>
    <w:pPr>
      <w:widowControl w:val="0"/>
      <w:autoSpaceDE w:val="0"/>
      <w:autoSpaceDN w:val="0"/>
      <w:adjustRightInd w:val="0"/>
    </w:pPr>
    <w:rPr>
      <w:rFonts w:ascii="Times New Roman" w:eastAsiaTheme="minorEastAsia" w:hAnsi="Times New Roman" w:cs="Arial"/>
      <w:szCs w:val="20"/>
    </w:rPr>
  </w:style>
  <w:style w:type="paragraph" w:styleId="Nagwek1">
    <w:name w:val="heading 1"/>
    <w:basedOn w:val="Normalny"/>
    <w:next w:val="Normalny"/>
    <w:link w:val="Nagwek1Znak"/>
    <w:uiPriority w:val="99"/>
    <w:rsid w:val="001E1E73"/>
    <w:pPr>
      <w:keepNext/>
      <w:keepLines/>
      <w:suppressAutoHyphens/>
      <w:autoSpaceDE/>
      <w:autoSpaceDN/>
      <w:adjustRightInd/>
      <w:spacing w:before="480"/>
      <w:outlineLvl w:val="0"/>
    </w:pPr>
    <w:rPr>
      <w:rFonts w:asciiTheme="majorHAnsi" w:eastAsiaTheme="majorEastAsia" w:hAnsiTheme="majorHAnsi" w:cstheme="majorBidi"/>
      <w:b/>
      <w:bCs/>
      <w:color w:val="365F91" w:themeColor="accent1" w:themeShade="BF"/>
      <w:kern w:val="1"/>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LITwPKTzmlitwpktartykuempunktem">
    <w:name w:val="Z/LIT_w_PKT – zm. lit. w pkt artykułem (punktem)"/>
    <w:basedOn w:val="LITlitera"/>
    <w:uiPriority w:val="32"/>
    <w:qFormat/>
    <w:rsid w:val="006A748A"/>
    <w:pPr>
      <w:ind w:left="1497"/>
    </w:pPr>
  </w:style>
  <w:style w:type="paragraph" w:customStyle="1" w:styleId="ZTIRwPKTzmtirwpktartykuempunktem">
    <w:name w:val="Z/TIR_w_PKT – zm. tir. w pkt artykułem (punktem)"/>
    <w:basedOn w:val="TIRtiret"/>
    <w:uiPriority w:val="33"/>
    <w:qFormat/>
    <w:rsid w:val="006A748A"/>
    <w:pPr>
      <w:ind w:left="1894"/>
    </w:pPr>
  </w:style>
  <w:style w:type="paragraph" w:customStyle="1" w:styleId="ZCZWSPLITwPKTzmczciwsplitwpktartykuempunktem">
    <w:name w:val="Z/CZ_WSP_LIT_w_PKT – zm. części wsp. lit. w pkt artykułem (punktem)"/>
    <w:basedOn w:val="CZWSPLITczwsplnaliter"/>
    <w:next w:val="ZARTzmartartykuempunktem"/>
    <w:uiPriority w:val="35"/>
    <w:qFormat/>
    <w:rsid w:val="006A748A"/>
    <w:pPr>
      <w:ind w:left="1021"/>
    </w:pPr>
  </w:style>
  <w:style w:type="paragraph" w:customStyle="1" w:styleId="2TIRpodwjnytiret">
    <w:name w:val="2TIR – podwójny tiret"/>
    <w:basedOn w:val="TIRtiret"/>
    <w:uiPriority w:val="73"/>
    <w:qFormat/>
    <w:rsid w:val="006A748A"/>
    <w:pPr>
      <w:ind w:left="1780"/>
    </w:pPr>
  </w:style>
  <w:style w:type="character" w:styleId="Odwoanieprzypisudolnego">
    <w:name w:val="footnote reference"/>
    <w:uiPriority w:val="99"/>
    <w:semiHidden/>
    <w:rsid w:val="004C3F97"/>
    <w:rPr>
      <w:rFonts w:cs="Times New Roman"/>
      <w:vertAlign w:val="superscript"/>
    </w:rPr>
  </w:style>
  <w:style w:type="paragraph" w:styleId="Nagwek">
    <w:name w:val="header"/>
    <w:basedOn w:val="Normalny"/>
    <w:link w:val="NagwekZnak"/>
    <w:uiPriority w:val="99"/>
    <w:semiHidden/>
    <w:rsid w:val="004C3F97"/>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NagwekZnak">
    <w:name w:val="Nagłówek Znak"/>
    <w:link w:val="Nagwek"/>
    <w:uiPriority w:val="99"/>
    <w:semiHidden/>
    <w:rsid w:val="00060076"/>
    <w:rPr>
      <w:rFonts w:eastAsiaTheme="minorEastAsia" w:cs="Arial"/>
      <w:kern w:val="1"/>
      <w:sz w:val="20"/>
      <w:szCs w:val="20"/>
      <w:lang w:eastAsia="ar-SA"/>
    </w:rPr>
  </w:style>
  <w:style w:type="paragraph" w:styleId="Stopka">
    <w:name w:val="footer"/>
    <w:basedOn w:val="Normalny"/>
    <w:link w:val="StopkaZnak"/>
    <w:uiPriority w:val="99"/>
    <w:semiHidden/>
    <w:rsid w:val="004C3F97"/>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StopkaZnak">
    <w:name w:val="Stopka Znak"/>
    <w:link w:val="Stopka"/>
    <w:uiPriority w:val="99"/>
    <w:semiHidden/>
    <w:rsid w:val="00060076"/>
    <w:rPr>
      <w:rFonts w:eastAsiaTheme="minorEastAsia" w:cs="Arial"/>
      <w:kern w:val="1"/>
      <w:sz w:val="20"/>
      <w:szCs w:val="20"/>
      <w:lang w:eastAsia="ar-SA"/>
    </w:rPr>
  </w:style>
  <w:style w:type="paragraph" w:styleId="Tekstdymka">
    <w:name w:val="Balloon Text"/>
    <w:basedOn w:val="Normalny"/>
    <w:link w:val="TekstdymkaZnak"/>
    <w:uiPriority w:val="99"/>
    <w:semiHidden/>
    <w:rsid w:val="004C3F97"/>
    <w:pPr>
      <w:suppressAutoHyphens/>
      <w:autoSpaceDE/>
      <w:autoSpaceDN/>
      <w:adjustRightInd/>
    </w:pPr>
    <w:rPr>
      <w:rFonts w:ascii="Tahoma" w:eastAsia="Times New Roman" w:hAnsi="Tahoma" w:cs="Tahoma"/>
      <w:kern w:val="1"/>
      <w:szCs w:val="16"/>
      <w:lang w:eastAsia="ar-SA"/>
    </w:rPr>
  </w:style>
  <w:style w:type="character" w:customStyle="1" w:styleId="TekstdymkaZnak">
    <w:name w:val="Tekst dymka Znak"/>
    <w:link w:val="Tekstdymka"/>
    <w:uiPriority w:val="99"/>
    <w:semiHidden/>
    <w:rsid w:val="004C3F97"/>
    <w:rPr>
      <w:rFonts w:ascii="Tahoma" w:eastAsiaTheme="minorEastAsia" w:hAnsi="Tahoma" w:cs="Tahoma"/>
      <w:kern w:val="1"/>
      <w:sz w:val="16"/>
      <w:szCs w:val="16"/>
      <w:lang w:eastAsia="ar-SA"/>
    </w:rPr>
  </w:style>
  <w:style w:type="paragraph" w:customStyle="1" w:styleId="ARTartustawynprozporzdzenia">
    <w:name w:val="ART(§) – art. ustawy (§ np. rozporządzenia)"/>
    <w:uiPriority w:val="11"/>
    <w:qFormat/>
    <w:rsid w:val="006A748A"/>
    <w:pPr>
      <w:suppressAutoHyphens/>
      <w:autoSpaceDE w:val="0"/>
      <w:autoSpaceDN w:val="0"/>
      <w:adjustRightInd w:val="0"/>
      <w:spacing w:before="120"/>
      <w:ind w:firstLine="510"/>
      <w:jc w:val="both"/>
    </w:pPr>
    <w:rPr>
      <w:rFonts w:eastAsiaTheme="minorEastAsia" w:cs="Arial"/>
      <w:szCs w:val="20"/>
    </w:rPr>
  </w:style>
  <w:style w:type="paragraph" w:customStyle="1" w:styleId="ZCZWSPTIRwPKTzmczciwsptirwpktartykuempunktem">
    <w:name w:val="Z/CZ_WSP_TIR_w_PKT – zm. części wsp. tir. w pkt artykułem (punktem)"/>
    <w:basedOn w:val="CZWSPTIRczwsplnatiret"/>
    <w:next w:val="ZPKTzmpktartykuempunktem"/>
    <w:uiPriority w:val="36"/>
    <w:qFormat/>
    <w:rsid w:val="006A748A"/>
    <w:pPr>
      <w:ind w:left="1497"/>
    </w:pPr>
  </w:style>
  <w:style w:type="paragraph" w:customStyle="1" w:styleId="ZTIRwLITzmtirwlitartykuempunktem">
    <w:name w:val="Z/TIR_w_LIT – zm. tir. w lit. artykułem (punktem)"/>
    <w:basedOn w:val="TIRtiret"/>
    <w:uiPriority w:val="33"/>
    <w:qFormat/>
    <w:rsid w:val="006A748A"/>
  </w:style>
  <w:style w:type="paragraph" w:customStyle="1" w:styleId="ZCZWSPTIRwLITzmczciwsptirwlitartykuempunktem">
    <w:name w:val="Z/CZ_WSP_TIR_w_LIT – zm. części wsp. tir. w lit. artykułem (punktem)"/>
    <w:basedOn w:val="CZWSPTIRczwsplnatiret"/>
    <w:next w:val="ZLITzmlitartykuempunktem"/>
    <w:uiPriority w:val="36"/>
    <w:qFormat/>
    <w:rsid w:val="006A748A"/>
  </w:style>
  <w:style w:type="character" w:customStyle="1" w:styleId="Nagwek1Znak">
    <w:name w:val="Nagłówek 1 Znak"/>
    <w:basedOn w:val="Domylnaczcionkaakapitu"/>
    <w:link w:val="Nagwek1"/>
    <w:uiPriority w:val="99"/>
    <w:semiHidden/>
    <w:rsid w:val="004504C0"/>
    <w:rPr>
      <w:rFonts w:asciiTheme="majorHAnsi" w:eastAsiaTheme="majorEastAsia" w:hAnsiTheme="majorHAnsi" w:cstheme="majorBidi"/>
      <w:b/>
      <w:bCs/>
      <w:color w:val="365F91" w:themeColor="accent1" w:themeShade="BF"/>
      <w:kern w:val="1"/>
      <w:sz w:val="28"/>
      <w:szCs w:val="28"/>
      <w:lang w:eastAsia="ar-SA"/>
    </w:rPr>
  </w:style>
  <w:style w:type="paragraph" w:styleId="Bezodstpw">
    <w:name w:val="No Spacing"/>
    <w:uiPriority w:val="99"/>
    <w:rsid w:val="004C3F97"/>
    <w:pPr>
      <w:widowControl w:val="0"/>
      <w:suppressAutoHyphens/>
    </w:pPr>
    <w:rPr>
      <w:kern w:val="1"/>
      <w:lang w:eastAsia="ar-SA"/>
    </w:rPr>
  </w:style>
  <w:style w:type="paragraph" w:customStyle="1" w:styleId="ZPKTzmpktartykuempunktem">
    <w:name w:val="Z/PKT – zm. pkt artykułem (punktem)"/>
    <w:basedOn w:val="PKTpunkt"/>
    <w:uiPriority w:val="31"/>
    <w:qFormat/>
    <w:rsid w:val="006A748A"/>
    <w:pPr>
      <w:ind w:left="1020"/>
    </w:pPr>
  </w:style>
  <w:style w:type="paragraph" w:customStyle="1" w:styleId="ZARTzmartartykuempunktem">
    <w:name w:val="Z/ART(§) – zm. art. (§) artykułem (punktem)"/>
    <w:basedOn w:val="ARTartustawynprozporzdzenia"/>
    <w:uiPriority w:val="30"/>
    <w:qFormat/>
    <w:rsid w:val="006A748A"/>
    <w:pPr>
      <w:spacing w:before="0"/>
      <w:ind w:left="510"/>
    </w:pPr>
  </w:style>
  <w:style w:type="paragraph" w:customStyle="1" w:styleId="DATAAKTUdatauchwalenialubwydaniaaktu">
    <w:name w:val="DATA_AKTU – data uchwalenia lub wydania aktu"/>
    <w:next w:val="TYTUAKTUprzedmiotregulacjiustawylubrozporzdzenia"/>
    <w:uiPriority w:val="6"/>
    <w:qFormat/>
    <w:rsid w:val="006A748A"/>
    <w:pPr>
      <w:keepNext/>
      <w:suppressAutoHyphens/>
      <w:spacing w:before="120" w:after="120"/>
      <w:jc w:val="center"/>
    </w:pPr>
    <w:rPr>
      <w:rFonts w:eastAsiaTheme="minorEastAsia" w:cs="Arial"/>
      <w:bCs/>
    </w:rPr>
  </w:style>
  <w:style w:type="paragraph" w:customStyle="1" w:styleId="TYTUAKTUprzedmiotregulacjiustawylubrozporzdzenia">
    <w:name w:val="TYTUŁ_AKTU – przedmiot regulacji ustawy lub rozporządzenia"/>
    <w:next w:val="ARTartustawynprozporzdzenia"/>
    <w:uiPriority w:val="6"/>
    <w:qFormat/>
    <w:rsid w:val="006A748A"/>
    <w:pPr>
      <w:keepNext/>
      <w:suppressAutoHyphens/>
      <w:spacing w:before="120" w:after="360"/>
      <w:jc w:val="center"/>
    </w:pPr>
    <w:rPr>
      <w:rFonts w:eastAsiaTheme="minorEastAsia" w:cs="Arial"/>
      <w:b/>
      <w:bCs/>
    </w:rPr>
  </w:style>
  <w:style w:type="paragraph" w:customStyle="1" w:styleId="CZKSIGAoznaczenieiprzedmiotczcilubksigi">
    <w:name w:val="CZĘŚĆ(KSIĘGA) – oznaczenie i przedmiot części lub księgi"/>
    <w:next w:val="ARTartustawynprozporzdzenia"/>
    <w:uiPriority w:val="8"/>
    <w:qFormat/>
    <w:rsid w:val="006A748A"/>
    <w:pPr>
      <w:keepNext/>
      <w:suppressAutoHyphens/>
      <w:spacing w:before="120"/>
      <w:jc w:val="center"/>
    </w:pPr>
    <w:rPr>
      <w:b/>
      <w:bCs/>
      <w:caps/>
      <w:kern w:val="24"/>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6A748A"/>
    <w:rPr>
      <w:bCs/>
    </w:rPr>
  </w:style>
  <w:style w:type="paragraph" w:customStyle="1" w:styleId="OZNRODZAKTUtznustawalubrozporzdzenieiorganwydajcy">
    <w:name w:val="OZN_RODZ_AKTU – tzn. ustawa lub rozporządzenie i organ wydający"/>
    <w:next w:val="DATAAKTUdatauchwalenialubwydaniaaktu"/>
    <w:uiPriority w:val="5"/>
    <w:qFormat/>
    <w:rsid w:val="006A748A"/>
    <w:pPr>
      <w:keepNext/>
      <w:suppressAutoHyphens/>
      <w:spacing w:after="120"/>
      <w:jc w:val="center"/>
    </w:pPr>
    <w:rPr>
      <w:b/>
      <w:bCs/>
      <w:caps/>
      <w:spacing w:val="54"/>
      <w:kern w:val="24"/>
    </w:rPr>
  </w:style>
  <w:style w:type="paragraph" w:customStyle="1" w:styleId="USTustnpkodeksu">
    <w:name w:val="UST(§) – ust. (§ np. kodeksu)"/>
    <w:basedOn w:val="ARTartustawynprozporzdzenia"/>
    <w:uiPriority w:val="12"/>
    <w:qFormat/>
    <w:rsid w:val="006A748A"/>
    <w:pPr>
      <w:spacing w:before="0"/>
    </w:pPr>
    <w:rPr>
      <w:bCs/>
    </w:rPr>
  </w:style>
  <w:style w:type="paragraph" w:customStyle="1" w:styleId="PKTpunkt">
    <w:name w:val="PKT – punkt"/>
    <w:uiPriority w:val="16"/>
    <w:qFormat/>
    <w:rsid w:val="005147E8"/>
    <w:pPr>
      <w:ind w:left="510" w:hanging="510"/>
      <w:jc w:val="both"/>
    </w:pPr>
    <w:rPr>
      <w:rFonts w:eastAsiaTheme="minorEastAsia" w:cs="Arial"/>
      <w:bCs/>
      <w:szCs w:val="20"/>
    </w:rPr>
  </w:style>
  <w:style w:type="paragraph" w:customStyle="1" w:styleId="CZWSPPKTczwsplnapunktw">
    <w:name w:val="CZ_WSP_PKT – część wspólna punktów"/>
    <w:basedOn w:val="PKTpunkt"/>
    <w:next w:val="USTustnpkodeksu"/>
    <w:uiPriority w:val="16"/>
    <w:qFormat/>
    <w:rsid w:val="006A748A"/>
    <w:pPr>
      <w:ind w:left="0" w:firstLine="0"/>
    </w:pPr>
  </w:style>
  <w:style w:type="paragraph" w:customStyle="1" w:styleId="LITlitera">
    <w:name w:val="LIT – litera"/>
    <w:basedOn w:val="PKTpunkt"/>
    <w:uiPriority w:val="14"/>
    <w:qFormat/>
    <w:rsid w:val="005147E8"/>
    <w:pPr>
      <w:ind w:left="986" w:hanging="476"/>
    </w:pPr>
  </w:style>
  <w:style w:type="paragraph" w:customStyle="1" w:styleId="CZWSPLITczwsplnaliter">
    <w:name w:val="CZ_WSP_LIT – część wspólna liter"/>
    <w:basedOn w:val="LITlitera"/>
    <w:next w:val="USTustnpkodeksu"/>
    <w:uiPriority w:val="17"/>
    <w:qFormat/>
    <w:rsid w:val="006A748A"/>
    <w:pPr>
      <w:ind w:left="510" w:firstLine="0"/>
    </w:pPr>
    <w:rPr>
      <w:szCs w:val="24"/>
    </w:rPr>
  </w:style>
  <w:style w:type="paragraph" w:customStyle="1" w:styleId="TIRtiret">
    <w:name w:val="TIR – tiret"/>
    <w:basedOn w:val="LITlitera"/>
    <w:uiPriority w:val="15"/>
    <w:qFormat/>
    <w:rsid w:val="005147E8"/>
    <w:pPr>
      <w:ind w:left="1384" w:hanging="397"/>
    </w:pPr>
  </w:style>
  <w:style w:type="paragraph" w:customStyle="1" w:styleId="CZWSPTIRczwsplnatiret">
    <w:name w:val="CZ_WSP_TIR – część wspólna tiret"/>
    <w:basedOn w:val="TIRtiret"/>
    <w:next w:val="USTustnpkodeksu"/>
    <w:uiPriority w:val="17"/>
    <w:qFormat/>
    <w:rsid w:val="006A748A"/>
    <w:pPr>
      <w:ind w:left="987" w:firstLine="0"/>
    </w:pPr>
  </w:style>
  <w:style w:type="paragraph" w:customStyle="1" w:styleId="CYTcytatnpprzysigi">
    <w:name w:val="CYT – cytat np. przysięgi"/>
    <w:basedOn w:val="USTustnpkodeksu"/>
    <w:next w:val="USTustnpkodeksu"/>
    <w:uiPriority w:val="18"/>
    <w:qFormat/>
    <w:rsid w:val="006A748A"/>
    <w:pPr>
      <w:ind w:left="510" w:right="510" w:firstLine="0"/>
      <w:mirrorIndents/>
    </w:pPr>
  </w:style>
  <w:style w:type="paragraph" w:customStyle="1" w:styleId="ROZDZODDZPRZEDMprzedmiotregulacjirozdziauluboddziau">
    <w:name w:val="ROZDZ(ODDZ)_PRZEDM – przedmiot regulacji rozdziału lub oddziału"/>
    <w:next w:val="ARTartustawynprozporzdzenia"/>
    <w:uiPriority w:val="10"/>
    <w:qFormat/>
    <w:rsid w:val="006A748A"/>
    <w:pPr>
      <w:keepNext/>
      <w:suppressAutoHyphens/>
      <w:spacing w:before="120"/>
      <w:jc w:val="center"/>
    </w:pPr>
    <w:rPr>
      <w:rFonts w:eastAsiaTheme="minorEastAsia"/>
      <w:b/>
      <w:bCs/>
    </w:rPr>
  </w:style>
  <w:style w:type="paragraph" w:customStyle="1" w:styleId="ZLITzmlitartykuempunktem">
    <w:name w:val="Z/LIT – zm. lit. artykułem (punktem)"/>
    <w:basedOn w:val="LITlitera"/>
    <w:uiPriority w:val="32"/>
    <w:qFormat/>
    <w:rsid w:val="006A748A"/>
  </w:style>
  <w:style w:type="paragraph" w:customStyle="1" w:styleId="ZLITCZWSPTIRwLITzmczciwsptirwlitliter">
    <w:name w:val="Z_LIT/CZ_WSP_TIR_w_LIT – zm. części wsp. tir. w lit. literą"/>
    <w:basedOn w:val="CZWSPTIRczwsplnatiret"/>
    <w:next w:val="LITlitera"/>
    <w:uiPriority w:val="51"/>
    <w:qFormat/>
    <w:rsid w:val="006A748A"/>
    <w:pPr>
      <w:ind w:left="1463"/>
    </w:pPr>
  </w:style>
  <w:style w:type="paragraph" w:customStyle="1" w:styleId="ZLITTIRwLITzmtirwlitliter">
    <w:name w:val="Z_LIT/TIR_w_LIT – zm. tir. w lit. literą"/>
    <w:basedOn w:val="TIRtiret"/>
    <w:uiPriority w:val="49"/>
    <w:qFormat/>
    <w:rsid w:val="006A748A"/>
    <w:pPr>
      <w:ind w:left="1860"/>
    </w:pPr>
  </w:style>
  <w:style w:type="paragraph" w:customStyle="1" w:styleId="TYTDZOZNoznaczenietytuulubdziau">
    <w:name w:val="TYT(DZ)_OZN – oznaczenie tytułu lub działu"/>
    <w:next w:val="Normalny"/>
    <w:uiPriority w:val="9"/>
    <w:qFormat/>
    <w:rsid w:val="006A748A"/>
    <w:pPr>
      <w:keepNext/>
      <w:spacing w:before="120"/>
      <w:jc w:val="center"/>
    </w:pPr>
    <w:rPr>
      <w:rFonts w:eastAsiaTheme="minorEastAsia" w:cs="Arial"/>
      <w:bCs/>
      <w:caps/>
      <w:kern w:val="24"/>
    </w:rPr>
  </w:style>
  <w:style w:type="paragraph" w:customStyle="1" w:styleId="ZWMATFIZCHEMzmwzorumatfizlubchemartykuempunktem">
    <w:name w:val="Z/W_MAT(FIZ|CHEM) – zm. wzoru mat. (fiz. lub chem.) artykułem (punktem)"/>
    <w:basedOn w:val="WMATFIZCHEMwzrmatfizlubchem"/>
    <w:uiPriority w:val="38"/>
    <w:qFormat/>
    <w:rsid w:val="001270A2"/>
    <w:pPr>
      <w:ind w:left="510"/>
    </w:pPr>
  </w:style>
  <w:style w:type="paragraph" w:customStyle="1" w:styleId="ZTYTDZOZNzmozntytuudziauartykuempunktem">
    <w:name w:val="Z/TYT(DZ)_OZN – zm. ozn. tytułu (działu) artykułem (punktem)"/>
    <w:basedOn w:val="TYTDZOZNoznaczenietytuulubdziau"/>
    <w:next w:val="ZTYTDZPRZEDMzmprzedmtytuulubdziauartykuempunktem"/>
    <w:uiPriority w:val="28"/>
    <w:qFormat/>
    <w:rsid w:val="006A748A"/>
    <w:pPr>
      <w:spacing w:before="0"/>
      <w:ind w:left="510"/>
    </w:pPr>
  </w:style>
  <w:style w:type="paragraph" w:customStyle="1" w:styleId="ZTYTDZPRZEDMzmprzedmtytuulubdziauartykuempunktem">
    <w:name w:val="Z/TYT(DZ)_PRZEDM – zm. przedm. tytułu lub działu artykułem (punktem)"/>
    <w:next w:val="ZARTzmartartykuempunktem"/>
    <w:uiPriority w:val="28"/>
    <w:qFormat/>
    <w:rsid w:val="006A748A"/>
    <w:pPr>
      <w:keepNext/>
      <w:suppressAutoHyphens/>
      <w:ind w:left="510"/>
      <w:jc w:val="center"/>
    </w:pPr>
    <w:rPr>
      <w:szCs w:val="26"/>
    </w:rPr>
  </w:style>
  <w:style w:type="paragraph" w:customStyle="1" w:styleId="ZTIRzmtirartykuempunktem">
    <w:name w:val="Z/TIR – zm. tir. artykułem (punktem)"/>
    <w:basedOn w:val="TIRtiret"/>
    <w:next w:val="PKTpunkt"/>
    <w:uiPriority w:val="33"/>
    <w:qFormat/>
    <w:rsid w:val="006A748A"/>
    <w:pPr>
      <w:ind w:left="907"/>
    </w:pPr>
  </w:style>
  <w:style w:type="paragraph" w:customStyle="1" w:styleId="ZCZWSPPKTzmczciwsppktartykuempunktem">
    <w:name w:val="Z/CZ_WSP_PKT – zm. części wsp. pkt artykułem (punktem)"/>
    <w:basedOn w:val="CZWSPPKTczwsplnapunktw"/>
    <w:next w:val="ZARTzmartartykuempunktem"/>
    <w:uiPriority w:val="34"/>
    <w:qFormat/>
    <w:rsid w:val="006A748A"/>
    <w:pPr>
      <w:ind w:left="510"/>
    </w:pPr>
  </w:style>
  <w:style w:type="paragraph" w:customStyle="1" w:styleId="ZZLITzmianazmlit">
    <w:name w:val="ZZ/LIT – zmiana zm. lit."/>
    <w:basedOn w:val="ZZPKTzmianazmpkt"/>
    <w:uiPriority w:val="67"/>
    <w:qFormat/>
    <w:rsid w:val="006A748A"/>
    <w:pPr>
      <w:ind w:left="2370" w:hanging="476"/>
    </w:pPr>
  </w:style>
  <w:style w:type="paragraph" w:customStyle="1" w:styleId="ZZTIRzmianazmtir">
    <w:name w:val="ZZ/TIR – zmiana zm. tir."/>
    <w:basedOn w:val="ZZLITzmianazmlit"/>
    <w:uiPriority w:val="67"/>
    <w:qFormat/>
    <w:rsid w:val="006A748A"/>
    <w:pPr>
      <w:ind w:left="2291" w:hanging="397"/>
    </w:pPr>
  </w:style>
  <w:style w:type="paragraph" w:customStyle="1" w:styleId="ZROZDZODDZOZNzmoznrozdzoddzartykuempunktem">
    <w:name w:val="Z/ROZDZ(ODDZ)_OZN – zm. ozn. rozdz. (oddz.) artykułem (punktem)"/>
    <w:next w:val="ZROZDZODDZPRZEDMzmprzedmrozdzoddzartykuempunktem"/>
    <w:uiPriority w:val="29"/>
    <w:qFormat/>
    <w:rsid w:val="006A748A"/>
    <w:pPr>
      <w:keepNext/>
      <w:suppressAutoHyphens/>
      <w:ind w:left="510"/>
      <w:jc w:val="center"/>
    </w:pPr>
    <w:rPr>
      <w:rFonts w:eastAsiaTheme="minorEastAsia" w:cs="Arial"/>
      <w:bCs/>
      <w:kern w:val="24"/>
    </w:rPr>
  </w:style>
  <w:style w:type="paragraph" w:customStyle="1" w:styleId="ZLITUSTzmustliter">
    <w:name w:val="Z_LIT/UST(§) – zm. ust. (§) literą"/>
    <w:basedOn w:val="USTustnpkodeksu"/>
    <w:uiPriority w:val="46"/>
    <w:qFormat/>
    <w:rsid w:val="006A748A"/>
    <w:pPr>
      <w:ind w:left="987"/>
    </w:pPr>
  </w:style>
  <w:style w:type="paragraph" w:customStyle="1" w:styleId="ZLITPKTzmpktliter">
    <w:name w:val="Z_LIT/PKT – zm. pkt literą"/>
    <w:basedOn w:val="PKTpunkt"/>
    <w:uiPriority w:val="47"/>
    <w:qFormat/>
    <w:rsid w:val="006A748A"/>
    <w:pPr>
      <w:ind w:left="1497"/>
    </w:pPr>
  </w:style>
  <w:style w:type="paragraph" w:customStyle="1" w:styleId="ZZCZWSPPKTzmianazmczciwsppkt">
    <w:name w:val="ZZ/CZ_WSP_PKT – zmiana. zm. części wsp. pkt"/>
    <w:basedOn w:val="ZZARTzmianazmart"/>
    <w:next w:val="ZPKTzmpktartykuempunktem"/>
    <w:uiPriority w:val="68"/>
    <w:qFormat/>
    <w:rsid w:val="006A748A"/>
    <w:pPr>
      <w:ind w:firstLine="0"/>
    </w:pPr>
  </w:style>
  <w:style w:type="paragraph" w:customStyle="1" w:styleId="ZLITLITzmlitliter">
    <w:name w:val="Z_LIT/LIT – zm. lit. literą"/>
    <w:basedOn w:val="LITlitera"/>
    <w:uiPriority w:val="48"/>
    <w:qFormat/>
    <w:rsid w:val="006A748A"/>
    <w:pPr>
      <w:ind w:left="1463"/>
    </w:pPr>
  </w:style>
  <w:style w:type="paragraph" w:customStyle="1" w:styleId="ZLITCZWSPPKTzmczciwsppktliter">
    <w:name w:val="Z_LIT/CZ_WSP_PKT – zm. części wsp. pkt literą"/>
    <w:basedOn w:val="CZWSPLITczwsplnaliter"/>
    <w:next w:val="LITlitera"/>
    <w:uiPriority w:val="50"/>
    <w:qFormat/>
    <w:rsid w:val="006A748A"/>
    <w:pPr>
      <w:ind w:left="987"/>
    </w:pPr>
  </w:style>
  <w:style w:type="paragraph" w:customStyle="1" w:styleId="ZLITTIRzmtirliter">
    <w:name w:val="Z_LIT/TIR – zm. tir. literą"/>
    <w:basedOn w:val="TIRtiret"/>
    <w:uiPriority w:val="49"/>
    <w:qFormat/>
    <w:rsid w:val="006A748A"/>
  </w:style>
  <w:style w:type="paragraph" w:customStyle="1" w:styleId="ZZCZWSPLITwPKTzmianazmczciwsplitwpkt">
    <w:name w:val="ZZ/CZ_WSP_LIT_w_PKT – zmiana zm. części wsp. lit. w pkt"/>
    <w:basedOn w:val="ZZLITwPKTzmianazmlitwpkt"/>
    <w:uiPriority w:val="69"/>
    <w:qFormat/>
    <w:rsid w:val="006A748A"/>
    <w:pPr>
      <w:ind w:left="2404" w:firstLine="0"/>
    </w:pPr>
  </w:style>
  <w:style w:type="paragraph" w:customStyle="1" w:styleId="ZLITLITwPKTzmlitwpktliter">
    <w:name w:val="Z_LIT/LIT_w_PKT – zm. lit. w pkt literą"/>
    <w:basedOn w:val="LITlitera"/>
    <w:uiPriority w:val="48"/>
    <w:qFormat/>
    <w:rsid w:val="006A748A"/>
    <w:pPr>
      <w:ind w:left="1973"/>
    </w:pPr>
  </w:style>
  <w:style w:type="paragraph" w:customStyle="1" w:styleId="ZLITCZWSPLITwPKTzmczciwsplitwpktliter">
    <w:name w:val="Z_LIT/CZ_WSP_LIT_w_PKT – zm. części wsp. lit. w pkt literą"/>
    <w:basedOn w:val="CZWSPLITczwsplnaliter"/>
    <w:next w:val="LITlitera"/>
    <w:uiPriority w:val="51"/>
    <w:qFormat/>
    <w:rsid w:val="006A748A"/>
    <w:pPr>
      <w:ind w:left="1497"/>
    </w:pPr>
  </w:style>
  <w:style w:type="paragraph" w:customStyle="1" w:styleId="ZLITTIRwPKTzmtirwpktliter">
    <w:name w:val="Z_LIT/TIR_w_PKT – zm. tir. w pkt literą"/>
    <w:basedOn w:val="TIRtiret"/>
    <w:uiPriority w:val="49"/>
    <w:qFormat/>
    <w:rsid w:val="006A748A"/>
    <w:pPr>
      <w:ind w:left="2370"/>
    </w:pPr>
  </w:style>
  <w:style w:type="paragraph" w:customStyle="1" w:styleId="ZLITCZWSPTIRwPKTzmczciwsptirwpktliter">
    <w:name w:val="Z_LIT/CZ_WSP_TIR_w_PKT – zm. części wsp. tir. w pkt literą"/>
    <w:basedOn w:val="CZWSPTIRczwsplnatiret"/>
    <w:next w:val="LITlitera"/>
    <w:uiPriority w:val="51"/>
    <w:qFormat/>
    <w:rsid w:val="006A748A"/>
    <w:pPr>
      <w:ind w:left="1973"/>
    </w:pPr>
  </w:style>
  <w:style w:type="paragraph" w:styleId="Tekstprzypisudolnego">
    <w:name w:val="footnote text"/>
    <w:basedOn w:val="Normalny"/>
    <w:link w:val="TekstprzypisudolnegoZnak"/>
    <w:uiPriority w:val="99"/>
    <w:semiHidden/>
    <w:qFormat/>
    <w:locked/>
    <w:rsid w:val="00295A6F"/>
    <w:rPr>
      <w:rFonts w:ascii="Times" w:eastAsia="Times New Roman" w:hAnsi="Times" w:cs="Times New Roman"/>
      <w:szCs w:val="24"/>
    </w:rPr>
  </w:style>
  <w:style w:type="character" w:customStyle="1" w:styleId="TekstprzypisudolnegoZnak">
    <w:name w:val="Tekst przypisu dolnego Znak"/>
    <w:basedOn w:val="Domylnaczcionkaakapitu"/>
    <w:link w:val="Tekstprzypisudolnego"/>
    <w:uiPriority w:val="99"/>
    <w:semiHidden/>
    <w:rsid w:val="006E0FCC"/>
    <w:rPr>
      <w:sz w:val="20"/>
    </w:rPr>
  </w:style>
  <w:style w:type="paragraph" w:customStyle="1" w:styleId="ZTIRLITzmlittiret">
    <w:name w:val="Z_TIR/LIT – zm. lit. tiret"/>
    <w:basedOn w:val="LITlitera"/>
    <w:uiPriority w:val="57"/>
    <w:qFormat/>
    <w:rsid w:val="006A748A"/>
    <w:pPr>
      <w:ind w:left="1859"/>
    </w:pPr>
  </w:style>
  <w:style w:type="paragraph" w:customStyle="1" w:styleId="ZTIRCZWSPPKTzmczciwsppkttiret">
    <w:name w:val="Z_TIR/CZ_WSP_PKT – zm. części wsp. pkt tiret"/>
    <w:basedOn w:val="CZWSPLITczwsplnaliter"/>
    <w:next w:val="TIRtiret"/>
    <w:uiPriority w:val="58"/>
    <w:qFormat/>
    <w:rsid w:val="006A748A"/>
    <w:pPr>
      <w:ind w:left="1383"/>
    </w:pPr>
  </w:style>
  <w:style w:type="paragraph" w:customStyle="1" w:styleId="ZTIRTIRzmtirtiret">
    <w:name w:val="Z_TIR/TIR – zm. tir. tiret"/>
    <w:basedOn w:val="TIRtiret"/>
    <w:uiPriority w:val="57"/>
    <w:qFormat/>
    <w:rsid w:val="006A748A"/>
    <w:pPr>
      <w:ind w:left="1780"/>
    </w:pPr>
  </w:style>
  <w:style w:type="paragraph" w:customStyle="1" w:styleId="ZZCZWSPTIRwPKTzmianazmczciwsptirwpkt">
    <w:name w:val="ZZ/CZ_WSP_TIR_w_PKT – zmiana zm. części wsp. tir. w pkt"/>
    <w:basedOn w:val="ZZTIRwPKTzmianazmtirwpkt"/>
    <w:uiPriority w:val="70"/>
    <w:qFormat/>
    <w:rsid w:val="006A748A"/>
    <w:pPr>
      <w:ind w:left="2880" w:firstLine="0"/>
    </w:pPr>
  </w:style>
  <w:style w:type="paragraph" w:customStyle="1" w:styleId="ZZTIRwLITzmianazmtirwlit">
    <w:name w:val="ZZ/TIR_w_LIT – zmiana zm. tir. w lit."/>
    <w:basedOn w:val="ZZTIRzmianazmtir"/>
    <w:uiPriority w:val="67"/>
    <w:qFormat/>
    <w:rsid w:val="006A748A"/>
    <w:pPr>
      <w:ind w:left="2767"/>
    </w:pPr>
  </w:style>
  <w:style w:type="paragraph" w:customStyle="1" w:styleId="ZTIRTIRwLITzmtirwlittiret">
    <w:name w:val="Z_TIR/TIR_w_LIT – zm. tir. w lit. tiret"/>
    <w:basedOn w:val="TIRtiret"/>
    <w:uiPriority w:val="57"/>
    <w:qFormat/>
    <w:rsid w:val="006A748A"/>
    <w:pPr>
      <w:ind w:left="2257"/>
    </w:pPr>
  </w:style>
  <w:style w:type="paragraph" w:customStyle="1" w:styleId="ZTIRCZWSPTIRwLITzmczciwsptirwlittiret">
    <w:name w:val="Z_TIR/CZ_WSP_TIR_w_LIT – zm. części wsp. tir. w lit. tiret"/>
    <w:basedOn w:val="CZWSPTIRczwsplnatiret"/>
    <w:next w:val="TIRtiret"/>
    <w:uiPriority w:val="60"/>
    <w:qFormat/>
    <w:rsid w:val="006A748A"/>
    <w:pPr>
      <w:ind w:left="1860"/>
    </w:pPr>
  </w:style>
  <w:style w:type="paragraph" w:customStyle="1" w:styleId="CZWSP2TIRczwsplnapodwjnychtiret">
    <w:name w:val="CZ_WSP_2TIR – część wspólna podwójnych tiret"/>
    <w:basedOn w:val="CZWSPTIRczwsplnatiret"/>
    <w:next w:val="TIRtiret"/>
    <w:uiPriority w:val="73"/>
    <w:qFormat/>
    <w:rsid w:val="006A748A"/>
    <w:pPr>
      <w:ind w:left="1780"/>
    </w:pPr>
  </w:style>
  <w:style w:type="paragraph" w:customStyle="1" w:styleId="Z2TIRzmpodwtirartykuempunktem">
    <w:name w:val="Z/2TIR – zm. podw. tir. artykułem (punktem)"/>
    <w:basedOn w:val="TIRtiret"/>
    <w:uiPriority w:val="73"/>
    <w:qFormat/>
    <w:rsid w:val="006A748A"/>
    <w:pPr>
      <w:ind w:left="907"/>
    </w:pPr>
  </w:style>
  <w:style w:type="paragraph" w:customStyle="1" w:styleId="ZZCZWSPTIRwLITzmianazmczciwsptirwlit">
    <w:name w:val="ZZ/CZ_WSP_TIR_w_LIT – zmiana zm. części wsp. tir. w lit."/>
    <w:basedOn w:val="ZZTIRwLITzmianazmtirwlit"/>
    <w:uiPriority w:val="70"/>
    <w:qFormat/>
    <w:rsid w:val="006A748A"/>
    <w:pPr>
      <w:ind w:left="2370" w:firstLine="0"/>
    </w:pPr>
  </w:style>
  <w:style w:type="paragraph" w:customStyle="1" w:styleId="ZLIT2TIRzmpodwtirliter">
    <w:name w:val="Z_LIT/2TIR – zm. podw. tir. literą"/>
    <w:basedOn w:val="TIRtiret"/>
    <w:uiPriority w:val="75"/>
    <w:qFormat/>
    <w:rsid w:val="006A748A"/>
  </w:style>
  <w:style w:type="paragraph" w:customStyle="1" w:styleId="ZTIR2TIRzmpodwtirtiret">
    <w:name w:val="Z_TIR/2TIR – zm. podw. tir. tiret"/>
    <w:basedOn w:val="TIRtiret"/>
    <w:uiPriority w:val="78"/>
    <w:qFormat/>
    <w:rsid w:val="006A748A"/>
    <w:pPr>
      <w:ind w:left="1780"/>
    </w:pPr>
  </w:style>
  <w:style w:type="paragraph" w:customStyle="1" w:styleId="Z2TIRCZWSPLITzmczciwsplitpodwjnymtiret">
    <w:name w:val="Z_2TIR/CZ_WSP_LIT – zm. części wsp. lit. podwójnym tiret"/>
    <w:basedOn w:val="CZWSPTIRczwsplnatiret"/>
    <w:next w:val="2TIRpodwjnytiret"/>
    <w:uiPriority w:val="87"/>
    <w:qFormat/>
    <w:rsid w:val="006A748A"/>
    <w:pPr>
      <w:ind w:left="1780"/>
    </w:pPr>
  </w:style>
  <w:style w:type="paragraph" w:customStyle="1" w:styleId="Z2TIRwPKTzmpodwtirwpktartykuempunktem">
    <w:name w:val="Z/2TIR_w_PKT – zm. podw. tir. w pkt artykułem (punktem)"/>
    <w:basedOn w:val="TIRtiret"/>
    <w:next w:val="ZPKTzmpktartykuempunktem"/>
    <w:uiPriority w:val="74"/>
    <w:qFormat/>
    <w:rsid w:val="006A748A"/>
    <w:pPr>
      <w:ind w:left="2291"/>
    </w:pPr>
  </w:style>
  <w:style w:type="paragraph" w:customStyle="1" w:styleId="ZTIRPKTzmpkttiret">
    <w:name w:val="Z_TIR/PKT – zm. pkt tiret"/>
    <w:basedOn w:val="PKTpunkt"/>
    <w:uiPriority w:val="56"/>
    <w:qFormat/>
    <w:rsid w:val="006A748A"/>
    <w:pPr>
      <w:ind w:left="1893"/>
    </w:pPr>
  </w:style>
  <w:style w:type="paragraph" w:customStyle="1" w:styleId="ZTIRLITwPKTzmlitwpkttiret">
    <w:name w:val="Z_TIR/LIT_w_PKT – zm. lit. w pkt tiret"/>
    <w:basedOn w:val="LITlitera"/>
    <w:uiPriority w:val="57"/>
    <w:qFormat/>
    <w:rsid w:val="006A748A"/>
    <w:pPr>
      <w:ind w:left="2336"/>
    </w:pPr>
  </w:style>
  <w:style w:type="paragraph" w:customStyle="1" w:styleId="ZTIRCZWSPLITwPKTzmczciwsplitwpkttiret">
    <w:name w:val="Z_TIR/CZ_WSP_LIT_w_PKT – zm. części wsp. lit. w pkt tiret"/>
    <w:basedOn w:val="CZWSPLITczwsplnaliter"/>
    <w:uiPriority w:val="59"/>
    <w:qFormat/>
    <w:rsid w:val="006A748A"/>
    <w:pPr>
      <w:ind w:left="1860"/>
    </w:pPr>
  </w:style>
  <w:style w:type="paragraph" w:customStyle="1" w:styleId="ZTIR2TIRwLITzmpodwtirwlittiret">
    <w:name w:val="Z_TIR/2TIR_w_LIT – zm. podw. tir. w lit. tiret"/>
    <w:basedOn w:val="TIRtiret"/>
    <w:uiPriority w:val="79"/>
    <w:qFormat/>
    <w:rsid w:val="006A748A"/>
    <w:pPr>
      <w:ind w:left="2654"/>
    </w:pPr>
  </w:style>
  <w:style w:type="paragraph" w:customStyle="1" w:styleId="ZTIRCZWSP2TIRwLITzmczciwsppodwtirwlittiret">
    <w:name w:val="Z_TIR/CZ_WSP_2TIR_w_LIT – zm. części wsp. podw. tir. w lit. tiret"/>
    <w:basedOn w:val="CZWSPTIRczwsplnatiret"/>
    <w:next w:val="TIRtiret"/>
    <w:uiPriority w:val="80"/>
    <w:qFormat/>
    <w:rsid w:val="006A748A"/>
    <w:pPr>
      <w:ind w:left="2257"/>
    </w:pPr>
  </w:style>
  <w:style w:type="paragraph" w:customStyle="1" w:styleId="ZTIR2TIRwTIRzmpodwtirwtirtiret">
    <w:name w:val="Z_TIR/2TIR_w_TIR – zm. podw. tir. w tir. tiret"/>
    <w:basedOn w:val="TIRtiret"/>
    <w:uiPriority w:val="78"/>
    <w:qFormat/>
    <w:rsid w:val="006A748A"/>
    <w:pPr>
      <w:ind w:left="2177"/>
    </w:pPr>
  </w:style>
  <w:style w:type="paragraph" w:customStyle="1" w:styleId="ZTIRCZWSP2TIRwTIRzmczciwsppodwtirwtirtiret">
    <w:name w:val="Z_TIR/CZ_WSP_2TIR_w_TIR – zm. części wsp. podw. tir. w tir. tiret"/>
    <w:basedOn w:val="CZWSPTIRczwsplnatiret"/>
    <w:uiPriority w:val="79"/>
    <w:qFormat/>
    <w:rsid w:val="006A748A"/>
    <w:pPr>
      <w:ind w:left="1780"/>
    </w:pPr>
  </w:style>
  <w:style w:type="paragraph" w:customStyle="1" w:styleId="Z2TIRLITzmlitpodwjnymtiret">
    <w:name w:val="Z_2TIR/LIT – zm. lit. podwójnym tiret"/>
    <w:basedOn w:val="LITlitera"/>
    <w:uiPriority w:val="84"/>
    <w:qFormat/>
    <w:rsid w:val="006A748A"/>
    <w:pPr>
      <w:ind w:left="2256"/>
    </w:pPr>
  </w:style>
  <w:style w:type="paragraph" w:customStyle="1" w:styleId="ZZ2TIRwTIRzmianazmpodwtirwtir">
    <w:name w:val="ZZ/2TIR_w_TIR – zmiana zm. podw. tir. w tir."/>
    <w:basedOn w:val="ZZCZWSP2TIRzmianazmczciwsppodwtir"/>
    <w:uiPriority w:val="93"/>
    <w:qFormat/>
    <w:rsid w:val="006A748A"/>
    <w:pPr>
      <w:ind w:left="2688" w:hanging="397"/>
    </w:pPr>
  </w:style>
  <w:style w:type="paragraph" w:customStyle="1" w:styleId="ZZ2TIRwLITzmianazmpodwtirwlit">
    <w:name w:val="ZZ/2TIR_w_LIT – zmiana zm. podw. tir. w lit."/>
    <w:basedOn w:val="ZZ2TIRwTIRzmianazmpodwtirwtir"/>
    <w:uiPriority w:val="94"/>
    <w:qFormat/>
    <w:rsid w:val="006A748A"/>
    <w:pPr>
      <w:ind w:left="3164"/>
    </w:pPr>
  </w:style>
  <w:style w:type="paragraph" w:customStyle="1" w:styleId="Z2TIRTIRwLITzmtirwlitpodwjnymtiret">
    <w:name w:val="Z_2TIR/TIR_w_LIT – zm. tir. w lit. podwójnym tiret"/>
    <w:basedOn w:val="TIRtiret"/>
    <w:uiPriority w:val="84"/>
    <w:qFormat/>
    <w:rsid w:val="006A748A"/>
    <w:pPr>
      <w:ind w:left="2654"/>
    </w:pPr>
  </w:style>
  <w:style w:type="paragraph" w:customStyle="1" w:styleId="Z2TIRCZWSPTIRwLITzmczciwsptirwlitpodwjnymtiret">
    <w:name w:val="Z_2TIR/CZ_WSP_TIR_w_LIT – zm. części wsp. tir. w lit. podwójnym tiret"/>
    <w:basedOn w:val="CZWSPTIRczwsplnatiret"/>
    <w:next w:val="2TIRpodwjnytiret"/>
    <w:uiPriority w:val="87"/>
    <w:qFormat/>
    <w:rsid w:val="006A748A"/>
    <w:pPr>
      <w:ind w:left="2257"/>
    </w:pPr>
  </w:style>
  <w:style w:type="paragraph" w:customStyle="1" w:styleId="ZZ2TIRwPKTzmianazmpodwtirwpkt">
    <w:name w:val="ZZ/2TIR_w_PKT – zmiana zm. podw. tir. w pkt"/>
    <w:basedOn w:val="ZZ2TIRwLITzmianazmpodwtirwlit"/>
    <w:uiPriority w:val="94"/>
    <w:qFormat/>
    <w:rsid w:val="006A748A"/>
    <w:pPr>
      <w:ind w:left="3674"/>
    </w:pPr>
  </w:style>
  <w:style w:type="paragraph" w:customStyle="1" w:styleId="ZZCZWSP2TIRwTIRzmianazmczciwsppodwtirwtir">
    <w:name w:val="ZZ/CZ_WSP_2TIR_w_TIR – zmiana zm. części wsp. podw. tir. w tir."/>
    <w:basedOn w:val="ZZ2TIRwLITzmianazmpodwtirwlit"/>
    <w:uiPriority w:val="94"/>
    <w:qFormat/>
    <w:rsid w:val="006A748A"/>
    <w:pPr>
      <w:ind w:left="2291" w:firstLine="0"/>
    </w:pPr>
  </w:style>
  <w:style w:type="paragraph" w:customStyle="1" w:styleId="Z2TIR2TIRwTIRzmpodwtirwtirpodwjnymtiret">
    <w:name w:val="Z_2TIR/2TIR_w_TIR – zm. podw. tir. w tir. podwójnym tiret"/>
    <w:basedOn w:val="TIRtiret"/>
    <w:uiPriority w:val="85"/>
    <w:qFormat/>
    <w:rsid w:val="006A748A"/>
    <w:pPr>
      <w:ind w:left="2574"/>
    </w:pPr>
  </w:style>
  <w:style w:type="paragraph" w:customStyle="1" w:styleId="Z2TIRCZWSP2TIRwTIRzmczciwsppodwtirwtiretpodwjnymtiret">
    <w:name w:val="Z_2TIR/CZ_WSP_2TIR_w_TIR – zm. części wsp. podw. tir. w tiret podwójnym tiret"/>
    <w:basedOn w:val="CZWSPTIRczwsplnatiret"/>
    <w:next w:val="2TIRpodwjnytiret"/>
    <w:uiPriority w:val="88"/>
    <w:qFormat/>
    <w:rsid w:val="006A748A"/>
    <w:pPr>
      <w:ind w:left="2177"/>
    </w:pPr>
  </w:style>
  <w:style w:type="paragraph" w:customStyle="1" w:styleId="Z2TIR2TIRwLITzmpodwtirwlitpodwjnymtiret">
    <w:name w:val="Z_2TIR/2TIR_w_LIT – zm. podw. tir. w lit. podwójnym tiret"/>
    <w:basedOn w:val="TIRtiret"/>
    <w:uiPriority w:val="86"/>
    <w:qFormat/>
    <w:rsid w:val="006A748A"/>
    <w:pPr>
      <w:ind w:left="3051"/>
    </w:pPr>
  </w:style>
  <w:style w:type="paragraph" w:customStyle="1" w:styleId="Z2TIRCZWSP2TIRwLITzmczciwsppodwtirwlitpodwjnymtiret">
    <w:name w:val="Z_2TIR/CZ_WSP_2TIR_w_LIT – zm. części wsp. podw. tir. w lit. podwójnym tiret"/>
    <w:basedOn w:val="CZWSPTIRczwsplnatiret"/>
    <w:next w:val="2TIRpodwjnytiret"/>
    <w:uiPriority w:val="89"/>
    <w:qFormat/>
    <w:rsid w:val="006A748A"/>
    <w:pPr>
      <w:ind w:left="2654"/>
    </w:pPr>
  </w:style>
  <w:style w:type="paragraph" w:customStyle="1" w:styleId="ZCZCIKSIGIzmozniprzedmczciksigiartykuempunktem">
    <w:name w:val="Z/CZĘŚCI(KSIĘGI) – zm. ozn. i przedm. części (księgi) artykułem (punktem)"/>
    <w:basedOn w:val="CZKSIGAoznaczenieiprzedmiotczcilubksigi"/>
    <w:uiPriority w:val="28"/>
    <w:qFormat/>
    <w:rsid w:val="006A748A"/>
    <w:pPr>
      <w:ind w:left="510"/>
    </w:pPr>
    <w:rPr>
      <w:b w:val="0"/>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qFormat/>
    <w:rsid w:val="00BB7B38"/>
    <w:pPr>
      <w:spacing w:after="120"/>
      <w:ind w:left="510"/>
    </w:pPr>
    <w:rPr>
      <w:b w:val="0"/>
    </w:rPr>
  </w:style>
  <w:style w:type="character" w:styleId="Odwoaniedokomentarza">
    <w:name w:val="annotation reference"/>
    <w:basedOn w:val="Domylnaczcionkaakapitu"/>
    <w:uiPriority w:val="99"/>
    <w:semiHidden/>
    <w:rsid w:val="00023F13"/>
    <w:rPr>
      <w:sz w:val="16"/>
      <w:szCs w:val="16"/>
    </w:rPr>
  </w:style>
  <w:style w:type="paragraph" w:styleId="Tekstkomentarza">
    <w:name w:val="annotation text"/>
    <w:basedOn w:val="Normalny"/>
    <w:link w:val="TekstkomentarzaZnak"/>
    <w:uiPriority w:val="99"/>
    <w:semiHidden/>
    <w:rsid w:val="00023F13"/>
    <w:rPr>
      <w:rFonts w:ascii="Times" w:eastAsia="Times New Roman" w:hAnsi="Times" w:cs="Times New Roman"/>
      <w:szCs w:val="24"/>
    </w:rPr>
  </w:style>
  <w:style w:type="character" w:customStyle="1" w:styleId="TekstkomentarzaZnak">
    <w:name w:val="Tekst komentarza Znak"/>
    <w:basedOn w:val="Domylnaczcionkaakapitu"/>
    <w:link w:val="Tekstkomentarza"/>
    <w:uiPriority w:val="99"/>
    <w:semiHidden/>
    <w:rsid w:val="004504C0"/>
    <w:rPr>
      <w:sz w:val="20"/>
    </w:rPr>
  </w:style>
  <w:style w:type="paragraph" w:styleId="Tematkomentarza">
    <w:name w:val="annotation subject"/>
    <w:basedOn w:val="Tekstkomentarza"/>
    <w:next w:val="Tekstkomentarza"/>
    <w:link w:val="TematkomentarzaZnak"/>
    <w:uiPriority w:val="99"/>
    <w:semiHidden/>
    <w:rsid w:val="00023F13"/>
    <w:rPr>
      <w:b/>
      <w:bCs/>
    </w:rPr>
  </w:style>
  <w:style w:type="character" w:customStyle="1" w:styleId="TematkomentarzaZnak">
    <w:name w:val="Temat komentarza Znak"/>
    <w:basedOn w:val="TekstkomentarzaZnak"/>
    <w:link w:val="Tematkomentarza"/>
    <w:uiPriority w:val="99"/>
    <w:semiHidden/>
    <w:rsid w:val="004504C0"/>
    <w:rPr>
      <w:b/>
      <w:bCs/>
      <w:sz w:val="20"/>
    </w:rPr>
  </w:style>
  <w:style w:type="paragraph" w:customStyle="1" w:styleId="ZZARTzmianazmart">
    <w:name w:val="ZZ/ART(§) – zmiana zm. art. (§)"/>
    <w:basedOn w:val="ZARTzmartartykuempunktem"/>
    <w:uiPriority w:val="65"/>
    <w:qFormat/>
    <w:rsid w:val="006A748A"/>
    <w:pPr>
      <w:ind w:left="1894"/>
    </w:pPr>
  </w:style>
  <w:style w:type="paragraph" w:customStyle="1" w:styleId="ZZPKTzmianazmpkt">
    <w:name w:val="ZZ/PKT – zmiana zm. pkt"/>
    <w:basedOn w:val="ZPKTzmpktartykuempunktem"/>
    <w:uiPriority w:val="66"/>
    <w:qFormat/>
    <w:rsid w:val="006A748A"/>
    <w:pPr>
      <w:ind w:left="2404"/>
    </w:pPr>
  </w:style>
  <w:style w:type="paragraph" w:customStyle="1" w:styleId="ZZLITwPKTzmianazmlitwpkt">
    <w:name w:val="ZZ/LIT_w_PKT – zmiana zm. lit. w pkt"/>
    <w:basedOn w:val="ZLITwPKTzmlitwpktartykuempunktem"/>
    <w:uiPriority w:val="67"/>
    <w:qFormat/>
    <w:rsid w:val="006A748A"/>
    <w:pPr>
      <w:ind w:left="2880"/>
    </w:pPr>
  </w:style>
  <w:style w:type="paragraph" w:customStyle="1" w:styleId="ZZTIRwPKTzmianazmtirwpkt">
    <w:name w:val="ZZ/TIR_w_PKT – zmiana zm. tir. w pkt"/>
    <w:basedOn w:val="ZTIRwPKTzmtirwpktartykuempunktem"/>
    <w:uiPriority w:val="67"/>
    <w:qFormat/>
    <w:rsid w:val="006A748A"/>
    <w:pPr>
      <w:ind w:left="3277"/>
    </w:pPr>
  </w:style>
  <w:style w:type="paragraph" w:customStyle="1" w:styleId="ZZWMATFIZCHEMzmwzorumatfizlubchem">
    <w:name w:val="ZZ/W_MAT(FIZ|CHEM) – zm. wzoru mat. (fiz. lub chem.)"/>
    <w:basedOn w:val="ZWMATFIZCHEMzmwzorumatfizlubchemartykuempunktem"/>
    <w:uiPriority w:val="71"/>
    <w:qFormat/>
    <w:rsid w:val="001270A2"/>
    <w:pPr>
      <w:ind w:left="2404"/>
    </w:pPr>
  </w:style>
  <w:style w:type="paragraph" w:customStyle="1" w:styleId="ODNONIKtreodnonika">
    <w:name w:val="ODNOŚNIK – treść odnośnika"/>
    <w:uiPriority w:val="19"/>
    <w:qFormat/>
    <w:rsid w:val="006A748A"/>
    <w:pPr>
      <w:spacing w:line="240" w:lineRule="auto"/>
      <w:ind w:left="284" w:hanging="284"/>
      <w:jc w:val="both"/>
    </w:pPr>
    <w:rPr>
      <w:rFonts w:ascii="Times New Roman" w:eastAsiaTheme="minorEastAsia" w:hAnsi="Times New Roman" w:cs="Arial"/>
      <w:sz w:val="20"/>
      <w:szCs w:val="20"/>
    </w:rPr>
  </w:style>
  <w:style w:type="paragraph" w:customStyle="1" w:styleId="ZFRAGzmfragmentunpzdaniaartykuempunktem">
    <w:name w:val="Z/FRAG – zm. fragmentu (np. zdania) artykułem (punktem)"/>
    <w:basedOn w:val="ZARTzmartartykuempunktem"/>
    <w:next w:val="PKTpunkt"/>
    <w:uiPriority w:val="36"/>
    <w:qFormat/>
    <w:rsid w:val="006A748A"/>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52"/>
    <w:qFormat/>
    <w:rsid w:val="006A748A"/>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uiPriority w:val="60"/>
    <w:qFormat/>
    <w:rsid w:val="006A748A"/>
    <w:rPr>
      <w:rFonts w:ascii="Times New Roman" w:hAnsi="Times New Roman"/>
    </w:rPr>
  </w:style>
  <w:style w:type="paragraph" w:customStyle="1" w:styleId="ZTIRTIRwPKTzmtirwpkttiret">
    <w:name w:val="Z_TIR/TIR_w_PKT – zm. tir. w pkt tiret"/>
    <w:basedOn w:val="ZTIRTIRwLITzmtirwlittiret"/>
    <w:uiPriority w:val="57"/>
    <w:qFormat/>
    <w:rsid w:val="006A748A"/>
    <w:pPr>
      <w:ind w:left="2733"/>
    </w:pPr>
  </w:style>
  <w:style w:type="paragraph" w:customStyle="1" w:styleId="ZTIRCZWSPTIRwPKTzmczciwsptirtiret">
    <w:name w:val="Z_TIR/CZ_WSP_TIR_w_PKT – zm. części wsp. tir. tiret"/>
    <w:basedOn w:val="ZTIRTIRwPKTzmtirwpkttiret"/>
    <w:next w:val="TIRtiret"/>
    <w:uiPriority w:val="60"/>
    <w:qFormat/>
    <w:rsid w:val="006A748A"/>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18"/>
    <w:qFormat/>
    <w:rsid w:val="006A748A"/>
    <w:pPr>
      <w:ind w:left="510" w:firstLine="0"/>
    </w:pPr>
  </w:style>
  <w:style w:type="paragraph" w:customStyle="1" w:styleId="ROZDZODDZOZNoznaczenierozdziauluboddziau">
    <w:name w:val="ROZDZ(ODDZ)_OZN – oznaczenie rozdziału lub oddziału"/>
    <w:next w:val="ARTartustawynprozporzdzenia"/>
    <w:uiPriority w:val="10"/>
    <w:qFormat/>
    <w:rsid w:val="006A748A"/>
    <w:pPr>
      <w:keepNext/>
      <w:suppressAutoHyphens/>
      <w:spacing w:before="120"/>
      <w:jc w:val="center"/>
    </w:pPr>
    <w:rPr>
      <w:rFonts w:eastAsiaTheme="minorEastAsia" w:cs="Arial"/>
      <w:bCs/>
      <w:kern w:val="24"/>
    </w:rPr>
  </w:style>
  <w:style w:type="paragraph" w:customStyle="1" w:styleId="Z2TIR2TIRzmpodwtirpodwjnymtiret">
    <w:name w:val="Z_2TIR/2TIR – zm. podw. tir. podwójnym tiret"/>
    <w:basedOn w:val="TIRtiret"/>
    <w:uiPriority w:val="85"/>
    <w:qFormat/>
    <w:rsid w:val="006A748A"/>
    <w:pPr>
      <w:ind w:left="2177"/>
    </w:pPr>
  </w:style>
  <w:style w:type="paragraph" w:customStyle="1" w:styleId="Z2TIRTIRzmtirpodwjnymtiret">
    <w:name w:val="Z_2TIR/TIR – zm. tir. podwójnym tiret"/>
    <w:basedOn w:val="TIRtiret"/>
    <w:uiPriority w:val="84"/>
    <w:qFormat/>
    <w:rsid w:val="006A748A"/>
    <w:pPr>
      <w:ind w:left="2177"/>
    </w:pPr>
  </w:style>
  <w:style w:type="paragraph" w:customStyle="1" w:styleId="ZSKARNzmsankcjikarnejwszczeglnociwKodeksiekarnym">
    <w:name w:val="Z/S_KARN – zm. sankcji karnej w szczególności w Kodeksie karnym"/>
    <w:basedOn w:val="SKARNsankcjakarnawszczeglnociwKodeksiekarnym"/>
    <w:next w:val="PKTpunkt"/>
    <w:uiPriority w:val="37"/>
    <w:qFormat/>
    <w:rsid w:val="006A748A"/>
    <w:pPr>
      <w:ind w:left="1021"/>
    </w:pPr>
  </w:style>
  <w:style w:type="paragraph" w:customStyle="1" w:styleId="ZLITSKARNzmsankcjikarnejliter">
    <w:name w:val="Z_LIT/S_KARN – zm. sankcji karnej literą"/>
    <w:basedOn w:val="ZSKARNzmsankcjikarnejwszczeglnociwKodeksiekarnym"/>
    <w:uiPriority w:val="53"/>
    <w:qFormat/>
    <w:rsid w:val="006A748A"/>
    <w:pPr>
      <w:ind w:left="1497"/>
    </w:pPr>
  </w:style>
  <w:style w:type="paragraph" w:customStyle="1" w:styleId="ZCYTzmcytatunpprzysigiartykuempunktem">
    <w:name w:val="Z/CYT – zm. cytatu np. przysięgi artykułem (punktem)"/>
    <w:basedOn w:val="CYTcytatnpprzysigi"/>
    <w:next w:val="ZUSTzmustartykuempunktem"/>
    <w:uiPriority w:val="37"/>
    <w:qFormat/>
    <w:rsid w:val="006A748A"/>
    <w:pPr>
      <w:ind w:left="1021"/>
    </w:pPr>
  </w:style>
  <w:style w:type="paragraph" w:customStyle="1" w:styleId="ZCZWSP2TIRwPKTzmczciwsppodwtirwpktartykuempunktem">
    <w:name w:val="Z/CZ_WSP_2TIR_w_PKT – zm. części wsp. podw. tir. w pkt artykułem (punktem)"/>
    <w:basedOn w:val="Z2TIRwPKTzmpodwtirwpktartykuempunktem"/>
    <w:next w:val="ZZUSTzmianazmust"/>
    <w:uiPriority w:val="75"/>
    <w:qFormat/>
    <w:rsid w:val="006A748A"/>
    <w:pPr>
      <w:ind w:left="1894" w:firstLine="0"/>
    </w:pPr>
  </w:style>
  <w:style w:type="paragraph" w:customStyle="1" w:styleId="Z2TIRwLITzmpodwtirwlitartykuempunktem">
    <w:name w:val="Z/2TIR_w_LIT – zm. podw. tir. w lit. artykułem (punktem)"/>
    <w:basedOn w:val="Z2TIRwPKTzmpodwtirwpktartykuempunktem"/>
    <w:uiPriority w:val="74"/>
    <w:qFormat/>
    <w:rsid w:val="006A748A"/>
    <w:pPr>
      <w:ind w:left="1780"/>
    </w:pPr>
  </w:style>
  <w:style w:type="paragraph" w:customStyle="1" w:styleId="Z2TIRwTIRzmpodwtirwtirartykuempunktem">
    <w:name w:val="Z/2TIR_w_TIR – zm. podw. tir. w tir. artykułem (punktem)"/>
    <w:basedOn w:val="Z2TIRwLITzmpodwtirwlitartykuempunktem"/>
    <w:uiPriority w:val="73"/>
    <w:qFormat/>
    <w:rsid w:val="006A748A"/>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4"/>
    <w:qFormat/>
    <w:rsid w:val="006A748A"/>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75"/>
    <w:qFormat/>
    <w:rsid w:val="006A748A"/>
    <w:pPr>
      <w:ind w:left="1383" w:firstLine="0"/>
    </w:pPr>
  </w:style>
  <w:style w:type="paragraph" w:customStyle="1" w:styleId="ZZCZWSP2TIRzmianazmczciwsppodwtir">
    <w:name w:val="ZZ/CZ_WSP_2TIR – zmiana zm. części wsp. podw. tir."/>
    <w:basedOn w:val="ZZTIRzmianazmtir"/>
    <w:next w:val="ZZUSTzmianazmust"/>
    <w:uiPriority w:val="94"/>
    <w:qFormat/>
    <w:rsid w:val="006A748A"/>
    <w:pPr>
      <w:ind w:left="1894" w:firstLine="0"/>
    </w:pPr>
  </w:style>
  <w:style w:type="paragraph" w:customStyle="1" w:styleId="PKTODNONIKApunktodnonika">
    <w:name w:val="PKT_ODNOŚNIKA – punkt odnośnika"/>
    <w:basedOn w:val="ODNONIKtreodnonika"/>
    <w:uiPriority w:val="19"/>
    <w:qFormat/>
    <w:rsid w:val="006A748A"/>
    <w:pPr>
      <w:ind w:left="568"/>
    </w:pPr>
  </w:style>
  <w:style w:type="paragraph" w:customStyle="1" w:styleId="ZODNONIKAzmtekstuodnonikaartykuempunktem">
    <w:name w:val="Z/ODNOŚNIKA – zm. tekstu odnośnika artykułem (punktem)"/>
    <w:basedOn w:val="ODNONIKtreodnonika"/>
    <w:uiPriority w:val="39"/>
    <w:qFormat/>
    <w:rsid w:val="006A748A"/>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6A748A"/>
    <w:pPr>
      <w:ind w:left="1304"/>
    </w:pPr>
  </w:style>
  <w:style w:type="paragraph" w:customStyle="1" w:styleId="ZPKTODNONIKAzmpktodnonikaartykuempunktem">
    <w:name w:val="Z/PKT_ODNOŚNIKA – zm. pkt odnośnika artykułem (punktem)"/>
    <w:basedOn w:val="ZODNONIKAzmtekstuodnonikaartykuempunktem"/>
    <w:uiPriority w:val="39"/>
    <w:qFormat/>
    <w:rsid w:val="006A748A"/>
  </w:style>
  <w:style w:type="paragraph" w:customStyle="1" w:styleId="ZLIT2TIRwTIRzmpodwtirwtirliter">
    <w:name w:val="Z_LIT/2TIR_w_TIR – zm. podw. tir. w tir. literą"/>
    <w:basedOn w:val="ZLIT2TIRzmpodwtirliter"/>
    <w:uiPriority w:val="75"/>
    <w:qFormat/>
    <w:rsid w:val="006A748A"/>
    <w:pPr>
      <w:ind w:left="1780"/>
    </w:pPr>
  </w:style>
  <w:style w:type="paragraph" w:customStyle="1" w:styleId="ZLIT2TIRwLITzmpodwtirwlitliter">
    <w:name w:val="Z_LIT/2TIR_w_LIT – zm. podw. tir. w lit. literą"/>
    <w:basedOn w:val="ZLIT2TIRwTIRzmpodwtirwtirliter"/>
    <w:uiPriority w:val="76"/>
    <w:qFormat/>
    <w:rsid w:val="006A748A"/>
    <w:pPr>
      <w:ind w:left="2257"/>
    </w:pPr>
  </w:style>
  <w:style w:type="paragraph" w:customStyle="1" w:styleId="ZLIT2TIRwPKTzmpodwtirwpktliter">
    <w:name w:val="Z_LIT/2TIR_w_PKT – zm. podw. tir. w pkt literą"/>
    <w:basedOn w:val="ZLIT2TIRwLITzmpodwtirwlitliter"/>
    <w:uiPriority w:val="76"/>
    <w:qFormat/>
    <w:rsid w:val="006A748A"/>
    <w:pPr>
      <w:ind w:left="2767"/>
    </w:pPr>
  </w:style>
  <w:style w:type="paragraph" w:customStyle="1" w:styleId="ZLITCZWSP2TIRwTIRzmczciwsppodwtirwtirliter">
    <w:name w:val="Z_LIT/CZ_WSP_2TIR_w_TIR – zm. części wsp. podw. tir. w tir. literą"/>
    <w:basedOn w:val="ZLIT2TIRwTIRzmpodwtirwtirliter"/>
    <w:next w:val="LITlitera"/>
    <w:uiPriority w:val="76"/>
    <w:qFormat/>
    <w:rsid w:val="006A748A"/>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7"/>
    <w:qFormat/>
    <w:rsid w:val="006A748A"/>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7"/>
    <w:qFormat/>
    <w:rsid w:val="006A748A"/>
    <w:pPr>
      <w:ind w:left="2370" w:firstLine="0"/>
    </w:pPr>
  </w:style>
  <w:style w:type="paragraph" w:customStyle="1" w:styleId="ZTIR2TIRwPKTzmpodwtirwpkttiret">
    <w:name w:val="Z_TIR/2TIR_w_PKT – zm. podw. tir. w pkt tiret"/>
    <w:basedOn w:val="ZTIR2TIRwLITzmpodwtirwlittiret"/>
    <w:uiPriority w:val="79"/>
    <w:qFormat/>
    <w:rsid w:val="006A748A"/>
    <w:pPr>
      <w:ind w:left="3164"/>
    </w:pPr>
  </w:style>
  <w:style w:type="paragraph" w:customStyle="1" w:styleId="ZTIRCZWSP2TIRwPKTzmczciwsppodwtirwpkttiret">
    <w:name w:val="Z_TIR/CZ_WSP_2TIR_w_PKT – zm. części wsp. podw. tir. w pkt tiret"/>
    <w:basedOn w:val="ZTIR2TIRwPKTzmpodwtirwpkttiret"/>
    <w:next w:val="TIRtiret"/>
    <w:uiPriority w:val="80"/>
    <w:qFormat/>
    <w:rsid w:val="006A748A"/>
    <w:pPr>
      <w:ind w:left="2767" w:firstLine="0"/>
    </w:pPr>
  </w:style>
  <w:style w:type="paragraph" w:customStyle="1" w:styleId="ZZCZWSP2TIRwLITzmianazmczciwsppodwtirwlit">
    <w:name w:val="ZZ/CZ_WSP_2TIR_w_LIT – zmiana zm. części wsp. podw. tir. w lit."/>
    <w:basedOn w:val="ZZ2TIRwLITzmianazmpodwtirwlit"/>
    <w:uiPriority w:val="95"/>
    <w:qFormat/>
    <w:rsid w:val="006A748A"/>
    <w:pPr>
      <w:ind w:left="2767"/>
    </w:pPr>
  </w:style>
  <w:style w:type="paragraph" w:customStyle="1" w:styleId="ZZCZWSP2TIRwPKTzmianazmczciwsppodwtirwpkt">
    <w:name w:val="ZZ/CZ_WSP_2TIR_w_PKT – zmiana zm. części wsp. podw. tir. w pkt"/>
    <w:basedOn w:val="ZZ2TIRwLITzmianazmpodwtirwlit"/>
    <w:uiPriority w:val="95"/>
    <w:qFormat/>
    <w:rsid w:val="006A748A"/>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4"/>
    <w:qFormat/>
    <w:rsid w:val="006A748A"/>
  </w:style>
  <w:style w:type="paragraph" w:customStyle="1" w:styleId="ZLITCZWSP2TIRzmczciwsppodwtirliter">
    <w:name w:val="Z_LIT/CZ_WSP_2TIR – zm. części wsp. podw. tir. literą"/>
    <w:basedOn w:val="ZLITCZWSPPKTzmczciwsppktliter"/>
    <w:next w:val="LITlitera"/>
    <w:uiPriority w:val="76"/>
    <w:qFormat/>
    <w:rsid w:val="006A748A"/>
  </w:style>
  <w:style w:type="paragraph" w:customStyle="1" w:styleId="ZTIRCZWSP2TIRzmczciwsppodwtirtiret">
    <w:name w:val="Z_TIR/CZ_WSP_2TIR – zm. części wsp. podw. tir. tiret"/>
    <w:basedOn w:val="ZLITCZWSP2TIRzmczciwsppodwtirliter"/>
    <w:next w:val="TIRtiret"/>
    <w:uiPriority w:val="79"/>
    <w:qFormat/>
    <w:rsid w:val="006A748A"/>
  </w:style>
  <w:style w:type="paragraph" w:customStyle="1" w:styleId="ZZ2TIRzmianazmpodwtir">
    <w:name w:val="ZZ/2TIR – zmiana zm. podw. tir."/>
    <w:basedOn w:val="ZZCZWSP2TIRzmianazmczciwsppodwtir"/>
    <w:uiPriority w:val="93"/>
    <w:qFormat/>
    <w:rsid w:val="006A748A"/>
    <w:pPr>
      <w:ind w:left="2291" w:hanging="397"/>
    </w:pPr>
  </w:style>
  <w:style w:type="paragraph" w:customStyle="1" w:styleId="ZCZWSPLITzmczciwsplitartykuempunktem">
    <w:name w:val="Z/CZ_WSP_LIT – zm. części wsp. lit. artykułem (punktem)"/>
    <w:basedOn w:val="ZCZWSPPKTzmczciwsppktartykuempunktem"/>
    <w:next w:val="PKTpunkt"/>
    <w:uiPriority w:val="35"/>
    <w:qFormat/>
    <w:rsid w:val="006A748A"/>
  </w:style>
  <w:style w:type="paragraph" w:customStyle="1" w:styleId="ZCZWSPTIRzmczciwsptirartykuempunktem">
    <w:name w:val="Z/CZ_WSP_TIR – zm. części wsp. tir. artykułem (punktem)"/>
    <w:basedOn w:val="ZCZWSPPKTzmczciwsppktartykuempunktem"/>
    <w:next w:val="PKTpunkt"/>
    <w:uiPriority w:val="35"/>
    <w:qFormat/>
    <w:rsid w:val="006A748A"/>
  </w:style>
  <w:style w:type="paragraph" w:customStyle="1" w:styleId="ZLITCZWSPLITzmczciwsplitliter">
    <w:name w:val="Z_LIT/CZ_WSP_LIT – zm. części wsp. lit. literą"/>
    <w:basedOn w:val="ZLITCZWSPPKTzmczciwsppktliter"/>
    <w:next w:val="LITlitera"/>
    <w:uiPriority w:val="51"/>
    <w:qFormat/>
    <w:rsid w:val="006A748A"/>
  </w:style>
  <w:style w:type="paragraph" w:customStyle="1" w:styleId="ZLITCZWSPTIRzmczciwsptirliter">
    <w:name w:val="Z_LIT/CZ_WSP_TIR – zm. części wsp. tir. literą"/>
    <w:basedOn w:val="ZLITCZWSPPKTzmczciwsppktliter"/>
    <w:next w:val="LITlitera"/>
    <w:uiPriority w:val="51"/>
    <w:qFormat/>
    <w:rsid w:val="006A748A"/>
  </w:style>
  <w:style w:type="paragraph" w:customStyle="1" w:styleId="ZTIRCZWSPLITzmczciwsplittiret">
    <w:name w:val="Z_TIR/CZ_WSP_LIT – zm. części wsp. lit. tiret"/>
    <w:basedOn w:val="ZTIRCZWSPPKTzmczciwsppkttiret"/>
    <w:next w:val="TIRtiret"/>
    <w:uiPriority w:val="59"/>
    <w:qFormat/>
    <w:rsid w:val="006A748A"/>
  </w:style>
  <w:style w:type="paragraph" w:customStyle="1" w:styleId="ZTIRCZWSPTIRzmczciwsptirtiret">
    <w:name w:val="Z_TIR/CZ_WSP_TIR – zm. części wsp. tir. tiret"/>
    <w:basedOn w:val="ZTIRCZWSPPKTzmczciwsppkttiret"/>
    <w:next w:val="TIRtiret"/>
    <w:uiPriority w:val="60"/>
    <w:qFormat/>
    <w:rsid w:val="006A748A"/>
  </w:style>
  <w:style w:type="paragraph" w:customStyle="1" w:styleId="ZZCZWSPLITzmianazmczciwsplit">
    <w:name w:val="ZZ/CZ_WSP_LIT – zmiana. zm. części wsp. lit."/>
    <w:basedOn w:val="ZZCZWSPPKTzmianazmczciwsppkt"/>
    <w:uiPriority w:val="69"/>
    <w:qFormat/>
    <w:rsid w:val="006A748A"/>
  </w:style>
  <w:style w:type="paragraph" w:customStyle="1" w:styleId="ZZCZWSPTIRzmianazmczciwsptir">
    <w:name w:val="ZZ/CZ_WSP_TIR – zmiana. zm. części wsp. tir."/>
    <w:basedOn w:val="ZZCZWSPPKTzmianazmczciwsppkt"/>
    <w:uiPriority w:val="69"/>
    <w:qFormat/>
    <w:rsid w:val="006A748A"/>
  </w:style>
  <w:style w:type="paragraph" w:customStyle="1" w:styleId="Z2TIRCZWSPTIRzmczciwsptirpodwjnymtiret">
    <w:name w:val="Z_2TIR/CZ_WSP_TIR – zm. części wsp. tir. podwójnym tiret"/>
    <w:basedOn w:val="Z2TIRCZWSPLITzmczciwsplitpodwjnymtiret"/>
    <w:next w:val="2TIRpodwjnytiret"/>
    <w:uiPriority w:val="87"/>
    <w:qFormat/>
    <w:rsid w:val="006A748A"/>
  </w:style>
  <w:style w:type="paragraph" w:customStyle="1" w:styleId="Z2TIRCZWSP2TIRzmczciwsppodwtirpodwjnymtiret">
    <w:name w:val="Z_2TIR/CZ_WSP_2TIR – zm. części wsp. podw. tir. podwójnym tiret"/>
    <w:basedOn w:val="Z2TIRCZWSPLITzmczciwsplitpodwjnymtiret"/>
    <w:next w:val="2TIRpodwjnytiret"/>
    <w:uiPriority w:val="88"/>
    <w:qFormat/>
    <w:rsid w:val="006A748A"/>
  </w:style>
  <w:style w:type="paragraph" w:customStyle="1" w:styleId="ZUSTzmustartykuempunktem">
    <w:name w:val="Z/UST(§) – zm. ust. (§) artykułem (punktem)"/>
    <w:basedOn w:val="ZARTzmartartykuempunktem"/>
    <w:uiPriority w:val="30"/>
    <w:qFormat/>
    <w:rsid w:val="006A748A"/>
  </w:style>
  <w:style w:type="paragraph" w:customStyle="1" w:styleId="ZZUSTzmianazmust">
    <w:name w:val="ZZ/UST(§) – zmiana zm. ust. (§)"/>
    <w:basedOn w:val="ZZARTzmianazmart"/>
    <w:uiPriority w:val="65"/>
    <w:qFormat/>
    <w:rsid w:val="006A748A"/>
  </w:style>
  <w:style w:type="paragraph" w:customStyle="1" w:styleId="TYTDZPRZEDMprzedmiotregulacjitytuulubdziau">
    <w:name w:val="TYT(DZ)_PRZEDM – przedmiot regulacji tytułu lub działu"/>
    <w:next w:val="ARTartustawynprozporzdzenia"/>
    <w:uiPriority w:val="9"/>
    <w:qFormat/>
    <w:rsid w:val="006A748A"/>
    <w:pPr>
      <w:keepNext/>
      <w:suppressAutoHyphens/>
      <w:spacing w:before="120"/>
      <w:jc w:val="center"/>
    </w:pPr>
    <w:rPr>
      <w:b/>
      <w:szCs w:val="26"/>
    </w:rPr>
  </w:style>
  <w:style w:type="paragraph" w:customStyle="1" w:styleId="ZNIEARTTEKSTzmtekstunieartykuowanego">
    <w:name w:val="Z/NIEART_TEKST – zm. tekstu nieartykułowanego"/>
    <w:basedOn w:val="NIEARTTEKSTtekstnieartykuowanynppodstprawnarozplubpreambua"/>
    <w:uiPriority w:val="37"/>
    <w:qFormat/>
    <w:rsid w:val="006A748A"/>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63"/>
    <w:qFormat/>
    <w:rsid w:val="006A748A"/>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63"/>
    <w:qFormat/>
    <w:rsid w:val="006A748A"/>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63"/>
    <w:qFormat/>
    <w:rsid w:val="006A748A"/>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qFormat/>
    <w:rsid w:val="006A748A"/>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6A748A"/>
    <w:pPr>
      <w:ind w:left="1894"/>
    </w:pPr>
  </w:style>
  <w:style w:type="paragraph" w:customStyle="1" w:styleId="P1wTABELIpoziom1numeracjiwtabeli">
    <w:name w:val="P1_w_TABELI – poziom 1 numeracji w tabeli"/>
    <w:basedOn w:val="PKTpunkt"/>
    <w:uiPriority w:val="24"/>
    <w:qFormat/>
    <w:rsid w:val="006A748A"/>
    <w:pPr>
      <w:ind w:left="397" w:hanging="397"/>
    </w:pPr>
    <w:rPr>
      <w:kern w:val="24"/>
    </w:rPr>
  </w:style>
  <w:style w:type="paragraph" w:customStyle="1" w:styleId="CZWSPP1wTABELIczwsppoziomu1numeracjiwtabeli">
    <w:name w:val="CZ_WSP_P1_w_TABELI – część wsp. poziomu 1 numeracji w tabeli"/>
    <w:basedOn w:val="P1wTABELIpoziom1numeracjiwtabeli"/>
    <w:next w:val="Normalny"/>
    <w:uiPriority w:val="25"/>
    <w:qFormat/>
    <w:rsid w:val="006A748A"/>
    <w:pPr>
      <w:ind w:left="0" w:firstLine="0"/>
    </w:pPr>
  </w:style>
  <w:style w:type="paragraph" w:customStyle="1" w:styleId="P2wTABELIpoziom2numeracjiwtabeli">
    <w:name w:val="P2_w_TABELI – poziom 2 numeracji w tabeli"/>
    <w:basedOn w:val="P1wTABELIpoziom1numeracjiwtabeli"/>
    <w:uiPriority w:val="24"/>
    <w:qFormat/>
    <w:rsid w:val="006A748A"/>
    <w:pPr>
      <w:ind w:left="794"/>
    </w:pPr>
  </w:style>
  <w:style w:type="paragraph" w:customStyle="1" w:styleId="P3wTABELIpoziom3numeracjiwtabeli">
    <w:name w:val="P3_w_TABELI – poziom 3 numeracji w tabeli"/>
    <w:basedOn w:val="P2wTABELIpoziom2numeracjiwtabeli"/>
    <w:uiPriority w:val="24"/>
    <w:qFormat/>
    <w:rsid w:val="006A748A"/>
    <w:pPr>
      <w:ind w:left="1191"/>
    </w:pPr>
  </w:style>
  <w:style w:type="paragraph" w:customStyle="1" w:styleId="CZWSPP2wTABELIczwsppoziomu2numeracjiwtabeli">
    <w:name w:val="CZ_WSP_P2_w_TABELI – część wsp. poziomu 2 numeracji w tabeli"/>
    <w:basedOn w:val="CZWSPP1wTABELIczwsppoziomu1numeracjiwtabeli"/>
    <w:next w:val="Normalny"/>
    <w:uiPriority w:val="25"/>
    <w:qFormat/>
    <w:rsid w:val="006A748A"/>
    <w:pPr>
      <w:ind w:left="397"/>
    </w:pPr>
  </w:style>
  <w:style w:type="paragraph" w:customStyle="1" w:styleId="CZWSPP3wTABELIczwsppoziomu3numeracjiwtabeli">
    <w:name w:val="CZ_WSP_P3_w_TABELI – część wsp. poziomu 3 numeracji w tabeli"/>
    <w:basedOn w:val="CZWSPP2wTABELIczwsppoziomu2numeracjiwtabeli"/>
    <w:uiPriority w:val="25"/>
    <w:qFormat/>
    <w:rsid w:val="006A748A"/>
    <w:pPr>
      <w:ind w:left="794"/>
    </w:pPr>
  </w:style>
  <w:style w:type="paragraph" w:customStyle="1" w:styleId="CZWSPP4wTABELIczwsppoziomu4numeracjiwtabeli">
    <w:name w:val="CZ_WSP_P4_w_TABELI – część wsp. poziomu 4 numeracji w tabeli"/>
    <w:basedOn w:val="CZWSPP3wTABELIczwsppoziomu3numeracjiwtabeli"/>
    <w:uiPriority w:val="25"/>
    <w:qFormat/>
    <w:rsid w:val="006A748A"/>
    <w:pPr>
      <w:ind w:left="1191"/>
    </w:pPr>
  </w:style>
  <w:style w:type="paragraph" w:customStyle="1" w:styleId="P4wTABELIpoziom4numeracjiwtabeli">
    <w:name w:val="P4_w_TABELI – poziom 4 numeracji w tabeli"/>
    <w:basedOn w:val="P3wTABELIpoziom3numeracjiwtabeli"/>
    <w:uiPriority w:val="24"/>
    <w:qFormat/>
    <w:rsid w:val="006A748A"/>
    <w:pPr>
      <w:ind w:left="1588"/>
    </w:pPr>
  </w:style>
  <w:style w:type="paragraph" w:customStyle="1" w:styleId="TYTTABELItytutabeli">
    <w:name w:val="TYT_TABELI – tytuł tabeli"/>
    <w:basedOn w:val="TYTDZOZNoznaczenietytuulubdziau"/>
    <w:uiPriority w:val="22"/>
    <w:qFormat/>
    <w:rsid w:val="006A748A"/>
    <w:rPr>
      <w:b/>
    </w:rPr>
  </w:style>
  <w:style w:type="paragraph" w:customStyle="1" w:styleId="OZNPROJEKTUwskazaniedatylubwersjiprojektu">
    <w:name w:val="OZN_PROJEKTU – wskazanie daty lub wersji projektu"/>
    <w:next w:val="OZNRODZAKTUtznustawalubrozporzdzenieiorganwydajcy"/>
    <w:uiPriority w:val="5"/>
    <w:qFormat/>
    <w:rsid w:val="006A748A"/>
    <w:pPr>
      <w:jc w:val="right"/>
    </w:pPr>
    <w:rPr>
      <w:rFonts w:ascii="Times New Roman" w:eastAsiaTheme="minorEastAsia" w:hAnsi="Times New Roman" w:cs="Arial"/>
      <w:szCs w:val="20"/>
      <w:u w:val="single"/>
    </w:rPr>
  </w:style>
  <w:style w:type="paragraph" w:customStyle="1" w:styleId="NAZORGWYDnazwaorganuwydajcegoprojektowanyakt">
    <w:name w:val="NAZ_ORG_WYD – nazwa organu wydającego projektowany akt"/>
    <w:basedOn w:val="OZNRODZAKTUtznustawalubrozporzdzenieiorganwydajcy"/>
    <w:uiPriority w:val="27"/>
    <w:qFormat/>
    <w:rsid w:val="006A748A"/>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6A748A"/>
    <w:pPr>
      <w:ind w:left="0" w:right="4820"/>
      <w:jc w:val="left"/>
    </w:pPr>
  </w:style>
  <w:style w:type="paragraph" w:customStyle="1" w:styleId="TEKSTwporozumieniu">
    <w:name w:val="TEKST&quot;w porozumieniu:&quot;"/>
    <w:next w:val="NAZORGWPOROZUMIENIUnazwaorganuwporozumieniuzktrymaktjestwydawany"/>
    <w:uiPriority w:val="27"/>
    <w:qFormat/>
    <w:rsid w:val="006A748A"/>
    <w:rPr>
      <w:rFonts w:ascii="Times New Roman" w:eastAsiaTheme="minorEastAsia" w:hAnsi="Times New Roman" w:cs="Arial"/>
      <w:b/>
      <w:szCs w:val="20"/>
    </w:rPr>
  </w:style>
  <w:style w:type="paragraph" w:customStyle="1" w:styleId="CZWSPPKTODNONIKAczwsppunkwodnonika">
    <w:name w:val="CZ_WSP_PKT_ODNOŚNIKA – część wsp. punków odnośnika"/>
    <w:basedOn w:val="PKTODNONIKApunktodnonika"/>
    <w:uiPriority w:val="21"/>
    <w:qFormat/>
    <w:rsid w:val="006A748A"/>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6A748A"/>
    <w:pPr>
      <w:ind w:left="510" w:firstLine="0"/>
    </w:pPr>
  </w:style>
  <w:style w:type="paragraph" w:customStyle="1" w:styleId="NOTATKILEGISLATORA">
    <w:name w:val="NOTATKI_LEGISLATORA"/>
    <w:basedOn w:val="Normalny"/>
    <w:uiPriority w:val="5"/>
    <w:qFormat/>
    <w:rsid w:val="006A748A"/>
    <w:rPr>
      <w:b/>
      <w:i/>
    </w:rPr>
  </w:style>
  <w:style w:type="paragraph" w:customStyle="1" w:styleId="OZNZACZNIKAwskazanienrzacznika">
    <w:name w:val="OZN_ZAŁĄCZNIKA – wskazanie nr załącznika"/>
    <w:basedOn w:val="OZNPROJEKTUwskazaniedatylubwersjiprojektu"/>
    <w:uiPriority w:val="28"/>
    <w:qFormat/>
    <w:rsid w:val="006A748A"/>
    <w:pPr>
      <w:keepNext/>
    </w:pPr>
    <w:rPr>
      <w:b/>
      <w:u w:val="none"/>
    </w:rPr>
  </w:style>
  <w:style w:type="paragraph" w:customStyle="1" w:styleId="OZNPARAFYADNOTACJE">
    <w:name w:val="OZN_PARAFY(ADNOTACJE)"/>
    <w:basedOn w:val="ODNONIKtreodnonika"/>
    <w:uiPriority w:val="26"/>
    <w:qFormat/>
    <w:rsid w:val="006A748A"/>
  </w:style>
  <w:style w:type="paragraph" w:customStyle="1" w:styleId="TEKSTZacznikido">
    <w:name w:val="TEKST&quot;Załącznik(i) do ...&quot;"/>
    <w:uiPriority w:val="28"/>
    <w:qFormat/>
    <w:rsid w:val="00A56F07"/>
    <w:pPr>
      <w:keepNext/>
      <w:spacing w:after="240" w:line="240" w:lineRule="auto"/>
      <w:ind w:left="5670"/>
      <w:contextualSpacing/>
    </w:pPr>
    <w:rPr>
      <w:rFonts w:ascii="Times New Roman" w:eastAsiaTheme="minorEastAsia" w:hAnsi="Times New Roman" w:cs="Arial"/>
      <w:szCs w:val="20"/>
    </w:rPr>
  </w:style>
  <w:style w:type="paragraph" w:customStyle="1" w:styleId="LITODNONIKAliteraodnonika">
    <w:name w:val="LIT_ODNOŚNIKA – litera odnośnika"/>
    <w:basedOn w:val="PKTODNONIKApunktodnonika"/>
    <w:uiPriority w:val="20"/>
    <w:qFormat/>
    <w:rsid w:val="006A748A"/>
    <w:pPr>
      <w:ind w:left="851"/>
    </w:pPr>
  </w:style>
  <w:style w:type="paragraph" w:customStyle="1" w:styleId="CZWSPLITODNONIKAczwspliterodnonika">
    <w:name w:val="CZ_WSP_LIT_ODNOŚNIKA – część wsp. liter odnośnika"/>
    <w:basedOn w:val="LITODNONIKAliteraodnonika"/>
    <w:uiPriority w:val="22"/>
    <w:qFormat/>
    <w:rsid w:val="006A748A"/>
    <w:pPr>
      <w:ind w:left="567" w:firstLine="0"/>
    </w:pPr>
  </w:style>
  <w:style w:type="paragraph" w:customStyle="1" w:styleId="PKTOTJpunktobwieszczeniatekstujednolitegonp1">
    <w:name w:val="PKT_OTJ – punkt obwieszczenia tekstu jednolitego np. &quot;1.&quot;"/>
    <w:basedOn w:val="ARTartustawynprozporzdzenia"/>
    <w:uiPriority w:val="98"/>
    <w:semiHidden/>
    <w:qFormat/>
    <w:rsid w:val="006A748A"/>
    <w:pPr>
      <w:ind w:left="-510"/>
    </w:pPr>
  </w:style>
  <w:style w:type="paragraph" w:customStyle="1" w:styleId="PPKTOTJpodpunktwobwieszczeniutekstujednolitegonp1">
    <w:name w:val="PPKT_OTJ – podpunkt w obwieszczeniu tekstu jednolitego np. &quot;1)&quot;"/>
    <w:basedOn w:val="PKTOTJpunktobwieszczeniatekstujednolitegonp1"/>
    <w:uiPriority w:val="98"/>
    <w:semiHidden/>
    <w:qFormat/>
    <w:rsid w:val="006A748A"/>
    <w:pPr>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semiHidden/>
    <w:qFormat/>
    <w:rsid w:val="006A748A"/>
    <w:pPr>
      <w:ind w:left="-510" w:firstLine="0"/>
    </w:pPr>
  </w:style>
  <w:style w:type="paragraph" w:customStyle="1" w:styleId="TEKSTOBWIESZCZENIENAZWAORGANUWYDAJCEGOOTJ">
    <w:name w:val="TEKST&quot;OBWIESZCZENIE&quot;(NAZWA_ORGANU_WYDAJĄCEGO_OTJ)"/>
    <w:basedOn w:val="OZNRODZAKTUtznustawalubrozporzdzenieiorganwydajcy"/>
    <w:uiPriority w:val="96"/>
    <w:semiHidden/>
    <w:qFormat/>
    <w:rsid w:val="00ED2AE0"/>
    <w:pPr>
      <w:ind w:left="-510"/>
    </w:pPr>
  </w:style>
  <w:style w:type="paragraph" w:customStyle="1" w:styleId="DATAOTJdatawydaniaobwieszczeniatekstujednolitego">
    <w:name w:val="DATA_OTJ – data wydania obwieszczenia tekstu jednolitego"/>
    <w:basedOn w:val="DATAAKTUdatauchwalenialubwydaniaaktu"/>
    <w:uiPriority w:val="97"/>
    <w:semiHidden/>
    <w:qFormat/>
    <w:rsid w:val="006A748A"/>
    <w:pPr>
      <w:ind w:left="-510"/>
    </w:pPr>
  </w:style>
  <w:style w:type="paragraph" w:customStyle="1" w:styleId="TYTUOTJprzedmiotobwieszczeniatekstujednolitego">
    <w:name w:val="TYTUŁ_OTJ – przedmiot obwieszczenia tekstu jednolitego"/>
    <w:basedOn w:val="TYTUAKTUprzedmiotregulacjiustawylubrozporzdzenia"/>
    <w:uiPriority w:val="97"/>
    <w:semiHidden/>
    <w:qFormat/>
    <w:rsid w:val="006A748A"/>
    <w:pPr>
      <w:ind w:left="-510"/>
    </w:pPr>
  </w:style>
  <w:style w:type="paragraph" w:customStyle="1" w:styleId="ZLITODNONIKAzmlitodnonikaartykuempunktem">
    <w:name w:val="Z/LIT_ODNOŚNIKA – zm. lit. odnośnika artykułem (punktem)"/>
    <w:basedOn w:val="ZPKTODNONIKAzmpktodnonikaartykuempunktem"/>
    <w:next w:val="PKTpunkt"/>
    <w:uiPriority w:val="40"/>
    <w:qFormat/>
    <w:rsid w:val="006A748A"/>
  </w:style>
  <w:style w:type="paragraph" w:customStyle="1" w:styleId="ZLITwPKTODNONIKAzmlitwpktodnonikaartykuempunktem">
    <w:name w:val="Z/LIT_w_PKT_ODNOŚNIKA – zm. lit. w pkt odnośnika artykułem (punktem)"/>
    <w:basedOn w:val="ZLITODNONIKAzmlitodnonikaartykuempunktem"/>
    <w:uiPriority w:val="40"/>
    <w:qFormat/>
    <w:rsid w:val="006A748A"/>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6A748A"/>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6A748A"/>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6A748A"/>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6A748A"/>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6A748A"/>
    <w:pPr>
      <w:ind w:left="1304"/>
    </w:pPr>
  </w:style>
  <w:style w:type="paragraph" w:customStyle="1" w:styleId="ZDANIENASTNOWYWIERSZnpzddrugienowywierszwust">
    <w:name w:val="ZDANIE_NAST_NOWY_WIERSZ – np. zd. drugie (nowy wiersz) w ust."/>
    <w:basedOn w:val="CZWSPPKTczwsplnapunktw"/>
    <w:next w:val="USTustnpkodeksu"/>
    <w:uiPriority w:val="17"/>
    <w:qFormat/>
    <w:rsid w:val="006A748A"/>
  </w:style>
  <w:style w:type="paragraph" w:customStyle="1" w:styleId="ZZFRAGzmianazmfragmentunpzdania">
    <w:name w:val="ZZ/FRAG – zmiana zm. fragmentu (np. zdania)"/>
    <w:basedOn w:val="ZZCZWSPPKTzmianazmczciwsppkt"/>
    <w:uiPriority w:val="70"/>
    <w:qFormat/>
    <w:rsid w:val="006A748A"/>
  </w:style>
  <w:style w:type="paragraph" w:customStyle="1" w:styleId="Z2TIRPKTzmpktpodwjnymtiret">
    <w:name w:val="Z_2TIR/PKT – zm. pkt podwójnym tiret"/>
    <w:basedOn w:val="Z2TIRLITzmlitpodwjnymtiret"/>
    <w:uiPriority w:val="83"/>
    <w:qFormat/>
    <w:rsid w:val="006A748A"/>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84"/>
    <w:qFormat/>
    <w:rsid w:val="006A748A"/>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84"/>
    <w:qFormat/>
    <w:rsid w:val="006A748A"/>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86"/>
    <w:qFormat/>
    <w:rsid w:val="006A748A"/>
    <w:pPr>
      <w:ind w:left="3561"/>
    </w:pPr>
    <w:rPr>
      <w:rFonts w:ascii="Times New Roman" w:hAnsi="Times New Roman"/>
      <w:lang w:val="en-US"/>
    </w:rPr>
  </w:style>
  <w:style w:type="paragraph" w:customStyle="1" w:styleId="Z2TIRARTzmartpodwjnymtiret">
    <w:name w:val="Z_2TIR/ART(§) – zm. art. (§) podwójnym tiret"/>
    <w:basedOn w:val="Z2TIRPKTzmpktpodwjnymtiret"/>
    <w:uiPriority w:val="82"/>
    <w:qFormat/>
    <w:rsid w:val="006A748A"/>
    <w:pPr>
      <w:ind w:left="1780" w:firstLine="510"/>
    </w:pPr>
  </w:style>
  <w:style w:type="paragraph" w:customStyle="1" w:styleId="Z2TIRUSTzmustpodwjnymtiret">
    <w:name w:val="Z_2TIR/UST(§) – zm. ust. (§) podwójnym tiret"/>
    <w:basedOn w:val="Z2TIRPKTzmpktpodwjnymtiret"/>
    <w:uiPriority w:val="82"/>
    <w:qFormat/>
    <w:rsid w:val="006A748A"/>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uiPriority w:val="89"/>
    <w:qFormat/>
    <w:rsid w:val="006A748A"/>
    <w:pPr>
      <w:ind w:left="3164" w:firstLine="0"/>
    </w:pPr>
  </w:style>
  <w:style w:type="paragraph" w:customStyle="1" w:styleId="Z2TIRCZWSPPKTzmczciwsppktpodwjnymtiret">
    <w:name w:val="Z_2TIR/CZ_WSP_PKT – zm. części wsp. pkt podwójnym tiret"/>
    <w:basedOn w:val="Z2TIRPKTzmpktpodwjnymtiret"/>
    <w:uiPriority w:val="86"/>
    <w:qFormat/>
    <w:rsid w:val="006A748A"/>
    <w:pPr>
      <w:ind w:left="1780" w:firstLine="0"/>
    </w:pPr>
  </w:style>
  <w:style w:type="paragraph" w:customStyle="1" w:styleId="Z2TIRCZWSPLITwPKTzmczciwsplitwpktpodwjnymtiret">
    <w:name w:val="Z_2TIR/CZ_WSP_LIT_w_PKT – zm. części wsp. lit. w pkt podwójnym tiret"/>
    <w:basedOn w:val="Z2TIRLITwPKTzmlitwpktpodwjnymtiret"/>
    <w:uiPriority w:val="87"/>
    <w:qFormat/>
    <w:rsid w:val="006A748A"/>
    <w:pPr>
      <w:ind w:left="2291" w:firstLine="0"/>
    </w:pPr>
  </w:style>
  <w:style w:type="paragraph" w:customStyle="1" w:styleId="Z2TIRCZWSPTIRwPKTzmczciwsptirwpktpodwjnymtiret">
    <w:name w:val="Z_2TIR/CZ_WSP_TIR_w_PKT – zm. części wsp. tir. w pkt podwójnym tiret"/>
    <w:basedOn w:val="Z2TIRTIRwPKTzmtirwpktpodwjnymtiret"/>
    <w:uiPriority w:val="87"/>
    <w:qFormat/>
    <w:rsid w:val="006A748A"/>
    <w:pPr>
      <w:ind w:left="2767" w:firstLine="0"/>
    </w:pPr>
  </w:style>
  <w:style w:type="paragraph" w:customStyle="1" w:styleId="ZLITARTzmartliter">
    <w:name w:val="Z_LIT/ART(§) – zm. art. (§) literą"/>
    <w:basedOn w:val="ZLITUSTzmustliter"/>
    <w:uiPriority w:val="46"/>
    <w:qFormat/>
    <w:rsid w:val="006A748A"/>
    <w:rPr>
      <w:rFonts w:ascii="Times New Roman" w:hAnsi="Times New Roman"/>
    </w:rPr>
  </w:style>
  <w:style w:type="paragraph" w:customStyle="1" w:styleId="ZTIRARTzmarttiret">
    <w:name w:val="Z_TIR/ART(§) – zm. art. (§) tiret"/>
    <w:basedOn w:val="ZTIRPKTzmpkttiret"/>
    <w:uiPriority w:val="55"/>
    <w:qFormat/>
    <w:rsid w:val="006A748A"/>
    <w:pPr>
      <w:ind w:left="1383" w:firstLine="510"/>
    </w:pPr>
    <w:rPr>
      <w:rFonts w:ascii="Times New Roman" w:hAnsi="Times New Roman"/>
    </w:rPr>
  </w:style>
  <w:style w:type="paragraph" w:customStyle="1" w:styleId="ZTIRUSTzmusttiret">
    <w:name w:val="Z_TIR/UST(§) – zm. ust. (§) tiret"/>
    <w:basedOn w:val="ZTIRARTzmarttiret"/>
    <w:uiPriority w:val="55"/>
    <w:qFormat/>
    <w:rsid w:val="006A748A"/>
  </w:style>
  <w:style w:type="paragraph" w:customStyle="1" w:styleId="ZLITKSIGIzmozniprzedmksigiliter">
    <w:name w:val="Z_LIT/KSIĘGI – zm. ozn. i przedm. księgi literą"/>
    <w:basedOn w:val="ZCZCIKSIGIzmozniprzedmczciksigiartykuempunktem"/>
    <w:uiPriority w:val="44"/>
    <w:qFormat/>
    <w:rsid w:val="006A748A"/>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6A748A"/>
    <w:pPr>
      <w:ind w:left="987"/>
    </w:pPr>
  </w:style>
  <w:style w:type="paragraph" w:customStyle="1" w:styleId="ZLITTYTDZPRZEDMzmprzedmtytuudziauliter">
    <w:name w:val="Z_LIT/TYT(DZ)_PRZEDM – zm. przedm. tytułu (działu) literą"/>
    <w:basedOn w:val="ZTYTDZPRZEDMzmprzedmtytuulubdziauartykuempunktem"/>
    <w:uiPriority w:val="44"/>
    <w:qFormat/>
    <w:rsid w:val="006A748A"/>
    <w:pPr>
      <w:ind w:left="987"/>
    </w:p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6A748A"/>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6A748A"/>
    <w:pPr>
      <w:ind w:left="987"/>
    </w:pPr>
  </w:style>
  <w:style w:type="paragraph" w:customStyle="1" w:styleId="ZTIRDZOZNzmozndziautiret">
    <w:name w:val="Z_TIR/DZ_OZN – zm. ozn. działu tiret"/>
    <w:basedOn w:val="ZLITTYTDZOZNzmozntytuudziauliter"/>
    <w:next w:val="ZTIRDZPRZEDMzmprzedmdziautiret"/>
    <w:uiPriority w:val="54"/>
    <w:qFormat/>
    <w:rsid w:val="006A748A"/>
    <w:pPr>
      <w:ind w:left="1383"/>
    </w:pPr>
  </w:style>
  <w:style w:type="paragraph" w:customStyle="1" w:styleId="ZTIRDZPRZEDMzmprzedmdziautiret">
    <w:name w:val="Z_TIR/DZ_PRZEDM – zm. przedm. działu tiret"/>
    <w:basedOn w:val="ZLITTYTDZPRZEDMzmprzedmtytuudziauliter"/>
    <w:uiPriority w:val="54"/>
    <w:qFormat/>
    <w:rsid w:val="006A748A"/>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6A748A"/>
    <w:pPr>
      <w:ind w:left="1383"/>
    </w:pPr>
  </w:style>
  <w:style w:type="paragraph" w:customStyle="1" w:styleId="ZTIRROZDZODDZPRZEDMzmprzedmrozdzoddztiret">
    <w:name w:val="Z_TIR/ROZDZ(ODDZ)_PRZEDM – zm. przedm. rozdz. (oddz.) tiret"/>
    <w:basedOn w:val="ZLITROZDZODDZPRZEDMzmprzedmrozdzoddzliter"/>
    <w:uiPriority w:val="54"/>
    <w:qFormat/>
    <w:rsid w:val="006A748A"/>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6A748A"/>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6A748A"/>
    <w:pPr>
      <w:ind w:left="1780"/>
    </w:pPr>
  </w:style>
  <w:style w:type="character" w:customStyle="1" w:styleId="IGindeksgrny">
    <w:name w:val="_IG_ – indeks górny"/>
    <w:basedOn w:val="Domylnaczcionkaakapitu"/>
    <w:uiPriority w:val="2"/>
    <w:qFormat/>
    <w:rsid w:val="00A12520"/>
    <w:rPr>
      <w:b w:val="0"/>
      <w:i w:val="0"/>
      <w:vanish w:val="0"/>
      <w:spacing w:val="0"/>
      <w:vertAlign w:val="superscript"/>
    </w:rPr>
  </w:style>
  <w:style w:type="character" w:customStyle="1" w:styleId="IDindeksdolny">
    <w:name w:val="_ID_ – indeks dolny"/>
    <w:basedOn w:val="Domylnaczcionkaakapitu"/>
    <w:uiPriority w:val="3"/>
    <w:qFormat/>
    <w:rsid w:val="00591124"/>
    <w:rPr>
      <w:b w:val="0"/>
      <w:i w:val="0"/>
      <w:vanish w:val="0"/>
      <w:spacing w:val="0"/>
      <w:vertAlign w:val="subscript"/>
    </w:rPr>
  </w:style>
  <w:style w:type="character" w:customStyle="1" w:styleId="IDPindeksdolnyipogrubienie">
    <w:name w:val="_ID_P_ – indeks dolny i pogrubienie"/>
    <w:basedOn w:val="Domylnaczcionkaakapitu"/>
    <w:uiPriority w:val="3"/>
    <w:qFormat/>
    <w:rsid w:val="00591124"/>
    <w:rPr>
      <w:b/>
      <w:vanish w:val="0"/>
      <w:spacing w:val="0"/>
      <w:vertAlign w:val="subscript"/>
    </w:rPr>
  </w:style>
  <w:style w:type="character" w:customStyle="1" w:styleId="IDKindeksdolnyikursywa">
    <w:name w:val="_ID_K_ – indeks dolny i kursywa"/>
    <w:basedOn w:val="Domylnaczcionkaakapitu"/>
    <w:uiPriority w:val="3"/>
    <w:qFormat/>
    <w:rsid w:val="00591124"/>
    <w:rPr>
      <w:i/>
      <w:vanish w:val="0"/>
      <w:spacing w:val="0"/>
      <w:vertAlign w:val="subscript"/>
    </w:rPr>
  </w:style>
  <w:style w:type="character" w:customStyle="1" w:styleId="IGPindeksgrnyipogrubienie">
    <w:name w:val="_IG_P_ – indeks górny i pogrubienie"/>
    <w:basedOn w:val="Domylnaczcionkaakapitu"/>
    <w:uiPriority w:val="2"/>
    <w:qFormat/>
    <w:rsid w:val="00A12520"/>
    <w:rPr>
      <w:b/>
      <w:vanish w:val="0"/>
      <w:spacing w:val="0"/>
      <w:vertAlign w:val="superscript"/>
    </w:rPr>
  </w:style>
  <w:style w:type="character" w:customStyle="1" w:styleId="IGKindeksgrnyikursywa">
    <w:name w:val="_IG_K_ – indeks górny i kursywa"/>
    <w:basedOn w:val="Domylnaczcionkaakapitu"/>
    <w:uiPriority w:val="2"/>
    <w:qFormat/>
    <w:rsid w:val="00A12520"/>
    <w:rPr>
      <w:i/>
      <w:vanish w:val="0"/>
      <w:spacing w:val="0"/>
      <w:vertAlign w:val="superscript"/>
    </w:rPr>
  </w:style>
  <w:style w:type="character" w:customStyle="1" w:styleId="IGPKindeksgrnyipogrubieniekursywa">
    <w:name w:val="_IG_P_K_ – indeks górny i pogrubienie kursywa"/>
    <w:basedOn w:val="Domylnaczcionkaakapitu"/>
    <w:uiPriority w:val="2"/>
    <w:qFormat/>
    <w:rsid w:val="00591124"/>
    <w:rPr>
      <w:b/>
      <w:i/>
      <w:vanish w:val="0"/>
      <w:spacing w:val="0"/>
      <w:vertAlign w:val="superscript"/>
    </w:rPr>
  </w:style>
  <w:style w:type="character" w:customStyle="1" w:styleId="IDPKindeksdolnyipogrugieniekursywa">
    <w:name w:val="_ID_P_K_ – indeks dolny i pogrugienie kursywa"/>
    <w:basedOn w:val="Domylnaczcionkaakapitu"/>
    <w:uiPriority w:val="3"/>
    <w:qFormat/>
    <w:rsid w:val="00591124"/>
    <w:rPr>
      <w:b/>
      <w:i/>
      <w:vanish w:val="0"/>
      <w:spacing w:val="0"/>
      <w:vertAlign w:val="subscript"/>
    </w:rPr>
  </w:style>
  <w:style w:type="character" w:customStyle="1" w:styleId="Ppogrubienie">
    <w:name w:val="_P_ – pogrubienie"/>
    <w:basedOn w:val="Domylnaczcionkaakapitu"/>
    <w:uiPriority w:val="1"/>
    <w:qFormat/>
    <w:rsid w:val="006A748A"/>
    <w:rPr>
      <w:b/>
    </w:rPr>
  </w:style>
  <w:style w:type="character" w:customStyle="1" w:styleId="Kkursywa">
    <w:name w:val="_K_ – kursywa"/>
    <w:basedOn w:val="Domylnaczcionkaakapitu"/>
    <w:uiPriority w:val="1"/>
    <w:qFormat/>
    <w:rsid w:val="006A748A"/>
    <w:rPr>
      <w:i/>
    </w:rPr>
  </w:style>
  <w:style w:type="character" w:customStyle="1" w:styleId="PKpogrubieniekursywa">
    <w:name w:val="_P_K_ – pogrubienie kursywa"/>
    <w:basedOn w:val="Domylnaczcionkaakapitu"/>
    <w:uiPriority w:val="1"/>
    <w:qFormat/>
    <w:rsid w:val="006A748A"/>
    <w:rPr>
      <w:b/>
      <w:i/>
    </w:rPr>
  </w:style>
  <w:style w:type="character" w:customStyle="1" w:styleId="TEKSTOZNACZONYWDOKUMENCIERDOWYMJAKOUKRYTY">
    <w:name w:val="_TEKST_OZNACZONY_W_DOKUMENCIE_ŹRÓDŁOWYM_JAKO_UKRYTY_"/>
    <w:basedOn w:val="Domylnaczcionkaakapitu"/>
    <w:uiPriority w:val="4"/>
    <w:unhideWhenUsed/>
    <w:qFormat/>
    <w:rsid w:val="009D55AA"/>
    <w:rPr>
      <w:vanish w:val="0"/>
      <w:color w:val="FF0000"/>
      <w:u w:val="single" w:color="FF0000"/>
    </w:rPr>
  </w:style>
  <w:style w:type="character" w:customStyle="1" w:styleId="BEZWERSALIKW">
    <w:name w:val="_BEZ_WERSALIKÓW_"/>
    <w:basedOn w:val="Domylnaczcionkaakapitu"/>
    <w:uiPriority w:val="4"/>
    <w:qFormat/>
    <w:rsid w:val="00390E89"/>
    <w:rPr>
      <w:caps/>
    </w:rPr>
  </w:style>
  <w:style w:type="character" w:customStyle="1" w:styleId="IIGPindeksgrnyindeksugrnegoipogrubienie">
    <w:name w:val="_IIG_P_ – indeks górny indeksu górnego i pogrubienie"/>
    <w:basedOn w:val="Domylnaczcionkaakapitu"/>
    <w:uiPriority w:val="3"/>
    <w:qFormat/>
    <w:rsid w:val="00A12520"/>
    <w:rPr>
      <w:b/>
      <w:vanish w:val="0"/>
      <w:spacing w:val="0"/>
      <w:position w:val="6"/>
      <w:vertAlign w:val="superscript"/>
    </w:rPr>
  </w:style>
  <w:style w:type="character" w:customStyle="1" w:styleId="IIGindeksgrnyindeksugrnego">
    <w:name w:val="_IIG_ – indeks górny indeksu górnego"/>
    <w:basedOn w:val="IIGPindeksgrnyindeksugrnegoipogrubienie"/>
    <w:uiPriority w:val="3"/>
    <w:qFormat/>
    <w:rsid w:val="003602AE"/>
    <w:rPr>
      <w:b w:val="0"/>
      <w:i w:val="0"/>
      <w:vanish w:val="0"/>
      <w:spacing w:val="0"/>
      <w:position w:val="6"/>
      <w:vertAlign w:val="superscript"/>
    </w:rPr>
  </w:style>
  <w:style w:type="paragraph" w:customStyle="1" w:styleId="ODNONIKSPECtreodnonikadoodnonika">
    <w:name w:val="ODNOŚNIK_SPEC – treść odnośnika do odnośnika"/>
    <w:basedOn w:val="Normalny"/>
    <w:uiPriority w:val="19"/>
    <w:qFormat/>
    <w:rsid w:val="00263522"/>
    <w:pPr>
      <w:widowControl/>
      <w:autoSpaceDE/>
      <w:autoSpaceDN/>
      <w:adjustRightInd/>
      <w:spacing w:line="240" w:lineRule="auto"/>
      <w:ind w:left="283" w:hanging="170"/>
    </w:pPr>
    <w:rPr>
      <w:sz w:val="20"/>
    </w:rPr>
  </w:style>
  <w:style w:type="paragraph" w:customStyle="1" w:styleId="TEKSTwTABELItekstzwcitympierwwierszem">
    <w:name w:val="TEKST_w_TABELI – tekst z wciętym pierw. wierszem"/>
    <w:basedOn w:val="Normalny"/>
    <w:uiPriority w:val="23"/>
    <w:qFormat/>
    <w:rsid w:val="007A789F"/>
    <w:pPr>
      <w:widowControl/>
      <w:suppressAutoHyphens/>
      <w:ind w:firstLine="510"/>
    </w:pPr>
    <w:rPr>
      <w:rFonts w:ascii="Times" w:hAnsi="Times"/>
      <w:bCs/>
      <w:kern w:val="24"/>
    </w:rPr>
  </w:style>
  <w:style w:type="paragraph" w:customStyle="1" w:styleId="TEKSTwTABELIWYRODKOWANYtekstwyrodkowanywpoziomie">
    <w:name w:val="TEKST_w_TABELI_WYŚRODKOWANY – tekst wyśrodkowany w poziomie"/>
    <w:basedOn w:val="Normalny"/>
    <w:uiPriority w:val="23"/>
    <w:qFormat/>
    <w:rsid w:val="007A789F"/>
    <w:pPr>
      <w:widowControl/>
      <w:suppressAutoHyphens/>
      <w:jc w:val="center"/>
    </w:pPr>
    <w:rPr>
      <w:rFonts w:ascii="Times" w:hAnsi="Times"/>
      <w:bCs/>
      <w:kern w:val="24"/>
    </w:rPr>
  </w:style>
  <w:style w:type="paragraph" w:customStyle="1" w:styleId="ZTIRSKARNzmsankcjikarnejtiret">
    <w:name w:val="Z_TIR/S_KARN – zm. sankcji karnej tiret"/>
    <w:basedOn w:val="ZLITSKARNzmsankcjikarnejliter"/>
    <w:next w:val="ZTIRARTzmarttiret"/>
    <w:uiPriority w:val="61"/>
    <w:qFormat/>
    <w:rsid w:val="001270A2"/>
    <w:pPr>
      <w:ind w:left="1894"/>
    </w:pPr>
  </w:style>
  <w:style w:type="paragraph" w:customStyle="1" w:styleId="ZZSKARNzmianazmsankcjikarnej">
    <w:name w:val="ZZ/S_KARN – zmiana zm. sankcji karnej"/>
    <w:basedOn w:val="ZZFRAGzmianazmfragmentunpzdania"/>
    <w:uiPriority w:val="71"/>
    <w:qFormat/>
    <w:rsid w:val="001270A2"/>
    <w:pPr>
      <w:ind w:left="2404"/>
    </w:pPr>
  </w:style>
  <w:style w:type="paragraph" w:customStyle="1" w:styleId="Z2TIRSKARNzmianasankcjikarnejpodwjnymtiret">
    <w:name w:val="Z_2TIR/S_KARN – zmiana sankcji karnej podwójnym tiret"/>
    <w:basedOn w:val="Z2TIRARTzmartpodwjnymtiret"/>
    <w:next w:val="Z2TIRARTzmartpodwjnymtiret"/>
    <w:uiPriority w:val="90"/>
    <w:qFormat/>
    <w:rsid w:val="001270A2"/>
    <w:pPr>
      <w:ind w:left="2291" w:firstLine="0"/>
    </w:pPr>
  </w:style>
  <w:style w:type="paragraph" w:customStyle="1" w:styleId="WMATFIZCHEMwzrmatfizlubchem">
    <w:name w:val="W_MAT(FIZ|CHEM) – wzór mat. (fiz. lub chem.)"/>
    <w:uiPriority w:val="18"/>
    <w:qFormat/>
    <w:rsid w:val="001270A2"/>
    <w:pPr>
      <w:jc w:val="center"/>
    </w:pPr>
    <w:rPr>
      <w:rFonts w:ascii="Times New Roman" w:eastAsiaTheme="minorEastAsia" w:hAnsi="Times New Roman" w:cs="Arial"/>
      <w:szCs w:val="20"/>
    </w:rPr>
  </w:style>
  <w:style w:type="paragraph" w:customStyle="1" w:styleId="LEGWMATFIZCHEMlegendawzorumatfizlubchem">
    <w:name w:val="LEG_W_MAT(FIZ|CHEM) – legenda wzoru mat. (fiz. lub chem.)"/>
    <w:basedOn w:val="WMATFIZCHEMwzrmatfizlubchem"/>
    <w:uiPriority w:val="19"/>
    <w:qFormat/>
    <w:rsid w:val="001270A2"/>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1270A2"/>
    <w:pPr>
      <w:ind w:left="1815"/>
    </w:pPr>
  </w:style>
  <w:style w:type="paragraph" w:customStyle="1" w:styleId="ZZLEGWMATFIZCHEMzmlegendywzorumatfizlubchem">
    <w:name w:val="ZZ/LEG_W_MAT(FIZ|CHEM) – zm. legendy wzoru mat. (fiz. lub chem.)"/>
    <w:basedOn w:val="ZLEGWMATFIZCHEMzmlegendywzorumatfizlubchemartykuempunktem"/>
    <w:uiPriority w:val="72"/>
    <w:qFormat/>
    <w:rsid w:val="001270A2"/>
    <w:pPr>
      <w:ind w:left="3198"/>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7575D2"/>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53"/>
    <w:qFormat/>
    <w:rsid w:val="007575D2"/>
    <w:pPr>
      <w:ind w:left="987"/>
    </w:pPr>
  </w:style>
  <w:style w:type="paragraph" w:customStyle="1" w:styleId="ZTIRWMATFIZCHEMzmwzorumatfizlubchemtiret">
    <w:name w:val="Z_TIR/W_MAT(FIZ|CHEM) – zm. wzoru mat. (fiz. lub chem.) tiret"/>
    <w:basedOn w:val="ZLITWMATFIZCHEMzmwzorumatfizlubchemliter"/>
    <w:next w:val="ZTIRUSTzmusttiret"/>
    <w:uiPriority w:val="62"/>
    <w:qFormat/>
    <w:rsid w:val="007575D2"/>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7575D2"/>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1"/>
    <w:qFormat/>
    <w:rsid w:val="007575D2"/>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A65B41"/>
    <w:pPr>
      <w:ind w:left="3085"/>
    </w:pPr>
  </w:style>
  <w:style w:type="paragraph" w:customStyle="1" w:styleId="ZLITCYTzmcytatunpprzysigiliter">
    <w:name w:val="Z_LIT/CYT – zm. cytatu np. przysięgi literą"/>
    <w:basedOn w:val="ZCYTzmcytatunpprzysigiartykuempunktem"/>
    <w:uiPriority w:val="53"/>
    <w:qFormat/>
    <w:rsid w:val="002D4D30"/>
    <w:pPr>
      <w:ind w:left="1497"/>
    </w:pPr>
  </w:style>
  <w:style w:type="paragraph" w:customStyle="1" w:styleId="ZTIRCYTzmcytatunpprzysigitiret">
    <w:name w:val="Z_TIR/CYT – zm. cytatu np. przysięgi tiret"/>
    <w:basedOn w:val="ZLITCYTzmcytatunpprzysigiliter"/>
    <w:next w:val="ZTIRUSTzmusttiret"/>
    <w:uiPriority w:val="61"/>
    <w:qFormat/>
    <w:rsid w:val="002D4D30"/>
    <w:pPr>
      <w:ind w:left="1894"/>
    </w:pPr>
  </w:style>
  <w:style w:type="paragraph" w:customStyle="1" w:styleId="Z2TIRCYTzmcytatunpprzysigipodwjnymtiret">
    <w:name w:val="Z_2TIR/CYT – zm. cytatu np. przysięgi podwójnym tiret"/>
    <w:basedOn w:val="ZTIRCYTzmcytatunpprzysigitiret"/>
    <w:next w:val="Z2TIRUSTzmustpodwjnymtiret"/>
    <w:uiPriority w:val="90"/>
    <w:qFormat/>
    <w:rsid w:val="00A65B41"/>
    <w:pPr>
      <w:ind w:left="2291"/>
    </w:pPr>
  </w:style>
  <w:style w:type="paragraph" w:customStyle="1" w:styleId="ZZCYTzmianazmcytatunpprzysigi">
    <w:name w:val="ZZ/CYT – zmiana zm. cytatu np. przysięgi"/>
    <w:basedOn w:val="ZZFRAGzmianazmfragmentunpzdania"/>
    <w:next w:val="ZZUSTzmianazmust"/>
    <w:uiPriority w:val="71"/>
    <w:qFormat/>
    <w:rsid w:val="00A65B41"/>
    <w:pPr>
      <w:ind w:left="2404"/>
    </w:pPr>
  </w:style>
  <w:style w:type="paragraph" w:customStyle="1" w:styleId="Z2TIRFRAGMzmnpwprdowyliczeniapodwjnymtiret">
    <w:name w:val="Z_2TIR/FRAGM – zm. np. wpr. do wyliczenia podwójnym tiret"/>
    <w:basedOn w:val="ZTIRFRAGMzmnpwprdowyliczeniatiret"/>
    <w:next w:val="2TIRpodwjnytiret"/>
    <w:uiPriority w:val="89"/>
    <w:qFormat/>
    <w:rsid w:val="00A824DD"/>
    <w:pPr>
      <w:ind w:left="1780"/>
    </w:pPr>
  </w:style>
  <w:style w:type="table" w:styleId="Tabela-Siatka">
    <w:name w:val="Table Grid"/>
    <w:basedOn w:val="Standardowy"/>
    <w:locked/>
    <w:rsid w:val="001952B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Elegancki">
    <w:name w:val="Table Elegant"/>
    <w:basedOn w:val="Standardowy"/>
    <w:locked/>
    <w:rsid w:val="001952B1"/>
    <w:pPr>
      <w:widowControl w:val="0"/>
      <w:autoSpaceDE w:val="0"/>
      <w:autoSpaceDN w:val="0"/>
      <w:adjustRightInd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A2zszablonu">
    <w:name w:val="TABELA 2 z szablonu"/>
    <w:basedOn w:val="Tabela-Elegancki"/>
    <w:uiPriority w:val="99"/>
    <w:rsid w:val="000319C1"/>
    <w:pPr>
      <w:spacing w:line="240" w:lineRule="auto"/>
      <w:jc w:val="left"/>
    </w:pPr>
    <w:tblPr>
      <w:jc w:val="center"/>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Pr>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style>
  <w:style w:type="table" w:customStyle="1" w:styleId="TABELA1zszablonu">
    <w:name w:val="TABELA 1 z szablonu"/>
    <w:basedOn w:val="Tabela-Siatka"/>
    <w:uiPriority w:val="99"/>
    <w:rsid w:val="001329AC"/>
    <w:tblPr>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rPr>
      <w:jc w:val="center"/>
    </w:trPr>
  </w:style>
  <w:style w:type="table" w:customStyle="1" w:styleId="TABELA3zszablonu">
    <w:name w:val="TABELA 3 z szablonu"/>
    <w:basedOn w:val="TABELA2zszablonu"/>
    <w:uiPriority w:val="99"/>
    <w:rsid w:val="001329AC"/>
    <w:tbl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tblStylePr w:type="firstCo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tblStylePr w:type="nwCel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style>
  <w:style w:type="character" w:styleId="Tekstzastpczy">
    <w:name w:val="Placeholder Text"/>
    <w:basedOn w:val="Domylnaczcionkaakapitu"/>
    <w:uiPriority w:val="99"/>
    <w:semiHidden/>
    <w:rsid w:val="00341A6A"/>
    <w:rPr>
      <w:color w:val="808080"/>
    </w:rPr>
  </w:style>
  <w:style w:type="paragraph" w:styleId="Akapitzlist">
    <w:name w:val="List Paragraph"/>
    <w:basedOn w:val="Normalny"/>
    <w:uiPriority w:val="34"/>
    <w:qFormat/>
    <w:rsid w:val="00E07616"/>
    <w:pPr>
      <w:widowControl/>
      <w:autoSpaceDE/>
      <w:autoSpaceDN/>
      <w:adjustRightInd/>
      <w:spacing w:after="160" w:line="256" w:lineRule="auto"/>
      <w:ind w:left="720"/>
      <w:contextualSpacing/>
    </w:pPr>
    <w:rPr>
      <w:rFonts w:ascii="Times" w:eastAsia="Times New Roman" w:hAnsi="Time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piekart\AppData\Roaming\Microsoft\Szablony\Szablon%20aktu%20prawnego%204_0.dot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&lt;data wydania aktu&gt;</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7E90279-A43D-4114-8FCB-0F4B144B8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aktu prawnego 4_0</Template>
  <TotalTime>2</TotalTime>
  <Pages>1</Pages>
  <Words>6563</Words>
  <Characters>39381</Characters>
  <Application>Microsoft Office Word</Application>
  <DocSecurity>0</DocSecurity>
  <Lines>328</Lines>
  <Paragraphs>91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Akt prawny</vt:lpstr>
      <vt:lpstr>p r o j e k t</vt:lpstr>
    </vt:vector>
  </TitlesOfParts>
  <Manager/>
  <Company>&lt;nazwa organu&gt;</Company>
  <LinksUpToDate>false</LinksUpToDate>
  <CharactersWithSpaces>45853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 prawny</dc:title>
  <dc:subject/>
  <dc:creator>Piekart Andrzej</dc:creator>
  <cp:lastModifiedBy>Piekart Andrzej</cp:lastModifiedBy>
  <cp:revision>4</cp:revision>
  <cp:lastPrinted>2012-04-23T06:39:00Z</cp:lastPrinted>
  <dcterms:created xsi:type="dcterms:W3CDTF">2021-02-26T12:32:00Z</dcterms:created>
  <dcterms:modified xsi:type="dcterms:W3CDTF">2021-02-26T13:46:00Z</dcterms:modified>
  <cp:category>000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a wydania obwieszczenia">
    <vt:lpwstr>&lt;data wydania obwieszczenia&gt;</vt:lpwstr>
  </property>
  <property fmtid="{D5CDD505-2E9C-101B-9397-08002B2CF9AE}" pid="3" name="Data ogłoszenia">
    <vt:lpwstr>&lt;data ogłoszenia&gt;</vt:lpwstr>
  </property>
</Properties>
</file>