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C2A8" w14:textId="77777777" w:rsidR="006B4AB0" w:rsidRPr="00B3669C" w:rsidRDefault="006B4AB0" w:rsidP="00805E9B">
      <w:pPr>
        <w:spacing w:line="23" w:lineRule="atLeast"/>
        <w:jc w:val="both"/>
      </w:pPr>
    </w:p>
    <w:p w14:paraId="28ABA39C" w14:textId="396F9655" w:rsidR="00B34DCA" w:rsidRDefault="00B34DCA" w:rsidP="00805E9B">
      <w:pPr>
        <w:spacing w:line="23" w:lineRule="atLeast"/>
        <w:jc w:val="center"/>
        <w:rPr>
          <w:b/>
          <w:bCs/>
          <w:caps/>
          <w:kern w:val="24"/>
        </w:rPr>
      </w:pPr>
      <w:r w:rsidRPr="00C15934">
        <w:rPr>
          <w:rFonts w:eastAsiaTheme="minorEastAsia" w:cs="Arial"/>
          <w:szCs w:val="20"/>
        </w:rPr>
        <w:t>UZASADNIENIE</w:t>
      </w:r>
    </w:p>
    <w:p w14:paraId="08E6FAF2" w14:textId="77777777" w:rsidR="00434865" w:rsidRDefault="00434865" w:rsidP="00805E9B">
      <w:pPr>
        <w:spacing w:line="23" w:lineRule="atLeast"/>
        <w:jc w:val="both"/>
        <w:rPr>
          <w:b/>
          <w:bCs/>
          <w:caps/>
          <w:kern w:val="24"/>
        </w:rPr>
      </w:pPr>
    </w:p>
    <w:p w14:paraId="1996AEAF" w14:textId="1B5D145B" w:rsidR="00562957" w:rsidRDefault="00562957" w:rsidP="00805E9B">
      <w:pPr>
        <w:spacing w:line="23" w:lineRule="atLeast"/>
        <w:ind w:firstLine="426"/>
        <w:jc w:val="both"/>
        <w:rPr>
          <w:rFonts w:eastAsiaTheme="minorEastAsia"/>
        </w:rPr>
      </w:pPr>
      <w:r>
        <w:rPr>
          <w:rFonts w:eastAsiaTheme="minorEastAsia"/>
        </w:rPr>
        <w:t>P</w:t>
      </w:r>
      <w:r w:rsidRPr="00562957">
        <w:rPr>
          <w:rFonts w:eastAsiaTheme="minorEastAsia"/>
        </w:rPr>
        <w:t>rojekt rozporządzenia stanowi wykonanie delegacji zawartej w art. 4</w:t>
      </w:r>
      <w:r w:rsidR="00017AF0">
        <w:rPr>
          <w:rFonts w:eastAsiaTheme="minorEastAsia"/>
        </w:rPr>
        <w:t>6</w:t>
      </w:r>
      <w:r w:rsidRPr="00562957">
        <w:rPr>
          <w:rFonts w:eastAsiaTheme="minorEastAsia"/>
        </w:rPr>
        <w:t xml:space="preserve"> ust</w:t>
      </w:r>
      <w:r w:rsidR="00C75859">
        <w:rPr>
          <w:rFonts w:eastAsiaTheme="minorEastAsia"/>
        </w:rPr>
        <w:t>.</w:t>
      </w:r>
      <w:r w:rsidRPr="00562957">
        <w:rPr>
          <w:rFonts w:eastAsiaTheme="minorEastAsia"/>
        </w:rPr>
        <w:t xml:space="preserve"> 5 i 6 ustawy z dnia 10 kwietnia 1997 r. – Prawo energetyczne (Dz. U. z 20</w:t>
      </w:r>
      <w:r>
        <w:rPr>
          <w:rFonts w:eastAsiaTheme="minorEastAsia"/>
        </w:rPr>
        <w:t>20</w:t>
      </w:r>
      <w:r w:rsidRPr="00562957">
        <w:rPr>
          <w:rFonts w:eastAsiaTheme="minorEastAsia"/>
        </w:rPr>
        <w:t xml:space="preserve"> r. poz. </w:t>
      </w:r>
      <w:r>
        <w:rPr>
          <w:rFonts w:eastAsiaTheme="minorEastAsia"/>
        </w:rPr>
        <w:t>833</w:t>
      </w:r>
      <w:r w:rsidRPr="00562957">
        <w:rPr>
          <w:rFonts w:eastAsiaTheme="minorEastAsia"/>
        </w:rPr>
        <w:t>, z późn. zm.). Zgodnie przepisami ustawy</w:t>
      </w:r>
      <w:r w:rsidR="001735E2">
        <w:rPr>
          <w:rFonts w:eastAsiaTheme="minorEastAsia"/>
        </w:rPr>
        <w:t xml:space="preserve"> – </w:t>
      </w:r>
      <w:r w:rsidRPr="00562957">
        <w:rPr>
          <w:rFonts w:eastAsiaTheme="minorEastAsia"/>
        </w:rPr>
        <w:t>Prawo energetyczne, minister właściwy do spraw energii, po zasięgnięciu opinii Prezesa Urzędu Regulacji Energetyki określa, w drodze rozporządzenia, szczegółowe zasady kształtowania i kalkulacji taryf oraz rozliczeń z tytułu zaopatrzenia w ciepło. Konieczność wydania projektowane</w:t>
      </w:r>
      <w:r>
        <w:rPr>
          <w:rFonts w:eastAsiaTheme="minorEastAsia"/>
        </w:rPr>
        <w:t>j zmiany</w:t>
      </w:r>
      <w:r w:rsidRPr="00562957">
        <w:rPr>
          <w:rFonts w:eastAsiaTheme="minorEastAsia"/>
        </w:rPr>
        <w:t xml:space="preserve"> rozporządzenia, poprzedzonego rozporządzeni</w:t>
      </w:r>
      <w:r>
        <w:rPr>
          <w:rFonts w:eastAsiaTheme="minorEastAsia"/>
        </w:rPr>
        <w:t>em</w:t>
      </w:r>
      <w:r w:rsidRPr="00562957">
        <w:rPr>
          <w:rFonts w:eastAsiaTheme="minorEastAsia"/>
        </w:rPr>
        <w:t xml:space="preserve"> Ministra Klimatu z dnia 23 kwietnia 2020 r. w sprawie szczegółowych zasad kształtowania i kalkulacji taryf oraz rozliczeń z tytułu zaopatrzenia w ciepło (Dz. U. poz. 718</w:t>
      </w:r>
      <w:r w:rsidR="006A177E">
        <w:rPr>
          <w:rFonts w:eastAsiaTheme="minorEastAsia"/>
        </w:rPr>
        <w:t xml:space="preserve"> oraz z 2021 r.</w:t>
      </w:r>
      <w:r w:rsidRPr="00562957">
        <w:rPr>
          <w:rFonts w:eastAsiaTheme="minorEastAsia"/>
        </w:rPr>
        <w:t xml:space="preserve"> poz. 158), wynika z </w:t>
      </w:r>
      <w:r>
        <w:rPr>
          <w:rFonts w:eastAsiaTheme="minorEastAsia"/>
        </w:rPr>
        <w:t>lawinowego wzrostu cen uprawnień do emisji CO</w:t>
      </w:r>
      <w:r w:rsidRPr="00562957">
        <w:rPr>
          <w:rFonts w:eastAsiaTheme="minorEastAsia"/>
          <w:vertAlign w:val="subscript"/>
        </w:rPr>
        <w:t>2</w:t>
      </w:r>
      <w:r>
        <w:rPr>
          <w:rFonts w:eastAsiaTheme="minorEastAsia"/>
        </w:rPr>
        <w:t>, które nie zostały uwzględnione w zatwierdzanych w 2020 r. taryfach dla ciepła</w:t>
      </w:r>
      <w:r w:rsidRPr="00562957">
        <w:rPr>
          <w:rFonts w:eastAsiaTheme="minorEastAsia"/>
        </w:rPr>
        <w:t xml:space="preserve">. </w:t>
      </w:r>
    </w:p>
    <w:p w14:paraId="6A0B1A07" w14:textId="069D64D5" w:rsidR="00562957" w:rsidRDefault="00562957" w:rsidP="00805E9B">
      <w:pPr>
        <w:spacing w:line="23" w:lineRule="atLeast"/>
        <w:ind w:firstLine="426"/>
        <w:jc w:val="both"/>
        <w:rPr>
          <w:rFonts w:eastAsiaTheme="minorEastAsia"/>
        </w:rPr>
      </w:pPr>
      <w:r>
        <w:rPr>
          <w:rFonts w:eastAsiaTheme="minorEastAsia"/>
        </w:rPr>
        <w:t>Brak możliwości uwzględniania planowanych wzrostów cen uprawnień do emisji wynikał przede wszystkim z nieprzewidywalności wzrostów giełdowych notowań</w:t>
      </w:r>
      <w:r w:rsidR="001735E2">
        <w:rPr>
          <w:rFonts w:eastAsiaTheme="minorEastAsia"/>
        </w:rPr>
        <w:t xml:space="preserve"> cen uprawnień do emisji CO</w:t>
      </w:r>
      <w:r w:rsidR="001735E2" w:rsidRPr="001735E2">
        <w:rPr>
          <w:rFonts w:eastAsiaTheme="minorEastAsia"/>
          <w:vertAlign w:val="subscript"/>
        </w:rPr>
        <w:t>2</w:t>
      </w:r>
      <w:r>
        <w:rPr>
          <w:rFonts w:eastAsiaTheme="minorEastAsia"/>
        </w:rPr>
        <w:t>, co uwzględnia poniższy rysunek</w:t>
      </w:r>
      <w:r w:rsidR="00E26E57">
        <w:rPr>
          <w:rFonts w:eastAsiaTheme="minorEastAsia"/>
        </w:rPr>
        <w:t xml:space="preserve"> </w:t>
      </w:r>
      <w:r w:rsidR="00AF2D3C">
        <w:rPr>
          <w:rFonts w:eastAsiaTheme="minorEastAsia"/>
        </w:rPr>
        <w:t>przedstawiający notowania EUA</w:t>
      </w:r>
      <w:r>
        <w:rPr>
          <w:rFonts w:eastAsiaTheme="minorEastAsia"/>
        </w:rPr>
        <w:t>.</w:t>
      </w:r>
    </w:p>
    <w:p w14:paraId="2CB22EC1" w14:textId="77777777" w:rsidR="00D23B7D" w:rsidRDefault="00D23B7D" w:rsidP="00805E9B">
      <w:pPr>
        <w:spacing w:line="23" w:lineRule="atLeast"/>
        <w:ind w:firstLine="426"/>
        <w:jc w:val="both"/>
        <w:rPr>
          <w:rFonts w:eastAsiaTheme="minorEastAsia"/>
        </w:rPr>
      </w:pPr>
    </w:p>
    <w:p w14:paraId="711A51F9" w14:textId="4AB1AD7E" w:rsidR="00562957" w:rsidRDefault="00E26E57" w:rsidP="00805E9B">
      <w:pPr>
        <w:spacing w:line="23" w:lineRule="atLeast"/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47DB1145" wp14:editId="7408AB33">
            <wp:extent cx="4749165" cy="3066415"/>
            <wp:effectExtent l="38100" t="38100" r="32385" b="387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306641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1922ED5E" w14:textId="77777777" w:rsidR="006A177E" w:rsidRDefault="006A177E" w:rsidP="006A177E">
      <w:pPr>
        <w:spacing w:line="23" w:lineRule="atLeast"/>
        <w:ind w:firstLine="426"/>
        <w:jc w:val="both"/>
        <w:rPr>
          <w:rFonts w:eastAsiaTheme="minorEastAsia"/>
        </w:rPr>
      </w:pPr>
    </w:p>
    <w:p w14:paraId="20486762" w14:textId="0C9DB484" w:rsidR="00D23B7D" w:rsidRDefault="00E26E57" w:rsidP="00805E9B">
      <w:pPr>
        <w:spacing w:line="23" w:lineRule="atLeast"/>
        <w:ind w:firstLine="426"/>
        <w:jc w:val="both"/>
      </w:pPr>
      <w:r>
        <w:rPr>
          <w:rFonts w:eastAsiaTheme="minorEastAsia"/>
        </w:rPr>
        <w:t>Dodatkowym aspektem braku możliwości uwzględnienia we wniosku o zatwierdzenie taryfy dla ciepła ewentualnych prognoz wzrostowych notowań jest podejście Prezesa URE do obliczania kosztów notowań na bazie historycznych 60 notowań.</w:t>
      </w:r>
      <w:r w:rsidR="00D23B7D" w:rsidRPr="00D23B7D">
        <w:t xml:space="preserve"> </w:t>
      </w:r>
    </w:p>
    <w:p w14:paraId="36D32CA7" w14:textId="5D55AEA1" w:rsidR="00E26E57" w:rsidRDefault="00D23B7D" w:rsidP="00805E9B">
      <w:pPr>
        <w:spacing w:line="23" w:lineRule="atLeast"/>
        <w:ind w:firstLine="426"/>
        <w:jc w:val="both"/>
        <w:rPr>
          <w:rFonts w:eastAsiaTheme="minorEastAsia"/>
        </w:rPr>
      </w:pPr>
      <w:r w:rsidRPr="00805E9B">
        <w:t>P</w:t>
      </w:r>
      <w:r w:rsidRPr="00805E9B">
        <w:rPr>
          <w:rFonts w:eastAsiaTheme="minorEastAsia"/>
        </w:rPr>
        <w:t>rezes URE uznaje we wnioskach o zatwierdzenie taryfy dla ciepła średnią cenę uprawnień do emisji dwutlenku węgla w kontraktach terminowych z dostawą na ostatni dzień roku kalendarzowego, w którym składany jest wniosek o zatwierdzenie taryfy, notowanych na giełdzie ICE, obliczaną na dzień składania wniosku, określoną jako średnia z ostatnich 60 dostępnych sesji notowań</w:t>
      </w:r>
      <w:r w:rsidR="006A177E">
        <w:rPr>
          <w:rStyle w:val="Odwoanieprzypisudolnego"/>
          <w:rFonts w:eastAsiaTheme="minorEastAsia"/>
        </w:rPr>
        <w:footnoteReference w:id="1"/>
      </w:r>
      <w:r w:rsidRPr="00805E9B">
        <w:rPr>
          <w:rFonts w:eastAsiaTheme="minorEastAsia"/>
        </w:rPr>
        <w:t>.</w:t>
      </w:r>
      <w:r w:rsidR="00E26E57" w:rsidRPr="00D23B7D">
        <w:rPr>
          <w:rFonts w:eastAsiaTheme="minorEastAsia"/>
          <w:i/>
          <w:iCs/>
        </w:rPr>
        <w:t xml:space="preserve"> </w:t>
      </w:r>
    </w:p>
    <w:p w14:paraId="1D50FEE7" w14:textId="53623587" w:rsidR="00562957" w:rsidRDefault="00E26E57" w:rsidP="00805E9B">
      <w:pPr>
        <w:spacing w:line="23" w:lineRule="atLeast"/>
        <w:ind w:firstLine="426"/>
        <w:jc w:val="both"/>
        <w:rPr>
          <w:rFonts w:eastAsiaTheme="minorEastAsia"/>
        </w:rPr>
      </w:pPr>
      <w:r>
        <w:rPr>
          <w:rFonts w:eastAsiaTheme="minorEastAsia"/>
        </w:rPr>
        <w:t>Przy trendzie wzrostowym notowań, takie podejście rodzi koszty, które nie zostają pokryte</w:t>
      </w:r>
      <w:r w:rsidR="00D23B7D">
        <w:rPr>
          <w:rFonts w:eastAsiaTheme="minorEastAsia"/>
        </w:rPr>
        <w:t xml:space="preserve"> przez </w:t>
      </w:r>
      <w:r w:rsidR="001735E2">
        <w:rPr>
          <w:rFonts w:eastAsiaTheme="minorEastAsia"/>
        </w:rPr>
        <w:t>za</w:t>
      </w:r>
      <w:r w:rsidR="00D23B7D">
        <w:rPr>
          <w:rFonts w:eastAsiaTheme="minorEastAsia"/>
        </w:rPr>
        <w:t xml:space="preserve">planowane </w:t>
      </w:r>
      <w:r w:rsidR="001735E2">
        <w:rPr>
          <w:rFonts w:eastAsiaTheme="minorEastAsia"/>
        </w:rPr>
        <w:t xml:space="preserve">we wniosku o zatwierdzenie taryfy dla ciepła </w:t>
      </w:r>
      <w:r w:rsidR="00D23B7D">
        <w:rPr>
          <w:rFonts w:eastAsiaTheme="minorEastAsia"/>
        </w:rPr>
        <w:t>przychody.</w:t>
      </w:r>
      <w:r w:rsidR="006A177E">
        <w:rPr>
          <w:rFonts w:eastAsiaTheme="minorEastAsia"/>
        </w:rPr>
        <w:t xml:space="preserve"> </w:t>
      </w:r>
      <w:r w:rsidR="00C27139">
        <w:rPr>
          <w:rFonts w:eastAsiaTheme="minorEastAsia"/>
        </w:rPr>
        <w:t xml:space="preserve">Przy średniej </w:t>
      </w:r>
      <w:r w:rsidR="00C27139">
        <w:rPr>
          <w:rFonts w:eastAsiaTheme="minorEastAsia"/>
        </w:rPr>
        <w:lastRenderedPageBreak/>
        <w:t xml:space="preserve">emisji, jaka wynika z tabeli 173 </w:t>
      </w:r>
      <w:r w:rsidR="00C27139" w:rsidRPr="00C27139">
        <w:rPr>
          <w:rFonts w:eastAsiaTheme="minorEastAsia"/>
          <w:i/>
          <w:iCs/>
        </w:rPr>
        <w:t>Energetyk</w:t>
      </w:r>
      <w:r w:rsidR="00C27139">
        <w:rPr>
          <w:rFonts w:eastAsiaTheme="minorEastAsia"/>
          <w:i/>
          <w:iCs/>
        </w:rPr>
        <w:t>a</w:t>
      </w:r>
      <w:r w:rsidR="00910EF0">
        <w:rPr>
          <w:rFonts w:eastAsiaTheme="minorEastAsia"/>
          <w:i/>
          <w:iCs/>
        </w:rPr>
        <w:t xml:space="preserve"> cieplna</w:t>
      </w:r>
      <w:r w:rsidR="00C27139" w:rsidRPr="00C27139">
        <w:rPr>
          <w:rFonts w:eastAsiaTheme="minorEastAsia"/>
          <w:i/>
          <w:iCs/>
        </w:rPr>
        <w:t xml:space="preserve"> w liczbach</w:t>
      </w:r>
      <w:r w:rsidR="00C27139">
        <w:rPr>
          <w:rFonts w:eastAsiaTheme="minorEastAsia"/>
        </w:rPr>
        <w:t xml:space="preserve">, która sięga </w:t>
      </w:r>
      <w:r w:rsidR="008C3C93">
        <w:rPr>
          <w:rFonts w:eastAsiaTheme="minorEastAsia"/>
        </w:rPr>
        <w:t xml:space="preserve">blisko </w:t>
      </w:r>
      <w:r w:rsidR="00C27139">
        <w:rPr>
          <w:rFonts w:eastAsiaTheme="minorEastAsia"/>
        </w:rPr>
        <w:t>100 ton/TJ (1 tona na 10 GJ) wzrost ceny uprawnień o 1 euro</w:t>
      </w:r>
      <w:r w:rsidR="008C3C93">
        <w:rPr>
          <w:rFonts w:eastAsiaTheme="minorEastAsia"/>
        </w:rPr>
        <w:t xml:space="preserve"> za tonę</w:t>
      </w:r>
      <w:r w:rsidR="00C27139">
        <w:rPr>
          <w:rFonts w:eastAsiaTheme="minorEastAsia"/>
        </w:rPr>
        <w:t xml:space="preserve"> przy założeniu sprzedaży </w:t>
      </w:r>
      <w:r w:rsidR="008C3C93">
        <w:rPr>
          <w:rFonts w:eastAsiaTheme="minorEastAsia"/>
        </w:rPr>
        <w:t xml:space="preserve">ciepła </w:t>
      </w:r>
      <w:r w:rsidR="00C27139">
        <w:rPr>
          <w:rFonts w:eastAsiaTheme="minorEastAsia"/>
        </w:rPr>
        <w:t xml:space="preserve">w średnim przedsiębiorstwie wytwórczym około 1 mln GJ rodzi niedobór </w:t>
      </w:r>
      <w:r w:rsidR="001735E2">
        <w:rPr>
          <w:rFonts w:eastAsiaTheme="minorEastAsia"/>
        </w:rPr>
        <w:t xml:space="preserve">przychodu </w:t>
      </w:r>
      <w:r w:rsidR="00C27139">
        <w:rPr>
          <w:rFonts w:eastAsiaTheme="minorEastAsia"/>
        </w:rPr>
        <w:t xml:space="preserve">rzędu </w:t>
      </w:r>
      <w:r w:rsidR="008C3C93">
        <w:rPr>
          <w:rFonts w:eastAsiaTheme="minorEastAsia"/>
        </w:rPr>
        <w:t xml:space="preserve">100 000 euro, co po orientacyjnym przeliczeniu na złotówki skutkuje niedoborem </w:t>
      </w:r>
      <w:r w:rsidR="00101B77">
        <w:rPr>
          <w:rFonts w:eastAsiaTheme="minorEastAsia"/>
        </w:rPr>
        <w:t>ok.</w:t>
      </w:r>
      <w:r w:rsidR="008C3C93">
        <w:rPr>
          <w:rFonts w:eastAsiaTheme="minorEastAsia"/>
        </w:rPr>
        <w:t xml:space="preserve"> 4</w:t>
      </w:r>
      <w:r w:rsidR="00101B77">
        <w:rPr>
          <w:rFonts w:eastAsiaTheme="minorEastAsia"/>
        </w:rPr>
        <w:t>5</w:t>
      </w:r>
      <w:r w:rsidR="008C3C93">
        <w:rPr>
          <w:rFonts w:eastAsiaTheme="minorEastAsia"/>
        </w:rPr>
        <w:t xml:space="preserve">0 000 zł. Tego rodzaju niedobory finansowe, zwłaszcza </w:t>
      </w:r>
      <w:r w:rsidR="001735E2">
        <w:rPr>
          <w:rFonts w:eastAsiaTheme="minorEastAsia"/>
        </w:rPr>
        <w:t>w przypadkach</w:t>
      </w:r>
      <w:r w:rsidR="008C3C93">
        <w:rPr>
          <w:rFonts w:eastAsiaTheme="minorEastAsia"/>
        </w:rPr>
        <w:t xml:space="preserve"> mał</w:t>
      </w:r>
      <w:r w:rsidR="001735E2">
        <w:rPr>
          <w:rFonts w:eastAsiaTheme="minorEastAsia"/>
        </w:rPr>
        <w:t>ych</w:t>
      </w:r>
      <w:r w:rsidR="008C3C93">
        <w:rPr>
          <w:rFonts w:eastAsiaTheme="minorEastAsia"/>
        </w:rPr>
        <w:t xml:space="preserve"> i średni</w:t>
      </w:r>
      <w:r w:rsidR="001735E2">
        <w:rPr>
          <w:rFonts w:eastAsiaTheme="minorEastAsia"/>
        </w:rPr>
        <w:t>ch</w:t>
      </w:r>
      <w:r w:rsidR="008C3C93">
        <w:rPr>
          <w:rFonts w:eastAsiaTheme="minorEastAsia"/>
        </w:rPr>
        <w:t xml:space="preserve"> przedsiębiorstw mogą </w:t>
      </w:r>
      <w:r w:rsidR="00AF2D3C">
        <w:rPr>
          <w:rFonts w:eastAsiaTheme="minorEastAsia"/>
        </w:rPr>
        <w:t>powodować trudności w utrzymaniu płynności finansowej przedsiębiorstwa</w:t>
      </w:r>
      <w:r w:rsidR="008C3C93">
        <w:rPr>
          <w:rFonts w:eastAsiaTheme="minorEastAsia"/>
        </w:rPr>
        <w:t xml:space="preserve"> i prowadzić do</w:t>
      </w:r>
      <w:r w:rsidR="00AF2D3C">
        <w:rPr>
          <w:rFonts w:eastAsiaTheme="minorEastAsia"/>
        </w:rPr>
        <w:t xml:space="preserve"> jego</w:t>
      </w:r>
      <w:r w:rsidR="008C3C93">
        <w:rPr>
          <w:rFonts w:eastAsiaTheme="minorEastAsia"/>
        </w:rPr>
        <w:t xml:space="preserve"> upadłości.</w:t>
      </w:r>
      <w:r w:rsidR="001735E2">
        <w:rPr>
          <w:rFonts w:eastAsiaTheme="minorEastAsia"/>
        </w:rPr>
        <w:t xml:space="preserve"> Tego rodzaju sytuacja mogłaby zagrozić bezpieczeństwu energetycznemu odbiorców ciepła w budynkach wielolokalowych, </w:t>
      </w:r>
      <w:r w:rsidR="00AF2D3C">
        <w:rPr>
          <w:rFonts w:eastAsiaTheme="minorEastAsia"/>
        </w:rPr>
        <w:t>tj.</w:t>
      </w:r>
      <w:r w:rsidR="001735E2">
        <w:rPr>
          <w:rFonts w:eastAsiaTheme="minorEastAsia"/>
        </w:rPr>
        <w:t xml:space="preserve"> gospodarstw domowych.</w:t>
      </w:r>
    </w:p>
    <w:p w14:paraId="171ADB4E" w14:textId="0738062C" w:rsidR="00622DD9" w:rsidRPr="00C27139" w:rsidRDefault="00622DD9" w:rsidP="00805E9B">
      <w:pPr>
        <w:spacing w:line="23" w:lineRule="atLeast"/>
        <w:ind w:firstLine="426"/>
        <w:jc w:val="both"/>
        <w:rPr>
          <w:rFonts w:eastAsiaTheme="minorEastAsia"/>
        </w:rPr>
      </w:pPr>
      <w:r>
        <w:rPr>
          <w:rFonts w:eastAsiaTheme="minorEastAsia"/>
        </w:rPr>
        <w:t>W związku z powyższym</w:t>
      </w:r>
      <w:r w:rsidR="00AF2D3C">
        <w:rPr>
          <w:rFonts w:eastAsiaTheme="minorEastAsia"/>
        </w:rPr>
        <w:t xml:space="preserve"> faktem,</w:t>
      </w:r>
      <w:r>
        <w:rPr>
          <w:rFonts w:eastAsiaTheme="minorEastAsia"/>
        </w:rPr>
        <w:t xml:space="preserve"> należy uwzględnić niezaplanowane koszty zakupu uprawnień do emisji</w:t>
      </w:r>
      <w:r w:rsidR="005C4DAD">
        <w:rPr>
          <w:rFonts w:eastAsiaTheme="minorEastAsia"/>
        </w:rPr>
        <w:t xml:space="preserve"> poprzez skorygowanie przychodów przedsiębiorstwa</w:t>
      </w:r>
      <w:r>
        <w:rPr>
          <w:rFonts w:eastAsiaTheme="minorEastAsia"/>
        </w:rPr>
        <w:t xml:space="preserve">, bowiem </w:t>
      </w:r>
      <w:r w:rsidR="005C4DAD">
        <w:rPr>
          <w:rFonts w:eastAsiaTheme="minorEastAsia"/>
        </w:rPr>
        <w:t xml:space="preserve">koszty </w:t>
      </w:r>
      <w:r w:rsidR="005C4DAD" w:rsidRPr="006A177E">
        <w:rPr>
          <w:rFonts w:eastAsiaTheme="minorEastAsia"/>
        </w:rPr>
        <w:t>zakupu uprawnień do emisji CO</w:t>
      </w:r>
      <w:r w:rsidR="005C4DAD" w:rsidRPr="006A177E">
        <w:rPr>
          <w:rFonts w:eastAsiaTheme="minorEastAsia"/>
          <w:vertAlign w:val="subscript"/>
        </w:rPr>
        <w:t>2</w:t>
      </w:r>
      <w:r w:rsidR="005C4DAD" w:rsidRPr="006A177E">
        <w:rPr>
          <w:rFonts w:eastAsiaTheme="minorEastAsia"/>
        </w:rPr>
        <w:t xml:space="preserve"> są </w:t>
      </w:r>
      <w:r w:rsidRPr="006A177E">
        <w:rPr>
          <w:rFonts w:eastAsiaTheme="minorEastAsia"/>
        </w:rPr>
        <w:t xml:space="preserve">bezsprzecznie kosztami uzasadnionymi, zgodnie z definicją art. 3 ustawy – Prawo energetyczne: </w:t>
      </w:r>
      <w:r w:rsidRPr="00805E9B">
        <w:rPr>
          <w:rFonts w:eastAsiaTheme="minorEastAsia"/>
        </w:rPr>
        <w:t>koszty uzasadnione - koszty niezbędne do wykonania zobowiązań powstałych w związku z prowadzoną przez przedsiębiorstwo energetyczne działalnością w zakresie wytwarzania, przetwarzania, magazynowania, przesyłania i dystrybucji, obrotu paliwami lub energią oraz przyjmowane przez przedsiębiorstwo energetyczne do kalkulacji cen i stawek opłat ustalanych w taryfie w sposób ekonomicznie uzasadniony, z zachowaniem należytej staranności zmierzającej do ochrony interesów odbiorców; koszty uzasadnione nie są kosztami uzyskania przychodów w rozumieniu przepisów podatkowych</w:t>
      </w:r>
      <w:r w:rsidR="006A177E">
        <w:rPr>
          <w:rFonts w:eastAsiaTheme="minorEastAsia"/>
          <w:i/>
          <w:iCs/>
        </w:rPr>
        <w:t>.</w:t>
      </w:r>
    </w:p>
    <w:p w14:paraId="78D6187C" w14:textId="0ED2DD1B" w:rsidR="005C4DAD" w:rsidRPr="00805E9B" w:rsidRDefault="006A177E" w:rsidP="00805E9B">
      <w:pPr>
        <w:spacing w:line="23" w:lineRule="atLeast"/>
        <w:ind w:firstLine="426"/>
        <w:jc w:val="both"/>
        <w:rPr>
          <w:rFonts w:eastAsiaTheme="minorEastAsia"/>
        </w:rPr>
      </w:pPr>
      <w:r w:rsidRPr="006A177E">
        <w:rPr>
          <w:rFonts w:eastAsiaTheme="minorEastAsia"/>
        </w:rPr>
        <w:t xml:space="preserve">Zgodnie z </w:t>
      </w:r>
      <w:r w:rsidR="005C4DAD" w:rsidRPr="006A177E">
        <w:rPr>
          <w:rFonts w:eastAsiaTheme="minorEastAsia"/>
        </w:rPr>
        <w:t>art. 45 ust. 1 ustawy – Prawo energetyczne</w:t>
      </w:r>
      <w:r w:rsidRPr="006A177E">
        <w:rPr>
          <w:rFonts w:eastAsiaTheme="minorEastAsia"/>
        </w:rPr>
        <w:t xml:space="preserve"> </w:t>
      </w:r>
      <w:r w:rsidRPr="00805E9B">
        <w:rPr>
          <w:rFonts w:eastAsiaTheme="minorEastAsia"/>
        </w:rPr>
        <w:t>p</w:t>
      </w:r>
      <w:r w:rsidR="005C4DAD" w:rsidRPr="00805E9B">
        <w:rPr>
          <w:rFonts w:eastAsiaTheme="minorEastAsia"/>
        </w:rPr>
        <w:t>rzedsiębiorstwa energetyczne ustalają taryfy dla paliw gazowych lub energii, stosownie do zakresu wykonywanej działalności gospodarczej, o którym mowa w art. 32 ust. 1; taryfy należy kalkulować w sposób zapewniający pokrycie kosztów uzasadnionych działalności gospodarczej przedsiębiorstw energetycznych w zakresie wytwarzania, przetwarzania, przesyłania, dystrybucji lub obrotu paliwami gazowymi i energią oraz magazynowania, skraplania lub regazyfikacji paliw gazowych, wraz z uzasadnionym zwrotem z kapitału zaangażowanego w tę działalność</w:t>
      </w:r>
      <w:r w:rsidRPr="00805E9B">
        <w:rPr>
          <w:rFonts w:eastAsiaTheme="minorEastAsia"/>
        </w:rPr>
        <w:t>.</w:t>
      </w:r>
    </w:p>
    <w:p w14:paraId="2A896837" w14:textId="6D0277F0" w:rsidR="005C4DAD" w:rsidRDefault="005C4DAD" w:rsidP="006A177E">
      <w:pPr>
        <w:spacing w:line="23" w:lineRule="atLeast"/>
        <w:ind w:firstLine="426"/>
        <w:jc w:val="both"/>
        <w:rPr>
          <w:rFonts w:eastAsiaTheme="minorEastAsia"/>
        </w:rPr>
      </w:pPr>
      <w:r>
        <w:rPr>
          <w:rFonts w:eastAsiaTheme="minorEastAsia"/>
        </w:rPr>
        <w:t>W zaistniałym przypadku koszty zaplanowane przez przedsiębiorstwa we wniosku obowiązujących aktualnie taryf dla ciepła nie uwzględniły pełnego kosztu związanego z zakupem uprawnień do emisji z przyczyn obiektywnych, niezależnych od tych przedsiębiorstw</w:t>
      </w:r>
      <w:r w:rsidR="001735E2">
        <w:rPr>
          <w:rFonts w:eastAsiaTheme="minorEastAsia"/>
        </w:rPr>
        <w:t xml:space="preserve">, przez co nie zostały pokryte koszty uzasadnione działalności gospodarczej wytwórców ciepła. </w:t>
      </w:r>
      <w:r>
        <w:rPr>
          <w:rFonts w:eastAsiaTheme="minorEastAsia"/>
        </w:rPr>
        <w:t>W związku z powyższym konieczne jest działanie mające na celu spełnienie wymogów art. 45 ust. 1 pkt 1 ustawy – Prawo energetyczne.</w:t>
      </w:r>
    </w:p>
    <w:p w14:paraId="4158936C" w14:textId="5CE297C3" w:rsidR="00017AF0" w:rsidRDefault="00017AF0" w:rsidP="00805E9B">
      <w:pPr>
        <w:spacing w:line="23" w:lineRule="atLeast"/>
        <w:ind w:firstLine="426"/>
        <w:jc w:val="both"/>
        <w:rPr>
          <w:rFonts w:eastAsiaTheme="minorEastAsia"/>
        </w:rPr>
      </w:pPr>
      <w:r>
        <w:rPr>
          <w:rFonts w:eastAsiaTheme="minorEastAsia"/>
        </w:rPr>
        <w:t>W związku z powyższym zaproponowano w rozporządzeniu dodanie w §</w:t>
      </w:r>
      <w:r w:rsidR="00805E9B">
        <w:rPr>
          <w:rFonts w:eastAsiaTheme="minorEastAsia"/>
        </w:rPr>
        <w:t xml:space="preserve"> </w:t>
      </w:r>
      <w:r>
        <w:rPr>
          <w:rFonts w:eastAsiaTheme="minorEastAsia"/>
        </w:rPr>
        <w:t xml:space="preserve">28 ust. 1a stanowiącego o możliwości </w:t>
      </w:r>
      <w:r w:rsidRPr="00017AF0">
        <w:rPr>
          <w:rFonts w:eastAsiaTheme="minorEastAsia"/>
        </w:rPr>
        <w:t>zmian</w:t>
      </w:r>
      <w:r>
        <w:rPr>
          <w:rFonts w:eastAsiaTheme="minorEastAsia"/>
        </w:rPr>
        <w:t>y</w:t>
      </w:r>
      <w:r w:rsidRPr="00017AF0">
        <w:rPr>
          <w:rFonts w:eastAsiaTheme="minorEastAsia"/>
        </w:rPr>
        <w:t xml:space="preserve"> taryfy </w:t>
      </w:r>
      <w:r>
        <w:rPr>
          <w:rFonts w:eastAsiaTheme="minorEastAsia"/>
        </w:rPr>
        <w:t xml:space="preserve">dla ciepła </w:t>
      </w:r>
      <w:r w:rsidRPr="00017AF0">
        <w:rPr>
          <w:rFonts w:eastAsiaTheme="minorEastAsia"/>
        </w:rPr>
        <w:t>wynikając</w:t>
      </w:r>
      <w:r>
        <w:rPr>
          <w:rFonts w:eastAsiaTheme="minorEastAsia"/>
        </w:rPr>
        <w:t>ej</w:t>
      </w:r>
      <w:r w:rsidRPr="00017AF0">
        <w:rPr>
          <w:rFonts w:eastAsiaTheme="minorEastAsia"/>
        </w:rPr>
        <w:t xml:space="preserve"> ze zmiany kosztów uprawnień do emisji CO</w:t>
      </w:r>
      <w:r w:rsidRPr="00805E9B">
        <w:rPr>
          <w:rFonts w:eastAsiaTheme="minorEastAsia"/>
          <w:vertAlign w:val="subscript"/>
        </w:rPr>
        <w:t>2</w:t>
      </w:r>
      <w:r>
        <w:rPr>
          <w:rFonts w:eastAsiaTheme="minorEastAsia"/>
        </w:rPr>
        <w:t>, przy</w:t>
      </w:r>
      <w:r w:rsidRPr="00017AF0">
        <w:rPr>
          <w:rFonts w:eastAsiaTheme="minorEastAsia"/>
        </w:rPr>
        <w:t xml:space="preserve"> oceni</w:t>
      </w:r>
      <w:r>
        <w:rPr>
          <w:rFonts w:eastAsiaTheme="minorEastAsia"/>
        </w:rPr>
        <w:t>e</w:t>
      </w:r>
      <w:r w:rsidRPr="00017AF0">
        <w:rPr>
          <w:rFonts w:eastAsiaTheme="minorEastAsia"/>
        </w:rPr>
        <w:t xml:space="preserve"> i analiz</w:t>
      </w:r>
      <w:r>
        <w:rPr>
          <w:rFonts w:eastAsiaTheme="minorEastAsia"/>
        </w:rPr>
        <w:t>ie</w:t>
      </w:r>
      <w:r w:rsidRPr="00017AF0">
        <w:rPr>
          <w:rFonts w:eastAsiaTheme="minorEastAsia"/>
        </w:rPr>
        <w:t xml:space="preserve"> wyłącznie pod kątem zmian tylko tego jednego elementu kosztowego</w:t>
      </w:r>
      <w:r>
        <w:rPr>
          <w:rFonts w:eastAsiaTheme="minorEastAsia"/>
        </w:rPr>
        <w:t xml:space="preserve"> (kosztu emisji CO</w:t>
      </w:r>
      <w:r w:rsidRPr="00805E9B">
        <w:rPr>
          <w:rFonts w:eastAsiaTheme="minorEastAsia"/>
          <w:vertAlign w:val="subscript"/>
        </w:rPr>
        <w:t>2</w:t>
      </w:r>
      <w:r>
        <w:rPr>
          <w:rFonts w:eastAsiaTheme="minorEastAsia"/>
        </w:rPr>
        <w:t>)</w:t>
      </w:r>
      <w:r w:rsidRPr="00017AF0">
        <w:rPr>
          <w:rFonts w:eastAsiaTheme="minorEastAsia"/>
        </w:rPr>
        <w:t xml:space="preserve">, co skróci czas </w:t>
      </w:r>
      <w:r w:rsidR="009D7DFE">
        <w:rPr>
          <w:rFonts w:eastAsiaTheme="minorEastAsia"/>
        </w:rPr>
        <w:t xml:space="preserve">rozpatrywania wniosków w </w:t>
      </w:r>
      <w:r w:rsidRPr="00017AF0">
        <w:rPr>
          <w:rFonts w:eastAsiaTheme="minorEastAsia"/>
        </w:rPr>
        <w:t>postępowania</w:t>
      </w:r>
      <w:r w:rsidR="009D7DFE">
        <w:rPr>
          <w:rFonts w:eastAsiaTheme="minorEastAsia"/>
        </w:rPr>
        <w:t>ch</w:t>
      </w:r>
      <w:r w:rsidRPr="00017AF0">
        <w:rPr>
          <w:rFonts w:eastAsiaTheme="minorEastAsia"/>
        </w:rPr>
        <w:t xml:space="preserve"> administracyjn</w:t>
      </w:r>
      <w:r w:rsidR="009D7DFE">
        <w:rPr>
          <w:rFonts w:eastAsiaTheme="minorEastAsia"/>
        </w:rPr>
        <w:t>ych</w:t>
      </w:r>
      <w:r w:rsidRPr="00017AF0">
        <w:rPr>
          <w:rFonts w:eastAsiaTheme="minorEastAsia"/>
        </w:rPr>
        <w:t xml:space="preserve"> o zmianę taryfy</w:t>
      </w:r>
      <w:r w:rsidR="009D7DFE">
        <w:rPr>
          <w:rFonts w:eastAsiaTheme="minorEastAsia"/>
        </w:rPr>
        <w:t xml:space="preserve"> dla ciepła.</w:t>
      </w:r>
      <w:r w:rsidR="00805E9B">
        <w:rPr>
          <w:rFonts w:eastAsiaTheme="minorEastAsia"/>
        </w:rPr>
        <w:t xml:space="preserve"> </w:t>
      </w:r>
      <w:r>
        <w:rPr>
          <w:rFonts w:eastAsiaTheme="minorEastAsia"/>
        </w:rPr>
        <w:t>Zaproponowano także</w:t>
      </w:r>
      <w:r w:rsidRPr="00017AF0">
        <w:rPr>
          <w:rFonts w:eastAsiaTheme="minorEastAsia"/>
        </w:rPr>
        <w:t>, żeby poprzez dodanie ust. 5 w § 47 rozporządzenia w sprawie szczegółowych zasad kształtowania i kalkulacji taryf oraz rozliczeń z tytułu zaopatrzenia w ciepło, uwzględnić we wnioskach o zatwierdzenie taryfy dla ciepła składanych Prezesowi URE przez przedsiębiorstwa wytwórcze biorące udział w systemie handlu uprawnieniami do emisji i rozliczyć na część zmienną ceny ciepła wartość niedoboru pomiędzy uwzględnionymi planowanymi przychodami w ostatnio zatwierdzonej taryfie, a konieczną do poniesienia opłatą wynikającą z lawinowych wzrostów cen uprawnień do emisji CO</w:t>
      </w:r>
      <w:r w:rsidRPr="00805E9B">
        <w:rPr>
          <w:rFonts w:eastAsiaTheme="minorEastAsia"/>
          <w:vertAlign w:val="subscript"/>
        </w:rPr>
        <w:t>2</w:t>
      </w:r>
      <w:r w:rsidRPr="00017AF0">
        <w:rPr>
          <w:rFonts w:eastAsiaTheme="minorEastAsia"/>
        </w:rPr>
        <w:t>.</w:t>
      </w:r>
    </w:p>
    <w:p w14:paraId="44D55DD8" w14:textId="34E82F75" w:rsidR="00805E9B" w:rsidRPr="00805E9B" w:rsidRDefault="00805E9B" w:rsidP="00805E9B">
      <w:pPr>
        <w:spacing w:line="23" w:lineRule="atLeast"/>
        <w:ind w:firstLine="426"/>
        <w:jc w:val="both"/>
        <w:rPr>
          <w:rFonts w:eastAsiaTheme="minorEastAsia"/>
        </w:rPr>
      </w:pPr>
      <w:r w:rsidRPr="00805E9B">
        <w:rPr>
          <w:rFonts w:eastAsiaTheme="minorEastAsia"/>
        </w:rPr>
        <w:t>Rozporządzenie wchodzi w życie z dniem następującym po jego ogłoszeniu</w:t>
      </w:r>
      <w:r>
        <w:rPr>
          <w:rFonts w:eastAsiaTheme="minorEastAsia"/>
        </w:rPr>
        <w:t>. P</w:t>
      </w:r>
      <w:r w:rsidRPr="00805E9B">
        <w:rPr>
          <w:rFonts w:eastAsiaTheme="minorEastAsia"/>
        </w:rPr>
        <w:t>otrzeba możliwie najszybszego wejścia w życie projektowanego aktu</w:t>
      </w:r>
      <w:r>
        <w:rPr>
          <w:rFonts w:eastAsiaTheme="minorEastAsia"/>
        </w:rPr>
        <w:t xml:space="preserve"> </w:t>
      </w:r>
      <w:r w:rsidRPr="00805E9B">
        <w:rPr>
          <w:rFonts w:eastAsiaTheme="minorEastAsia"/>
        </w:rPr>
        <w:t xml:space="preserve">wynika z faktu, iż projektowane rozporządzenie będzie stanowić umożliwienie dalszego funkcjonowania przedsiębiorstw mających poważne problemy z rozliczeniem kosztów emisji za 2020 r., co powinno być </w:t>
      </w:r>
      <w:r w:rsidRPr="00805E9B">
        <w:rPr>
          <w:rFonts w:eastAsiaTheme="minorEastAsia"/>
        </w:rPr>
        <w:lastRenderedPageBreak/>
        <w:t>zrealizowane do końca kwietnia 2021 r. Zapewnienie uzyskania rekompensaty będzie mogło stanowić przesłankę do zwiększenia zdolności kredytowej przedsiębiorstw, przez co umożliw wystąpienie o kredytowanie środków koniecznych do zakupu uprawnień niezbędnych do rozliczenia emisji CO</w:t>
      </w:r>
      <w:r w:rsidRPr="00805E9B">
        <w:rPr>
          <w:rFonts w:eastAsiaTheme="minorEastAsia"/>
          <w:vertAlign w:val="subscript"/>
        </w:rPr>
        <w:t>2</w:t>
      </w:r>
      <w:r w:rsidRPr="00805E9B">
        <w:rPr>
          <w:rFonts w:eastAsiaTheme="minorEastAsia"/>
        </w:rPr>
        <w:t xml:space="preserve"> w 2020 r. Rekompensata uwzględniona w procedowanym rozporządzeniu w pośredni sposób przyczyni się do bezpieczeństwa energetycznego odbiorców ciepła i umożliwi kontynuowanie dostaw ciepła do gospodarstw domowych.</w:t>
      </w:r>
    </w:p>
    <w:p w14:paraId="2E866A26" w14:textId="1DDA626E" w:rsidR="00805E9B" w:rsidRDefault="00805E9B" w:rsidP="00805E9B">
      <w:pPr>
        <w:spacing w:line="23" w:lineRule="atLeast"/>
        <w:ind w:firstLine="426"/>
        <w:jc w:val="both"/>
        <w:rPr>
          <w:rFonts w:eastAsiaTheme="minorEastAsia"/>
        </w:rPr>
      </w:pPr>
      <w:r w:rsidRPr="00805E9B">
        <w:rPr>
          <w:rFonts w:eastAsiaTheme="minorEastAsia"/>
        </w:rPr>
        <w:t>Biorąc pod uwagę powyższe, szybkie wejści</w:t>
      </w:r>
      <w:r>
        <w:rPr>
          <w:rFonts w:eastAsiaTheme="minorEastAsia"/>
        </w:rPr>
        <w:t>e</w:t>
      </w:r>
      <w:r w:rsidRPr="00805E9B">
        <w:rPr>
          <w:rFonts w:eastAsiaTheme="minorEastAsia"/>
        </w:rPr>
        <w:t xml:space="preserve"> w życie projektowanego rozporządzenia wymaga ważny interes państwa, a zasady demokratycznego państwa prawnego nie stoją temu na przeszkodzie.</w:t>
      </w:r>
    </w:p>
    <w:p w14:paraId="79EECA87" w14:textId="75A2F49D" w:rsidR="00805E9B" w:rsidRDefault="00805E9B" w:rsidP="00805E9B">
      <w:pPr>
        <w:spacing w:line="23" w:lineRule="atLeast"/>
        <w:ind w:firstLine="426"/>
        <w:jc w:val="both"/>
        <w:rPr>
          <w:rFonts w:eastAsiaTheme="minorEastAsia"/>
        </w:rPr>
      </w:pPr>
      <w:r w:rsidRPr="00562957">
        <w:rPr>
          <w:rFonts w:eastAsiaTheme="minorEastAsia"/>
        </w:rPr>
        <w:t>Zgodnie z przepisem art. 46 ust. 5 ustawy, projekt przedmiotowego rozporządzenia zostanie przekazany, w celu zasięgnięcia opinii, do Prezesa Urzędu Regulacji Energetyki.</w:t>
      </w:r>
    </w:p>
    <w:p w14:paraId="2894FF81" w14:textId="77777777" w:rsidR="005C4DAD" w:rsidRDefault="00562957" w:rsidP="00805E9B">
      <w:pPr>
        <w:spacing w:line="23" w:lineRule="atLeast"/>
        <w:ind w:firstLine="426"/>
        <w:jc w:val="both"/>
        <w:rPr>
          <w:rFonts w:eastAsiaTheme="minorEastAsia"/>
        </w:rPr>
      </w:pPr>
      <w:r w:rsidRPr="00562957">
        <w:rPr>
          <w:rFonts w:eastAsiaTheme="minorEastAsia"/>
        </w:rPr>
        <w:t>Projekt rozporządzenia jest zgodny z przepisami Unii Europejskiej.</w:t>
      </w:r>
    </w:p>
    <w:p w14:paraId="2C443B69" w14:textId="77777777" w:rsidR="005C4DAD" w:rsidRDefault="009A0E26" w:rsidP="00805E9B">
      <w:pPr>
        <w:spacing w:line="23" w:lineRule="atLeast"/>
        <w:ind w:firstLine="426"/>
        <w:jc w:val="both"/>
        <w:rPr>
          <w:rFonts w:eastAsiaTheme="minorEastAsia"/>
        </w:rPr>
      </w:pPr>
      <w:r>
        <w:rPr>
          <w:rFonts w:eastAsiaTheme="minorEastAsia"/>
        </w:rPr>
        <w:t>P</w:t>
      </w:r>
      <w:r w:rsidR="00562957" w:rsidRPr="00562957">
        <w:rPr>
          <w:rFonts w:eastAsiaTheme="minorEastAsia"/>
        </w:rPr>
        <w:t>rojekt rozporządzenia nie podlega procedurze notyfikacji w rozumieniu przepisów rozporządzenia Rady Ministrów z dnia 23 grudnia 2002 r. w sprawie sposobu funkcjonowania krajowego systemu notyfikacji norm i aktów prawnych (Dz. U. poz. 2039 oraz z 2004 r. poz. 597).</w:t>
      </w:r>
    </w:p>
    <w:sectPr w:rsidR="005C4DAD" w:rsidSect="00B67705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D564E" w14:textId="77777777" w:rsidR="00F706B0" w:rsidRDefault="00F706B0">
      <w:r>
        <w:separator/>
      </w:r>
    </w:p>
  </w:endnote>
  <w:endnote w:type="continuationSeparator" w:id="0">
    <w:p w14:paraId="20181F44" w14:textId="77777777" w:rsidR="00F706B0" w:rsidRDefault="00F7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A52B6" w14:textId="77777777" w:rsidR="00F706B0" w:rsidRDefault="00F706B0">
      <w:r>
        <w:separator/>
      </w:r>
    </w:p>
  </w:footnote>
  <w:footnote w:type="continuationSeparator" w:id="0">
    <w:p w14:paraId="655E4155" w14:textId="77777777" w:rsidR="00F706B0" w:rsidRDefault="00F706B0">
      <w:r>
        <w:continuationSeparator/>
      </w:r>
    </w:p>
  </w:footnote>
  <w:footnote w:id="1">
    <w:p w14:paraId="3CF90272" w14:textId="2DB6F4D6" w:rsidR="006A177E" w:rsidRDefault="006A177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3C278E">
          <w:rPr>
            <w:rStyle w:val="Hipercze"/>
            <w:rFonts w:eastAsiaTheme="minorEastAsia"/>
          </w:rPr>
          <w:t>https://www.ure.gov.pl/pl/cieplo/inne-wazne-informacje/7717,Jak-beda-liczone-srednie-ceny-uprawnien-do-emisji-CO2-przy-uwzglednianiu-tej-wie.html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2D6"/>
    <w:multiLevelType w:val="hybridMultilevel"/>
    <w:tmpl w:val="90CC844E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06454069"/>
    <w:multiLevelType w:val="hybridMultilevel"/>
    <w:tmpl w:val="A7B08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2571"/>
    <w:multiLevelType w:val="hybridMultilevel"/>
    <w:tmpl w:val="10F013F8"/>
    <w:lvl w:ilvl="0" w:tplc="3DA06F6C">
      <w:start w:val="18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6608"/>
    <w:multiLevelType w:val="hybridMultilevel"/>
    <w:tmpl w:val="F2184528"/>
    <w:lvl w:ilvl="0" w:tplc="5866A5F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4C3518"/>
    <w:multiLevelType w:val="hybridMultilevel"/>
    <w:tmpl w:val="8130AB0E"/>
    <w:lvl w:ilvl="0" w:tplc="E806C044">
      <w:start w:val="2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16892B28"/>
    <w:multiLevelType w:val="hybridMultilevel"/>
    <w:tmpl w:val="92EA8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850D6"/>
    <w:multiLevelType w:val="hybridMultilevel"/>
    <w:tmpl w:val="8C3C3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D2739"/>
    <w:multiLevelType w:val="hybridMultilevel"/>
    <w:tmpl w:val="FD78AB58"/>
    <w:lvl w:ilvl="0" w:tplc="84CE58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F0E61"/>
    <w:multiLevelType w:val="hybridMultilevel"/>
    <w:tmpl w:val="A4803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777F7"/>
    <w:multiLevelType w:val="hybridMultilevel"/>
    <w:tmpl w:val="470AD31E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0" w15:restartNumberingAfterBreak="0">
    <w:nsid w:val="23E83F75"/>
    <w:multiLevelType w:val="hybridMultilevel"/>
    <w:tmpl w:val="BE8C881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245A3A7D"/>
    <w:multiLevelType w:val="hybridMultilevel"/>
    <w:tmpl w:val="106C7A9C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 w15:restartNumberingAfterBreak="0">
    <w:nsid w:val="269D1485"/>
    <w:multiLevelType w:val="hybridMultilevel"/>
    <w:tmpl w:val="0E8ED70E"/>
    <w:lvl w:ilvl="0" w:tplc="49BC46F0">
      <w:start w:val="17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271E6854"/>
    <w:multiLevelType w:val="hybridMultilevel"/>
    <w:tmpl w:val="F9B2C9B6"/>
    <w:lvl w:ilvl="0" w:tplc="C7B64E44">
      <w:start w:val="1"/>
      <w:numFmt w:val="decimal"/>
      <w:lvlText w:val="%1)"/>
      <w:lvlJc w:val="left"/>
      <w:pPr>
        <w:ind w:left="1230" w:hanging="360"/>
      </w:pPr>
      <w:rPr>
        <w:rFonts w:ascii="Times" w:eastAsiaTheme="minorEastAsia" w:hAnsi="Times" w:cs="Arial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7EB16BC"/>
    <w:multiLevelType w:val="hybridMultilevel"/>
    <w:tmpl w:val="024C6686"/>
    <w:lvl w:ilvl="0" w:tplc="7E888B1A">
      <w:start w:val="1"/>
      <w:numFmt w:val="lowerLetter"/>
      <w:lvlText w:val="%1)"/>
      <w:lvlJc w:val="left"/>
      <w:pPr>
        <w:ind w:left="99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288C2A36"/>
    <w:multiLevelType w:val="hybridMultilevel"/>
    <w:tmpl w:val="0352A99C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6" w15:restartNumberingAfterBreak="0">
    <w:nsid w:val="2CE74DC5"/>
    <w:multiLevelType w:val="hybridMultilevel"/>
    <w:tmpl w:val="8738DF4E"/>
    <w:lvl w:ilvl="0" w:tplc="84CE589C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2D0F44B6"/>
    <w:multiLevelType w:val="hybridMultilevel"/>
    <w:tmpl w:val="9BE8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9050E"/>
    <w:multiLevelType w:val="hybridMultilevel"/>
    <w:tmpl w:val="3E22F318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33231131"/>
    <w:multiLevelType w:val="hybridMultilevel"/>
    <w:tmpl w:val="7576B1E2"/>
    <w:lvl w:ilvl="0" w:tplc="84CE589C">
      <w:start w:val="1"/>
      <w:numFmt w:val="bullet"/>
      <w:lvlText w:val="-"/>
      <w:lvlJc w:val="left"/>
      <w:pPr>
        <w:ind w:left="15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 w15:restartNumberingAfterBreak="0">
    <w:nsid w:val="382B13AE"/>
    <w:multiLevelType w:val="hybridMultilevel"/>
    <w:tmpl w:val="F4C6E93A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1" w15:restartNumberingAfterBreak="0">
    <w:nsid w:val="384B613C"/>
    <w:multiLevelType w:val="hybridMultilevel"/>
    <w:tmpl w:val="EC4E0D14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A680D"/>
    <w:multiLevelType w:val="hybridMultilevel"/>
    <w:tmpl w:val="59F6C54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4478761D"/>
    <w:multiLevelType w:val="hybridMultilevel"/>
    <w:tmpl w:val="22C431CA"/>
    <w:lvl w:ilvl="0" w:tplc="84CE589C">
      <w:start w:val="1"/>
      <w:numFmt w:val="bullet"/>
      <w:lvlText w:val="-"/>
      <w:lvlJc w:val="left"/>
      <w:pPr>
        <w:ind w:left="123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49492F75"/>
    <w:multiLevelType w:val="hybridMultilevel"/>
    <w:tmpl w:val="B51CA9A0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6" w15:restartNumberingAfterBreak="0">
    <w:nsid w:val="4CAC2B55"/>
    <w:multiLevelType w:val="hybridMultilevel"/>
    <w:tmpl w:val="067640F2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4D1030C1"/>
    <w:multiLevelType w:val="hybridMultilevel"/>
    <w:tmpl w:val="4CB41F94"/>
    <w:lvl w:ilvl="0" w:tplc="D23CE670">
      <w:start w:val="1"/>
      <w:numFmt w:val="lowerLetter"/>
      <w:lvlText w:val="%1)"/>
      <w:lvlJc w:val="left"/>
      <w:pPr>
        <w:ind w:left="159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8" w15:restartNumberingAfterBreak="0">
    <w:nsid w:val="4F1D50A0"/>
    <w:multiLevelType w:val="hybridMultilevel"/>
    <w:tmpl w:val="7DEC431E"/>
    <w:lvl w:ilvl="0" w:tplc="84CE58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B2C32"/>
    <w:multiLevelType w:val="hybridMultilevel"/>
    <w:tmpl w:val="4FB0861A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0" w15:restartNumberingAfterBreak="0">
    <w:nsid w:val="51C06C8E"/>
    <w:multiLevelType w:val="hybridMultilevel"/>
    <w:tmpl w:val="D6201E8C"/>
    <w:lvl w:ilvl="0" w:tplc="38569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5155EE7"/>
    <w:multiLevelType w:val="hybridMultilevel"/>
    <w:tmpl w:val="2602808E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2" w15:restartNumberingAfterBreak="0">
    <w:nsid w:val="594B4E65"/>
    <w:multiLevelType w:val="hybridMultilevel"/>
    <w:tmpl w:val="9214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D4AC2"/>
    <w:multiLevelType w:val="hybridMultilevel"/>
    <w:tmpl w:val="94DE7234"/>
    <w:lvl w:ilvl="0" w:tplc="04150017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 w15:restartNumberingAfterBreak="0">
    <w:nsid w:val="65EA20D9"/>
    <w:multiLevelType w:val="hybridMultilevel"/>
    <w:tmpl w:val="9D32379C"/>
    <w:lvl w:ilvl="0" w:tplc="EFE6E49A">
      <w:start w:val="4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5" w15:restartNumberingAfterBreak="0">
    <w:nsid w:val="66C021CA"/>
    <w:multiLevelType w:val="hybridMultilevel"/>
    <w:tmpl w:val="F1E8EDA0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6" w15:restartNumberingAfterBreak="0">
    <w:nsid w:val="66D82D7D"/>
    <w:multiLevelType w:val="hybridMultilevel"/>
    <w:tmpl w:val="93A6D3E0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7" w15:restartNumberingAfterBreak="0">
    <w:nsid w:val="680B3DA8"/>
    <w:multiLevelType w:val="hybridMultilevel"/>
    <w:tmpl w:val="2716C884"/>
    <w:lvl w:ilvl="0" w:tplc="84CE589C">
      <w:start w:val="1"/>
      <w:numFmt w:val="bullet"/>
      <w:lvlText w:val="-"/>
      <w:lvlJc w:val="left"/>
      <w:pPr>
        <w:ind w:left="159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8" w15:restartNumberingAfterBreak="0">
    <w:nsid w:val="683B7D50"/>
    <w:multiLevelType w:val="hybridMultilevel"/>
    <w:tmpl w:val="9834AED6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9" w15:restartNumberingAfterBreak="0">
    <w:nsid w:val="6D6211D7"/>
    <w:multiLevelType w:val="hybridMultilevel"/>
    <w:tmpl w:val="9F38A8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B1A67"/>
    <w:multiLevelType w:val="hybridMultilevel"/>
    <w:tmpl w:val="307C75F0"/>
    <w:lvl w:ilvl="0" w:tplc="84CE589C">
      <w:start w:val="1"/>
      <w:numFmt w:val="bullet"/>
      <w:lvlText w:val="-"/>
      <w:lvlJc w:val="left"/>
      <w:pPr>
        <w:ind w:left="19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1" w15:restartNumberingAfterBreak="0">
    <w:nsid w:val="6E5633BB"/>
    <w:multiLevelType w:val="hybridMultilevel"/>
    <w:tmpl w:val="9070883E"/>
    <w:lvl w:ilvl="0" w:tplc="A1DE3A88">
      <w:start w:val="18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00FBD"/>
    <w:multiLevelType w:val="hybridMultilevel"/>
    <w:tmpl w:val="7F9A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17667"/>
    <w:multiLevelType w:val="hybridMultilevel"/>
    <w:tmpl w:val="47026D08"/>
    <w:lvl w:ilvl="0" w:tplc="84CE589C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4" w15:restartNumberingAfterBreak="0">
    <w:nsid w:val="7DC84752"/>
    <w:multiLevelType w:val="hybridMultilevel"/>
    <w:tmpl w:val="59F6C54C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5" w15:restartNumberingAfterBreak="0">
    <w:nsid w:val="7E556076"/>
    <w:multiLevelType w:val="hybridMultilevel"/>
    <w:tmpl w:val="C7A6C966"/>
    <w:lvl w:ilvl="0" w:tplc="0415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0"/>
  </w:num>
  <w:num w:numId="4">
    <w:abstractNumId w:val="39"/>
  </w:num>
  <w:num w:numId="5">
    <w:abstractNumId w:val="3"/>
  </w:num>
  <w:num w:numId="6">
    <w:abstractNumId w:val="22"/>
  </w:num>
  <w:num w:numId="7">
    <w:abstractNumId w:val="42"/>
  </w:num>
  <w:num w:numId="8">
    <w:abstractNumId w:val="32"/>
  </w:num>
  <w:num w:numId="9">
    <w:abstractNumId w:val="13"/>
  </w:num>
  <w:num w:numId="10">
    <w:abstractNumId w:val="14"/>
  </w:num>
  <w:num w:numId="11">
    <w:abstractNumId w:val="44"/>
  </w:num>
  <w:num w:numId="12">
    <w:abstractNumId w:val="12"/>
  </w:num>
  <w:num w:numId="13">
    <w:abstractNumId w:val="23"/>
  </w:num>
  <w:num w:numId="14">
    <w:abstractNumId w:val="2"/>
  </w:num>
  <w:num w:numId="15">
    <w:abstractNumId w:val="41"/>
  </w:num>
  <w:num w:numId="16">
    <w:abstractNumId w:val="4"/>
  </w:num>
  <w:num w:numId="17">
    <w:abstractNumId w:val="31"/>
  </w:num>
  <w:num w:numId="18">
    <w:abstractNumId w:val="1"/>
  </w:num>
  <w:num w:numId="19">
    <w:abstractNumId w:val="33"/>
  </w:num>
  <w:num w:numId="20">
    <w:abstractNumId w:val="19"/>
  </w:num>
  <w:num w:numId="21">
    <w:abstractNumId w:val="35"/>
  </w:num>
  <w:num w:numId="22">
    <w:abstractNumId w:val="11"/>
  </w:num>
  <w:num w:numId="23">
    <w:abstractNumId w:val="34"/>
  </w:num>
  <w:num w:numId="24">
    <w:abstractNumId w:val="36"/>
  </w:num>
  <w:num w:numId="25">
    <w:abstractNumId w:val="27"/>
  </w:num>
  <w:num w:numId="26">
    <w:abstractNumId w:val="37"/>
  </w:num>
  <w:num w:numId="27">
    <w:abstractNumId w:val="16"/>
  </w:num>
  <w:num w:numId="28">
    <w:abstractNumId w:val="25"/>
  </w:num>
  <w:num w:numId="29">
    <w:abstractNumId w:val="40"/>
  </w:num>
  <w:num w:numId="30">
    <w:abstractNumId w:val="29"/>
  </w:num>
  <w:num w:numId="31">
    <w:abstractNumId w:val="15"/>
  </w:num>
  <w:num w:numId="32">
    <w:abstractNumId w:val="28"/>
  </w:num>
  <w:num w:numId="33">
    <w:abstractNumId w:val="18"/>
  </w:num>
  <w:num w:numId="34">
    <w:abstractNumId w:val="24"/>
  </w:num>
  <w:num w:numId="35">
    <w:abstractNumId w:val="7"/>
  </w:num>
  <w:num w:numId="36">
    <w:abstractNumId w:val="17"/>
  </w:num>
  <w:num w:numId="37">
    <w:abstractNumId w:val="45"/>
  </w:num>
  <w:num w:numId="38">
    <w:abstractNumId w:val="0"/>
  </w:num>
  <w:num w:numId="39">
    <w:abstractNumId w:val="38"/>
  </w:num>
  <w:num w:numId="40">
    <w:abstractNumId w:val="21"/>
  </w:num>
  <w:num w:numId="41">
    <w:abstractNumId w:val="9"/>
  </w:num>
  <w:num w:numId="42">
    <w:abstractNumId w:val="43"/>
  </w:num>
  <w:num w:numId="43">
    <w:abstractNumId w:val="6"/>
  </w:num>
  <w:num w:numId="44">
    <w:abstractNumId w:val="8"/>
  </w:num>
  <w:num w:numId="45">
    <w:abstractNumId w:val="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5F"/>
    <w:rsid w:val="0000796D"/>
    <w:rsid w:val="00017AF0"/>
    <w:rsid w:val="000407EC"/>
    <w:rsid w:val="00065A6F"/>
    <w:rsid w:val="00085227"/>
    <w:rsid w:val="000913C3"/>
    <w:rsid w:val="00095532"/>
    <w:rsid w:val="000A1BC9"/>
    <w:rsid w:val="000B2063"/>
    <w:rsid w:val="001013F8"/>
    <w:rsid w:val="00101B77"/>
    <w:rsid w:val="00172E2D"/>
    <w:rsid w:val="001735E2"/>
    <w:rsid w:val="00173CD0"/>
    <w:rsid w:val="001B3220"/>
    <w:rsid w:val="001C1B8F"/>
    <w:rsid w:val="001E03AF"/>
    <w:rsid w:val="001F11CF"/>
    <w:rsid w:val="001F3BCE"/>
    <w:rsid w:val="001F5CA4"/>
    <w:rsid w:val="00264AEE"/>
    <w:rsid w:val="002A2D09"/>
    <w:rsid w:val="002A581A"/>
    <w:rsid w:val="002A5AE2"/>
    <w:rsid w:val="002C1BB4"/>
    <w:rsid w:val="002E06B6"/>
    <w:rsid w:val="0030143D"/>
    <w:rsid w:val="00311E34"/>
    <w:rsid w:val="00323D92"/>
    <w:rsid w:val="003274DC"/>
    <w:rsid w:val="0032765F"/>
    <w:rsid w:val="003369DC"/>
    <w:rsid w:val="0037206B"/>
    <w:rsid w:val="00376663"/>
    <w:rsid w:val="00377CCB"/>
    <w:rsid w:val="003911AD"/>
    <w:rsid w:val="003D3185"/>
    <w:rsid w:val="00404A50"/>
    <w:rsid w:val="0040742F"/>
    <w:rsid w:val="00412AFB"/>
    <w:rsid w:val="00434865"/>
    <w:rsid w:val="0044322E"/>
    <w:rsid w:val="00491F44"/>
    <w:rsid w:val="004A0991"/>
    <w:rsid w:val="004D1A27"/>
    <w:rsid w:val="004E6053"/>
    <w:rsid w:val="004F7320"/>
    <w:rsid w:val="005072F4"/>
    <w:rsid w:val="005205F9"/>
    <w:rsid w:val="00531F0A"/>
    <w:rsid w:val="00553ED1"/>
    <w:rsid w:val="00562957"/>
    <w:rsid w:val="0056543A"/>
    <w:rsid w:val="005827B2"/>
    <w:rsid w:val="005868B7"/>
    <w:rsid w:val="005A32A6"/>
    <w:rsid w:val="005A3708"/>
    <w:rsid w:val="005C4DAD"/>
    <w:rsid w:val="005C78EB"/>
    <w:rsid w:val="005D0FC5"/>
    <w:rsid w:val="005D57EB"/>
    <w:rsid w:val="005E2392"/>
    <w:rsid w:val="005F5416"/>
    <w:rsid w:val="0061483E"/>
    <w:rsid w:val="00622DD9"/>
    <w:rsid w:val="00631A2D"/>
    <w:rsid w:val="006423D6"/>
    <w:rsid w:val="00651A1D"/>
    <w:rsid w:val="00656E31"/>
    <w:rsid w:val="00657EC7"/>
    <w:rsid w:val="00667072"/>
    <w:rsid w:val="00671D8A"/>
    <w:rsid w:val="006828F0"/>
    <w:rsid w:val="006A177E"/>
    <w:rsid w:val="006A63BB"/>
    <w:rsid w:val="006B1654"/>
    <w:rsid w:val="006B4AB0"/>
    <w:rsid w:val="006C6CE3"/>
    <w:rsid w:val="006D0AEC"/>
    <w:rsid w:val="0071426A"/>
    <w:rsid w:val="00750036"/>
    <w:rsid w:val="007531C1"/>
    <w:rsid w:val="00775366"/>
    <w:rsid w:val="00791759"/>
    <w:rsid w:val="007A701F"/>
    <w:rsid w:val="007B2216"/>
    <w:rsid w:val="007E5153"/>
    <w:rsid w:val="008045EE"/>
    <w:rsid w:val="00805E9B"/>
    <w:rsid w:val="0081220F"/>
    <w:rsid w:val="008124D2"/>
    <w:rsid w:val="0081587A"/>
    <w:rsid w:val="00827950"/>
    <w:rsid w:val="00827E30"/>
    <w:rsid w:val="0084148D"/>
    <w:rsid w:val="0084477A"/>
    <w:rsid w:val="00860A3D"/>
    <w:rsid w:val="00870D20"/>
    <w:rsid w:val="00892224"/>
    <w:rsid w:val="00893197"/>
    <w:rsid w:val="00896187"/>
    <w:rsid w:val="008A2652"/>
    <w:rsid w:val="008A618D"/>
    <w:rsid w:val="008B6917"/>
    <w:rsid w:val="008C3C93"/>
    <w:rsid w:val="00905340"/>
    <w:rsid w:val="00910EF0"/>
    <w:rsid w:val="00921ED6"/>
    <w:rsid w:val="00936F26"/>
    <w:rsid w:val="00940AC7"/>
    <w:rsid w:val="00964CF6"/>
    <w:rsid w:val="00991771"/>
    <w:rsid w:val="0099655F"/>
    <w:rsid w:val="009A007F"/>
    <w:rsid w:val="009A0E26"/>
    <w:rsid w:val="009B0760"/>
    <w:rsid w:val="009D7DFE"/>
    <w:rsid w:val="009E3693"/>
    <w:rsid w:val="00A06487"/>
    <w:rsid w:val="00A14164"/>
    <w:rsid w:val="00A464D9"/>
    <w:rsid w:val="00A66DA7"/>
    <w:rsid w:val="00A678F8"/>
    <w:rsid w:val="00A77A6E"/>
    <w:rsid w:val="00A96A1A"/>
    <w:rsid w:val="00AA4146"/>
    <w:rsid w:val="00AF2D3C"/>
    <w:rsid w:val="00AF4BA8"/>
    <w:rsid w:val="00AF6052"/>
    <w:rsid w:val="00AF697B"/>
    <w:rsid w:val="00B34DCA"/>
    <w:rsid w:val="00B67705"/>
    <w:rsid w:val="00B7392C"/>
    <w:rsid w:val="00B827C8"/>
    <w:rsid w:val="00BB0843"/>
    <w:rsid w:val="00BF3347"/>
    <w:rsid w:val="00C02081"/>
    <w:rsid w:val="00C27139"/>
    <w:rsid w:val="00C3226E"/>
    <w:rsid w:val="00C40808"/>
    <w:rsid w:val="00C6523D"/>
    <w:rsid w:val="00C75859"/>
    <w:rsid w:val="00C82B22"/>
    <w:rsid w:val="00C85D4D"/>
    <w:rsid w:val="00C9125E"/>
    <w:rsid w:val="00CA7E43"/>
    <w:rsid w:val="00CB001A"/>
    <w:rsid w:val="00CC0482"/>
    <w:rsid w:val="00CD0C30"/>
    <w:rsid w:val="00CF12CA"/>
    <w:rsid w:val="00CF67AE"/>
    <w:rsid w:val="00D23B7D"/>
    <w:rsid w:val="00D27FB7"/>
    <w:rsid w:val="00D374C9"/>
    <w:rsid w:val="00D42839"/>
    <w:rsid w:val="00D567C7"/>
    <w:rsid w:val="00D8462F"/>
    <w:rsid w:val="00DC15E2"/>
    <w:rsid w:val="00E14C6F"/>
    <w:rsid w:val="00E15400"/>
    <w:rsid w:val="00E26E57"/>
    <w:rsid w:val="00E32013"/>
    <w:rsid w:val="00E50D27"/>
    <w:rsid w:val="00E54D82"/>
    <w:rsid w:val="00EC3BEC"/>
    <w:rsid w:val="00ED0E9A"/>
    <w:rsid w:val="00F334E5"/>
    <w:rsid w:val="00F35304"/>
    <w:rsid w:val="00F427DE"/>
    <w:rsid w:val="00F706B0"/>
    <w:rsid w:val="00FA2946"/>
    <w:rsid w:val="00FE4EE3"/>
    <w:rsid w:val="00FE7EA9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914F"/>
  <w15:chartTrackingRefBased/>
  <w15:docId w15:val="{613C221E-E566-4C39-A175-DD75D1F3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rsid w:val="0032765F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2765F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32765F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32765F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32765F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32765F"/>
    <w:pPr>
      <w:ind w:left="1780"/>
    </w:pPr>
  </w:style>
  <w:style w:type="character" w:styleId="Odwoanieprzypisudolnego">
    <w:name w:val="footnote reference"/>
    <w:uiPriority w:val="99"/>
    <w:semiHidden/>
    <w:rsid w:val="0032765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2765F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2765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32765F"/>
    <w:pPr>
      <w:tabs>
        <w:tab w:val="center" w:pos="4536"/>
        <w:tab w:val="right" w:pos="9072"/>
      </w:tabs>
      <w:suppressAutoHyphens/>
    </w:pPr>
    <w:rPr>
      <w:rFonts w:ascii="Times" w:hAnsi="Times"/>
      <w:kern w:val="1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2765F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32765F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65F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32765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32765F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32765F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32765F"/>
  </w:style>
  <w:style w:type="paragraph" w:styleId="Bezodstpw">
    <w:name w:val="No Spacing"/>
    <w:uiPriority w:val="99"/>
    <w:rsid w:val="0032765F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32765F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32765F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2765F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2765F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32765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2765F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2765F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2765F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13"/>
    <w:qFormat/>
    <w:rsid w:val="0032765F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32765F"/>
    <w:pPr>
      <w:ind w:left="0" w:firstLine="0"/>
    </w:pPr>
  </w:style>
  <w:style w:type="paragraph" w:customStyle="1" w:styleId="LITlitera">
    <w:name w:val="LIT – litera"/>
    <w:basedOn w:val="PKTpunkt"/>
    <w:link w:val="LITliteraZnak"/>
    <w:uiPriority w:val="14"/>
    <w:qFormat/>
    <w:rsid w:val="0032765F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link w:val="CZWSPLITczwsplnaliterZnak"/>
    <w:uiPriority w:val="17"/>
    <w:qFormat/>
    <w:rsid w:val="0032765F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32765F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32765F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32765F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32765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32765F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32765F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32765F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32765F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32765F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32765F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32765F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32765F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32765F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32765F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32765F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32765F"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32765F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32765F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32765F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32765F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32765F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32765F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32765F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32765F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32765F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32765F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32765F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32765F"/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65F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32765F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link w:val="ZTIRCZWSPPKTzmczciwsppkttiretZnak"/>
    <w:uiPriority w:val="58"/>
    <w:qFormat/>
    <w:rsid w:val="0032765F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32765F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32765F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32765F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32765F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32765F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32765F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32765F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32765F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32765F"/>
  </w:style>
  <w:style w:type="paragraph" w:customStyle="1" w:styleId="ZTIR2TIRzmpodwtirtiret">
    <w:name w:val="Z_TIR/2TIR – zm. podw. tir. tiret"/>
    <w:basedOn w:val="TIRtiret"/>
    <w:uiPriority w:val="78"/>
    <w:qFormat/>
    <w:rsid w:val="0032765F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32765F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32765F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32765F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32765F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32765F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32765F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32765F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32765F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32765F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32765F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32765F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32765F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32765F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32765F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32765F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32765F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32765F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32765F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32765F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32765F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32765F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32765F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327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2765F"/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65F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27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65F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32765F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32765F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32765F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32765F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32765F"/>
    <w:pPr>
      <w:ind w:left="2404"/>
    </w:pPr>
  </w:style>
  <w:style w:type="paragraph" w:customStyle="1" w:styleId="ODNONIKtreodnonika">
    <w:name w:val="ODNOŚNIK – treść odnośnika"/>
    <w:uiPriority w:val="19"/>
    <w:qFormat/>
    <w:rsid w:val="0032765F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32765F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32765F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link w:val="ZTIRFRAGMzmnpwprdowyliczeniatiretZnak"/>
    <w:uiPriority w:val="60"/>
    <w:qFormat/>
    <w:rsid w:val="0032765F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32765F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32765F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32765F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32765F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32765F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32765F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32765F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32765F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32765F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32765F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32765F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32765F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32765F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32765F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32765F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32765F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32765F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32765F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32765F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32765F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32765F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32765F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32765F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32765F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32765F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32765F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32765F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32765F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32765F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32765F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32765F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32765F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32765F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32765F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32765F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32765F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32765F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32765F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32765F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32765F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32765F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32765F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32765F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32765F"/>
  </w:style>
  <w:style w:type="paragraph" w:customStyle="1" w:styleId="ZZUSTzmianazmust">
    <w:name w:val="ZZ/UST(§) – zmiana zm. ust. (§)"/>
    <w:basedOn w:val="ZZARTzmianazmart"/>
    <w:uiPriority w:val="65"/>
    <w:qFormat/>
    <w:rsid w:val="0032765F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32765F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32765F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32765F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32765F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32765F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32765F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32765F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32765F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32765F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32765F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32765F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32765F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32765F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32765F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32765F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32765F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2765F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2765F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32765F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32765F"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32765F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32765F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32765F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32765F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32765F"/>
  </w:style>
  <w:style w:type="paragraph" w:customStyle="1" w:styleId="TEKSTZacznikido">
    <w:name w:val="TEKST&quot;Załącznik(i) do ...&quot;"/>
    <w:uiPriority w:val="28"/>
    <w:qFormat/>
    <w:rsid w:val="0032765F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32765F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32765F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32765F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32765F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32765F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32765F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32765F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32765F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32765F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32765F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32765F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32765F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32765F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32765F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32765F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32765F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32765F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32765F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32765F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32765F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32765F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32765F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32765F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32765F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32765F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32765F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32765F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32765F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32765F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32765F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32765F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32765F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32765F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32765F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32765F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32765F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32765F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32765F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32765F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32765F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32765F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32765F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32765F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32765F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32765F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32765F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32765F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32765F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32765F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32765F"/>
    <w:rPr>
      <w:b/>
    </w:rPr>
  </w:style>
  <w:style w:type="character" w:customStyle="1" w:styleId="Kkursywa">
    <w:name w:val="_K_ – kursywa"/>
    <w:basedOn w:val="Domylnaczcionkaakapitu"/>
    <w:uiPriority w:val="1"/>
    <w:qFormat/>
    <w:rsid w:val="0032765F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32765F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32765F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2765F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32765F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2765F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32765F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32765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32765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32765F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32765F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32765F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32765F"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32765F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32765F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32765F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32765F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32765F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32765F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32765F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32765F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32765F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32765F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32765F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32765F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32765F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link w:val="Z2TIRFRAGMzmnpwprdowyliczeniapodwjnymtiretZnak"/>
    <w:uiPriority w:val="89"/>
    <w:qFormat/>
    <w:rsid w:val="0032765F"/>
    <w:pPr>
      <w:ind w:left="1780"/>
    </w:pPr>
  </w:style>
  <w:style w:type="table" w:styleId="Tabela-Siatka">
    <w:name w:val="Table Grid"/>
    <w:basedOn w:val="Standardowy"/>
    <w:rsid w:val="0032765F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2765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32765F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32765F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32765F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2765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6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6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65F"/>
    <w:rPr>
      <w:vertAlign w:val="superscript"/>
    </w:rPr>
  </w:style>
  <w:style w:type="paragraph" w:styleId="Poprawka">
    <w:name w:val="Revision"/>
    <w:hidden/>
    <w:uiPriority w:val="99"/>
    <w:semiHidden/>
    <w:rsid w:val="00327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punktZnak">
    <w:name w:val="PKT – punkt Znak"/>
    <w:basedOn w:val="Domylnaczcionkaakapitu"/>
    <w:link w:val="PKTpunkt"/>
    <w:uiPriority w:val="13"/>
    <w:rsid w:val="0032765F"/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LITliteraZnak">
    <w:name w:val="LIT – litera Znak"/>
    <w:basedOn w:val="PKTpunktZnak"/>
    <w:link w:val="LITlitera"/>
    <w:uiPriority w:val="14"/>
    <w:rsid w:val="0032765F"/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CZWSPLITczwsplnaliterZnak">
    <w:name w:val="CZ_WSP_LIT – część wspólna liter Znak"/>
    <w:basedOn w:val="LITliteraZnak"/>
    <w:link w:val="CZWSPLITczwsplnaliter"/>
    <w:uiPriority w:val="17"/>
    <w:rsid w:val="0032765F"/>
    <w:rPr>
      <w:rFonts w:ascii="Times" w:eastAsiaTheme="minorEastAsia" w:hAnsi="Times" w:cs="Arial"/>
      <w:bCs/>
      <w:sz w:val="24"/>
      <w:szCs w:val="24"/>
      <w:lang w:eastAsia="pl-PL"/>
    </w:rPr>
  </w:style>
  <w:style w:type="character" w:customStyle="1" w:styleId="ZTIRCZWSPPKTzmczciwsppkttiretZnak">
    <w:name w:val="Z_TIR/CZ_WSP_PKT – zm. części wsp. pkt tiret Znak"/>
    <w:basedOn w:val="CZWSPLITczwsplnaliterZnak"/>
    <w:link w:val="ZTIRCZWSPPKTzmczciwsppkttiret"/>
    <w:uiPriority w:val="58"/>
    <w:rsid w:val="0032765F"/>
    <w:rPr>
      <w:rFonts w:ascii="Times" w:eastAsiaTheme="minorEastAsia" w:hAnsi="Times" w:cs="Arial"/>
      <w:bCs/>
      <w:sz w:val="24"/>
      <w:szCs w:val="24"/>
      <w:lang w:eastAsia="pl-PL"/>
    </w:rPr>
  </w:style>
  <w:style w:type="character" w:customStyle="1" w:styleId="ZTIRFRAGMzmnpwprdowyliczeniatiretZnak">
    <w:name w:val="Z_TIR/FRAGM – zm. np. wpr. do wyliczenia tiret Znak"/>
    <w:basedOn w:val="ZTIRCZWSPPKTzmczciwsppkttiretZnak"/>
    <w:link w:val="ZTIRFRAGMzmnpwprdowyliczeniatiret"/>
    <w:uiPriority w:val="60"/>
    <w:rsid w:val="0032765F"/>
    <w:rPr>
      <w:rFonts w:ascii="Times New Roman" w:eastAsiaTheme="minorEastAsia" w:hAnsi="Times New Roman" w:cs="Arial"/>
      <w:bCs/>
      <w:sz w:val="24"/>
      <w:szCs w:val="24"/>
      <w:lang w:eastAsia="pl-PL"/>
    </w:rPr>
  </w:style>
  <w:style w:type="character" w:customStyle="1" w:styleId="Z2TIRFRAGMzmnpwprdowyliczeniapodwjnymtiretZnak">
    <w:name w:val="Z_2TIR/FRAGM – zm. np. wpr. do wyliczenia podwójnym tiret Znak"/>
    <w:basedOn w:val="ZTIRFRAGMzmnpwprdowyliczeniatiretZnak"/>
    <w:link w:val="Z2TIRFRAGMzmnpwprdowyliczeniapodwjnymtiret"/>
    <w:uiPriority w:val="89"/>
    <w:rsid w:val="0032765F"/>
    <w:rPr>
      <w:rFonts w:ascii="Times New Roman" w:eastAsiaTheme="minorEastAsia" w:hAnsi="Times New Roman" w:cs="Arial"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76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765F"/>
    <w:rPr>
      <w:color w:val="0563C1" w:themeColor="hyperlink"/>
      <w:u w:val="single"/>
    </w:rPr>
  </w:style>
  <w:style w:type="paragraph" w:customStyle="1" w:styleId="Default">
    <w:name w:val="Default"/>
    <w:rsid w:val="003276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3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7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re.gov.pl/pl/cieplo/inne-wazne-informacje/7717,Jak-beda-liczone-srednie-ceny-uprawnien-do-emisji-CO2-przy-uwzglednianiu-tej-w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16BB8-5B21-46A0-8811-2D23CA8B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Ministerstwo Energii</dc:creator>
  <cp:keywords/>
  <dc:description/>
  <cp:lastModifiedBy>Banaszak Wojciech</cp:lastModifiedBy>
  <cp:revision>4</cp:revision>
  <cp:lastPrinted>2019-04-25T08:01:00Z</cp:lastPrinted>
  <dcterms:created xsi:type="dcterms:W3CDTF">2021-03-26T14:07:00Z</dcterms:created>
  <dcterms:modified xsi:type="dcterms:W3CDTF">2021-03-26T15:30:00Z</dcterms:modified>
</cp:coreProperties>
</file>