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567"/>
        <w:gridCol w:w="370"/>
        <w:gridCol w:w="338"/>
        <w:gridCol w:w="541"/>
        <w:gridCol w:w="310"/>
        <w:gridCol w:w="32"/>
        <w:gridCol w:w="677"/>
        <w:gridCol w:w="394"/>
        <w:gridCol w:w="151"/>
        <w:gridCol w:w="163"/>
        <w:gridCol w:w="490"/>
        <w:gridCol w:w="361"/>
        <w:gridCol w:w="426"/>
        <w:gridCol w:w="80"/>
        <w:gridCol w:w="71"/>
        <w:gridCol w:w="419"/>
        <w:gridCol w:w="113"/>
        <w:gridCol w:w="308"/>
        <w:gridCol w:w="97"/>
        <w:gridCol w:w="317"/>
        <w:gridCol w:w="153"/>
        <w:gridCol w:w="426"/>
        <w:gridCol w:w="42"/>
        <w:gridCol w:w="666"/>
        <w:gridCol w:w="272"/>
        <w:gridCol w:w="692"/>
      </w:tblGrid>
      <w:tr w:rsidR="006A561B" w:rsidRPr="00F20C56" w14:paraId="1B7DC604" w14:textId="77777777" w:rsidTr="00F05286">
        <w:trPr>
          <w:trHeight w:val="1611"/>
        </w:trPr>
        <w:tc>
          <w:tcPr>
            <w:tcW w:w="6489" w:type="dxa"/>
            <w:gridSpan w:val="15"/>
          </w:tcPr>
          <w:p w14:paraId="5D62E2F1" w14:textId="77777777" w:rsidR="006A561B" w:rsidRPr="00F20C56" w:rsidRDefault="006A561B" w:rsidP="00F20C56">
            <w:pPr>
              <w:spacing w:line="240" w:lineRule="auto"/>
              <w:rPr>
                <w:rFonts w:ascii="Times New Roman" w:hAnsi="Times New Roman"/>
                <w:color w:val="000000"/>
                <w:sz w:val="24"/>
                <w:szCs w:val="24"/>
              </w:rPr>
            </w:pPr>
            <w:bookmarkStart w:id="0" w:name="t1"/>
            <w:bookmarkStart w:id="1" w:name="_GoBack"/>
            <w:bookmarkEnd w:id="1"/>
            <w:r w:rsidRPr="00F20C56">
              <w:rPr>
                <w:rFonts w:ascii="Times New Roman" w:hAnsi="Times New Roman"/>
                <w:b/>
                <w:color w:val="000000"/>
                <w:sz w:val="24"/>
                <w:szCs w:val="24"/>
              </w:rPr>
              <w:t>Nazwa projektu</w:t>
            </w:r>
          </w:p>
          <w:p w14:paraId="7B437AEE" w14:textId="1561AB06" w:rsidR="00EA56BB" w:rsidRPr="00F20C56" w:rsidRDefault="007C2DF0" w:rsidP="00F20C56">
            <w:pPr>
              <w:pStyle w:val="ARTartustawynprozporzdzenia"/>
              <w:spacing w:before="0" w:line="240" w:lineRule="auto"/>
              <w:ind w:firstLine="0"/>
              <w:rPr>
                <w:rFonts w:ascii="Times New Roman" w:hAnsi="Times New Roman" w:cs="Times New Roman"/>
                <w:szCs w:val="24"/>
              </w:rPr>
            </w:pPr>
            <w:r w:rsidRPr="00F20C56">
              <w:rPr>
                <w:rFonts w:ascii="Times New Roman" w:hAnsi="Times New Roman" w:cs="Times New Roman"/>
                <w:szCs w:val="24"/>
              </w:rPr>
              <w:t>P</w:t>
            </w:r>
            <w:r w:rsidR="006A561B" w:rsidRPr="00F20C56">
              <w:rPr>
                <w:rFonts w:ascii="Times New Roman" w:hAnsi="Times New Roman" w:cs="Times New Roman"/>
                <w:szCs w:val="24"/>
              </w:rPr>
              <w:t>rojekt rozporządzenia Ministra Finansów</w:t>
            </w:r>
            <w:r w:rsidR="00CC2522" w:rsidRPr="00F20C56">
              <w:rPr>
                <w:rFonts w:ascii="Times New Roman" w:hAnsi="Times New Roman" w:cs="Times New Roman"/>
                <w:szCs w:val="24"/>
              </w:rPr>
              <w:t>, Funduszy i Polityki Regionalnej</w:t>
            </w:r>
            <w:r w:rsidR="006A561B" w:rsidRPr="00F20C56">
              <w:rPr>
                <w:rFonts w:ascii="Times New Roman" w:hAnsi="Times New Roman" w:cs="Times New Roman"/>
                <w:szCs w:val="24"/>
              </w:rPr>
              <w:t xml:space="preserve"> </w:t>
            </w:r>
            <w:r w:rsidR="00CC2522" w:rsidRPr="00F20C56">
              <w:rPr>
                <w:rFonts w:ascii="Times New Roman" w:hAnsi="Times New Roman" w:cs="Times New Roman"/>
                <w:bCs/>
                <w:szCs w:val="24"/>
              </w:rPr>
              <w:t>w sprawie udzielania przez Bank Gospodarstwa Krajowego pomocy publicznej w formie gwarancji transakcji leasingowych w związku ze skutkami COVID-19</w:t>
            </w:r>
          </w:p>
          <w:p w14:paraId="6AFB5A60" w14:textId="77777777" w:rsidR="00F20C56" w:rsidRDefault="00F20C56" w:rsidP="00F20C56">
            <w:pPr>
              <w:spacing w:line="240" w:lineRule="auto"/>
              <w:rPr>
                <w:rFonts w:ascii="Times New Roman" w:hAnsi="Times New Roman"/>
                <w:b/>
                <w:color w:val="000000"/>
                <w:sz w:val="24"/>
                <w:szCs w:val="24"/>
              </w:rPr>
            </w:pPr>
          </w:p>
          <w:p w14:paraId="31CDBDD9" w14:textId="77777777" w:rsidR="006A561B" w:rsidRPr="00F20C56" w:rsidRDefault="006A561B" w:rsidP="00F20C56">
            <w:pPr>
              <w:spacing w:line="240" w:lineRule="auto"/>
              <w:rPr>
                <w:rFonts w:ascii="Times New Roman" w:hAnsi="Times New Roman"/>
                <w:b/>
                <w:color w:val="000000"/>
                <w:sz w:val="24"/>
                <w:szCs w:val="24"/>
              </w:rPr>
            </w:pPr>
            <w:r w:rsidRPr="00F20C56">
              <w:rPr>
                <w:rFonts w:ascii="Times New Roman" w:hAnsi="Times New Roman"/>
                <w:b/>
                <w:color w:val="000000"/>
                <w:sz w:val="24"/>
                <w:szCs w:val="24"/>
              </w:rPr>
              <w:t>Ministerstwo wiodące i ministerstwa współpracujące</w:t>
            </w:r>
          </w:p>
          <w:bookmarkEnd w:id="0"/>
          <w:p w14:paraId="3CF8EECC" w14:textId="4099D42B" w:rsidR="006A561B" w:rsidRPr="00F20C56" w:rsidRDefault="006A561B" w:rsidP="00F20C56">
            <w:pPr>
              <w:spacing w:line="240" w:lineRule="auto"/>
              <w:rPr>
                <w:rFonts w:ascii="Times New Roman" w:hAnsi="Times New Roman"/>
                <w:sz w:val="24"/>
                <w:szCs w:val="24"/>
              </w:rPr>
            </w:pPr>
            <w:r w:rsidRPr="00F20C56">
              <w:rPr>
                <w:rFonts w:ascii="Times New Roman" w:hAnsi="Times New Roman"/>
                <w:sz w:val="24"/>
                <w:szCs w:val="24"/>
              </w:rPr>
              <w:t>Ministerstwo Finansów</w:t>
            </w:r>
            <w:r w:rsidR="00EA56BB" w:rsidRPr="00F20C56">
              <w:rPr>
                <w:rFonts w:ascii="Times New Roman" w:hAnsi="Times New Roman"/>
                <w:sz w:val="24"/>
                <w:szCs w:val="24"/>
              </w:rPr>
              <w:t xml:space="preserve"> </w:t>
            </w:r>
          </w:p>
          <w:p w14:paraId="666DF9EF" w14:textId="77777777" w:rsidR="00EA56BB" w:rsidRPr="00F20C56" w:rsidRDefault="00EA56BB" w:rsidP="00F20C56">
            <w:pPr>
              <w:spacing w:line="240" w:lineRule="auto"/>
              <w:rPr>
                <w:rFonts w:ascii="Times New Roman" w:hAnsi="Times New Roman"/>
                <w:sz w:val="24"/>
                <w:szCs w:val="24"/>
              </w:rPr>
            </w:pPr>
          </w:p>
          <w:p w14:paraId="22083B39" w14:textId="77777777" w:rsidR="006A561B" w:rsidRPr="00F20C56" w:rsidRDefault="006A561B" w:rsidP="00F20C56">
            <w:pPr>
              <w:spacing w:line="240" w:lineRule="auto"/>
              <w:rPr>
                <w:rFonts w:ascii="Times New Roman" w:hAnsi="Times New Roman"/>
                <w:b/>
                <w:sz w:val="24"/>
                <w:szCs w:val="24"/>
              </w:rPr>
            </w:pPr>
            <w:r w:rsidRPr="00F20C56">
              <w:rPr>
                <w:rFonts w:ascii="Times New Roman" w:hAnsi="Times New Roman"/>
                <w:b/>
                <w:sz w:val="24"/>
                <w:szCs w:val="24"/>
              </w:rPr>
              <w:t xml:space="preserve">Osoba odpowiedzialna za projekt w randze Ministra, Sekretarza Stanu lub Podsekretarza Stanu </w:t>
            </w:r>
          </w:p>
          <w:p w14:paraId="30D4BEA4" w14:textId="563739E3" w:rsidR="006A561B" w:rsidRPr="00F20C56" w:rsidRDefault="00CC2522" w:rsidP="00F20C56">
            <w:pPr>
              <w:spacing w:line="240" w:lineRule="auto"/>
              <w:rPr>
                <w:rFonts w:ascii="Times New Roman" w:hAnsi="Times New Roman"/>
                <w:sz w:val="24"/>
                <w:szCs w:val="24"/>
              </w:rPr>
            </w:pPr>
            <w:r w:rsidRPr="00F20C56">
              <w:rPr>
                <w:rFonts w:ascii="Times New Roman" w:hAnsi="Times New Roman"/>
                <w:sz w:val="24"/>
                <w:szCs w:val="24"/>
              </w:rPr>
              <w:t>Sebastian Skuza</w:t>
            </w:r>
            <w:r w:rsidR="007C2DF0" w:rsidRPr="00F20C56">
              <w:rPr>
                <w:rFonts w:ascii="Times New Roman" w:hAnsi="Times New Roman"/>
                <w:sz w:val="24"/>
                <w:szCs w:val="24"/>
              </w:rPr>
              <w:t xml:space="preserve">, </w:t>
            </w:r>
            <w:r w:rsidRPr="00F20C56">
              <w:rPr>
                <w:rFonts w:ascii="Times New Roman" w:hAnsi="Times New Roman"/>
                <w:sz w:val="24"/>
                <w:szCs w:val="24"/>
              </w:rPr>
              <w:t>S</w:t>
            </w:r>
            <w:r w:rsidR="0096107B" w:rsidRPr="00F20C56">
              <w:rPr>
                <w:rFonts w:ascii="Times New Roman" w:hAnsi="Times New Roman"/>
                <w:sz w:val="24"/>
                <w:szCs w:val="24"/>
              </w:rPr>
              <w:t>ekretarz Stanu</w:t>
            </w:r>
            <w:r w:rsidR="007C2DF0" w:rsidRPr="00F20C56">
              <w:rPr>
                <w:rFonts w:ascii="Times New Roman" w:hAnsi="Times New Roman"/>
                <w:sz w:val="24"/>
                <w:szCs w:val="24"/>
              </w:rPr>
              <w:t xml:space="preserve"> w Ministerstwie Finansów</w:t>
            </w:r>
          </w:p>
          <w:p w14:paraId="25C7FC66" w14:textId="77777777" w:rsidR="00EA56BB" w:rsidRPr="00F20C56" w:rsidRDefault="00EA56BB" w:rsidP="00F20C56">
            <w:pPr>
              <w:spacing w:line="240" w:lineRule="auto"/>
              <w:rPr>
                <w:rFonts w:ascii="Times New Roman" w:hAnsi="Times New Roman"/>
                <w:b/>
                <w:color w:val="000000"/>
                <w:sz w:val="24"/>
                <w:szCs w:val="24"/>
              </w:rPr>
            </w:pPr>
          </w:p>
          <w:p w14:paraId="6CA2779C" w14:textId="77777777" w:rsidR="006A561B" w:rsidRPr="00F20C56" w:rsidRDefault="006A561B" w:rsidP="00F20C56">
            <w:pPr>
              <w:spacing w:line="240" w:lineRule="auto"/>
              <w:rPr>
                <w:rFonts w:ascii="Times New Roman" w:hAnsi="Times New Roman"/>
                <w:b/>
                <w:color w:val="000000"/>
                <w:sz w:val="24"/>
                <w:szCs w:val="24"/>
              </w:rPr>
            </w:pPr>
            <w:r w:rsidRPr="00F20C56">
              <w:rPr>
                <w:rFonts w:ascii="Times New Roman" w:hAnsi="Times New Roman"/>
                <w:b/>
                <w:color w:val="000000"/>
                <w:sz w:val="24"/>
                <w:szCs w:val="24"/>
              </w:rPr>
              <w:t>Kontakt do opiekuna merytorycznego projektu</w:t>
            </w:r>
          </w:p>
          <w:p w14:paraId="51C15295" w14:textId="26D8774B" w:rsidR="004749CE" w:rsidRPr="00F20C56" w:rsidRDefault="004749CE" w:rsidP="00F20C56">
            <w:pPr>
              <w:spacing w:line="240" w:lineRule="auto"/>
              <w:rPr>
                <w:rFonts w:ascii="Times New Roman" w:hAnsi="Times New Roman"/>
                <w:sz w:val="24"/>
                <w:szCs w:val="24"/>
              </w:rPr>
            </w:pPr>
            <w:r w:rsidRPr="00F20C56">
              <w:rPr>
                <w:rFonts w:ascii="Times New Roman" w:hAnsi="Times New Roman"/>
                <w:sz w:val="24"/>
                <w:szCs w:val="24"/>
              </w:rPr>
              <w:t>Małgorzata Gać, Radca Ministra,</w:t>
            </w:r>
          </w:p>
          <w:p w14:paraId="34D890D3" w14:textId="77777777" w:rsidR="004749CE" w:rsidRPr="00F20C56" w:rsidRDefault="004749CE" w:rsidP="00F20C56">
            <w:pPr>
              <w:spacing w:line="240" w:lineRule="auto"/>
              <w:rPr>
                <w:rFonts w:ascii="Times New Roman" w:hAnsi="Times New Roman"/>
                <w:sz w:val="24"/>
                <w:szCs w:val="24"/>
              </w:rPr>
            </w:pPr>
            <w:r w:rsidRPr="00F20C56">
              <w:rPr>
                <w:rFonts w:ascii="Times New Roman" w:hAnsi="Times New Roman"/>
                <w:sz w:val="24"/>
                <w:szCs w:val="24"/>
              </w:rPr>
              <w:t>Wydział Udzielania Gwarancji i Poręczeń oraz Windykacji</w:t>
            </w:r>
          </w:p>
          <w:p w14:paraId="7338D1A1" w14:textId="77777777" w:rsidR="004749CE" w:rsidRPr="00F20C56" w:rsidRDefault="004749CE" w:rsidP="00F20C56">
            <w:pPr>
              <w:spacing w:line="240" w:lineRule="auto"/>
              <w:rPr>
                <w:rFonts w:ascii="Times New Roman" w:hAnsi="Times New Roman"/>
                <w:sz w:val="24"/>
                <w:szCs w:val="24"/>
              </w:rPr>
            </w:pPr>
            <w:r w:rsidRPr="00F20C56">
              <w:rPr>
                <w:rFonts w:ascii="Times New Roman" w:hAnsi="Times New Roman"/>
                <w:sz w:val="24"/>
                <w:szCs w:val="24"/>
              </w:rPr>
              <w:t>Departament Gwarancji i Poręczeń w Ministerstwie Finansów</w:t>
            </w:r>
          </w:p>
          <w:p w14:paraId="06A21D6A" w14:textId="4FA7A59B" w:rsidR="006A561B" w:rsidRDefault="004749CE" w:rsidP="00F20C56">
            <w:pPr>
              <w:spacing w:line="240" w:lineRule="auto"/>
              <w:rPr>
                <w:rFonts w:ascii="Times New Roman" w:hAnsi="Times New Roman"/>
                <w:sz w:val="24"/>
                <w:szCs w:val="24"/>
                <w:lang w:val="en-US"/>
              </w:rPr>
            </w:pPr>
            <w:r w:rsidRPr="00F20C56">
              <w:rPr>
                <w:rFonts w:ascii="Times New Roman" w:hAnsi="Times New Roman"/>
                <w:sz w:val="24"/>
                <w:szCs w:val="24"/>
                <w:lang w:val="en-US"/>
              </w:rPr>
              <w:t xml:space="preserve">tel. 22 694 35 76; e-mail: </w:t>
            </w:r>
            <w:hyperlink r:id="rId8" w:history="1">
              <w:r w:rsidR="00F20C56" w:rsidRPr="005A1915">
                <w:rPr>
                  <w:rStyle w:val="Hipercze"/>
                  <w:rFonts w:ascii="Times New Roman" w:hAnsi="Times New Roman"/>
                  <w:sz w:val="24"/>
                  <w:szCs w:val="24"/>
                  <w:lang w:val="en-US"/>
                </w:rPr>
                <w:t>malgorzata.gac@mf.gov.pl</w:t>
              </w:r>
            </w:hyperlink>
          </w:p>
          <w:p w14:paraId="3D6D5FC9" w14:textId="4C985107" w:rsidR="00F20C56" w:rsidRPr="00F20C56" w:rsidRDefault="00F20C56" w:rsidP="00F20C56">
            <w:pPr>
              <w:spacing w:line="240" w:lineRule="auto"/>
              <w:rPr>
                <w:rFonts w:ascii="Times New Roman" w:hAnsi="Times New Roman"/>
                <w:color w:val="000000"/>
                <w:sz w:val="24"/>
                <w:szCs w:val="24"/>
                <w:lang w:val="en-US"/>
              </w:rPr>
            </w:pPr>
          </w:p>
        </w:tc>
        <w:tc>
          <w:tcPr>
            <w:tcW w:w="3576" w:type="dxa"/>
            <w:gridSpan w:val="12"/>
            <w:shd w:val="clear" w:color="auto" w:fill="FFFFFF"/>
          </w:tcPr>
          <w:p w14:paraId="28008680" w14:textId="08D6743D" w:rsidR="006A561B" w:rsidRPr="00F20C56" w:rsidRDefault="006A561B" w:rsidP="00F20C56">
            <w:pPr>
              <w:spacing w:line="240" w:lineRule="auto"/>
              <w:rPr>
                <w:rFonts w:ascii="Times New Roman" w:hAnsi="Times New Roman"/>
                <w:sz w:val="24"/>
                <w:szCs w:val="24"/>
              </w:rPr>
            </w:pPr>
            <w:r w:rsidRPr="00F20C56">
              <w:rPr>
                <w:rFonts w:ascii="Times New Roman" w:hAnsi="Times New Roman"/>
                <w:b/>
                <w:sz w:val="24"/>
                <w:szCs w:val="24"/>
              </w:rPr>
              <w:t>Data sporządzenia</w:t>
            </w:r>
            <w:r w:rsidRPr="00F20C56">
              <w:rPr>
                <w:rFonts w:ascii="Times New Roman" w:hAnsi="Times New Roman"/>
                <w:b/>
                <w:sz w:val="24"/>
                <w:szCs w:val="24"/>
              </w:rPr>
              <w:br/>
            </w:r>
            <w:sdt>
              <w:sdtPr>
                <w:rPr>
                  <w:rFonts w:ascii="Times New Roman" w:hAnsi="Times New Roman"/>
                  <w:sz w:val="24"/>
                  <w:szCs w:val="24"/>
                </w:rPr>
                <w:id w:val="-345788683"/>
                <w:placeholder>
                  <w:docPart w:val="9CAC55DCC9994DB09B831DA7F224BD74"/>
                </w:placeholder>
                <w:date w:fullDate="2021-04-12T00:00:00Z">
                  <w:dateFormat w:val="dd.MM.yyyy"/>
                  <w:lid w:val="pl-PL"/>
                  <w:storeMappedDataAs w:val="dateTime"/>
                  <w:calendar w:val="gregorian"/>
                </w:date>
              </w:sdtPr>
              <w:sdtEndPr/>
              <w:sdtContent>
                <w:r w:rsidR="00AD5E95">
                  <w:rPr>
                    <w:rFonts w:ascii="Times New Roman" w:hAnsi="Times New Roman"/>
                    <w:sz w:val="24"/>
                    <w:szCs w:val="24"/>
                  </w:rPr>
                  <w:t>12.04.2021</w:t>
                </w:r>
              </w:sdtContent>
            </w:sdt>
          </w:p>
          <w:p w14:paraId="3734A63B" w14:textId="77777777" w:rsidR="006A561B" w:rsidRPr="00F20C56" w:rsidRDefault="006A561B" w:rsidP="00F20C56">
            <w:pPr>
              <w:spacing w:line="240" w:lineRule="auto"/>
              <w:rPr>
                <w:rFonts w:ascii="Times New Roman" w:hAnsi="Times New Roman"/>
                <w:b/>
                <w:sz w:val="24"/>
                <w:szCs w:val="24"/>
              </w:rPr>
            </w:pPr>
          </w:p>
          <w:p w14:paraId="79D9F514" w14:textId="77777777" w:rsidR="006A561B" w:rsidRPr="00F20C56" w:rsidRDefault="006A561B" w:rsidP="00F20C56">
            <w:pPr>
              <w:spacing w:line="240" w:lineRule="auto"/>
              <w:rPr>
                <w:rFonts w:ascii="Times New Roman" w:hAnsi="Times New Roman"/>
                <w:b/>
                <w:sz w:val="24"/>
                <w:szCs w:val="24"/>
              </w:rPr>
            </w:pPr>
            <w:r w:rsidRPr="00F20C56">
              <w:rPr>
                <w:rFonts w:ascii="Times New Roman" w:hAnsi="Times New Roman"/>
                <w:b/>
                <w:sz w:val="24"/>
                <w:szCs w:val="24"/>
              </w:rPr>
              <w:t xml:space="preserve">Źródło: </w:t>
            </w:r>
            <w:bookmarkStart w:id="2" w:name="Lista1"/>
          </w:p>
          <w:bookmarkEnd w:id="2"/>
          <w:p w14:paraId="18BABBB2" w14:textId="6458DA74" w:rsidR="004749CE" w:rsidRPr="00F20C56" w:rsidRDefault="004749CE" w:rsidP="00F20C56">
            <w:pPr>
              <w:spacing w:line="240" w:lineRule="auto"/>
              <w:rPr>
                <w:rFonts w:ascii="Times New Roman" w:hAnsi="Times New Roman"/>
                <w:i/>
                <w:sz w:val="24"/>
                <w:szCs w:val="24"/>
              </w:rPr>
            </w:pPr>
            <w:r w:rsidRPr="00F20C56">
              <w:rPr>
                <w:rFonts w:ascii="Times New Roman" w:hAnsi="Times New Roman"/>
                <w:sz w:val="24"/>
                <w:szCs w:val="24"/>
              </w:rPr>
              <w:t xml:space="preserve">Ustawa z dnia 8 maja 1997 r. </w:t>
            </w:r>
            <w:r w:rsidRPr="00F20C56">
              <w:rPr>
                <w:rFonts w:ascii="Times New Roman" w:hAnsi="Times New Roman"/>
                <w:i/>
                <w:sz w:val="24"/>
                <w:szCs w:val="24"/>
              </w:rPr>
              <w:t xml:space="preserve">o poręczeniach i gwarancjach udzielanych przez Skarb Państwa oraz niektóre osoby prawne </w:t>
            </w:r>
          </w:p>
          <w:p w14:paraId="314667DB" w14:textId="64F12DE8" w:rsidR="006A561B" w:rsidRPr="00F20C56" w:rsidRDefault="004749CE" w:rsidP="00F20C56">
            <w:pPr>
              <w:spacing w:line="240" w:lineRule="auto"/>
              <w:rPr>
                <w:rFonts w:ascii="Times New Roman" w:hAnsi="Times New Roman"/>
                <w:sz w:val="24"/>
                <w:szCs w:val="24"/>
              </w:rPr>
            </w:pPr>
            <w:r w:rsidRPr="00F20C56">
              <w:rPr>
                <w:rFonts w:ascii="Times New Roman" w:hAnsi="Times New Roman"/>
                <w:sz w:val="24"/>
                <w:szCs w:val="24"/>
              </w:rPr>
              <w:t>(Dz. U. z 20</w:t>
            </w:r>
            <w:r w:rsidR="00CC2522" w:rsidRPr="00F20C56">
              <w:rPr>
                <w:rFonts w:ascii="Times New Roman" w:hAnsi="Times New Roman"/>
                <w:sz w:val="24"/>
                <w:szCs w:val="24"/>
              </w:rPr>
              <w:t>21</w:t>
            </w:r>
            <w:r w:rsidRPr="00F20C56">
              <w:rPr>
                <w:rFonts w:ascii="Times New Roman" w:hAnsi="Times New Roman"/>
                <w:sz w:val="24"/>
                <w:szCs w:val="24"/>
              </w:rPr>
              <w:t xml:space="preserve"> r. poz. </w:t>
            </w:r>
            <w:r w:rsidR="00CC2522" w:rsidRPr="00F20C56">
              <w:rPr>
                <w:rFonts w:ascii="Times New Roman" w:hAnsi="Times New Roman"/>
                <w:sz w:val="24"/>
                <w:szCs w:val="24"/>
              </w:rPr>
              <w:t>442)</w:t>
            </w:r>
          </w:p>
          <w:p w14:paraId="750B0C21" w14:textId="77777777" w:rsidR="006A561B" w:rsidRPr="00F20C56" w:rsidRDefault="006A561B" w:rsidP="00F20C56">
            <w:pPr>
              <w:spacing w:line="240" w:lineRule="auto"/>
              <w:rPr>
                <w:rFonts w:ascii="Times New Roman" w:hAnsi="Times New Roman"/>
                <w:sz w:val="24"/>
                <w:szCs w:val="24"/>
              </w:rPr>
            </w:pPr>
          </w:p>
          <w:p w14:paraId="289E4459" w14:textId="1208462E" w:rsidR="006A561B" w:rsidRPr="00F20C56" w:rsidRDefault="006A561B" w:rsidP="00F20C56">
            <w:pPr>
              <w:spacing w:line="240" w:lineRule="auto"/>
              <w:rPr>
                <w:rFonts w:ascii="Times New Roman" w:hAnsi="Times New Roman"/>
                <w:b/>
                <w:color w:val="000000"/>
                <w:sz w:val="24"/>
                <w:szCs w:val="24"/>
              </w:rPr>
            </w:pPr>
            <w:r w:rsidRPr="00F20C56">
              <w:rPr>
                <w:rFonts w:ascii="Times New Roman" w:hAnsi="Times New Roman"/>
                <w:b/>
                <w:color w:val="000000"/>
                <w:sz w:val="24"/>
                <w:szCs w:val="24"/>
              </w:rPr>
              <w:t>Nr w wykazie prac</w:t>
            </w:r>
            <w:r w:rsidR="004749CE" w:rsidRPr="00F20C56">
              <w:rPr>
                <w:rFonts w:ascii="Times New Roman" w:hAnsi="Times New Roman"/>
                <w:b/>
                <w:color w:val="000000"/>
                <w:sz w:val="24"/>
                <w:szCs w:val="24"/>
              </w:rPr>
              <w:t>:</w:t>
            </w:r>
            <w:r w:rsidRPr="00F20C56">
              <w:rPr>
                <w:rFonts w:ascii="Times New Roman" w:hAnsi="Times New Roman"/>
                <w:b/>
                <w:color w:val="000000"/>
                <w:sz w:val="24"/>
                <w:szCs w:val="24"/>
              </w:rPr>
              <w:t xml:space="preserve"> </w:t>
            </w:r>
          </w:p>
          <w:p w14:paraId="43DD4A72" w14:textId="5EAD6A3F" w:rsidR="004749CE" w:rsidRPr="00F20C56" w:rsidRDefault="00FE1E42" w:rsidP="00F20C56">
            <w:pPr>
              <w:spacing w:line="240" w:lineRule="auto"/>
              <w:rPr>
                <w:rFonts w:ascii="Times New Roman" w:hAnsi="Times New Roman"/>
                <w:color w:val="000000"/>
                <w:sz w:val="24"/>
                <w:szCs w:val="24"/>
              </w:rPr>
            </w:pPr>
            <w:r>
              <w:rPr>
                <w:rFonts w:ascii="Times New Roman" w:hAnsi="Times New Roman"/>
                <w:color w:val="000000"/>
                <w:sz w:val="24"/>
                <w:szCs w:val="24"/>
              </w:rPr>
              <w:t>364</w:t>
            </w:r>
          </w:p>
        </w:tc>
      </w:tr>
      <w:tr w:rsidR="006A561B" w:rsidRPr="00F20C56" w14:paraId="1657CA50" w14:textId="77777777" w:rsidTr="00F05286">
        <w:trPr>
          <w:trHeight w:val="142"/>
        </w:trPr>
        <w:tc>
          <w:tcPr>
            <w:tcW w:w="10065" w:type="dxa"/>
            <w:gridSpan w:val="27"/>
            <w:shd w:val="clear" w:color="auto" w:fill="99CCFF"/>
          </w:tcPr>
          <w:p w14:paraId="43224FAF" w14:textId="77777777" w:rsidR="006A561B" w:rsidRPr="00F20C56" w:rsidRDefault="006A561B" w:rsidP="00F20C56">
            <w:pPr>
              <w:spacing w:after="70" w:line="240" w:lineRule="auto"/>
              <w:ind w:left="57"/>
              <w:jc w:val="center"/>
              <w:rPr>
                <w:rFonts w:ascii="Times New Roman" w:hAnsi="Times New Roman"/>
                <w:b/>
                <w:color w:val="FFFFFF"/>
                <w:sz w:val="24"/>
                <w:szCs w:val="24"/>
              </w:rPr>
            </w:pPr>
            <w:r w:rsidRPr="00F20C56">
              <w:rPr>
                <w:rFonts w:ascii="Times New Roman" w:hAnsi="Times New Roman"/>
                <w:b/>
                <w:color w:val="FFFFFF"/>
                <w:sz w:val="24"/>
                <w:szCs w:val="24"/>
              </w:rPr>
              <w:t>OCENA SKUTKÓW REGULACJI</w:t>
            </w:r>
          </w:p>
        </w:tc>
      </w:tr>
      <w:tr w:rsidR="006A561B" w:rsidRPr="00F20C56" w14:paraId="2F9F1A6B" w14:textId="77777777" w:rsidTr="00F05286">
        <w:trPr>
          <w:trHeight w:val="333"/>
        </w:trPr>
        <w:tc>
          <w:tcPr>
            <w:tcW w:w="10065" w:type="dxa"/>
            <w:gridSpan w:val="27"/>
            <w:shd w:val="clear" w:color="auto" w:fill="99CCFF"/>
            <w:vAlign w:val="center"/>
          </w:tcPr>
          <w:p w14:paraId="40F91B74" w14:textId="77777777" w:rsidR="006A561B" w:rsidRPr="00F20C56" w:rsidRDefault="006A561B" w:rsidP="00F20C56">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sz w:val="24"/>
                <w:szCs w:val="24"/>
              </w:rPr>
              <w:t>Jaki problem jest rozwiązywany?</w:t>
            </w:r>
            <w:bookmarkStart w:id="3" w:name="Wybór1"/>
            <w:bookmarkEnd w:id="3"/>
          </w:p>
        </w:tc>
      </w:tr>
      <w:tr w:rsidR="006A561B" w:rsidRPr="00F20C56" w14:paraId="38E490C8" w14:textId="77777777" w:rsidTr="00F05286">
        <w:trPr>
          <w:trHeight w:val="142"/>
        </w:trPr>
        <w:tc>
          <w:tcPr>
            <w:tcW w:w="10065" w:type="dxa"/>
            <w:gridSpan w:val="27"/>
            <w:shd w:val="clear" w:color="auto" w:fill="FFFFFF"/>
          </w:tcPr>
          <w:p w14:paraId="1B013FA9" w14:textId="0B7ABA84" w:rsidR="00A71E30" w:rsidRPr="00F20C56" w:rsidRDefault="002A15C7" w:rsidP="00F20C56">
            <w:pPr>
              <w:pStyle w:val="ARTartustawynprozporzdzenia"/>
              <w:spacing w:before="0" w:after="70" w:line="240" w:lineRule="auto"/>
              <w:ind w:firstLine="0"/>
              <w:rPr>
                <w:rFonts w:ascii="Times New Roman" w:hAnsi="Times New Roman" w:cs="Times New Roman"/>
                <w:szCs w:val="24"/>
              </w:rPr>
            </w:pPr>
            <w:r w:rsidRPr="00F20C56">
              <w:rPr>
                <w:rFonts w:ascii="Times New Roman" w:hAnsi="Times New Roman" w:cs="Times New Roman"/>
                <w:szCs w:val="24"/>
              </w:rPr>
              <w:t xml:space="preserve">Rozporządzenie zostało zaprojektowane w celu wsparcia kolejnej grupy mikroprzedsiebiorców, małych i średnich przedsiębiorców (MŚP), stanowiących grupę szczególnie dotkniętych skutkami pandemii COVID -19, będących leasingobiorcami. </w:t>
            </w:r>
          </w:p>
          <w:p w14:paraId="3C2B5160" w14:textId="1EEFEAA8" w:rsidR="00A71E30" w:rsidRPr="00F20C56" w:rsidRDefault="002A15C7" w:rsidP="00F20C56">
            <w:pPr>
              <w:pStyle w:val="ARTartustawynprozporzdzenia"/>
              <w:spacing w:before="0" w:after="70" w:line="240" w:lineRule="auto"/>
              <w:ind w:firstLine="0"/>
              <w:rPr>
                <w:rFonts w:ascii="Times New Roman" w:hAnsi="Times New Roman" w:cs="Times New Roman"/>
                <w:szCs w:val="24"/>
              </w:rPr>
            </w:pPr>
            <w:r w:rsidRPr="00F20C56">
              <w:rPr>
                <w:rFonts w:ascii="Times New Roman" w:hAnsi="Times New Roman" w:cs="Times New Roman"/>
                <w:szCs w:val="24"/>
              </w:rPr>
              <w:t>N</w:t>
            </w:r>
            <w:r w:rsidR="00A71E30" w:rsidRPr="00F20C56">
              <w:rPr>
                <w:rFonts w:ascii="Times New Roman" w:hAnsi="Times New Roman" w:cs="Times New Roman"/>
                <w:szCs w:val="24"/>
              </w:rPr>
              <w:t xml:space="preserve">ależy zaznaczyć, iż leasing stanowi bardzo istotną część finansowania potrzeb </w:t>
            </w:r>
            <w:r w:rsidRPr="00F20C56">
              <w:rPr>
                <w:rFonts w:ascii="Times New Roman" w:hAnsi="Times New Roman" w:cs="Times New Roman"/>
                <w:szCs w:val="24"/>
              </w:rPr>
              <w:t>MŚP</w:t>
            </w:r>
            <w:r w:rsidR="00A71E30" w:rsidRPr="00F20C56">
              <w:rPr>
                <w:rFonts w:ascii="Times New Roman" w:hAnsi="Times New Roman" w:cs="Times New Roman"/>
                <w:szCs w:val="24"/>
              </w:rPr>
              <w:t>. Całkowita kwota środków trwałych finansowanych przez firmy leasingowe w Polsce wyniosła w 2019 r. 78 mld PLN. Więcej niż 70% leasingobiorców to mikro i małe przedsiębiorstwa</w:t>
            </w:r>
            <w:r w:rsidRPr="00F20C56">
              <w:rPr>
                <w:rFonts w:ascii="Times New Roman" w:hAnsi="Times New Roman" w:cs="Times New Roman"/>
                <w:szCs w:val="24"/>
              </w:rPr>
              <w:t xml:space="preserve">, </w:t>
            </w:r>
            <w:r w:rsidR="00A71E30" w:rsidRPr="00F20C56">
              <w:rPr>
                <w:rFonts w:ascii="Times New Roman" w:hAnsi="Times New Roman" w:cs="Times New Roman"/>
                <w:szCs w:val="24"/>
              </w:rPr>
              <w:t>dlatego też skierowana do nich pomoc publiczna obejmująca transakcje leasingowe będzie stanowiła istotne wsparcie ich działalności</w:t>
            </w:r>
            <w:r w:rsidRPr="00F20C56">
              <w:rPr>
                <w:rFonts w:ascii="Times New Roman" w:hAnsi="Times New Roman" w:cs="Times New Roman"/>
                <w:szCs w:val="24"/>
              </w:rPr>
              <w:t>.</w:t>
            </w:r>
          </w:p>
          <w:p w14:paraId="7F156086" w14:textId="7F8AB351" w:rsidR="002A15C7" w:rsidRPr="00F20C56" w:rsidRDefault="002A15C7" w:rsidP="00F20C56">
            <w:pPr>
              <w:pStyle w:val="ARTartustawynprozporzdzenia"/>
              <w:spacing w:before="0" w:after="70" w:line="240" w:lineRule="auto"/>
              <w:ind w:firstLine="0"/>
              <w:rPr>
                <w:rFonts w:ascii="Times New Roman" w:hAnsi="Times New Roman" w:cs="Times New Roman"/>
                <w:szCs w:val="24"/>
              </w:rPr>
            </w:pPr>
            <w:r w:rsidRPr="00F20C56">
              <w:rPr>
                <w:rFonts w:ascii="Times New Roman" w:hAnsi="Times New Roman" w:cs="Times New Roman"/>
                <w:szCs w:val="24"/>
              </w:rPr>
              <w:t>Wsparcie w formie gwarancji BGK obejmujących transakcje leas</w:t>
            </w:r>
            <w:r w:rsidR="00AD5E95">
              <w:rPr>
                <w:rFonts w:ascii="Times New Roman" w:hAnsi="Times New Roman" w:cs="Times New Roman"/>
                <w:szCs w:val="24"/>
              </w:rPr>
              <w:t>ingowe jest możliwe w związku z</w:t>
            </w:r>
            <w:r w:rsidRPr="00F20C56">
              <w:rPr>
                <w:rFonts w:ascii="Times New Roman" w:hAnsi="Times New Roman" w:cs="Times New Roman"/>
                <w:szCs w:val="24"/>
              </w:rPr>
              <w:t>:</w:t>
            </w:r>
          </w:p>
          <w:p w14:paraId="7224FDCC" w14:textId="40ED351A" w:rsidR="002A15C7" w:rsidRPr="00F20C56" w:rsidRDefault="002A15C7" w:rsidP="00F20C56">
            <w:pPr>
              <w:pStyle w:val="ARTartustawynprozporzdzenia"/>
              <w:numPr>
                <w:ilvl w:val="0"/>
                <w:numId w:val="4"/>
              </w:numPr>
              <w:spacing w:before="0" w:after="70" w:line="240" w:lineRule="auto"/>
              <w:ind w:left="205" w:hanging="205"/>
              <w:rPr>
                <w:rFonts w:ascii="Times New Roman" w:hAnsi="Times New Roman" w:cs="Times New Roman"/>
                <w:szCs w:val="24"/>
              </w:rPr>
            </w:pPr>
            <w:r w:rsidRPr="00F20C56">
              <w:rPr>
                <w:rFonts w:ascii="Times New Roman" w:hAnsi="Times New Roman" w:cs="Times New Roman"/>
                <w:szCs w:val="24"/>
              </w:rPr>
              <w:t>przyjęciem w dniu 20 marca 2020 r. komunikat</w:t>
            </w:r>
            <w:r w:rsidR="004920F9">
              <w:rPr>
                <w:rFonts w:ascii="Times New Roman" w:hAnsi="Times New Roman" w:cs="Times New Roman"/>
                <w:szCs w:val="24"/>
              </w:rPr>
              <w:t>u</w:t>
            </w:r>
            <w:r w:rsidRPr="00F20C56">
              <w:rPr>
                <w:rFonts w:ascii="Times New Roman" w:hAnsi="Times New Roman" w:cs="Times New Roman"/>
                <w:szCs w:val="24"/>
              </w:rPr>
              <w:t xml:space="preserve"> Komisji Europejskiej „Tymczasowe ramy środków pomocy państwa w celu wsparcia gospodarki w kontekście trwającej epidemii COVID-19” (Komunikat Komisji), którego celem jest złagodzenie negatywnych skutków epidemii COVID-19 dla gospodarki Unii Europejskiej, poprzez przede wszystkim pomoc udzielaną przedsiębiorcom przez Państwa Członkowskie. Komunikat Komisji określa szczegółowe warunki udzielania takiej pomocy w różnych formach, w tym w formie gwarancji. W dniu 1 lutego 2021 r. przyjęto piątą zmianę Komunikatu Komisji, zgodnie z którą przedłużono okres obowiązywania środków określonych w Komunikacie Komisji do dnia 31 grudnia 2021 r.,</w:t>
            </w:r>
          </w:p>
          <w:p w14:paraId="7D261445" w14:textId="02CC5286" w:rsidR="00F20C56" w:rsidRPr="00F20C56" w:rsidRDefault="00D439CC" w:rsidP="00D619F5">
            <w:pPr>
              <w:pStyle w:val="ARTartustawynprozporzdzenia"/>
              <w:numPr>
                <w:ilvl w:val="0"/>
                <w:numId w:val="4"/>
              </w:numPr>
              <w:spacing w:before="0" w:after="70" w:line="240" w:lineRule="auto"/>
              <w:ind w:left="205" w:hanging="205"/>
              <w:rPr>
                <w:rFonts w:ascii="Times New Roman" w:hAnsi="Times New Roman" w:cs="Times New Roman"/>
                <w:szCs w:val="24"/>
              </w:rPr>
            </w:pPr>
            <w:r w:rsidRPr="00F20C56">
              <w:rPr>
                <w:rFonts w:ascii="Times New Roman" w:hAnsi="Times New Roman" w:cs="Times New Roman"/>
                <w:szCs w:val="24"/>
              </w:rPr>
              <w:t>utworzeniem Paneuropejskiego Funduszu Gwarancyjnego (decyzja Komisji Europejskiej w sprawie Paneuropejskiego Funduszu Gwarancyjnego w odpowiedzi na COVID-19 nr C(2020) 9237 z dnia 14 grudnia 2020 r.), zarządzanego przez Europejski Bank Inwestycyjny oraz Europejski Fundusz Inwestycyjny (EFI). Rzeczpospolita Polska podjęła decyzję o przystąpieniu do Paneuropejskiego Funduszu Gwarancyjnego i wniosła do niego wkład finansowy, zaś BGK złożył wniosek o przyznanie w jego ramach regwarancji EFI dotyczącej portfela transakcji leasingowych, która została już zaakceptowana przez Radę EFI i w najbliższym czasie planowane jest podpisanie stosownej umowy.</w:t>
            </w:r>
            <w:r w:rsidR="00D619F5" w:rsidRPr="00F20C56">
              <w:rPr>
                <w:rFonts w:ascii="Times New Roman" w:hAnsi="Times New Roman" w:cs="Times New Roman"/>
                <w:szCs w:val="24"/>
              </w:rPr>
              <w:t xml:space="preserve"> </w:t>
            </w:r>
          </w:p>
        </w:tc>
      </w:tr>
      <w:tr w:rsidR="006A561B" w:rsidRPr="00F20C56" w14:paraId="2AF05E3B" w14:textId="77777777" w:rsidTr="00F05286">
        <w:trPr>
          <w:trHeight w:val="142"/>
        </w:trPr>
        <w:tc>
          <w:tcPr>
            <w:tcW w:w="10065" w:type="dxa"/>
            <w:gridSpan w:val="27"/>
            <w:shd w:val="clear" w:color="auto" w:fill="99CCFF"/>
            <w:vAlign w:val="center"/>
          </w:tcPr>
          <w:p w14:paraId="339309EB" w14:textId="77777777" w:rsidR="006A561B" w:rsidRPr="00F20C56" w:rsidRDefault="006A561B" w:rsidP="00F20C56">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color w:val="000000"/>
                <w:spacing w:val="-2"/>
                <w:sz w:val="24"/>
                <w:szCs w:val="24"/>
              </w:rPr>
              <w:t>Rekomendowane rozwiązanie, w tym planowane narzędzia interwencji, i oczekiwany efekt</w:t>
            </w:r>
          </w:p>
        </w:tc>
      </w:tr>
      <w:tr w:rsidR="006A561B" w:rsidRPr="00F20C56" w14:paraId="2EA043DC" w14:textId="77777777" w:rsidTr="00F05286">
        <w:trPr>
          <w:trHeight w:val="142"/>
        </w:trPr>
        <w:tc>
          <w:tcPr>
            <w:tcW w:w="10065" w:type="dxa"/>
            <w:gridSpan w:val="27"/>
            <w:shd w:val="clear" w:color="auto" w:fill="auto"/>
          </w:tcPr>
          <w:p w14:paraId="750A0319" w14:textId="7E01B1CB" w:rsidR="002A15C7" w:rsidRPr="00F20C56" w:rsidRDefault="00D439CC" w:rsidP="00F20C56">
            <w:pPr>
              <w:spacing w:after="70" w:line="240" w:lineRule="auto"/>
              <w:jc w:val="both"/>
              <w:rPr>
                <w:rFonts w:ascii="Times New Roman" w:hAnsi="Times New Roman"/>
                <w:sz w:val="24"/>
                <w:szCs w:val="24"/>
              </w:rPr>
            </w:pPr>
            <w:r w:rsidRPr="00F20C56">
              <w:rPr>
                <w:rFonts w:ascii="Times New Roman" w:hAnsi="Times New Roman"/>
                <w:sz w:val="24"/>
                <w:szCs w:val="24"/>
              </w:rPr>
              <w:t xml:space="preserve">Rekomendowanym, instrumentem finansowym jest instrument w formie gwarancji udzielanych przez Bank Gospodarstwa Krajowego (BGK) obejmujących transakcje leasingowe. </w:t>
            </w:r>
          </w:p>
          <w:p w14:paraId="1C25CEA5" w14:textId="76E2849A" w:rsidR="002A15C7" w:rsidRPr="00F20C56" w:rsidRDefault="00D439CC" w:rsidP="00F20C56">
            <w:pPr>
              <w:spacing w:after="70" w:line="240" w:lineRule="auto"/>
              <w:jc w:val="both"/>
              <w:rPr>
                <w:rFonts w:ascii="Times New Roman" w:hAnsi="Times New Roman"/>
                <w:sz w:val="24"/>
                <w:szCs w:val="24"/>
              </w:rPr>
            </w:pPr>
            <w:r w:rsidRPr="00F20C56">
              <w:rPr>
                <w:rFonts w:ascii="Times New Roman" w:hAnsi="Times New Roman"/>
                <w:sz w:val="24"/>
                <w:szCs w:val="24"/>
              </w:rPr>
              <w:t xml:space="preserve">Projekt rozporządzenia zakłada obejmowanie gwarancją transakcji leasingowych wchodzących w skład portfela stanowiącego zbiór pojedynczych transakcji leasingowych, dla którego łączną kwotę limitu </w:t>
            </w:r>
            <w:r w:rsidRPr="00F20C56">
              <w:rPr>
                <w:rFonts w:ascii="Times New Roman" w:hAnsi="Times New Roman"/>
                <w:sz w:val="24"/>
                <w:szCs w:val="24"/>
              </w:rPr>
              <w:lastRenderedPageBreak/>
              <w:t>gwarancji udzielanych na określony czas oraz przeznaczenie tych transakcji leasingowych określa umowa zawarta pomiędzy BGK a leasingodawcą.</w:t>
            </w:r>
          </w:p>
          <w:p w14:paraId="71754D74" w14:textId="7F6BB632" w:rsidR="002A15C7" w:rsidRPr="00F20C56" w:rsidRDefault="00D439CC" w:rsidP="00F20C56">
            <w:pPr>
              <w:spacing w:after="70" w:line="240" w:lineRule="auto"/>
              <w:jc w:val="both"/>
              <w:rPr>
                <w:rFonts w:ascii="Times New Roman" w:hAnsi="Times New Roman"/>
                <w:sz w:val="24"/>
                <w:szCs w:val="24"/>
              </w:rPr>
            </w:pPr>
            <w:r w:rsidRPr="00F20C56">
              <w:rPr>
                <w:rFonts w:ascii="Times New Roman" w:hAnsi="Times New Roman"/>
                <w:sz w:val="24"/>
                <w:szCs w:val="24"/>
              </w:rPr>
              <w:t>Gwarancja będzie obejmowała nie więcej niż 80% kwoty transakcji leasingowej, przy czym 70% kwoty udzielonej gwarancji objęte będzie regwarancją EFI.</w:t>
            </w:r>
          </w:p>
          <w:p w14:paraId="18346F58" w14:textId="666331C3" w:rsidR="00F20C56" w:rsidRPr="00F20C56" w:rsidRDefault="0060781D" w:rsidP="00D619F5">
            <w:pPr>
              <w:spacing w:after="70" w:line="240" w:lineRule="auto"/>
              <w:jc w:val="both"/>
              <w:rPr>
                <w:rFonts w:ascii="Times New Roman" w:hAnsi="Times New Roman"/>
                <w:color w:val="000000"/>
                <w:spacing w:val="-2"/>
                <w:sz w:val="24"/>
                <w:szCs w:val="24"/>
              </w:rPr>
            </w:pPr>
            <w:r w:rsidRPr="00F20C56">
              <w:rPr>
                <w:rFonts w:ascii="Times New Roman" w:hAnsi="Times New Roman"/>
                <w:color w:val="000000"/>
                <w:spacing w:val="-2"/>
                <w:sz w:val="24"/>
                <w:szCs w:val="24"/>
              </w:rPr>
              <w:t xml:space="preserve">Pomoc będzie udzielana </w:t>
            </w:r>
            <w:r w:rsidR="004920F9" w:rsidRPr="00F20C56">
              <w:rPr>
                <w:rFonts w:ascii="Times New Roman" w:hAnsi="Times New Roman"/>
                <w:szCs w:val="24"/>
              </w:rPr>
              <w:t>MŚP</w:t>
            </w:r>
            <w:r w:rsidR="004920F9" w:rsidRPr="00F20C56" w:rsidDel="004920F9">
              <w:rPr>
                <w:rFonts w:ascii="Times New Roman" w:hAnsi="Times New Roman"/>
                <w:color w:val="000000"/>
                <w:spacing w:val="-2"/>
                <w:sz w:val="24"/>
                <w:szCs w:val="24"/>
              </w:rPr>
              <w:t xml:space="preserve"> </w:t>
            </w:r>
            <w:r w:rsidR="00D439CC" w:rsidRPr="00F20C56">
              <w:rPr>
                <w:rFonts w:ascii="Times New Roman" w:hAnsi="Times New Roman"/>
                <w:color w:val="000000"/>
                <w:spacing w:val="-2"/>
                <w:sz w:val="24"/>
                <w:szCs w:val="24"/>
              </w:rPr>
              <w:t>będącym leasingobiorcami (transakcje leasingu i pożyczki leasingowej).</w:t>
            </w:r>
          </w:p>
        </w:tc>
      </w:tr>
      <w:tr w:rsidR="006A561B" w:rsidRPr="00F20C56" w14:paraId="2E1B80D0" w14:textId="77777777" w:rsidTr="00F05286">
        <w:trPr>
          <w:trHeight w:val="307"/>
        </w:trPr>
        <w:tc>
          <w:tcPr>
            <w:tcW w:w="10065" w:type="dxa"/>
            <w:gridSpan w:val="27"/>
            <w:shd w:val="clear" w:color="auto" w:fill="99CCFF"/>
            <w:vAlign w:val="center"/>
          </w:tcPr>
          <w:p w14:paraId="55580DF0" w14:textId="77777777" w:rsidR="006A561B" w:rsidRPr="00F20C56" w:rsidRDefault="006A561B" w:rsidP="00F20C56">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spacing w:val="-2"/>
                <w:sz w:val="24"/>
                <w:szCs w:val="24"/>
              </w:rPr>
              <w:lastRenderedPageBreak/>
              <w:t>Jak problem został rozwiązany w innych krajach, w szczególności krajach członkowskich OECD/UE</w:t>
            </w:r>
            <w:r w:rsidRPr="00F20C56">
              <w:rPr>
                <w:rFonts w:ascii="Times New Roman" w:hAnsi="Times New Roman"/>
                <w:b/>
                <w:color w:val="000000"/>
                <w:sz w:val="24"/>
                <w:szCs w:val="24"/>
              </w:rPr>
              <w:t>?</w:t>
            </w:r>
            <w:r w:rsidRPr="00F20C56">
              <w:rPr>
                <w:rFonts w:ascii="Times New Roman" w:hAnsi="Times New Roman"/>
                <w:i/>
                <w:color w:val="000000"/>
                <w:sz w:val="24"/>
                <w:szCs w:val="24"/>
              </w:rPr>
              <w:t xml:space="preserve"> </w:t>
            </w:r>
          </w:p>
        </w:tc>
      </w:tr>
      <w:tr w:rsidR="006A561B" w:rsidRPr="00F20C56" w14:paraId="00BF36D3" w14:textId="77777777" w:rsidTr="00F05286">
        <w:trPr>
          <w:trHeight w:val="142"/>
        </w:trPr>
        <w:tc>
          <w:tcPr>
            <w:tcW w:w="10065" w:type="dxa"/>
            <w:gridSpan w:val="27"/>
            <w:shd w:val="clear" w:color="auto" w:fill="auto"/>
          </w:tcPr>
          <w:p w14:paraId="031549E5" w14:textId="77777777" w:rsidR="006A561B" w:rsidRDefault="00D439CC" w:rsidP="00F20C56">
            <w:pPr>
              <w:spacing w:after="70" w:line="240" w:lineRule="auto"/>
              <w:jc w:val="both"/>
              <w:rPr>
                <w:rFonts w:ascii="Times New Roman" w:hAnsi="Times New Roman"/>
                <w:sz w:val="24"/>
                <w:szCs w:val="24"/>
              </w:rPr>
            </w:pPr>
            <w:r w:rsidRPr="00F20C56">
              <w:rPr>
                <w:rFonts w:ascii="Times New Roman" w:hAnsi="Times New Roman"/>
                <w:sz w:val="24"/>
                <w:szCs w:val="24"/>
              </w:rPr>
              <w:t xml:space="preserve">Wsparcie MŚP w związku z negatywnymi konsekwencjami pandemii COVID-19, w tym w formie gwarancji, jest aktualnie </w:t>
            </w:r>
            <w:r w:rsidR="006A561B" w:rsidRPr="00F20C56">
              <w:rPr>
                <w:rFonts w:ascii="Times New Roman" w:hAnsi="Times New Roman"/>
                <w:sz w:val="24"/>
                <w:szCs w:val="24"/>
              </w:rPr>
              <w:t>powszechną praktyką stosowaną w krajach UE.</w:t>
            </w:r>
          </w:p>
          <w:p w14:paraId="7029701F" w14:textId="2AD7CC71" w:rsidR="00F20C56" w:rsidRPr="00F20C56" w:rsidRDefault="00F20C56" w:rsidP="00F20C56">
            <w:pPr>
              <w:spacing w:after="70" w:line="240" w:lineRule="auto"/>
              <w:jc w:val="both"/>
              <w:rPr>
                <w:rFonts w:ascii="Times New Roman" w:hAnsi="Times New Roman"/>
                <w:color w:val="000000"/>
                <w:spacing w:val="-2"/>
                <w:sz w:val="24"/>
                <w:szCs w:val="24"/>
              </w:rPr>
            </w:pPr>
          </w:p>
        </w:tc>
      </w:tr>
      <w:tr w:rsidR="006A561B" w:rsidRPr="00F20C56" w14:paraId="167714C6" w14:textId="77777777" w:rsidTr="00F05286">
        <w:trPr>
          <w:trHeight w:val="359"/>
        </w:trPr>
        <w:tc>
          <w:tcPr>
            <w:tcW w:w="10065" w:type="dxa"/>
            <w:gridSpan w:val="27"/>
            <w:shd w:val="clear" w:color="auto" w:fill="99CCFF"/>
            <w:vAlign w:val="center"/>
          </w:tcPr>
          <w:p w14:paraId="42A6DCF2" w14:textId="77777777" w:rsidR="006A561B" w:rsidRPr="00F20C56" w:rsidRDefault="006A561B" w:rsidP="00F20C56">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color w:val="000000"/>
                <w:sz w:val="24"/>
                <w:szCs w:val="24"/>
              </w:rPr>
              <w:t>Podmioty, na które oddziałuje projekt</w:t>
            </w:r>
          </w:p>
        </w:tc>
      </w:tr>
      <w:tr w:rsidR="006A561B" w:rsidRPr="00F20C56" w14:paraId="2E074547" w14:textId="77777777" w:rsidTr="00F05286">
        <w:trPr>
          <w:trHeight w:val="142"/>
        </w:trPr>
        <w:tc>
          <w:tcPr>
            <w:tcW w:w="2526" w:type="dxa"/>
            <w:gridSpan w:val="3"/>
            <w:shd w:val="clear" w:color="auto" w:fill="auto"/>
          </w:tcPr>
          <w:p w14:paraId="71649B3C" w14:textId="77777777" w:rsidR="006A561B" w:rsidRPr="00F20C56" w:rsidRDefault="006A561B" w:rsidP="00F20C56">
            <w:pPr>
              <w:spacing w:after="70" w:line="240" w:lineRule="auto"/>
              <w:jc w:val="center"/>
              <w:rPr>
                <w:rFonts w:ascii="Times New Roman" w:hAnsi="Times New Roman"/>
                <w:color w:val="000000"/>
                <w:spacing w:val="-2"/>
                <w:sz w:val="24"/>
                <w:szCs w:val="24"/>
              </w:rPr>
            </w:pPr>
            <w:r w:rsidRPr="00F20C56">
              <w:rPr>
                <w:rFonts w:ascii="Times New Roman" w:hAnsi="Times New Roman"/>
                <w:color w:val="000000"/>
                <w:spacing w:val="-2"/>
                <w:sz w:val="24"/>
                <w:szCs w:val="24"/>
              </w:rPr>
              <w:t>Grupa</w:t>
            </w:r>
          </w:p>
        </w:tc>
        <w:tc>
          <w:tcPr>
            <w:tcW w:w="2292" w:type="dxa"/>
            <w:gridSpan w:val="6"/>
            <w:shd w:val="clear" w:color="auto" w:fill="auto"/>
          </w:tcPr>
          <w:p w14:paraId="3BA44C8D" w14:textId="77777777" w:rsidR="006A561B" w:rsidRPr="00F20C56" w:rsidRDefault="006A561B" w:rsidP="00F20C56">
            <w:pPr>
              <w:spacing w:after="70" w:line="240" w:lineRule="auto"/>
              <w:jc w:val="center"/>
              <w:rPr>
                <w:rFonts w:ascii="Times New Roman" w:hAnsi="Times New Roman"/>
                <w:color w:val="000000"/>
                <w:spacing w:val="-2"/>
                <w:sz w:val="24"/>
                <w:szCs w:val="24"/>
              </w:rPr>
            </w:pPr>
            <w:r w:rsidRPr="00F20C56">
              <w:rPr>
                <w:rFonts w:ascii="Times New Roman" w:hAnsi="Times New Roman"/>
                <w:color w:val="000000"/>
                <w:spacing w:val="-2"/>
                <w:sz w:val="24"/>
                <w:szCs w:val="24"/>
              </w:rPr>
              <w:t>Wielkość</w:t>
            </w:r>
          </w:p>
        </w:tc>
        <w:tc>
          <w:tcPr>
            <w:tcW w:w="2996" w:type="dxa"/>
            <w:gridSpan w:val="12"/>
            <w:shd w:val="clear" w:color="auto" w:fill="auto"/>
          </w:tcPr>
          <w:p w14:paraId="29198B86" w14:textId="77777777" w:rsidR="006A561B" w:rsidRPr="00F20C56" w:rsidRDefault="006A561B" w:rsidP="00F20C56">
            <w:pPr>
              <w:spacing w:after="70" w:line="240" w:lineRule="auto"/>
              <w:jc w:val="center"/>
              <w:rPr>
                <w:rFonts w:ascii="Times New Roman" w:hAnsi="Times New Roman"/>
                <w:color w:val="000000"/>
                <w:spacing w:val="-2"/>
                <w:sz w:val="24"/>
                <w:szCs w:val="24"/>
              </w:rPr>
            </w:pPr>
            <w:r w:rsidRPr="00F20C56">
              <w:rPr>
                <w:rFonts w:ascii="Times New Roman" w:hAnsi="Times New Roman"/>
                <w:color w:val="000000"/>
                <w:spacing w:val="-2"/>
                <w:sz w:val="24"/>
                <w:szCs w:val="24"/>
              </w:rPr>
              <w:t>Źródło danych</w:t>
            </w:r>
            <w:r w:rsidRPr="00F20C56" w:rsidDel="00260F33">
              <w:rPr>
                <w:rFonts w:ascii="Times New Roman" w:hAnsi="Times New Roman"/>
                <w:color w:val="000000"/>
                <w:spacing w:val="-2"/>
                <w:sz w:val="24"/>
                <w:szCs w:val="24"/>
              </w:rPr>
              <w:t xml:space="preserve"> </w:t>
            </w:r>
          </w:p>
        </w:tc>
        <w:tc>
          <w:tcPr>
            <w:tcW w:w="2251" w:type="dxa"/>
            <w:gridSpan w:val="6"/>
            <w:shd w:val="clear" w:color="auto" w:fill="auto"/>
          </w:tcPr>
          <w:p w14:paraId="540A6666" w14:textId="77777777" w:rsidR="006A561B" w:rsidRPr="00F20C56" w:rsidRDefault="006A561B" w:rsidP="00F20C56">
            <w:pPr>
              <w:spacing w:after="70" w:line="240" w:lineRule="auto"/>
              <w:jc w:val="center"/>
              <w:rPr>
                <w:rFonts w:ascii="Times New Roman" w:hAnsi="Times New Roman"/>
                <w:color w:val="000000"/>
                <w:spacing w:val="-2"/>
                <w:sz w:val="24"/>
                <w:szCs w:val="24"/>
              </w:rPr>
            </w:pPr>
            <w:r w:rsidRPr="00F20C56">
              <w:rPr>
                <w:rFonts w:ascii="Times New Roman" w:hAnsi="Times New Roman"/>
                <w:color w:val="000000"/>
                <w:spacing w:val="-2"/>
                <w:sz w:val="24"/>
                <w:szCs w:val="24"/>
              </w:rPr>
              <w:t>Oddziaływanie</w:t>
            </w:r>
          </w:p>
        </w:tc>
      </w:tr>
      <w:tr w:rsidR="006A561B" w:rsidRPr="00F20C56" w14:paraId="0F397B90" w14:textId="77777777" w:rsidTr="00F05286">
        <w:trPr>
          <w:trHeight w:val="142"/>
        </w:trPr>
        <w:tc>
          <w:tcPr>
            <w:tcW w:w="2526" w:type="dxa"/>
            <w:gridSpan w:val="3"/>
            <w:shd w:val="clear" w:color="auto" w:fill="auto"/>
          </w:tcPr>
          <w:p w14:paraId="67F96FAF" w14:textId="3FA826D9" w:rsidR="006A561B" w:rsidRPr="00F20C56" w:rsidRDefault="00A8037E" w:rsidP="00F20C56">
            <w:pPr>
              <w:spacing w:after="70" w:line="240" w:lineRule="auto"/>
              <w:rPr>
                <w:rFonts w:ascii="Times New Roman" w:hAnsi="Times New Roman"/>
                <w:color w:val="000000"/>
                <w:spacing w:val="-2"/>
                <w:sz w:val="24"/>
                <w:szCs w:val="24"/>
              </w:rPr>
            </w:pPr>
            <w:r w:rsidRPr="00F20C56">
              <w:rPr>
                <w:rFonts w:ascii="Times New Roman" w:hAnsi="Times New Roman"/>
                <w:color w:val="000000"/>
                <w:sz w:val="24"/>
                <w:szCs w:val="24"/>
              </w:rPr>
              <w:t>BGK</w:t>
            </w:r>
            <w:r w:rsidR="006A561B" w:rsidRPr="00F20C56">
              <w:rPr>
                <w:rFonts w:ascii="Times New Roman" w:hAnsi="Times New Roman"/>
                <w:color w:val="000000"/>
                <w:sz w:val="24"/>
                <w:szCs w:val="24"/>
              </w:rPr>
              <w:t xml:space="preserve"> i </w:t>
            </w:r>
            <w:r w:rsidR="001D69F6" w:rsidRPr="00F20C56">
              <w:rPr>
                <w:rFonts w:ascii="Times New Roman" w:hAnsi="Times New Roman"/>
                <w:color w:val="000000"/>
                <w:sz w:val="24"/>
                <w:szCs w:val="24"/>
              </w:rPr>
              <w:t>instytucje finansowe</w:t>
            </w:r>
            <w:r w:rsidR="006A561B" w:rsidRPr="00F20C56">
              <w:rPr>
                <w:rFonts w:ascii="Times New Roman" w:hAnsi="Times New Roman"/>
                <w:color w:val="000000"/>
                <w:sz w:val="24"/>
                <w:szCs w:val="24"/>
              </w:rPr>
              <w:t xml:space="preserve"> współpracujące</w:t>
            </w:r>
          </w:p>
        </w:tc>
        <w:tc>
          <w:tcPr>
            <w:tcW w:w="2292" w:type="dxa"/>
            <w:gridSpan w:val="6"/>
            <w:shd w:val="clear" w:color="auto" w:fill="auto"/>
          </w:tcPr>
          <w:p w14:paraId="673E83EF" w14:textId="27E7A765" w:rsidR="006A561B" w:rsidRPr="00F20C56" w:rsidRDefault="00A86860" w:rsidP="00F20C56">
            <w:pPr>
              <w:spacing w:after="70" w:line="240" w:lineRule="auto"/>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2996" w:type="dxa"/>
            <w:gridSpan w:val="12"/>
            <w:shd w:val="clear" w:color="auto" w:fill="auto"/>
          </w:tcPr>
          <w:p w14:paraId="64584F39" w14:textId="6D6D1F10" w:rsidR="006A561B" w:rsidRPr="00F20C56" w:rsidRDefault="00DC0131" w:rsidP="00F20C56">
            <w:pPr>
              <w:spacing w:after="70" w:line="240" w:lineRule="auto"/>
              <w:rPr>
                <w:rFonts w:ascii="Times New Roman" w:hAnsi="Times New Roman"/>
                <w:color w:val="000000"/>
                <w:spacing w:val="-2"/>
                <w:sz w:val="24"/>
                <w:szCs w:val="24"/>
              </w:rPr>
            </w:pPr>
            <w:r>
              <w:rPr>
                <w:rFonts w:ascii="Times New Roman" w:hAnsi="Times New Roman"/>
                <w:color w:val="000000"/>
                <w:spacing w:val="-2"/>
                <w:sz w:val="24"/>
                <w:szCs w:val="24"/>
              </w:rPr>
              <w:t>Dane przewidywane</w:t>
            </w:r>
          </w:p>
        </w:tc>
        <w:tc>
          <w:tcPr>
            <w:tcW w:w="2251" w:type="dxa"/>
            <w:gridSpan w:val="6"/>
            <w:shd w:val="clear" w:color="auto" w:fill="auto"/>
          </w:tcPr>
          <w:p w14:paraId="2AE43106" w14:textId="6039356A" w:rsidR="006A561B" w:rsidRPr="00F20C56" w:rsidRDefault="00DC0131" w:rsidP="000948D7">
            <w:pPr>
              <w:spacing w:after="70" w:line="240" w:lineRule="auto"/>
              <w:rPr>
                <w:rFonts w:ascii="Times New Roman" w:hAnsi="Times New Roman"/>
                <w:color w:val="000000"/>
                <w:spacing w:val="-2"/>
                <w:sz w:val="24"/>
                <w:szCs w:val="24"/>
              </w:rPr>
            </w:pPr>
            <w:r>
              <w:rPr>
                <w:rFonts w:ascii="Times New Roman" w:hAnsi="Times New Roman"/>
                <w:sz w:val="24"/>
                <w:szCs w:val="24"/>
              </w:rPr>
              <w:t xml:space="preserve">Gwarancje umożliwią </w:t>
            </w:r>
            <w:r w:rsidR="000F5FAF">
              <w:rPr>
                <w:rFonts w:ascii="Times New Roman" w:hAnsi="Times New Roman"/>
                <w:sz w:val="24"/>
                <w:szCs w:val="24"/>
              </w:rPr>
              <w:t xml:space="preserve">zabezpieczenie </w:t>
            </w:r>
            <w:r w:rsidR="00795199">
              <w:rPr>
                <w:rFonts w:ascii="Times New Roman" w:hAnsi="Times New Roman"/>
                <w:sz w:val="24"/>
                <w:szCs w:val="24"/>
              </w:rPr>
              <w:t>transakcji leasingowych</w:t>
            </w:r>
            <w:r w:rsidR="000F5FAF">
              <w:rPr>
                <w:rFonts w:ascii="Times New Roman" w:hAnsi="Times New Roman"/>
                <w:sz w:val="24"/>
                <w:szCs w:val="24"/>
              </w:rPr>
              <w:t xml:space="preserve"> w kwocie </w:t>
            </w:r>
            <w:r w:rsidR="000948D7">
              <w:rPr>
                <w:rFonts w:ascii="Times New Roman" w:hAnsi="Times New Roman"/>
                <w:sz w:val="24"/>
                <w:szCs w:val="24"/>
              </w:rPr>
              <w:t>5,6</w:t>
            </w:r>
            <w:r w:rsidR="000F5FAF">
              <w:rPr>
                <w:rFonts w:ascii="Times New Roman" w:hAnsi="Times New Roman"/>
                <w:sz w:val="24"/>
                <w:szCs w:val="24"/>
              </w:rPr>
              <w:t xml:space="preserve"> mld zł</w:t>
            </w:r>
          </w:p>
        </w:tc>
      </w:tr>
      <w:tr w:rsidR="006A561B" w:rsidRPr="00F20C56" w14:paraId="7286496E" w14:textId="77777777" w:rsidTr="00F05286">
        <w:trPr>
          <w:trHeight w:val="142"/>
        </w:trPr>
        <w:tc>
          <w:tcPr>
            <w:tcW w:w="2526" w:type="dxa"/>
            <w:gridSpan w:val="3"/>
            <w:shd w:val="clear" w:color="auto" w:fill="auto"/>
          </w:tcPr>
          <w:p w14:paraId="2B46089F" w14:textId="2EC95E3F" w:rsidR="006A561B" w:rsidRPr="00F20C56" w:rsidRDefault="00581613" w:rsidP="00F20C56">
            <w:pPr>
              <w:spacing w:after="70" w:line="240" w:lineRule="auto"/>
              <w:rPr>
                <w:rFonts w:ascii="Times New Roman" w:hAnsi="Times New Roman"/>
                <w:color w:val="000000"/>
                <w:spacing w:val="-2"/>
                <w:sz w:val="24"/>
                <w:szCs w:val="24"/>
              </w:rPr>
            </w:pPr>
            <w:r w:rsidRPr="00F20C56">
              <w:rPr>
                <w:rFonts w:ascii="Times New Roman" w:hAnsi="Times New Roman"/>
                <w:sz w:val="24"/>
                <w:szCs w:val="24"/>
              </w:rPr>
              <w:t xml:space="preserve">Ostatecznym odbiorcą jest </w:t>
            </w:r>
            <w:r w:rsidR="002F2F99" w:rsidRPr="00F20C56">
              <w:rPr>
                <w:rFonts w:ascii="Times New Roman" w:hAnsi="Times New Roman"/>
                <w:sz w:val="24"/>
                <w:szCs w:val="24"/>
              </w:rPr>
              <w:t>MŚP</w:t>
            </w:r>
            <w:r w:rsidRPr="00F20C56">
              <w:rPr>
                <w:rFonts w:ascii="Times New Roman" w:hAnsi="Times New Roman"/>
                <w:sz w:val="24"/>
                <w:szCs w:val="24"/>
              </w:rPr>
              <w:t xml:space="preserve">, </w:t>
            </w:r>
            <w:r w:rsidR="0002423A" w:rsidRPr="00F20C56">
              <w:rPr>
                <w:rFonts w:ascii="Times New Roman" w:hAnsi="Times New Roman"/>
                <w:sz w:val="24"/>
                <w:szCs w:val="24"/>
              </w:rPr>
              <w:t xml:space="preserve">będący </w:t>
            </w:r>
            <w:r w:rsidR="001D69F6" w:rsidRPr="00F20C56">
              <w:rPr>
                <w:rFonts w:ascii="Times New Roman" w:hAnsi="Times New Roman"/>
                <w:sz w:val="24"/>
                <w:szCs w:val="24"/>
              </w:rPr>
              <w:t>leasingobiorcami</w:t>
            </w:r>
          </w:p>
        </w:tc>
        <w:tc>
          <w:tcPr>
            <w:tcW w:w="2292" w:type="dxa"/>
            <w:gridSpan w:val="6"/>
            <w:shd w:val="clear" w:color="auto" w:fill="auto"/>
          </w:tcPr>
          <w:p w14:paraId="38C59647" w14:textId="48B5FF81" w:rsidR="006A561B" w:rsidRPr="00F20C56" w:rsidRDefault="001D5B0B" w:rsidP="00010B27">
            <w:pPr>
              <w:spacing w:after="7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Ok. </w:t>
            </w:r>
            <w:r w:rsidR="000948D7">
              <w:rPr>
                <w:rFonts w:ascii="Times New Roman" w:hAnsi="Times New Roman"/>
                <w:color w:val="000000"/>
                <w:spacing w:val="-2"/>
                <w:sz w:val="24"/>
                <w:szCs w:val="24"/>
              </w:rPr>
              <w:t>30</w:t>
            </w:r>
            <w:r w:rsidR="000F5FAF">
              <w:rPr>
                <w:rFonts w:ascii="Times New Roman" w:hAnsi="Times New Roman"/>
                <w:color w:val="000000"/>
                <w:spacing w:val="-2"/>
                <w:sz w:val="24"/>
                <w:szCs w:val="24"/>
              </w:rPr>
              <w:t xml:space="preserve"> 000 beneficjentów</w:t>
            </w:r>
          </w:p>
        </w:tc>
        <w:tc>
          <w:tcPr>
            <w:tcW w:w="2996" w:type="dxa"/>
            <w:gridSpan w:val="12"/>
            <w:shd w:val="clear" w:color="auto" w:fill="auto"/>
          </w:tcPr>
          <w:p w14:paraId="0F22E575" w14:textId="66B5B0F0" w:rsidR="006A561B" w:rsidRPr="00F20C56" w:rsidRDefault="00DC0131" w:rsidP="00F20C56">
            <w:pPr>
              <w:spacing w:after="70" w:line="240" w:lineRule="auto"/>
              <w:rPr>
                <w:rFonts w:ascii="Times New Roman" w:hAnsi="Times New Roman"/>
                <w:color w:val="000000"/>
                <w:spacing w:val="-2"/>
                <w:sz w:val="24"/>
                <w:szCs w:val="24"/>
              </w:rPr>
            </w:pPr>
            <w:r>
              <w:rPr>
                <w:rFonts w:ascii="Times New Roman" w:hAnsi="Times New Roman"/>
                <w:color w:val="000000"/>
                <w:spacing w:val="-2"/>
                <w:sz w:val="24"/>
                <w:szCs w:val="24"/>
              </w:rPr>
              <w:t>Dane przewidywane</w:t>
            </w:r>
          </w:p>
        </w:tc>
        <w:tc>
          <w:tcPr>
            <w:tcW w:w="2251" w:type="dxa"/>
            <w:gridSpan w:val="6"/>
            <w:shd w:val="clear" w:color="auto" w:fill="auto"/>
          </w:tcPr>
          <w:p w14:paraId="48C96DCE" w14:textId="0DC31A46" w:rsidR="00F20C56" w:rsidRPr="00F20C56" w:rsidRDefault="000F5FAF" w:rsidP="000948D7">
            <w:pPr>
              <w:spacing w:after="7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Gwarancje umożliwiają zabezpieczenie </w:t>
            </w:r>
            <w:r w:rsidR="00795199">
              <w:rPr>
                <w:rFonts w:ascii="Times New Roman" w:hAnsi="Times New Roman"/>
                <w:color w:val="000000"/>
                <w:spacing w:val="-2"/>
                <w:sz w:val="24"/>
                <w:szCs w:val="24"/>
              </w:rPr>
              <w:t>transakcji leasingowych</w:t>
            </w:r>
            <w:r>
              <w:rPr>
                <w:rFonts w:ascii="Times New Roman" w:hAnsi="Times New Roman"/>
                <w:color w:val="000000"/>
                <w:spacing w:val="-2"/>
                <w:sz w:val="24"/>
                <w:szCs w:val="24"/>
              </w:rPr>
              <w:t xml:space="preserve"> dla </w:t>
            </w:r>
            <w:r w:rsidR="001D5B0B">
              <w:rPr>
                <w:rFonts w:ascii="Times New Roman" w:hAnsi="Times New Roman"/>
                <w:color w:val="000000"/>
                <w:spacing w:val="-2"/>
                <w:sz w:val="24"/>
                <w:szCs w:val="24"/>
              </w:rPr>
              <w:t xml:space="preserve">ok. </w:t>
            </w:r>
            <w:r w:rsidR="000948D7">
              <w:rPr>
                <w:rFonts w:ascii="Times New Roman" w:hAnsi="Times New Roman"/>
                <w:color w:val="000000"/>
                <w:spacing w:val="-2"/>
                <w:sz w:val="24"/>
                <w:szCs w:val="24"/>
              </w:rPr>
              <w:t>30</w:t>
            </w:r>
            <w:r>
              <w:rPr>
                <w:rFonts w:ascii="Times New Roman" w:hAnsi="Times New Roman"/>
                <w:color w:val="000000"/>
                <w:spacing w:val="-2"/>
                <w:sz w:val="24"/>
                <w:szCs w:val="24"/>
              </w:rPr>
              <w:t> 000 MŚP</w:t>
            </w:r>
          </w:p>
        </w:tc>
      </w:tr>
      <w:tr w:rsidR="006A561B" w:rsidRPr="00F20C56" w14:paraId="5A68E6BB" w14:textId="77777777" w:rsidTr="00F05286">
        <w:trPr>
          <w:trHeight w:val="302"/>
        </w:trPr>
        <w:tc>
          <w:tcPr>
            <w:tcW w:w="10065" w:type="dxa"/>
            <w:gridSpan w:val="27"/>
            <w:shd w:val="clear" w:color="auto" w:fill="99CCFF"/>
            <w:vAlign w:val="center"/>
          </w:tcPr>
          <w:p w14:paraId="24BBF9BF" w14:textId="77777777" w:rsidR="006A561B" w:rsidRPr="00F20C56" w:rsidRDefault="006A561B" w:rsidP="00F20C56">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color w:val="000000"/>
                <w:sz w:val="24"/>
                <w:szCs w:val="24"/>
              </w:rPr>
              <w:t>Informacje na temat zakresu, czasu trwania i podsumowanie wyników konsultacji</w:t>
            </w:r>
          </w:p>
        </w:tc>
      </w:tr>
      <w:tr w:rsidR="006A561B" w:rsidRPr="00F20C56" w14:paraId="5327BB4D" w14:textId="77777777" w:rsidTr="00F05286">
        <w:trPr>
          <w:trHeight w:val="342"/>
        </w:trPr>
        <w:tc>
          <w:tcPr>
            <w:tcW w:w="10065" w:type="dxa"/>
            <w:gridSpan w:val="27"/>
            <w:shd w:val="clear" w:color="auto" w:fill="FFFFFF"/>
          </w:tcPr>
          <w:p w14:paraId="092DE153" w14:textId="794CA987" w:rsidR="00A26289" w:rsidRPr="00F20C56" w:rsidRDefault="00A26289" w:rsidP="00F20C56">
            <w:pPr>
              <w:spacing w:after="70" w:line="240" w:lineRule="auto"/>
              <w:jc w:val="both"/>
              <w:rPr>
                <w:rFonts w:ascii="Times New Roman" w:hAnsi="Times New Roman"/>
                <w:sz w:val="24"/>
                <w:szCs w:val="24"/>
              </w:rPr>
            </w:pPr>
            <w:r w:rsidRPr="00F20C56">
              <w:rPr>
                <w:rFonts w:ascii="Times New Roman" w:hAnsi="Times New Roman"/>
                <w:sz w:val="24"/>
                <w:szCs w:val="24"/>
              </w:rPr>
              <w:t xml:space="preserve">Konsultacje poprzedzające przygotowanie projektu nie były prowadzone. </w:t>
            </w:r>
          </w:p>
          <w:p w14:paraId="2836A369" w14:textId="559E7327" w:rsidR="00F20C56" w:rsidRPr="00F20C56" w:rsidRDefault="00444A6E" w:rsidP="00010B27">
            <w:pPr>
              <w:spacing w:after="70" w:line="240" w:lineRule="auto"/>
              <w:jc w:val="both"/>
              <w:rPr>
                <w:rFonts w:ascii="Times New Roman" w:hAnsi="Times New Roman"/>
                <w:sz w:val="24"/>
                <w:szCs w:val="24"/>
              </w:rPr>
            </w:pPr>
            <w:r w:rsidRPr="00F20C56">
              <w:rPr>
                <w:rFonts w:ascii="Times New Roman" w:hAnsi="Times New Roman"/>
                <w:sz w:val="24"/>
                <w:szCs w:val="24"/>
              </w:rPr>
              <w:t>Projekt zosta</w:t>
            </w:r>
            <w:r w:rsidR="006413A9" w:rsidRPr="00F20C56">
              <w:rPr>
                <w:rFonts w:ascii="Times New Roman" w:hAnsi="Times New Roman"/>
                <w:sz w:val="24"/>
                <w:szCs w:val="24"/>
              </w:rPr>
              <w:t>ł</w:t>
            </w:r>
            <w:r w:rsidRPr="00F20C56">
              <w:rPr>
                <w:rFonts w:ascii="Times New Roman" w:hAnsi="Times New Roman"/>
                <w:sz w:val="24"/>
                <w:szCs w:val="24"/>
              </w:rPr>
              <w:t xml:space="preserve"> przedłożony do zaopiniowania: Prokuratorii Generalnej Rzeczypospolitej Polskiej,</w:t>
            </w:r>
            <w:r w:rsidR="001D69F6" w:rsidRPr="00F20C56">
              <w:rPr>
                <w:rFonts w:ascii="Times New Roman" w:hAnsi="Times New Roman"/>
                <w:sz w:val="24"/>
                <w:szCs w:val="24"/>
              </w:rPr>
              <w:t xml:space="preserve"> </w:t>
            </w:r>
            <w:r w:rsidR="002F2F99" w:rsidRPr="00F20C56">
              <w:rPr>
                <w:rFonts w:ascii="Times New Roman" w:hAnsi="Times New Roman"/>
                <w:sz w:val="24"/>
                <w:szCs w:val="24"/>
              </w:rPr>
              <w:t>BGK,</w:t>
            </w:r>
            <w:r w:rsidR="001D69F6" w:rsidRPr="00F20C56">
              <w:rPr>
                <w:rFonts w:ascii="Times New Roman" w:hAnsi="Times New Roman"/>
                <w:sz w:val="24"/>
                <w:szCs w:val="24"/>
              </w:rPr>
              <w:t xml:space="preserve"> </w:t>
            </w:r>
            <w:r w:rsidR="00A006D4">
              <w:rPr>
                <w:rFonts w:ascii="Times New Roman" w:hAnsi="Times New Roman"/>
                <w:sz w:val="24"/>
                <w:szCs w:val="24"/>
              </w:rPr>
              <w:t>Związkowi Polskiego</w:t>
            </w:r>
            <w:r w:rsidR="001D5B0B">
              <w:rPr>
                <w:rFonts w:ascii="Times New Roman" w:hAnsi="Times New Roman"/>
                <w:sz w:val="24"/>
                <w:szCs w:val="24"/>
              </w:rPr>
              <w:t xml:space="preserve"> Leasingu</w:t>
            </w:r>
            <w:r w:rsidR="00A006D4">
              <w:rPr>
                <w:rFonts w:ascii="Times New Roman" w:hAnsi="Times New Roman"/>
                <w:sz w:val="24"/>
                <w:szCs w:val="24"/>
              </w:rPr>
              <w:t>,</w:t>
            </w:r>
            <w:r w:rsidR="001D69F6" w:rsidRPr="00F20C56">
              <w:rPr>
                <w:rFonts w:ascii="Times New Roman" w:hAnsi="Times New Roman"/>
                <w:sz w:val="24"/>
                <w:szCs w:val="24"/>
              </w:rPr>
              <w:t xml:space="preserve"> </w:t>
            </w:r>
            <w:r w:rsidR="00A26289" w:rsidRPr="00F20C56">
              <w:rPr>
                <w:rFonts w:ascii="Times New Roman" w:hAnsi="Times New Roman"/>
                <w:sz w:val="24"/>
                <w:szCs w:val="24"/>
              </w:rPr>
              <w:t>Krajowej Grupie Poręczeniowej Sp. z o.o. w Warszawie,</w:t>
            </w:r>
            <w:r w:rsidR="001D69F6" w:rsidRPr="00F20C56">
              <w:rPr>
                <w:rFonts w:ascii="Times New Roman" w:hAnsi="Times New Roman"/>
                <w:sz w:val="24"/>
                <w:szCs w:val="24"/>
              </w:rPr>
              <w:t xml:space="preserve"> </w:t>
            </w:r>
            <w:r w:rsidR="00A26289" w:rsidRPr="00F20C56">
              <w:rPr>
                <w:rFonts w:ascii="Times New Roman" w:hAnsi="Times New Roman"/>
                <w:sz w:val="24"/>
                <w:szCs w:val="24"/>
              </w:rPr>
              <w:t>Krajowemu Stowarzyszeniu Funduszy Poręczeniowych,</w:t>
            </w:r>
            <w:r w:rsidR="001D69F6" w:rsidRPr="00F20C56">
              <w:rPr>
                <w:rFonts w:ascii="Times New Roman" w:hAnsi="Times New Roman"/>
                <w:sz w:val="24"/>
                <w:szCs w:val="24"/>
              </w:rPr>
              <w:t xml:space="preserve"> </w:t>
            </w:r>
            <w:r w:rsidR="00A26289" w:rsidRPr="00F20C56">
              <w:rPr>
                <w:rFonts w:ascii="Times New Roman" w:hAnsi="Times New Roman"/>
                <w:sz w:val="24"/>
                <w:szCs w:val="24"/>
              </w:rPr>
              <w:t>Rzecznikowi Małych i Średnich Przedsiębiorców,</w:t>
            </w:r>
            <w:r w:rsidR="001D69F6" w:rsidRPr="00F20C56">
              <w:rPr>
                <w:rFonts w:ascii="Times New Roman" w:hAnsi="Times New Roman"/>
                <w:sz w:val="24"/>
                <w:szCs w:val="24"/>
              </w:rPr>
              <w:t xml:space="preserve"> </w:t>
            </w:r>
            <w:r w:rsidR="006A561B" w:rsidRPr="00F20C56">
              <w:rPr>
                <w:rFonts w:ascii="Times New Roman" w:hAnsi="Times New Roman"/>
                <w:sz w:val="24"/>
                <w:szCs w:val="24"/>
              </w:rPr>
              <w:t xml:space="preserve">Konfederacji Lewiatan, </w:t>
            </w:r>
            <w:r w:rsidR="001D69F6" w:rsidRPr="00F20C56">
              <w:rPr>
                <w:rFonts w:ascii="Times New Roman" w:hAnsi="Times New Roman"/>
                <w:sz w:val="24"/>
                <w:szCs w:val="24"/>
              </w:rPr>
              <w:t xml:space="preserve">Business Centre Club </w:t>
            </w:r>
            <w:r w:rsidR="00771578" w:rsidRPr="00F20C56">
              <w:rPr>
                <w:rFonts w:ascii="Times New Roman" w:hAnsi="Times New Roman"/>
                <w:sz w:val="24"/>
                <w:szCs w:val="24"/>
              </w:rPr>
              <w:t>o</w:t>
            </w:r>
            <w:r w:rsidR="008012AD" w:rsidRPr="00F20C56">
              <w:rPr>
                <w:rFonts w:ascii="Times New Roman" w:hAnsi="Times New Roman"/>
                <w:sz w:val="24"/>
                <w:szCs w:val="24"/>
              </w:rPr>
              <w:t>raz zosta</w:t>
            </w:r>
            <w:r w:rsidR="001D69F6" w:rsidRPr="00F20C56">
              <w:rPr>
                <w:rFonts w:ascii="Times New Roman" w:hAnsi="Times New Roman"/>
                <w:sz w:val="24"/>
                <w:szCs w:val="24"/>
              </w:rPr>
              <w:t>nie</w:t>
            </w:r>
            <w:r w:rsidR="00771578" w:rsidRPr="00F20C56">
              <w:rPr>
                <w:rFonts w:ascii="Times New Roman" w:hAnsi="Times New Roman"/>
                <w:sz w:val="24"/>
                <w:szCs w:val="24"/>
              </w:rPr>
              <w:t xml:space="preserve"> zamieszczony na stronie Biuletynu Informacji Publicznej Rządowego Centrum Legislacji.</w:t>
            </w:r>
            <w:r w:rsidR="006413A9" w:rsidRPr="00F20C56">
              <w:rPr>
                <w:rFonts w:ascii="Times New Roman" w:hAnsi="Times New Roman"/>
                <w:sz w:val="24"/>
                <w:szCs w:val="24"/>
              </w:rPr>
              <w:t xml:space="preserve"> </w:t>
            </w:r>
          </w:p>
        </w:tc>
      </w:tr>
      <w:tr w:rsidR="006A561B" w:rsidRPr="00F20C56" w14:paraId="3584EC8A" w14:textId="77777777" w:rsidTr="00A7232B">
        <w:trPr>
          <w:trHeight w:val="471"/>
        </w:trPr>
        <w:tc>
          <w:tcPr>
            <w:tcW w:w="10065" w:type="dxa"/>
            <w:gridSpan w:val="27"/>
            <w:shd w:val="clear" w:color="auto" w:fill="99CCFF"/>
            <w:vAlign w:val="center"/>
          </w:tcPr>
          <w:p w14:paraId="36494FBE" w14:textId="77777777" w:rsidR="006A561B" w:rsidRPr="00F20C56" w:rsidRDefault="006A561B" w:rsidP="00F20C56">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color w:val="000000"/>
                <w:sz w:val="24"/>
                <w:szCs w:val="24"/>
              </w:rPr>
              <w:t xml:space="preserve"> Wpływ na sektor finansów publicznych</w:t>
            </w:r>
          </w:p>
        </w:tc>
      </w:tr>
      <w:tr w:rsidR="006A561B" w:rsidRPr="00A006D4" w14:paraId="24C01C62" w14:textId="77777777" w:rsidTr="00A7232B">
        <w:trPr>
          <w:trHeight w:val="142"/>
        </w:trPr>
        <w:tc>
          <w:tcPr>
            <w:tcW w:w="2156" w:type="dxa"/>
            <w:gridSpan w:val="2"/>
            <w:vMerge w:val="restart"/>
            <w:shd w:val="clear" w:color="auto" w:fill="FFFFFF"/>
          </w:tcPr>
          <w:p w14:paraId="47732CAB" w14:textId="77777777" w:rsidR="006A561B" w:rsidRPr="00A006D4" w:rsidRDefault="006A561B" w:rsidP="00F20C56">
            <w:pPr>
              <w:spacing w:after="70" w:line="240" w:lineRule="auto"/>
              <w:rPr>
                <w:rFonts w:ascii="Times New Roman" w:hAnsi="Times New Roman"/>
                <w:i/>
                <w:color w:val="000000"/>
              </w:rPr>
            </w:pPr>
            <w:r w:rsidRPr="00A006D4">
              <w:rPr>
                <w:rFonts w:ascii="Times New Roman" w:hAnsi="Times New Roman"/>
                <w:color w:val="000000"/>
              </w:rPr>
              <w:t>(ceny stałe z  2018 r.)</w:t>
            </w:r>
          </w:p>
        </w:tc>
        <w:tc>
          <w:tcPr>
            <w:tcW w:w="7909" w:type="dxa"/>
            <w:gridSpan w:val="25"/>
            <w:shd w:val="clear" w:color="auto" w:fill="FFFFFF"/>
          </w:tcPr>
          <w:p w14:paraId="2885815A" w14:textId="77777777" w:rsidR="006A561B" w:rsidRPr="00A006D4" w:rsidRDefault="006A561B" w:rsidP="00F20C56">
            <w:pPr>
              <w:spacing w:after="70" w:line="240" w:lineRule="auto"/>
              <w:jc w:val="center"/>
              <w:rPr>
                <w:rFonts w:ascii="Times New Roman" w:hAnsi="Times New Roman"/>
                <w:i/>
                <w:color w:val="000000"/>
                <w:spacing w:val="-2"/>
              </w:rPr>
            </w:pPr>
            <w:r w:rsidRPr="00A006D4">
              <w:rPr>
                <w:rFonts w:ascii="Times New Roman" w:hAnsi="Times New Roman"/>
                <w:color w:val="000000"/>
              </w:rPr>
              <w:t>Skutki w okresie 10 lat od wejścia w życie zmian [mln zł]</w:t>
            </w:r>
          </w:p>
        </w:tc>
      </w:tr>
      <w:tr w:rsidR="00A7232B" w:rsidRPr="00A006D4" w14:paraId="210261FF" w14:textId="77777777" w:rsidTr="00A7232B">
        <w:trPr>
          <w:trHeight w:val="142"/>
        </w:trPr>
        <w:tc>
          <w:tcPr>
            <w:tcW w:w="2156" w:type="dxa"/>
            <w:gridSpan w:val="2"/>
            <w:vMerge/>
            <w:shd w:val="clear" w:color="auto" w:fill="FFFFFF"/>
          </w:tcPr>
          <w:p w14:paraId="790DA866" w14:textId="77777777" w:rsidR="006A561B" w:rsidRPr="00A006D4" w:rsidRDefault="006A561B" w:rsidP="00F20C56">
            <w:pPr>
              <w:spacing w:after="70" w:line="240" w:lineRule="auto"/>
              <w:rPr>
                <w:rFonts w:ascii="Times New Roman" w:hAnsi="Times New Roman"/>
                <w:i/>
                <w:color w:val="000000"/>
              </w:rPr>
            </w:pPr>
          </w:p>
        </w:tc>
        <w:tc>
          <w:tcPr>
            <w:tcW w:w="708" w:type="dxa"/>
            <w:gridSpan w:val="2"/>
            <w:shd w:val="clear" w:color="auto" w:fill="FFFFFF"/>
          </w:tcPr>
          <w:p w14:paraId="1C02583A"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20FF76A0"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1</w:t>
            </w:r>
          </w:p>
        </w:tc>
        <w:tc>
          <w:tcPr>
            <w:tcW w:w="709" w:type="dxa"/>
            <w:gridSpan w:val="2"/>
            <w:shd w:val="clear" w:color="auto" w:fill="FFFFFF"/>
          </w:tcPr>
          <w:p w14:paraId="03768B88"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2</w:t>
            </w:r>
          </w:p>
        </w:tc>
        <w:tc>
          <w:tcPr>
            <w:tcW w:w="708" w:type="dxa"/>
            <w:gridSpan w:val="3"/>
            <w:shd w:val="clear" w:color="auto" w:fill="FFFFFF"/>
          </w:tcPr>
          <w:p w14:paraId="75D384BE"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3</w:t>
            </w:r>
          </w:p>
        </w:tc>
        <w:tc>
          <w:tcPr>
            <w:tcW w:w="851" w:type="dxa"/>
            <w:gridSpan w:val="2"/>
            <w:shd w:val="clear" w:color="auto" w:fill="FFFFFF"/>
          </w:tcPr>
          <w:p w14:paraId="4E9870E6"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4</w:t>
            </w:r>
          </w:p>
        </w:tc>
        <w:tc>
          <w:tcPr>
            <w:tcW w:w="426" w:type="dxa"/>
            <w:shd w:val="clear" w:color="auto" w:fill="FFFFFF"/>
          </w:tcPr>
          <w:p w14:paraId="492FF568"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5</w:t>
            </w:r>
          </w:p>
        </w:tc>
        <w:tc>
          <w:tcPr>
            <w:tcW w:w="570" w:type="dxa"/>
            <w:gridSpan w:val="3"/>
            <w:shd w:val="clear" w:color="auto" w:fill="FFFFFF"/>
          </w:tcPr>
          <w:p w14:paraId="4FE6660E"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6</w:t>
            </w:r>
          </w:p>
        </w:tc>
        <w:tc>
          <w:tcPr>
            <w:tcW w:w="421" w:type="dxa"/>
            <w:gridSpan w:val="2"/>
            <w:shd w:val="clear" w:color="auto" w:fill="FFFFFF"/>
          </w:tcPr>
          <w:p w14:paraId="54E607AB"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7</w:t>
            </w:r>
          </w:p>
        </w:tc>
        <w:tc>
          <w:tcPr>
            <w:tcW w:w="567" w:type="dxa"/>
            <w:gridSpan w:val="3"/>
            <w:shd w:val="clear" w:color="auto" w:fill="FFFFFF"/>
          </w:tcPr>
          <w:p w14:paraId="17C10A22"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8</w:t>
            </w:r>
          </w:p>
        </w:tc>
        <w:tc>
          <w:tcPr>
            <w:tcW w:w="426" w:type="dxa"/>
            <w:shd w:val="clear" w:color="auto" w:fill="FFFFFF"/>
          </w:tcPr>
          <w:p w14:paraId="63AE7A1D"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9</w:t>
            </w:r>
          </w:p>
        </w:tc>
        <w:tc>
          <w:tcPr>
            <w:tcW w:w="708" w:type="dxa"/>
            <w:gridSpan w:val="2"/>
            <w:shd w:val="clear" w:color="auto" w:fill="FFFFFF"/>
          </w:tcPr>
          <w:p w14:paraId="378F9A7B" w14:textId="77777777" w:rsidR="006A561B" w:rsidRPr="00A006D4" w:rsidRDefault="006A561B" w:rsidP="00F20C56">
            <w:pPr>
              <w:spacing w:after="70" w:line="240" w:lineRule="auto"/>
              <w:jc w:val="center"/>
              <w:rPr>
                <w:rFonts w:ascii="Times New Roman" w:hAnsi="Times New Roman"/>
                <w:color w:val="000000"/>
              </w:rPr>
            </w:pPr>
            <w:r w:rsidRPr="00A006D4">
              <w:rPr>
                <w:rFonts w:ascii="Times New Roman" w:hAnsi="Times New Roman"/>
                <w:color w:val="000000"/>
              </w:rPr>
              <w:t>10</w:t>
            </w:r>
          </w:p>
        </w:tc>
        <w:tc>
          <w:tcPr>
            <w:tcW w:w="964" w:type="dxa"/>
            <w:gridSpan w:val="2"/>
            <w:shd w:val="clear" w:color="auto" w:fill="FFFFFF"/>
          </w:tcPr>
          <w:p w14:paraId="1B262266" w14:textId="77777777" w:rsidR="006A561B" w:rsidRPr="00A006D4" w:rsidRDefault="006A561B" w:rsidP="00F20C56">
            <w:pPr>
              <w:spacing w:after="70" w:line="240" w:lineRule="auto"/>
              <w:jc w:val="center"/>
              <w:rPr>
                <w:rFonts w:ascii="Times New Roman" w:hAnsi="Times New Roman"/>
                <w:i/>
                <w:color w:val="000000"/>
                <w:spacing w:val="-2"/>
              </w:rPr>
            </w:pPr>
            <w:r w:rsidRPr="00A006D4">
              <w:rPr>
                <w:rFonts w:ascii="Times New Roman" w:hAnsi="Times New Roman"/>
                <w:i/>
                <w:color w:val="000000"/>
                <w:spacing w:val="-2"/>
              </w:rPr>
              <w:t>Łącznie (0-10)</w:t>
            </w:r>
          </w:p>
        </w:tc>
      </w:tr>
      <w:tr w:rsidR="00A7232B" w:rsidRPr="00A006D4" w14:paraId="3060E1B8" w14:textId="77777777" w:rsidTr="00A7232B">
        <w:trPr>
          <w:trHeight w:val="321"/>
        </w:trPr>
        <w:tc>
          <w:tcPr>
            <w:tcW w:w="2156" w:type="dxa"/>
            <w:gridSpan w:val="2"/>
            <w:shd w:val="clear" w:color="auto" w:fill="FFFFFF"/>
            <w:vAlign w:val="center"/>
          </w:tcPr>
          <w:p w14:paraId="73763D4A" w14:textId="77777777" w:rsidR="006A561B" w:rsidRPr="00A006D4" w:rsidRDefault="006A561B" w:rsidP="00F20C56">
            <w:pPr>
              <w:spacing w:after="70" w:line="240" w:lineRule="auto"/>
              <w:rPr>
                <w:rFonts w:ascii="Times New Roman" w:hAnsi="Times New Roman"/>
                <w:color w:val="000000"/>
              </w:rPr>
            </w:pPr>
            <w:r w:rsidRPr="00A006D4">
              <w:rPr>
                <w:rFonts w:ascii="Times New Roman" w:hAnsi="Times New Roman"/>
                <w:b/>
                <w:color w:val="000000"/>
              </w:rPr>
              <w:t>Dochody ogółem</w:t>
            </w:r>
          </w:p>
        </w:tc>
        <w:tc>
          <w:tcPr>
            <w:tcW w:w="708" w:type="dxa"/>
            <w:gridSpan w:val="2"/>
            <w:shd w:val="clear" w:color="auto" w:fill="FFFFFF"/>
          </w:tcPr>
          <w:p w14:paraId="1A1A2EEE" w14:textId="77777777" w:rsidR="006A561B" w:rsidRPr="00A006D4" w:rsidRDefault="00655842"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79871B6D"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9" w:type="dxa"/>
            <w:gridSpan w:val="2"/>
            <w:shd w:val="clear" w:color="auto" w:fill="FFFFFF"/>
          </w:tcPr>
          <w:p w14:paraId="4F3422ED"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3"/>
            <w:shd w:val="clear" w:color="auto" w:fill="FFFFFF"/>
          </w:tcPr>
          <w:p w14:paraId="1E2CC188"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3609334E"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1A021A52"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70" w:type="dxa"/>
            <w:gridSpan w:val="3"/>
            <w:shd w:val="clear" w:color="auto" w:fill="FFFFFF"/>
          </w:tcPr>
          <w:p w14:paraId="5DB86D3E"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1" w:type="dxa"/>
            <w:gridSpan w:val="2"/>
            <w:shd w:val="clear" w:color="auto" w:fill="FFFFFF"/>
          </w:tcPr>
          <w:p w14:paraId="0743B8DF"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67" w:type="dxa"/>
            <w:gridSpan w:val="3"/>
            <w:shd w:val="clear" w:color="auto" w:fill="FFFFFF"/>
          </w:tcPr>
          <w:p w14:paraId="4C17F237"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4DB41274"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2"/>
            <w:shd w:val="clear" w:color="auto" w:fill="FFFFFF"/>
          </w:tcPr>
          <w:p w14:paraId="1034CA41" w14:textId="77777777" w:rsidR="006A561B"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964" w:type="dxa"/>
            <w:gridSpan w:val="2"/>
            <w:shd w:val="clear" w:color="auto" w:fill="FFFFFF"/>
          </w:tcPr>
          <w:p w14:paraId="543FD87C" w14:textId="77777777" w:rsidR="006A561B" w:rsidRPr="00A006D4" w:rsidRDefault="001D0F43" w:rsidP="00F20C56">
            <w:pPr>
              <w:spacing w:after="70" w:line="240" w:lineRule="auto"/>
              <w:rPr>
                <w:rFonts w:ascii="Times New Roman" w:hAnsi="Times New Roman"/>
                <w:color w:val="000000"/>
                <w:spacing w:val="-2"/>
              </w:rPr>
            </w:pPr>
            <w:r w:rsidRPr="00A006D4">
              <w:rPr>
                <w:rFonts w:ascii="Times New Roman" w:hAnsi="Times New Roman"/>
                <w:color w:val="000000"/>
                <w:spacing w:val="-2"/>
              </w:rPr>
              <w:t>0</w:t>
            </w:r>
          </w:p>
        </w:tc>
      </w:tr>
      <w:tr w:rsidR="00A7232B" w:rsidRPr="00A006D4" w14:paraId="3E76B466" w14:textId="77777777" w:rsidTr="00A7232B">
        <w:trPr>
          <w:trHeight w:val="321"/>
        </w:trPr>
        <w:tc>
          <w:tcPr>
            <w:tcW w:w="2156" w:type="dxa"/>
            <w:gridSpan w:val="2"/>
            <w:shd w:val="clear" w:color="auto" w:fill="FFFFFF"/>
            <w:vAlign w:val="center"/>
          </w:tcPr>
          <w:p w14:paraId="0FC00D1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budżet państwa</w:t>
            </w:r>
          </w:p>
        </w:tc>
        <w:tc>
          <w:tcPr>
            <w:tcW w:w="708" w:type="dxa"/>
            <w:gridSpan w:val="2"/>
            <w:shd w:val="clear" w:color="auto" w:fill="FFFFFF"/>
          </w:tcPr>
          <w:p w14:paraId="55C1E1A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09FA780C"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9" w:type="dxa"/>
            <w:gridSpan w:val="2"/>
            <w:shd w:val="clear" w:color="auto" w:fill="FFFFFF"/>
          </w:tcPr>
          <w:p w14:paraId="68DC168F"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3"/>
            <w:shd w:val="clear" w:color="auto" w:fill="FFFFFF"/>
          </w:tcPr>
          <w:p w14:paraId="5E5A609C"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4C3939C1"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4A698F55"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70" w:type="dxa"/>
            <w:gridSpan w:val="3"/>
            <w:shd w:val="clear" w:color="auto" w:fill="FFFFFF"/>
          </w:tcPr>
          <w:p w14:paraId="4EAC9123"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1" w:type="dxa"/>
            <w:gridSpan w:val="2"/>
            <w:shd w:val="clear" w:color="auto" w:fill="FFFFFF"/>
          </w:tcPr>
          <w:p w14:paraId="4D48BCB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67" w:type="dxa"/>
            <w:gridSpan w:val="3"/>
            <w:shd w:val="clear" w:color="auto" w:fill="FFFFFF"/>
          </w:tcPr>
          <w:p w14:paraId="7A7C7984"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144EB045"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2"/>
            <w:shd w:val="clear" w:color="auto" w:fill="FFFFFF"/>
          </w:tcPr>
          <w:p w14:paraId="29CD0F8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964" w:type="dxa"/>
            <w:gridSpan w:val="2"/>
            <w:shd w:val="clear" w:color="auto" w:fill="FFFFFF"/>
          </w:tcPr>
          <w:p w14:paraId="3AD953F5" w14:textId="77777777" w:rsidR="001D0F43" w:rsidRPr="00A006D4" w:rsidRDefault="001D0F43" w:rsidP="00F20C56">
            <w:pPr>
              <w:spacing w:after="70" w:line="240" w:lineRule="auto"/>
              <w:rPr>
                <w:rFonts w:ascii="Times New Roman" w:hAnsi="Times New Roman"/>
                <w:color w:val="000000"/>
                <w:spacing w:val="-2"/>
              </w:rPr>
            </w:pPr>
            <w:r w:rsidRPr="00A006D4">
              <w:rPr>
                <w:rFonts w:ascii="Times New Roman" w:hAnsi="Times New Roman"/>
                <w:color w:val="000000"/>
                <w:spacing w:val="-2"/>
              </w:rPr>
              <w:t>0</w:t>
            </w:r>
          </w:p>
        </w:tc>
      </w:tr>
      <w:tr w:rsidR="00A7232B" w:rsidRPr="00A006D4" w14:paraId="09177323" w14:textId="77777777" w:rsidTr="00A7232B">
        <w:trPr>
          <w:trHeight w:val="344"/>
        </w:trPr>
        <w:tc>
          <w:tcPr>
            <w:tcW w:w="2156" w:type="dxa"/>
            <w:gridSpan w:val="2"/>
            <w:shd w:val="clear" w:color="auto" w:fill="FFFFFF"/>
            <w:vAlign w:val="center"/>
          </w:tcPr>
          <w:p w14:paraId="6AF3711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JST</w:t>
            </w:r>
          </w:p>
        </w:tc>
        <w:tc>
          <w:tcPr>
            <w:tcW w:w="708" w:type="dxa"/>
            <w:gridSpan w:val="2"/>
            <w:shd w:val="clear" w:color="auto" w:fill="FFFFFF"/>
          </w:tcPr>
          <w:p w14:paraId="1846568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5D712991"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9" w:type="dxa"/>
            <w:gridSpan w:val="2"/>
            <w:shd w:val="clear" w:color="auto" w:fill="FFFFFF"/>
          </w:tcPr>
          <w:p w14:paraId="59547AF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3"/>
            <w:shd w:val="clear" w:color="auto" w:fill="FFFFFF"/>
          </w:tcPr>
          <w:p w14:paraId="18FD2C2C"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4394457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2A38AF08"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70" w:type="dxa"/>
            <w:gridSpan w:val="3"/>
            <w:shd w:val="clear" w:color="auto" w:fill="FFFFFF"/>
          </w:tcPr>
          <w:p w14:paraId="5B9F9B79"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1" w:type="dxa"/>
            <w:gridSpan w:val="2"/>
            <w:shd w:val="clear" w:color="auto" w:fill="FFFFFF"/>
          </w:tcPr>
          <w:p w14:paraId="151C5B6F"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67" w:type="dxa"/>
            <w:gridSpan w:val="3"/>
            <w:shd w:val="clear" w:color="auto" w:fill="FFFFFF"/>
          </w:tcPr>
          <w:p w14:paraId="7BEC6911"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3787B6C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2"/>
            <w:shd w:val="clear" w:color="auto" w:fill="FFFFFF"/>
          </w:tcPr>
          <w:p w14:paraId="6C7B9EAC"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964" w:type="dxa"/>
            <w:gridSpan w:val="2"/>
            <w:shd w:val="clear" w:color="auto" w:fill="FFFFFF"/>
          </w:tcPr>
          <w:p w14:paraId="5D831708" w14:textId="77777777" w:rsidR="001D0F43" w:rsidRPr="00A006D4" w:rsidRDefault="001D0F43" w:rsidP="00F20C56">
            <w:pPr>
              <w:spacing w:after="70" w:line="240" w:lineRule="auto"/>
              <w:rPr>
                <w:rFonts w:ascii="Times New Roman" w:hAnsi="Times New Roman"/>
                <w:color w:val="000000"/>
                <w:spacing w:val="-2"/>
              </w:rPr>
            </w:pPr>
            <w:r w:rsidRPr="00A006D4">
              <w:rPr>
                <w:rFonts w:ascii="Times New Roman" w:hAnsi="Times New Roman"/>
                <w:color w:val="000000"/>
                <w:spacing w:val="-2"/>
              </w:rPr>
              <w:t>0</w:t>
            </w:r>
          </w:p>
        </w:tc>
      </w:tr>
      <w:tr w:rsidR="00A7232B" w:rsidRPr="00A006D4" w14:paraId="518B7892" w14:textId="77777777" w:rsidTr="00A7232B">
        <w:trPr>
          <w:trHeight w:val="344"/>
        </w:trPr>
        <w:tc>
          <w:tcPr>
            <w:tcW w:w="2156" w:type="dxa"/>
            <w:gridSpan w:val="2"/>
            <w:shd w:val="clear" w:color="auto" w:fill="FFFFFF"/>
            <w:vAlign w:val="center"/>
          </w:tcPr>
          <w:p w14:paraId="63A8C86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pozostałe jednostki (oddzielnie)</w:t>
            </w:r>
          </w:p>
        </w:tc>
        <w:tc>
          <w:tcPr>
            <w:tcW w:w="708" w:type="dxa"/>
            <w:gridSpan w:val="2"/>
            <w:shd w:val="clear" w:color="auto" w:fill="FFFFFF"/>
          </w:tcPr>
          <w:p w14:paraId="5D1CE438"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386C1927"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9" w:type="dxa"/>
            <w:gridSpan w:val="2"/>
            <w:shd w:val="clear" w:color="auto" w:fill="FFFFFF"/>
          </w:tcPr>
          <w:p w14:paraId="260DBAB8"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3"/>
            <w:shd w:val="clear" w:color="auto" w:fill="FFFFFF"/>
          </w:tcPr>
          <w:p w14:paraId="77C0FE9B"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41F4716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59AE4D76"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70" w:type="dxa"/>
            <w:gridSpan w:val="3"/>
            <w:shd w:val="clear" w:color="auto" w:fill="FFFFFF"/>
          </w:tcPr>
          <w:p w14:paraId="0EDE7CB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1" w:type="dxa"/>
            <w:gridSpan w:val="2"/>
            <w:shd w:val="clear" w:color="auto" w:fill="FFFFFF"/>
          </w:tcPr>
          <w:p w14:paraId="08623718"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67" w:type="dxa"/>
            <w:gridSpan w:val="3"/>
            <w:shd w:val="clear" w:color="auto" w:fill="FFFFFF"/>
          </w:tcPr>
          <w:p w14:paraId="3AE84E50"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7D112E8C"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2"/>
            <w:shd w:val="clear" w:color="auto" w:fill="FFFFFF"/>
          </w:tcPr>
          <w:p w14:paraId="1733A8BF"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964" w:type="dxa"/>
            <w:gridSpan w:val="2"/>
            <w:shd w:val="clear" w:color="auto" w:fill="FFFFFF"/>
          </w:tcPr>
          <w:p w14:paraId="33DD72D7" w14:textId="77777777" w:rsidR="001D0F43" w:rsidRPr="00A006D4" w:rsidRDefault="001D0F43" w:rsidP="00F20C56">
            <w:pPr>
              <w:spacing w:after="70" w:line="240" w:lineRule="auto"/>
              <w:rPr>
                <w:rFonts w:ascii="Times New Roman" w:hAnsi="Times New Roman"/>
                <w:color w:val="000000"/>
                <w:spacing w:val="-2"/>
              </w:rPr>
            </w:pPr>
            <w:r w:rsidRPr="00A006D4">
              <w:rPr>
                <w:rFonts w:ascii="Times New Roman" w:hAnsi="Times New Roman"/>
                <w:color w:val="000000"/>
                <w:spacing w:val="-2"/>
              </w:rPr>
              <w:t>0</w:t>
            </w:r>
          </w:p>
        </w:tc>
      </w:tr>
      <w:tr w:rsidR="00A7232B" w:rsidRPr="00A006D4" w14:paraId="2EEF20CC" w14:textId="77777777" w:rsidTr="00A7232B">
        <w:trPr>
          <w:trHeight w:val="330"/>
        </w:trPr>
        <w:tc>
          <w:tcPr>
            <w:tcW w:w="2156" w:type="dxa"/>
            <w:gridSpan w:val="2"/>
            <w:shd w:val="clear" w:color="auto" w:fill="FFFFFF"/>
            <w:vAlign w:val="center"/>
          </w:tcPr>
          <w:p w14:paraId="6E9D6A67"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b/>
                <w:color w:val="000000"/>
              </w:rPr>
              <w:t>Wydatki ogółem</w:t>
            </w:r>
          </w:p>
        </w:tc>
        <w:tc>
          <w:tcPr>
            <w:tcW w:w="708" w:type="dxa"/>
            <w:gridSpan w:val="2"/>
            <w:shd w:val="clear" w:color="auto" w:fill="FFFFFF"/>
          </w:tcPr>
          <w:p w14:paraId="2807EACE"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52C79E34"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9" w:type="dxa"/>
            <w:gridSpan w:val="2"/>
            <w:shd w:val="clear" w:color="auto" w:fill="FFFFFF"/>
          </w:tcPr>
          <w:p w14:paraId="4F0D01AA"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3"/>
            <w:shd w:val="clear" w:color="auto" w:fill="FFFFFF"/>
          </w:tcPr>
          <w:p w14:paraId="4105A941"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851" w:type="dxa"/>
            <w:gridSpan w:val="2"/>
            <w:shd w:val="clear" w:color="auto" w:fill="FFFFFF"/>
          </w:tcPr>
          <w:p w14:paraId="113AFBEE"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1EDFA0B8"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70" w:type="dxa"/>
            <w:gridSpan w:val="3"/>
            <w:shd w:val="clear" w:color="auto" w:fill="FFFFFF"/>
          </w:tcPr>
          <w:p w14:paraId="042582B9"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1" w:type="dxa"/>
            <w:gridSpan w:val="2"/>
            <w:shd w:val="clear" w:color="auto" w:fill="FFFFFF"/>
          </w:tcPr>
          <w:p w14:paraId="2E149873"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567" w:type="dxa"/>
            <w:gridSpan w:val="3"/>
            <w:shd w:val="clear" w:color="auto" w:fill="FFFFFF"/>
          </w:tcPr>
          <w:p w14:paraId="672931D1"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426" w:type="dxa"/>
            <w:shd w:val="clear" w:color="auto" w:fill="FFFFFF"/>
          </w:tcPr>
          <w:p w14:paraId="3269080D"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708" w:type="dxa"/>
            <w:gridSpan w:val="2"/>
            <w:shd w:val="clear" w:color="auto" w:fill="FFFFFF"/>
          </w:tcPr>
          <w:p w14:paraId="0266AE7F" w14:textId="77777777" w:rsidR="001D0F43" w:rsidRPr="00A006D4" w:rsidRDefault="001D0F43" w:rsidP="00F20C56">
            <w:pPr>
              <w:spacing w:after="70" w:line="240" w:lineRule="auto"/>
              <w:rPr>
                <w:rFonts w:ascii="Times New Roman" w:hAnsi="Times New Roman"/>
                <w:color w:val="000000"/>
              </w:rPr>
            </w:pPr>
            <w:r w:rsidRPr="00A006D4">
              <w:rPr>
                <w:rFonts w:ascii="Times New Roman" w:hAnsi="Times New Roman"/>
                <w:color w:val="000000"/>
              </w:rPr>
              <w:t>0</w:t>
            </w:r>
          </w:p>
        </w:tc>
        <w:tc>
          <w:tcPr>
            <w:tcW w:w="964" w:type="dxa"/>
            <w:gridSpan w:val="2"/>
            <w:shd w:val="clear" w:color="auto" w:fill="FFFFFF"/>
          </w:tcPr>
          <w:p w14:paraId="3840F476" w14:textId="77777777" w:rsidR="001D0F43" w:rsidRPr="00A006D4" w:rsidRDefault="001D0F43" w:rsidP="00F20C56">
            <w:pPr>
              <w:spacing w:after="70" w:line="240" w:lineRule="auto"/>
              <w:rPr>
                <w:rFonts w:ascii="Times New Roman" w:hAnsi="Times New Roman"/>
                <w:color w:val="000000"/>
                <w:spacing w:val="-2"/>
              </w:rPr>
            </w:pPr>
            <w:r w:rsidRPr="00A006D4">
              <w:rPr>
                <w:rFonts w:ascii="Times New Roman" w:hAnsi="Times New Roman"/>
                <w:color w:val="000000"/>
                <w:spacing w:val="-2"/>
              </w:rPr>
              <w:t>0</w:t>
            </w:r>
          </w:p>
        </w:tc>
      </w:tr>
      <w:tr w:rsidR="00A7232B" w:rsidRPr="00A006D4" w14:paraId="19505B85" w14:textId="77777777" w:rsidTr="00A7232B">
        <w:trPr>
          <w:trHeight w:val="330"/>
        </w:trPr>
        <w:tc>
          <w:tcPr>
            <w:tcW w:w="2156" w:type="dxa"/>
            <w:gridSpan w:val="2"/>
            <w:shd w:val="clear" w:color="auto" w:fill="FFFFFF"/>
            <w:vAlign w:val="center"/>
          </w:tcPr>
          <w:p w14:paraId="26C9F8FE" w14:textId="77777777" w:rsidR="00DF0855" w:rsidRPr="00A006D4" w:rsidRDefault="00DF0855" w:rsidP="00DF0855">
            <w:pPr>
              <w:spacing w:after="70" w:line="240" w:lineRule="auto"/>
              <w:rPr>
                <w:rFonts w:ascii="Times New Roman" w:hAnsi="Times New Roman"/>
                <w:color w:val="000000"/>
              </w:rPr>
            </w:pPr>
            <w:r w:rsidRPr="00A006D4">
              <w:rPr>
                <w:rFonts w:ascii="Times New Roman" w:hAnsi="Times New Roman"/>
                <w:color w:val="000000"/>
              </w:rPr>
              <w:t>budżet państwa</w:t>
            </w:r>
          </w:p>
        </w:tc>
        <w:tc>
          <w:tcPr>
            <w:tcW w:w="708" w:type="dxa"/>
            <w:gridSpan w:val="2"/>
            <w:shd w:val="clear" w:color="auto" w:fill="FFFFFF"/>
          </w:tcPr>
          <w:p w14:paraId="2D61FBAC" w14:textId="10259EF2" w:rsidR="00DF0855" w:rsidRPr="00A006D4" w:rsidRDefault="000948D7" w:rsidP="00DF0855">
            <w:pPr>
              <w:spacing w:after="70" w:line="240" w:lineRule="auto"/>
              <w:rPr>
                <w:rFonts w:ascii="Times New Roman" w:hAnsi="Times New Roman"/>
                <w:color w:val="000000"/>
              </w:rPr>
            </w:pPr>
            <w:r>
              <w:rPr>
                <w:rFonts w:ascii="Times New Roman" w:hAnsi="Times New Roman"/>
                <w:color w:val="000000"/>
              </w:rPr>
              <w:t>0,99</w:t>
            </w:r>
          </w:p>
        </w:tc>
        <w:tc>
          <w:tcPr>
            <w:tcW w:w="851" w:type="dxa"/>
            <w:gridSpan w:val="2"/>
            <w:shd w:val="clear" w:color="auto" w:fill="FFFFFF"/>
          </w:tcPr>
          <w:p w14:paraId="2300AF55" w14:textId="3AB471D1" w:rsidR="00DF0855" w:rsidRPr="00A006D4" w:rsidRDefault="00196139" w:rsidP="00477122">
            <w:pPr>
              <w:spacing w:after="70" w:line="240" w:lineRule="auto"/>
              <w:rPr>
                <w:rFonts w:ascii="Times New Roman" w:hAnsi="Times New Roman"/>
                <w:color w:val="000000"/>
              </w:rPr>
            </w:pPr>
            <w:r>
              <w:rPr>
                <w:rFonts w:ascii="Times New Roman" w:hAnsi="Times New Roman"/>
                <w:color w:val="000000"/>
              </w:rPr>
              <w:t>31,5</w:t>
            </w:r>
          </w:p>
        </w:tc>
        <w:tc>
          <w:tcPr>
            <w:tcW w:w="709" w:type="dxa"/>
            <w:gridSpan w:val="2"/>
            <w:shd w:val="clear" w:color="auto" w:fill="FFFFFF"/>
          </w:tcPr>
          <w:p w14:paraId="6C530C0B" w14:textId="377F1FD1" w:rsidR="00DF0855" w:rsidRPr="00A006D4" w:rsidRDefault="00196139" w:rsidP="00010B27">
            <w:pPr>
              <w:spacing w:after="70" w:line="240" w:lineRule="auto"/>
              <w:rPr>
                <w:rFonts w:ascii="Times New Roman" w:hAnsi="Times New Roman"/>
                <w:color w:val="000000"/>
              </w:rPr>
            </w:pPr>
            <w:r>
              <w:rPr>
                <w:rFonts w:ascii="Times New Roman" w:hAnsi="Times New Roman"/>
                <w:color w:val="000000"/>
              </w:rPr>
              <w:t>39,9</w:t>
            </w:r>
          </w:p>
        </w:tc>
        <w:tc>
          <w:tcPr>
            <w:tcW w:w="708" w:type="dxa"/>
            <w:gridSpan w:val="3"/>
            <w:shd w:val="clear" w:color="auto" w:fill="FFFFFF"/>
          </w:tcPr>
          <w:p w14:paraId="4901FCBA" w14:textId="22F453F1" w:rsidR="00DF0855" w:rsidRPr="00A006D4" w:rsidRDefault="00196139">
            <w:pPr>
              <w:spacing w:after="70" w:line="240" w:lineRule="auto"/>
              <w:rPr>
                <w:rFonts w:ascii="Times New Roman" w:hAnsi="Times New Roman"/>
                <w:color w:val="000000"/>
              </w:rPr>
            </w:pPr>
            <w:r>
              <w:rPr>
                <w:rFonts w:ascii="Times New Roman" w:hAnsi="Times New Roman"/>
                <w:color w:val="000000"/>
              </w:rPr>
              <w:t>25,4</w:t>
            </w:r>
          </w:p>
        </w:tc>
        <w:tc>
          <w:tcPr>
            <w:tcW w:w="851" w:type="dxa"/>
            <w:gridSpan w:val="2"/>
            <w:shd w:val="clear" w:color="auto" w:fill="FFFFFF"/>
          </w:tcPr>
          <w:p w14:paraId="6C4959CA" w14:textId="5DCC322C" w:rsidR="00DF0855" w:rsidRPr="00A006D4" w:rsidRDefault="00196139" w:rsidP="00477122">
            <w:pPr>
              <w:spacing w:after="70" w:line="240" w:lineRule="auto"/>
              <w:rPr>
                <w:rFonts w:ascii="Times New Roman" w:hAnsi="Times New Roman"/>
                <w:color w:val="000000"/>
              </w:rPr>
            </w:pPr>
            <w:r>
              <w:rPr>
                <w:rFonts w:ascii="Times New Roman" w:hAnsi="Times New Roman"/>
                <w:color w:val="000000"/>
              </w:rPr>
              <w:t>10,75</w:t>
            </w:r>
          </w:p>
        </w:tc>
        <w:tc>
          <w:tcPr>
            <w:tcW w:w="426" w:type="dxa"/>
            <w:shd w:val="clear" w:color="auto" w:fill="FFFFFF"/>
          </w:tcPr>
          <w:p w14:paraId="55067BA4" w14:textId="5A505CD6" w:rsidR="00DF0855" w:rsidRPr="00A006D4" w:rsidRDefault="00DF0855" w:rsidP="00477122">
            <w:pPr>
              <w:spacing w:after="70" w:line="240" w:lineRule="auto"/>
              <w:rPr>
                <w:rFonts w:ascii="Times New Roman" w:hAnsi="Times New Roman"/>
                <w:color w:val="000000"/>
              </w:rPr>
            </w:pPr>
          </w:p>
        </w:tc>
        <w:tc>
          <w:tcPr>
            <w:tcW w:w="570" w:type="dxa"/>
            <w:gridSpan w:val="3"/>
            <w:shd w:val="clear" w:color="auto" w:fill="FFFFFF"/>
            <w:vAlign w:val="bottom"/>
          </w:tcPr>
          <w:p w14:paraId="74C213B9" w14:textId="58066AC3" w:rsidR="00DF0855" w:rsidRPr="00A006D4" w:rsidRDefault="00DF0855" w:rsidP="00DF0855">
            <w:pPr>
              <w:spacing w:after="70" w:line="240" w:lineRule="auto"/>
              <w:rPr>
                <w:rFonts w:ascii="Times New Roman" w:hAnsi="Times New Roman"/>
                <w:color w:val="000000"/>
              </w:rPr>
            </w:pPr>
          </w:p>
        </w:tc>
        <w:tc>
          <w:tcPr>
            <w:tcW w:w="421" w:type="dxa"/>
            <w:gridSpan w:val="2"/>
            <w:shd w:val="clear" w:color="auto" w:fill="FFFFFF"/>
            <w:vAlign w:val="bottom"/>
          </w:tcPr>
          <w:p w14:paraId="547B958B" w14:textId="093A9FB2" w:rsidR="00DF0855" w:rsidRPr="00A006D4" w:rsidRDefault="00DF0855" w:rsidP="00DF0855">
            <w:pPr>
              <w:spacing w:after="70" w:line="240" w:lineRule="auto"/>
              <w:rPr>
                <w:rFonts w:ascii="Times New Roman" w:hAnsi="Times New Roman"/>
                <w:color w:val="000000"/>
              </w:rPr>
            </w:pPr>
          </w:p>
        </w:tc>
        <w:tc>
          <w:tcPr>
            <w:tcW w:w="567" w:type="dxa"/>
            <w:gridSpan w:val="3"/>
            <w:shd w:val="clear" w:color="auto" w:fill="FFFFFF"/>
            <w:vAlign w:val="bottom"/>
          </w:tcPr>
          <w:p w14:paraId="2424E0B8" w14:textId="290D35E0" w:rsidR="00DF0855" w:rsidRPr="00A006D4" w:rsidRDefault="00DF0855" w:rsidP="00DF0855">
            <w:pPr>
              <w:spacing w:after="70" w:line="240" w:lineRule="auto"/>
              <w:rPr>
                <w:rFonts w:ascii="Times New Roman" w:hAnsi="Times New Roman"/>
                <w:color w:val="000000"/>
              </w:rPr>
            </w:pPr>
          </w:p>
        </w:tc>
        <w:tc>
          <w:tcPr>
            <w:tcW w:w="426" w:type="dxa"/>
            <w:shd w:val="clear" w:color="auto" w:fill="FFFFFF"/>
            <w:vAlign w:val="bottom"/>
          </w:tcPr>
          <w:p w14:paraId="35CDC9E9" w14:textId="7AD88D6A" w:rsidR="00DF0855" w:rsidRPr="00A006D4" w:rsidRDefault="00DF0855" w:rsidP="00DF0855">
            <w:pPr>
              <w:spacing w:after="70" w:line="240" w:lineRule="auto"/>
              <w:rPr>
                <w:rFonts w:ascii="Times New Roman" w:hAnsi="Times New Roman"/>
                <w:color w:val="000000"/>
              </w:rPr>
            </w:pPr>
          </w:p>
        </w:tc>
        <w:tc>
          <w:tcPr>
            <w:tcW w:w="708" w:type="dxa"/>
            <w:gridSpan w:val="2"/>
            <w:shd w:val="clear" w:color="auto" w:fill="FFFFFF"/>
            <w:vAlign w:val="bottom"/>
          </w:tcPr>
          <w:p w14:paraId="32C7CC08" w14:textId="60B620CE" w:rsidR="00DF0855" w:rsidRPr="00A006D4" w:rsidRDefault="00DF0855" w:rsidP="00DF0855">
            <w:pPr>
              <w:spacing w:after="70" w:line="240" w:lineRule="auto"/>
              <w:rPr>
                <w:rFonts w:ascii="Times New Roman" w:hAnsi="Times New Roman"/>
                <w:color w:val="000000"/>
              </w:rPr>
            </w:pPr>
          </w:p>
        </w:tc>
        <w:tc>
          <w:tcPr>
            <w:tcW w:w="964" w:type="dxa"/>
            <w:gridSpan w:val="2"/>
            <w:shd w:val="clear" w:color="auto" w:fill="FFFFFF"/>
            <w:vAlign w:val="bottom"/>
          </w:tcPr>
          <w:p w14:paraId="35EB2753" w14:textId="46155E12" w:rsidR="00DF0855" w:rsidRPr="00A006D4" w:rsidRDefault="00196139" w:rsidP="00DF0855">
            <w:pPr>
              <w:spacing w:after="70" w:line="240" w:lineRule="auto"/>
              <w:rPr>
                <w:rFonts w:ascii="Times New Roman" w:hAnsi="Times New Roman"/>
                <w:color w:val="000000"/>
                <w:spacing w:val="-2"/>
              </w:rPr>
            </w:pPr>
            <w:r>
              <w:rPr>
                <w:rFonts w:ascii="Times New Roman" w:hAnsi="Times New Roman"/>
                <w:color w:val="000000"/>
                <w:spacing w:val="-2"/>
              </w:rPr>
              <w:t>108,54</w:t>
            </w:r>
          </w:p>
        </w:tc>
      </w:tr>
      <w:tr w:rsidR="001D5B0B" w:rsidRPr="00F20C56" w14:paraId="1091E783" w14:textId="77777777" w:rsidTr="00F12920">
        <w:trPr>
          <w:trHeight w:val="351"/>
        </w:trPr>
        <w:tc>
          <w:tcPr>
            <w:tcW w:w="2156" w:type="dxa"/>
            <w:gridSpan w:val="2"/>
            <w:shd w:val="clear" w:color="auto" w:fill="FFFFFF"/>
            <w:vAlign w:val="center"/>
          </w:tcPr>
          <w:p w14:paraId="3AD3B1EB"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JST</w:t>
            </w:r>
          </w:p>
        </w:tc>
        <w:tc>
          <w:tcPr>
            <w:tcW w:w="708" w:type="dxa"/>
            <w:gridSpan w:val="2"/>
            <w:shd w:val="clear" w:color="auto" w:fill="FFFFFF"/>
          </w:tcPr>
          <w:p w14:paraId="665D4B7A"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851" w:type="dxa"/>
            <w:gridSpan w:val="2"/>
            <w:shd w:val="clear" w:color="auto" w:fill="FFFFFF"/>
          </w:tcPr>
          <w:p w14:paraId="24256F9F"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709" w:type="dxa"/>
            <w:gridSpan w:val="2"/>
            <w:shd w:val="clear" w:color="auto" w:fill="FFFFFF"/>
          </w:tcPr>
          <w:p w14:paraId="4B37FA9B"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708" w:type="dxa"/>
            <w:gridSpan w:val="3"/>
            <w:shd w:val="clear" w:color="auto" w:fill="FFFFFF"/>
          </w:tcPr>
          <w:p w14:paraId="3D95EFF7"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851" w:type="dxa"/>
            <w:gridSpan w:val="2"/>
            <w:shd w:val="clear" w:color="auto" w:fill="FFFFFF"/>
          </w:tcPr>
          <w:p w14:paraId="3C23A089"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426" w:type="dxa"/>
            <w:shd w:val="clear" w:color="auto" w:fill="FFFFFF"/>
          </w:tcPr>
          <w:p w14:paraId="3DD27E63"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570" w:type="dxa"/>
            <w:gridSpan w:val="3"/>
            <w:shd w:val="clear" w:color="auto" w:fill="FFFFFF"/>
          </w:tcPr>
          <w:p w14:paraId="4F4774E7"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421" w:type="dxa"/>
            <w:gridSpan w:val="2"/>
            <w:shd w:val="clear" w:color="auto" w:fill="FFFFFF"/>
          </w:tcPr>
          <w:p w14:paraId="035CB310"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567" w:type="dxa"/>
            <w:gridSpan w:val="3"/>
            <w:shd w:val="clear" w:color="auto" w:fill="FFFFFF"/>
          </w:tcPr>
          <w:p w14:paraId="164E2AEE"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426" w:type="dxa"/>
            <w:shd w:val="clear" w:color="auto" w:fill="FFFFFF"/>
          </w:tcPr>
          <w:p w14:paraId="4FD1B631"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708" w:type="dxa"/>
            <w:gridSpan w:val="2"/>
            <w:shd w:val="clear" w:color="auto" w:fill="FFFFFF"/>
          </w:tcPr>
          <w:p w14:paraId="3B474573" w14:textId="77777777" w:rsidR="001D0F43" w:rsidRPr="00F20C56" w:rsidRDefault="001D0F43" w:rsidP="00F20C56">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0</w:t>
            </w:r>
          </w:p>
        </w:tc>
        <w:tc>
          <w:tcPr>
            <w:tcW w:w="964" w:type="dxa"/>
            <w:gridSpan w:val="2"/>
            <w:shd w:val="clear" w:color="auto" w:fill="FFFFFF"/>
          </w:tcPr>
          <w:p w14:paraId="384029D7" w14:textId="77777777" w:rsidR="001D0F43" w:rsidRPr="00F20C56" w:rsidRDefault="001D0F43" w:rsidP="00F20C56">
            <w:pPr>
              <w:spacing w:after="70" w:line="240" w:lineRule="auto"/>
              <w:rPr>
                <w:rFonts w:ascii="Times New Roman" w:hAnsi="Times New Roman"/>
                <w:color w:val="000000"/>
                <w:spacing w:val="-2"/>
                <w:sz w:val="24"/>
                <w:szCs w:val="24"/>
              </w:rPr>
            </w:pPr>
            <w:r w:rsidRPr="00F20C56">
              <w:rPr>
                <w:rFonts w:ascii="Times New Roman" w:hAnsi="Times New Roman"/>
                <w:color w:val="000000"/>
                <w:spacing w:val="-2"/>
                <w:sz w:val="24"/>
                <w:szCs w:val="24"/>
              </w:rPr>
              <w:t>0</w:t>
            </w:r>
          </w:p>
        </w:tc>
      </w:tr>
      <w:tr w:rsidR="001D5B0B" w:rsidRPr="00A006D4" w14:paraId="60C1EFD3" w14:textId="77777777" w:rsidTr="00F12920">
        <w:trPr>
          <w:trHeight w:val="351"/>
        </w:trPr>
        <w:tc>
          <w:tcPr>
            <w:tcW w:w="2156" w:type="dxa"/>
            <w:gridSpan w:val="2"/>
            <w:shd w:val="clear" w:color="auto" w:fill="FFFFFF"/>
            <w:vAlign w:val="center"/>
          </w:tcPr>
          <w:p w14:paraId="486B4E3A" w14:textId="0FFE226A" w:rsidR="005E38F4" w:rsidRPr="00A006D4" w:rsidRDefault="001D0F43" w:rsidP="002339C2">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pozostałe jednostki (oddzielnie)</w:t>
            </w:r>
          </w:p>
        </w:tc>
        <w:tc>
          <w:tcPr>
            <w:tcW w:w="708" w:type="dxa"/>
            <w:gridSpan w:val="2"/>
            <w:shd w:val="clear" w:color="auto" w:fill="FFFFFF"/>
          </w:tcPr>
          <w:p w14:paraId="57A4E567"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6C01948E"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9" w:type="dxa"/>
            <w:gridSpan w:val="2"/>
            <w:shd w:val="clear" w:color="auto" w:fill="FFFFFF"/>
          </w:tcPr>
          <w:p w14:paraId="13ACFA42"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3"/>
            <w:shd w:val="clear" w:color="auto" w:fill="FFFFFF"/>
          </w:tcPr>
          <w:p w14:paraId="6E097464"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7BC305ED"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03C760FE"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70" w:type="dxa"/>
            <w:gridSpan w:val="3"/>
            <w:shd w:val="clear" w:color="auto" w:fill="FFFFFF"/>
          </w:tcPr>
          <w:p w14:paraId="12E0A88C"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1" w:type="dxa"/>
            <w:gridSpan w:val="2"/>
            <w:shd w:val="clear" w:color="auto" w:fill="FFFFFF"/>
          </w:tcPr>
          <w:p w14:paraId="4FAEC625"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67" w:type="dxa"/>
            <w:gridSpan w:val="3"/>
            <w:shd w:val="clear" w:color="auto" w:fill="FFFFFF"/>
          </w:tcPr>
          <w:p w14:paraId="7EF4579F"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7ED27B53"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2"/>
            <w:shd w:val="clear" w:color="auto" w:fill="FFFFFF"/>
          </w:tcPr>
          <w:p w14:paraId="6BD21610" w14:textId="77777777" w:rsidR="001D0F43" w:rsidRPr="00A006D4" w:rsidRDefault="001D0F43" w:rsidP="00F20C56">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964" w:type="dxa"/>
            <w:gridSpan w:val="2"/>
            <w:shd w:val="clear" w:color="auto" w:fill="FFFFFF"/>
          </w:tcPr>
          <w:p w14:paraId="75A547D7" w14:textId="77777777" w:rsidR="001D0F43" w:rsidRPr="00A006D4" w:rsidRDefault="001D0F43" w:rsidP="00F20C56">
            <w:pPr>
              <w:spacing w:after="70" w:line="240" w:lineRule="auto"/>
              <w:rPr>
                <w:rFonts w:ascii="Times New Roman" w:hAnsi="Times New Roman"/>
                <w:color w:val="000000"/>
                <w:spacing w:val="-2"/>
                <w:sz w:val="24"/>
                <w:szCs w:val="24"/>
              </w:rPr>
            </w:pPr>
            <w:r w:rsidRPr="00A006D4">
              <w:rPr>
                <w:rFonts w:ascii="Times New Roman" w:hAnsi="Times New Roman"/>
                <w:color w:val="000000"/>
                <w:spacing w:val="-2"/>
                <w:sz w:val="24"/>
                <w:szCs w:val="24"/>
              </w:rPr>
              <w:t>0</w:t>
            </w:r>
          </w:p>
        </w:tc>
      </w:tr>
      <w:tr w:rsidR="00B60803" w:rsidRPr="00A006D4" w14:paraId="1E3129C4" w14:textId="77777777" w:rsidTr="001D5B0B">
        <w:trPr>
          <w:trHeight w:val="360"/>
        </w:trPr>
        <w:tc>
          <w:tcPr>
            <w:tcW w:w="2156" w:type="dxa"/>
            <w:gridSpan w:val="2"/>
            <w:shd w:val="clear" w:color="auto" w:fill="FFFFFF"/>
            <w:vAlign w:val="center"/>
          </w:tcPr>
          <w:p w14:paraId="0B1A6113"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b/>
                <w:color w:val="000000"/>
                <w:sz w:val="24"/>
                <w:szCs w:val="24"/>
              </w:rPr>
              <w:lastRenderedPageBreak/>
              <w:t>Saldo ogółem</w:t>
            </w:r>
          </w:p>
        </w:tc>
        <w:tc>
          <w:tcPr>
            <w:tcW w:w="708" w:type="dxa"/>
            <w:gridSpan w:val="2"/>
            <w:shd w:val="clear" w:color="auto" w:fill="FFFFFF"/>
          </w:tcPr>
          <w:p w14:paraId="0E0ACD34" w14:textId="4116FEEF" w:rsidR="00196139" w:rsidRPr="00A006D4" w:rsidRDefault="00196139" w:rsidP="00196139">
            <w:pPr>
              <w:spacing w:after="70" w:line="240" w:lineRule="auto"/>
              <w:rPr>
                <w:rFonts w:ascii="Times New Roman" w:hAnsi="Times New Roman"/>
                <w:color w:val="000000"/>
                <w:sz w:val="24"/>
                <w:szCs w:val="24"/>
              </w:rPr>
            </w:pPr>
            <w:r>
              <w:rPr>
                <w:rFonts w:ascii="Times New Roman" w:hAnsi="Times New Roman"/>
                <w:color w:val="000000"/>
              </w:rPr>
              <w:t>0,99</w:t>
            </w:r>
          </w:p>
        </w:tc>
        <w:tc>
          <w:tcPr>
            <w:tcW w:w="851" w:type="dxa"/>
            <w:gridSpan w:val="2"/>
            <w:shd w:val="clear" w:color="auto" w:fill="FFFFFF"/>
          </w:tcPr>
          <w:p w14:paraId="4F6EF950" w14:textId="3CC6AD35" w:rsidR="00196139" w:rsidRPr="00A006D4" w:rsidRDefault="00196139" w:rsidP="00196139">
            <w:pPr>
              <w:spacing w:after="70" w:line="240" w:lineRule="auto"/>
              <w:rPr>
                <w:rFonts w:ascii="Times New Roman" w:hAnsi="Times New Roman"/>
                <w:color w:val="000000"/>
                <w:sz w:val="24"/>
                <w:szCs w:val="24"/>
              </w:rPr>
            </w:pPr>
            <w:r>
              <w:rPr>
                <w:rFonts w:ascii="Times New Roman" w:hAnsi="Times New Roman"/>
                <w:color w:val="000000"/>
              </w:rPr>
              <w:t>31,5</w:t>
            </w:r>
          </w:p>
        </w:tc>
        <w:tc>
          <w:tcPr>
            <w:tcW w:w="709" w:type="dxa"/>
            <w:gridSpan w:val="2"/>
            <w:shd w:val="clear" w:color="auto" w:fill="FFFFFF"/>
          </w:tcPr>
          <w:p w14:paraId="6F5F5F75" w14:textId="2CEFADD6" w:rsidR="00196139" w:rsidRPr="00A006D4" w:rsidRDefault="00196139" w:rsidP="00010B27">
            <w:pPr>
              <w:spacing w:after="70" w:line="240" w:lineRule="auto"/>
              <w:rPr>
                <w:rFonts w:ascii="Times New Roman" w:hAnsi="Times New Roman"/>
                <w:color w:val="000000"/>
                <w:sz w:val="24"/>
                <w:szCs w:val="24"/>
              </w:rPr>
            </w:pPr>
            <w:r>
              <w:rPr>
                <w:rFonts w:ascii="Times New Roman" w:hAnsi="Times New Roman"/>
                <w:color w:val="000000"/>
              </w:rPr>
              <w:t>39,9</w:t>
            </w:r>
          </w:p>
        </w:tc>
        <w:tc>
          <w:tcPr>
            <w:tcW w:w="708" w:type="dxa"/>
            <w:gridSpan w:val="3"/>
            <w:shd w:val="clear" w:color="auto" w:fill="FFFFFF"/>
          </w:tcPr>
          <w:p w14:paraId="38DDECD6" w14:textId="01ECAD95" w:rsidR="00196139" w:rsidRPr="00A006D4" w:rsidRDefault="00196139" w:rsidP="00010B27">
            <w:pPr>
              <w:spacing w:after="70" w:line="240" w:lineRule="auto"/>
              <w:rPr>
                <w:rFonts w:ascii="Times New Roman" w:hAnsi="Times New Roman"/>
                <w:color w:val="000000"/>
                <w:sz w:val="24"/>
                <w:szCs w:val="24"/>
              </w:rPr>
            </w:pPr>
            <w:r>
              <w:rPr>
                <w:rFonts w:ascii="Times New Roman" w:hAnsi="Times New Roman"/>
                <w:color w:val="000000"/>
              </w:rPr>
              <w:t>25,4</w:t>
            </w:r>
          </w:p>
        </w:tc>
        <w:tc>
          <w:tcPr>
            <w:tcW w:w="851" w:type="dxa"/>
            <w:gridSpan w:val="2"/>
            <w:shd w:val="clear" w:color="auto" w:fill="FFFFFF"/>
          </w:tcPr>
          <w:p w14:paraId="34D3A5C9" w14:textId="5AD8394C" w:rsidR="00196139" w:rsidRPr="00A006D4" w:rsidRDefault="00196139" w:rsidP="00196139">
            <w:pPr>
              <w:spacing w:after="70" w:line="240" w:lineRule="auto"/>
              <w:rPr>
                <w:rFonts w:ascii="Times New Roman" w:hAnsi="Times New Roman"/>
                <w:color w:val="000000"/>
                <w:sz w:val="24"/>
                <w:szCs w:val="24"/>
              </w:rPr>
            </w:pPr>
            <w:r>
              <w:rPr>
                <w:rFonts w:ascii="Times New Roman" w:hAnsi="Times New Roman"/>
                <w:color w:val="000000"/>
              </w:rPr>
              <w:t>10,75</w:t>
            </w:r>
          </w:p>
        </w:tc>
        <w:tc>
          <w:tcPr>
            <w:tcW w:w="426" w:type="dxa"/>
            <w:shd w:val="clear" w:color="auto" w:fill="FFFFFF"/>
            <w:vAlign w:val="bottom"/>
          </w:tcPr>
          <w:p w14:paraId="368BD3E8" w14:textId="6FCBE180" w:rsidR="00196139" w:rsidRPr="00A006D4" w:rsidRDefault="00196139" w:rsidP="00196139">
            <w:pPr>
              <w:spacing w:after="70" w:line="240" w:lineRule="auto"/>
              <w:rPr>
                <w:rFonts w:ascii="Times New Roman" w:hAnsi="Times New Roman"/>
                <w:color w:val="000000"/>
                <w:sz w:val="24"/>
                <w:szCs w:val="24"/>
              </w:rPr>
            </w:pPr>
          </w:p>
        </w:tc>
        <w:tc>
          <w:tcPr>
            <w:tcW w:w="570" w:type="dxa"/>
            <w:gridSpan w:val="3"/>
            <w:shd w:val="clear" w:color="auto" w:fill="FFFFFF"/>
            <w:vAlign w:val="bottom"/>
          </w:tcPr>
          <w:p w14:paraId="2D4D347D" w14:textId="7B96EA6D" w:rsidR="00196139" w:rsidRPr="00A006D4" w:rsidRDefault="00196139" w:rsidP="00196139">
            <w:pPr>
              <w:spacing w:after="70" w:line="240" w:lineRule="auto"/>
              <w:rPr>
                <w:rFonts w:ascii="Times New Roman" w:hAnsi="Times New Roman"/>
                <w:color w:val="000000"/>
                <w:sz w:val="24"/>
                <w:szCs w:val="24"/>
              </w:rPr>
            </w:pPr>
          </w:p>
        </w:tc>
        <w:tc>
          <w:tcPr>
            <w:tcW w:w="421" w:type="dxa"/>
            <w:gridSpan w:val="2"/>
            <w:shd w:val="clear" w:color="auto" w:fill="FFFFFF"/>
            <w:vAlign w:val="bottom"/>
          </w:tcPr>
          <w:p w14:paraId="05E364A6" w14:textId="67AC6356" w:rsidR="00196139" w:rsidRPr="00A006D4" w:rsidRDefault="00196139" w:rsidP="00196139">
            <w:pPr>
              <w:spacing w:after="70" w:line="240" w:lineRule="auto"/>
              <w:rPr>
                <w:rFonts w:ascii="Times New Roman" w:hAnsi="Times New Roman"/>
                <w:color w:val="000000"/>
                <w:sz w:val="24"/>
                <w:szCs w:val="24"/>
              </w:rPr>
            </w:pPr>
          </w:p>
        </w:tc>
        <w:tc>
          <w:tcPr>
            <w:tcW w:w="567" w:type="dxa"/>
            <w:gridSpan w:val="3"/>
            <w:shd w:val="clear" w:color="auto" w:fill="FFFFFF"/>
            <w:vAlign w:val="bottom"/>
          </w:tcPr>
          <w:p w14:paraId="7F98E17C" w14:textId="5B6BD14D" w:rsidR="00196139" w:rsidRPr="00A006D4" w:rsidRDefault="00196139" w:rsidP="00196139">
            <w:pPr>
              <w:spacing w:after="70" w:line="240" w:lineRule="auto"/>
              <w:rPr>
                <w:rFonts w:ascii="Times New Roman" w:hAnsi="Times New Roman"/>
                <w:color w:val="000000"/>
                <w:sz w:val="24"/>
                <w:szCs w:val="24"/>
              </w:rPr>
            </w:pPr>
          </w:p>
        </w:tc>
        <w:tc>
          <w:tcPr>
            <w:tcW w:w="426" w:type="dxa"/>
            <w:shd w:val="clear" w:color="auto" w:fill="FFFFFF"/>
            <w:vAlign w:val="bottom"/>
          </w:tcPr>
          <w:p w14:paraId="270F4031" w14:textId="524968DD" w:rsidR="00196139" w:rsidRPr="00A006D4" w:rsidRDefault="00196139" w:rsidP="00196139">
            <w:pPr>
              <w:spacing w:after="70" w:line="240" w:lineRule="auto"/>
              <w:rPr>
                <w:rFonts w:ascii="Times New Roman" w:hAnsi="Times New Roman"/>
                <w:color w:val="000000"/>
                <w:sz w:val="24"/>
                <w:szCs w:val="24"/>
              </w:rPr>
            </w:pPr>
          </w:p>
        </w:tc>
        <w:tc>
          <w:tcPr>
            <w:tcW w:w="708" w:type="dxa"/>
            <w:gridSpan w:val="2"/>
            <w:shd w:val="clear" w:color="auto" w:fill="FFFFFF"/>
            <w:vAlign w:val="bottom"/>
          </w:tcPr>
          <w:p w14:paraId="0F1E723E" w14:textId="6548C3B8" w:rsidR="00196139" w:rsidRPr="00A006D4" w:rsidRDefault="00196139" w:rsidP="00196139">
            <w:pPr>
              <w:spacing w:after="70" w:line="240" w:lineRule="auto"/>
              <w:rPr>
                <w:rFonts w:ascii="Times New Roman" w:hAnsi="Times New Roman"/>
                <w:color w:val="000000"/>
                <w:sz w:val="24"/>
                <w:szCs w:val="24"/>
              </w:rPr>
            </w:pPr>
          </w:p>
        </w:tc>
        <w:tc>
          <w:tcPr>
            <w:tcW w:w="964" w:type="dxa"/>
            <w:gridSpan w:val="2"/>
            <w:shd w:val="clear" w:color="auto" w:fill="FFFFFF"/>
            <w:vAlign w:val="bottom"/>
          </w:tcPr>
          <w:p w14:paraId="1E117138" w14:textId="33895717" w:rsidR="00196139" w:rsidRPr="00A006D4" w:rsidRDefault="00196139" w:rsidP="00196139">
            <w:pPr>
              <w:spacing w:after="70" w:line="240" w:lineRule="auto"/>
              <w:rPr>
                <w:rFonts w:ascii="Times New Roman" w:hAnsi="Times New Roman"/>
                <w:color w:val="000000"/>
                <w:spacing w:val="-2"/>
                <w:sz w:val="24"/>
                <w:szCs w:val="24"/>
              </w:rPr>
            </w:pPr>
            <w:r>
              <w:rPr>
                <w:rFonts w:ascii="Times New Roman" w:hAnsi="Times New Roman"/>
                <w:color w:val="000000"/>
                <w:spacing w:val="-2"/>
                <w:sz w:val="24"/>
                <w:szCs w:val="24"/>
              </w:rPr>
              <w:t>108,54</w:t>
            </w:r>
          </w:p>
        </w:tc>
      </w:tr>
      <w:tr w:rsidR="00A7232B" w:rsidRPr="00A006D4" w14:paraId="4ED9DEAD" w14:textId="77777777" w:rsidTr="00A7232B">
        <w:trPr>
          <w:trHeight w:val="360"/>
        </w:trPr>
        <w:tc>
          <w:tcPr>
            <w:tcW w:w="2156" w:type="dxa"/>
            <w:gridSpan w:val="2"/>
            <w:shd w:val="clear" w:color="auto" w:fill="FFFFFF"/>
            <w:vAlign w:val="center"/>
          </w:tcPr>
          <w:p w14:paraId="5F1C156C"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budżet państwa</w:t>
            </w:r>
          </w:p>
        </w:tc>
        <w:tc>
          <w:tcPr>
            <w:tcW w:w="708" w:type="dxa"/>
            <w:gridSpan w:val="2"/>
            <w:shd w:val="clear" w:color="auto" w:fill="FFFFFF"/>
          </w:tcPr>
          <w:p w14:paraId="536ECC8A"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5CA9B115"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9" w:type="dxa"/>
            <w:gridSpan w:val="2"/>
            <w:shd w:val="clear" w:color="auto" w:fill="FFFFFF"/>
          </w:tcPr>
          <w:p w14:paraId="74FB627E"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3"/>
            <w:shd w:val="clear" w:color="auto" w:fill="FFFFFF"/>
          </w:tcPr>
          <w:p w14:paraId="6AFE833E"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40FDCAF3"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635F95A1"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70" w:type="dxa"/>
            <w:gridSpan w:val="3"/>
            <w:shd w:val="clear" w:color="auto" w:fill="FFFFFF"/>
          </w:tcPr>
          <w:p w14:paraId="64FC3B05"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1" w:type="dxa"/>
            <w:gridSpan w:val="2"/>
            <w:shd w:val="clear" w:color="auto" w:fill="FFFFFF"/>
          </w:tcPr>
          <w:p w14:paraId="3B71207C"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67" w:type="dxa"/>
            <w:gridSpan w:val="3"/>
            <w:shd w:val="clear" w:color="auto" w:fill="FFFFFF"/>
          </w:tcPr>
          <w:p w14:paraId="7DF7FD93"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2DC7EA03"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2"/>
            <w:shd w:val="clear" w:color="auto" w:fill="FFFFFF"/>
          </w:tcPr>
          <w:p w14:paraId="6969476F"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964" w:type="dxa"/>
            <w:gridSpan w:val="2"/>
            <w:shd w:val="clear" w:color="auto" w:fill="FFFFFF"/>
          </w:tcPr>
          <w:p w14:paraId="06E65F12" w14:textId="77777777" w:rsidR="00196139" w:rsidRPr="00A006D4" w:rsidRDefault="00196139" w:rsidP="00196139">
            <w:pPr>
              <w:spacing w:after="70" w:line="240" w:lineRule="auto"/>
              <w:rPr>
                <w:rFonts w:ascii="Times New Roman" w:hAnsi="Times New Roman"/>
                <w:color w:val="000000"/>
                <w:spacing w:val="-2"/>
                <w:sz w:val="24"/>
                <w:szCs w:val="24"/>
              </w:rPr>
            </w:pPr>
            <w:r w:rsidRPr="00A006D4">
              <w:rPr>
                <w:rFonts w:ascii="Times New Roman" w:hAnsi="Times New Roman"/>
                <w:color w:val="000000"/>
                <w:spacing w:val="-2"/>
                <w:sz w:val="24"/>
                <w:szCs w:val="24"/>
              </w:rPr>
              <w:t>0</w:t>
            </w:r>
          </w:p>
        </w:tc>
      </w:tr>
      <w:tr w:rsidR="00A7232B" w:rsidRPr="00A006D4" w14:paraId="4D885D7B" w14:textId="77777777" w:rsidTr="00A7232B">
        <w:trPr>
          <w:trHeight w:val="357"/>
        </w:trPr>
        <w:tc>
          <w:tcPr>
            <w:tcW w:w="2156" w:type="dxa"/>
            <w:gridSpan w:val="2"/>
            <w:shd w:val="clear" w:color="auto" w:fill="FFFFFF"/>
            <w:vAlign w:val="center"/>
          </w:tcPr>
          <w:p w14:paraId="174061FA"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JST</w:t>
            </w:r>
          </w:p>
        </w:tc>
        <w:tc>
          <w:tcPr>
            <w:tcW w:w="708" w:type="dxa"/>
            <w:gridSpan w:val="2"/>
            <w:shd w:val="clear" w:color="auto" w:fill="FFFFFF"/>
          </w:tcPr>
          <w:p w14:paraId="1BFB601B"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15A2ACB3"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9" w:type="dxa"/>
            <w:gridSpan w:val="2"/>
            <w:shd w:val="clear" w:color="auto" w:fill="FFFFFF"/>
          </w:tcPr>
          <w:p w14:paraId="1CC80E0B"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3"/>
            <w:shd w:val="clear" w:color="auto" w:fill="FFFFFF"/>
          </w:tcPr>
          <w:p w14:paraId="41CF8C9F"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52527452"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40454F59"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70" w:type="dxa"/>
            <w:gridSpan w:val="3"/>
            <w:shd w:val="clear" w:color="auto" w:fill="FFFFFF"/>
          </w:tcPr>
          <w:p w14:paraId="3E01CFD7"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1" w:type="dxa"/>
            <w:gridSpan w:val="2"/>
            <w:shd w:val="clear" w:color="auto" w:fill="FFFFFF"/>
          </w:tcPr>
          <w:p w14:paraId="668F4205"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67" w:type="dxa"/>
            <w:gridSpan w:val="3"/>
            <w:shd w:val="clear" w:color="auto" w:fill="FFFFFF"/>
          </w:tcPr>
          <w:p w14:paraId="20E4AEA2"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000C3726"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2"/>
            <w:shd w:val="clear" w:color="auto" w:fill="FFFFFF"/>
          </w:tcPr>
          <w:p w14:paraId="6FAC6C6B"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964" w:type="dxa"/>
            <w:gridSpan w:val="2"/>
            <w:shd w:val="clear" w:color="auto" w:fill="FFFFFF"/>
          </w:tcPr>
          <w:p w14:paraId="44C826E1" w14:textId="77777777" w:rsidR="00196139" w:rsidRPr="00A006D4" w:rsidRDefault="00196139" w:rsidP="00196139">
            <w:pPr>
              <w:spacing w:after="70" w:line="240" w:lineRule="auto"/>
              <w:rPr>
                <w:rFonts w:ascii="Times New Roman" w:hAnsi="Times New Roman"/>
                <w:color w:val="000000"/>
                <w:spacing w:val="-2"/>
                <w:sz w:val="24"/>
                <w:szCs w:val="24"/>
              </w:rPr>
            </w:pPr>
            <w:r w:rsidRPr="00A006D4">
              <w:rPr>
                <w:rFonts w:ascii="Times New Roman" w:hAnsi="Times New Roman"/>
                <w:color w:val="000000"/>
                <w:spacing w:val="-2"/>
                <w:sz w:val="24"/>
                <w:szCs w:val="24"/>
              </w:rPr>
              <w:t>0</w:t>
            </w:r>
          </w:p>
        </w:tc>
      </w:tr>
      <w:tr w:rsidR="00A7232B" w:rsidRPr="00A006D4" w14:paraId="162B8EE0" w14:textId="77777777" w:rsidTr="00A7232B">
        <w:trPr>
          <w:trHeight w:val="680"/>
        </w:trPr>
        <w:tc>
          <w:tcPr>
            <w:tcW w:w="2156" w:type="dxa"/>
            <w:gridSpan w:val="2"/>
            <w:shd w:val="clear" w:color="auto" w:fill="FFFFFF"/>
            <w:vAlign w:val="center"/>
          </w:tcPr>
          <w:p w14:paraId="03770610"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pozostałe jednostki (oddzielnie)</w:t>
            </w:r>
          </w:p>
        </w:tc>
        <w:tc>
          <w:tcPr>
            <w:tcW w:w="708" w:type="dxa"/>
            <w:gridSpan w:val="2"/>
            <w:shd w:val="clear" w:color="auto" w:fill="FFFFFF"/>
          </w:tcPr>
          <w:p w14:paraId="08304724"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3F25F3D0"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9" w:type="dxa"/>
            <w:gridSpan w:val="2"/>
            <w:shd w:val="clear" w:color="auto" w:fill="FFFFFF"/>
          </w:tcPr>
          <w:p w14:paraId="2E075432"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3"/>
            <w:shd w:val="clear" w:color="auto" w:fill="FFFFFF"/>
          </w:tcPr>
          <w:p w14:paraId="6A35CFA3"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851" w:type="dxa"/>
            <w:gridSpan w:val="2"/>
            <w:shd w:val="clear" w:color="auto" w:fill="FFFFFF"/>
          </w:tcPr>
          <w:p w14:paraId="2D6B9960"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13E7C6B4"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70" w:type="dxa"/>
            <w:gridSpan w:val="3"/>
            <w:shd w:val="clear" w:color="auto" w:fill="FFFFFF"/>
          </w:tcPr>
          <w:p w14:paraId="3DBE9E2A"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1" w:type="dxa"/>
            <w:gridSpan w:val="2"/>
            <w:shd w:val="clear" w:color="auto" w:fill="FFFFFF"/>
          </w:tcPr>
          <w:p w14:paraId="54C682A1"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567" w:type="dxa"/>
            <w:gridSpan w:val="3"/>
            <w:shd w:val="clear" w:color="auto" w:fill="FFFFFF"/>
          </w:tcPr>
          <w:p w14:paraId="5E8E3E5E"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426" w:type="dxa"/>
            <w:shd w:val="clear" w:color="auto" w:fill="FFFFFF"/>
          </w:tcPr>
          <w:p w14:paraId="11FB7ADC"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708" w:type="dxa"/>
            <w:gridSpan w:val="2"/>
            <w:shd w:val="clear" w:color="auto" w:fill="FFFFFF"/>
          </w:tcPr>
          <w:p w14:paraId="77A5142C" w14:textId="77777777" w:rsidR="00196139" w:rsidRPr="00A006D4" w:rsidRDefault="00196139" w:rsidP="00196139">
            <w:pPr>
              <w:spacing w:after="70" w:line="240" w:lineRule="auto"/>
              <w:rPr>
                <w:rFonts w:ascii="Times New Roman" w:hAnsi="Times New Roman"/>
                <w:color w:val="000000"/>
                <w:sz w:val="24"/>
                <w:szCs w:val="24"/>
              </w:rPr>
            </w:pPr>
            <w:r w:rsidRPr="00A006D4">
              <w:rPr>
                <w:rFonts w:ascii="Times New Roman" w:hAnsi="Times New Roman"/>
                <w:color w:val="000000"/>
                <w:sz w:val="24"/>
                <w:szCs w:val="24"/>
              </w:rPr>
              <w:t>0</w:t>
            </w:r>
          </w:p>
        </w:tc>
        <w:tc>
          <w:tcPr>
            <w:tcW w:w="964" w:type="dxa"/>
            <w:gridSpan w:val="2"/>
            <w:shd w:val="clear" w:color="auto" w:fill="FFFFFF"/>
          </w:tcPr>
          <w:p w14:paraId="1303DC6A" w14:textId="77777777" w:rsidR="00196139" w:rsidRPr="00A006D4" w:rsidRDefault="00196139" w:rsidP="00196139">
            <w:pPr>
              <w:spacing w:after="70" w:line="240" w:lineRule="auto"/>
              <w:rPr>
                <w:rFonts w:ascii="Times New Roman" w:hAnsi="Times New Roman"/>
                <w:color w:val="000000"/>
                <w:spacing w:val="-2"/>
                <w:sz w:val="24"/>
                <w:szCs w:val="24"/>
              </w:rPr>
            </w:pPr>
            <w:r w:rsidRPr="00A006D4">
              <w:rPr>
                <w:rFonts w:ascii="Times New Roman" w:hAnsi="Times New Roman"/>
                <w:color w:val="000000"/>
                <w:spacing w:val="-2"/>
                <w:sz w:val="24"/>
                <w:szCs w:val="24"/>
              </w:rPr>
              <w:t>0</w:t>
            </w:r>
          </w:p>
        </w:tc>
      </w:tr>
      <w:tr w:rsidR="00196139" w:rsidRPr="00F20C56" w14:paraId="0CB684E7" w14:textId="77777777" w:rsidTr="00A7232B">
        <w:trPr>
          <w:trHeight w:val="11343"/>
        </w:trPr>
        <w:tc>
          <w:tcPr>
            <w:tcW w:w="2156" w:type="dxa"/>
            <w:gridSpan w:val="2"/>
            <w:shd w:val="clear" w:color="auto" w:fill="FFFFFF"/>
            <w:vAlign w:val="center"/>
          </w:tcPr>
          <w:p w14:paraId="2014DBFA"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 xml:space="preserve">Źródła finansowania </w:t>
            </w:r>
          </w:p>
        </w:tc>
        <w:tc>
          <w:tcPr>
            <w:tcW w:w="7909" w:type="dxa"/>
            <w:gridSpan w:val="25"/>
            <w:shd w:val="clear" w:color="auto" w:fill="FFFFFF"/>
            <w:vAlign w:val="center"/>
          </w:tcPr>
          <w:p w14:paraId="48627893" w14:textId="57C1359B"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 xml:space="preserve">W ustawie o poręczeniach i gwarancjach funkcjonuje model finansowania kosztów i wydatków związanych z udzielaniem przez </w:t>
            </w:r>
            <w:r w:rsidR="006B1DF2">
              <w:rPr>
                <w:rFonts w:ascii="Times New Roman" w:hAnsi="Times New Roman"/>
                <w:color w:val="000000"/>
                <w:sz w:val="24"/>
                <w:szCs w:val="24"/>
              </w:rPr>
              <w:t>BGK gwarancji, zgodnie z którym</w:t>
            </w:r>
            <w:r w:rsidRPr="00F20C56">
              <w:rPr>
                <w:rFonts w:ascii="Times New Roman" w:hAnsi="Times New Roman"/>
                <w:color w:val="000000"/>
                <w:sz w:val="24"/>
                <w:szCs w:val="24"/>
              </w:rPr>
              <w:t xml:space="preserve"> zamiast budżetowego finansowania większości wydatków i kosztów z tytułu udzielonych gwarancji stanowiących pomoc publiczną i pomoc de minimis, stworzony został montaż finansowy środków uwolnionych z instrumentów finansowych programów operacyjnych szczebla centralnego obecnej i minionej perspektywy finansowej Unii Europejskiej, środków realokowanych z kapitałów BGK oraz ewentualnej, dobrowolnej partycypacji interesariuszy w dowolnym przedziale czasowym. Środki te są gromadzone w Krajowym Funduszu </w:t>
            </w:r>
            <w:r>
              <w:rPr>
                <w:rFonts w:ascii="Times New Roman" w:hAnsi="Times New Roman"/>
                <w:color w:val="000000"/>
                <w:sz w:val="24"/>
                <w:szCs w:val="24"/>
              </w:rPr>
              <w:t>Gwarancyjnym</w:t>
            </w:r>
            <w:r w:rsidRPr="00F20C56">
              <w:rPr>
                <w:rFonts w:ascii="Times New Roman" w:hAnsi="Times New Roman"/>
                <w:color w:val="000000"/>
                <w:sz w:val="24"/>
                <w:szCs w:val="24"/>
              </w:rPr>
              <w:t xml:space="preserve"> (KFG) utworzonym z dniem 1 stycznia 2018 r. w BGK. </w:t>
            </w:r>
          </w:p>
          <w:p w14:paraId="04B86E15" w14:textId="74176276"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 xml:space="preserve">Dodatkowo, jednym ze źródeł zasilania KFG o charakterze uzupełniającym i płynnościowym pozostał budżet państwa. Jednakże środki z budżetu państwa przekazywane będą przez ministra właściwego do spraw finansów publicznych w wysokości umożliwiającej pokrycie kosztów i wydatków związanych m.in. z udzielanymi gwarancjami transakcji leasingowych, o ile nie znajdą one pokrycia w innych środkach zgromadzonych na KFG. Źródłem finansowania KFG mogą być też zaciągane kredyty, pożyczki oraz wyemitowane obligacje na rzecz KFG. Aktualnie na rachunku KFG zgromadzona została kwota ok. 1,1 mld zł, która będzie służyć pokryciu kosztów i wydatków wynikających z udzielanych gwarancji przez BGK, stąd do czasu wyczerpania tych środków nie będzie zachodziła konieczność angażowania środków budżetowych z tytułu udzielanych gwarancji. Mając </w:t>
            </w:r>
            <w:r>
              <w:rPr>
                <w:rFonts w:ascii="Times New Roman" w:hAnsi="Times New Roman"/>
                <w:color w:val="000000"/>
                <w:sz w:val="24"/>
                <w:szCs w:val="24"/>
              </w:rPr>
              <w:t xml:space="preserve">jednak </w:t>
            </w:r>
            <w:r w:rsidRPr="00F20C56">
              <w:rPr>
                <w:rFonts w:ascii="Times New Roman" w:hAnsi="Times New Roman"/>
                <w:color w:val="000000"/>
                <w:sz w:val="24"/>
                <w:szCs w:val="24"/>
              </w:rPr>
              <w:t xml:space="preserve">na uwadze skutki wysokiej kwoty udzielonych gwarancji </w:t>
            </w:r>
            <w:r>
              <w:rPr>
                <w:rFonts w:ascii="Times New Roman" w:hAnsi="Times New Roman"/>
                <w:color w:val="000000"/>
                <w:sz w:val="24"/>
                <w:szCs w:val="24"/>
              </w:rPr>
              <w:t>w ramach</w:t>
            </w:r>
            <w:r w:rsidRPr="00F20C56">
              <w:rPr>
                <w:rFonts w:ascii="Times New Roman" w:hAnsi="Times New Roman"/>
                <w:color w:val="000000"/>
                <w:sz w:val="24"/>
                <w:szCs w:val="24"/>
              </w:rPr>
              <w:t xml:space="preserve"> KFG w 2020 r.</w:t>
            </w:r>
            <w:r w:rsidR="00795199">
              <w:rPr>
                <w:rFonts w:ascii="Times New Roman" w:hAnsi="Times New Roman"/>
                <w:color w:val="000000"/>
                <w:sz w:val="24"/>
                <w:szCs w:val="24"/>
              </w:rPr>
              <w:t>,</w:t>
            </w:r>
            <w:r w:rsidRPr="00F20C56">
              <w:rPr>
                <w:rFonts w:ascii="Times New Roman" w:hAnsi="Times New Roman"/>
                <w:color w:val="000000"/>
                <w:sz w:val="24"/>
                <w:szCs w:val="24"/>
              </w:rPr>
              <w:t xml:space="preserve"> wynoszącej 23,6 mld zł</w:t>
            </w:r>
            <w:r w:rsidR="001D5B0B">
              <w:rPr>
                <w:rFonts w:ascii="Times New Roman" w:hAnsi="Times New Roman"/>
                <w:color w:val="000000"/>
                <w:sz w:val="24"/>
                <w:szCs w:val="24"/>
              </w:rPr>
              <w:t>,</w:t>
            </w:r>
            <w:r w:rsidRPr="00F20C56">
              <w:rPr>
                <w:rFonts w:ascii="Times New Roman" w:hAnsi="Times New Roman"/>
                <w:color w:val="000000"/>
                <w:sz w:val="24"/>
                <w:szCs w:val="24"/>
              </w:rPr>
              <w:t xml:space="preserve"> zakładaną sprzedaż gwarancji </w:t>
            </w:r>
            <w:r>
              <w:rPr>
                <w:rFonts w:ascii="Times New Roman" w:hAnsi="Times New Roman"/>
                <w:color w:val="000000"/>
                <w:sz w:val="24"/>
                <w:szCs w:val="24"/>
              </w:rPr>
              <w:t>w ramach</w:t>
            </w:r>
            <w:r w:rsidRPr="00F20C56">
              <w:rPr>
                <w:rFonts w:ascii="Times New Roman" w:hAnsi="Times New Roman"/>
                <w:color w:val="000000"/>
                <w:sz w:val="24"/>
                <w:szCs w:val="24"/>
              </w:rPr>
              <w:t xml:space="preserve"> KFG na poziomie </w:t>
            </w:r>
            <w:r>
              <w:rPr>
                <w:rFonts w:ascii="Times New Roman" w:hAnsi="Times New Roman"/>
                <w:color w:val="000000"/>
                <w:sz w:val="24"/>
                <w:szCs w:val="24"/>
              </w:rPr>
              <w:t>23,8</w:t>
            </w:r>
            <w:r w:rsidRPr="00F20C56">
              <w:rPr>
                <w:rFonts w:ascii="Times New Roman" w:hAnsi="Times New Roman"/>
                <w:color w:val="000000"/>
                <w:sz w:val="24"/>
                <w:szCs w:val="24"/>
              </w:rPr>
              <w:t xml:space="preserve"> mld zł w 2021 r.</w:t>
            </w:r>
            <w:r>
              <w:rPr>
                <w:rFonts w:ascii="Times New Roman" w:hAnsi="Times New Roman"/>
                <w:color w:val="000000"/>
                <w:sz w:val="24"/>
                <w:szCs w:val="24"/>
              </w:rPr>
              <w:t xml:space="preserve"> </w:t>
            </w:r>
            <w:r w:rsidRPr="00F20C56">
              <w:rPr>
                <w:rFonts w:ascii="Times New Roman" w:hAnsi="Times New Roman"/>
                <w:color w:val="000000"/>
                <w:sz w:val="24"/>
                <w:szCs w:val="24"/>
              </w:rPr>
              <w:t>(</w:t>
            </w:r>
            <w:r>
              <w:rPr>
                <w:rFonts w:ascii="Times New Roman" w:hAnsi="Times New Roman"/>
                <w:color w:val="000000"/>
                <w:sz w:val="24"/>
                <w:szCs w:val="24"/>
              </w:rPr>
              <w:t xml:space="preserve">bez </w:t>
            </w:r>
            <w:r w:rsidRPr="00F20C56">
              <w:rPr>
                <w:rFonts w:ascii="Times New Roman" w:hAnsi="Times New Roman"/>
                <w:color w:val="000000"/>
                <w:sz w:val="24"/>
                <w:szCs w:val="24"/>
              </w:rPr>
              <w:t>gwarancji transakcji leasingowych</w:t>
            </w:r>
            <w:r>
              <w:rPr>
                <w:rFonts w:ascii="Times New Roman" w:hAnsi="Times New Roman"/>
                <w:color w:val="000000"/>
                <w:sz w:val="24"/>
                <w:szCs w:val="24"/>
              </w:rPr>
              <w:t>)</w:t>
            </w:r>
            <w:r w:rsidRPr="00F20C56">
              <w:rPr>
                <w:rFonts w:ascii="Times New Roman" w:hAnsi="Times New Roman"/>
                <w:color w:val="000000"/>
                <w:sz w:val="24"/>
                <w:szCs w:val="24"/>
              </w:rPr>
              <w:t xml:space="preserve"> i </w:t>
            </w:r>
            <w:r>
              <w:rPr>
                <w:rFonts w:ascii="Times New Roman" w:hAnsi="Times New Roman"/>
                <w:color w:val="000000"/>
                <w:sz w:val="24"/>
                <w:szCs w:val="24"/>
              </w:rPr>
              <w:t>12</w:t>
            </w:r>
            <w:r w:rsidRPr="00F20C56">
              <w:rPr>
                <w:rFonts w:ascii="Times New Roman" w:hAnsi="Times New Roman"/>
                <w:color w:val="000000"/>
                <w:sz w:val="24"/>
                <w:szCs w:val="24"/>
              </w:rPr>
              <w:t xml:space="preserve"> mld zł rocznie w kolejnych latach, </w:t>
            </w:r>
            <w:r>
              <w:rPr>
                <w:rFonts w:ascii="Times New Roman" w:hAnsi="Times New Roman"/>
                <w:color w:val="000000"/>
                <w:sz w:val="24"/>
                <w:szCs w:val="24"/>
              </w:rPr>
              <w:t>należy założyć konieczność finansowania gwarancji transakcji leasingowych w</w:t>
            </w:r>
            <w:r w:rsidR="00A7232B">
              <w:rPr>
                <w:rFonts w:ascii="Times New Roman" w:hAnsi="Times New Roman"/>
                <w:color w:val="000000"/>
                <w:sz w:val="24"/>
                <w:szCs w:val="24"/>
              </w:rPr>
              <w:t> </w:t>
            </w:r>
            <w:r>
              <w:rPr>
                <w:rFonts w:ascii="Times New Roman" w:hAnsi="Times New Roman"/>
                <w:color w:val="000000"/>
                <w:sz w:val="24"/>
                <w:szCs w:val="24"/>
              </w:rPr>
              <w:t xml:space="preserve">oparciu o środki budżetowe. Biorąc pod uwagę </w:t>
            </w:r>
            <w:r w:rsidR="002A7CD3">
              <w:rPr>
                <w:rFonts w:ascii="Times New Roman" w:hAnsi="Times New Roman"/>
                <w:color w:val="000000"/>
                <w:sz w:val="24"/>
                <w:szCs w:val="24"/>
              </w:rPr>
              <w:t>maksymalną kwotę gwarancji możliwą do udzielenia (4,5 mld zł),</w:t>
            </w:r>
            <w:r w:rsidR="001D5B0B">
              <w:rPr>
                <w:rFonts w:ascii="Times New Roman" w:hAnsi="Times New Roman"/>
                <w:color w:val="000000"/>
                <w:sz w:val="24"/>
                <w:szCs w:val="24"/>
              </w:rPr>
              <w:t xml:space="preserve"> </w:t>
            </w:r>
            <w:r>
              <w:rPr>
                <w:rFonts w:ascii="Times New Roman" w:hAnsi="Times New Roman"/>
                <w:color w:val="000000"/>
                <w:sz w:val="24"/>
                <w:szCs w:val="24"/>
              </w:rPr>
              <w:t>zakładaną szkodowość tych gwarancji, koszty i wydatki związane z ich udzielaniem oraz otrzymywane prowizje i</w:t>
            </w:r>
            <w:r w:rsidR="00A7232B">
              <w:rPr>
                <w:rFonts w:ascii="Times New Roman" w:hAnsi="Times New Roman"/>
                <w:color w:val="000000"/>
                <w:sz w:val="24"/>
                <w:szCs w:val="24"/>
              </w:rPr>
              <w:t> </w:t>
            </w:r>
            <w:r>
              <w:rPr>
                <w:rFonts w:ascii="Times New Roman" w:hAnsi="Times New Roman"/>
                <w:color w:val="000000"/>
                <w:sz w:val="24"/>
                <w:szCs w:val="24"/>
              </w:rPr>
              <w:t>możliwe odzyski, prognozowane z</w:t>
            </w:r>
            <w:r w:rsidRPr="00F20C56">
              <w:rPr>
                <w:rFonts w:ascii="Times New Roman" w:hAnsi="Times New Roman"/>
                <w:color w:val="000000"/>
                <w:sz w:val="24"/>
                <w:szCs w:val="24"/>
              </w:rPr>
              <w:t>asileni</w:t>
            </w:r>
            <w:r>
              <w:rPr>
                <w:rFonts w:ascii="Times New Roman" w:hAnsi="Times New Roman"/>
                <w:color w:val="000000"/>
                <w:sz w:val="24"/>
                <w:szCs w:val="24"/>
              </w:rPr>
              <w:t>a</w:t>
            </w:r>
            <w:r w:rsidRPr="00F20C56">
              <w:rPr>
                <w:rFonts w:ascii="Times New Roman" w:hAnsi="Times New Roman"/>
                <w:color w:val="000000"/>
                <w:sz w:val="24"/>
                <w:szCs w:val="24"/>
              </w:rPr>
              <w:t xml:space="preserve"> KFG z budżetu państwa w latach 2021-2030 </w:t>
            </w:r>
            <w:r>
              <w:rPr>
                <w:rFonts w:ascii="Times New Roman" w:hAnsi="Times New Roman"/>
                <w:color w:val="000000"/>
                <w:sz w:val="24"/>
                <w:szCs w:val="24"/>
              </w:rPr>
              <w:t xml:space="preserve">w związku z planowanymi gwarancjami transakcji leasingowych, mogą wynieść </w:t>
            </w:r>
            <w:r w:rsidRPr="00F20C56">
              <w:rPr>
                <w:rFonts w:ascii="Times New Roman" w:hAnsi="Times New Roman"/>
                <w:color w:val="000000"/>
                <w:sz w:val="24"/>
                <w:szCs w:val="24"/>
              </w:rPr>
              <w:t>łączn</w:t>
            </w:r>
            <w:r>
              <w:rPr>
                <w:rFonts w:ascii="Times New Roman" w:hAnsi="Times New Roman"/>
                <w:color w:val="000000"/>
                <w:sz w:val="24"/>
                <w:szCs w:val="24"/>
              </w:rPr>
              <w:t>ie</w:t>
            </w:r>
            <w:r w:rsidRPr="00F20C56">
              <w:rPr>
                <w:rFonts w:ascii="Times New Roman" w:hAnsi="Times New Roman"/>
                <w:color w:val="000000"/>
                <w:sz w:val="24"/>
                <w:szCs w:val="24"/>
              </w:rPr>
              <w:t xml:space="preserve"> ok. </w:t>
            </w:r>
            <w:r>
              <w:rPr>
                <w:rFonts w:ascii="Times New Roman" w:hAnsi="Times New Roman"/>
                <w:color w:val="000000"/>
                <w:sz w:val="24"/>
                <w:szCs w:val="24"/>
              </w:rPr>
              <w:t>0,1</w:t>
            </w:r>
            <w:r w:rsidRPr="00F20C56">
              <w:rPr>
                <w:rFonts w:ascii="Times New Roman" w:hAnsi="Times New Roman"/>
                <w:color w:val="000000"/>
                <w:sz w:val="24"/>
                <w:szCs w:val="24"/>
              </w:rPr>
              <w:t xml:space="preserve"> ml</w:t>
            </w:r>
            <w:r w:rsidR="00F12920">
              <w:rPr>
                <w:rFonts w:ascii="Times New Roman" w:hAnsi="Times New Roman"/>
                <w:color w:val="000000"/>
                <w:sz w:val="24"/>
                <w:szCs w:val="24"/>
              </w:rPr>
              <w:t>d</w:t>
            </w:r>
            <w:r w:rsidRPr="00F20C56">
              <w:rPr>
                <w:rFonts w:ascii="Times New Roman" w:hAnsi="Times New Roman"/>
                <w:color w:val="000000"/>
                <w:sz w:val="24"/>
                <w:szCs w:val="24"/>
              </w:rPr>
              <w:t xml:space="preserve"> zł. </w:t>
            </w:r>
          </w:p>
          <w:p w14:paraId="352C4AAF" w14:textId="10D39F16"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 xml:space="preserve">Należy przy tym podkreślić, iż regwarancja EFI (70% kwoty objętej gwarancją), wynikająca z uczestnictwa </w:t>
            </w:r>
            <w:r w:rsidR="00795199">
              <w:rPr>
                <w:rFonts w:ascii="Times New Roman" w:hAnsi="Times New Roman"/>
                <w:color w:val="000000"/>
                <w:sz w:val="24"/>
                <w:szCs w:val="24"/>
              </w:rPr>
              <w:t>Rzeczpospolitej Polskiej</w:t>
            </w:r>
            <w:r w:rsidRPr="00F20C56">
              <w:rPr>
                <w:rFonts w:ascii="Times New Roman" w:hAnsi="Times New Roman"/>
                <w:color w:val="000000"/>
                <w:sz w:val="24"/>
                <w:szCs w:val="24"/>
              </w:rPr>
              <w:t xml:space="preserve"> w Paneuropejskim Funduszu Gwarancyjnym, umożliwi wdrożenie programu pomocowego, którego koszty dla budżetu państwa będą znacząco niższe</w:t>
            </w:r>
            <w:r>
              <w:rPr>
                <w:rFonts w:ascii="Times New Roman" w:hAnsi="Times New Roman"/>
                <w:color w:val="000000"/>
                <w:sz w:val="24"/>
                <w:szCs w:val="24"/>
              </w:rPr>
              <w:t>,</w:t>
            </w:r>
            <w:r w:rsidRPr="00F20C56">
              <w:rPr>
                <w:rFonts w:ascii="Times New Roman" w:hAnsi="Times New Roman"/>
                <w:color w:val="000000"/>
                <w:sz w:val="24"/>
                <w:szCs w:val="24"/>
              </w:rPr>
              <w:t xml:space="preserve"> niż w sytuacji, gdyby wprowadzono taki program pomocowy w oparciu wyłącznie o środki krajowe.</w:t>
            </w:r>
          </w:p>
          <w:p w14:paraId="0B0D260B" w14:textId="2BAAA77A" w:rsidR="00F12920" w:rsidRDefault="00F12920" w:rsidP="00196139">
            <w:pPr>
              <w:spacing w:after="70" w:line="240" w:lineRule="auto"/>
              <w:jc w:val="both"/>
              <w:rPr>
                <w:rFonts w:ascii="Times New Roman" w:hAnsi="Times New Roman"/>
                <w:color w:val="000000"/>
                <w:sz w:val="24"/>
                <w:szCs w:val="24"/>
              </w:rPr>
            </w:pPr>
            <w:r>
              <w:rPr>
                <w:rFonts w:ascii="Times New Roman" w:hAnsi="Times New Roman"/>
                <w:color w:val="000000"/>
                <w:sz w:val="24"/>
                <w:szCs w:val="24"/>
              </w:rPr>
              <w:t>Ww. ewentualne zasilenia KFG w związku z gwarancjami transakcji leasingowych zostaną sfinansowane ze środków w cz. 19 budżetu państwa.</w:t>
            </w:r>
          </w:p>
          <w:p w14:paraId="6C8D8865" w14:textId="02D5338E" w:rsidR="00196139" w:rsidRPr="00F20C56" w:rsidRDefault="00196139" w:rsidP="00196139">
            <w:pPr>
              <w:spacing w:after="70" w:line="240" w:lineRule="auto"/>
              <w:jc w:val="both"/>
              <w:rPr>
                <w:rFonts w:ascii="Times New Roman" w:hAnsi="Times New Roman"/>
                <w:color w:val="000000"/>
                <w:sz w:val="24"/>
                <w:szCs w:val="24"/>
              </w:rPr>
            </w:pPr>
          </w:p>
        </w:tc>
      </w:tr>
      <w:tr w:rsidR="00196139" w:rsidRPr="00F20C56" w14:paraId="4F6D33BE" w14:textId="77777777" w:rsidTr="00A7232B">
        <w:trPr>
          <w:trHeight w:val="1266"/>
        </w:trPr>
        <w:tc>
          <w:tcPr>
            <w:tcW w:w="2156" w:type="dxa"/>
            <w:gridSpan w:val="2"/>
            <w:shd w:val="clear" w:color="auto" w:fill="FFFFFF"/>
          </w:tcPr>
          <w:p w14:paraId="51154F49"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lastRenderedPageBreak/>
              <w:t>Dodatkowe informacje, w tym wskazanie źródeł danych i przyjętych do obliczeń założeń</w:t>
            </w:r>
          </w:p>
        </w:tc>
        <w:tc>
          <w:tcPr>
            <w:tcW w:w="7909" w:type="dxa"/>
            <w:gridSpan w:val="25"/>
            <w:shd w:val="clear" w:color="auto" w:fill="FFFFFF"/>
          </w:tcPr>
          <w:p w14:paraId="3553CE2D" w14:textId="17B44800"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 xml:space="preserve">Szacuje się, iż ze wsparcia w formie gwarancji BGK obejmujących transakcje leasingowe skorzysta ok. </w:t>
            </w:r>
            <w:r w:rsidRPr="00A7232B">
              <w:rPr>
                <w:rFonts w:ascii="Times New Roman" w:hAnsi="Times New Roman"/>
                <w:sz w:val="24"/>
                <w:szCs w:val="24"/>
              </w:rPr>
              <w:t xml:space="preserve">30 tys. przedsiębiorców z sektora MŚP, a możliwa kwota udzielonych gwarancji wynosi 4,5 </w:t>
            </w:r>
            <w:r w:rsidRPr="00F20C56">
              <w:rPr>
                <w:rFonts w:ascii="Times New Roman" w:hAnsi="Times New Roman"/>
                <w:color w:val="000000"/>
                <w:sz w:val="24"/>
                <w:szCs w:val="24"/>
              </w:rPr>
              <w:t>mld PLN.</w:t>
            </w:r>
          </w:p>
          <w:p w14:paraId="6B1956E2" w14:textId="77777777"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Założono następujące podstawowe parametry gwarancji:</w:t>
            </w:r>
          </w:p>
          <w:p w14:paraId="46270154" w14:textId="77777777" w:rsidR="00196139" w:rsidRPr="00F20C56" w:rsidRDefault="00196139" w:rsidP="00196139">
            <w:pPr>
              <w:spacing w:after="70" w:line="240" w:lineRule="auto"/>
              <w:ind w:left="230" w:hanging="230"/>
              <w:jc w:val="both"/>
              <w:rPr>
                <w:rFonts w:ascii="Times New Roman" w:hAnsi="Times New Roman"/>
                <w:color w:val="000000"/>
                <w:sz w:val="24"/>
                <w:szCs w:val="24"/>
              </w:rPr>
            </w:pPr>
            <w:r w:rsidRPr="00F20C56">
              <w:rPr>
                <w:rFonts w:ascii="Times New Roman" w:hAnsi="Times New Roman"/>
                <w:color w:val="000000"/>
                <w:sz w:val="24"/>
                <w:szCs w:val="24"/>
              </w:rPr>
              <w:t>-</w:t>
            </w:r>
            <w:r w:rsidRPr="00F20C56">
              <w:rPr>
                <w:rFonts w:ascii="Times New Roman" w:hAnsi="Times New Roman"/>
                <w:color w:val="000000"/>
                <w:sz w:val="24"/>
                <w:szCs w:val="24"/>
              </w:rPr>
              <w:tab/>
              <w:t>okres gwarancji: maksymalny - 120 miesięcy, minimalny - 3 miesiące,</w:t>
            </w:r>
          </w:p>
          <w:p w14:paraId="616ADCA3" w14:textId="1E00E91F" w:rsidR="00196139" w:rsidRPr="00F20C56" w:rsidRDefault="00196139" w:rsidP="00196139">
            <w:pPr>
              <w:spacing w:after="70" w:line="240" w:lineRule="auto"/>
              <w:ind w:left="230" w:hanging="230"/>
              <w:jc w:val="both"/>
              <w:rPr>
                <w:rFonts w:ascii="Times New Roman" w:hAnsi="Times New Roman"/>
                <w:color w:val="000000"/>
                <w:sz w:val="24"/>
                <w:szCs w:val="24"/>
              </w:rPr>
            </w:pPr>
            <w:r w:rsidRPr="00F20C56">
              <w:rPr>
                <w:rFonts w:ascii="Times New Roman" w:hAnsi="Times New Roman"/>
                <w:color w:val="000000"/>
                <w:sz w:val="24"/>
                <w:szCs w:val="24"/>
              </w:rPr>
              <w:t>-</w:t>
            </w:r>
            <w:r w:rsidRPr="00F20C56">
              <w:rPr>
                <w:rFonts w:ascii="Times New Roman" w:hAnsi="Times New Roman"/>
                <w:color w:val="000000"/>
                <w:sz w:val="24"/>
                <w:szCs w:val="24"/>
              </w:rPr>
              <w:tab/>
              <w:t>maksymalna kwota gwarancji - 800 tys. EUR, z wyjątkiem przedsiębiorstw prowadzących działalność w sektorze rybołówstwa i akwakultury - 120 tys. EUR i w przypadku  przedsiębiorstw prowadzących działalność w sektorze produkcji podstawowej produktów rolnych - 100 tys. EUR,</w:t>
            </w:r>
          </w:p>
          <w:p w14:paraId="5B9F5359" w14:textId="71009D31" w:rsidR="00196139" w:rsidRPr="00F20C56" w:rsidRDefault="00196139" w:rsidP="00196139">
            <w:pPr>
              <w:spacing w:after="70" w:line="240" w:lineRule="auto"/>
              <w:ind w:left="230" w:hanging="230"/>
              <w:jc w:val="both"/>
              <w:rPr>
                <w:rFonts w:ascii="Times New Roman" w:hAnsi="Times New Roman"/>
                <w:color w:val="000000"/>
                <w:sz w:val="24"/>
                <w:szCs w:val="24"/>
              </w:rPr>
            </w:pPr>
            <w:r w:rsidRPr="00F20C56">
              <w:rPr>
                <w:rFonts w:ascii="Times New Roman" w:hAnsi="Times New Roman"/>
                <w:color w:val="000000"/>
                <w:sz w:val="24"/>
                <w:szCs w:val="24"/>
              </w:rPr>
              <w:t>-</w:t>
            </w:r>
            <w:r w:rsidRPr="00F20C56">
              <w:rPr>
                <w:rFonts w:ascii="Times New Roman" w:hAnsi="Times New Roman"/>
                <w:color w:val="000000"/>
                <w:sz w:val="24"/>
                <w:szCs w:val="24"/>
              </w:rPr>
              <w:tab/>
              <w:t>planowana opłata prowizyjna: za 1, 2 i 3 rok trwania gwarancji - 0,20%, za 4 i kolejny rok trwania gwarancji - 0,30%. Opłata prowizyjna wyliczona z wykorzystaniem stawek wskazanych dla gwarancji udzielanych MŚP w Komunikacie Komisji, uwzględniając regwarancję EFI w wysokości 70% oraz przyjęcie minimalnej stawki na poziomie 0,20% zapewniającej pokrycie należnej EFI opłaty za regwarancję,</w:t>
            </w:r>
          </w:p>
          <w:p w14:paraId="0A4D5A06" w14:textId="43D4787E" w:rsidR="00196139" w:rsidRPr="00F20C56" w:rsidRDefault="00196139" w:rsidP="00196139">
            <w:pPr>
              <w:spacing w:after="70" w:line="240" w:lineRule="auto"/>
              <w:ind w:left="230" w:hanging="230"/>
              <w:jc w:val="both"/>
              <w:rPr>
                <w:rFonts w:ascii="Times New Roman" w:hAnsi="Times New Roman"/>
                <w:color w:val="000000"/>
                <w:sz w:val="24"/>
                <w:szCs w:val="24"/>
              </w:rPr>
            </w:pPr>
            <w:r w:rsidRPr="00F20C56">
              <w:rPr>
                <w:rFonts w:ascii="Times New Roman" w:hAnsi="Times New Roman"/>
                <w:color w:val="000000"/>
                <w:sz w:val="24"/>
                <w:szCs w:val="24"/>
              </w:rPr>
              <w:t>-</w:t>
            </w:r>
            <w:r w:rsidRPr="00F20C56">
              <w:rPr>
                <w:rFonts w:ascii="Times New Roman" w:hAnsi="Times New Roman"/>
                <w:color w:val="000000"/>
                <w:sz w:val="24"/>
                <w:szCs w:val="24"/>
              </w:rPr>
              <w:tab/>
              <w:t>możliwość udzielania gwarancji do dnia 31 grudnia 2021 r., zgodnie z terminem obowiązywania Komunikatu Komisji.</w:t>
            </w:r>
          </w:p>
          <w:p w14:paraId="398F744B" w14:textId="54833FBE" w:rsidR="00196139" w:rsidRPr="00F20C56" w:rsidRDefault="00196139" w:rsidP="00196139">
            <w:pPr>
              <w:tabs>
                <w:tab w:val="left" w:pos="240"/>
              </w:tabs>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 xml:space="preserve">Jak wskazano powyżej gwarancja BGK obejmowała będzie 80% kwoty transakcji leasingowej, z czego 70% objęte zostanie regwarancją EFI. </w:t>
            </w:r>
          </w:p>
        </w:tc>
      </w:tr>
      <w:tr w:rsidR="00196139" w:rsidRPr="00F20C56" w14:paraId="23ACA5DD" w14:textId="77777777" w:rsidTr="00F05286">
        <w:trPr>
          <w:trHeight w:val="345"/>
        </w:trPr>
        <w:tc>
          <w:tcPr>
            <w:tcW w:w="10065" w:type="dxa"/>
            <w:gridSpan w:val="27"/>
            <w:shd w:val="clear" w:color="auto" w:fill="99CCFF"/>
          </w:tcPr>
          <w:p w14:paraId="2B66D957" w14:textId="77777777" w:rsidR="00196139" w:rsidRPr="00F20C56" w:rsidRDefault="00196139" w:rsidP="00196139">
            <w:pPr>
              <w:numPr>
                <w:ilvl w:val="0"/>
                <w:numId w:val="1"/>
              </w:numPr>
              <w:spacing w:after="70" w:line="240" w:lineRule="auto"/>
              <w:jc w:val="both"/>
              <w:rPr>
                <w:rFonts w:ascii="Times New Roman" w:hAnsi="Times New Roman"/>
                <w:b/>
                <w:color w:val="000000"/>
                <w:spacing w:val="-2"/>
                <w:sz w:val="24"/>
                <w:szCs w:val="24"/>
              </w:rPr>
            </w:pPr>
            <w:r w:rsidRPr="00F20C56">
              <w:rPr>
                <w:rFonts w:ascii="Times New Roman" w:hAnsi="Times New Roman"/>
                <w:b/>
                <w:color w:val="000000"/>
                <w:spacing w:val="-2"/>
                <w:sz w:val="24"/>
                <w:szCs w:val="24"/>
              </w:rPr>
              <w:t xml:space="preserve">Wpływ na </w:t>
            </w:r>
            <w:r w:rsidRPr="00F20C56">
              <w:rPr>
                <w:rFonts w:ascii="Times New Roman" w:hAnsi="Times New Roman"/>
                <w:b/>
                <w:color w:val="000000"/>
                <w:sz w:val="24"/>
                <w:szCs w:val="24"/>
              </w:rPr>
              <w:t xml:space="preserve">konkurencyjność gospodarki i przedsiębiorczość, w tym funkcjonowanie przedsiębiorców oraz na rodzinę, obywateli i gospodarstwa domowe </w:t>
            </w:r>
          </w:p>
        </w:tc>
      </w:tr>
      <w:tr w:rsidR="00196139" w:rsidRPr="00F20C56" w14:paraId="5F74F37F" w14:textId="77777777" w:rsidTr="00F05286">
        <w:trPr>
          <w:trHeight w:val="142"/>
        </w:trPr>
        <w:tc>
          <w:tcPr>
            <w:tcW w:w="10065" w:type="dxa"/>
            <w:gridSpan w:val="27"/>
            <w:shd w:val="clear" w:color="auto" w:fill="FFFFFF"/>
          </w:tcPr>
          <w:p w14:paraId="3163DF29" w14:textId="77777777" w:rsidR="00196139" w:rsidRPr="00F20C56" w:rsidRDefault="00196139" w:rsidP="00196139">
            <w:pPr>
              <w:spacing w:after="70" w:line="240" w:lineRule="auto"/>
              <w:jc w:val="center"/>
              <w:rPr>
                <w:rFonts w:ascii="Times New Roman" w:hAnsi="Times New Roman"/>
                <w:color w:val="000000"/>
                <w:spacing w:val="-2"/>
                <w:sz w:val="24"/>
                <w:szCs w:val="24"/>
              </w:rPr>
            </w:pPr>
            <w:r w:rsidRPr="00F20C56">
              <w:rPr>
                <w:rFonts w:ascii="Times New Roman" w:hAnsi="Times New Roman"/>
                <w:color w:val="000000"/>
                <w:spacing w:val="-2"/>
                <w:sz w:val="24"/>
                <w:szCs w:val="24"/>
              </w:rPr>
              <w:t>Skutki</w:t>
            </w:r>
          </w:p>
        </w:tc>
      </w:tr>
      <w:tr w:rsidR="00196139" w:rsidRPr="00F20C56" w14:paraId="623FCAE2" w14:textId="77777777" w:rsidTr="00A7232B">
        <w:trPr>
          <w:trHeight w:val="142"/>
        </w:trPr>
        <w:tc>
          <w:tcPr>
            <w:tcW w:w="3747" w:type="dxa"/>
            <w:gridSpan w:val="7"/>
            <w:shd w:val="clear" w:color="auto" w:fill="FFFFFF"/>
          </w:tcPr>
          <w:p w14:paraId="24AE338B"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Czas w latach od wejścia w życie zmian</w:t>
            </w:r>
          </w:p>
        </w:tc>
        <w:tc>
          <w:tcPr>
            <w:tcW w:w="677" w:type="dxa"/>
            <w:shd w:val="clear" w:color="auto" w:fill="FFFFFF"/>
          </w:tcPr>
          <w:p w14:paraId="49FC1E42" w14:textId="77777777" w:rsidR="00196139" w:rsidRPr="00F20C56" w:rsidRDefault="00196139" w:rsidP="00196139">
            <w:pPr>
              <w:spacing w:after="70" w:line="240" w:lineRule="auto"/>
              <w:jc w:val="center"/>
              <w:rPr>
                <w:rFonts w:ascii="Times New Roman" w:hAnsi="Times New Roman"/>
                <w:color w:val="000000"/>
                <w:sz w:val="24"/>
                <w:szCs w:val="24"/>
              </w:rPr>
            </w:pPr>
            <w:r w:rsidRPr="00F20C56">
              <w:rPr>
                <w:rFonts w:ascii="Times New Roman" w:hAnsi="Times New Roman"/>
                <w:color w:val="000000"/>
                <w:sz w:val="24"/>
                <w:szCs w:val="24"/>
              </w:rPr>
              <w:t>0</w:t>
            </w:r>
          </w:p>
        </w:tc>
        <w:tc>
          <w:tcPr>
            <w:tcW w:w="1198" w:type="dxa"/>
            <w:gridSpan w:val="4"/>
            <w:shd w:val="clear" w:color="auto" w:fill="FFFFFF"/>
          </w:tcPr>
          <w:p w14:paraId="68219DBF" w14:textId="77777777" w:rsidR="00196139" w:rsidRPr="00F20C56" w:rsidRDefault="00196139" w:rsidP="00196139">
            <w:pPr>
              <w:spacing w:after="70" w:line="240" w:lineRule="auto"/>
              <w:jc w:val="center"/>
              <w:rPr>
                <w:rFonts w:ascii="Times New Roman" w:hAnsi="Times New Roman"/>
                <w:color w:val="000000"/>
                <w:sz w:val="24"/>
                <w:szCs w:val="24"/>
              </w:rPr>
            </w:pPr>
            <w:r w:rsidRPr="00F20C56">
              <w:rPr>
                <w:rFonts w:ascii="Times New Roman" w:hAnsi="Times New Roman"/>
                <w:color w:val="000000"/>
                <w:sz w:val="24"/>
                <w:szCs w:val="24"/>
              </w:rPr>
              <w:t>1</w:t>
            </w:r>
          </w:p>
        </w:tc>
        <w:tc>
          <w:tcPr>
            <w:tcW w:w="938" w:type="dxa"/>
            <w:gridSpan w:val="4"/>
            <w:shd w:val="clear" w:color="auto" w:fill="FFFFFF"/>
          </w:tcPr>
          <w:p w14:paraId="6CAD8512" w14:textId="77777777" w:rsidR="00196139" w:rsidRPr="00F20C56" w:rsidRDefault="00196139" w:rsidP="00196139">
            <w:pPr>
              <w:spacing w:after="70" w:line="240" w:lineRule="auto"/>
              <w:jc w:val="center"/>
              <w:rPr>
                <w:rFonts w:ascii="Times New Roman" w:hAnsi="Times New Roman"/>
                <w:color w:val="000000"/>
                <w:sz w:val="24"/>
                <w:szCs w:val="24"/>
              </w:rPr>
            </w:pPr>
            <w:r w:rsidRPr="00F20C56">
              <w:rPr>
                <w:rFonts w:ascii="Times New Roman" w:hAnsi="Times New Roman"/>
                <w:color w:val="000000"/>
                <w:sz w:val="24"/>
                <w:szCs w:val="24"/>
              </w:rPr>
              <w:t>2</w:t>
            </w:r>
          </w:p>
        </w:tc>
        <w:tc>
          <w:tcPr>
            <w:tcW w:w="937" w:type="dxa"/>
            <w:gridSpan w:val="4"/>
            <w:shd w:val="clear" w:color="auto" w:fill="FFFFFF"/>
          </w:tcPr>
          <w:p w14:paraId="57D6F7D4" w14:textId="77777777" w:rsidR="00196139" w:rsidRPr="00F20C56" w:rsidRDefault="00196139" w:rsidP="00196139">
            <w:pPr>
              <w:spacing w:after="70" w:line="240" w:lineRule="auto"/>
              <w:jc w:val="center"/>
              <w:rPr>
                <w:rFonts w:ascii="Times New Roman" w:hAnsi="Times New Roman"/>
                <w:color w:val="000000"/>
                <w:sz w:val="24"/>
                <w:szCs w:val="24"/>
              </w:rPr>
            </w:pPr>
            <w:r w:rsidRPr="00F20C56">
              <w:rPr>
                <w:rFonts w:ascii="Times New Roman" w:hAnsi="Times New Roman"/>
                <w:color w:val="000000"/>
                <w:sz w:val="24"/>
                <w:szCs w:val="24"/>
              </w:rPr>
              <w:t>3</w:t>
            </w:r>
          </w:p>
        </w:tc>
        <w:tc>
          <w:tcPr>
            <w:tcW w:w="938" w:type="dxa"/>
            <w:gridSpan w:val="4"/>
            <w:shd w:val="clear" w:color="auto" w:fill="FFFFFF"/>
          </w:tcPr>
          <w:p w14:paraId="6CEE5641" w14:textId="77777777" w:rsidR="00196139" w:rsidRPr="00F20C56" w:rsidRDefault="00196139" w:rsidP="00196139">
            <w:pPr>
              <w:spacing w:after="70" w:line="240" w:lineRule="auto"/>
              <w:jc w:val="center"/>
              <w:rPr>
                <w:rFonts w:ascii="Times New Roman" w:hAnsi="Times New Roman"/>
                <w:color w:val="000000"/>
                <w:sz w:val="24"/>
                <w:szCs w:val="24"/>
              </w:rPr>
            </w:pPr>
            <w:r w:rsidRPr="00F20C56">
              <w:rPr>
                <w:rFonts w:ascii="Times New Roman" w:hAnsi="Times New Roman"/>
                <w:color w:val="000000"/>
                <w:sz w:val="24"/>
                <w:szCs w:val="24"/>
              </w:rPr>
              <w:t>5</w:t>
            </w:r>
          </w:p>
        </w:tc>
        <w:tc>
          <w:tcPr>
            <w:tcW w:w="938" w:type="dxa"/>
            <w:gridSpan w:val="2"/>
            <w:shd w:val="clear" w:color="auto" w:fill="FFFFFF"/>
          </w:tcPr>
          <w:p w14:paraId="0E6FFE71" w14:textId="77777777" w:rsidR="00196139" w:rsidRPr="00F20C56" w:rsidRDefault="00196139" w:rsidP="00196139">
            <w:pPr>
              <w:spacing w:after="70" w:line="240" w:lineRule="auto"/>
              <w:jc w:val="center"/>
              <w:rPr>
                <w:rFonts w:ascii="Times New Roman" w:hAnsi="Times New Roman"/>
                <w:color w:val="000000"/>
                <w:sz w:val="24"/>
                <w:szCs w:val="24"/>
              </w:rPr>
            </w:pPr>
            <w:r w:rsidRPr="00F20C56">
              <w:rPr>
                <w:rFonts w:ascii="Times New Roman" w:hAnsi="Times New Roman"/>
                <w:color w:val="000000"/>
                <w:sz w:val="24"/>
                <w:szCs w:val="24"/>
              </w:rPr>
              <w:t>10</w:t>
            </w:r>
          </w:p>
        </w:tc>
        <w:tc>
          <w:tcPr>
            <w:tcW w:w="692" w:type="dxa"/>
            <w:shd w:val="clear" w:color="auto" w:fill="FFFFFF"/>
          </w:tcPr>
          <w:p w14:paraId="7980EE38" w14:textId="77777777" w:rsidR="00196139" w:rsidRPr="00F20C56" w:rsidRDefault="00196139" w:rsidP="00196139">
            <w:pPr>
              <w:spacing w:after="70" w:line="240" w:lineRule="auto"/>
              <w:jc w:val="center"/>
              <w:rPr>
                <w:rFonts w:ascii="Times New Roman" w:hAnsi="Times New Roman"/>
                <w:i/>
                <w:color w:val="000000"/>
                <w:spacing w:val="-2"/>
                <w:sz w:val="24"/>
                <w:szCs w:val="24"/>
              </w:rPr>
            </w:pPr>
            <w:r w:rsidRPr="00F20C56">
              <w:rPr>
                <w:rFonts w:ascii="Times New Roman" w:hAnsi="Times New Roman"/>
                <w:i/>
                <w:color w:val="000000"/>
                <w:spacing w:val="-2"/>
                <w:sz w:val="24"/>
                <w:szCs w:val="24"/>
              </w:rPr>
              <w:t>Łącznie</w:t>
            </w:r>
            <w:r w:rsidRPr="00F20C56" w:rsidDel="0073273A">
              <w:rPr>
                <w:rFonts w:ascii="Times New Roman" w:hAnsi="Times New Roman"/>
                <w:i/>
                <w:color w:val="000000"/>
                <w:spacing w:val="-2"/>
                <w:sz w:val="24"/>
                <w:szCs w:val="24"/>
              </w:rPr>
              <w:t xml:space="preserve"> </w:t>
            </w:r>
            <w:r w:rsidRPr="00F20C56">
              <w:rPr>
                <w:rFonts w:ascii="Times New Roman" w:hAnsi="Times New Roman"/>
                <w:i/>
                <w:color w:val="000000"/>
                <w:spacing w:val="-2"/>
                <w:sz w:val="24"/>
                <w:szCs w:val="24"/>
              </w:rPr>
              <w:t>(0-10)</w:t>
            </w:r>
          </w:p>
        </w:tc>
      </w:tr>
      <w:tr w:rsidR="00196139" w:rsidRPr="00F20C56" w14:paraId="569D3C8A" w14:textId="77777777" w:rsidTr="00A7232B">
        <w:trPr>
          <w:trHeight w:val="142"/>
        </w:trPr>
        <w:tc>
          <w:tcPr>
            <w:tcW w:w="1589" w:type="dxa"/>
            <w:vMerge w:val="restart"/>
            <w:shd w:val="clear" w:color="auto" w:fill="FFFFFF"/>
          </w:tcPr>
          <w:p w14:paraId="445739B6"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W ujęciu pieniężnym</w:t>
            </w:r>
          </w:p>
          <w:p w14:paraId="614DCD63" w14:textId="77777777" w:rsidR="00196139" w:rsidRPr="00F20C56" w:rsidRDefault="00196139" w:rsidP="00196139">
            <w:pPr>
              <w:spacing w:after="70" w:line="240" w:lineRule="auto"/>
              <w:rPr>
                <w:rFonts w:ascii="Times New Roman" w:hAnsi="Times New Roman"/>
                <w:spacing w:val="-2"/>
                <w:sz w:val="24"/>
                <w:szCs w:val="24"/>
              </w:rPr>
            </w:pPr>
            <w:r w:rsidRPr="00F20C56">
              <w:rPr>
                <w:rFonts w:ascii="Times New Roman" w:hAnsi="Times New Roman"/>
                <w:spacing w:val="-2"/>
                <w:sz w:val="24"/>
                <w:szCs w:val="24"/>
              </w:rPr>
              <w:t xml:space="preserve">(w mln zł, </w:t>
            </w:r>
          </w:p>
          <w:p w14:paraId="00CD39BE"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spacing w:val="-2"/>
                <w:sz w:val="24"/>
                <w:szCs w:val="24"/>
              </w:rPr>
              <w:t>ceny stałe z …… r.)</w:t>
            </w:r>
          </w:p>
        </w:tc>
        <w:tc>
          <w:tcPr>
            <w:tcW w:w="2158" w:type="dxa"/>
            <w:gridSpan w:val="6"/>
            <w:shd w:val="clear" w:color="auto" w:fill="FFFFFF"/>
          </w:tcPr>
          <w:p w14:paraId="5C2CDB47"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duże przedsiębiorstwa</w:t>
            </w:r>
          </w:p>
        </w:tc>
        <w:tc>
          <w:tcPr>
            <w:tcW w:w="677" w:type="dxa"/>
            <w:shd w:val="clear" w:color="auto" w:fill="FFFFFF"/>
          </w:tcPr>
          <w:p w14:paraId="3FE527E8" w14:textId="77777777" w:rsidR="00196139" w:rsidRPr="00F20C56" w:rsidRDefault="00196139" w:rsidP="00196139">
            <w:pPr>
              <w:spacing w:after="70" w:line="240" w:lineRule="auto"/>
              <w:rPr>
                <w:rFonts w:ascii="Times New Roman" w:hAnsi="Times New Roman"/>
                <w:color w:val="000000"/>
                <w:sz w:val="24"/>
                <w:szCs w:val="24"/>
              </w:rPr>
            </w:pPr>
          </w:p>
        </w:tc>
        <w:tc>
          <w:tcPr>
            <w:tcW w:w="1198" w:type="dxa"/>
            <w:gridSpan w:val="4"/>
            <w:shd w:val="clear" w:color="auto" w:fill="FFFFFF"/>
          </w:tcPr>
          <w:p w14:paraId="5538D0E9" w14:textId="77777777" w:rsidR="00196139" w:rsidRPr="00F20C56" w:rsidRDefault="00196139" w:rsidP="00196139">
            <w:pPr>
              <w:spacing w:after="70" w:line="240" w:lineRule="auto"/>
              <w:rPr>
                <w:rFonts w:ascii="Times New Roman" w:hAnsi="Times New Roman"/>
                <w:color w:val="000000"/>
                <w:sz w:val="24"/>
                <w:szCs w:val="24"/>
              </w:rPr>
            </w:pPr>
          </w:p>
        </w:tc>
        <w:tc>
          <w:tcPr>
            <w:tcW w:w="938" w:type="dxa"/>
            <w:gridSpan w:val="4"/>
            <w:shd w:val="clear" w:color="auto" w:fill="FFFFFF"/>
          </w:tcPr>
          <w:p w14:paraId="7FB36E7B" w14:textId="77777777" w:rsidR="00196139" w:rsidRPr="00F20C56" w:rsidRDefault="00196139" w:rsidP="00196139">
            <w:pPr>
              <w:spacing w:after="70" w:line="240" w:lineRule="auto"/>
              <w:rPr>
                <w:rFonts w:ascii="Times New Roman" w:hAnsi="Times New Roman"/>
                <w:color w:val="000000"/>
                <w:sz w:val="24"/>
                <w:szCs w:val="24"/>
              </w:rPr>
            </w:pPr>
          </w:p>
        </w:tc>
        <w:tc>
          <w:tcPr>
            <w:tcW w:w="937" w:type="dxa"/>
            <w:gridSpan w:val="4"/>
            <w:shd w:val="clear" w:color="auto" w:fill="FFFFFF"/>
          </w:tcPr>
          <w:p w14:paraId="21A25DD8" w14:textId="77777777" w:rsidR="00196139" w:rsidRPr="00F20C56" w:rsidRDefault="00196139" w:rsidP="00196139">
            <w:pPr>
              <w:spacing w:after="70" w:line="240" w:lineRule="auto"/>
              <w:rPr>
                <w:rFonts w:ascii="Times New Roman" w:hAnsi="Times New Roman"/>
                <w:color w:val="000000"/>
                <w:sz w:val="24"/>
                <w:szCs w:val="24"/>
              </w:rPr>
            </w:pPr>
          </w:p>
        </w:tc>
        <w:tc>
          <w:tcPr>
            <w:tcW w:w="938" w:type="dxa"/>
            <w:gridSpan w:val="4"/>
            <w:shd w:val="clear" w:color="auto" w:fill="FFFFFF"/>
          </w:tcPr>
          <w:p w14:paraId="6CF6F65E" w14:textId="77777777" w:rsidR="00196139" w:rsidRPr="00F20C56" w:rsidRDefault="00196139" w:rsidP="00196139">
            <w:pPr>
              <w:spacing w:after="70" w:line="240" w:lineRule="auto"/>
              <w:rPr>
                <w:rFonts w:ascii="Times New Roman" w:hAnsi="Times New Roman"/>
                <w:color w:val="000000"/>
                <w:sz w:val="24"/>
                <w:szCs w:val="24"/>
              </w:rPr>
            </w:pPr>
          </w:p>
        </w:tc>
        <w:tc>
          <w:tcPr>
            <w:tcW w:w="938" w:type="dxa"/>
            <w:gridSpan w:val="2"/>
            <w:shd w:val="clear" w:color="auto" w:fill="FFFFFF"/>
          </w:tcPr>
          <w:p w14:paraId="59565840" w14:textId="77777777" w:rsidR="00196139" w:rsidRPr="00F20C56" w:rsidRDefault="00196139" w:rsidP="00196139">
            <w:pPr>
              <w:spacing w:after="70" w:line="240" w:lineRule="auto"/>
              <w:rPr>
                <w:rFonts w:ascii="Times New Roman" w:hAnsi="Times New Roman"/>
                <w:color w:val="000000"/>
                <w:sz w:val="24"/>
                <w:szCs w:val="24"/>
              </w:rPr>
            </w:pPr>
          </w:p>
        </w:tc>
        <w:tc>
          <w:tcPr>
            <w:tcW w:w="692" w:type="dxa"/>
            <w:shd w:val="clear" w:color="auto" w:fill="FFFFFF"/>
          </w:tcPr>
          <w:p w14:paraId="608482DD"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0E2F9215" w14:textId="77777777" w:rsidTr="00A7232B">
        <w:trPr>
          <w:trHeight w:val="142"/>
        </w:trPr>
        <w:tc>
          <w:tcPr>
            <w:tcW w:w="1589" w:type="dxa"/>
            <w:vMerge/>
            <w:shd w:val="clear" w:color="auto" w:fill="FFFFFF"/>
          </w:tcPr>
          <w:p w14:paraId="69285551"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4B5E06CD"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sektor mikro-, małych i średnich przedsiębiorstw</w:t>
            </w:r>
          </w:p>
        </w:tc>
        <w:tc>
          <w:tcPr>
            <w:tcW w:w="677" w:type="dxa"/>
            <w:shd w:val="clear" w:color="auto" w:fill="FFFFFF"/>
          </w:tcPr>
          <w:p w14:paraId="7137C268" w14:textId="77777777" w:rsidR="00196139" w:rsidRPr="00F20C56" w:rsidRDefault="00196139" w:rsidP="00196139">
            <w:pPr>
              <w:spacing w:after="70" w:line="240" w:lineRule="auto"/>
              <w:rPr>
                <w:rFonts w:ascii="Times New Roman" w:hAnsi="Times New Roman"/>
                <w:color w:val="000000"/>
                <w:sz w:val="24"/>
                <w:szCs w:val="24"/>
              </w:rPr>
            </w:pPr>
          </w:p>
        </w:tc>
        <w:tc>
          <w:tcPr>
            <w:tcW w:w="1198" w:type="dxa"/>
            <w:gridSpan w:val="4"/>
            <w:shd w:val="clear" w:color="auto" w:fill="FFFFFF"/>
          </w:tcPr>
          <w:p w14:paraId="032A0B1E"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8" w:type="dxa"/>
            <w:gridSpan w:val="4"/>
            <w:shd w:val="clear" w:color="auto" w:fill="FFFFFF"/>
          </w:tcPr>
          <w:p w14:paraId="7EF930C5"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7" w:type="dxa"/>
            <w:gridSpan w:val="4"/>
            <w:shd w:val="clear" w:color="auto" w:fill="FFFFFF"/>
          </w:tcPr>
          <w:p w14:paraId="38D10296"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8" w:type="dxa"/>
            <w:gridSpan w:val="4"/>
            <w:shd w:val="clear" w:color="auto" w:fill="FFFFFF"/>
          </w:tcPr>
          <w:p w14:paraId="455CF934"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8" w:type="dxa"/>
            <w:gridSpan w:val="2"/>
            <w:shd w:val="clear" w:color="auto" w:fill="FFFFFF"/>
          </w:tcPr>
          <w:p w14:paraId="1AD10906" w14:textId="77777777" w:rsidR="00196139" w:rsidRPr="00F20C56" w:rsidRDefault="00196139" w:rsidP="00196139">
            <w:pPr>
              <w:spacing w:after="70" w:line="240" w:lineRule="auto"/>
              <w:rPr>
                <w:rFonts w:ascii="Times New Roman" w:hAnsi="Times New Roman"/>
                <w:color w:val="000000"/>
                <w:sz w:val="24"/>
                <w:szCs w:val="24"/>
              </w:rPr>
            </w:pPr>
          </w:p>
        </w:tc>
        <w:tc>
          <w:tcPr>
            <w:tcW w:w="692" w:type="dxa"/>
            <w:shd w:val="clear" w:color="auto" w:fill="FFFFFF"/>
          </w:tcPr>
          <w:p w14:paraId="6053E972"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106392B9" w14:textId="77777777" w:rsidTr="00A7232B">
        <w:trPr>
          <w:trHeight w:val="594"/>
        </w:trPr>
        <w:tc>
          <w:tcPr>
            <w:tcW w:w="1589" w:type="dxa"/>
            <w:vMerge/>
            <w:shd w:val="clear" w:color="auto" w:fill="FFFFFF"/>
          </w:tcPr>
          <w:p w14:paraId="5203F709"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7D28F214"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sz w:val="24"/>
                <w:szCs w:val="24"/>
              </w:rPr>
              <w:t>rodzina, obywatele oraz gospodarstwa domowe</w:t>
            </w:r>
          </w:p>
        </w:tc>
        <w:tc>
          <w:tcPr>
            <w:tcW w:w="677" w:type="dxa"/>
            <w:shd w:val="clear" w:color="auto" w:fill="FFFFFF"/>
          </w:tcPr>
          <w:p w14:paraId="26DBD2FE" w14:textId="77777777" w:rsidR="00196139" w:rsidRPr="00F20C56" w:rsidRDefault="00196139" w:rsidP="00196139">
            <w:pPr>
              <w:spacing w:after="70" w:line="240" w:lineRule="auto"/>
              <w:rPr>
                <w:rFonts w:ascii="Times New Roman" w:hAnsi="Times New Roman"/>
                <w:color w:val="000000"/>
                <w:sz w:val="24"/>
                <w:szCs w:val="24"/>
              </w:rPr>
            </w:pPr>
          </w:p>
        </w:tc>
        <w:tc>
          <w:tcPr>
            <w:tcW w:w="1198" w:type="dxa"/>
            <w:gridSpan w:val="4"/>
            <w:shd w:val="clear" w:color="auto" w:fill="FFFFFF"/>
          </w:tcPr>
          <w:p w14:paraId="5A3A1923" w14:textId="77777777" w:rsidR="00196139" w:rsidRPr="00F20C56" w:rsidRDefault="00196139" w:rsidP="00196139">
            <w:pPr>
              <w:spacing w:after="70" w:line="240" w:lineRule="auto"/>
              <w:rPr>
                <w:rFonts w:ascii="Times New Roman" w:hAnsi="Times New Roman"/>
                <w:color w:val="000000"/>
                <w:sz w:val="24"/>
                <w:szCs w:val="24"/>
              </w:rPr>
            </w:pPr>
          </w:p>
        </w:tc>
        <w:tc>
          <w:tcPr>
            <w:tcW w:w="938" w:type="dxa"/>
            <w:gridSpan w:val="4"/>
            <w:shd w:val="clear" w:color="auto" w:fill="FFFFFF"/>
          </w:tcPr>
          <w:p w14:paraId="01E33CC5" w14:textId="77777777" w:rsidR="00196139" w:rsidRPr="00F20C56" w:rsidRDefault="00196139" w:rsidP="00196139">
            <w:pPr>
              <w:spacing w:after="70" w:line="240" w:lineRule="auto"/>
              <w:rPr>
                <w:rFonts w:ascii="Times New Roman" w:hAnsi="Times New Roman"/>
                <w:color w:val="000000"/>
                <w:sz w:val="24"/>
                <w:szCs w:val="24"/>
              </w:rPr>
            </w:pPr>
          </w:p>
        </w:tc>
        <w:tc>
          <w:tcPr>
            <w:tcW w:w="937" w:type="dxa"/>
            <w:gridSpan w:val="4"/>
            <w:shd w:val="clear" w:color="auto" w:fill="FFFFFF"/>
          </w:tcPr>
          <w:p w14:paraId="059EF802" w14:textId="77777777" w:rsidR="00196139" w:rsidRPr="00F20C56" w:rsidRDefault="00196139" w:rsidP="00196139">
            <w:pPr>
              <w:spacing w:after="70" w:line="240" w:lineRule="auto"/>
              <w:rPr>
                <w:rFonts w:ascii="Times New Roman" w:hAnsi="Times New Roman"/>
                <w:color w:val="000000"/>
                <w:sz w:val="24"/>
                <w:szCs w:val="24"/>
              </w:rPr>
            </w:pPr>
          </w:p>
        </w:tc>
        <w:tc>
          <w:tcPr>
            <w:tcW w:w="938" w:type="dxa"/>
            <w:gridSpan w:val="4"/>
            <w:shd w:val="clear" w:color="auto" w:fill="FFFFFF"/>
          </w:tcPr>
          <w:p w14:paraId="3E9D1F2C" w14:textId="77777777" w:rsidR="00196139" w:rsidRPr="00F20C56" w:rsidRDefault="00196139" w:rsidP="00196139">
            <w:pPr>
              <w:spacing w:after="70" w:line="240" w:lineRule="auto"/>
              <w:rPr>
                <w:rFonts w:ascii="Times New Roman" w:hAnsi="Times New Roman"/>
                <w:color w:val="000000"/>
                <w:sz w:val="24"/>
                <w:szCs w:val="24"/>
              </w:rPr>
            </w:pPr>
          </w:p>
        </w:tc>
        <w:tc>
          <w:tcPr>
            <w:tcW w:w="938" w:type="dxa"/>
            <w:gridSpan w:val="2"/>
            <w:shd w:val="clear" w:color="auto" w:fill="FFFFFF"/>
          </w:tcPr>
          <w:p w14:paraId="2CC1BF88" w14:textId="77777777" w:rsidR="00196139" w:rsidRPr="00F20C56" w:rsidRDefault="00196139" w:rsidP="00196139">
            <w:pPr>
              <w:spacing w:after="70" w:line="240" w:lineRule="auto"/>
              <w:rPr>
                <w:rFonts w:ascii="Times New Roman" w:hAnsi="Times New Roman"/>
                <w:color w:val="000000"/>
                <w:sz w:val="24"/>
                <w:szCs w:val="24"/>
              </w:rPr>
            </w:pPr>
          </w:p>
        </w:tc>
        <w:tc>
          <w:tcPr>
            <w:tcW w:w="692" w:type="dxa"/>
            <w:shd w:val="clear" w:color="auto" w:fill="FFFFFF"/>
          </w:tcPr>
          <w:p w14:paraId="1FDD85D2"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76320D2D" w14:textId="77777777" w:rsidTr="00A7232B">
        <w:trPr>
          <w:trHeight w:val="142"/>
        </w:trPr>
        <w:tc>
          <w:tcPr>
            <w:tcW w:w="1589" w:type="dxa"/>
            <w:vMerge/>
            <w:shd w:val="clear" w:color="auto" w:fill="FFFFFF"/>
          </w:tcPr>
          <w:p w14:paraId="570076FB"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47E168BB"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Producenci rolni</w:t>
            </w:r>
          </w:p>
        </w:tc>
        <w:tc>
          <w:tcPr>
            <w:tcW w:w="677" w:type="dxa"/>
            <w:shd w:val="clear" w:color="auto" w:fill="FFFFFF"/>
          </w:tcPr>
          <w:p w14:paraId="2D7B96D7" w14:textId="77777777" w:rsidR="00196139" w:rsidRPr="00F20C56" w:rsidRDefault="00196139" w:rsidP="00196139">
            <w:pPr>
              <w:spacing w:after="70" w:line="240" w:lineRule="auto"/>
              <w:rPr>
                <w:rFonts w:ascii="Times New Roman" w:hAnsi="Times New Roman"/>
                <w:color w:val="000000"/>
                <w:sz w:val="24"/>
                <w:szCs w:val="24"/>
              </w:rPr>
            </w:pPr>
          </w:p>
        </w:tc>
        <w:tc>
          <w:tcPr>
            <w:tcW w:w="1198" w:type="dxa"/>
            <w:gridSpan w:val="4"/>
            <w:shd w:val="clear" w:color="auto" w:fill="FFFFFF"/>
          </w:tcPr>
          <w:p w14:paraId="795685D3"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8" w:type="dxa"/>
            <w:gridSpan w:val="4"/>
            <w:shd w:val="clear" w:color="auto" w:fill="FFFFFF"/>
          </w:tcPr>
          <w:p w14:paraId="0758FA0C"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7" w:type="dxa"/>
            <w:gridSpan w:val="4"/>
            <w:shd w:val="clear" w:color="auto" w:fill="FFFFFF"/>
          </w:tcPr>
          <w:p w14:paraId="7B7D64B7"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8" w:type="dxa"/>
            <w:gridSpan w:val="4"/>
            <w:shd w:val="clear" w:color="auto" w:fill="FFFFFF"/>
          </w:tcPr>
          <w:p w14:paraId="148DAFD4" w14:textId="77777777" w:rsidR="00196139" w:rsidRPr="00F20C56" w:rsidRDefault="00196139" w:rsidP="00196139">
            <w:pPr>
              <w:spacing w:after="70" w:line="240" w:lineRule="auto"/>
              <w:rPr>
                <w:rFonts w:ascii="Times New Roman" w:hAnsi="Times New Roman"/>
                <w:color w:val="000000"/>
                <w:spacing w:val="-20"/>
                <w:sz w:val="24"/>
                <w:szCs w:val="24"/>
              </w:rPr>
            </w:pPr>
          </w:p>
        </w:tc>
        <w:tc>
          <w:tcPr>
            <w:tcW w:w="938" w:type="dxa"/>
            <w:gridSpan w:val="2"/>
            <w:shd w:val="clear" w:color="auto" w:fill="FFFFFF"/>
          </w:tcPr>
          <w:p w14:paraId="1A9F087F" w14:textId="77777777" w:rsidR="00196139" w:rsidRPr="00F20C56" w:rsidRDefault="00196139" w:rsidP="00196139">
            <w:pPr>
              <w:spacing w:after="70" w:line="240" w:lineRule="auto"/>
              <w:rPr>
                <w:rFonts w:ascii="Times New Roman" w:hAnsi="Times New Roman"/>
                <w:color w:val="000000"/>
                <w:sz w:val="24"/>
                <w:szCs w:val="24"/>
              </w:rPr>
            </w:pPr>
          </w:p>
        </w:tc>
        <w:tc>
          <w:tcPr>
            <w:tcW w:w="692" w:type="dxa"/>
            <w:shd w:val="clear" w:color="auto" w:fill="FFFFFF"/>
          </w:tcPr>
          <w:p w14:paraId="6215B79E"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23EC613F" w14:textId="77777777" w:rsidTr="00B534C6">
        <w:trPr>
          <w:trHeight w:val="142"/>
        </w:trPr>
        <w:tc>
          <w:tcPr>
            <w:tcW w:w="1589" w:type="dxa"/>
            <w:vMerge w:val="restart"/>
            <w:shd w:val="clear" w:color="auto" w:fill="FFFFFF"/>
          </w:tcPr>
          <w:p w14:paraId="79305CF2"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W ujęciu niepieniężnym</w:t>
            </w:r>
          </w:p>
        </w:tc>
        <w:tc>
          <w:tcPr>
            <w:tcW w:w="2158" w:type="dxa"/>
            <w:gridSpan w:val="6"/>
            <w:shd w:val="clear" w:color="auto" w:fill="FFFFFF"/>
          </w:tcPr>
          <w:p w14:paraId="4F6ABBCE"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duże przedsiębiorstwa</w:t>
            </w:r>
          </w:p>
        </w:tc>
        <w:tc>
          <w:tcPr>
            <w:tcW w:w="6318" w:type="dxa"/>
            <w:gridSpan w:val="20"/>
            <w:shd w:val="clear" w:color="auto" w:fill="FFFFFF"/>
          </w:tcPr>
          <w:p w14:paraId="4CB3AC78"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4CF7F62D" w14:textId="77777777" w:rsidTr="00B534C6">
        <w:trPr>
          <w:trHeight w:val="142"/>
        </w:trPr>
        <w:tc>
          <w:tcPr>
            <w:tcW w:w="1589" w:type="dxa"/>
            <w:vMerge/>
            <w:shd w:val="clear" w:color="auto" w:fill="FFFFFF"/>
          </w:tcPr>
          <w:p w14:paraId="3E5B65B5"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5359B6F5"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sektor mikro-, małych i średnich przedsiębiorstw</w:t>
            </w:r>
          </w:p>
        </w:tc>
        <w:tc>
          <w:tcPr>
            <w:tcW w:w="6318" w:type="dxa"/>
            <w:gridSpan w:val="20"/>
            <w:shd w:val="clear" w:color="auto" w:fill="FFFFFF"/>
          </w:tcPr>
          <w:p w14:paraId="33CCA58E"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3F880A93" w14:textId="77777777" w:rsidTr="00B534C6">
        <w:trPr>
          <w:trHeight w:val="596"/>
        </w:trPr>
        <w:tc>
          <w:tcPr>
            <w:tcW w:w="1589" w:type="dxa"/>
            <w:vMerge/>
            <w:shd w:val="clear" w:color="auto" w:fill="FFFFFF"/>
          </w:tcPr>
          <w:p w14:paraId="5FAC0206"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64D68CAD" w14:textId="77777777" w:rsidR="00196139" w:rsidRPr="00F20C56" w:rsidRDefault="00196139" w:rsidP="00196139">
            <w:pPr>
              <w:tabs>
                <w:tab w:val="right" w:pos="1936"/>
              </w:tabs>
              <w:spacing w:after="70" w:line="240" w:lineRule="auto"/>
              <w:rPr>
                <w:rFonts w:ascii="Times New Roman" w:hAnsi="Times New Roman"/>
                <w:color w:val="000000"/>
                <w:sz w:val="24"/>
                <w:szCs w:val="24"/>
              </w:rPr>
            </w:pPr>
            <w:r w:rsidRPr="00F20C56">
              <w:rPr>
                <w:rFonts w:ascii="Times New Roman" w:hAnsi="Times New Roman"/>
                <w:sz w:val="24"/>
                <w:szCs w:val="24"/>
              </w:rPr>
              <w:t>rodzina, obywatele oraz gospodarstwa domowe</w:t>
            </w:r>
            <w:r w:rsidRPr="00F20C56">
              <w:rPr>
                <w:rFonts w:ascii="Times New Roman" w:hAnsi="Times New Roman"/>
                <w:color w:val="000000"/>
                <w:sz w:val="24"/>
                <w:szCs w:val="24"/>
              </w:rPr>
              <w:t xml:space="preserve"> </w:t>
            </w:r>
          </w:p>
        </w:tc>
        <w:tc>
          <w:tcPr>
            <w:tcW w:w="6318" w:type="dxa"/>
            <w:gridSpan w:val="20"/>
            <w:shd w:val="clear" w:color="auto" w:fill="FFFFFF"/>
          </w:tcPr>
          <w:p w14:paraId="15DFA34A"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5FB0E944" w14:textId="77777777" w:rsidTr="00B534C6">
        <w:trPr>
          <w:trHeight w:val="240"/>
        </w:trPr>
        <w:tc>
          <w:tcPr>
            <w:tcW w:w="1589" w:type="dxa"/>
            <w:vMerge/>
            <w:shd w:val="clear" w:color="auto" w:fill="FFFFFF"/>
          </w:tcPr>
          <w:p w14:paraId="610A882F"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6C176AA8" w14:textId="490E273A" w:rsidR="00196139" w:rsidRPr="00F20C56" w:rsidRDefault="00196139" w:rsidP="00196139">
            <w:pPr>
              <w:tabs>
                <w:tab w:val="right" w:pos="1936"/>
              </w:tabs>
              <w:spacing w:after="70" w:line="240" w:lineRule="auto"/>
              <w:rPr>
                <w:rFonts w:ascii="Times New Roman" w:hAnsi="Times New Roman"/>
                <w:sz w:val="24"/>
                <w:szCs w:val="24"/>
              </w:rPr>
            </w:pPr>
          </w:p>
        </w:tc>
        <w:tc>
          <w:tcPr>
            <w:tcW w:w="6318" w:type="dxa"/>
            <w:gridSpan w:val="20"/>
            <w:shd w:val="clear" w:color="auto" w:fill="FFFFFF"/>
          </w:tcPr>
          <w:p w14:paraId="5963AB56" w14:textId="77777777" w:rsidR="00196139" w:rsidRPr="00F20C56" w:rsidRDefault="00196139" w:rsidP="00196139">
            <w:pPr>
              <w:tabs>
                <w:tab w:val="left" w:pos="3000"/>
              </w:tabs>
              <w:spacing w:after="70" w:line="240" w:lineRule="auto"/>
              <w:rPr>
                <w:rFonts w:ascii="Times New Roman" w:hAnsi="Times New Roman"/>
                <w:color w:val="000000"/>
                <w:spacing w:val="-2"/>
                <w:sz w:val="24"/>
                <w:szCs w:val="24"/>
              </w:rPr>
            </w:pPr>
          </w:p>
        </w:tc>
      </w:tr>
      <w:tr w:rsidR="00196139" w:rsidRPr="00F20C56" w14:paraId="7BF87FC8" w14:textId="77777777" w:rsidTr="00B534C6">
        <w:trPr>
          <w:trHeight w:val="142"/>
        </w:trPr>
        <w:tc>
          <w:tcPr>
            <w:tcW w:w="1589" w:type="dxa"/>
            <w:vMerge w:val="restart"/>
            <w:shd w:val="clear" w:color="auto" w:fill="FFFFFF"/>
          </w:tcPr>
          <w:p w14:paraId="20F1CC8B"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Niemierzalne</w:t>
            </w:r>
          </w:p>
        </w:tc>
        <w:tc>
          <w:tcPr>
            <w:tcW w:w="2158" w:type="dxa"/>
            <w:gridSpan w:val="6"/>
            <w:shd w:val="clear" w:color="auto" w:fill="FFFFFF"/>
          </w:tcPr>
          <w:p w14:paraId="7740A71E" w14:textId="7C02E917" w:rsidR="00196139" w:rsidRPr="00F20C56" w:rsidRDefault="00196139" w:rsidP="00196139">
            <w:pPr>
              <w:spacing w:after="70" w:line="240" w:lineRule="auto"/>
              <w:rPr>
                <w:rFonts w:ascii="Times New Roman" w:hAnsi="Times New Roman"/>
                <w:color w:val="000000"/>
                <w:sz w:val="24"/>
                <w:szCs w:val="24"/>
              </w:rPr>
            </w:pPr>
          </w:p>
        </w:tc>
        <w:tc>
          <w:tcPr>
            <w:tcW w:w="6318" w:type="dxa"/>
            <w:gridSpan w:val="20"/>
            <w:shd w:val="clear" w:color="auto" w:fill="FFFFFF"/>
          </w:tcPr>
          <w:p w14:paraId="065813B3" w14:textId="6832DE74" w:rsidR="00196139" w:rsidRPr="00F20C56" w:rsidRDefault="00196139" w:rsidP="00196139">
            <w:pPr>
              <w:spacing w:after="70" w:line="240" w:lineRule="auto"/>
              <w:rPr>
                <w:rFonts w:ascii="Times New Roman" w:hAnsi="Times New Roman"/>
                <w:sz w:val="24"/>
                <w:szCs w:val="24"/>
              </w:rPr>
            </w:pPr>
          </w:p>
        </w:tc>
      </w:tr>
      <w:tr w:rsidR="00196139" w:rsidRPr="00F20C56" w14:paraId="00AEB5D6" w14:textId="77777777" w:rsidTr="00B534C6">
        <w:trPr>
          <w:trHeight w:val="142"/>
        </w:trPr>
        <w:tc>
          <w:tcPr>
            <w:tcW w:w="1589" w:type="dxa"/>
            <w:vMerge/>
            <w:shd w:val="clear" w:color="auto" w:fill="FFFFFF"/>
          </w:tcPr>
          <w:p w14:paraId="074B1FFC" w14:textId="77777777" w:rsidR="00196139" w:rsidRPr="00F20C56" w:rsidRDefault="00196139" w:rsidP="00196139">
            <w:pPr>
              <w:spacing w:after="70" w:line="240" w:lineRule="auto"/>
              <w:rPr>
                <w:rFonts w:ascii="Times New Roman" w:hAnsi="Times New Roman"/>
                <w:color w:val="000000"/>
                <w:sz w:val="24"/>
                <w:szCs w:val="24"/>
              </w:rPr>
            </w:pPr>
          </w:p>
        </w:tc>
        <w:tc>
          <w:tcPr>
            <w:tcW w:w="2158" w:type="dxa"/>
            <w:gridSpan w:val="6"/>
            <w:shd w:val="clear" w:color="auto" w:fill="FFFFFF"/>
          </w:tcPr>
          <w:p w14:paraId="6816B1A1" w14:textId="3F03AF04" w:rsidR="00196139" w:rsidRPr="00F20C56" w:rsidRDefault="00196139" w:rsidP="00196139">
            <w:pPr>
              <w:spacing w:after="70" w:line="240" w:lineRule="auto"/>
              <w:rPr>
                <w:rFonts w:ascii="Times New Roman" w:hAnsi="Times New Roman"/>
                <w:color w:val="000000"/>
                <w:sz w:val="24"/>
                <w:szCs w:val="24"/>
              </w:rPr>
            </w:pPr>
          </w:p>
        </w:tc>
        <w:tc>
          <w:tcPr>
            <w:tcW w:w="6318" w:type="dxa"/>
            <w:gridSpan w:val="20"/>
            <w:shd w:val="clear" w:color="auto" w:fill="FFFFFF"/>
          </w:tcPr>
          <w:p w14:paraId="49A95856" w14:textId="77777777" w:rsidR="00196139" w:rsidRPr="00F20C56" w:rsidRDefault="00196139" w:rsidP="00196139">
            <w:pPr>
              <w:spacing w:after="70" w:line="240" w:lineRule="auto"/>
              <w:rPr>
                <w:rFonts w:ascii="Times New Roman" w:hAnsi="Times New Roman"/>
                <w:color w:val="000000"/>
                <w:spacing w:val="-2"/>
                <w:sz w:val="24"/>
                <w:szCs w:val="24"/>
              </w:rPr>
            </w:pPr>
          </w:p>
        </w:tc>
      </w:tr>
      <w:tr w:rsidR="00196139" w:rsidRPr="00F20C56" w14:paraId="34595A81" w14:textId="77777777" w:rsidTr="00A7232B">
        <w:trPr>
          <w:trHeight w:val="1643"/>
        </w:trPr>
        <w:tc>
          <w:tcPr>
            <w:tcW w:w="2156" w:type="dxa"/>
            <w:gridSpan w:val="2"/>
            <w:shd w:val="clear" w:color="auto" w:fill="FFFFFF"/>
          </w:tcPr>
          <w:p w14:paraId="49827702"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lastRenderedPageBreak/>
              <w:t xml:space="preserve">Dodatkowe informacje, w tym wskazanie źródeł danych i przyjętych do obliczeń założeń </w:t>
            </w:r>
          </w:p>
        </w:tc>
        <w:tc>
          <w:tcPr>
            <w:tcW w:w="7909" w:type="dxa"/>
            <w:gridSpan w:val="25"/>
            <w:shd w:val="clear" w:color="auto" w:fill="FFFFFF"/>
            <w:vAlign w:val="center"/>
          </w:tcPr>
          <w:p w14:paraId="2D1C5E45" w14:textId="421DF2BB"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Projektowane rozporządzenie nie będzie miało wpływu na sytuację ekonomiczną i społeczną rodziny, a także osób niepełnosprawnych oraz osób starszych.</w:t>
            </w:r>
          </w:p>
        </w:tc>
      </w:tr>
      <w:tr w:rsidR="00196139" w:rsidRPr="00F20C56" w14:paraId="716EEBC7" w14:textId="77777777" w:rsidTr="00F05286">
        <w:trPr>
          <w:trHeight w:val="342"/>
        </w:trPr>
        <w:tc>
          <w:tcPr>
            <w:tcW w:w="10065" w:type="dxa"/>
            <w:gridSpan w:val="27"/>
            <w:shd w:val="clear" w:color="auto" w:fill="99CCFF"/>
            <w:vAlign w:val="center"/>
          </w:tcPr>
          <w:p w14:paraId="62F1CDBE" w14:textId="77777777" w:rsidR="00196139" w:rsidRPr="00F20C56" w:rsidRDefault="00196139" w:rsidP="00196139">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color w:val="000000"/>
                <w:sz w:val="24"/>
                <w:szCs w:val="24"/>
              </w:rPr>
              <w:t xml:space="preserve"> Zmiana obciążeń regulacyjnych (w tym obowiązków informacyjnych) wynikających z projektu</w:t>
            </w:r>
          </w:p>
        </w:tc>
      </w:tr>
      <w:tr w:rsidR="00196139" w:rsidRPr="00F20C56" w14:paraId="1E63FBD1" w14:textId="77777777" w:rsidTr="00F05286">
        <w:trPr>
          <w:trHeight w:val="151"/>
        </w:trPr>
        <w:tc>
          <w:tcPr>
            <w:tcW w:w="10065" w:type="dxa"/>
            <w:gridSpan w:val="27"/>
            <w:shd w:val="clear" w:color="auto" w:fill="FFFFFF"/>
          </w:tcPr>
          <w:p w14:paraId="475837DD" w14:textId="751A995C"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pacing w:val="-2"/>
                  <w:sz w:val="24"/>
                  <w:szCs w:val="24"/>
                </w:rPr>
                <w:id w:val="1930998347"/>
                <w14:checkbox>
                  <w14:checked w14:val="1"/>
                  <w14:checkedState w14:val="2612" w14:font="MS Gothic"/>
                  <w14:uncheckedState w14:val="2610" w14:font="MS Gothic"/>
                </w14:checkbox>
              </w:sdtPr>
              <w:sdtEndPr/>
              <w:sdtContent>
                <w:r w:rsidR="00196139" w:rsidRPr="00F20C56">
                  <w:rPr>
                    <w:rFonts w:ascii="Segoe UI Symbol" w:eastAsia="MS Gothic"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nie dotyczy</w:t>
            </w:r>
          </w:p>
        </w:tc>
      </w:tr>
      <w:tr w:rsidR="00196139" w:rsidRPr="00F20C56" w14:paraId="02CF248B" w14:textId="77777777" w:rsidTr="00F05286">
        <w:trPr>
          <w:trHeight w:val="946"/>
        </w:trPr>
        <w:tc>
          <w:tcPr>
            <w:tcW w:w="4969" w:type="dxa"/>
            <w:gridSpan w:val="10"/>
            <w:shd w:val="clear" w:color="auto" w:fill="FFFFFF"/>
          </w:tcPr>
          <w:p w14:paraId="7CC0554B" w14:textId="77777777" w:rsidR="00196139" w:rsidRPr="00F20C56" w:rsidRDefault="00196139" w:rsidP="00196139">
            <w:pPr>
              <w:spacing w:after="70" w:line="240" w:lineRule="auto"/>
              <w:rPr>
                <w:rFonts w:ascii="Times New Roman" w:hAnsi="Times New Roman"/>
                <w:color w:val="000000"/>
                <w:spacing w:val="-2"/>
                <w:sz w:val="24"/>
                <w:szCs w:val="24"/>
              </w:rPr>
            </w:pPr>
            <w:r w:rsidRPr="00F20C56">
              <w:rPr>
                <w:rFonts w:ascii="Times New Roman" w:hAnsi="Times New Roman"/>
                <w:color w:val="000000"/>
                <w:spacing w:val="-2"/>
                <w:sz w:val="24"/>
                <w:szCs w:val="24"/>
              </w:rPr>
              <w:t xml:space="preserve">Wprowadzane są obciążenia poza bezwzględnie wymaganymi przez UE </w:t>
            </w:r>
            <w:r w:rsidRPr="00F20C56">
              <w:rPr>
                <w:rFonts w:ascii="Times New Roman" w:hAnsi="Times New Roman"/>
                <w:color w:val="000000"/>
                <w:sz w:val="24"/>
                <w:szCs w:val="24"/>
              </w:rPr>
              <w:t>(szczegóły w odwróconej tabeli zgodności).</w:t>
            </w:r>
          </w:p>
        </w:tc>
        <w:tc>
          <w:tcPr>
            <w:tcW w:w="5096" w:type="dxa"/>
            <w:gridSpan w:val="17"/>
            <w:shd w:val="clear" w:color="auto" w:fill="FFFFFF"/>
          </w:tcPr>
          <w:p w14:paraId="79950C50"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501432790"/>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tak</w:t>
            </w:r>
          </w:p>
          <w:p w14:paraId="660652D2"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1774005171"/>
                <w14:checkbox>
                  <w14:checked w14:val="1"/>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nie</w:t>
            </w:r>
          </w:p>
          <w:p w14:paraId="1BA42293"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351533669"/>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nie dotyczy</w:t>
            </w:r>
          </w:p>
        </w:tc>
      </w:tr>
      <w:tr w:rsidR="00196139" w:rsidRPr="00F20C56" w14:paraId="55B477CC" w14:textId="77777777" w:rsidTr="00F05286">
        <w:trPr>
          <w:trHeight w:val="1245"/>
        </w:trPr>
        <w:tc>
          <w:tcPr>
            <w:tcW w:w="4969" w:type="dxa"/>
            <w:gridSpan w:val="10"/>
            <w:shd w:val="clear" w:color="auto" w:fill="FFFFFF"/>
          </w:tcPr>
          <w:p w14:paraId="5FB99261"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1646118103"/>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zmniejszenie liczby dokumentów </w:t>
            </w:r>
          </w:p>
          <w:p w14:paraId="6D3181AF"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1876505849"/>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zmniejszenie liczby procedur</w:t>
            </w:r>
          </w:p>
          <w:p w14:paraId="1F48FD61"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2082051990"/>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skrócenie czasu na załatwienie sprawy</w:t>
            </w:r>
          </w:p>
          <w:p w14:paraId="4E2D2DCE" w14:textId="77777777" w:rsidR="00196139" w:rsidRPr="00F20C56" w:rsidRDefault="001716D0" w:rsidP="00196139">
            <w:pPr>
              <w:spacing w:after="70" w:line="240" w:lineRule="auto"/>
              <w:rPr>
                <w:rFonts w:ascii="Times New Roman" w:hAnsi="Times New Roman"/>
                <w:b/>
                <w:color w:val="000000"/>
                <w:spacing w:val="-2"/>
                <w:sz w:val="24"/>
                <w:szCs w:val="24"/>
              </w:rPr>
            </w:pPr>
            <w:sdt>
              <w:sdtPr>
                <w:rPr>
                  <w:rFonts w:ascii="Times New Roman" w:hAnsi="Times New Roman"/>
                  <w:color w:val="000000"/>
                  <w:spacing w:val="-2"/>
                  <w:sz w:val="24"/>
                  <w:szCs w:val="24"/>
                </w:rPr>
                <w:id w:val="2112540246"/>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inne:</w:t>
            </w:r>
            <w:r w:rsidR="00196139" w:rsidRPr="00F20C56">
              <w:rPr>
                <w:rFonts w:ascii="Times New Roman" w:hAnsi="Times New Roman"/>
                <w:color w:val="000000"/>
                <w:sz w:val="24"/>
                <w:szCs w:val="24"/>
              </w:rPr>
              <w:t xml:space="preserve"> ………………</w:t>
            </w:r>
          </w:p>
        </w:tc>
        <w:tc>
          <w:tcPr>
            <w:tcW w:w="5096" w:type="dxa"/>
            <w:gridSpan w:val="17"/>
            <w:shd w:val="clear" w:color="auto" w:fill="FFFFFF"/>
          </w:tcPr>
          <w:p w14:paraId="36432130"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2104995084"/>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zwiększenie liczby dokumentów</w:t>
            </w:r>
          </w:p>
          <w:p w14:paraId="485CF0C0"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z w:val="24"/>
                  <w:szCs w:val="24"/>
                </w:rPr>
                <w:id w:val="762415844"/>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w:t>
            </w:r>
            <w:r w:rsidR="00196139" w:rsidRPr="00F20C56">
              <w:rPr>
                <w:rFonts w:ascii="Times New Roman" w:hAnsi="Times New Roman"/>
                <w:color w:val="000000"/>
                <w:spacing w:val="-2"/>
                <w:sz w:val="24"/>
                <w:szCs w:val="24"/>
              </w:rPr>
              <w:t>zwiększenie liczby procedur</w:t>
            </w:r>
          </w:p>
          <w:p w14:paraId="308CC613"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357036351"/>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wydłużenie czasu na załatwienie sprawy</w:t>
            </w:r>
          </w:p>
          <w:p w14:paraId="09607D52" w14:textId="3D83E832" w:rsidR="00196139" w:rsidRPr="00F20C56" w:rsidRDefault="001716D0" w:rsidP="00580A90">
            <w:pPr>
              <w:spacing w:after="70" w:line="240" w:lineRule="auto"/>
              <w:rPr>
                <w:rFonts w:ascii="Times New Roman" w:hAnsi="Times New Roman"/>
                <w:color w:val="000000"/>
                <w:sz w:val="24"/>
                <w:szCs w:val="24"/>
              </w:rPr>
            </w:pPr>
            <w:sdt>
              <w:sdtPr>
                <w:rPr>
                  <w:rFonts w:ascii="Times New Roman" w:hAnsi="Times New Roman"/>
                  <w:color w:val="000000"/>
                  <w:spacing w:val="-2"/>
                  <w:sz w:val="24"/>
                  <w:szCs w:val="24"/>
                </w:rPr>
                <w:id w:val="1149557140"/>
                <w14:checkbox>
                  <w14:checked w14:val="0"/>
                  <w14:checkedState w14:val="2612" w14:font="MS Gothic"/>
                  <w14:uncheckedState w14:val="2610" w14:font="MS Gothic"/>
                </w14:checkbox>
              </w:sdtPr>
              <w:sdtEndPr/>
              <w:sdtContent>
                <w:r w:rsidR="00196139" w:rsidRPr="00F20C56">
                  <w:rPr>
                    <w:rFonts w:ascii="Segoe UI Symbol" w:eastAsia="MS Gothic"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inne:</w:t>
            </w:r>
            <w:r w:rsidR="00196139" w:rsidRPr="00F20C56">
              <w:rPr>
                <w:rFonts w:ascii="Times New Roman" w:hAnsi="Times New Roman"/>
                <w:color w:val="000000"/>
                <w:sz w:val="24"/>
                <w:szCs w:val="24"/>
              </w:rPr>
              <w:t xml:space="preserve"> …</w:t>
            </w:r>
          </w:p>
        </w:tc>
      </w:tr>
      <w:tr w:rsidR="00196139" w:rsidRPr="00F20C56" w14:paraId="6FD6C8E6" w14:textId="77777777" w:rsidTr="00F05286">
        <w:trPr>
          <w:trHeight w:val="870"/>
        </w:trPr>
        <w:tc>
          <w:tcPr>
            <w:tcW w:w="4969" w:type="dxa"/>
            <w:gridSpan w:val="10"/>
            <w:shd w:val="clear" w:color="auto" w:fill="FFFFFF"/>
          </w:tcPr>
          <w:p w14:paraId="0764B21E"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pacing w:val="-2"/>
                <w:sz w:val="24"/>
                <w:szCs w:val="24"/>
              </w:rPr>
              <w:t xml:space="preserve">Wprowadzane obciążenia są przystosowane do ich elektronizacji. </w:t>
            </w:r>
          </w:p>
        </w:tc>
        <w:tc>
          <w:tcPr>
            <w:tcW w:w="5096" w:type="dxa"/>
            <w:gridSpan w:val="17"/>
            <w:shd w:val="clear" w:color="auto" w:fill="FFFFFF"/>
          </w:tcPr>
          <w:p w14:paraId="3D11D6AE" w14:textId="4BCF57C2"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297268939"/>
                <w14:checkbox>
                  <w14:checked w14:val="0"/>
                  <w14:checkedState w14:val="2612" w14:font="MS Gothic"/>
                  <w14:uncheckedState w14:val="2610" w14:font="MS Gothic"/>
                </w14:checkbox>
              </w:sdtPr>
              <w:sdtEndPr/>
              <w:sdtContent>
                <w:r w:rsidR="00196139" w:rsidRPr="00F20C56">
                  <w:rPr>
                    <w:rFonts w:ascii="Segoe UI Symbol" w:eastAsia="MS Gothic" w:hAnsi="Segoe UI Symbol" w:cs="Segoe UI Symbol"/>
                    <w:color w:val="000000"/>
                    <w:sz w:val="24"/>
                    <w:szCs w:val="24"/>
                  </w:rPr>
                  <w:t>☐</w:t>
                </w:r>
              </w:sdtContent>
            </w:sdt>
            <w:r w:rsidR="00196139" w:rsidRPr="00F20C56">
              <w:rPr>
                <w:rFonts w:ascii="Times New Roman" w:hAnsi="Times New Roman"/>
                <w:color w:val="000000"/>
                <w:sz w:val="24"/>
                <w:szCs w:val="24"/>
              </w:rPr>
              <w:t xml:space="preserve"> tak</w:t>
            </w:r>
          </w:p>
          <w:p w14:paraId="7065AA5F"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1887021666"/>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nie</w:t>
            </w:r>
          </w:p>
          <w:p w14:paraId="2429BA24" w14:textId="570387F7" w:rsidR="00196139" w:rsidRPr="00F20C56" w:rsidRDefault="001716D0" w:rsidP="00580A90">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1904862519"/>
                <w14:checkbox>
                  <w14:checked w14:val="1"/>
                  <w14:checkedState w14:val="2612" w14:font="MS Gothic"/>
                  <w14:uncheckedState w14:val="2610" w14:font="MS Gothic"/>
                </w14:checkbox>
              </w:sdtPr>
              <w:sdtEndPr/>
              <w:sdtContent>
                <w:r w:rsidR="00196139" w:rsidRPr="00F20C56">
                  <w:rPr>
                    <w:rFonts w:ascii="Segoe UI Symbol" w:eastAsia="MS Gothic" w:hAnsi="Segoe UI Symbol" w:cs="Segoe UI Symbol"/>
                    <w:color w:val="000000"/>
                    <w:sz w:val="24"/>
                    <w:szCs w:val="24"/>
                  </w:rPr>
                  <w:t>☒</w:t>
                </w:r>
              </w:sdtContent>
            </w:sdt>
            <w:r w:rsidR="00196139" w:rsidRPr="00F20C56">
              <w:rPr>
                <w:rFonts w:ascii="Times New Roman" w:hAnsi="Times New Roman"/>
                <w:color w:val="000000"/>
                <w:sz w:val="24"/>
                <w:szCs w:val="24"/>
              </w:rPr>
              <w:t xml:space="preserve"> nie dotyczy</w:t>
            </w:r>
          </w:p>
        </w:tc>
      </w:tr>
      <w:tr w:rsidR="00196139" w:rsidRPr="00F20C56" w14:paraId="20AFD0F7" w14:textId="77777777" w:rsidTr="00F05286">
        <w:trPr>
          <w:trHeight w:val="630"/>
        </w:trPr>
        <w:tc>
          <w:tcPr>
            <w:tcW w:w="10065" w:type="dxa"/>
            <w:gridSpan w:val="27"/>
            <w:shd w:val="clear" w:color="auto" w:fill="FFFFFF"/>
          </w:tcPr>
          <w:p w14:paraId="1DE606E2" w14:textId="77777777" w:rsidR="00196139" w:rsidRPr="00F20C56" w:rsidRDefault="00196139" w:rsidP="00196139">
            <w:pPr>
              <w:spacing w:after="70" w:line="240" w:lineRule="auto"/>
              <w:jc w:val="both"/>
              <w:rPr>
                <w:rFonts w:ascii="Times New Roman" w:hAnsi="Times New Roman"/>
                <w:color w:val="000000"/>
                <w:sz w:val="24"/>
                <w:szCs w:val="24"/>
              </w:rPr>
            </w:pPr>
            <w:r w:rsidRPr="00F20C56">
              <w:rPr>
                <w:rFonts w:ascii="Times New Roman" w:hAnsi="Times New Roman"/>
                <w:color w:val="000000"/>
                <w:sz w:val="24"/>
                <w:szCs w:val="24"/>
              </w:rPr>
              <w:t>Komentarz:</w:t>
            </w:r>
          </w:p>
          <w:p w14:paraId="1CA2D229" w14:textId="39FFB599" w:rsidR="00196139" w:rsidRPr="00F20C56" w:rsidRDefault="00196139" w:rsidP="00196139">
            <w:pPr>
              <w:spacing w:after="70" w:line="240" w:lineRule="auto"/>
              <w:rPr>
                <w:rFonts w:ascii="Times New Roman" w:hAnsi="Times New Roman"/>
                <w:sz w:val="24"/>
                <w:szCs w:val="24"/>
              </w:rPr>
            </w:pPr>
            <w:r w:rsidRPr="00F20C56">
              <w:rPr>
                <w:rFonts w:ascii="Times New Roman" w:hAnsi="Times New Roman"/>
                <w:sz w:val="24"/>
                <w:szCs w:val="24"/>
              </w:rPr>
              <w:t>MŚP samodzielnie będą podejmować decyzję czy chcą skorzystać z pomocy i tym samym podjąć się obowiązków wynikających z warunków udzielania tej pomocy.</w:t>
            </w:r>
          </w:p>
          <w:p w14:paraId="2D65425E" w14:textId="77777777" w:rsidR="00196139" w:rsidRPr="00F20C56" w:rsidRDefault="00196139" w:rsidP="00196139">
            <w:pPr>
              <w:spacing w:after="70" w:line="240" w:lineRule="auto"/>
              <w:jc w:val="both"/>
              <w:rPr>
                <w:rFonts w:ascii="Times New Roman" w:hAnsi="Times New Roman"/>
                <w:color w:val="000000"/>
                <w:sz w:val="24"/>
                <w:szCs w:val="24"/>
              </w:rPr>
            </w:pPr>
          </w:p>
        </w:tc>
      </w:tr>
      <w:tr w:rsidR="00196139" w:rsidRPr="00F20C56" w14:paraId="0497E60A" w14:textId="77777777" w:rsidTr="00F05286">
        <w:trPr>
          <w:trHeight w:val="142"/>
        </w:trPr>
        <w:tc>
          <w:tcPr>
            <w:tcW w:w="10065" w:type="dxa"/>
            <w:gridSpan w:val="27"/>
            <w:shd w:val="clear" w:color="auto" w:fill="99CCFF"/>
          </w:tcPr>
          <w:p w14:paraId="13F04BC8" w14:textId="77777777" w:rsidR="00196139" w:rsidRPr="00F20C56" w:rsidRDefault="00196139" w:rsidP="00196139">
            <w:pPr>
              <w:numPr>
                <w:ilvl w:val="0"/>
                <w:numId w:val="1"/>
              </w:numPr>
              <w:spacing w:after="70" w:line="240" w:lineRule="auto"/>
              <w:jc w:val="both"/>
              <w:rPr>
                <w:rFonts w:ascii="Times New Roman" w:hAnsi="Times New Roman"/>
                <w:b/>
                <w:color w:val="000000"/>
                <w:sz w:val="24"/>
                <w:szCs w:val="24"/>
              </w:rPr>
            </w:pPr>
            <w:r w:rsidRPr="00F20C56">
              <w:rPr>
                <w:rFonts w:ascii="Times New Roman" w:hAnsi="Times New Roman"/>
                <w:b/>
                <w:color w:val="000000"/>
                <w:sz w:val="24"/>
                <w:szCs w:val="24"/>
              </w:rPr>
              <w:t xml:space="preserve">Wpływ na rynek pracy </w:t>
            </w:r>
          </w:p>
        </w:tc>
      </w:tr>
      <w:tr w:rsidR="00196139" w:rsidRPr="00F20C56" w14:paraId="2198157A" w14:textId="77777777" w:rsidTr="00F05286">
        <w:trPr>
          <w:trHeight w:val="142"/>
        </w:trPr>
        <w:tc>
          <w:tcPr>
            <w:tcW w:w="10065" w:type="dxa"/>
            <w:gridSpan w:val="27"/>
            <w:shd w:val="clear" w:color="auto" w:fill="auto"/>
          </w:tcPr>
          <w:p w14:paraId="5260D1D1" w14:textId="0C46321F" w:rsidR="00196139" w:rsidRPr="00F20C56" w:rsidRDefault="00196139" w:rsidP="00196139">
            <w:pPr>
              <w:spacing w:after="70" w:line="240" w:lineRule="auto"/>
              <w:rPr>
                <w:rFonts w:ascii="Times New Roman" w:hAnsi="Times New Roman"/>
                <w:sz w:val="24"/>
                <w:szCs w:val="24"/>
              </w:rPr>
            </w:pPr>
            <w:r w:rsidRPr="00F20C56">
              <w:rPr>
                <w:rFonts w:ascii="Times New Roman" w:hAnsi="Times New Roman"/>
                <w:sz w:val="24"/>
                <w:szCs w:val="24"/>
              </w:rPr>
              <w:t xml:space="preserve">Poprzez wsparcie możliwości pozyskania finansowania działalności przez MŚP wejście w życie projektowanego rozporządzenia będzie miało pozytywny wpływ </w:t>
            </w:r>
            <w:r w:rsidR="00106BBD">
              <w:rPr>
                <w:rFonts w:ascii="Times New Roman" w:hAnsi="Times New Roman"/>
                <w:sz w:val="24"/>
                <w:szCs w:val="24"/>
              </w:rPr>
              <w:t xml:space="preserve">na </w:t>
            </w:r>
            <w:r w:rsidRPr="00F20C56">
              <w:rPr>
                <w:rFonts w:ascii="Times New Roman" w:hAnsi="Times New Roman"/>
                <w:sz w:val="24"/>
                <w:szCs w:val="24"/>
              </w:rPr>
              <w:t>rynek pracy.</w:t>
            </w:r>
          </w:p>
          <w:p w14:paraId="675E2401" w14:textId="77777777" w:rsidR="00196139" w:rsidRPr="00F20C56" w:rsidRDefault="00196139" w:rsidP="00196139">
            <w:pPr>
              <w:spacing w:after="70" w:line="240" w:lineRule="auto"/>
              <w:jc w:val="both"/>
              <w:rPr>
                <w:rFonts w:ascii="Times New Roman" w:hAnsi="Times New Roman"/>
                <w:color w:val="000000"/>
                <w:sz w:val="24"/>
                <w:szCs w:val="24"/>
              </w:rPr>
            </w:pPr>
          </w:p>
        </w:tc>
      </w:tr>
      <w:tr w:rsidR="00196139" w:rsidRPr="00F20C56" w14:paraId="669FD5D7" w14:textId="77777777" w:rsidTr="00F05286">
        <w:trPr>
          <w:trHeight w:val="142"/>
        </w:trPr>
        <w:tc>
          <w:tcPr>
            <w:tcW w:w="10065" w:type="dxa"/>
            <w:gridSpan w:val="27"/>
            <w:shd w:val="clear" w:color="auto" w:fill="99CCFF"/>
          </w:tcPr>
          <w:p w14:paraId="627CBE5D" w14:textId="77777777" w:rsidR="00196139" w:rsidRPr="00F20C56" w:rsidRDefault="00196139" w:rsidP="00196139">
            <w:pPr>
              <w:numPr>
                <w:ilvl w:val="0"/>
                <w:numId w:val="1"/>
              </w:numPr>
              <w:spacing w:after="70" w:line="240" w:lineRule="auto"/>
              <w:jc w:val="both"/>
              <w:rPr>
                <w:rFonts w:ascii="Times New Roman" w:hAnsi="Times New Roman"/>
                <w:b/>
                <w:color w:val="000000"/>
                <w:sz w:val="24"/>
                <w:szCs w:val="24"/>
              </w:rPr>
            </w:pPr>
            <w:r w:rsidRPr="00F20C56">
              <w:rPr>
                <w:rFonts w:ascii="Times New Roman" w:hAnsi="Times New Roman"/>
                <w:b/>
                <w:color w:val="000000"/>
                <w:sz w:val="24"/>
                <w:szCs w:val="24"/>
              </w:rPr>
              <w:t>Wpływ na pozostałe obszary</w:t>
            </w:r>
          </w:p>
        </w:tc>
      </w:tr>
      <w:tr w:rsidR="00196139" w:rsidRPr="00F20C56" w14:paraId="6D18D2CE" w14:textId="77777777" w:rsidTr="00F05286">
        <w:trPr>
          <w:trHeight w:val="1031"/>
        </w:trPr>
        <w:tc>
          <w:tcPr>
            <w:tcW w:w="3405" w:type="dxa"/>
            <w:gridSpan w:val="5"/>
            <w:shd w:val="clear" w:color="auto" w:fill="FFFFFF"/>
          </w:tcPr>
          <w:p w14:paraId="1CDB9411" w14:textId="77777777" w:rsidR="00196139" w:rsidRPr="00F20C56" w:rsidRDefault="00196139" w:rsidP="00196139">
            <w:pPr>
              <w:spacing w:after="70" w:line="240" w:lineRule="auto"/>
              <w:rPr>
                <w:rFonts w:ascii="Times New Roman" w:hAnsi="Times New Roman"/>
                <w:color w:val="000000"/>
                <w:sz w:val="24"/>
                <w:szCs w:val="24"/>
              </w:rPr>
            </w:pPr>
          </w:p>
          <w:p w14:paraId="2ECC066D"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z w:val="24"/>
                  <w:szCs w:val="24"/>
                </w:rPr>
                <w:id w:val="365952688"/>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w:t>
            </w:r>
            <w:r w:rsidR="00196139" w:rsidRPr="00F20C56">
              <w:rPr>
                <w:rFonts w:ascii="Times New Roman" w:hAnsi="Times New Roman"/>
                <w:color w:val="000000"/>
                <w:spacing w:val="-2"/>
                <w:sz w:val="24"/>
                <w:szCs w:val="24"/>
              </w:rPr>
              <w:t>środowisko naturalne</w:t>
            </w:r>
          </w:p>
          <w:p w14:paraId="641F4A8E"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1888785328"/>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sytuacja i rozwój regionalny</w:t>
            </w:r>
          </w:p>
          <w:p w14:paraId="1F7C03F4"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366884454"/>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inne: </w:t>
            </w:r>
            <w:r w:rsidR="00196139" w:rsidRPr="00F20C56">
              <w:rPr>
                <w:rFonts w:ascii="Times New Roman" w:hAnsi="Times New Roman"/>
                <w:color w:val="000000"/>
                <w:sz w:val="24"/>
                <w:szCs w:val="24"/>
              </w:rPr>
              <w:t>…</w:t>
            </w:r>
          </w:p>
        </w:tc>
        <w:tc>
          <w:tcPr>
            <w:tcW w:w="3687" w:type="dxa"/>
            <w:gridSpan w:val="13"/>
            <w:shd w:val="clear" w:color="auto" w:fill="FFFFFF"/>
          </w:tcPr>
          <w:p w14:paraId="73B05D5D" w14:textId="77777777" w:rsidR="00196139" w:rsidRPr="00F20C56" w:rsidRDefault="00196139" w:rsidP="00196139">
            <w:pPr>
              <w:spacing w:after="70" w:line="240" w:lineRule="auto"/>
              <w:rPr>
                <w:rFonts w:ascii="Times New Roman" w:hAnsi="Times New Roman"/>
                <w:color w:val="000000"/>
                <w:sz w:val="24"/>
                <w:szCs w:val="24"/>
              </w:rPr>
            </w:pPr>
          </w:p>
          <w:p w14:paraId="4FFA9BB1"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1170861332"/>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demografia</w:t>
            </w:r>
          </w:p>
          <w:p w14:paraId="5C33A626"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z w:val="24"/>
                  <w:szCs w:val="24"/>
                </w:rPr>
                <w:id w:val="1090503991"/>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z w:val="24"/>
                    <w:szCs w:val="24"/>
                  </w:rPr>
                  <w:t>☐</w:t>
                </w:r>
              </w:sdtContent>
            </w:sdt>
            <w:r w:rsidR="00196139" w:rsidRPr="00F20C56">
              <w:rPr>
                <w:rFonts w:ascii="Times New Roman" w:hAnsi="Times New Roman"/>
                <w:color w:val="000000"/>
                <w:sz w:val="24"/>
                <w:szCs w:val="24"/>
              </w:rPr>
              <w:t xml:space="preserve"> mienie państwowe</w:t>
            </w:r>
          </w:p>
        </w:tc>
        <w:tc>
          <w:tcPr>
            <w:tcW w:w="2973" w:type="dxa"/>
            <w:gridSpan w:val="9"/>
            <w:shd w:val="clear" w:color="auto" w:fill="FFFFFF"/>
          </w:tcPr>
          <w:p w14:paraId="4479D945" w14:textId="77777777" w:rsidR="00196139" w:rsidRPr="00F20C56" w:rsidRDefault="00196139" w:rsidP="00196139">
            <w:pPr>
              <w:spacing w:after="70" w:line="240" w:lineRule="auto"/>
              <w:rPr>
                <w:rFonts w:ascii="Times New Roman" w:hAnsi="Times New Roman"/>
                <w:color w:val="000000"/>
                <w:sz w:val="24"/>
                <w:szCs w:val="24"/>
              </w:rPr>
            </w:pPr>
          </w:p>
          <w:p w14:paraId="11910143" w14:textId="77777777" w:rsidR="00196139" w:rsidRPr="00F20C56" w:rsidRDefault="001716D0" w:rsidP="00196139">
            <w:pPr>
              <w:spacing w:after="70" w:line="240" w:lineRule="auto"/>
              <w:rPr>
                <w:rFonts w:ascii="Times New Roman" w:hAnsi="Times New Roman"/>
                <w:color w:val="000000"/>
                <w:spacing w:val="-2"/>
                <w:sz w:val="24"/>
                <w:szCs w:val="24"/>
              </w:rPr>
            </w:pPr>
            <w:sdt>
              <w:sdtPr>
                <w:rPr>
                  <w:rFonts w:ascii="Times New Roman" w:hAnsi="Times New Roman"/>
                  <w:color w:val="000000"/>
                  <w:spacing w:val="-2"/>
                  <w:sz w:val="24"/>
                  <w:szCs w:val="24"/>
                </w:rPr>
                <w:id w:val="1485042436"/>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informatyzacja</w:t>
            </w:r>
          </w:p>
          <w:p w14:paraId="02EA2EFA" w14:textId="77777777" w:rsidR="00196139" w:rsidRPr="00F20C56" w:rsidRDefault="001716D0" w:rsidP="00196139">
            <w:pPr>
              <w:spacing w:after="70" w:line="240" w:lineRule="auto"/>
              <w:rPr>
                <w:rFonts w:ascii="Times New Roman" w:hAnsi="Times New Roman"/>
                <w:color w:val="000000"/>
                <w:sz w:val="24"/>
                <w:szCs w:val="24"/>
              </w:rPr>
            </w:pPr>
            <w:sdt>
              <w:sdtPr>
                <w:rPr>
                  <w:rFonts w:ascii="Times New Roman" w:hAnsi="Times New Roman"/>
                  <w:color w:val="000000"/>
                  <w:spacing w:val="-2"/>
                  <w:sz w:val="24"/>
                  <w:szCs w:val="24"/>
                </w:rPr>
                <w:id w:val="-170105530"/>
                <w14:checkbox>
                  <w14:checked w14:val="0"/>
                  <w14:checkedState w14:val="2612" w14:font="MS Gothic"/>
                  <w14:uncheckedState w14:val="2610" w14:font="MS Gothic"/>
                </w14:checkbox>
              </w:sdtPr>
              <w:sdtEndPr/>
              <w:sdtContent>
                <w:r w:rsidR="00196139" w:rsidRPr="00F20C56">
                  <w:rPr>
                    <w:rFonts w:ascii="Segoe UI Symbol" w:eastAsia="MS Mincho" w:hAnsi="Segoe UI Symbol" w:cs="Segoe UI Symbol"/>
                    <w:color w:val="000000"/>
                    <w:spacing w:val="-2"/>
                    <w:sz w:val="24"/>
                    <w:szCs w:val="24"/>
                  </w:rPr>
                  <w:t>☐</w:t>
                </w:r>
              </w:sdtContent>
            </w:sdt>
            <w:r w:rsidR="00196139" w:rsidRPr="00F20C56">
              <w:rPr>
                <w:rFonts w:ascii="Times New Roman" w:hAnsi="Times New Roman"/>
                <w:color w:val="000000"/>
                <w:spacing w:val="-2"/>
                <w:sz w:val="24"/>
                <w:szCs w:val="24"/>
              </w:rPr>
              <w:t xml:space="preserve"> zdrowie</w:t>
            </w:r>
          </w:p>
        </w:tc>
      </w:tr>
      <w:tr w:rsidR="00196139" w:rsidRPr="00F20C56" w14:paraId="5FF3488C" w14:textId="77777777" w:rsidTr="00A7232B">
        <w:trPr>
          <w:trHeight w:val="712"/>
        </w:trPr>
        <w:tc>
          <w:tcPr>
            <w:tcW w:w="2156" w:type="dxa"/>
            <w:gridSpan w:val="2"/>
            <w:shd w:val="clear" w:color="auto" w:fill="FFFFFF"/>
            <w:vAlign w:val="center"/>
          </w:tcPr>
          <w:p w14:paraId="6C5C2C8F" w14:textId="77777777" w:rsidR="00196139" w:rsidRPr="00F20C56" w:rsidRDefault="00196139" w:rsidP="00196139">
            <w:pPr>
              <w:spacing w:after="70" w:line="240" w:lineRule="auto"/>
              <w:rPr>
                <w:rFonts w:ascii="Times New Roman" w:hAnsi="Times New Roman"/>
                <w:color w:val="000000"/>
                <w:sz w:val="24"/>
                <w:szCs w:val="24"/>
              </w:rPr>
            </w:pPr>
            <w:r w:rsidRPr="00F20C56">
              <w:rPr>
                <w:rFonts w:ascii="Times New Roman" w:hAnsi="Times New Roman"/>
                <w:color w:val="000000"/>
                <w:sz w:val="24"/>
                <w:szCs w:val="24"/>
              </w:rPr>
              <w:t>Omówienie wpływu</w:t>
            </w:r>
          </w:p>
        </w:tc>
        <w:tc>
          <w:tcPr>
            <w:tcW w:w="7909" w:type="dxa"/>
            <w:gridSpan w:val="25"/>
            <w:shd w:val="clear" w:color="auto" w:fill="FFFFFF"/>
            <w:vAlign w:val="center"/>
          </w:tcPr>
          <w:p w14:paraId="2726674E" w14:textId="77777777" w:rsidR="00196139" w:rsidRPr="00F20C56" w:rsidRDefault="00196139" w:rsidP="00196139">
            <w:pPr>
              <w:spacing w:after="70" w:line="240" w:lineRule="auto"/>
              <w:jc w:val="both"/>
              <w:rPr>
                <w:rFonts w:ascii="Times New Roman" w:hAnsi="Times New Roman"/>
                <w:color w:val="000000"/>
                <w:spacing w:val="-2"/>
                <w:sz w:val="24"/>
                <w:szCs w:val="24"/>
              </w:rPr>
            </w:pPr>
          </w:p>
          <w:p w14:paraId="7FD5FCDF" w14:textId="77777777" w:rsidR="00196139" w:rsidRPr="00F20C56" w:rsidRDefault="00196139" w:rsidP="00196139">
            <w:pPr>
              <w:spacing w:after="70" w:line="240" w:lineRule="auto"/>
              <w:rPr>
                <w:rFonts w:ascii="Times New Roman" w:hAnsi="Times New Roman"/>
                <w:color w:val="000000"/>
                <w:spacing w:val="-2"/>
                <w:sz w:val="24"/>
                <w:szCs w:val="24"/>
              </w:rPr>
            </w:pPr>
            <w:r w:rsidRPr="00F20C56">
              <w:rPr>
                <w:rFonts w:ascii="Times New Roman" w:hAnsi="Times New Roman"/>
                <w:color w:val="000000"/>
                <w:spacing w:val="-2"/>
                <w:sz w:val="24"/>
                <w:szCs w:val="24"/>
              </w:rPr>
              <w:t>Wejście w życie rozporządzenia nie będzie miało wpływu na sytuację i rozwój regionalny oraz pozostałe obszary, o których mowa w pkt 10.</w:t>
            </w:r>
          </w:p>
          <w:p w14:paraId="0704D886" w14:textId="77777777" w:rsidR="00196139" w:rsidRPr="00F20C56" w:rsidRDefault="00196139" w:rsidP="00196139">
            <w:pPr>
              <w:spacing w:after="70" w:line="240" w:lineRule="auto"/>
              <w:jc w:val="both"/>
              <w:rPr>
                <w:rFonts w:ascii="Times New Roman" w:hAnsi="Times New Roman"/>
                <w:color w:val="000000"/>
                <w:spacing w:val="-2"/>
                <w:sz w:val="24"/>
                <w:szCs w:val="24"/>
              </w:rPr>
            </w:pPr>
          </w:p>
        </w:tc>
      </w:tr>
      <w:tr w:rsidR="00196139" w:rsidRPr="00F20C56" w14:paraId="26D5C809" w14:textId="77777777" w:rsidTr="00F05286">
        <w:trPr>
          <w:trHeight w:val="142"/>
        </w:trPr>
        <w:tc>
          <w:tcPr>
            <w:tcW w:w="10065" w:type="dxa"/>
            <w:gridSpan w:val="27"/>
            <w:shd w:val="clear" w:color="auto" w:fill="99CCFF"/>
          </w:tcPr>
          <w:p w14:paraId="133301B9" w14:textId="77777777" w:rsidR="00196139" w:rsidRPr="00F20C56" w:rsidRDefault="00196139" w:rsidP="00196139">
            <w:pPr>
              <w:numPr>
                <w:ilvl w:val="0"/>
                <w:numId w:val="1"/>
              </w:numPr>
              <w:spacing w:after="70" w:line="240" w:lineRule="auto"/>
              <w:ind w:left="318" w:hanging="284"/>
              <w:jc w:val="both"/>
              <w:rPr>
                <w:rFonts w:ascii="Times New Roman" w:hAnsi="Times New Roman"/>
                <w:b/>
                <w:sz w:val="24"/>
                <w:szCs w:val="24"/>
              </w:rPr>
            </w:pPr>
            <w:r w:rsidRPr="00F20C56">
              <w:rPr>
                <w:rFonts w:ascii="Times New Roman" w:hAnsi="Times New Roman"/>
                <w:b/>
                <w:spacing w:val="-2"/>
                <w:sz w:val="24"/>
                <w:szCs w:val="24"/>
              </w:rPr>
              <w:t>Planowane wykonanie przepisów aktu prawnego</w:t>
            </w:r>
          </w:p>
        </w:tc>
      </w:tr>
      <w:tr w:rsidR="00196139" w:rsidRPr="00F20C56" w14:paraId="4498FFA2" w14:textId="77777777" w:rsidTr="00F05286">
        <w:trPr>
          <w:trHeight w:val="142"/>
        </w:trPr>
        <w:tc>
          <w:tcPr>
            <w:tcW w:w="10065" w:type="dxa"/>
            <w:gridSpan w:val="27"/>
            <w:shd w:val="clear" w:color="auto" w:fill="FFFFFF"/>
          </w:tcPr>
          <w:p w14:paraId="7267D317" w14:textId="6982E495" w:rsidR="00196139" w:rsidRPr="00F20C56" w:rsidRDefault="00196139" w:rsidP="00196139">
            <w:pPr>
              <w:spacing w:after="70" w:line="240" w:lineRule="auto"/>
              <w:jc w:val="both"/>
              <w:rPr>
                <w:rFonts w:ascii="Times New Roman" w:hAnsi="Times New Roman"/>
                <w:spacing w:val="-2"/>
                <w:sz w:val="24"/>
                <w:szCs w:val="24"/>
              </w:rPr>
            </w:pPr>
            <w:r w:rsidRPr="00F20C56">
              <w:rPr>
                <w:rFonts w:ascii="Times New Roman" w:hAnsi="Times New Roman"/>
                <w:spacing w:val="-2"/>
                <w:sz w:val="24"/>
                <w:szCs w:val="24"/>
              </w:rPr>
              <w:t>Rozporządzenie wejdzie w życie z dniem następującym po dniu ogłoszenia.</w:t>
            </w:r>
          </w:p>
          <w:p w14:paraId="141A00AF" w14:textId="77777777" w:rsidR="00196139" w:rsidRPr="00F20C56" w:rsidRDefault="00196139" w:rsidP="00196139">
            <w:pPr>
              <w:spacing w:after="70" w:line="240" w:lineRule="auto"/>
              <w:jc w:val="both"/>
              <w:rPr>
                <w:rFonts w:ascii="Times New Roman" w:hAnsi="Times New Roman"/>
                <w:spacing w:val="-2"/>
                <w:sz w:val="24"/>
                <w:szCs w:val="24"/>
              </w:rPr>
            </w:pPr>
          </w:p>
        </w:tc>
      </w:tr>
      <w:tr w:rsidR="00196139" w:rsidRPr="00F20C56" w14:paraId="0AD2D9F8" w14:textId="77777777" w:rsidTr="00F05286">
        <w:trPr>
          <w:trHeight w:val="142"/>
        </w:trPr>
        <w:tc>
          <w:tcPr>
            <w:tcW w:w="10065" w:type="dxa"/>
            <w:gridSpan w:val="27"/>
            <w:shd w:val="clear" w:color="auto" w:fill="99CCFF"/>
          </w:tcPr>
          <w:p w14:paraId="3C93BD52" w14:textId="77777777" w:rsidR="00196139" w:rsidRPr="00F20C56" w:rsidRDefault="00196139" w:rsidP="00196139">
            <w:pPr>
              <w:numPr>
                <w:ilvl w:val="0"/>
                <w:numId w:val="1"/>
              </w:numPr>
              <w:spacing w:after="70" w:line="240" w:lineRule="auto"/>
              <w:ind w:left="318" w:hanging="284"/>
              <w:jc w:val="both"/>
              <w:rPr>
                <w:rFonts w:ascii="Times New Roman" w:hAnsi="Times New Roman"/>
                <w:b/>
                <w:color w:val="000000"/>
                <w:sz w:val="24"/>
                <w:szCs w:val="24"/>
              </w:rPr>
            </w:pPr>
            <w:r w:rsidRPr="00F20C56">
              <w:rPr>
                <w:rFonts w:ascii="Times New Roman" w:hAnsi="Times New Roman"/>
                <w:b/>
                <w:color w:val="000000"/>
                <w:sz w:val="24"/>
                <w:szCs w:val="24"/>
              </w:rPr>
              <w:t xml:space="preserve"> </w:t>
            </w:r>
            <w:r w:rsidRPr="00F20C56">
              <w:rPr>
                <w:rFonts w:ascii="Times New Roman" w:hAnsi="Times New Roman"/>
                <w:b/>
                <w:spacing w:val="-2"/>
                <w:sz w:val="24"/>
                <w:szCs w:val="24"/>
              </w:rPr>
              <w:t>W jaki sposób i kiedy nastąpi ewaluacja efektów projektu oraz jakie mierniki zostaną zastosowane?</w:t>
            </w:r>
          </w:p>
        </w:tc>
      </w:tr>
      <w:tr w:rsidR="00196139" w:rsidRPr="00F20C56" w14:paraId="3BEBC6D6" w14:textId="77777777" w:rsidTr="00F05286">
        <w:trPr>
          <w:trHeight w:val="142"/>
        </w:trPr>
        <w:tc>
          <w:tcPr>
            <w:tcW w:w="10065" w:type="dxa"/>
            <w:gridSpan w:val="27"/>
            <w:shd w:val="clear" w:color="auto" w:fill="FFFFFF"/>
          </w:tcPr>
          <w:p w14:paraId="5600B724" w14:textId="77777777" w:rsidR="00196139" w:rsidRPr="00F20C56" w:rsidRDefault="00196139" w:rsidP="00196139">
            <w:pPr>
              <w:spacing w:after="70" w:line="240" w:lineRule="auto"/>
              <w:jc w:val="both"/>
              <w:rPr>
                <w:rFonts w:ascii="Times New Roman" w:hAnsi="Times New Roman"/>
                <w:sz w:val="24"/>
                <w:szCs w:val="24"/>
              </w:rPr>
            </w:pPr>
            <w:r w:rsidRPr="00F20C56">
              <w:rPr>
                <w:rFonts w:ascii="Times New Roman" w:hAnsi="Times New Roman"/>
                <w:sz w:val="24"/>
                <w:szCs w:val="24"/>
              </w:rPr>
              <w:t>Ewaluacja efektów nastąpi na podstawie danych dotyczących udzielonych gwarancji.</w:t>
            </w:r>
          </w:p>
          <w:p w14:paraId="747EB4D2" w14:textId="77777777" w:rsidR="00196139" w:rsidRPr="00F20C56" w:rsidRDefault="00196139" w:rsidP="00196139">
            <w:pPr>
              <w:spacing w:after="70" w:line="240" w:lineRule="auto"/>
              <w:jc w:val="both"/>
              <w:rPr>
                <w:rFonts w:ascii="Times New Roman" w:hAnsi="Times New Roman"/>
                <w:color w:val="000000"/>
                <w:spacing w:val="-2"/>
                <w:sz w:val="24"/>
                <w:szCs w:val="24"/>
              </w:rPr>
            </w:pPr>
          </w:p>
        </w:tc>
      </w:tr>
      <w:tr w:rsidR="00196139" w:rsidRPr="00F20C56" w14:paraId="7E57E724" w14:textId="77777777" w:rsidTr="00F05286">
        <w:trPr>
          <w:trHeight w:val="142"/>
        </w:trPr>
        <w:tc>
          <w:tcPr>
            <w:tcW w:w="10065" w:type="dxa"/>
            <w:gridSpan w:val="27"/>
            <w:shd w:val="clear" w:color="auto" w:fill="99CCFF"/>
          </w:tcPr>
          <w:p w14:paraId="5F37E4F8" w14:textId="77777777" w:rsidR="00196139" w:rsidRPr="00F20C56" w:rsidRDefault="00196139" w:rsidP="00196139">
            <w:pPr>
              <w:numPr>
                <w:ilvl w:val="0"/>
                <w:numId w:val="1"/>
              </w:numPr>
              <w:spacing w:after="70" w:line="240" w:lineRule="auto"/>
              <w:ind w:left="318" w:hanging="284"/>
              <w:jc w:val="both"/>
              <w:rPr>
                <w:rFonts w:ascii="Times New Roman" w:hAnsi="Times New Roman"/>
                <w:b/>
                <w:color w:val="000000"/>
                <w:spacing w:val="-2"/>
                <w:sz w:val="24"/>
                <w:szCs w:val="24"/>
              </w:rPr>
            </w:pPr>
            <w:r w:rsidRPr="00F20C56">
              <w:rPr>
                <w:rFonts w:ascii="Times New Roman" w:hAnsi="Times New Roman"/>
                <w:b/>
                <w:color w:val="000000"/>
                <w:spacing w:val="-2"/>
                <w:sz w:val="24"/>
                <w:szCs w:val="24"/>
              </w:rPr>
              <w:lastRenderedPageBreak/>
              <w:t xml:space="preserve">Załączniki </w:t>
            </w:r>
            <w:r w:rsidRPr="00F20C56">
              <w:rPr>
                <w:rFonts w:ascii="Times New Roman" w:hAnsi="Times New Roman"/>
                <w:b/>
                <w:spacing w:val="-2"/>
                <w:sz w:val="24"/>
                <w:szCs w:val="24"/>
              </w:rPr>
              <w:t>(istotne dokumenty źródłowe, badania, analizy itp.</w:t>
            </w:r>
            <w:r w:rsidRPr="00F20C56">
              <w:rPr>
                <w:rFonts w:ascii="Times New Roman" w:hAnsi="Times New Roman"/>
                <w:b/>
                <w:color w:val="000000"/>
                <w:spacing w:val="-2"/>
                <w:sz w:val="24"/>
                <w:szCs w:val="24"/>
              </w:rPr>
              <w:t xml:space="preserve">) </w:t>
            </w:r>
          </w:p>
        </w:tc>
      </w:tr>
      <w:tr w:rsidR="00196139" w:rsidRPr="00F20C56" w14:paraId="2B1DF39E" w14:textId="77777777" w:rsidTr="00F05286">
        <w:trPr>
          <w:trHeight w:val="142"/>
        </w:trPr>
        <w:tc>
          <w:tcPr>
            <w:tcW w:w="10065" w:type="dxa"/>
            <w:gridSpan w:val="27"/>
            <w:shd w:val="clear" w:color="auto" w:fill="FFFFFF"/>
          </w:tcPr>
          <w:p w14:paraId="1B5F8269" w14:textId="148271BA" w:rsidR="00196139" w:rsidRDefault="00196139" w:rsidP="00196139">
            <w:pPr>
              <w:spacing w:after="70" w:line="240" w:lineRule="auto"/>
              <w:jc w:val="both"/>
              <w:rPr>
                <w:rFonts w:ascii="Times New Roman" w:hAnsi="Times New Roman"/>
                <w:color w:val="000000"/>
                <w:spacing w:val="-2"/>
                <w:sz w:val="24"/>
                <w:szCs w:val="24"/>
              </w:rPr>
            </w:pPr>
            <w:r w:rsidRPr="00F20C56">
              <w:rPr>
                <w:rFonts w:ascii="Times New Roman" w:hAnsi="Times New Roman"/>
                <w:color w:val="000000"/>
                <w:spacing w:val="-2"/>
                <w:sz w:val="24"/>
                <w:szCs w:val="24"/>
              </w:rPr>
              <w:t>Nie ma załączników.</w:t>
            </w:r>
          </w:p>
          <w:p w14:paraId="422FA3F9" w14:textId="77777777" w:rsidR="00FA191A" w:rsidRPr="00F20C56" w:rsidRDefault="00FA191A" w:rsidP="00196139">
            <w:pPr>
              <w:spacing w:after="70" w:line="240" w:lineRule="auto"/>
              <w:jc w:val="both"/>
              <w:rPr>
                <w:rFonts w:ascii="Times New Roman" w:hAnsi="Times New Roman"/>
                <w:color w:val="000000"/>
                <w:spacing w:val="-2"/>
                <w:sz w:val="24"/>
                <w:szCs w:val="24"/>
              </w:rPr>
            </w:pPr>
          </w:p>
          <w:p w14:paraId="3A1AA44D" w14:textId="77777777" w:rsidR="00196139" w:rsidRPr="00F20C56" w:rsidRDefault="00196139" w:rsidP="00196139">
            <w:pPr>
              <w:spacing w:after="70" w:line="240" w:lineRule="auto"/>
              <w:jc w:val="both"/>
              <w:rPr>
                <w:rFonts w:ascii="Times New Roman" w:hAnsi="Times New Roman"/>
                <w:color w:val="000000"/>
                <w:spacing w:val="-2"/>
                <w:sz w:val="24"/>
                <w:szCs w:val="24"/>
              </w:rPr>
            </w:pPr>
          </w:p>
        </w:tc>
      </w:tr>
    </w:tbl>
    <w:p w14:paraId="25198550" w14:textId="77777777" w:rsidR="009D1039" w:rsidRPr="00F20C56" w:rsidRDefault="001716D0" w:rsidP="00F20C56">
      <w:pPr>
        <w:spacing w:after="70" w:line="240" w:lineRule="auto"/>
        <w:rPr>
          <w:rFonts w:ascii="Times New Roman" w:hAnsi="Times New Roman"/>
          <w:sz w:val="24"/>
          <w:szCs w:val="24"/>
        </w:rPr>
      </w:pPr>
    </w:p>
    <w:sectPr w:rsidR="009D1039" w:rsidRPr="00F20C56" w:rsidSect="00263D3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F618" w14:textId="77777777" w:rsidR="00FF3F1F" w:rsidRDefault="00FF3F1F" w:rsidP="00461172">
      <w:pPr>
        <w:spacing w:line="240" w:lineRule="auto"/>
      </w:pPr>
      <w:r>
        <w:separator/>
      </w:r>
    </w:p>
  </w:endnote>
  <w:endnote w:type="continuationSeparator" w:id="0">
    <w:p w14:paraId="343CE24D" w14:textId="77777777" w:rsidR="00FF3F1F" w:rsidRDefault="00FF3F1F" w:rsidP="00461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2EA8" w14:textId="77777777" w:rsidR="00FF3F1F" w:rsidRDefault="00FF3F1F" w:rsidP="00461172">
      <w:pPr>
        <w:spacing w:line="240" w:lineRule="auto"/>
      </w:pPr>
      <w:r>
        <w:separator/>
      </w:r>
    </w:p>
  </w:footnote>
  <w:footnote w:type="continuationSeparator" w:id="0">
    <w:p w14:paraId="7925FBB1" w14:textId="77777777" w:rsidR="00FF3F1F" w:rsidRDefault="00FF3F1F" w:rsidP="004611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5C57"/>
    <w:multiLevelType w:val="hybridMultilevel"/>
    <w:tmpl w:val="E3107B22"/>
    <w:lvl w:ilvl="0" w:tplc="ECB0CE88">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9C0C2D"/>
    <w:multiLevelType w:val="hybridMultilevel"/>
    <w:tmpl w:val="B8FE5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037710"/>
    <w:multiLevelType w:val="hybridMultilevel"/>
    <w:tmpl w:val="C688CE70"/>
    <w:lvl w:ilvl="0" w:tplc="D00042C2">
      <w:start w:val="1"/>
      <w:numFmt w:val="bullet"/>
      <w:lvlText w:val="-"/>
      <w:lvlJc w:val="left"/>
      <w:pPr>
        <w:ind w:left="1353" w:hanging="360"/>
      </w:pPr>
      <w:rPr>
        <w:rFonts w:ascii="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1B"/>
    <w:rsid w:val="00001890"/>
    <w:rsid w:val="00010B27"/>
    <w:rsid w:val="0002423A"/>
    <w:rsid w:val="00024A18"/>
    <w:rsid w:val="00036F93"/>
    <w:rsid w:val="00071C3E"/>
    <w:rsid w:val="000721DE"/>
    <w:rsid w:val="000948D7"/>
    <w:rsid w:val="000F5FAF"/>
    <w:rsid w:val="00106BBD"/>
    <w:rsid w:val="00110BD7"/>
    <w:rsid w:val="001443B1"/>
    <w:rsid w:val="00161C0D"/>
    <w:rsid w:val="001716D0"/>
    <w:rsid w:val="00196139"/>
    <w:rsid w:val="001D0F43"/>
    <w:rsid w:val="001D5B0B"/>
    <w:rsid w:val="001D69F6"/>
    <w:rsid w:val="002339C2"/>
    <w:rsid w:val="00242B7D"/>
    <w:rsid w:val="0024482E"/>
    <w:rsid w:val="00274AB7"/>
    <w:rsid w:val="0028798A"/>
    <w:rsid w:val="00292CDD"/>
    <w:rsid w:val="002A15C7"/>
    <w:rsid w:val="002A7CD3"/>
    <w:rsid w:val="002F2F99"/>
    <w:rsid w:val="00346099"/>
    <w:rsid w:val="00387D7E"/>
    <w:rsid w:val="003F31F3"/>
    <w:rsid w:val="00444A6E"/>
    <w:rsid w:val="00461172"/>
    <w:rsid w:val="004732EF"/>
    <w:rsid w:val="004749CE"/>
    <w:rsid w:val="00477122"/>
    <w:rsid w:val="00484EA3"/>
    <w:rsid w:val="004920F9"/>
    <w:rsid w:val="004A27DA"/>
    <w:rsid w:val="004A5D30"/>
    <w:rsid w:val="00503DE9"/>
    <w:rsid w:val="00511699"/>
    <w:rsid w:val="00522F72"/>
    <w:rsid w:val="00541657"/>
    <w:rsid w:val="00564D31"/>
    <w:rsid w:val="00580A90"/>
    <w:rsid w:val="00581613"/>
    <w:rsid w:val="00596A47"/>
    <w:rsid w:val="005B0F4E"/>
    <w:rsid w:val="005E38F4"/>
    <w:rsid w:val="006034C1"/>
    <w:rsid w:val="00604033"/>
    <w:rsid w:val="006044DC"/>
    <w:rsid w:val="0060781D"/>
    <w:rsid w:val="006413A9"/>
    <w:rsid w:val="00655842"/>
    <w:rsid w:val="006765B1"/>
    <w:rsid w:val="006A561B"/>
    <w:rsid w:val="006A673A"/>
    <w:rsid w:val="006B1DF2"/>
    <w:rsid w:val="006C6F48"/>
    <w:rsid w:val="006C762D"/>
    <w:rsid w:val="006D2FAB"/>
    <w:rsid w:val="006D5621"/>
    <w:rsid w:val="006F0146"/>
    <w:rsid w:val="006F44AA"/>
    <w:rsid w:val="00731F73"/>
    <w:rsid w:val="00771578"/>
    <w:rsid w:val="00773EF6"/>
    <w:rsid w:val="00787471"/>
    <w:rsid w:val="00794780"/>
    <w:rsid w:val="00795199"/>
    <w:rsid w:val="007A258A"/>
    <w:rsid w:val="007C2DF0"/>
    <w:rsid w:val="007E3ED8"/>
    <w:rsid w:val="007F2E77"/>
    <w:rsid w:val="008012AD"/>
    <w:rsid w:val="00814FB7"/>
    <w:rsid w:val="008205F0"/>
    <w:rsid w:val="00823B4F"/>
    <w:rsid w:val="00875C37"/>
    <w:rsid w:val="008824B8"/>
    <w:rsid w:val="008C0CED"/>
    <w:rsid w:val="00915656"/>
    <w:rsid w:val="0096107B"/>
    <w:rsid w:val="0098002B"/>
    <w:rsid w:val="00986A88"/>
    <w:rsid w:val="009C4E41"/>
    <w:rsid w:val="009D0618"/>
    <w:rsid w:val="009D3DC8"/>
    <w:rsid w:val="009F5DAA"/>
    <w:rsid w:val="00A006D4"/>
    <w:rsid w:val="00A26289"/>
    <w:rsid w:val="00A379B7"/>
    <w:rsid w:val="00A71E30"/>
    <w:rsid w:val="00A7232B"/>
    <w:rsid w:val="00A72B5F"/>
    <w:rsid w:val="00A8037E"/>
    <w:rsid w:val="00A86860"/>
    <w:rsid w:val="00AB27B0"/>
    <w:rsid w:val="00AC3DFE"/>
    <w:rsid w:val="00AD5E95"/>
    <w:rsid w:val="00B00F6C"/>
    <w:rsid w:val="00B42740"/>
    <w:rsid w:val="00B534C6"/>
    <w:rsid w:val="00B579C0"/>
    <w:rsid w:val="00B60803"/>
    <w:rsid w:val="00B64BC7"/>
    <w:rsid w:val="00B64BD8"/>
    <w:rsid w:val="00BB69EB"/>
    <w:rsid w:val="00C958FE"/>
    <w:rsid w:val="00CC2522"/>
    <w:rsid w:val="00CE6C9C"/>
    <w:rsid w:val="00CE7A43"/>
    <w:rsid w:val="00D3695E"/>
    <w:rsid w:val="00D42BB0"/>
    <w:rsid w:val="00D439CC"/>
    <w:rsid w:val="00D619F5"/>
    <w:rsid w:val="00D90950"/>
    <w:rsid w:val="00DC0131"/>
    <w:rsid w:val="00DF0855"/>
    <w:rsid w:val="00E076D1"/>
    <w:rsid w:val="00E36694"/>
    <w:rsid w:val="00E6398F"/>
    <w:rsid w:val="00E8149E"/>
    <w:rsid w:val="00E87AB0"/>
    <w:rsid w:val="00EA56BB"/>
    <w:rsid w:val="00ED51A5"/>
    <w:rsid w:val="00ED54E3"/>
    <w:rsid w:val="00F12920"/>
    <w:rsid w:val="00F20C56"/>
    <w:rsid w:val="00F2233E"/>
    <w:rsid w:val="00F56634"/>
    <w:rsid w:val="00F75A9B"/>
    <w:rsid w:val="00FA0E3B"/>
    <w:rsid w:val="00FA191A"/>
    <w:rsid w:val="00FE0B7A"/>
    <w:rsid w:val="00FE1E42"/>
    <w:rsid w:val="00FF3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A1D02"/>
  <w15:docId w15:val="{E886C747-D8B9-4B9E-8A8B-933FD83B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61B"/>
    <w:pPr>
      <w:spacing w:after="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6A561B"/>
    <w:pPr>
      <w:suppressAutoHyphens/>
      <w:autoSpaceDE w:val="0"/>
      <w:autoSpaceDN w:val="0"/>
      <w:adjustRightInd w:val="0"/>
      <w:spacing w:before="120" w:after="0" w:line="360" w:lineRule="auto"/>
      <w:ind w:firstLine="510"/>
      <w:jc w:val="both"/>
    </w:pPr>
    <w:rPr>
      <w:rFonts w:ascii="Times" w:eastAsiaTheme="minorEastAsia" w:hAnsi="Times" w:cs="Arial"/>
      <w:sz w:val="24"/>
      <w:szCs w:val="20"/>
    </w:rPr>
  </w:style>
  <w:style w:type="paragraph" w:customStyle="1" w:styleId="TYTUAKTUprzedmiotregulacjiustawylubrozporzdzenia">
    <w:name w:val="TYTUŁ_AKTU – przedmiot regulacji ustawy lub rozporządzenia"/>
    <w:next w:val="ARTartustawynprozporzdzenia"/>
    <w:uiPriority w:val="3"/>
    <w:qFormat/>
    <w:rsid w:val="006A561B"/>
    <w:pPr>
      <w:keepNext/>
      <w:suppressAutoHyphens/>
      <w:spacing w:before="120" w:after="360" w:line="360" w:lineRule="auto"/>
      <w:jc w:val="center"/>
    </w:pPr>
    <w:rPr>
      <w:rFonts w:ascii="Times" w:eastAsiaTheme="minorEastAsia" w:hAnsi="Times" w:cs="Arial"/>
      <w:b/>
      <w:bCs/>
      <w:sz w:val="24"/>
      <w:szCs w:val="24"/>
    </w:rPr>
  </w:style>
  <w:style w:type="paragraph" w:styleId="Tekstpodstawowy2">
    <w:name w:val="Body Text 2"/>
    <w:basedOn w:val="Normalny"/>
    <w:link w:val="Tekstpodstawowy2Znak"/>
    <w:rsid w:val="00581613"/>
    <w:pPr>
      <w:spacing w:line="240" w:lineRule="auto"/>
      <w:jc w:val="both"/>
    </w:pPr>
    <w:rPr>
      <w:rFonts w:ascii="Times New Roman" w:eastAsia="Times New Roman" w:hAnsi="Times New Roman"/>
      <w:color w:val="000000"/>
      <w:sz w:val="24"/>
      <w:szCs w:val="20"/>
      <w:lang w:eastAsia="pl-PL"/>
    </w:rPr>
  </w:style>
  <w:style w:type="character" w:customStyle="1" w:styleId="Tekstpodstawowy2Znak">
    <w:name w:val="Tekst podstawowy 2 Znak"/>
    <w:basedOn w:val="Domylnaczcionkaakapitu"/>
    <w:link w:val="Tekstpodstawowy2"/>
    <w:rsid w:val="00581613"/>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uiPriority w:val="99"/>
    <w:semiHidden/>
    <w:unhideWhenUsed/>
    <w:rsid w:val="00A803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37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564D31"/>
    <w:rPr>
      <w:sz w:val="16"/>
      <w:szCs w:val="16"/>
    </w:rPr>
  </w:style>
  <w:style w:type="paragraph" w:styleId="Tekstkomentarza">
    <w:name w:val="annotation text"/>
    <w:basedOn w:val="Normalny"/>
    <w:link w:val="TekstkomentarzaZnak"/>
    <w:uiPriority w:val="99"/>
    <w:semiHidden/>
    <w:unhideWhenUsed/>
    <w:rsid w:val="00564D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D3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4D31"/>
    <w:rPr>
      <w:b/>
      <w:bCs/>
    </w:rPr>
  </w:style>
  <w:style w:type="character" w:customStyle="1" w:styleId="TematkomentarzaZnak">
    <w:name w:val="Temat komentarza Znak"/>
    <w:basedOn w:val="TekstkomentarzaZnak"/>
    <w:link w:val="Tematkomentarza"/>
    <w:uiPriority w:val="99"/>
    <w:semiHidden/>
    <w:rsid w:val="00564D31"/>
    <w:rPr>
      <w:rFonts w:ascii="Calibri" w:eastAsia="Calibri" w:hAnsi="Calibri" w:cs="Times New Roman"/>
      <w:b/>
      <w:bCs/>
      <w:sz w:val="20"/>
      <w:szCs w:val="20"/>
    </w:rPr>
  </w:style>
  <w:style w:type="paragraph" w:styleId="Poprawka">
    <w:name w:val="Revision"/>
    <w:hidden/>
    <w:uiPriority w:val="99"/>
    <w:semiHidden/>
    <w:rsid w:val="00B579C0"/>
    <w:pPr>
      <w:spacing w:after="0" w:line="240" w:lineRule="auto"/>
    </w:pPr>
    <w:rPr>
      <w:rFonts w:ascii="Calibri" w:eastAsia="Calibri" w:hAnsi="Calibri" w:cs="Times New Roman"/>
    </w:rPr>
  </w:style>
  <w:style w:type="paragraph" w:styleId="Akapitzlist">
    <w:name w:val="List Paragraph"/>
    <w:basedOn w:val="Normalny"/>
    <w:uiPriority w:val="34"/>
    <w:qFormat/>
    <w:rsid w:val="008012AD"/>
    <w:pPr>
      <w:ind w:left="720"/>
      <w:contextualSpacing/>
    </w:pPr>
  </w:style>
  <w:style w:type="character" w:styleId="Hipercze">
    <w:name w:val="Hyperlink"/>
    <w:basedOn w:val="Domylnaczcionkaakapitu"/>
    <w:uiPriority w:val="99"/>
    <w:unhideWhenUsed/>
    <w:rsid w:val="00F20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gac@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AC55DCC9994DB09B831DA7F224BD74"/>
        <w:category>
          <w:name w:val="Ogólne"/>
          <w:gallery w:val="placeholder"/>
        </w:category>
        <w:types>
          <w:type w:val="bbPlcHdr"/>
        </w:types>
        <w:behaviors>
          <w:behavior w:val="content"/>
        </w:behaviors>
        <w:guid w:val="{B6A01E89-B557-4A21-A765-CF2E098E29EF}"/>
      </w:docPartPr>
      <w:docPartBody>
        <w:p w:rsidR="00F91FD4" w:rsidRDefault="001C6642" w:rsidP="001C6642">
          <w:pPr>
            <w:pStyle w:val="9CAC55DCC9994DB09B831DA7F224BD74"/>
          </w:pPr>
          <w:r w:rsidRPr="008D2484">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42"/>
    <w:rsid w:val="000D4273"/>
    <w:rsid w:val="0015277D"/>
    <w:rsid w:val="001B1704"/>
    <w:rsid w:val="001C6642"/>
    <w:rsid w:val="00306D30"/>
    <w:rsid w:val="00497A5B"/>
    <w:rsid w:val="006E2C31"/>
    <w:rsid w:val="0070457F"/>
    <w:rsid w:val="00864115"/>
    <w:rsid w:val="009F3DCC"/>
    <w:rsid w:val="00A75D40"/>
    <w:rsid w:val="00C0524D"/>
    <w:rsid w:val="00C225F0"/>
    <w:rsid w:val="00DA3F73"/>
    <w:rsid w:val="00F20D82"/>
    <w:rsid w:val="00F91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C6642"/>
    <w:rPr>
      <w:color w:val="808080"/>
    </w:rPr>
  </w:style>
  <w:style w:type="paragraph" w:customStyle="1" w:styleId="9CAC55DCC9994DB09B831DA7F224BD74">
    <w:name w:val="9CAC55DCC9994DB09B831DA7F224BD74"/>
    <w:rsid w:val="001C6642"/>
  </w:style>
  <w:style w:type="paragraph" w:customStyle="1" w:styleId="67DAACA67E85436BB2A8B88D780D99DD">
    <w:name w:val="67DAACA67E85436BB2A8B88D780D99DD"/>
    <w:rsid w:val="001C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965A-B805-4D49-A998-3A47BE00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10691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Skrzyński Jacek</dc:creator>
  <cp:lastModifiedBy>Gać Małgorzata</cp:lastModifiedBy>
  <cp:revision>2</cp:revision>
  <cp:lastPrinted>2019-07-23T11:39:00Z</cp:lastPrinted>
  <dcterms:created xsi:type="dcterms:W3CDTF">2021-04-12T14:05:00Z</dcterms:created>
  <dcterms:modified xsi:type="dcterms:W3CDTF">2021-04-12T14:05:00Z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35dbe5-40e4-454e-b06e-4ebc663e2a72_Enabled">
    <vt:lpwstr>True</vt:lpwstr>
  </property>
  <property fmtid="{D5CDD505-2E9C-101B-9397-08002B2CF9AE}" pid="3" name="MSIP_Label_6f35dbe5-40e4-454e-b06e-4ebc663e2a72_SiteId">
    <vt:lpwstr>29bb5b9c-200a-4906-89ef-c651c86ab301</vt:lpwstr>
  </property>
  <property fmtid="{D5CDD505-2E9C-101B-9397-08002B2CF9AE}" pid="4" name="MSIP_Label_6f35dbe5-40e4-454e-b06e-4ebc663e2a72_Owner">
    <vt:lpwstr>Anna.Startek@bgk.pl</vt:lpwstr>
  </property>
  <property fmtid="{D5CDD505-2E9C-101B-9397-08002B2CF9AE}" pid="5" name="MSIP_Label_6f35dbe5-40e4-454e-b06e-4ebc663e2a72_SetDate">
    <vt:lpwstr>2019-04-03T13:18:26.7013788Z</vt:lpwstr>
  </property>
  <property fmtid="{D5CDD505-2E9C-101B-9397-08002B2CF9AE}" pid="6" name="MSIP_Label_6f35dbe5-40e4-454e-b06e-4ebc663e2a72_Name">
    <vt:lpwstr>Jawne</vt:lpwstr>
  </property>
  <property fmtid="{D5CDD505-2E9C-101B-9397-08002B2CF9AE}" pid="7" name="MSIP_Label_6f35dbe5-40e4-454e-b06e-4ebc663e2a72_Application">
    <vt:lpwstr>Microsoft Azure Information Protection</vt:lpwstr>
  </property>
  <property fmtid="{D5CDD505-2E9C-101B-9397-08002B2CF9AE}" pid="8" name="MSIP_Label_6f35dbe5-40e4-454e-b06e-4ebc663e2a72_Extended_MSFT_Method">
    <vt:lpwstr>Manual</vt:lpwstr>
  </property>
  <property fmtid="{D5CDD505-2E9C-101B-9397-08002B2CF9AE}" pid="9" name="MSIP_Label_e2e05055-e449-4922-9b24-eaf69810da98_Enabled">
    <vt:lpwstr>True</vt:lpwstr>
  </property>
  <property fmtid="{D5CDD505-2E9C-101B-9397-08002B2CF9AE}" pid="10" name="MSIP_Label_e2e05055-e449-4922-9b24-eaf69810da98_SiteId">
    <vt:lpwstr>29bb5b9c-200a-4906-89ef-c651c86ab301</vt:lpwstr>
  </property>
  <property fmtid="{D5CDD505-2E9C-101B-9397-08002B2CF9AE}" pid="11" name="MSIP_Label_e2e05055-e449-4922-9b24-eaf69810da98_Owner">
    <vt:lpwstr>Anna.Startek@bgk.pl</vt:lpwstr>
  </property>
  <property fmtid="{D5CDD505-2E9C-101B-9397-08002B2CF9AE}" pid="12" name="MSIP_Label_e2e05055-e449-4922-9b24-eaf69810da98_SetDate">
    <vt:lpwstr>2019-04-03T13:18:26.7013788Z</vt:lpwstr>
  </property>
  <property fmtid="{D5CDD505-2E9C-101B-9397-08002B2CF9AE}" pid="13" name="MSIP_Label_e2e05055-e449-4922-9b24-eaf69810da98_Name">
    <vt:lpwstr>Informacje jawne</vt:lpwstr>
  </property>
  <property fmtid="{D5CDD505-2E9C-101B-9397-08002B2CF9AE}" pid="14" name="MSIP_Label_e2e05055-e449-4922-9b24-eaf69810da98_Application">
    <vt:lpwstr>Microsoft Azure Information Protection</vt:lpwstr>
  </property>
  <property fmtid="{D5CDD505-2E9C-101B-9397-08002B2CF9AE}" pid="15" name="MSIP_Label_e2e05055-e449-4922-9b24-eaf69810da98_Parent">
    <vt:lpwstr>6f35dbe5-40e4-454e-b06e-4ebc663e2a72</vt:lpwstr>
  </property>
  <property fmtid="{D5CDD505-2E9C-101B-9397-08002B2CF9AE}" pid="16" name="MSIP_Label_e2e05055-e449-4922-9b24-eaf69810da98_Extended_MSFT_Method">
    <vt:lpwstr>Manual</vt:lpwstr>
  </property>
  <property fmtid="{D5CDD505-2E9C-101B-9397-08002B2CF9AE}" pid="17" name="Sensitivity">
    <vt:lpwstr>Jawne Informacje jawne</vt:lpwstr>
  </property>
</Properties>
</file>