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6" w:rsidRPr="002F636E" w:rsidRDefault="00593A78" w:rsidP="002F636E">
      <w:pPr>
        <w:pStyle w:val="OZNPROJEKTUwskazaniedatylubwersjiprojektu"/>
      </w:pPr>
      <w:bookmarkStart w:id="0" w:name="_GoBack"/>
      <w:bookmarkEnd w:id="0"/>
      <w:r w:rsidRPr="002F636E">
        <w:t>Projekt</w:t>
      </w:r>
      <w:r w:rsidR="000220F4">
        <w:t xml:space="preserve"> z </w:t>
      </w:r>
      <w:r w:rsidRPr="002F636E">
        <w:t xml:space="preserve">dnia </w:t>
      </w:r>
      <w:r w:rsidR="00C44A86">
        <w:t>30</w:t>
      </w:r>
      <w:r w:rsidR="00464161">
        <w:t xml:space="preserve"> marca</w:t>
      </w:r>
      <w:r w:rsidR="00B663D6" w:rsidRPr="002F636E">
        <w:t xml:space="preserve"> </w:t>
      </w:r>
      <w:r w:rsidR="00F46A10" w:rsidRPr="002F636E">
        <w:t>2021</w:t>
      </w:r>
      <w:r w:rsidR="000220F4">
        <w:t xml:space="preserve"> </w:t>
      </w:r>
      <w:r w:rsidRPr="002F636E">
        <w:t xml:space="preserve">r. </w:t>
      </w:r>
    </w:p>
    <w:p w:rsidR="00D95508" w:rsidRDefault="00D95508" w:rsidP="00593A78">
      <w:pPr>
        <w:pStyle w:val="OZNRODZAKTUtznustawalubrozporzdzenieiorganwydajcy"/>
      </w:pPr>
    </w:p>
    <w:p w:rsidR="001A14AF" w:rsidRDefault="00593A78" w:rsidP="00593A78">
      <w:pPr>
        <w:pStyle w:val="OZNRODZAKTUtznustawalubrozporzdzenieiorganwydajcy"/>
      </w:pPr>
      <w:r>
        <w:t xml:space="preserve">Rozporządzenie </w:t>
      </w:r>
    </w:p>
    <w:p w:rsidR="00593A78" w:rsidRPr="00C14969" w:rsidRDefault="00593A78" w:rsidP="00593A78">
      <w:pPr>
        <w:pStyle w:val="OZNRODZAKTUtznustawalubrozporzdzenieiorganwydajcy"/>
      </w:pPr>
      <w:r>
        <w:t>Ministra Rozwoju, Pracy</w:t>
      </w:r>
      <w:r w:rsidR="001F6364">
        <w:t xml:space="preserve"> i</w:t>
      </w:r>
      <w:r w:rsidR="002F636E">
        <w:t xml:space="preserve"> </w:t>
      </w:r>
      <w:r>
        <w:t>Technologii</w:t>
      </w:r>
      <w:r w:rsidR="00C14969" w:rsidRPr="000B2FBA">
        <w:rPr>
          <w:rStyle w:val="IGPindeksgrnyipogrubienie"/>
        </w:rPr>
        <w:footnoteReference w:id="1"/>
      </w:r>
      <w:r w:rsidR="00C14969" w:rsidRPr="000B2FBA">
        <w:rPr>
          <w:rStyle w:val="IGPindeksgrnyipogrubienie"/>
        </w:rPr>
        <w:t>)</w:t>
      </w:r>
    </w:p>
    <w:p w:rsidR="00593A78" w:rsidRDefault="00593A78" w:rsidP="00593A78">
      <w:pPr>
        <w:pStyle w:val="DATAAKTUdatauchwalenialubwydaniaaktu"/>
      </w:pPr>
      <w:r>
        <w:t xml:space="preserve">z dnia </w:t>
      </w:r>
      <w:r w:rsidR="003B5F64">
        <w:t>…</w:t>
      </w:r>
      <w:r w:rsidR="009719D5">
        <w:t>……………….</w:t>
      </w:r>
      <w:r w:rsidR="002F636E">
        <w:t xml:space="preserve"> </w:t>
      </w:r>
      <w:r w:rsidR="003B5F64">
        <w:t>2</w:t>
      </w:r>
      <w:r w:rsidR="00011FFA">
        <w:t>02</w:t>
      </w:r>
      <w:r w:rsidR="002F636E">
        <w:t xml:space="preserve">1 </w:t>
      </w:r>
      <w:r>
        <w:t>r.</w:t>
      </w:r>
    </w:p>
    <w:p w:rsidR="007B3238" w:rsidRPr="004B39EA" w:rsidRDefault="00593A78" w:rsidP="007B3238">
      <w:pPr>
        <w:pStyle w:val="TYTUAKTUprzedmiotregulacjiustawylubrozporzdzenia"/>
      </w:pPr>
      <w:r>
        <w:t xml:space="preserve">w sprawie </w:t>
      </w:r>
      <w:r w:rsidR="007B3238" w:rsidRPr="004B39EA">
        <w:t>metody kalkulacji kosztów cyklu życia budynków oraz sposobu przedstawi</w:t>
      </w:r>
      <w:r w:rsidR="007B3238">
        <w:t>a</w:t>
      </w:r>
      <w:r w:rsidR="007B3238" w:rsidRPr="004B39EA">
        <w:t>nia informacji o</w:t>
      </w:r>
      <w:r w:rsidR="002F636E">
        <w:t xml:space="preserve"> </w:t>
      </w:r>
      <w:r w:rsidR="007B3238" w:rsidRPr="004B39EA">
        <w:t>tych kosztach</w:t>
      </w:r>
    </w:p>
    <w:p w:rsidR="00593A78" w:rsidRDefault="00593A78" w:rsidP="00D51BEF">
      <w:pPr>
        <w:pStyle w:val="NIEARTTEKSTtekstnieartykuowanynppodstprawnarozplubpreambua"/>
      </w:pPr>
      <w:r w:rsidRPr="00593A78">
        <w:t>Na podstawi</w:t>
      </w:r>
      <w:r>
        <w:t>e</w:t>
      </w:r>
      <w:r w:rsidR="002F636E">
        <w:t xml:space="preserve"> art. </w:t>
      </w:r>
      <w:r w:rsidR="007B3238">
        <w:t>245 ust. 7</w:t>
      </w:r>
      <w:r w:rsidR="007B3238" w:rsidRPr="004B39EA">
        <w:t xml:space="preserve"> </w:t>
      </w:r>
      <w:r w:rsidR="007B3238" w:rsidRPr="003E3F78">
        <w:t>ustawy z dnia 11 września 2019 r. – Prawo zamówień publicznych</w:t>
      </w:r>
      <w:r w:rsidR="007B3238">
        <w:t xml:space="preserve"> </w:t>
      </w:r>
      <w:r w:rsidR="007B3238" w:rsidRPr="004B39EA">
        <w:t>(</w:t>
      </w:r>
      <w:r w:rsidR="002F636E">
        <w:t xml:space="preserve">Dz. </w:t>
      </w:r>
      <w:r w:rsidR="007B3238">
        <w:t>U. poz. 2019</w:t>
      </w:r>
      <w:r w:rsidR="00E12A7C">
        <w:t>, z późn. zm.</w:t>
      </w:r>
      <w:r w:rsidR="00E12A7C">
        <w:rPr>
          <w:rStyle w:val="Odwoanieprzypisudolnego"/>
        </w:rPr>
        <w:footnoteReference w:id="2"/>
      </w:r>
      <w:r w:rsidR="00E12A7C" w:rsidRPr="006D261C">
        <w:rPr>
          <w:rStyle w:val="IGindeksgrny"/>
        </w:rPr>
        <w:t>)</w:t>
      </w:r>
      <w:r w:rsidR="007B3238">
        <w:t>)</w:t>
      </w:r>
      <w:r w:rsidRPr="00593A78">
        <w:t xml:space="preserve"> zarządza się, co następuje:</w:t>
      </w:r>
    </w:p>
    <w:p w:rsidR="007B3238" w:rsidRPr="00F86D57" w:rsidRDefault="00593A78" w:rsidP="00F86D57">
      <w:pPr>
        <w:pStyle w:val="ARTartustawynprozporzdzenia"/>
      </w:pPr>
      <w:r w:rsidRPr="00AF717C">
        <w:rPr>
          <w:rStyle w:val="Ppogrubienie"/>
        </w:rPr>
        <w:t>§ 1.</w:t>
      </w:r>
      <w:r w:rsidR="007B3238" w:rsidRPr="00F86D57">
        <w:t xml:space="preserve"> Kalkulację kosztów cyklu życia budynku oblicza się jako sumę kosztów nabycia, użytkowania oraz utrzymania budynku, obliczoną według wzoru:</w:t>
      </w:r>
    </w:p>
    <w:p w:rsidR="007B3238" w:rsidRPr="002F636E" w:rsidRDefault="007B3238" w:rsidP="00D97946">
      <w:pPr>
        <w:pStyle w:val="WMATFIZCHEMwzrmatfizlubchem"/>
        <w:rPr>
          <w:rStyle w:val="IDindeksdolny"/>
          <w:vertAlign w:val="baseline"/>
        </w:rPr>
      </w:pPr>
      <w:r w:rsidRPr="002F636E">
        <w:t>C</w:t>
      </w:r>
      <w:r w:rsidRPr="00B94805">
        <w:rPr>
          <w:rStyle w:val="IDindeksdolny"/>
        </w:rPr>
        <w:t xml:space="preserve">g </w:t>
      </w:r>
      <w:r w:rsidRPr="002F636E">
        <w:t>= C</w:t>
      </w:r>
      <w:r w:rsidRPr="00B94805">
        <w:rPr>
          <w:rStyle w:val="IDindeksdolny"/>
        </w:rPr>
        <w:t>n</w:t>
      </w:r>
      <w:r w:rsidRPr="002F636E">
        <w:t xml:space="preserve"> + C</w:t>
      </w:r>
      <w:r w:rsidRPr="00B94805">
        <w:rPr>
          <w:rStyle w:val="IDindeksdolny"/>
        </w:rPr>
        <w:t xml:space="preserve">uz </w:t>
      </w:r>
      <w:r w:rsidRPr="002F636E">
        <w:t>+ C</w:t>
      </w:r>
      <w:r w:rsidRPr="00B94805">
        <w:rPr>
          <w:rStyle w:val="IDindeksdolny"/>
        </w:rPr>
        <w:t>ut</w:t>
      </w:r>
    </w:p>
    <w:p w:rsidR="007B3238" w:rsidRPr="002F636E" w:rsidRDefault="007B3238" w:rsidP="005D47AD">
      <w:pPr>
        <w:pStyle w:val="ARTartustawynprozporzdzenia"/>
        <w:ind w:firstLine="0"/>
      </w:pPr>
      <w:r w:rsidRPr="002F636E">
        <w:t>gdzie:</w:t>
      </w:r>
    </w:p>
    <w:p w:rsidR="007B3238" w:rsidRPr="002F636E" w:rsidRDefault="007B3238" w:rsidP="00F67DBC">
      <w:pPr>
        <w:pStyle w:val="PKTpunkt"/>
      </w:pPr>
      <w:r w:rsidRPr="002F636E">
        <w:t>C</w:t>
      </w:r>
      <w:r w:rsidRPr="00B94805">
        <w:rPr>
          <w:rStyle w:val="IDindeksdolny"/>
        </w:rPr>
        <w:t>g</w:t>
      </w:r>
      <w:r w:rsidR="00267EA1">
        <w:t xml:space="preserve"> </w:t>
      </w:r>
      <w:r w:rsidR="00B3667F">
        <w:tab/>
      </w:r>
      <w:r w:rsidR="00267EA1" w:rsidRPr="00267EA1">
        <w:t>–</w:t>
      </w:r>
      <w:r w:rsidRPr="002F636E">
        <w:t xml:space="preserve"> koszty cyklu życia budynku w</w:t>
      </w:r>
      <w:r w:rsidR="005D47AD">
        <w:t xml:space="preserve"> </w:t>
      </w:r>
      <w:r w:rsidRPr="002F636E">
        <w:t>30-letnim okresie życia budynku, zwanym dalej „okresem obliczeniowym”,</w:t>
      </w:r>
    </w:p>
    <w:p w:rsidR="007B3238" w:rsidRPr="002F636E" w:rsidRDefault="007B3238" w:rsidP="00F67DBC">
      <w:pPr>
        <w:pStyle w:val="PKTpunkt"/>
      </w:pPr>
      <w:r w:rsidRPr="002F636E">
        <w:t>C</w:t>
      </w:r>
      <w:r w:rsidRPr="00B94805">
        <w:rPr>
          <w:rStyle w:val="IDindeksdolny"/>
        </w:rPr>
        <w:t>n</w:t>
      </w:r>
      <w:r w:rsidR="00267EA1">
        <w:t xml:space="preserve"> </w:t>
      </w:r>
      <w:r w:rsidR="00B3667F">
        <w:tab/>
      </w:r>
      <w:r w:rsidR="00267EA1" w:rsidRPr="00267EA1">
        <w:t>–</w:t>
      </w:r>
      <w:r w:rsidR="00D43275">
        <w:t xml:space="preserve"> </w:t>
      </w:r>
      <w:r w:rsidRPr="002F636E">
        <w:t>koszty nabycia,</w:t>
      </w:r>
    </w:p>
    <w:p w:rsidR="007B3238" w:rsidRPr="002F636E" w:rsidRDefault="007B3238" w:rsidP="00F67DBC">
      <w:pPr>
        <w:pStyle w:val="PKTpunkt"/>
      </w:pPr>
      <w:r w:rsidRPr="002F636E">
        <w:t>C</w:t>
      </w:r>
      <w:r w:rsidRPr="00B94805">
        <w:rPr>
          <w:rStyle w:val="IDindeksdolny"/>
        </w:rPr>
        <w:t>uz</w:t>
      </w:r>
      <w:r w:rsidR="00267EA1">
        <w:t xml:space="preserve"> </w:t>
      </w:r>
      <w:r w:rsidR="00B3667F">
        <w:tab/>
      </w:r>
      <w:r w:rsidR="00267EA1" w:rsidRPr="00267EA1">
        <w:t>–</w:t>
      </w:r>
      <w:r w:rsidR="00267EA1">
        <w:t xml:space="preserve"> </w:t>
      </w:r>
      <w:r w:rsidRPr="002F636E">
        <w:t xml:space="preserve">koszty użytkowania, </w:t>
      </w:r>
    </w:p>
    <w:p w:rsidR="007B3238" w:rsidRPr="002F636E" w:rsidRDefault="007B3238" w:rsidP="00F67DBC">
      <w:pPr>
        <w:pStyle w:val="PKTpunkt"/>
        <w:rPr>
          <w:rStyle w:val="IDindeksdolny"/>
          <w:vertAlign w:val="baseline"/>
        </w:rPr>
      </w:pPr>
      <w:r w:rsidRPr="002F636E">
        <w:t>C</w:t>
      </w:r>
      <w:r w:rsidRPr="00B94805">
        <w:rPr>
          <w:rStyle w:val="IDindeksdolny"/>
        </w:rPr>
        <w:t>ut</w:t>
      </w:r>
      <w:r w:rsidRPr="002F636E">
        <w:t xml:space="preserve"> </w:t>
      </w:r>
      <w:r w:rsidR="00B3667F">
        <w:tab/>
      </w:r>
      <w:r w:rsidR="00267EA1" w:rsidRPr="00267EA1">
        <w:t>–</w:t>
      </w:r>
      <w:r w:rsidR="000220F4">
        <w:t xml:space="preserve"> </w:t>
      </w:r>
      <w:r w:rsidRPr="002F636E">
        <w:t>koszty utrzymania.</w:t>
      </w:r>
      <w:r w:rsidR="00D43275">
        <w:t xml:space="preserve"> </w:t>
      </w:r>
    </w:p>
    <w:p w:rsidR="00F67DBC" w:rsidRPr="00F86D57" w:rsidRDefault="00593A78" w:rsidP="00F86D57">
      <w:pPr>
        <w:pStyle w:val="ARTartustawynprozporzdzenia"/>
      </w:pPr>
      <w:r w:rsidRPr="00AF717C">
        <w:rPr>
          <w:rStyle w:val="Ppogrubienie"/>
        </w:rPr>
        <w:t>§ 2.</w:t>
      </w:r>
      <w:r w:rsidRPr="00F86D57">
        <w:t xml:space="preserve"> </w:t>
      </w:r>
      <w:r w:rsidR="005D47AD" w:rsidRPr="00F86D57">
        <w:t>Zamawiający określa koszt nabycia na podstawie ceny oferty.</w:t>
      </w:r>
    </w:p>
    <w:p w:rsidR="00F67DBC" w:rsidRDefault="00F67DBC" w:rsidP="00F86D57">
      <w:pPr>
        <w:pStyle w:val="ARTartustawynprozporzdzenia"/>
      </w:pPr>
      <w:r w:rsidRPr="00AF717C">
        <w:rPr>
          <w:rStyle w:val="Ppogrubienie"/>
        </w:rPr>
        <w:t>§ 3.</w:t>
      </w:r>
      <w:r w:rsidRPr="00F86D57">
        <w:t xml:space="preserve"> </w:t>
      </w:r>
      <w:r w:rsidR="005D47AD" w:rsidRPr="00F86D57">
        <w:t>1. Koszty użytkowania związane z przewidywanym zużyciem energii końcowej lub nośników energii oraz wody oblicza się jako sumę iloczynów ilości zużywanej w ciągu roku energii końcowej lub nośników energii oraz wody, cen jednostkowych energii końcowej lub nośnika energii oraz wody i okresu obliczeniowego, według wzoru:</w:t>
      </w:r>
    </w:p>
    <w:p w:rsidR="003563D3" w:rsidRPr="00C5060B" w:rsidRDefault="006B38D4" w:rsidP="00022474">
      <w:pPr>
        <w:pStyle w:val="WMATFIZCHEMwzrmatfizlubchem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uz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=30∙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jn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D95508" w:rsidRPr="00EB6485" w:rsidRDefault="00D95508" w:rsidP="00B3667F">
      <w:pPr>
        <w:pStyle w:val="PKTpunkt"/>
      </w:pPr>
      <w:r>
        <w:lastRenderedPageBreak/>
        <w:t>gdzie:</w:t>
      </w:r>
    </w:p>
    <w:p w:rsidR="00D95508" w:rsidRPr="00D95508" w:rsidRDefault="00D95508" w:rsidP="00B3667F">
      <w:pPr>
        <w:pStyle w:val="PKTpunkt"/>
      </w:pPr>
      <w:r>
        <w:t>3</w:t>
      </w:r>
      <w:r w:rsidR="00887278">
        <w:t xml:space="preserve">0 </w:t>
      </w:r>
      <w:r w:rsidR="00B3667F">
        <w:tab/>
      </w:r>
      <w:r w:rsidR="00267EA1" w:rsidRPr="00267EA1">
        <w:t>–</w:t>
      </w:r>
      <w:r w:rsidR="00887278">
        <w:t xml:space="preserve"> </w:t>
      </w:r>
      <w:r w:rsidRPr="00D95508">
        <w:t>okres obliczeniowy,</w:t>
      </w:r>
    </w:p>
    <w:p w:rsidR="00D95508" w:rsidRPr="00D95508" w:rsidRDefault="00D95508" w:rsidP="00B3667F">
      <w:pPr>
        <w:pStyle w:val="PKTpunkt"/>
      </w:pPr>
      <w:r>
        <w:t>n</w:t>
      </w:r>
      <w:r w:rsidR="00887278" w:rsidRPr="00887278">
        <w:t xml:space="preserve"> </w:t>
      </w:r>
      <w:r w:rsidR="00B3667F">
        <w:tab/>
      </w:r>
      <w:r w:rsidR="00267EA1" w:rsidRPr="00267EA1">
        <w:t>–</w:t>
      </w:r>
      <w:r w:rsidR="00887278" w:rsidRPr="00887278">
        <w:t xml:space="preserve"> </w:t>
      </w:r>
      <w:r w:rsidRPr="00D95508">
        <w:t>każdy kolejny rodzaj energii końcowej lub nośnika energii oraz wody,</w:t>
      </w:r>
    </w:p>
    <w:p w:rsidR="00D95508" w:rsidRPr="00D95508" w:rsidRDefault="00D95508" w:rsidP="00B3667F">
      <w:pPr>
        <w:pStyle w:val="PKTpunkt"/>
      </w:pPr>
      <w:r>
        <w:t>E</w:t>
      </w:r>
      <w:r w:rsidRPr="00D95508">
        <w:rPr>
          <w:rStyle w:val="IDindeksdolny"/>
        </w:rPr>
        <w:t>n</w:t>
      </w:r>
      <w:r w:rsidRPr="00D95508">
        <w:t xml:space="preserve"> </w:t>
      </w:r>
      <w:r w:rsidR="00B3667F">
        <w:tab/>
      </w:r>
      <w:r w:rsidR="00267EA1" w:rsidRPr="00267EA1">
        <w:t>–</w:t>
      </w:r>
      <w:r w:rsidR="00887278" w:rsidRPr="00887278">
        <w:t xml:space="preserve"> </w:t>
      </w:r>
      <w:r w:rsidRPr="00D95508">
        <w:t>ilość n-tej energii końcowej lub n-tego nośnik</w:t>
      </w:r>
      <w:r w:rsidR="00FD3AD6">
        <w:t xml:space="preserve">a energii oraz wody zużywanej w </w:t>
      </w:r>
      <w:r w:rsidRPr="00D95508">
        <w:t>ciągu roku,</w:t>
      </w:r>
    </w:p>
    <w:p w:rsidR="00D95508" w:rsidRDefault="00D95508" w:rsidP="00B3667F">
      <w:pPr>
        <w:pStyle w:val="PKTpunkt"/>
      </w:pPr>
      <w:proofErr w:type="spellStart"/>
      <w:r>
        <w:t>C</w:t>
      </w:r>
      <w:r w:rsidRPr="00D95508">
        <w:rPr>
          <w:rStyle w:val="IDindeksdolny"/>
        </w:rPr>
        <w:t>jn</w:t>
      </w:r>
      <w:proofErr w:type="spellEnd"/>
      <w:r w:rsidR="00D43275" w:rsidRPr="002F636E">
        <w:t xml:space="preserve"> </w:t>
      </w:r>
      <w:r w:rsidR="00B3667F">
        <w:tab/>
      </w:r>
      <w:r w:rsidR="00267EA1" w:rsidRPr="00267EA1">
        <w:t>–</w:t>
      </w:r>
      <w:r w:rsidR="00267EA1">
        <w:t xml:space="preserve"> </w:t>
      </w:r>
      <w:r w:rsidRPr="00D95508">
        <w:t>cena jednostkowa n-tej energii końcowej lub n-tego nośnika energii oraz wody.</w:t>
      </w:r>
    </w:p>
    <w:p w:rsidR="005B76CC" w:rsidRPr="00B3667F" w:rsidRDefault="005B76CC" w:rsidP="001804DF">
      <w:pPr>
        <w:pStyle w:val="USTustnpkodeksu"/>
      </w:pPr>
      <w:r w:rsidRPr="00B3667F">
        <w:t xml:space="preserve">2. </w:t>
      </w:r>
      <w:r w:rsidR="001804DF" w:rsidRPr="001804DF">
        <w:t xml:space="preserve">Zamawiający określa w specyfikacji </w:t>
      </w:r>
      <w:r w:rsidR="00D15897">
        <w:t xml:space="preserve">warunków zamówienia minimalną </w:t>
      </w:r>
      <w:r w:rsidR="001804DF" w:rsidRPr="001804DF">
        <w:t>charakterystykę energetyczną budynku,</w:t>
      </w:r>
      <w:r w:rsidR="001804DF">
        <w:t xml:space="preserve"> </w:t>
      </w:r>
      <w:r w:rsidR="001804DF" w:rsidRPr="001804DF">
        <w:t>ze wskazaniem maksymalnej ilości energii końcowej lub nośników energii zużywanych w ciągu roku, oraz maksymalne</w:t>
      </w:r>
      <w:r w:rsidR="001804DF">
        <w:t xml:space="preserve"> </w:t>
      </w:r>
      <w:r w:rsidR="001804DF" w:rsidRPr="001804DF">
        <w:t>zużycie wody w ciągu roku.</w:t>
      </w:r>
    </w:p>
    <w:p w:rsidR="005B76CC" w:rsidRDefault="005B76CC" w:rsidP="000E5DC2">
      <w:pPr>
        <w:pStyle w:val="USTustnpkodeksu"/>
      </w:pPr>
      <w:r w:rsidRPr="00B3667F">
        <w:t xml:space="preserve">3. </w:t>
      </w:r>
      <w:r w:rsidR="001804DF" w:rsidRPr="001804DF">
        <w:t>Dane, o których mowa w ust. 2, oblicza się zgodnie z przepisami wykonawczymi wydanymi na podstawie art. 15</w:t>
      </w:r>
      <w:r w:rsidR="001804DF">
        <w:t xml:space="preserve"> </w:t>
      </w:r>
      <w:r w:rsidR="001804DF" w:rsidRPr="001804DF">
        <w:t>ust. 1 ustawy z dnia 29 sierpnia 2014 r. o charakterystyce energetycznej budynków (Dz. U. z 2020 r. poz. 213 i 471</w:t>
      </w:r>
      <w:r w:rsidR="006D261C">
        <w:t xml:space="preserve"> oraz z 2021 r. poz. 497</w:t>
      </w:r>
      <w:r w:rsidR="001804DF" w:rsidRPr="001804DF">
        <w:t>) w oparciu o przyjęte założenia wynikające z dokumentacji projektowej oraz specyfikacji technicznych wykonania</w:t>
      </w:r>
      <w:r w:rsidR="001804DF">
        <w:t xml:space="preserve"> </w:t>
      </w:r>
      <w:r w:rsidR="001804DF" w:rsidRPr="001804DF">
        <w:t>i odbioru robót budowlanych lub programu funkcjonalno-użytkowego.</w:t>
      </w:r>
    </w:p>
    <w:p w:rsidR="005B76CC" w:rsidRPr="00B3667F" w:rsidRDefault="005B76CC" w:rsidP="000E5DC2">
      <w:pPr>
        <w:pStyle w:val="USTustnpkodeksu"/>
      </w:pPr>
      <w:r w:rsidRPr="00B3667F">
        <w:t xml:space="preserve">4. </w:t>
      </w:r>
      <w:r w:rsidR="000E5DC2" w:rsidRPr="000E5DC2">
        <w:t>Zamawiający określa w specyfikacji warunków zamówienia ceny jednostkowe energii końcowej lub nośników</w:t>
      </w:r>
      <w:r w:rsidR="000E5DC2">
        <w:t xml:space="preserve"> </w:t>
      </w:r>
      <w:r w:rsidR="000E5DC2" w:rsidRPr="000E5DC2">
        <w:t>energii oraz wody, które zostaną ujęte w kalkulacji kosztów cyklu życia budynku.</w:t>
      </w:r>
    </w:p>
    <w:p w:rsidR="00482216" w:rsidRPr="00482216" w:rsidRDefault="00482216" w:rsidP="00482216">
      <w:pPr>
        <w:pStyle w:val="USTustnpkodeksu"/>
      </w:pPr>
      <w:r w:rsidRPr="00482216">
        <w:t>5. Ceny jednostkowe, o których mowa w ust. 4, zamawiający określa na podstawie umów zawartych przez niego z dostawcami</w:t>
      </w:r>
      <w:r>
        <w:t xml:space="preserve"> </w:t>
      </w:r>
      <w:r w:rsidRPr="00482216">
        <w:t>energii końcowej lub nośników energii oraz wody lub taryfikatorów publikowanych przez dostawców energii</w:t>
      </w:r>
      <w:r>
        <w:t xml:space="preserve"> </w:t>
      </w:r>
      <w:r w:rsidRPr="00482216">
        <w:t>końcowej lub nośników energii oraz wody.</w:t>
      </w:r>
    </w:p>
    <w:p w:rsidR="00482216" w:rsidRPr="00482216" w:rsidRDefault="00482216" w:rsidP="00482216">
      <w:pPr>
        <w:pStyle w:val="USTustnpkodeksu"/>
      </w:pPr>
      <w:r w:rsidRPr="00482216">
        <w:t>6. Wykonawca przedstawia w ofercie przewidywaną ilość energii końcowej lub nośnika energii oraz wody zużywanych</w:t>
      </w:r>
      <w:r>
        <w:t xml:space="preserve"> </w:t>
      </w:r>
      <w:r w:rsidRPr="00482216">
        <w:t>w ciągu roku.</w:t>
      </w:r>
    </w:p>
    <w:p w:rsidR="005B76CC" w:rsidRPr="00B3667F" w:rsidRDefault="00482216" w:rsidP="00482216">
      <w:pPr>
        <w:pStyle w:val="USTustnpkodeksu"/>
      </w:pPr>
      <w:r w:rsidRPr="00482216">
        <w:t>7. W przypadku gdy podana przez wykonawcę w ofercie przewidywana ilość energii końcowej, nośnika energii lub</w:t>
      </w:r>
      <w:r>
        <w:t xml:space="preserve"> </w:t>
      </w:r>
      <w:r w:rsidRPr="00482216">
        <w:t>wody zużywana w ciągu roku jest niższa od wartości maksymalnej wskazanej przez zamawiającego, wykonawca przedstawia</w:t>
      </w:r>
      <w:r>
        <w:t xml:space="preserve"> </w:t>
      </w:r>
      <w:r w:rsidRPr="00482216">
        <w:t>w ofercie rozwiązania, których zastosowanie zapewni osiągnięcie wskazanych przez niego wartości.</w:t>
      </w:r>
      <w:r w:rsidR="005B76CC" w:rsidRPr="00B3667F">
        <w:rPr>
          <w:highlight w:val="yellow"/>
        </w:rPr>
        <w:t xml:space="preserve"> </w:t>
      </w:r>
    </w:p>
    <w:p w:rsidR="00BA1DAD" w:rsidRDefault="00F67DBC" w:rsidP="00F86D57">
      <w:pPr>
        <w:pStyle w:val="ARTartustawynprozporzdzenia"/>
      </w:pPr>
      <w:r w:rsidRPr="00AF717C">
        <w:rPr>
          <w:rStyle w:val="Ppogrubienie"/>
        </w:rPr>
        <w:t>§ 4.</w:t>
      </w:r>
      <w:r w:rsidR="00BF5500" w:rsidRPr="00F86D57">
        <w:t xml:space="preserve"> </w:t>
      </w:r>
      <w:r w:rsidR="00D03F86" w:rsidRPr="00F86D57">
        <w:t xml:space="preserve">1. </w:t>
      </w:r>
      <w:r w:rsidR="00D47304" w:rsidRPr="00F86D57">
        <w:t xml:space="preserve">Koszty utrzymania wynikające z eksploatacji budynku, umożliwiające utrzymanie budynku w należytym stanie technicznym i estetycznym, oblicza się jako sumę jednostkowych kosztów utrzymania wyrobów w okresie obliczeniowym pomniejszonych </w:t>
      </w:r>
      <w:r w:rsidR="00C6764B">
        <w:br/>
      </w:r>
      <w:r w:rsidR="00D47304" w:rsidRPr="00F86D57">
        <w:t>o wartość gwarancji wykonawcy dla danego wyrobu, według wzoru</w:t>
      </w:r>
      <w:r w:rsidR="00D03F86" w:rsidRPr="00F86D57">
        <w:t>:</w:t>
      </w:r>
    </w:p>
    <w:p w:rsidR="00CE2C8E" w:rsidRDefault="006B38D4" w:rsidP="00F86D57">
      <w:pPr>
        <w:pStyle w:val="ARTartustawynprozporzdzenia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ut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p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05386C" w:rsidRPr="0005386C" w:rsidRDefault="0005386C" w:rsidP="00B3667F">
      <w:pPr>
        <w:pStyle w:val="PKTpunkt"/>
      </w:pPr>
      <w:r w:rsidRPr="0005386C">
        <w:t>gdzie:</w:t>
      </w:r>
    </w:p>
    <w:p w:rsidR="0005386C" w:rsidRDefault="0005386C" w:rsidP="00B3667F">
      <w:pPr>
        <w:pStyle w:val="PKTpunkt"/>
      </w:pPr>
      <w:r>
        <w:t>i</w:t>
      </w:r>
      <w:r w:rsidR="009A2F60">
        <w:t xml:space="preserve"> </w:t>
      </w:r>
      <w:r w:rsidR="00B3667F">
        <w:tab/>
      </w:r>
      <w:r w:rsidR="00267EA1" w:rsidRPr="00267EA1">
        <w:t>–</w:t>
      </w:r>
      <w:r w:rsidR="00267EA1">
        <w:t xml:space="preserve"> </w:t>
      </w:r>
      <w:r w:rsidRPr="00262A72">
        <w:t>każdy kolejny wyrób</w:t>
      </w:r>
      <w:r>
        <w:t>,</w:t>
      </w:r>
    </w:p>
    <w:p w:rsidR="0005386C" w:rsidRPr="0005386C" w:rsidRDefault="0005386C" w:rsidP="00B3667F">
      <w:pPr>
        <w:pStyle w:val="PKTpunkt"/>
      </w:pPr>
      <w:proofErr w:type="spellStart"/>
      <w:r>
        <w:t>A</w:t>
      </w:r>
      <w:r w:rsidRPr="0005386C">
        <w:rPr>
          <w:rStyle w:val="IDindeksdolny"/>
        </w:rPr>
        <w:t>i</w:t>
      </w:r>
      <w:proofErr w:type="spellEnd"/>
      <w:r w:rsidR="009A2F60" w:rsidRPr="00D95508">
        <w:t> </w:t>
      </w:r>
      <w:r w:rsidR="00B3667F">
        <w:tab/>
      </w:r>
      <w:r w:rsidR="00267EA1" w:rsidRPr="00267EA1">
        <w:t>–</w:t>
      </w:r>
      <w:r w:rsidR="009A2F60" w:rsidRPr="002F636E">
        <w:t xml:space="preserve"> </w:t>
      </w:r>
      <w:r w:rsidRPr="0005386C">
        <w:t>kos</w:t>
      </w:r>
      <w:r w:rsidR="000220F4">
        <w:t>zt utrzymania i</w:t>
      </w:r>
      <w:r w:rsidR="000220F4">
        <w:softHyphen/>
      </w:r>
      <w:r w:rsidR="000220F4">
        <w:softHyphen/>
      </w:r>
      <w:r w:rsidR="000220F4">
        <w:noBreakHyphen/>
        <w:t xml:space="preserve">tego wyrobu w </w:t>
      </w:r>
      <w:r w:rsidRPr="0005386C">
        <w:t xml:space="preserve">okresie obliczeniowym, </w:t>
      </w:r>
    </w:p>
    <w:p w:rsidR="0005386C" w:rsidRPr="0005386C" w:rsidRDefault="0005386C" w:rsidP="00B3667F">
      <w:pPr>
        <w:pStyle w:val="PKTpunkt"/>
      </w:pPr>
      <w:r>
        <w:t>B</w:t>
      </w:r>
      <w:r w:rsidRPr="0005386C">
        <w:rPr>
          <w:rStyle w:val="IDindeksdolny"/>
        </w:rPr>
        <w:t>i</w:t>
      </w:r>
      <w:r w:rsidR="009A2F60">
        <w:t xml:space="preserve"> </w:t>
      </w:r>
      <w:r w:rsidR="00B3667F">
        <w:tab/>
      </w:r>
      <w:r w:rsidR="00267EA1" w:rsidRPr="00267EA1">
        <w:t>–</w:t>
      </w:r>
      <w:r w:rsidR="009A2F60" w:rsidRPr="002F636E">
        <w:t xml:space="preserve"> </w:t>
      </w:r>
      <w:r w:rsidRPr="0005386C">
        <w:t>wartość gwarancji wykonawcy i</w:t>
      </w:r>
      <w:r w:rsidRPr="0005386C">
        <w:softHyphen/>
      </w:r>
      <w:r w:rsidRPr="0005386C">
        <w:softHyphen/>
      </w:r>
      <w:r w:rsidRPr="0005386C">
        <w:noBreakHyphen/>
        <w:t>tego wyrobu.</w:t>
      </w:r>
    </w:p>
    <w:p w:rsidR="00F03E2C" w:rsidRPr="000A79C4" w:rsidRDefault="00F03E2C" w:rsidP="000A79C4">
      <w:pPr>
        <w:pStyle w:val="USTustnpkodeksu"/>
      </w:pPr>
      <w:r>
        <w:tab/>
      </w:r>
      <w:r w:rsidRPr="000A79C4">
        <w:t>2. Koszt utrzymania i</w:t>
      </w:r>
      <w:r w:rsidRPr="000A79C4">
        <w:softHyphen/>
      </w:r>
      <w:r w:rsidRPr="000A79C4">
        <w:noBreakHyphen/>
        <w:t>tego wyrobu w</w:t>
      </w:r>
      <w:r w:rsidR="000220F4" w:rsidRPr="000A79C4">
        <w:t xml:space="preserve"> </w:t>
      </w:r>
      <w:r w:rsidRPr="000A79C4">
        <w:t>okresie obliczeniowym oblicza się według wzoru:</w:t>
      </w:r>
    </w:p>
    <w:p w:rsidR="00D97946" w:rsidRDefault="00D97946" w:rsidP="00D97946">
      <w:pPr>
        <w:pStyle w:val="WMATFIZCHEMwzrmatfizlubchem"/>
      </w:pPr>
      <w:proofErr w:type="spellStart"/>
      <w:r>
        <w:t>A</w:t>
      </w:r>
      <w:r w:rsidRPr="00047C82">
        <w:rPr>
          <w:rStyle w:val="IDindeksdolny"/>
        </w:rPr>
        <w:t>i</w:t>
      </w:r>
      <w:proofErr w:type="spellEnd"/>
      <w:r w:rsidR="000B2FBA">
        <w:rPr>
          <w:rStyle w:val="IDindeksdolny"/>
        </w:rPr>
        <w:t xml:space="preserve"> </w:t>
      </w:r>
      <w:r w:rsidRPr="00047C82">
        <w:t xml:space="preserve">= I · K · N </w:t>
      </w:r>
    </w:p>
    <w:p w:rsidR="009A2F60" w:rsidRPr="009A2F60" w:rsidRDefault="009A2F60" w:rsidP="00B3667F">
      <w:pPr>
        <w:pStyle w:val="PKTpunkt"/>
      </w:pPr>
      <w:r w:rsidRPr="0005386C">
        <w:t>g</w:t>
      </w:r>
      <w:r w:rsidRPr="009A2F60">
        <w:t>dzie:</w:t>
      </w:r>
    </w:p>
    <w:p w:rsidR="0019112D" w:rsidRPr="0019112D" w:rsidRDefault="0019112D" w:rsidP="00B3667F">
      <w:pPr>
        <w:pStyle w:val="PKTpunkt"/>
      </w:pPr>
      <w:r>
        <w:t>I</w:t>
      </w:r>
      <w:r w:rsidR="001272D0">
        <w:t xml:space="preserve"> </w:t>
      </w:r>
      <w:r w:rsidR="00B3667F">
        <w:tab/>
      </w:r>
      <w:r w:rsidR="00267EA1" w:rsidRPr="00267EA1">
        <w:t>–</w:t>
      </w:r>
      <w:r w:rsidRPr="0019112D">
        <w:t xml:space="preserve"> liczba jednostek wyrobu,</w:t>
      </w:r>
    </w:p>
    <w:p w:rsidR="0019112D" w:rsidRPr="0019112D" w:rsidRDefault="001272D0" w:rsidP="00B3667F">
      <w:pPr>
        <w:pStyle w:val="PKTpunkt"/>
      </w:pPr>
      <w:r>
        <w:t xml:space="preserve">K </w:t>
      </w:r>
      <w:r w:rsidR="00B3667F">
        <w:tab/>
      </w:r>
      <w:r w:rsidR="00267EA1" w:rsidRPr="00267EA1">
        <w:t>–</w:t>
      </w:r>
      <w:r>
        <w:t xml:space="preserve"> </w:t>
      </w:r>
      <w:r w:rsidR="0019112D" w:rsidRPr="0019112D">
        <w:t>koszt wymiany jednostki wyrobu,</w:t>
      </w:r>
    </w:p>
    <w:p w:rsidR="0019112D" w:rsidRPr="0019112D" w:rsidRDefault="0019112D" w:rsidP="00B3667F">
      <w:pPr>
        <w:pStyle w:val="PKTpunkt"/>
      </w:pPr>
      <w:r>
        <w:t xml:space="preserve">N </w:t>
      </w:r>
      <w:r w:rsidR="00B3667F">
        <w:tab/>
      </w:r>
      <w:r w:rsidR="00267EA1" w:rsidRPr="00267EA1">
        <w:t>–</w:t>
      </w:r>
      <w:r w:rsidRPr="0019112D">
        <w:t xml:space="preserve"> li</w:t>
      </w:r>
      <w:r w:rsidR="000220F4">
        <w:t xml:space="preserve">czba cykli użytkowania wyrobu w </w:t>
      </w:r>
      <w:r w:rsidRPr="0019112D">
        <w:t>okresie obliczeniowym.</w:t>
      </w:r>
    </w:p>
    <w:p w:rsidR="000C4C48" w:rsidRDefault="000C4C48" w:rsidP="000C4C48">
      <w:pPr>
        <w:pStyle w:val="USTustnpkodeksu"/>
      </w:pPr>
      <w:r>
        <w:t>3. Wartość gwarancji wykonawcy i</w:t>
      </w:r>
      <w:r>
        <w:softHyphen/>
      </w:r>
      <w:r>
        <w:softHyphen/>
      </w:r>
      <w:r>
        <w:noBreakHyphen/>
        <w:t>tego wyrobu</w:t>
      </w:r>
      <w:r w:rsidRPr="00992784">
        <w:t xml:space="preserve"> oblicza się według wzoru:</w:t>
      </w:r>
    </w:p>
    <w:p w:rsidR="000C4C48" w:rsidRDefault="000C4C48" w:rsidP="000C4C48">
      <w:pPr>
        <w:pStyle w:val="WMATFIZCHEMwzrmatfizlubchem"/>
      </w:pPr>
      <w:r>
        <w:t>B</w:t>
      </w:r>
      <w:r w:rsidRPr="00047C82">
        <w:rPr>
          <w:rStyle w:val="IDindeksdolny"/>
        </w:rPr>
        <w:t>i</w:t>
      </w:r>
      <w:r w:rsidRPr="00047C82">
        <w:t xml:space="preserve"> = (</w:t>
      </w:r>
      <w:proofErr w:type="spellStart"/>
      <w:r w:rsidRPr="00047C82">
        <w:t>A</w:t>
      </w:r>
      <w:r w:rsidRPr="00047C82">
        <w:rPr>
          <w:rStyle w:val="IDindeksdolny"/>
        </w:rPr>
        <w:t>i</w:t>
      </w:r>
      <w:proofErr w:type="spellEnd"/>
      <w:r w:rsidRPr="00047C82">
        <w:t xml:space="preserve"> · </w:t>
      </w:r>
      <w:proofErr w:type="spellStart"/>
      <w:r w:rsidRPr="00047C82">
        <w:t>O</w:t>
      </w:r>
      <w:r w:rsidRPr="00047C82">
        <w:rPr>
          <w:rStyle w:val="IDindeksdolny"/>
        </w:rPr>
        <w:t>g</w:t>
      </w:r>
      <w:proofErr w:type="spellEnd"/>
      <w:r w:rsidRPr="00047C82">
        <w:t xml:space="preserve"> / 30)</w:t>
      </w:r>
    </w:p>
    <w:p w:rsidR="000C4C48" w:rsidRPr="000C4C48" w:rsidRDefault="000C4C48" w:rsidP="00B3667F">
      <w:pPr>
        <w:pStyle w:val="PKTpunkt"/>
      </w:pPr>
      <w:r>
        <w:t>gdzie:</w:t>
      </w:r>
    </w:p>
    <w:p w:rsidR="000C4C48" w:rsidRDefault="000C4C48" w:rsidP="00B3667F">
      <w:pPr>
        <w:pStyle w:val="PKTpunkt"/>
      </w:pPr>
      <w:proofErr w:type="spellStart"/>
      <w:r>
        <w:t>O</w:t>
      </w:r>
      <w:r w:rsidRPr="002F5330">
        <w:rPr>
          <w:rStyle w:val="IDindeksdolny"/>
        </w:rPr>
        <w:t>g</w:t>
      </w:r>
      <w:proofErr w:type="spellEnd"/>
      <w:r>
        <w:t xml:space="preserve"> </w:t>
      </w:r>
      <w:r w:rsidR="00B3667F">
        <w:tab/>
      </w:r>
      <w:r w:rsidR="00267EA1" w:rsidRPr="00267EA1">
        <w:t>–</w:t>
      </w:r>
      <w:r w:rsidRPr="000C4C48">
        <w:t xml:space="preserve"> </w:t>
      </w:r>
      <w:r>
        <w:t>okres gwarancji i</w:t>
      </w:r>
      <w:r>
        <w:softHyphen/>
      </w:r>
      <w:r>
        <w:noBreakHyphen/>
        <w:t>tego wyrobu  wyrażony</w:t>
      </w:r>
      <w:r w:rsidR="00BA538C">
        <w:t xml:space="preserve"> w </w:t>
      </w:r>
      <w:r>
        <w:t>latach.</w:t>
      </w:r>
    </w:p>
    <w:p w:rsidR="00BA538C" w:rsidRPr="000A79C4" w:rsidRDefault="00BA538C" w:rsidP="00B94805">
      <w:pPr>
        <w:pStyle w:val="USTustnpkodeksu"/>
      </w:pPr>
      <w:r w:rsidRPr="000A79C4">
        <w:t>4. Zamawiający określa w</w:t>
      </w:r>
      <w:r w:rsidR="000220F4" w:rsidRPr="000A79C4">
        <w:t xml:space="preserve"> </w:t>
      </w:r>
      <w:r w:rsidRPr="000A79C4">
        <w:t>specyfikacji warunków zamówienia:</w:t>
      </w:r>
    </w:p>
    <w:p w:rsidR="00BA538C" w:rsidRPr="00221722" w:rsidRDefault="000A79C4" w:rsidP="00221722">
      <w:pPr>
        <w:pStyle w:val="PKTpunkt"/>
      </w:pPr>
      <w:r w:rsidRPr="00221722">
        <w:t>1)</w:t>
      </w:r>
      <w:r w:rsidR="004B3BAF">
        <w:tab/>
      </w:r>
      <w:r w:rsidR="00221722" w:rsidRPr="00221722">
        <w:t>rodzaje wyrobów uwzględnianych przy ustalaniu koszt</w:t>
      </w:r>
      <w:r w:rsidR="00C6764B">
        <w:t xml:space="preserve">u utrzymania − biorąc pod </w:t>
      </w:r>
      <w:r w:rsidR="003E5BF7">
        <w:br/>
      </w:r>
      <w:r w:rsidR="00C6764B">
        <w:t xml:space="preserve">uwagę </w:t>
      </w:r>
      <w:r w:rsidR="00221722" w:rsidRPr="00221722">
        <w:t>ich wpływ na funkcjonowanie budyn</w:t>
      </w:r>
      <w:r w:rsidR="00C6764B">
        <w:t xml:space="preserve">ku oraz szacowany koszt wyrobów </w:t>
      </w:r>
      <w:r w:rsidR="003E5BF7">
        <w:br/>
      </w:r>
      <w:r w:rsidR="00C6764B">
        <w:t xml:space="preserve">z </w:t>
      </w:r>
      <w:r w:rsidR="00221722" w:rsidRPr="00221722">
        <w:t>uwzględnieniem montażu;</w:t>
      </w:r>
    </w:p>
    <w:p w:rsidR="00BA538C" w:rsidRPr="00221722" w:rsidRDefault="000A79C4" w:rsidP="00221722">
      <w:pPr>
        <w:pStyle w:val="PKTpunkt"/>
      </w:pPr>
      <w:r w:rsidRPr="00221722">
        <w:t>2)</w:t>
      </w:r>
      <w:r w:rsidR="004B3BAF">
        <w:tab/>
      </w:r>
      <w:r w:rsidR="00221722" w:rsidRPr="00221722">
        <w:t>koszt wymiany jednostki wyrobu − na podstawie analizy indywidualnej lub kosztorysowych norm nakładów rzeczowych zawierających jednostkowe nakłady rzeczowe przy wykorzystaniu metody interpolacji i ekstrapolacji, z uwzględnieniem cen jednostkowych robót określonych na podstawie danych rynkowych</w:t>
      </w:r>
      <w:r w:rsidR="00BA538C" w:rsidRPr="00221722">
        <w:t>.</w:t>
      </w:r>
    </w:p>
    <w:p w:rsidR="000A79C4" w:rsidRDefault="00762E51" w:rsidP="00762E51">
      <w:pPr>
        <w:pStyle w:val="USTustnpkodeksu"/>
      </w:pPr>
      <w:r w:rsidRPr="00762E51">
        <w:t>5. Zamawiający określa w specyfikacji warunków zamówienia liczbę cykli użytkowania wyrobu w okresie</w:t>
      </w:r>
      <w:r>
        <w:t xml:space="preserve"> </w:t>
      </w:r>
      <w:r w:rsidRPr="00762E51">
        <w:t>obliczeniowym zgodnie z załącznikiem nr 1 do rozporządzenia, uwzględniając funkcję budynku oraz przewidywany sposób</w:t>
      </w:r>
      <w:r>
        <w:t xml:space="preserve"> </w:t>
      </w:r>
      <w:r w:rsidRPr="00762E51">
        <w:t>jego użytkowania.</w:t>
      </w:r>
    </w:p>
    <w:p w:rsidR="005F1EE9" w:rsidRPr="005F1EE9" w:rsidRDefault="005F1EE9" w:rsidP="005F1EE9">
      <w:pPr>
        <w:pStyle w:val="USTustnpkodeksu"/>
      </w:pPr>
      <w:r w:rsidRPr="005F1EE9">
        <w:t>6. Liczbę jednostek wyrobu ustala zamawiający na podstawie dokumentacji projektowej oraz specyfikacji technicznych</w:t>
      </w:r>
      <w:r>
        <w:t xml:space="preserve"> </w:t>
      </w:r>
      <w:r w:rsidRPr="005F1EE9">
        <w:t>wykonania i odbioru robót budowlanych albo programu funkcjonalno-użytkowego.</w:t>
      </w:r>
    </w:p>
    <w:p w:rsidR="005F1EE9" w:rsidRPr="00B94805" w:rsidRDefault="005F1EE9" w:rsidP="005F1EE9">
      <w:pPr>
        <w:pStyle w:val="USTustnpkodeksu"/>
      </w:pPr>
      <w:r w:rsidRPr="005F1EE9">
        <w:t>7. Wykonawca określa w ofercie okres gwarancji dla poszczególnych wyrobów.</w:t>
      </w:r>
    </w:p>
    <w:p w:rsidR="00F86D57" w:rsidRPr="00C63618" w:rsidRDefault="00F86D57" w:rsidP="00C63618">
      <w:pPr>
        <w:pStyle w:val="ARTartustawynprozporzdzenia"/>
      </w:pPr>
      <w:r w:rsidRPr="00AF717C">
        <w:rPr>
          <w:rStyle w:val="Ppogrubienie"/>
        </w:rPr>
        <w:lastRenderedPageBreak/>
        <w:t>§ 5.</w:t>
      </w:r>
      <w:r w:rsidRPr="00C63618">
        <w:t xml:space="preserve"> Kalkulację kosztów cyklu życia budynku zamawiający sporządza na formularzu danych do określenia kosztów cyklu życia budynku, którego wzór określa załącznik nr 2 do rozporządzenia.</w:t>
      </w:r>
    </w:p>
    <w:p w:rsidR="00F86D57" w:rsidRPr="00C63618" w:rsidRDefault="00F86D57" w:rsidP="00C63618">
      <w:pPr>
        <w:pStyle w:val="ARTartustawynprozporzdzenia"/>
      </w:pPr>
      <w:r w:rsidRPr="00AF717C">
        <w:rPr>
          <w:rStyle w:val="Ppogrubienie"/>
        </w:rPr>
        <w:t>§ 6.</w:t>
      </w:r>
      <w:r w:rsidRPr="00C63618">
        <w:t xml:space="preserve"> W rachunku kosztów cyklu życia budynku nie uwzględnia się podatku od towarów </w:t>
      </w:r>
      <w:r w:rsidR="0002641D" w:rsidRPr="00C63618">
        <w:br/>
      </w:r>
      <w:r w:rsidRPr="00C63618">
        <w:t>i usług.</w:t>
      </w:r>
    </w:p>
    <w:p w:rsidR="00F86D57" w:rsidRPr="00C63618" w:rsidRDefault="00F86D57" w:rsidP="00C63618">
      <w:pPr>
        <w:pStyle w:val="ARTartustawynprozporzdzenia"/>
      </w:pPr>
      <w:r w:rsidRPr="00AF717C">
        <w:rPr>
          <w:rStyle w:val="Ppogrubienie"/>
        </w:rPr>
        <w:t>§ 7.</w:t>
      </w:r>
      <w:r w:rsidRPr="00C63618">
        <w:t xml:space="preserve"> W przypadku zastosowania kalkulacji kosztów cyklu życia budynku w odniesieniu do części budynku, koszty nabycia, użytkowania oraz utrzymania oblicza się dla tej części.</w:t>
      </w:r>
    </w:p>
    <w:p w:rsidR="00C63618" w:rsidRDefault="00F86D57" w:rsidP="00C63618">
      <w:pPr>
        <w:pStyle w:val="ARTartustawynprozporzdzenia"/>
      </w:pPr>
      <w:r w:rsidRPr="00AF717C">
        <w:rPr>
          <w:rStyle w:val="Ppogrubienie"/>
        </w:rPr>
        <w:t>§ 8.</w:t>
      </w:r>
      <w:r w:rsidRPr="00C63618">
        <w:t xml:space="preserve"> Rozporządzenie wchodzi w życie z dniem </w:t>
      </w:r>
      <w:r w:rsidR="00C63618">
        <w:t>1 stycznia 2022</w:t>
      </w:r>
      <w:r w:rsidR="00C63618" w:rsidRPr="00C63618">
        <w:t xml:space="preserve"> r.</w:t>
      </w:r>
      <w:r w:rsidR="00501925" w:rsidRPr="00501925">
        <w:rPr>
          <w:rStyle w:val="IGindeksgrny"/>
        </w:rPr>
        <w:footnoteReference w:id="3"/>
      </w:r>
      <w:r w:rsidR="00501925" w:rsidRPr="00501925">
        <w:rPr>
          <w:rStyle w:val="IGindeksgrny"/>
        </w:rPr>
        <w:t>)</w:t>
      </w:r>
      <w:r w:rsidRPr="00501925">
        <w:rPr>
          <w:rStyle w:val="IGindeksgrny"/>
        </w:rPr>
        <w:t xml:space="preserve"> </w:t>
      </w:r>
    </w:p>
    <w:p w:rsidR="001913C8" w:rsidRDefault="001913C8" w:rsidP="001913C8">
      <w:pPr>
        <w:pStyle w:val="NAZORGWYDnazwaorganuwydajcegoprojektowanyakt"/>
      </w:pPr>
    </w:p>
    <w:p w:rsidR="00552089" w:rsidRDefault="003B5F64" w:rsidP="00C5060B">
      <w:pPr>
        <w:pStyle w:val="NAZORGWYDnazwaorganuwydajcegoprojektowanyakt"/>
      </w:pPr>
      <w:r w:rsidRPr="00011E59">
        <w:t>Minister Rozwoju, Pracy i Technologii</w:t>
      </w:r>
    </w:p>
    <w:p w:rsidR="00321FA7" w:rsidRDefault="00321FA7" w:rsidP="00321FA7">
      <w:pPr>
        <w:pStyle w:val="OZNPARAFYADNOTACJE"/>
      </w:pPr>
    </w:p>
    <w:p w:rsidR="00321FA7" w:rsidRDefault="00321FA7" w:rsidP="00321FA7">
      <w:pPr>
        <w:pStyle w:val="OZNPARAFYADNOTACJE"/>
      </w:pPr>
    </w:p>
    <w:p w:rsidR="00AB6427" w:rsidRDefault="00AB6427" w:rsidP="00321FA7">
      <w:pPr>
        <w:pStyle w:val="OZNPARAFYADNOTACJE"/>
      </w:pPr>
    </w:p>
    <w:p w:rsidR="00321FA7" w:rsidRPr="00A13938" w:rsidRDefault="00321FA7" w:rsidP="00321FA7">
      <w:pPr>
        <w:pStyle w:val="OZNPARAFYADNOTACJE"/>
      </w:pPr>
      <w:r w:rsidRPr="00A13938">
        <w:t>ZA ZGODNOŚĆ POD WZGLĘDEM PRAWNYM,</w:t>
      </w:r>
    </w:p>
    <w:p w:rsidR="00321FA7" w:rsidRPr="00A13938" w:rsidRDefault="00321FA7" w:rsidP="00321FA7">
      <w:pPr>
        <w:pStyle w:val="OZNPARAFYADNOTACJE"/>
      </w:pPr>
      <w:r w:rsidRPr="00A13938">
        <w:t xml:space="preserve">LEGISLACYJNYM I REDAKCYJNYM </w:t>
      </w:r>
    </w:p>
    <w:p w:rsidR="00321FA7" w:rsidRDefault="00321FA7" w:rsidP="00321FA7">
      <w:pPr>
        <w:pStyle w:val="OZNPARAFYADNOTACJE"/>
      </w:pPr>
      <w:proofErr w:type="spellStart"/>
      <w:r w:rsidRPr="00673C78">
        <w:t>Ziendalska</w:t>
      </w:r>
      <w:proofErr w:type="spellEnd"/>
      <w:r w:rsidRPr="00673C78">
        <w:t xml:space="preserve"> Iwona</w:t>
      </w:r>
    </w:p>
    <w:p w:rsidR="00321FA7" w:rsidRPr="00A13938" w:rsidRDefault="00321FA7" w:rsidP="00321FA7">
      <w:pPr>
        <w:pStyle w:val="OZNPARAFYADNOTACJE"/>
      </w:pPr>
      <w:r w:rsidRPr="00A13938">
        <w:t xml:space="preserve">Zastępca Dyrektora Departamentu Prawnego </w:t>
      </w:r>
    </w:p>
    <w:p w:rsidR="00321FA7" w:rsidRPr="00A13938" w:rsidRDefault="00321FA7" w:rsidP="00321FA7">
      <w:pPr>
        <w:pStyle w:val="OZNPARAFYADNOTACJE"/>
      </w:pPr>
      <w:r w:rsidRPr="00A13938">
        <w:t>w Ministerstwie Rozwoju, Pracy i Technologii</w:t>
      </w:r>
    </w:p>
    <w:p w:rsidR="00321FA7" w:rsidRPr="00737F6A" w:rsidRDefault="00321FA7" w:rsidP="00321FA7">
      <w:pPr>
        <w:pStyle w:val="OZNPARAFYADNOTACJE"/>
      </w:pPr>
      <w:r w:rsidRPr="00A13938">
        <w:t>/podpisano elektronicznie/</w:t>
      </w:r>
    </w:p>
    <w:p w:rsidR="00321FA7" w:rsidRDefault="00321FA7" w:rsidP="00C5060B">
      <w:pPr>
        <w:pStyle w:val="NAZORGWYDnazwaorganuwydajcegoprojektowanyakt"/>
      </w:pPr>
    </w:p>
    <w:sectPr w:rsidR="00321FA7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D4" w:rsidRDefault="006B38D4">
      <w:r>
        <w:separator/>
      </w:r>
    </w:p>
  </w:endnote>
  <w:endnote w:type="continuationSeparator" w:id="0">
    <w:p w:rsidR="006B38D4" w:rsidRDefault="006B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D4" w:rsidRDefault="006B38D4">
      <w:r>
        <w:separator/>
      </w:r>
    </w:p>
  </w:footnote>
  <w:footnote w:type="continuationSeparator" w:id="0">
    <w:p w:rsidR="006B38D4" w:rsidRDefault="006B38D4">
      <w:r>
        <w:continuationSeparator/>
      </w:r>
    </w:p>
  </w:footnote>
  <w:footnote w:id="1">
    <w:p w:rsidR="00C14969" w:rsidRPr="00C14969" w:rsidRDefault="00C14969" w:rsidP="00C1496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14969">
        <w:t xml:space="preserve">Minister Rozwoju, Pracy i Technologii kieruje działem administracji rządowej – budownictwo, planowanie </w:t>
      </w:r>
      <w:r w:rsidR="009D47CA">
        <w:br/>
      </w:r>
      <w:r w:rsidRPr="00C14969">
        <w:t>i zagospodarowanie przestrzenne oraz mieszkalnictwo, na podstawie § 1 ust. 2 pkt 1 rozporządzenia Prezesa Rady Ministrów z dnia 6 października 2020 r. w sprawie szczegółowego zakresu działania Ministra Rozwoju, Pracy i Technologii (Dz. U. poz. 1718).</w:t>
      </w:r>
    </w:p>
  </w:footnote>
  <w:footnote w:id="2">
    <w:p w:rsidR="00E12A7C" w:rsidRDefault="00E12A7C" w:rsidP="00E12A7C">
      <w:pPr>
        <w:pStyle w:val="ODNONIKtreodnonika"/>
      </w:pPr>
      <w:r>
        <w:rPr>
          <w:rStyle w:val="Odwoanieprzypisudolnego"/>
        </w:rPr>
        <w:footnoteRef/>
      </w:r>
      <w:r w:rsidRPr="00E12A7C">
        <w:rPr>
          <w:rStyle w:val="IGindeksgrny"/>
        </w:rPr>
        <w:t>)</w:t>
      </w:r>
      <w:r>
        <w:t xml:space="preserve">  </w:t>
      </w:r>
      <w:r w:rsidRPr="00E12A7C">
        <w:t>Zmiany tekstu jednolitego wymienionej ustawy zostały ogłoszone w</w:t>
      </w:r>
      <w:r>
        <w:t xml:space="preserve"> Dz. U. </w:t>
      </w:r>
      <w:r w:rsidRPr="00E12A7C">
        <w:t>z 2020 r. poz. 288, 1492, 1517, 2275 i 2320 oraz z 2021 r. poz. 464</w:t>
      </w:r>
      <w:r>
        <w:t>.</w:t>
      </w:r>
    </w:p>
  </w:footnote>
  <w:footnote w:id="3">
    <w:p w:rsidR="00501925" w:rsidRDefault="00501925" w:rsidP="00501925">
      <w:pPr>
        <w:pStyle w:val="ODNONIKtreodnonika"/>
      </w:pPr>
      <w:r w:rsidRPr="00501925">
        <w:rPr>
          <w:rStyle w:val="IGindeksgrny"/>
        </w:rPr>
        <w:footnoteRef/>
      </w:r>
      <w:r w:rsidRPr="00501925">
        <w:rPr>
          <w:rStyle w:val="IGindeksgrny"/>
        </w:rPr>
        <w:t>)</w:t>
      </w:r>
      <w:r>
        <w:t xml:space="preserve"> </w:t>
      </w:r>
      <w:r>
        <w:tab/>
      </w:r>
      <w:r w:rsidRPr="00501925">
        <w:t>Niniejsze rozporządzenie było poprzedzone rozporządzeniem Ministra Inwestycji i Rozwoju z dnia 11 lipca 2018 r. w sprawie metody kalkulacji kosztów cyklu życia budynków oraz sposobu przedstawiania informacji o tych kosztach (Dz. U. poz. 1357), które traci moc z dniem wejścia w życie niniejszego rozporządzenia zgodnie z art. 97 ustawy z dnia 11 września 2019 r. – Przepisy wprowadzające ustawę – Prawo zamówień publicznych (Dz. U. poz.</w:t>
      </w:r>
      <w:r>
        <w:t xml:space="preserve"> 2020 oraz z 2020 r. poz. 1086</w:t>
      </w:r>
      <w:r w:rsidR="00660D18">
        <w:t xml:space="preserve"> i 2275</w:t>
      </w:r>
      <w:r>
        <w:t>)</w:t>
      </w:r>
      <w:r w:rsidRPr="0050192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6A6CA3">
      <w:fldChar w:fldCharType="begin"/>
    </w:r>
    <w:r>
      <w:instrText xml:space="preserve"> PAGE  \* MERGEFORMAT </w:instrText>
    </w:r>
    <w:r w:rsidR="006A6CA3">
      <w:fldChar w:fldCharType="separate"/>
    </w:r>
    <w:r w:rsidR="00BA232A">
      <w:rPr>
        <w:noProof/>
      </w:rPr>
      <w:t>4</w:t>
    </w:r>
    <w:r w:rsidR="006A6CA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CB"/>
    <w:rsid w:val="000012DA"/>
    <w:rsid w:val="0000246E"/>
    <w:rsid w:val="00003862"/>
    <w:rsid w:val="00011FFA"/>
    <w:rsid w:val="00012A35"/>
    <w:rsid w:val="00016099"/>
    <w:rsid w:val="00017DC2"/>
    <w:rsid w:val="00021522"/>
    <w:rsid w:val="000220F4"/>
    <w:rsid w:val="00022474"/>
    <w:rsid w:val="00023471"/>
    <w:rsid w:val="00023F13"/>
    <w:rsid w:val="0002641D"/>
    <w:rsid w:val="00030634"/>
    <w:rsid w:val="0003130A"/>
    <w:rsid w:val="000319C1"/>
    <w:rsid w:val="00031A8B"/>
    <w:rsid w:val="00031BCA"/>
    <w:rsid w:val="000330FA"/>
    <w:rsid w:val="0003362F"/>
    <w:rsid w:val="00036B63"/>
    <w:rsid w:val="00036CDF"/>
    <w:rsid w:val="00037E1A"/>
    <w:rsid w:val="00043495"/>
    <w:rsid w:val="00046A75"/>
    <w:rsid w:val="00047312"/>
    <w:rsid w:val="000508BD"/>
    <w:rsid w:val="000517AB"/>
    <w:rsid w:val="0005339C"/>
    <w:rsid w:val="0005386C"/>
    <w:rsid w:val="0005571B"/>
    <w:rsid w:val="00057296"/>
    <w:rsid w:val="00057AB3"/>
    <w:rsid w:val="00060076"/>
    <w:rsid w:val="00060432"/>
    <w:rsid w:val="00060D87"/>
    <w:rsid w:val="000615A5"/>
    <w:rsid w:val="00064E4C"/>
    <w:rsid w:val="00066901"/>
    <w:rsid w:val="00070D87"/>
    <w:rsid w:val="000713AA"/>
    <w:rsid w:val="0007161A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810"/>
    <w:rsid w:val="00091BA2"/>
    <w:rsid w:val="000941AB"/>
    <w:rsid w:val="000944EF"/>
    <w:rsid w:val="0009732D"/>
    <w:rsid w:val="000973F0"/>
    <w:rsid w:val="000A1296"/>
    <w:rsid w:val="000A1C27"/>
    <w:rsid w:val="000A1DAD"/>
    <w:rsid w:val="000A2649"/>
    <w:rsid w:val="000A323B"/>
    <w:rsid w:val="000A79C4"/>
    <w:rsid w:val="000B0450"/>
    <w:rsid w:val="000B298D"/>
    <w:rsid w:val="000B2FBA"/>
    <w:rsid w:val="000B5B2D"/>
    <w:rsid w:val="000B5DCE"/>
    <w:rsid w:val="000C05BA"/>
    <w:rsid w:val="000C0E8F"/>
    <w:rsid w:val="000C28C5"/>
    <w:rsid w:val="000C4BC4"/>
    <w:rsid w:val="000C4C48"/>
    <w:rsid w:val="000D0110"/>
    <w:rsid w:val="000D2468"/>
    <w:rsid w:val="000D318A"/>
    <w:rsid w:val="000D6173"/>
    <w:rsid w:val="000D6F83"/>
    <w:rsid w:val="000E25CC"/>
    <w:rsid w:val="000E3694"/>
    <w:rsid w:val="000E490F"/>
    <w:rsid w:val="000E5DC2"/>
    <w:rsid w:val="000E6241"/>
    <w:rsid w:val="000F2BE3"/>
    <w:rsid w:val="000F3D0D"/>
    <w:rsid w:val="000F6ED4"/>
    <w:rsid w:val="000F7A6E"/>
    <w:rsid w:val="000F7AE0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4C"/>
    <w:rsid w:val="001270A2"/>
    <w:rsid w:val="001272D0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675"/>
    <w:rsid w:val="00164C57"/>
    <w:rsid w:val="00164C9D"/>
    <w:rsid w:val="00172F7A"/>
    <w:rsid w:val="00173150"/>
    <w:rsid w:val="00173390"/>
    <w:rsid w:val="001736F0"/>
    <w:rsid w:val="00173BB3"/>
    <w:rsid w:val="00173C2B"/>
    <w:rsid w:val="001740D0"/>
    <w:rsid w:val="00174F2C"/>
    <w:rsid w:val="001804DF"/>
    <w:rsid w:val="00180F2A"/>
    <w:rsid w:val="00184B91"/>
    <w:rsid w:val="00184D4A"/>
    <w:rsid w:val="00186EC1"/>
    <w:rsid w:val="0019112D"/>
    <w:rsid w:val="001913C8"/>
    <w:rsid w:val="0019160A"/>
    <w:rsid w:val="00191E1F"/>
    <w:rsid w:val="0019473B"/>
    <w:rsid w:val="001952B1"/>
    <w:rsid w:val="00196E39"/>
    <w:rsid w:val="00197649"/>
    <w:rsid w:val="001A01FB"/>
    <w:rsid w:val="001A10E9"/>
    <w:rsid w:val="001A14AF"/>
    <w:rsid w:val="001A183D"/>
    <w:rsid w:val="001A2B65"/>
    <w:rsid w:val="001A3CD3"/>
    <w:rsid w:val="001A5BEF"/>
    <w:rsid w:val="001A7F15"/>
    <w:rsid w:val="001B342E"/>
    <w:rsid w:val="001C1832"/>
    <w:rsid w:val="001C188C"/>
    <w:rsid w:val="001C2459"/>
    <w:rsid w:val="001D1783"/>
    <w:rsid w:val="001D53CD"/>
    <w:rsid w:val="001D55A3"/>
    <w:rsid w:val="001D5AF5"/>
    <w:rsid w:val="001E1E73"/>
    <w:rsid w:val="001E4E0C"/>
    <w:rsid w:val="001E526D"/>
    <w:rsid w:val="001E5655"/>
    <w:rsid w:val="001F04DC"/>
    <w:rsid w:val="001F1832"/>
    <w:rsid w:val="001F220F"/>
    <w:rsid w:val="001F2249"/>
    <w:rsid w:val="001F25B3"/>
    <w:rsid w:val="001F6364"/>
    <w:rsid w:val="001F6616"/>
    <w:rsid w:val="00202BD4"/>
    <w:rsid w:val="00204A97"/>
    <w:rsid w:val="002114EF"/>
    <w:rsid w:val="002166AD"/>
    <w:rsid w:val="00217871"/>
    <w:rsid w:val="00221722"/>
    <w:rsid w:val="00221ED8"/>
    <w:rsid w:val="002231EA"/>
    <w:rsid w:val="00223FB0"/>
    <w:rsid w:val="00223FDF"/>
    <w:rsid w:val="002279C0"/>
    <w:rsid w:val="002356D6"/>
    <w:rsid w:val="0023727E"/>
    <w:rsid w:val="00242081"/>
    <w:rsid w:val="00243777"/>
    <w:rsid w:val="00243ECB"/>
    <w:rsid w:val="002441CD"/>
    <w:rsid w:val="002501A3"/>
    <w:rsid w:val="0025166C"/>
    <w:rsid w:val="002555D4"/>
    <w:rsid w:val="00257BC4"/>
    <w:rsid w:val="00261220"/>
    <w:rsid w:val="00261A16"/>
    <w:rsid w:val="00263522"/>
    <w:rsid w:val="00264EC6"/>
    <w:rsid w:val="00267EA1"/>
    <w:rsid w:val="00271013"/>
    <w:rsid w:val="002729CC"/>
    <w:rsid w:val="00273FE4"/>
    <w:rsid w:val="002765B4"/>
    <w:rsid w:val="00276A94"/>
    <w:rsid w:val="0028109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2D2D"/>
    <w:rsid w:val="002E3F34"/>
    <w:rsid w:val="002E5F79"/>
    <w:rsid w:val="002E64FA"/>
    <w:rsid w:val="002F0A00"/>
    <w:rsid w:val="002F0CFA"/>
    <w:rsid w:val="002F636E"/>
    <w:rsid w:val="002F669F"/>
    <w:rsid w:val="00301C97"/>
    <w:rsid w:val="00302867"/>
    <w:rsid w:val="0030715D"/>
    <w:rsid w:val="0031004C"/>
    <w:rsid w:val="003105F6"/>
    <w:rsid w:val="00311297"/>
    <w:rsid w:val="003113BE"/>
    <w:rsid w:val="003122CA"/>
    <w:rsid w:val="003148FD"/>
    <w:rsid w:val="00321080"/>
    <w:rsid w:val="00321B02"/>
    <w:rsid w:val="00321FA7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63D3"/>
    <w:rsid w:val="003573A5"/>
    <w:rsid w:val="003602AE"/>
    <w:rsid w:val="00360929"/>
    <w:rsid w:val="003647D5"/>
    <w:rsid w:val="003674B0"/>
    <w:rsid w:val="0037024E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10D"/>
    <w:rsid w:val="00396942"/>
    <w:rsid w:val="00396B49"/>
    <w:rsid w:val="00396E3E"/>
    <w:rsid w:val="003A306E"/>
    <w:rsid w:val="003A3583"/>
    <w:rsid w:val="003A4DD2"/>
    <w:rsid w:val="003A60DC"/>
    <w:rsid w:val="003A6A46"/>
    <w:rsid w:val="003A7A63"/>
    <w:rsid w:val="003B000C"/>
    <w:rsid w:val="003B0F1D"/>
    <w:rsid w:val="003B4A57"/>
    <w:rsid w:val="003B5F64"/>
    <w:rsid w:val="003C0AD9"/>
    <w:rsid w:val="003C0ED0"/>
    <w:rsid w:val="003C1379"/>
    <w:rsid w:val="003C1D49"/>
    <w:rsid w:val="003C35C4"/>
    <w:rsid w:val="003D097A"/>
    <w:rsid w:val="003D12C2"/>
    <w:rsid w:val="003D31B9"/>
    <w:rsid w:val="003D3867"/>
    <w:rsid w:val="003E0D1A"/>
    <w:rsid w:val="003E2DA3"/>
    <w:rsid w:val="003E5BF7"/>
    <w:rsid w:val="003F020D"/>
    <w:rsid w:val="003F03D9"/>
    <w:rsid w:val="003F2FBE"/>
    <w:rsid w:val="003F318D"/>
    <w:rsid w:val="003F5BAE"/>
    <w:rsid w:val="003F6ED7"/>
    <w:rsid w:val="003F781B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6430"/>
    <w:rsid w:val="00432B76"/>
    <w:rsid w:val="00434D01"/>
    <w:rsid w:val="00435D26"/>
    <w:rsid w:val="00440C99"/>
    <w:rsid w:val="00440F57"/>
    <w:rsid w:val="0044175C"/>
    <w:rsid w:val="00445F4D"/>
    <w:rsid w:val="00447C26"/>
    <w:rsid w:val="004504C0"/>
    <w:rsid w:val="004550FB"/>
    <w:rsid w:val="0046111A"/>
    <w:rsid w:val="00462946"/>
    <w:rsid w:val="00462B76"/>
    <w:rsid w:val="00463F43"/>
    <w:rsid w:val="00464161"/>
    <w:rsid w:val="00464B94"/>
    <w:rsid w:val="004653A8"/>
    <w:rsid w:val="00465A0B"/>
    <w:rsid w:val="00465C43"/>
    <w:rsid w:val="00466EDB"/>
    <w:rsid w:val="0047077C"/>
    <w:rsid w:val="00470B05"/>
    <w:rsid w:val="0047207C"/>
    <w:rsid w:val="00472CD6"/>
    <w:rsid w:val="00474E3C"/>
    <w:rsid w:val="00480A58"/>
    <w:rsid w:val="00482151"/>
    <w:rsid w:val="00482216"/>
    <w:rsid w:val="00485FAD"/>
    <w:rsid w:val="00487AED"/>
    <w:rsid w:val="00487CE5"/>
    <w:rsid w:val="00491EDF"/>
    <w:rsid w:val="00492A3F"/>
    <w:rsid w:val="004948E4"/>
    <w:rsid w:val="00494F62"/>
    <w:rsid w:val="004A2001"/>
    <w:rsid w:val="004A3590"/>
    <w:rsid w:val="004B00A7"/>
    <w:rsid w:val="004B044A"/>
    <w:rsid w:val="004B25E2"/>
    <w:rsid w:val="004B2F24"/>
    <w:rsid w:val="004B34D7"/>
    <w:rsid w:val="004B3BAF"/>
    <w:rsid w:val="004B5037"/>
    <w:rsid w:val="004B5B2F"/>
    <w:rsid w:val="004B626A"/>
    <w:rsid w:val="004B660E"/>
    <w:rsid w:val="004B7CF7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40FB"/>
    <w:rsid w:val="004F0E01"/>
    <w:rsid w:val="004F1F4A"/>
    <w:rsid w:val="004F296D"/>
    <w:rsid w:val="004F2FEF"/>
    <w:rsid w:val="004F508B"/>
    <w:rsid w:val="004F695F"/>
    <w:rsid w:val="004F6CA4"/>
    <w:rsid w:val="004F70A4"/>
    <w:rsid w:val="004F7880"/>
    <w:rsid w:val="00500752"/>
    <w:rsid w:val="00500762"/>
    <w:rsid w:val="00501925"/>
    <w:rsid w:val="00501A50"/>
    <w:rsid w:val="0050222D"/>
    <w:rsid w:val="00503AF3"/>
    <w:rsid w:val="0050696D"/>
    <w:rsid w:val="0051050A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450E"/>
    <w:rsid w:val="005363AB"/>
    <w:rsid w:val="00544EF4"/>
    <w:rsid w:val="00545E53"/>
    <w:rsid w:val="005479D9"/>
    <w:rsid w:val="0055208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3A78"/>
    <w:rsid w:val="00597024"/>
    <w:rsid w:val="005A0274"/>
    <w:rsid w:val="005A095C"/>
    <w:rsid w:val="005A669D"/>
    <w:rsid w:val="005A75D8"/>
    <w:rsid w:val="005B0BCE"/>
    <w:rsid w:val="005B32AC"/>
    <w:rsid w:val="005B713E"/>
    <w:rsid w:val="005B76CC"/>
    <w:rsid w:val="005C03B6"/>
    <w:rsid w:val="005C348E"/>
    <w:rsid w:val="005C68E1"/>
    <w:rsid w:val="005D3763"/>
    <w:rsid w:val="005D41A2"/>
    <w:rsid w:val="005D45B4"/>
    <w:rsid w:val="005D47AD"/>
    <w:rsid w:val="005D55E1"/>
    <w:rsid w:val="005E19F7"/>
    <w:rsid w:val="005E4F04"/>
    <w:rsid w:val="005E62C2"/>
    <w:rsid w:val="005E6C71"/>
    <w:rsid w:val="005F0963"/>
    <w:rsid w:val="005F1EE9"/>
    <w:rsid w:val="005F2824"/>
    <w:rsid w:val="005F2BD8"/>
    <w:rsid w:val="005F2EBA"/>
    <w:rsid w:val="005F35ED"/>
    <w:rsid w:val="005F7812"/>
    <w:rsid w:val="005F7A88"/>
    <w:rsid w:val="00600C92"/>
    <w:rsid w:val="00603A1A"/>
    <w:rsid w:val="006046D5"/>
    <w:rsid w:val="00607A93"/>
    <w:rsid w:val="00610C08"/>
    <w:rsid w:val="00611F74"/>
    <w:rsid w:val="00615772"/>
    <w:rsid w:val="0062049D"/>
    <w:rsid w:val="00621256"/>
    <w:rsid w:val="00621FCC"/>
    <w:rsid w:val="00622037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0D18"/>
    <w:rsid w:val="006623AC"/>
    <w:rsid w:val="00663C1B"/>
    <w:rsid w:val="006678AF"/>
    <w:rsid w:val="006701EF"/>
    <w:rsid w:val="00673BA5"/>
    <w:rsid w:val="00674521"/>
    <w:rsid w:val="00680058"/>
    <w:rsid w:val="00681F9F"/>
    <w:rsid w:val="006840EA"/>
    <w:rsid w:val="006844E2"/>
    <w:rsid w:val="00685267"/>
    <w:rsid w:val="006872AE"/>
    <w:rsid w:val="00690082"/>
    <w:rsid w:val="00690252"/>
    <w:rsid w:val="00691151"/>
    <w:rsid w:val="006946BB"/>
    <w:rsid w:val="006969FA"/>
    <w:rsid w:val="006A2F32"/>
    <w:rsid w:val="006A35D5"/>
    <w:rsid w:val="006A6CA3"/>
    <w:rsid w:val="006A748A"/>
    <w:rsid w:val="006A7CDA"/>
    <w:rsid w:val="006B38D4"/>
    <w:rsid w:val="006C1A57"/>
    <w:rsid w:val="006C419E"/>
    <w:rsid w:val="006C4A31"/>
    <w:rsid w:val="006C5AC2"/>
    <w:rsid w:val="006C6AFB"/>
    <w:rsid w:val="006D261C"/>
    <w:rsid w:val="006D2735"/>
    <w:rsid w:val="006D3824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209"/>
    <w:rsid w:val="00712675"/>
    <w:rsid w:val="00713592"/>
    <w:rsid w:val="00713808"/>
    <w:rsid w:val="007151B6"/>
    <w:rsid w:val="0071520D"/>
    <w:rsid w:val="00715EDB"/>
    <w:rsid w:val="007160D5"/>
    <w:rsid w:val="007163FB"/>
    <w:rsid w:val="00717161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F3F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2E51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238"/>
    <w:rsid w:val="007B6094"/>
    <w:rsid w:val="007B75BC"/>
    <w:rsid w:val="007B7DC8"/>
    <w:rsid w:val="007C0BD6"/>
    <w:rsid w:val="007C3806"/>
    <w:rsid w:val="007C50D3"/>
    <w:rsid w:val="007C5BB7"/>
    <w:rsid w:val="007D07D5"/>
    <w:rsid w:val="007D1C64"/>
    <w:rsid w:val="007D32DD"/>
    <w:rsid w:val="007D412B"/>
    <w:rsid w:val="007D6DCE"/>
    <w:rsid w:val="007D72C4"/>
    <w:rsid w:val="007E2CFE"/>
    <w:rsid w:val="007E59C9"/>
    <w:rsid w:val="007F0072"/>
    <w:rsid w:val="007F0E75"/>
    <w:rsid w:val="007F2EB6"/>
    <w:rsid w:val="007F33AB"/>
    <w:rsid w:val="007F54C3"/>
    <w:rsid w:val="00802949"/>
    <w:rsid w:val="0080301E"/>
    <w:rsid w:val="0080365F"/>
    <w:rsid w:val="00812BE5"/>
    <w:rsid w:val="00814F5F"/>
    <w:rsid w:val="00817429"/>
    <w:rsid w:val="00821514"/>
    <w:rsid w:val="00821E35"/>
    <w:rsid w:val="00824591"/>
    <w:rsid w:val="00824AED"/>
    <w:rsid w:val="00827820"/>
    <w:rsid w:val="00831B8B"/>
    <w:rsid w:val="00833496"/>
    <w:rsid w:val="0083405D"/>
    <w:rsid w:val="008340A0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027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278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0D8"/>
    <w:rsid w:val="008B2866"/>
    <w:rsid w:val="008B3859"/>
    <w:rsid w:val="008B436D"/>
    <w:rsid w:val="008B4E49"/>
    <w:rsid w:val="008B6A56"/>
    <w:rsid w:val="008B7712"/>
    <w:rsid w:val="008B7B26"/>
    <w:rsid w:val="008B7E29"/>
    <w:rsid w:val="008C3524"/>
    <w:rsid w:val="008C3710"/>
    <w:rsid w:val="008C4061"/>
    <w:rsid w:val="008C4229"/>
    <w:rsid w:val="008C5BE0"/>
    <w:rsid w:val="008C7233"/>
    <w:rsid w:val="008D2434"/>
    <w:rsid w:val="008E171D"/>
    <w:rsid w:val="008E2785"/>
    <w:rsid w:val="008E5D49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047"/>
    <w:rsid w:val="009217C0"/>
    <w:rsid w:val="00925241"/>
    <w:rsid w:val="00925CEC"/>
    <w:rsid w:val="00926A3F"/>
    <w:rsid w:val="00927270"/>
    <w:rsid w:val="0092794E"/>
    <w:rsid w:val="00930D30"/>
    <w:rsid w:val="009332A2"/>
    <w:rsid w:val="00937598"/>
    <w:rsid w:val="0093790B"/>
    <w:rsid w:val="00943751"/>
    <w:rsid w:val="00943CA3"/>
    <w:rsid w:val="00946DD0"/>
    <w:rsid w:val="009509E6"/>
    <w:rsid w:val="00952018"/>
    <w:rsid w:val="00952800"/>
    <w:rsid w:val="0095300D"/>
    <w:rsid w:val="00956595"/>
    <w:rsid w:val="00956812"/>
    <w:rsid w:val="0095719A"/>
    <w:rsid w:val="009623E9"/>
    <w:rsid w:val="00963EEB"/>
    <w:rsid w:val="009648BC"/>
    <w:rsid w:val="00964C2F"/>
    <w:rsid w:val="00965F88"/>
    <w:rsid w:val="009719D5"/>
    <w:rsid w:val="00984E03"/>
    <w:rsid w:val="00987E85"/>
    <w:rsid w:val="00994F57"/>
    <w:rsid w:val="009A0D12"/>
    <w:rsid w:val="009A1987"/>
    <w:rsid w:val="009A2BEE"/>
    <w:rsid w:val="009A2F60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3E7"/>
    <w:rsid w:val="009D064E"/>
    <w:rsid w:val="009D3316"/>
    <w:rsid w:val="009D47CA"/>
    <w:rsid w:val="009D55AA"/>
    <w:rsid w:val="009E3E77"/>
    <w:rsid w:val="009E3FAB"/>
    <w:rsid w:val="009E5B3F"/>
    <w:rsid w:val="009E7D90"/>
    <w:rsid w:val="009F1AB0"/>
    <w:rsid w:val="009F501D"/>
    <w:rsid w:val="009F539F"/>
    <w:rsid w:val="00A039D5"/>
    <w:rsid w:val="00A046AD"/>
    <w:rsid w:val="00A05CB4"/>
    <w:rsid w:val="00A06846"/>
    <w:rsid w:val="00A079C1"/>
    <w:rsid w:val="00A12520"/>
    <w:rsid w:val="00A12F88"/>
    <w:rsid w:val="00A130FD"/>
    <w:rsid w:val="00A13D6D"/>
    <w:rsid w:val="00A145CC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034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DEB"/>
    <w:rsid w:val="00A638DA"/>
    <w:rsid w:val="00A65B41"/>
    <w:rsid w:val="00A65E00"/>
    <w:rsid w:val="00A66A78"/>
    <w:rsid w:val="00A67CF2"/>
    <w:rsid w:val="00A72187"/>
    <w:rsid w:val="00A7436E"/>
    <w:rsid w:val="00A74E96"/>
    <w:rsid w:val="00A75208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9BF"/>
    <w:rsid w:val="00A97084"/>
    <w:rsid w:val="00AA1C2C"/>
    <w:rsid w:val="00AA2A16"/>
    <w:rsid w:val="00AA35F6"/>
    <w:rsid w:val="00AA667C"/>
    <w:rsid w:val="00AA6E91"/>
    <w:rsid w:val="00AA7439"/>
    <w:rsid w:val="00AB047E"/>
    <w:rsid w:val="00AB0B0A"/>
    <w:rsid w:val="00AB0BB7"/>
    <w:rsid w:val="00AB22C6"/>
    <w:rsid w:val="00AB28F2"/>
    <w:rsid w:val="00AB2AD0"/>
    <w:rsid w:val="00AB6427"/>
    <w:rsid w:val="00AB67FC"/>
    <w:rsid w:val="00AC00F2"/>
    <w:rsid w:val="00AC124A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17C"/>
    <w:rsid w:val="00AF7DF5"/>
    <w:rsid w:val="00B006E5"/>
    <w:rsid w:val="00B024C2"/>
    <w:rsid w:val="00B06561"/>
    <w:rsid w:val="00B07700"/>
    <w:rsid w:val="00B13921"/>
    <w:rsid w:val="00B1528C"/>
    <w:rsid w:val="00B16ACD"/>
    <w:rsid w:val="00B21487"/>
    <w:rsid w:val="00B232D1"/>
    <w:rsid w:val="00B23E68"/>
    <w:rsid w:val="00B24DB5"/>
    <w:rsid w:val="00B25F06"/>
    <w:rsid w:val="00B31F9E"/>
    <w:rsid w:val="00B3268F"/>
    <w:rsid w:val="00B32C2C"/>
    <w:rsid w:val="00B33A1A"/>
    <w:rsid w:val="00B33E6C"/>
    <w:rsid w:val="00B34F19"/>
    <w:rsid w:val="00B3667F"/>
    <w:rsid w:val="00B371CC"/>
    <w:rsid w:val="00B41CD9"/>
    <w:rsid w:val="00B427E6"/>
    <w:rsid w:val="00B428A6"/>
    <w:rsid w:val="00B43E1F"/>
    <w:rsid w:val="00B45FBC"/>
    <w:rsid w:val="00B501A2"/>
    <w:rsid w:val="00B51A7D"/>
    <w:rsid w:val="00B535C2"/>
    <w:rsid w:val="00B55544"/>
    <w:rsid w:val="00B642FC"/>
    <w:rsid w:val="00B64D26"/>
    <w:rsid w:val="00B64FBB"/>
    <w:rsid w:val="00B663D6"/>
    <w:rsid w:val="00B668E6"/>
    <w:rsid w:val="00B70E22"/>
    <w:rsid w:val="00B73CF4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4805"/>
    <w:rsid w:val="00BA1DAD"/>
    <w:rsid w:val="00BA232A"/>
    <w:rsid w:val="00BA538C"/>
    <w:rsid w:val="00BA561A"/>
    <w:rsid w:val="00BA72CB"/>
    <w:rsid w:val="00BA7DC5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74D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5500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4969"/>
    <w:rsid w:val="00C1516B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4A86"/>
    <w:rsid w:val="00C451F4"/>
    <w:rsid w:val="00C45EB1"/>
    <w:rsid w:val="00C45F69"/>
    <w:rsid w:val="00C5060B"/>
    <w:rsid w:val="00C5301A"/>
    <w:rsid w:val="00C54A3A"/>
    <w:rsid w:val="00C55566"/>
    <w:rsid w:val="00C56448"/>
    <w:rsid w:val="00C60D42"/>
    <w:rsid w:val="00C63618"/>
    <w:rsid w:val="00C667BE"/>
    <w:rsid w:val="00C6764B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4A71"/>
    <w:rsid w:val="00CB008F"/>
    <w:rsid w:val="00CB18D0"/>
    <w:rsid w:val="00CB1C8A"/>
    <w:rsid w:val="00CB24F5"/>
    <w:rsid w:val="00CB2663"/>
    <w:rsid w:val="00CB3BBE"/>
    <w:rsid w:val="00CB41BE"/>
    <w:rsid w:val="00CB59E9"/>
    <w:rsid w:val="00CC0D6A"/>
    <w:rsid w:val="00CC3831"/>
    <w:rsid w:val="00CC3E3D"/>
    <w:rsid w:val="00CC519B"/>
    <w:rsid w:val="00CD12C1"/>
    <w:rsid w:val="00CD214E"/>
    <w:rsid w:val="00CD4663"/>
    <w:rsid w:val="00CD46FA"/>
    <w:rsid w:val="00CD5973"/>
    <w:rsid w:val="00CE2C8E"/>
    <w:rsid w:val="00CE31A6"/>
    <w:rsid w:val="00CF09AA"/>
    <w:rsid w:val="00CF4813"/>
    <w:rsid w:val="00CF5233"/>
    <w:rsid w:val="00D029B8"/>
    <w:rsid w:val="00D02F60"/>
    <w:rsid w:val="00D03F86"/>
    <w:rsid w:val="00D0435B"/>
    <w:rsid w:val="00D0464E"/>
    <w:rsid w:val="00D04A96"/>
    <w:rsid w:val="00D07A7B"/>
    <w:rsid w:val="00D10E06"/>
    <w:rsid w:val="00D11093"/>
    <w:rsid w:val="00D15197"/>
    <w:rsid w:val="00D158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3275"/>
    <w:rsid w:val="00D47304"/>
    <w:rsid w:val="00D47D7A"/>
    <w:rsid w:val="00D50ABD"/>
    <w:rsid w:val="00D51BEF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508"/>
    <w:rsid w:val="00D959F5"/>
    <w:rsid w:val="00D96884"/>
    <w:rsid w:val="00D97946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2C46"/>
    <w:rsid w:val="00DC4AF0"/>
    <w:rsid w:val="00DC7886"/>
    <w:rsid w:val="00DD0CF2"/>
    <w:rsid w:val="00DE1554"/>
    <w:rsid w:val="00DE2901"/>
    <w:rsid w:val="00DE590F"/>
    <w:rsid w:val="00DE7DC1"/>
    <w:rsid w:val="00DF09AF"/>
    <w:rsid w:val="00DF3F7E"/>
    <w:rsid w:val="00DF7648"/>
    <w:rsid w:val="00E00E29"/>
    <w:rsid w:val="00E02BAB"/>
    <w:rsid w:val="00E04CEB"/>
    <w:rsid w:val="00E060BC"/>
    <w:rsid w:val="00E11420"/>
    <w:rsid w:val="00E12A7C"/>
    <w:rsid w:val="00E132FB"/>
    <w:rsid w:val="00E170B7"/>
    <w:rsid w:val="00E177DD"/>
    <w:rsid w:val="00E20900"/>
    <w:rsid w:val="00E20C7F"/>
    <w:rsid w:val="00E22904"/>
    <w:rsid w:val="00E2396E"/>
    <w:rsid w:val="00E23CE8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1FE"/>
    <w:rsid w:val="00E60606"/>
    <w:rsid w:val="00E60BEA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518C"/>
    <w:rsid w:val="00E96E3F"/>
    <w:rsid w:val="00EA270C"/>
    <w:rsid w:val="00EA3D09"/>
    <w:rsid w:val="00EA4974"/>
    <w:rsid w:val="00EA532E"/>
    <w:rsid w:val="00EB06D9"/>
    <w:rsid w:val="00EB192B"/>
    <w:rsid w:val="00EB19ED"/>
    <w:rsid w:val="00EB1CAB"/>
    <w:rsid w:val="00EB6485"/>
    <w:rsid w:val="00EC0F5A"/>
    <w:rsid w:val="00EC26CB"/>
    <w:rsid w:val="00EC32E9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E2C"/>
    <w:rsid w:val="00F115CA"/>
    <w:rsid w:val="00F14817"/>
    <w:rsid w:val="00F14EBA"/>
    <w:rsid w:val="00F1510F"/>
    <w:rsid w:val="00F1533A"/>
    <w:rsid w:val="00F15E5A"/>
    <w:rsid w:val="00F17F0A"/>
    <w:rsid w:val="00F24085"/>
    <w:rsid w:val="00F2668F"/>
    <w:rsid w:val="00F2742F"/>
    <w:rsid w:val="00F2753B"/>
    <w:rsid w:val="00F33F8B"/>
    <w:rsid w:val="00F340B2"/>
    <w:rsid w:val="00F43390"/>
    <w:rsid w:val="00F443B2"/>
    <w:rsid w:val="00F458D8"/>
    <w:rsid w:val="00F46A10"/>
    <w:rsid w:val="00F50237"/>
    <w:rsid w:val="00F515BE"/>
    <w:rsid w:val="00F53596"/>
    <w:rsid w:val="00F55BA8"/>
    <w:rsid w:val="00F55DB1"/>
    <w:rsid w:val="00F564FF"/>
    <w:rsid w:val="00F56ACA"/>
    <w:rsid w:val="00F600FE"/>
    <w:rsid w:val="00F62E4D"/>
    <w:rsid w:val="00F64720"/>
    <w:rsid w:val="00F66B34"/>
    <w:rsid w:val="00F675B9"/>
    <w:rsid w:val="00F67DBC"/>
    <w:rsid w:val="00F711C9"/>
    <w:rsid w:val="00F74C59"/>
    <w:rsid w:val="00F75409"/>
    <w:rsid w:val="00F75C3A"/>
    <w:rsid w:val="00F82E30"/>
    <w:rsid w:val="00F831CB"/>
    <w:rsid w:val="00F848A3"/>
    <w:rsid w:val="00F84ACF"/>
    <w:rsid w:val="00F85742"/>
    <w:rsid w:val="00F85BF8"/>
    <w:rsid w:val="00F86D57"/>
    <w:rsid w:val="00F871CE"/>
    <w:rsid w:val="00F87802"/>
    <w:rsid w:val="00F9294E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B08"/>
    <w:rsid w:val="00FC2E3D"/>
    <w:rsid w:val="00FC3BDE"/>
    <w:rsid w:val="00FC7EDF"/>
    <w:rsid w:val="00FD1915"/>
    <w:rsid w:val="00FD1DBE"/>
    <w:rsid w:val="00FD25A7"/>
    <w:rsid w:val="00FD27B6"/>
    <w:rsid w:val="00FD3689"/>
    <w:rsid w:val="00FD3AD6"/>
    <w:rsid w:val="00FD42A3"/>
    <w:rsid w:val="00FD7468"/>
    <w:rsid w:val="00FD7CE0"/>
    <w:rsid w:val="00FE0B3B"/>
    <w:rsid w:val="00FE1BE2"/>
    <w:rsid w:val="00FE2484"/>
    <w:rsid w:val="00FE3E80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 w:qFormat="1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B5F6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B41BE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 w:qFormat="1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B5F6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B41BE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5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k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0E0778-FBBF-4814-87B3-109F4915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812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Pawel</dc:creator>
  <cp:lastModifiedBy>Renata Błędek</cp:lastModifiedBy>
  <cp:revision>2</cp:revision>
  <cp:lastPrinted>2012-04-23T06:39:00Z</cp:lastPrinted>
  <dcterms:created xsi:type="dcterms:W3CDTF">2021-04-06T09:40:00Z</dcterms:created>
  <dcterms:modified xsi:type="dcterms:W3CDTF">2021-04-06T09:40:00Z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