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03" w:rsidRPr="00101DD7" w:rsidRDefault="00C54203" w:rsidP="00C54203">
      <w:pPr>
        <w:pStyle w:val="Tytu"/>
      </w:pPr>
      <w:r w:rsidRPr="00101DD7">
        <w:t xml:space="preserve">TABELA </w:t>
      </w:r>
      <w:r w:rsidR="00E64D2E">
        <w:t>ZGODNOŚCI</w:t>
      </w:r>
    </w:p>
    <w:p w:rsidR="00C54203" w:rsidRPr="00101DD7" w:rsidRDefault="00C54203" w:rsidP="00C54203">
      <w:pPr>
        <w:jc w:val="center"/>
      </w:pPr>
    </w:p>
    <w:p w:rsidR="00C54203" w:rsidRPr="00101DD7" w:rsidRDefault="00C54203" w:rsidP="00C54203">
      <w:pPr>
        <w:jc w:val="center"/>
      </w:pPr>
    </w:p>
    <w:tbl>
      <w:tblPr>
        <w:tblpPr w:leftFromText="141" w:rightFromText="141" w:vertAnchor="text" w:tblpY="1"/>
        <w:tblOverlap w:val="never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723"/>
        <w:gridCol w:w="886"/>
        <w:gridCol w:w="1109"/>
        <w:gridCol w:w="4442"/>
        <w:gridCol w:w="2760"/>
      </w:tblGrid>
      <w:tr w:rsidR="00C54203" w:rsidRPr="00101DD7" w:rsidTr="00CC352C">
        <w:trPr>
          <w:cantSplit/>
          <w:trHeight w:val="550"/>
        </w:trPr>
        <w:tc>
          <w:tcPr>
            <w:tcW w:w="551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4203" w:rsidRPr="00101DD7" w:rsidRDefault="00C54203" w:rsidP="00ED54DA">
            <w:pPr>
              <w:pStyle w:val="Nagwek1"/>
            </w:pPr>
            <w:r w:rsidRPr="00101DD7">
              <w:t xml:space="preserve">TYTUŁ </w:t>
            </w:r>
            <w:r w:rsidR="00963FD7">
              <w:t>ROZPORZĄDZENIA</w:t>
            </w:r>
            <w:r w:rsidRPr="00101DD7">
              <w:t>:</w:t>
            </w:r>
          </w:p>
        </w:tc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D67487" w:rsidRPr="00D67487" w:rsidRDefault="00F67BF2" w:rsidP="00BF17BC">
            <w:pPr>
              <w:jc w:val="both"/>
              <w:rPr>
                <w:b/>
              </w:rPr>
            </w:pPr>
            <w:r>
              <w:rPr>
                <w:b/>
              </w:rPr>
              <w:t>Rozporządzenie Ministra Finansów</w:t>
            </w:r>
            <w:r w:rsidR="00BF17BC">
              <w:rPr>
                <w:b/>
              </w:rPr>
              <w:t>, Funduszy i Polityki Regionalnej</w:t>
            </w:r>
            <w:r>
              <w:rPr>
                <w:b/>
              </w:rPr>
              <w:t xml:space="preserve"> </w:t>
            </w:r>
            <w:r w:rsidR="00FC7815">
              <w:rPr>
                <w:b/>
              </w:rPr>
              <w:t>w sprawie</w:t>
            </w:r>
            <w:r w:rsidR="00FC7815" w:rsidRPr="00FC78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C7815" w:rsidRPr="00FC7815">
              <w:rPr>
                <w:b/>
              </w:rPr>
              <w:t>systemu zarządzania ryzykiem i systemu kontroli wewnętrznej oraz polityki wynagrodzeń w</w:t>
            </w:r>
            <w:r w:rsidR="00FC7815">
              <w:rPr>
                <w:b/>
              </w:rPr>
              <w:t> </w:t>
            </w:r>
            <w:r w:rsidR="00FC7815" w:rsidRPr="00FC7815">
              <w:rPr>
                <w:b/>
              </w:rPr>
              <w:t>bankach</w:t>
            </w:r>
          </w:p>
        </w:tc>
      </w:tr>
      <w:tr w:rsidR="00C54203" w:rsidRPr="00101DD7" w:rsidTr="00CC352C">
        <w:trPr>
          <w:cantSplit/>
          <w:trHeight w:val="550"/>
        </w:trPr>
        <w:tc>
          <w:tcPr>
            <w:tcW w:w="551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4203" w:rsidRPr="00101DD7" w:rsidRDefault="00C54203" w:rsidP="00ED54DA">
            <w:pPr>
              <w:jc w:val="both"/>
              <w:rPr>
                <w:b/>
                <w:bCs/>
              </w:rPr>
            </w:pPr>
            <w:r w:rsidRPr="00101DD7">
              <w:rPr>
                <w:b/>
                <w:bCs/>
              </w:rPr>
              <w:t xml:space="preserve">TYTUŁ WDRAŻANEGO AKTU PRAWNEGO / WDRAŻANYCH AKTÓW PRAWNYCH </w:t>
            </w:r>
            <w:r w:rsidRPr="00101DD7">
              <w:rPr>
                <w:b/>
                <w:bCs/>
                <w:vertAlign w:val="superscript"/>
              </w:rPr>
              <w:t>1)</w:t>
            </w:r>
            <w:r w:rsidRPr="00101DD7">
              <w:rPr>
                <w:b/>
                <w:bCs/>
              </w:rPr>
              <w:t>:</w:t>
            </w:r>
          </w:p>
        </w:tc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C54203" w:rsidRPr="00101DD7" w:rsidRDefault="00C54203" w:rsidP="00ED54DA">
            <w:pPr>
              <w:jc w:val="both"/>
            </w:pPr>
            <w:r w:rsidRPr="00101DD7">
              <w:rPr>
                <w:b/>
                <w:bCs/>
                <w:sz w:val="19"/>
                <w:szCs w:val="19"/>
              </w:rPr>
              <w:t>DYREKTYWA PARLAMENTU EUROPEJSKIEGO I RADY </w:t>
            </w:r>
            <w:r w:rsidR="00AB38CC" w:rsidRPr="00AB38CC">
              <w:rPr>
                <w:b/>
                <w:bCs/>
                <w:sz w:val="19"/>
                <w:szCs w:val="19"/>
              </w:rPr>
              <w:t>2019/878 z dnia 20 maja 2019 r. zmieniająca dyrektywę 2013/36/UE w odniesieniu do podmiotów zwolnionych, finansowych spółek holdingowych, finansowych spółek holdingowych o działalności mieszanej, wynagrodzeń, środków i uprawnień nadzorczych oraz środków ochrony kapitału</w:t>
            </w:r>
          </w:p>
        </w:tc>
      </w:tr>
      <w:tr w:rsidR="00C54203" w:rsidRPr="00101DD7" w:rsidTr="00CC352C">
        <w:trPr>
          <w:cantSplit/>
        </w:trPr>
        <w:tc>
          <w:tcPr>
            <w:tcW w:w="14710" w:type="dxa"/>
            <w:gridSpan w:val="6"/>
            <w:shd w:val="clear" w:color="auto" w:fill="A0A0A0"/>
          </w:tcPr>
          <w:p w:rsidR="00C54203" w:rsidRPr="00101DD7" w:rsidRDefault="00C54203" w:rsidP="00ED54DA">
            <w:pPr>
              <w:jc w:val="both"/>
              <w:rPr>
                <w:b/>
                <w:bCs/>
              </w:rPr>
            </w:pPr>
            <w:r w:rsidRPr="00101DD7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</w:t>
            </w:r>
          </w:p>
        </w:tc>
      </w:tr>
      <w:tr w:rsidR="00C54203" w:rsidRPr="00101DD7" w:rsidTr="00CC352C">
        <w:trPr>
          <w:trHeight w:val="550"/>
        </w:trPr>
        <w:tc>
          <w:tcPr>
            <w:tcW w:w="1471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54203" w:rsidRPr="00101DD7" w:rsidRDefault="00C54203" w:rsidP="00ED54DA">
            <w:pPr>
              <w:pStyle w:val="Nagwek2"/>
              <w:rPr>
                <w:vertAlign w:val="superscript"/>
              </w:rPr>
            </w:pPr>
            <w:r w:rsidRPr="00101DD7">
              <w:t xml:space="preserve">PRZEPISY UNII EUROPEJSKIEJ </w:t>
            </w:r>
            <w:r w:rsidRPr="00101DD7">
              <w:rPr>
                <w:vertAlign w:val="superscript"/>
              </w:rPr>
              <w:t>2)</w:t>
            </w:r>
          </w:p>
        </w:tc>
      </w:tr>
      <w:tr w:rsidR="00C54203" w:rsidRPr="00101DD7" w:rsidTr="00CC352C">
        <w:tc>
          <w:tcPr>
            <w:tcW w:w="790" w:type="dxa"/>
            <w:shd w:val="clear" w:color="auto" w:fill="D9D9D9"/>
          </w:tcPr>
          <w:p w:rsidR="00C54203" w:rsidRPr="00101DD7" w:rsidRDefault="00C54203" w:rsidP="00ED54DA">
            <w:pPr>
              <w:jc w:val="center"/>
              <w:rPr>
                <w:b/>
                <w:bCs/>
                <w:sz w:val="20"/>
              </w:rPr>
            </w:pPr>
            <w:r w:rsidRPr="00101DD7">
              <w:rPr>
                <w:b/>
                <w:bCs/>
                <w:sz w:val="20"/>
              </w:rPr>
              <w:t xml:space="preserve">Jedn. red. </w:t>
            </w:r>
          </w:p>
        </w:tc>
        <w:tc>
          <w:tcPr>
            <w:tcW w:w="4723" w:type="dxa"/>
            <w:shd w:val="clear" w:color="auto" w:fill="D9D9D9"/>
          </w:tcPr>
          <w:p w:rsidR="00C54203" w:rsidRPr="00101DD7" w:rsidRDefault="00C54203" w:rsidP="00ED54DA">
            <w:pPr>
              <w:jc w:val="center"/>
              <w:rPr>
                <w:b/>
                <w:bCs/>
                <w:sz w:val="20"/>
              </w:rPr>
            </w:pPr>
            <w:r w:rsidRPr="00101DD7">
              <w:rPr>
                <w:b/>
                <w:bCs/>
                <w:sz w:val="20"/>
              </w:rPr>
              <w:t xml:space="preserve">Treść przepisu UE </w:t>
            </w:r>
            <w:r w:rsidRPr="00101DD7">
              <w:rPr>
                <w:b/>
                <w:vertAlign w:val="superscript"/>
              </w:rPr>
              <w:t>3)</w:t>
            </w:r>
            <w:r w:rsidRPr="00101DD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86" w:type="dxa"/>
            <w:shd w:val="clear" w:color="auto" w:fill="D9D9D9"/>
          </w:tcPr>
          <w:p w:rsidR="00C54203" w:rsidRPr="00101DD7" w:rsidRDefault="00C54203" w:rsidP="00ED54DA">
            <w:pPr>
              <w:pStyle w:val="Tekstpodstawowy"/>
              <w:jc w:val="center"/>
              <w:rPr>
                <w:b/>
                <w:bCs/>
              </w:rPr>
            </w:pPr>
            <w:r w:rsidRPr="00101DD7">
              <w:rPr>
                <w:b/>
                <w:bCs/>
              </w:rPr>
              <w:t>Koniecz    -ność</w:t>
            </w:r>
          </w:p>
          <w:p w:rsidR="00C54203" w:rsidRPr="00101DD7" w:rsidRDefault="00C54203" w:rsidP="00ED54DA">
            <w:pPr>
              <w:jc w:val="center"/>
              <w:rPr>
                <w:b/>
                <w:bCs/>
                <w:sz w:val="16"/>
              </w:rPr>
            </w:pPr>
            <w:r w:rsidRPr="00101DD7">
              <w:rPr>
                <w:b/>
                <w:bCs/>
                <w:sz w:val="16"/>
              </w:rPr>
              <w:t>wdrożenia</w:t>
            </w:r>
          </w:p>
          <w:p w:rsidR="00C54203" w:rsidRPr="00101DD7" w:rsidRDefault="00C54203" w:rsidP="00ED54DA">
            <w:pPr>
              <w:jc w:val="center"/>
            </w:pPr>
          </w:p>
          <w:p w:rsidR="00C54203" w:rsidRPr="00101DD7" w:rsidRDefault="00C54203" w:rsidP="00ED54DA">
            <w:pPr>
              <w:jc w:val="center"/>
              <w:rPr>
                <w:b/>
                <w:bCs/>
                <w:sz w:val="16"/>
              </w:rPr>
            </w:pPr>
            <w:r w:rsidRPr="00101DD7">
              <w:t xml:space="preserve"> T / N</w:t>
            </w:r>
          </w:p>
        </w:tc>
        <w:tc>
          <w:tcPr>
            <w:tcW w:w="1109" w:type="dxa"/>
            <w:shd w:val="clear" w:color="auto" w:fill="D9D9D9"/>
          </w:tcPr>
          <w:p w:rsidR="00C54203" w:rsidRPr="00101DD7" w:rsidRDefault="00C54203" w:rsidP="00ED54DA">
            <w:pPr>
              <w:jc w:val="center"/>
              <w:rPr>
                <w:b/>
                <w:bCs/>
                <w:sz w:val="20"/>
              </w:rPr>
            </w:pPr>
            <w:r w:rsidRPr="00101DD7">
              <w:rPr>
                <w:b/>
                <w:bCs/>
                <w:sz w:val="20"/>
              </w:rPr>
              <w:t>Jedn. red. (*)</w:t>
            </w:r>
          </w:p>
        </w:tc>
        <w:tc>
          <w:tcPr>
            <w:tcW w:w="4442" w:type="dxa"/>
            <w:shd w:val="clear" w:color="auto" w:fill="D9D9D9"/>
          </w:tcPr>
          <w:p w:rsidR="00C54203" w:rsidRPr="00101DD7" w:rsidRDefault="00C54203" w:rsidP="00ED54DA">
            <w:pPr>
              <w:jc w:val="center"/>
              <w:rPr>
                <w:b/>
                <w:bCs/>
                <w:sz w:val="20"/>
              </w:rPr>
            </w:pPr>
            <w:r w:rsidRPr="00101DD7">
              <w:rPr>
                <w:b/>
                <w:bCs/>
                <w:sz w:val="20"/>
              </w:rPr>
              <w:t xml:space="preserve">Treść przepisu/ów </w:t>
            </w:r>
            <w:r w:rsidR="006B796B">
              <w:rPr>
                <w:b/>
                <w:bCs/>
                <w:sz w:val="20"/>
              </w:rPr>
              <w:t>rozporządzenia</w:t>
            </w:r>
            <w:r w:rsidR="004C280E" w:rsidRPr="00101DD7">
              <w:rPr>
                <w:b/>
                <w:bCs/>
                <w:sz w:val="20"/>
              </w:rPr>
              <w:t xml:space="preserve"> </w:t>
            </w:r>
            <w:r w:rsidRPr="00101DD7">
              <w:rPr>
                <w:b/>
                <w:bCs/>
                <w:sz w:val="20"/>
              </w:rPr>
              <w:t>(*)</w:t>
            </w:r>
          </w:p>
        </w:tc>
        <w:tc>
          <w:tcPr>
            <w:tcW w:w="2760" w:type="dxa"/>
            <w:shd w:val="clear" w:color="auto" w:fill="D9D9D9"/>
          </w:tcPr>
          <w:p w:rsidR="00C54203" w:rsidRPr="00101DD7" w:rsidRDefault="00C54203" w:rsidP="00ED54DA">
            <w:pPr>
              <w:jc w:val="center"/>
              <w:rPr>
                <w:b/>
                <w:bCs/>
                <w:sz w:val="20"/>
              </w:rPr>
            </w:pPr>
            <w:r w:rsidRPr="00101DD7">
              <w:rPr>
                <w:b/>
                <w:bCs/>
                <w:sz w:val="20"/>
              </w:rPr>
              <w:t xml:space="preserve">Uzasadnienie uwzględnienia w </w:t>
            </w:r>
            <w:r w:rsidR="004C280E">
              <w:rPr>
                <w:b/>
                <w:bCs/>
                <w:sz w:val="20"/>
              </w:rPr>
              <w:t>ustawie</w:t>
            </w:r>
            <w:r w:rsidR="004C280E" w:rsidRPr="00101DD7">
              <w:rPr>
                <w:b/>
                <w:bCs/>
                <w:sz w:val="20"/>
              </w:rPr>
              <w:t xml:space="preserve"> </w:t>
            </w:r>
            <w:r w:rsidRPr="00101DD7">
              <w:rPr>
                <w:b/>
                <w:bCs/>
                <w:sz w:val="20"/>
              </w:rPr>
              <w:t>przepisów wykraczających poza minimalne wymogi  prawa UE (**)</w:t>
            </w:r>
          </w:p>
        </w:tc>
      </w:tr>
      <w:tr w:rsidR="005831B3" w:rsidRPr="00ED0802" w:rsidTr="00CC352C">
        <w:trPr>
          <w:trHeight w:val="1401"/>
        </w:trPr>
        <w:tc>
          <w:tcPr>
            <w:tcW w:w="790" w:type="dxa"/>
          </w:tcPr>
          <w:p w:rsidR="005831B3" w:rsidRPr="00A7387C" w:rsidRDefault="006D7F17" w:rsidP="00ED54DA">
            <w:pPr>
              <w:spacing w:before="120" w:after="120"/>
              <w:rPr>
                <w:sz w:val="20"/>
                <w:szCs w:val="20"/>
              </w:rPr>
            </w:pPr>
            <w:r w:rsidRPr="006D7F17">
              <w:rPr>
                <w:sz w:val="20"/>
                <w:szCs w:val="20"/>
              </w:rPr>
              <w:t>19)</w:t>
            </w:r>
          </w:p>
          <w:p w:rsidR="005831B3" w:rsidRPr="00A7387C" w:rsidRDefault="005831B3" w:rsidP="00ED54D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3" w:type="dxa"/>
          </w:tcPr>
          <w:p w:rsidR="006D7F17" w:rsidRPr="006D7F17" w:rsidRDefault="006D7F17" w:rsidP="006D7F17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6D7F17">
              <w:rPr>
                <w:sz w:val="20"/>
                <w:szCs w:val="20"/>
              </w:rPr>
              <w:t xml:space="preserve">19) </w:t>
            </w:r>
            <w:r w:rsidRPr="006D7F17">
              <w:rPr>
                <w:iCs/>
                <w:sz w:val="20"/>
                <w:szCs w:val="20"/>
              </w:rPr>
              <w:t>art. 74 ust. 1 akapit drugi otrzymuje brzmienie:</w:t>
            </w:r>
          </w:p>
          <w:p w:rsidR="005831B3" w:rsidRPr="00AB38CC" w:rsidRDefault="006D7F17" w:rsidP="006D7F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7F17">
              <w:rPr>
                <w:sz w:val="20"/>
                <w:szCs w:val="20"/>
              </w:rPr>
              <w:t>„Polityki wynagrodzeń i praktyki w tym zakresie, o których mowa w akapicie pierwszym, są neutralne pod względem płci.”;</w:t>
            </w:r>
          </w:p>
        </w:tc>
        <w:tc>
          <w:tcPr>
            <w:tcW w:w="886" w:type="dxa"/>
          </w:tcPr>
          <w:p w:rsidR="005831B3" w:rsidRPr="00A7387C" w:rsidRDefault="006D7F17" w:rsidP="00ED54D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109" w:type="dxa"/>
          </w:tcPr>
          <w:p w:rsidR="006D7F17" w:rsidRPr="006D7F17" w:rsidRDefault="006D7F17" w:rsidP="006D7F1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>§ 23 pkt 3</w:t>
            </w:r>
          </w:p>
          <w:p w:rsidR="005831B3" w:rsidRPr="00DE4515" w:rsidRDefault="005831B3" w:rsidP="00CC352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2" w:type="dxa"/>
          </w:tcPr>
          <w:p w:rsidR="006D7F17" w:rsidRPr="006D7F17" w:rsidRDefault="006D7F17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6D7F17">
              <w:rPr>
                <w:b/>
                <w:bCs/>
                <w:sz w:val="20"/>
                <w:szCs w:val="20"/>
              </w:rPr>
              <w:t>§ 23.</w:t>
            </w:r>
            <w:r w:rsidRPr="006D7F17">
              <w:rPr>
                <w:bCs/>
                <w:sz w:val="20"/>
                <w:szCs w:val="20"/>
              </w:rPr>
              <w:t xml:space="preserve"> Przyjęta przez bank polityka wynagrodzeń: 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>(…)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>3) jest neutralna pod względem płci.</w:t>
            </w:r>
          </w:p>
          <w:p w:rsidR="00E008AA" w:rsidRPr="00DE4515" w:rsidRDefault="00E008AA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5831B3" w:rsidRPr="00ED0802" w:rsidRDefault="005831B3" w:rsidP="00ED54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7F17" w:rsidRPr="00ED0802" w:rsidTr="00CC352C">
        <w:trPr>
          <w:trHeight w:val="1401"/>
        </w:trPr>
        <w:tc>
          <w:tcPr>
            <w:tcW w:w="790" w:type="dxa"/>
          </w:tcPr>
          <w:p w:rsidR="006D7F17" w:rsidRDefault="006D7F17" w:rsidP="00ED54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</w:t>
            </w:r>
          </w:p>
        </w:tc>
        <w:tc>
          <w:tcPr>
            <w:tcW w:w="4723" w:type="dxa"/>
          </w:tcPr>
          <w:p w:rsidR="006D7F17" w:rsidRPr="006D7F17" w:rsidRDefault="006D7F17" w:rsidP="006D7F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7F17">
              <w:rPr>
                <w:sz w:val="20"/>
                <w:szCs w:val="20"/>
              </w:rPr>
              <w:t>21) art. 84 ust. 1 i 2 otrzymuje brzmienie: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6D7F17">
              <w:rPr>
                <w:i/>
                <w:sz w:val="20"/>
                <w:szCs w:val="20"/>
              </w:rPr>
              <w:t>„Artykuł 84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D7F17">
              <w:rPr>
                <w:b/>
                <w:sz w:val="20"/>
                <w:szCs w:val="20"/>
              </w:rPr>
              <w:t>Ryzyko stopy procentowej wynikające z działalności w ramach portfela bankowego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7F17">
              <w:rPr>
                <w:sz w:val="20"/>
                <w:szCs w:val="20"/>
              </w:rPr>
              <w:t>1. Właściwe organy zapewniają, by instytucje wdrożyły wewnętrzne systemy, stosowały standardową metodykę lub uproszczoną standardową metodykę w celu identyfikacji i oceny ryzyka z tytułu potencjalnych zmian stóp procentowych, które wpływają zarówno na wartość ekonomiczną kapitału własnego, jak i na wynik odsetkowy netto z działalności w ramach portfela bankowego instytucji, a także do celów zarządzania takim ryzykiem i jego ograniczania.</w:t>
            </w:r>
          </w:p>
          <w:p w:rsidR="006D7F17" w:rsidRPr="002F3DAC" w:rsidRDefault="006D7F17" w:rsidP="006D7F17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D7F17">
              <w:rPr>
                <w:sz w:val="20"/>
                <w:szCs w:val="20"/>
              </w:rPr>
              <w:t xml:space="preserve">2. Właściwe organy zapewniają, by instytucje wdrożyły systemy w celu oceny i monitorowania ryzyka z tytułu </w:t>
            </w:r>
            <w:r w:rsidRPr="006D7F17">
              <w:rPr>
                <w:sz w:val="20"/>
                <w:szCs w:val="20"/>
              </w:rPr>
              <w:lastRenderedPageBreak/>
              <w:t>potencjalnych zmian spreadów kredytowych, które wpływają zarówno na wartość ekonomiczną kapitału własnego, jak i na wynik odsetkowy netto z działalności w ramach portfela bankowego instytucji.”;</w:t>
            </w:r>
          </w:p>
        </w:tc>
        <w:tc>
          <w:tcPr>
            <w:tcW w:w="886" w:type="dxa"/>
          </w:tcPr>
          <w:p w:rsidR="006D7F17" w:rsidRDefault="006D7F17" w:rsidP="00ED54D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</w:p>
        </w:tc>
        <w:tc>
          <w:tcPr>
            <w:tcW w:w="1109" w:type="dxa"/>
          </w:tcPr>
          <w:p w:rsidR="006D7F17" w:rsidRDefault="006D7F17" w:rsidP="00CC352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>§ 18 pkt 6</w:t>
            </w:r>
          </w:p>
        </w:tc>
        <w:tc>
          <w:tcPr>
            <w:tcW w:w="4442" w:type="dxa"/>
          </w:tcPr>
          <w:p w:rsidR="006D7F17" w:rsidRPr="006D7F17" w:rsidRDefault="006D7F17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>6) w zakresie ryzyka stopy procentowej w portfelu bankowym: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>a)  zasady zarządzania ryzykiem wynikające z wewnętrznych systemów oceny ryzyka stopy procentowej albo ze standardowej metodyki lub uproszczonej standardowej metodyki w celu identyfikacji i oceny ryzyka z tytułu potencjalnych zmian stóp procentowych, które wpływają zarówno na wartość ekonomiczną kapitału własnego, jak i na wynik odsetkowy netto z działalności w ramach portfela bankowego, a także do celów zarządzania takim ryzykiem i jego ograniczania;</w:t>
            </w:r>
          </w:p>
          <w:p w:rsidR="006D7F17" w:rsidRPr="006D7F17" w:rsidRDefault="006D7F17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6D7F17">
              <w:rPr>
                <w:bCs/>
                <w:sz w:val="20"/>
                <w:szCs w:val="20"/>
              </w:rPr>
              <w:t xml:space="preserve">b) wewnętrzne systemy w celu oceny i monitorowania ryzyka z tytułu potencjalnych zmian spreadów kredytowych, które wpływają zarówno na wartość ekonomiczną kapitału własnego, jak i wynik </w:t>
            </w:r>
            <w:r w:rsidRPr="006D7F17">
              <w:rPr>
                <w:bCs/>
                <w:sz w:val="20"/>
                <w:szCs w:val="20"/>
              </w:rPr>
              <w:lastRenderedPageBreak/>
              <w:t>odsetkowy netto z działalności w ramach portfela bankowego;</w:t>
            </w:r>
          </w:p>
          <w:p w:rsidR="006D7F17" w:rsidRDefault="006D7F17" w:rsidP="00FB62C1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6D7F17" w:rsidRPr="00ED0802" w:rsidRDefault="006D7F17" w:rsidP="00ED54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73D1F" w:rsidRPr="00ED0802" w:rsidTr="00CC352C">
        <w:trPr>
          <w:trHeight w:val="1401"/>
        </w:trPr>
        <w:tc>
          <w:tcPr>
            <w:tcW w:w="790" w:type="dxa"/>
          </w:tcPr>
          <w:p w:rsidR="00F73D1F" w:rsidRDefault="00F73D1F" w:rsidP="00ED54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</w:t>
            </w:r>
          </w:p>
        </w:tc>
        <w:tc>
          <w:tcPr>
            <w:tcW w:w="4723" w:type="dxa"/>
          </w:tcPr>
          <w:p w:rsidR="00F73D1F" w:rsidRDefault="00F73D1F" w:rsidP="006D7F1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22) </w:t>
            </w:r>
            <w:r w:rsidRPr="00F73D1F">
              <w:rPr>
                <w:sz w:val="20"/>
                <w:szCs w:val="20"/>
              </w:rPr>
              <w:t xml:space="preserve">art. 85 ust. 1 otrzymuje brzmienie: </w:t>
            </w:r>
          </w:p>
          <w:p w:rsidR="00F73D1F" w:rsidRPr="006D7F17" w:rsidRDefault="00F73D1F" w:rsidP="006D7F1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73D1F">
              <w:rPr>
                <w:sz w:val="20"/>
                <w:szCs w:val="20"/>
              </w:rPr>
              <w:t>„1.</w:t>
            </w:r>
            <w:r w:rsidR="00015C1D">
              <w:rPr>
                <w:sz w:val="20"/>
                <w:szCs w:val="20"/>
              </w:rPr>
              <w:t xml:space="preserve"> </w:t>
            </w:r>
            <w:r w:rsidRPr="00F73D1F">
              <w:rPr>
                <w:sz w:val="20"/>
                <w:szCs w:val="20"/>
              </w:rPr>
              <w:t>Właściwe organy zapewniają wdrożenie przez instytucje polityk i procedur służących do oceny ekspozycji na ryzyko operacyjne, w tym ryzyko modelu i ryzyko wynikające z outsourcingu, oraz do zarządzania takimi ekspozycjami, jak również polityk i procedur stosowanych w razie zdarzeń rzadko występujących, lecz mających poważne skutki. Instytucje określają, co stanowi ryzyko operacyjne do celów wspomnianych polityk i procedur.”;</w:t>
            </w:r>
          </w:p>
        </w:tc>
        <w:tc>
          <w:tcPr>
            <w:tcW w:w="886" w:type="dxa"/>
          </w:tcPr>
          <w:p w:rsidR="00F73D1F" w:rsidRDefault="00F73D1F" w:rsidP="00ED54D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109" w:type="dxa"/>
          </w:tcPr>
          <w:p w:rsidR="00F73D1F" w:rsidRPr="006D7F17" w:rsidRDefault="00F73D1F" w:rsidP="00CC352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 18 pkt 7</w:t>
            </w:r>
          </w:p>
        </w:tc>
        <w:tc>
          <w:tcPr>
            <w:tcW w:w="4442" w:type="dxa"/>
          </w:tcPr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7)</w:t>
            </w:r>
            <w:r w:rsidRPr="00F73D1F">
              <w:rPr>
                <w:bCs/>
                <w:sz w:val="20"/>
                <w:szCs w:val="20"/>
              </w:rPr>
              <w:tab/>
              <w:t>w zakresie ryzyka operacyjnego: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a)</w:t>
            </w:r>
            <w:r w:rsidRPr="00F73D1F">
              <w:rPr>
                <w:bCs/>
                <w:sz w:val="20"/>
                <w:szCs w:val="20"/>
              </w:rPr>
              <w:tab/>
              <w:t>zasady zarządzania ryzykiem operacyjnym, w tym zasady identyfikacji, rejestracji monitorowania  i raportowania  strat z tytułu ryzyka operacyjnego oraz przyjęte przez bank określenie ryzyka operacyjnego dla potrzeb stosowania tych zasad, uwzględniające możliwość wystąpienia straty wynikającej z</w:t>
            </w:r>
            <w:r w:rsidR="00015C1D">
              <w:rPr>
                <w:bCs/>
                <w:sz w:val="20"/>
                <w:szCs w:val="20"/>
              </w:rPr>
              <w:t> </w:t>
            </w:r>
            <w:r w:rsidRPr="00F73D1F">
              <w:rPr>
                <w:bCs/>
                <w:sz w:val="20"/>
                <w:szCs w:val="20"/>
              </w:rPr>
              <w:t>niedostosowania lub zawodności procesów wewnętrznych, ludzi i systemów lub ze zdarzeń zewnętrznych, obejmujące również ryzyko prawne oraz uwzględniające zdarzenia charakteryzujące się niską częstotliwością występowania, lecz wysokimi stratami,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b)</w:t>
            </w:r>
            <w:r w:rsidRPr="00F73D1F">
              <w:rPr>
                <w:bCs/>
                <w:sz w:val="20"/>
                <w:szCs w:val="20"/>
              </w:rPr>
              <w:tab/>
              <w:t>plany utrzymania ciągłości działania zapewniające ciągłe i niezakłócone działanie banku oraz plany awaryjne służące zapewnieniu możliwości prowadzenia bieżącej działalności banku i</w:t>
            </w:r>
            <w:r w:rsidR="00015C1D">
              <w:rPr>
                <w:bCs/>
                <w:sz w:val="20"/>
                <w:szCs w:val="20"/>
              </w:rPr>
              <w:t> </w:t>
            </w:r>
            <w:r w:rsidRPr="00F73D1F">
              <w:rPr>
                <w:bCs/>
                <w:sz w:val="20"/>
                <w:szCs w:val="20"/>
              </w:rPr>
              <w:t>ograniczeniu strat, w przypadku wystąpienia niekorzystnych zdarzeń wewnętrznych i</w:t>
            </w:r>
            <w:r w:rsidR="00015C1D">
              <w:rPr>
                <w:bCs/>
                <w:sz w:val="20"/>
                <w:szCs w:val="20"/>
              </w:rPr>
              <w:t> </w:t>
            </w:r>
            <w:r w:rsidRPr="00F73D1F">
              <w:rPr>
                <w:bCs/>
                <w:sz w:val="20"/>
                <w:szCs w:val="20"/>
              </w:rPr>
              <w:t>zewnętrznych, mogących poważnie zakłócić tę działalność,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c)</w:t>
            </w:r>
            <w:r w:rsidRPr="00F73D1F">
              <w:rPr>
                <w:bCs/>
                <w:sz w:val="20"/>
                <w:szCs w:val="20"/>
              </w:rPr>
              <w:tab/>
              <w:t>zasady zarządzania kadrami, w tym rekrutacji, monitorowania potrzeb kadrowych oraz planowania zaplecza kadrowego,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d)</w:t>
            </w:r>
            <w:r w:rsidRPr="00F73D1F">
              <w:rPr>
                <w:bCs/>
                <w:sz w:val="20"/>
                <w:szCs w:val="20"/>
              </w:rPr>
              <w:tab/>
              <w:t>zasady zarządzania ryzykiem powierzenia wykonywania czynności podmiotom zewnętrznym,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e)</w:t>
            </w:r>
            <w:r w:rsidRPr="00F73D1F">
              <w:rPr>
                <w:bCs/>
                <w:sz w:val="20"/>
                <w:szCs w:val="20"/>
              </w:rPr>
              <w:tab/>
              <w:t>zasady zarządzania ryzykiem modeli, rozumianym jako ryzyko potencjalnej straty, jaką może ponieść bank w wyniku decyzji, które mogły zasadniczo opierać się na danych uzyskanych przy zastosowaniu modeli wewnętrznych, z powodu błędów w opracowaniu, wdrażaniu lub stosowaniu takich modeli: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lastRenderedPageBreak/>
              <w:t>–</w:t>
            </w:r>
            <w:r w:rsidRPr="00F73D1F">
              <w:rPr>
                <w:bCs/>
                <w:sz w:val="20"/>
                <w:szCs w:val="20"/>
              </w:rPr>
              <w:tab/>
              <w:t>kompleksowo ustalające sposób zarządzania wykorzystywanymi przez bank modelami, z</w:t>
            </w:r>
            <w:r w:rsidR="00015C1D">
              <w:rPr>
                <w:bCs/>
                <w:sz w:val="20"/>
                <w:szCs w:val="20"/>
              </w:rPr>
              <w:t> </w:t>
            </w:r>
            <w:r w:rsidRPr="00F73D1F">
              <w:rPr>
                <w:bCs/>
                <w:sz w:val="20"/>
                <w:szCs w:val="20"/>
              </w:rPr>
              <w:t>uwzględnieniem zasady proporcjonalności,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–</w:t>
            </w:r>
            <w:r w:rsidRPr="00F73D1F">
              <w:rPr>
                <w:bCs/>
                <w:sz w:val="20"/>
                <w:szCs w:val="20"/>
              </w:rPr>
              <w:tab/>
              <w:t>zapewniające, że stosowane modele, w</w:t>
            </w:r>
            <w:r w:rsidR="00015C1D">
              <w:rPr>
                <w:bCs/>
                <w:sz w:val="20"/>
                <w:szCs w:val="20"/>
              </w:rPr>
              <w:t> </w:t>
            </w:r>
            <w:r w:rsidRPr="00F73D1F">
              <w:rPr>
                <w:bCs/>
                <w:sz w:val="20"/>
                <w:szCs w:val="20"/>
              </w:rPr>
              <w:t>szczególności ich założenia, są poddawane okresowej ocenie wewnętrznej, uwzględniającej testowanie i weryfikację historyczną,</w:t>
            </w:r>
          </w:p>
          <w:p w:rsidR="00F73D1F" w:rsidRPr="00F73D1F" w:rsidRDefault="00F73D1F" w:rsidP="00F73D1F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f)</w:t>
            </w:r>
            <w:r w:rsidRPr="00F73D1F">
              <w:rPr>
                <w:bCs/>
                <w:sz w:val="20"/>
                <w:szCs w:val="20"/>
              </w:rPr>
              <w:tab/>
              <w:t>zasady zarządzania ryzykiem systemów, związanym z prawidłowym, efektywnym i bezpiecznym wspieraniem działalności banku przez jego środowisko teleinformatyczne;</w:t>
            </w:r>
          </w:p>
          <w:p w:rsidR="00F73D1F" w:rsidRPr="006D7F17" w:rsidRDefault="00F73D1F" w:rsidP="006D7F1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F73D1F">
              <w:rPr>
                <w:bCs/>
                <w:sz w:val="20"/>
                <w:szCs w:val="20"/>
              </w:rPr>
              <w:t>g)  politykę i zasady zarządzania ryzykiem braki zgodności (ryzyko postępowania, conduct risk) z</w:t>
            </w:r>
            <w:r w:rsidR="00015C1D">
              <w:rPr>
                <w:bCs/>
                <w:sz w:val="20"/>
                <w:szCs w:val="20"/>
              </w:rPr>
              <w:t> </w:t>
            </w:r>
            <w:r w:rsidRPr="00F73D1F">
              <w:rPr>
                <w:bCs/>
                <w:sz w:val="20"/>
                <w:szCs w:val="20"/>
              </w:rPr>
              <w:t>uwzględnieniem postanowień rozdziału 4;</w:t>
            </w:r>
          </w:p>
        </w:tc>
        <w:tc>
          <w:tcPr>
            <w:tcW w:w="2760" w:type="dxa"/>
          </w:tcPr>
          <w:p w:rsidR="00F73D1F" w:rsidRPr="00ED0802" w:rsidRDefault="00F73D1F" w:rsidP="00ED54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867A1" w:rsidRPr="00ED0802" w:rsidTr="00CC352C">
        <w:trPr>
          <w:trHeight w:val="1401"/>
        </w:trPr>
        <w:tc>
          <w:tcPr>
            <w:tcW w:w="790" w:type="dxa"/>
          </w:tcPr>
          <w:p w:rsidR="00C867A1" w:rsidRPr="00ED54DA" w:rsidRDefault="00C867A1" w:rsidP="00C867A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26)</w:t>
            </w:r>
          </w:p>
        </w:tc>
        <w:tc>
          <w:tcPr>
            <w:tcW w:w="4723" w:type="dxa"/>
          </w:tcPr>
          <w:p w:rsidR="00773139" w:rsidRDefault="00773139" w:rsidP="00C867A1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773139">
              <w:rPr>
                <w:sz w:val="19"/>
                <w:szCs w:val="19"/>
              </w:rPr>
              <w:t>26) w art. 92 wprowadza się następujące zmiany:</w:t>
            </w:r>
          </w:p>
          <w:p w:rsidR="00AD1DB2" w:rsidRDefault="00AD1DB2" w:rsidP="00C867A1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b) </w:t>
            </w:r>
            <w:r w:rsidRPr="00AD1DB2">
              <w:rPr>
                <w:rFonts w:ascii="EUAlbertina" w:hAnsi="EUAlbertina" w:cs="EUAlbertina"/>
                <w:color w:val="000000"/>
                <w:sz w:val="19"/>
                <w:szCs w:val="19"/>
              </w:rPr>
              <w:t xml:space="preserve"> </w:t>
            </w:r>
            <w:r w:rsidRPr="00AD1DB2">
              <w:rPr>
                <w:sz w:val="19"/>
                <w:szCs w:val="19"/>
              </w:rPr>
              <w:t>w ust. 2 wprowadza się następujące zmiany:</w:t>
            </w:r>
          </w:p>
          <w:p w:rsidR="00C867A1" w:rsidRDefault="00C867A1" w:rsidP="00C867A1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(ii) dodaje się literę w brzmieniu: </w:t>
            </w:r>
          </w:p>
          <w:p w:rsidR="00C867A1" w:rsidRPr="00ED54DA" w:rsidRDefault="00C867A1" w:rsidP="00C867A1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„aa) polityka wynagrodzeń jest neutralna pod względem płci.”;</w:t>
            </w:r>
          </w:p>
        </w:tc>
        <w:tc>
          <w:tcPr>
            <w:tcW w:w="886" w:type="dxa"/>
          </w:tcPr>
          <w:p w:rsidR="00C867A1" w:rsidRDefault="00C867A1" w:rsidP="00C867A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109" w:type="dxa"/>
          </w:tcPr>
          <w:p w:rsidR="00C867A1" w:rsidRPr="002F3DAC" w:rsidRDefault="00E937B1" w:rsidP="00F312BF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 25 ust. 2 pkt 11</w:t>
            </w:r>
            <w:r w:rsidR="00C867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42" w:type="dxa"/>
          </w:tcPr>
          <w:p w:rsidR="00C867A1" w:rsidRDefault="00E937B1" w:rsidP="00DA0E2D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="00652D24">
              <w:rPr>
                <w:bCs/>
                <w:sz w:val="20"/>
                <w:szCs w:val="20"/>
              </w:rPr>
              <w:t xml:space="preserve"> P</w:t>
            </w:r>
            <w:r w:rsidR="00652D24" w:rsidRPr="00652D24">
              <w:rPr>
                <w:bCs/>
                <w:sz w:val="20"/>
                <w:szCs w:val="20"/>
              </w:rPr>
              <w:t>olityka wynagrodzeń i praktyki w tym zakresie są neutralne pod względem</w:t>
            </w:r>
            <w:r w:rsidR="00DA0E2D">
              <w:rPr>
                <w:bCs/>
                <w:sz w:val="20"/>
                <w:szCs w:val="20"/>
              </w:rPr>
              <w:t xml:space="preserve"> płci</w:t>
            </w:r>
            <w:r w:rsidR="00C867A1" w:rsidRPr="00CE26A9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760" w:type="dxa"/>
          </w:tcPr>
          <w:p w:rsidR="00C867A1" w:rsidRPr="00ED0802" w:rsidRDefault="00C867A1" w:rsidP="00C867A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B10BB" w:rsidRPr="00ED0802" w:rsidTr="00CC352C">
        <w:trPr>
          <w:trHeight w:val="1401"/>
        </w:trPr>
        <w:tc>
          <w:tcPr>
            <w:tcW w:w="790" w:type="dxa"/>
          </w:tcPr>
          <w:p w:rsidR="005B10BB" w:rsidRDefault="005B10BB" w:rsidP="00ED54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81018">
              <w:rPr>
                <w:sz w:val="20"/>
                <w:szCs w:val="20"/>
              </w:rPr>
              <w:t>)</w:t>
            </w:r>
          </w:p>
        </w:tc>
        <w:tc>
          <w:tcPr>
            <w:tcW w:w="4723" w:type="dxa"/>
          </w:tcPr>
          <w:p w:rsidR="005B10BB" w:rsidRPr="005B10BB" w:rsidRDefault="005B10BB" w:rsidP="00ED54D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27)</w:t>
            </w:r>
            <w:r>
              <w:rPr>
                <w:sz w:val="20"/>
                <w:szCs w:val="20"/>
              </w:rPr>
              <w:t xml:space="preserve"> </w:t>
            </w:r>
            <w:r w:rsidRPr="005B10BB">
              <w:rPr>
                <w:sz w:val="20"/>
                <w:szCs w:val="20"/>
              </w:rPr>
              <w:t>w art. 94 wprowadza się następujące zmiany:</w:t>
            </w:r>
          </w:p>
          <w:p w:rsidR="005B10BB" w:rsidRPr="005B10BB" w:rsidRDefault="005B10BB" w:rsidP="00ED54D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5B10BB">
              <w:rPr>
                <w:sz w:val="20"/>
                <w:szCs w:val="20"/>
              </w:rPr>
              <w:t>w ust. 1 wprowadza się następujące zmiany:</w:t>
            </w:r>
          </w:p>
          <w:p w:rsidR="005B10BB" w:rsidRPr="005B10BB" w:rsidRDefault="005B10BB" w:rsidP="00ED54DA">
            <w:pPr>
              <w:spacing w:before="120" w:after="120"/>
              <w:ind w:left="709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(i)</w:t>
            </w:r>
            <w:r>
              <w:rPr>
                <w:sz w:val="20"/>
                <w:szCs w:val="20"/>
              </w:rPr>
              <w:t xml:space="preserve"> </w:t>
            </w:r>
            <w:r w:rsidRPr="005B10BB">
              <w:rPr>
                <w:sz w:val="20"/>
                <w:szCs w:val="20"/>
              </w:rPr>
              <w:t>w lit. l) ppkt (i) otrzymuje brzmienie:</w:t>
            </w:r>
          </w:p>
          <w:p w:rsidR="005B10BB" w:rsidRPr="005B10BB" w:rsidRDefault="005B10BB" w:rsidP="00ED54DA">
            <w:pPr>
              <w:spacing w:before="120" w:after="120"/>
              <w:ind w:left="709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„(i)</w:t>
            </w:r>
            <w:r>
              <w:rPr>
                <w:sz w:val="20"/>
                <w:szCs w:val="20"/>
              </w:rPr>
              <w:t xml:space="preserve"> </w:t>
            </w:r>
            <w:r w:rsidRPr="005B10BB">
              <w:rPr>
                <w:sz w:val="20"/>
                <w:szCs w:val="20"/>
              </w:rPr>
              <w:t>akcje lub, w zależności od struktury prawnej danej instytucji, równoważne tytuły własności; lub instrumenty związane z akcjami lub, w zależności od struktury prawnej danej instytucji, równoważne instrumenty niepieniężne;”;</w:t>
            </w:r>
          </w:p>
          <w:p w:rsidR="005B10BB" w:rsidRPr="005B10BB" w:rsidRDefault="005B10BB" w:rsidP="00ED54DA">
            <w:pPr>
              <w:spacing w:before="120" w:after="120"/>
              <w:ind w:left="709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(ii)</w:t>
            </w:r>
            <w:r>
              <w:rPr>
                <w:sz w:val="20"/>
                <w:szCs w:val="20"/>
              </w:rPr>
              <w:t xml:space="preserve"> </w:t>
            </w:r>
            <w:r w:rsidRPr="005B10BB">
              <w:rPr>
                <w:sz w:val="20"/>
                <w:szCs w:val="20"/>
              </w:rPr>
              <w:t>lit. m) otrzymuje brzmienie:</w:t>
            </w:r>
          </w:p>
          <w:p w:rsidR="005B10BB" w:rsidRPr="005B10BB" w:rsidRDefault="005B10BB" w:rsidP="00ED54DA">
            <w:pPr>
              <w:spacing w:before="120" w:after="120"/>
              <w:ind w:left="709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„m)</w:t>
            </w:r>
            <w:r>
              <w:rPr>
                <w:sz w:val="20"/>
                <w:szCs w:val="20"/>
              </w:rPr>
              <w:t xml:space="preserve"> </w:t>
            </w:r>
            <w:r w:rsidRPr="005B10BB">
              <w:rPr>
                <w:sz w:val="20"/>
                <w:szCs w:val="20"/>
              </w:rPr>
              <w:t xml:space="preserve">znaczna część, a w każdym razie co najmniej 40 %, zmiennego składnika wynagrodzenia, jest odroczona na okres nie krótszy niż od czterech do pięciu lat i jest właściwie dostosowywana do charakteru działalności, związanego z nią ryzyka i działań danego pracownika. W przypadku członków organu zarządzającego i kadry kierowniczej wyższego szczebla instytucji, które są istotne ze </w:t>
            </w:r>
            <w:r w:rsidRPr="005B10BB">
              <w:rPr>
                <w:sz w:val="20"/>
                <w:szCs w:val="20"/>
              </w:rPr>
              <w:lastRenderedPageBreak/>
              <w:t>względu na swoją wielkość, strukturę organizacyjną, a także charakter, zakres i złożoność prowadzonej przez siebie działalności, okres odroczenia nie powinien być krótszy niż pięć lat.</w:t>
            </w:r>
          </w:p>
          <w:p w:rsidR="005B10BB" w:rsidRPr="002F3DAC" w:rsidRDefault="005B10BB" w:rsidP="00ED54D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B10BB">
              <w:rPr>
                <w:sz w:val="20"/>
                <w:szCs w:val="20"/>
              </w:rPr>
              <w:t>Wynagrodzenie płatne w ramach uzgodnień o odroczeniu wypłaty przysługuje nie wcześniej niż to wynika z zasady proporcjonalności. W przypadku szczególnie wysokiego zmiennego składnika wynagrodzenia odroczeniu wypłaty podlega co najmniej 60 % jego kwoty. Długość okresu odroczenia ustala się zgodnie z cyklem koniunkturalnym, charakterem działalności, związanym z nią ryzykiem oraz działaniami danego pracownika;”;</w:t>
            </w:r>
          </w:p>
        </w:tc>
        <w:tc>
          <w:tcPr>
            <w:tcW w:w="886" w:type="dxa"/>
          </w:tcPr>
          <w:p w:rsidR="005B10BB" w:rsidRDefault="005B10BB" w:rsidP="00ED54D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</w:p>
        </w:tc>
        <w:tc>
          <w:tcPr>
            <w:tcW w:w="1109" w:type="dxa"/>
          </w:tcPr>
          <w:p w:rsidR="00F312BF" w:rsidRDefault="00E008AA" w:rsidP="00CC352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E008AA">
              <w:rPr>
                <w:bCs/>
                <w:sz w:val="20"/>
                <w:szCs w:val="20"/>
              </w:rPr>
              <w:t>§</w:t>
            </w:r>
            <w:r w:rsidR="008505E1">
              <w:rPr>
                <w:bCs/>
                <w:sz w:val="20"/>
                <w:szCs w:val="20"/>
              </w:rPr>
              <w:t xml:space="preserve"> 25 ust. 2 pkt 7</w:t>
            </w:r>
            <w:r w:rsidR="00CC352C">
              <w:rPr>
                <w:bCs/>
                <w:sz w:val="20"/>
                <w:szCs w:val="20"/>
              </w:rPr>
              <w:t xml:space="preserve"> lit. a)</w:t>
            </w:r>
          </w:p>
          <w:p w:rsidR="005B10BB" w:rsidRPr="002F3DAC" w:rsidRDefault="00E008AA" w:rsidP="00186586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312BF" w:rsidRPr="00F312BF">
              <w:rPr>
                <w:bCs/>
                <w:sz w:val="20"/>
                <w:szCs w:val="20"/>
              </w:rPr>
              <w:t xml:space="preserve">§ 25 ust. 2 pkt </w:t>
            </w:r>
            <w:r w:rsidR="00F312B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42" w:type="dxa"/>
          </w:tcPr>
          <w:p w:rsidR="00E008AA" w:rsidRPr="00E008AA" w:rsidRDefault="00F312BF" w:rsidP="00E008AA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E008AA">
              <w:rPr>
                <w:bCs/>
                <w:sz w:val="20"/>
                <w:szCs w:val="20"/>
              </w:rPr>
              <w:t xml:space="preserve"> </w:t>
            </w:r>
            <w:r w:rsidR="00E008AA" w:rsidRPr="00E008AA">
              <w:rPr>
                <w:bCs/>
                <w:sz w:val="20"/>
                <w:szCs w:val="20"/>
              </w:rPr>
              <w:t>a)</w:t>
            </w:r>
            <w:r w:rsidR="00E008AA">
              <w:rPr>
                <w:bCs/>
                <w:sz w:val="20"/>
                <w:szCs w:val="20"/>
              </w:rPr>
              <w:t xml:space="preserve"> </w:t>
            </w:r>
            <w:r w:rsidR="00881018">
              <w:rPr>
                <w:bCs/>
                <w:sz w:val="20"/>
                <w:szCs w:val="20"/>
              </w:rPr>
              <w:t xml:space="preserve">  </w:t>
            </w:r>
            <w:r w:rsidR="00E008AA" w:rsidRPr="00E008AA">
              <w:rPr>
                <w:bCs/>
                <w:sz w:val="20"/>
                <w:szCs w:val="20"/>
              </w:rPr>
              <w:t>akcje lub związane z nimi instrumenty finansowe albo odpowiadając</w:t>
            </w:r>
            <w:r>
              <w:rPr>
                <w:bCs/>
                <w:sz w:val="20"/>
                <w:szCs w:val="20"/>
              </w:rPr>
              <w:t>e im instrumenty niepieniężne,</w:t>
            </w:r>
          </w:p>
          <w:p w:rsidR="00FB62C1" w:rsidRPr="00FB62C1" w:rsidRDefault="00FB62C1" w:rsidP="00FB62C1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8) </w:t>
            </w:r>
            <w:r w:rsidRPr="00FB62C1">
              <w:rPr>
                <w:bCs/>
                <w:sz w:val="20"/>
                <w:szCs w:val="20"/>
              </w:rPr>
              <w:t xml:space="preserve">co najmniej 40% zmiennych składników wynagrodzenia wypłaca się po zakończeniu okresu oceny, za jaki to wynagrodzenie przysługuje, przy czym wypłata następuje nie wcześniej niż w ciągu 4 do 5 lat, a w przypadku rady nadzorczej banku istotnego, z zastrzeżeniem § 25 ust. 1 pkt 2, oraz kadry kierowniczej wyższego szczebla banku istotnego, </w:t>
            </w:r>
            <w:r w:rsidR="00BC48CC">
              <w:rPr>
                <w:bCs/>
                <w:sz w:val="20"/>
                <w:szCs w:val="20"/>
              </w:rPr>
              <w:t xml:space="preserve">nie wcześniej niż w ciągu </w:t>
            </w:r>
            <w:r w:rsidRPr="00FB62C1">
              <w:rPr>
                <w:bCs/>
                <w:sz w:val="20"/>
                <w:szCs w:val="20"/>
              </w:rPr>
              <w:t>5 lat,  w równych rocznych ratach płatnych z dołu; wynagrodzenie to jest uzależnione od efektów pracy danej osoby, w okresie oceny, o którym  mowa w pkt 2,  za  jaki  przysługuje  wynagrodzenie,  oraz  uwzględnia  ryzyko  banku;  w</w:t>
            </w:r>
            <w:r w:rsidR="00C5245B">
              <w:rPr>
                <w:bCs/>
                <w:sz w:val="20"/>
                <w:szCs w:val="20"/>
              </w:rPr>
              <w:t> </w:t>
            </w:r>
            <w:r w:rsidRPr="00FB62C1">
              <w:rPr>
                <w:bCs/>
                <w:sz w:val="20"/>
                <w:szCs w:val="20"/>
              </w:rPr>
              <w:t xml:space="preserve">przypadku zmiennych składników wynagrodzenia opiewających na szczególnie dużą kwotę, określoną w polityce wynagrodzeń, wypłacie w takich terminach podlega nie mniej niż 60% zmiennych składników wynagrodzenia; okres odroczenia wypłaty ustala  się  zgodnie  z cyklem  koniunkturalnym,  charakterem  </w:t>
            </w:r>
            <w:r w:rsidRPr="00FB62C1">
              <w:rPr>
                <w:bCs/>
                <w:sz w:val="20"/>
                <w:szCs w:val="20"/>
              </w:rPr>
              <w:lastRenderedPageBreak/>
              <w:t>działalności,  ryzykiem z nią związanym oraz obowiązkami danej osoby; bank przewiduje w</w:t>
            </w:r>
            <w:r w:rsidR="00C5245B">
              <w:rPr>
                <w:bCs/>
                <w:sz w:val="20"/>
                <w:szCs w:val="20"/>
              </w:rPr>
              <w:t> </w:t>
            </w:r>
            <w:r w:rsidRPr="00FB62C1">
              <w:rPr>
                <w:bCs/>
                <w:sz w:val="20"/>
                <w:szCs w:val="20"/>
              </w:rPr>
              <w:t>polityce wynagrodzeń, regulaminie pracy, regulaminie wynagradzania, umowie o pracę lub innej umowie stanowiącej podstawę sprawowania funkcji przez tę osobę, że wypłata zmiennych składników wynagrodzenia tej osobie może być ograniczana lub wstrzymywana w sytuacji, o której mowa w art. 142 ust. 1 ustawy – Prawo bankowe;</w:t>
            </w:r>
          </w:p>
          <w:p w:rsidR="005B10BB" w:rsidRPr="002F3DAC" w:rsidRDefault="005B10BB" w:rsidP="00FB62C1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5B10BB" w:rsidRPr="00ED0802" w:rsidRDefault="005B10BB" w:rsidP="00ED54D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327E0" w:rsidRPr="00ED0802" w:rsidTr="00CC352C">
        <w:trPr>
          <w:trHeight w:val="1401"/>
        </w:trPr>
        <w:tc>
          <w:tcPr>
            <w:tcW w:w="790" w:type="dxa"/>
          </w:tcPr>
          <w:p w:rsidR="00E327E0" w:rsidRDefault="00E327E0" w:rsidP="00E327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2</w:t>
            </w:r>
          </w:p>
        </w:tc>
        <w:tc>
          <w:tcPr>
            <w:tcW w:w="4723" w:type="dxa"/>
          </w:tcPr>
          <w:p w:rsidR="00E327E0" w:rsidRPr="005342D1" w:rsidRDefault="00E327E0" w:rsidP="00E327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2D1">
              <w:rPr>
                <w:sz w:val="20"/>
                <w:szCs w:val="20"/>
              </w:rPr>
              <w:t>Artykuł 2</w:t>
            </w:r>
          </w:p>
          <w:p w:rsidR="00E327E0" w:rsidRPr="005342D1" w:rsidRDefault="00E327E0" w:rsidP="00E327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342D1">
              <w:rPr>
                <w:sz w:val="20"/>
                <w:szCs w:val="20"/>
              </w:rPr>
              <w:t>Transpozycja</w:t>
            </w:r>
          </w:p>
          <w:p w:rsidR="00E327E0" w:rsidRPr="005342D1" w:rsidRDefault="00E327E0" w:rsidP="00E327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342D1">
              <w:rPr>
                <w:sz w:val="20"/>
                <w:szCs w:val="20"/>
              </w:rPr>
              <w:t>1.   Państwa członkowskie przyjmują i publikują do dnia 28 grudnia 2020 r., środki niezbędne do wykonania niniejszej dyrektywy. Niezwłocznie informują one Komisję o tych środkach.</w:t>
            </w:r>
          </w:p>
          <w:p w:rsidR="00E327E0" w:rsidRPr="005342D1" w:rsidRDefault="00E327E0" w:rsidP="00E327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342D1">
              <w:rPr>
                <w:sz w:val="20"/>
                <w:szCs w:val="20"/>
              </w:rPr>
              <w:t>Państwa członkowskie stosują te środki od dnia 29 grudnia 2020 r. Jednakże przepisy niezbędne do zapewnienia zgodności ze zmianami określonymi w art. 1 pkt 21) i 29) lit. a), b) i c) niniejszej dyrektywy odnoszącymi się do art. 84 i art. 98 ust. 5 i 5a dyrektywy 2013/36/UE stosuje się od dnia 28 czerwca 2021 r., a przepisy niezbędne do zapewnienia zgodności ze zmianami określonymi w art. 1 pkt 52) i 53) niniejszej dyrektywy odnoszącymi się do art. 141b, 141c i art. 142 ust. 1 dyrektywy 2013/36/UE mają zastosowanie od dnia 1 stycznia 2022 r.</w:t>
            </w:r>
          </w:p>
          <w:p w:rsidR="00E327E0" w:rsidRPr="005342D1" w:rsidRDefault="00E327E0" w:rsidP="00E327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342D1">
              <w:rPr>
                <w:sz w:val="20"/>
                <w:szCs w:val="20"/>
              </w:rPr>
              <w:t>Środki przyjęte przez państwa członkowskie zawierają odniesienie do niniejszej dyrektywy lub odniesienie takie towarzyszy ich urzędowej publikacji. Sposób dokonywania takiego odniesienia określany jest przez państwa członkowskie.</w:t>
            </w:r>
          </w:p>
          <w:p w:rsidR="00E327E0" w:rsidRPr="00AB38CC" w:rsidRDefault="00E327E0" w:rsidP="00E327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342D1">
              <w:rPr>
                <w:sz w:val="20"/>
                <w:szCs w:val="20"/>
              </w:rPr>
              <w:t>2.   Państwa członkowskie przekazują Komisji teksty najważniejszych przepisów prawa krajowego w dziedzinie objętej niniejszą dyrektywą.</w:t>
            </w:r>
          </w:p>
        </w:tc>
        <w:tc>
          <w:tcPr>
            <w:tcW w:w="886" w:type="dxa"/>
          </w:tcPr>
          <w:p w:rsidR="00E327E0" w:rsidRDefault="00AD4B40" w:rsidP="00E327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109" w:type="dxa"/>
          </w:tcPr>
          <w:p w:rsidR="00E327E0" w:rsidRPr="00E008AA" w:rsidRDefault="00AD4B40" w:rsidP="00E327E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AD4B40">
              <w:rPr>
                <w:bCs/>
                <w:sz w:val="20"/>
                <w:szCs w:val="20"/>
              </w:rPr>
              <w:t xml:space="preserve">§ </w:t>
            </w:r>
            <w:r w:rsidR="00F312BF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442" w:type="dxa"/>
          </w:tcPr>
          <w:p w:rsidR="00E327E0" w:rsidRPr="00E008AA" w:rsidRDefault="00916D70" w:rsidP="00404DE9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§ 48</w:t>
            </w:r>
            <w:r w:rsidR="00AD4B40" w:rsidRPr="00AD4B40">
              <w:rPr>
                <w:bCs/>
                <w:sz w:val="20"/>
                <w:szCs w:val="20"/>
              </w:rPr>
              <w:t>. Rozporządzenie wchodzi w życie z dniem</w:t>
            </w:r>
            <w:r w:rsidR="00404DE9">
              <w:rPr>
                <w:bCs/>
                <w:sz w:val="20"/>
                <w:szCs w:val="20"/>
              </w:rPr>
              <w:t xml:space="preserve"> następującym po dnu ogłoszenia</w:t>
            </w:r>
            <w:r w:rsidR="00AD4B40" w:rsidRPr="00AD4B40">
              <w:rPr>
                <w:bCs/>
                <w:sz w:val="20"/>
                <w:szCs w:val="20"/>
              </w:rPr>
              <w:t>., z wyjątkiem § 1</w:t>
            </w:r>
            <w:r w:rsidR="00AD4235">
              <w:rPr>
                <w:bCs/>
                <w:sz w:val="20"/>
                <w:szCs w:val="20"/>
              </w:rPr>
              <w:t>8 pkt 6</w:t>
            </w:r>
            <w:r w:rsidR="00AD4B40" w:rsidRPr="00AD4B40">
              <w:rPr>
                <w:bCs/>
                <w:sz w:val="20"/>
                <w:szCs w:val="20"/>
              </w:rPr>
              <w:t>, który wchodzi w</w:t>
            </w:r>
            <w:r w:rsidR="005C1D49">
              <w:rPr>
                <w:bCs/>
                <w:sz w:val="20"/>
                <w:szCs w:val="20"/>
              </w:rPr>
              <w:t> </w:t>
            </w:r>
            <w:r w:rsidR="00AD4B40" w:rsidRPr="00AD4B40">
              <w:rPr>
                <w:bCs/>
                <w:sz w:val="20"/>
                <w:szCs w:val="20"/>
              </w:rPr>
              <w:t>życie z dniem 28 czerwca 2021 r.</w:t>
            </w:r>
          </w:p>
        </w:tc>
        <w:tc>
          <w:tcPr>
            <w:tcW w:w="2760" w:type="dxa"/>
          </w:tcPr>
          <w:p w:rsidR="00E327E0" w:rsidRPr="00ED0802" w:rsidRDefault="00E327E0" w:rsidP="00E327E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54203" w:rsidRPr="00101DD7" w:rsidRDefault="00ED54DA" w:rsidP="00C5420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br w:type="textWrapping" w:clear="all"/>
      </w:r>
      <w:r w:rsidR="00C54203" w:rsidRPr="00101DD7">
        <w:rPr>
          <w:sz w:val="20"/>
          <w:szCs w:val="20"/>
          <w:vertAlign w:val="superscript"/>
        </w:rPr>
        <w:t xml:space="preserve">1)  </w:t>
      </w:r>
      <w:r w:rsidR="00C54203" w:rsidRPr="00101DD7">
        <w:rPr>
          <w:sz w:val="20"/>
          <w:szCs w:val="20"/>
        </w:rPr>
        <w:t xml:space="preserve">w wypadku projektu usuwającego naruszenie Komisji należy wpisać nr naruszenia, zaś w wypadku wykonywania orzeczeń Trybunału Sprawiedliwości (czy to w trybie prejudycjalnym czy skargowym) należy podać datę wyroku i sygnaturę sprawy </w:t>
      </w:r>
    </w:p>
    <w:p w:rsidR="00C54203" w:rsidRPr="00101DD7" w:rsidRDefault="00C54203" w:rsidP="00C54203">
      <w:pPr>
        <w:jc w:val="both"/>
        <w:rPr>
          <w:sz w:val="20"/>
          <w:szCs w:val="20"/>
        </w:rPr>
      </w:pPr>
      <w:r w:rsidRPr="00101DD7">
        <w:rPr>
          <w:sz w:val="20"/>
          <w:szCs w:val="20"/>
          <w:vertAlign w:val="superscript"/>
        </w:rPr>
        <w:t xml:space="preserve">2) </w:t>
      </w:r>
      <w:r w:rsidRPr="00101DD7">
        <w:rPr>
          <w:sz w:val="20"/>
          <w:szCs w:val="20"/>
        </w:rPr>
        <w:t>tabelę zbieżności dla przepisów Unii Europejskiej można wygenerować przy pomocy systemu e-step (</w:t>
      </w:r>
      <w:hyperlink r:id="rId8" w:history="1">
        <w:r w:rsidRPr="00101DD7">
          <w:rPr>
            <w:rStyle w:val="Hipercze"/>
            <w:sz w:val="20"/>
            <w:szCs w:val="20"/>
          </w:rPr>
          <w:t>www.e-step.pl/urzednik</w:t>
        </w:r>
      </w:hyperlink>
      <w:r w:rsidRPr="00101DD7">
        <w:rPr>
          <w:sz w:val="20"/>
          <w:szCs w:val="20"/>
        </w:rPr>
        <w:t>). W wypadku konieczności dodania uzasadnienia dla przekroczenia minimum europejskiego należy dodać odpowiednią kolumnę</w:t>
      </w:r>
    </w:p>
    <w:p w:rsidR="00C54203" w:rsidRPr="00101DD7" w:rsidRDefault="00C54203" w:rsidP="00C54203">
      <w:pPr>
        <w:jc w:val="both"/>
        <w:rPr>
          <w:sz w:val="20"/>
          <w:szCs w:val="20"/>
        </w:rPr>
      </w:pPr>
      <w:r w:rsidRPr="00101DD7">
        <w:rPr>
          <w:sz w:val="20"/>
          <w:szCs w:val="20"/>
          <w:vertAlign w:val="superscript"/>
        </w:rPr>
        <w:t xml:space="preserve">3) </w:t>
      </w:r>
      <w:r w:rsidRPr="00101DD7">
        <w:rPr>
          <w:sz w:val="20"/>
          <w:szCs w:val="20"/>
        </w:rPr>
        <w:t>w tej części należy wskazać przepisy dyrektywy, decyzji ramowej, przepisy prawa UE, których naruszenie</w:t>
      </w:r>
      <w:r w:rsidRPr="00101DD7">
        <w:rPr>
          <w:sz w:val="20"/>
          <w:szCs w:val="20"/>
          <w:vertAlign w:val="superscript"/>
        </w:rPr>
        <w:t xml:space="preserve"> </w:t>
      </w:r>
      <w:r w:rsidRPr="00101DD7">
        <w:rPr>
          <w:sz w:val="20"/>
          <w:szCs w:val="20"/>
        </w:rPr>
        <w:t>wskazała Komisja lub których wykładni dokonał Trybunał Sprawiedliwości</w:t>
      </w:r>
    </w:p>
    <w:p w:rsidR="00C54203" w:rsidRPr="00101DD7" w:rsidRDefault="00C54203" w:rsidP="00C54203">
      <w:pPr>
        <w:jc w:val="both"/>
        <w:rPr>
          <w:sz w:val="20"/>
          <w:szCs w:val="20"/>
        </w:rPr>
      </w:pPr>
      <w:r w:rsidRPr="00101DD7">
        <w:rPr>
          <w:sz w:val="20"/>
          <w:szCs w:val="20"/>
          <w:vertAlign w:val="superscript"/>
        </w:rPr>
        <w:t xml:space="preserve">4) </w:t>
      </w:r>
      <w:r w:rsidRPr="00101DD7">
        <w:rPr>
          <w:sz w:val="20"/>
          <w:szCs w:val="20"/>
        </w:rPr>
        <w:t>w tej części należy wskazać wszystkie przepisy projektu aktu prawnego, które nie zostały wymienione w pierwszej części tabeli. Ze względu na konieczność ograniczenia projektów implementujących prawo UE do przepisów wyłącznie i ściśle dostosowawczych przepisy wykraczające poza ten zakres powinny mieć charakter wyjątkowy i być opatrzone uzasadnieniem konieczności ic</w:t>
      </w:r>
      <w:r w:rsidR="00702A3F">
        <w:rPr>
          <w:sz w:val="20"/>
          <w:szCs w:val="20"/>
        </w:rPr>
        <w:t>h wprowadzenia</w:t>
      </w:r>
      <w:r w:rsidRPr="00101DD7">
        <w:rPr>
          <w:sz w:val="20"/>
          <w:szCs w:val="20"/>
        </w:rPr>
        <w:t>.</w:t>
      </w:r>
    </w:p>
    <w:p w:rsidR="00C54203" w:rsidRPr="00101DD7" w:rsidRDefault="00C54203" w:rsidP="00C54203">
      <w:pPr>
        <w:jc w:val="both"/>
        <w:rPr>
          <w:sz w:val="20"/>
          <w:szCs w:val="20"/>
        </w:rPr>
      </w:pPr>
      <w:r w:rsidRPr="00101DD7">
        <w:rPr>
          <w:sz w:val="20"/>
          <w:szCs w:val="20"/>
        </w:rPr>
        <w:t xml:space="preserve"> (*) jeżeli do wdrożenia danego przepisu UE potrzebne jest oprócz przepisu przenoszącego treść, także wprowadzenie przepisów zapewniających stosowanie (np. przepisy proceduralne, przepisy karne itp.), w tabeli powinny znaleźć się wszystkie te przepisy wraz z oznaczeniem ich jednostek redakcyjnych</w:t>
      </w:r>
    </w:p>
    <w:p w:rsidR="00903DBA" w:rsidRPr="00702A3F" w:rsidRDefault="00C54203" w:rsidP="00702A3F">
      <w:pPr>
        <w:jc w:val="both"/>
        <w:rPr>
          <w:sz w:val="20"/>
          <w:szCs w:val="20"/>
        </w:rPr>
      </w:pPr>
      <w:r w:rsidRPr="00101DD7">
        <w:rPr>
          <w:sz w:val="20"/>
          <w:szCs w:val="20"/>
        </w:rPr>
        <w:t xml:space="preserve">(**) w wypadku wprowadzenia przepisów, które przekraczają minimum ustanowione przepisami UE (o ile jest to dopuszczalne) konieczne jest uzasadnienie zastosowania takiej normy </w:t>
      </w:r>
    </w:p>
    <w:sectPr w:rsidR="00903DBA" w:rsidRPr="00702A3F" w:rsidSect="00F928BD">
      <w:footerReference w:type="even" r:id="rId9"/>
      <w:footerReference w:type="default" r:id="rId10"/>
      <w:pgSz w:w="16838" w:h="11906" w:orient="landscape" w:code="9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24" w:rsidRDefault="000C0624">
      <w:r>
        <w:separator/>
      </w:r>
    </w:p>
  </w:endnote>
  <w:endnote w:type="continuationSeparator" w:id="0">
    <w:p w:rsidR="000C0624" w:rsidRDefault="000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F2" w:rsidRDefault="00F67BF2" w:rsidP="00771B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BF2" w:rsidRDefault="00F67BF2" w:rsidP="009C0D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F2" w:rsidRDefault="00F67BF2" w:rsidP="00771B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4B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BF2" w:rsidRDefault="00F67BF2" w:rsidP="009C0D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24" w:rsidRDefault="000C0624">
      <w:r>
        <w:separator/>
      </w:r>
    </w:p>
  </w:footnote>
  <w:footnote w:type="continuationSeparator" w:id="0">
    <w:p w:rsidR="000C0624" w:rsidRDefault="000C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4386FB"/>
    <w:multiLevelType w:val="hybridMultilevel"/>
    <w:tmpl w:val="4CEF8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1C24B5"/>
    <w:multiLevelType w:val="hybridMultilevel"/>
    <w:tmpl w:val="BAB46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EB89ED"/>
    <w:multiLevelType w:val="hybridMultilevel"/>
    <w:tmpl w:val="E4F71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8804A8"/>
    <w:multiLevelType w:val="hybridMultilevel"/>
    <w:tmpl w:val="A9E65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DAAA"/>
    <w:multiLevelType w:val="hybridMultilevel"/>
    <w:tmpl w:val="AE74D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281005"/>
    <w:multiLevelType w:val="hybridMultilevel"/>
    <w:tmpl w:val="46D4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6C9"/>
    <w:multiLevelType w:val="hybridMultilevel"/>
    <w:tmpl w:val="98346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149AB"/>
    <w:multiLevelType w:val="hybridMultilevel"/>
    <w:tmpl w:val="D9AC40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20A12"/>
    <w:multiLevelType w:val="hybridMultilevel"/>
    <w:tmpl w:val="12AA4772"/>
    <w:lvl w:ilvl="0" w:tplc="79FE6D3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65680"/>
    <w:multiLevelType w:val="hybridMultilevel"/>
    <w:tmpl w:val="514EA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7676A"/>
    <w:multiLevelType w:val="hybridMultilevel"/>
    <w:tmpl w:val="226849E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C2015B"/>
    <w:multiLevelType w:val="hybridMultilevel"/>
    <w:tmpl w:val="0C44D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1F55"/>
    <w:multiLevelType w:val="hybridMultilevel"/>
    <w:tmpl w:val="C1126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CA7B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5678"/>
    <w:multiLevelType w:val="hybridMultilevel"/>
    <w:tmpl w:val="866AEF72"/>
    <w:lvl w:ilvl="0" w:tplc="1E18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35A4C"/>
    <w:multiLevelType w:val="hybridMultilevel"/>
    <w:tmpl w:val="29DC4F52"/>
    <w:lvl w:ilvl="0" w:tplc="1E18D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1205E"/>
    <w:multiLevelType w:val="hybridMultilevel"/>
    <w:tmpl w:val="C2301CD6"/>
    <w:lvl w:ilvl="0" w:tplc="1E18D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A1A19"/>
    <w:multiLevelType w:val="hybridMultilevel"/>
    <w:tmpl w:val="C1CC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E91"/>
    <w:multiLevelType w:val="hybridMultilevel"/>
    <w:tmpl w:val="F89AC972"/>
    <w:lvl w:ilvl="0" w:tplc="79FE6D3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144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5B18A0"/>
    <w:multiLevelType w:val="hybridMultilevel"/>
    <w:tmpl w:val="DCECD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A0716"/>
    <w:multiLevelType w:val="hybridMultilevel"/>
    <w:tmpl w:val="45566CCC"/>
    <w:lvl w:ilvl="0" w:tplc="1E18D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A0885"/>
    <w:multiLevelType w:val="hybridMultilevel"/>
    <w:tmpl w:val="1B50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0E3F"/>
    <w:multiLevelType w:val="hybridMultilevel"/>
    <w:tmpl w:val="0182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E2E20"/>
    <w:multiLevelType w:val="hybridMultilevel"/>
    <w:tmpl w:val="8ED29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F5328"/>
    <w:multiLevelType w:val="hybridMultilevel"/>
    <w:tmpl w:val="AB1A7B68"/>
    <w:lvl w:ilvl="0" w:tplc="1E18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01D4A"/>
    <w:multiLevelType w:val="hybridMultilevel"/>
    <w:tmpl w:val="C8248404"/>
    <w:lvl w:ilvl="0" w:tplc="579C851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BB6AC8"/>
    <w:multiLevelType w:val="hybridMultilevel"/>
    <w:tmpl w:val="5A0AB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F33826"/>
    <w:multiLevelType w:val="hybridMultilevel"/>
    <w:tmpl w:val="8578ED70"/>
    <w:lvl w:ilvl="0" w:tplc="1E18D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B78E0"/>
    <w:multiLevelType w:val="hybridMultilevel"/>
    <w:tmpl w:val="1C9A83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A7797"/>
    <w:multiLevelType w:val="multilevel"/>
    <w:tmpl w:val="C824840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363CD5"/>
    <w:multiLevelType w:val="multilevel"/>
    <w:tmpl w:val="D9AC40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22AA5"/>
    <w:multiLevelType w:val="hybridMultilevel"/>
    <w:tmpl w:val="D3FE4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"/>
  </w:num>
  <w:num w:numId="5">
    <w:abstractNumId w:val="4"/>
  </w:num>
  <w:num w:numId="6">
    <w:abstractNumId w:val="24"/>
  </w:num>
  <w:num w:numId="7">
    <w:abstractNumId w:val="28"/>
  </w:num>
  <w:num w:numId="8">
    <w:abstractNumId w:val="10"/>
  </w:num>
  <w:num w:numId="9">
    <w:abstractNumId w:val="25"/>
  </w:num>
  <w:num w:numId="10">
    <w:abstractNumId w:val="17"/>
  </w:num>
  <w:num w:numId="11">
    <w:abstractNumId w:val="7"/>
  </w:num>
  <w:num w:numId="12">
    <w:abstractNumId w:val="8"/>
  </w:num>
  <w:num w:numId="13">
    <w:abstractNumId w:val="29"/>
  </w:num>
  <w:num w:numId="14">
    <w:abstractNumId w:val="13"/>
  </w:num>
  <w:num w:numId="15">
    <w:abstractNumId w:val="19"/>
  </w:num>
  <w:num w:numId="16">
    <w:abstractNumId w:val="23"/>
  </w:num>
  <w:num w:numId="17">
    <w:abstractNumId w:val="5"/>
  </w:num>
  <w:num w:numId="18">
    <w:abstractNumId w:val="21"/>
  </w:num>
  <w:num w:numId="19">
    <w:abstractNumId w:val="14"/>
  </w:num>
  <w:num w:numId="20">
    <w:abstractNumId w:val="16"/>
  </w:num>
  <w:num w:numId="21">
    <w:abstractNumId w:val="15"/>
  </w:num>
  <w:num w:numId="22">
    <w:abstractNumId w:val="26"/>
  </w:num>
  <w:num w:numId="23">
    <w:abstractNumId w:val="11"/>
  </w:num>
  <w:num w:numId="24">
    <w:abstractNumId w:val="9"/>
  </w:num>
  <w:num w:numId="25">
    <w:abstractNumId w:val="18"/>
  </w:num>
  <w:num w:numId="26">
    <w:abstractNumId w:val="30"/>
  </w:num>
  <w:num w:numId="27">
    <w:abstractNumId w:val="12"/>
  </w:num>
  <w:num w:numId="28">
    <w:abstractNumId w:val="20"/>
  </w:num>
  <w:num w:numId="29">
    <w:abstractNumId w:val="27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3"/>
    <w:rsid w:val="00000F97"/>
    <w:rsid w:val="00001131"/>
    <w:rsid w:val="00001318"/>
    <w:rsid w:val="00003269"/>
    <w:rsid w:val="000034FB"/>
    <w:rsid w:val="00005DF8"/>
    <w:rsid w:val="00007625"/>
    <w:rsid w:val="00010557"/>
    <w:rsid w:val="00011674"/>
    <w:rsid w:val="0001481D"/>
    <w:rsid w:val="0001578F"/>
    <w:rsid w:val="00015C1D"/>
    <w:rsid w:val="000161B1"/>
    <w:rsid w:val="000171E1"/>
    <w:rsid w:val="00017568"/>
    <w:rsid w:val="00021E65"/>
    <w:rsid w:val="000222CA"/>
    <w:rsid w:val="00023615"/>
    <w:rsid w:val="00023C78"/>
    <w:rsid w:val="00025A70"/>
    <w:rsid w:val="000268C6"/>
    <w:rsid w:val="000271B0"/>
    <w:rsid w:val="00027576"/>
    <w:rsid w:val="00030EA1"/>
    <w:rsid w:val="000314A6"/>
    <w:rsid w:val="00031D70"/>
    <w:rsid w:val="00032E51"/>
    <w:rsid w:val="00034337"/>
    <w:rsid w:val="00034799"/>
    <w:rsid w:val="00034E8C"/>
    <w:rsid w:val="000355D2"/>
    <w:rsid w:val="00040489"/>
    <w:rsid w:val="0004130F"/>
    <w:rsid w:val="00041D2F"/>
    <w:rsid w:val="00042E68"/>
    <w:rsid w:val="0004359F"/>
    <w:rsid w:val="00044697"/>
    <w:rsid w:val="000461C8"/>
    <w:rsid w:val="0005008E"/>
    <w:rsid w:val="00050317"/>
    <w:rsid w:val="000505DD"/>
    <w:rsid w:val="00050890"/>
    <w:rsid w:val="000534B9"/>
    <w:rsid w:val="00055325"/>
    <w:rsid w:val="000553A9"/>
    <w:rsid w:val="00055584"/>
    <w:rsid w:val="000568B3"/>
    <w:rsid w:val="0005697F"/>
    <w:rsid w:val="000610B8"/>
    <w:rsid w:val="00062268"/>
    <w:rsid w:val="000630FC"/>
    <w:rsid w:val="000636AE"/>
    <w:rsid w:val="00064E1F"/>
    <w:rsid w:val="000657D8"/>
    <w:rsid w:val="00065E51"/>
    <w:rsid w:val="00065EF8"/>
    <w:rsid w:val="00067306"/>
    <w:rsid w:val="00067D0D"/>
    <w:rsid w:val="00070051"/>
    <w:rsid w:val="000716D7"/>
    <w:rsid w:val="00071850"/>
    <w:rsid w:val="00071DD4"/>
    <w:rsid w:val="000720EC"/>
    <w:rsid w:val="000721BA"/>
    <w:rsid w:val="000734A5"/>
    <w:rsid w:val="0007486B"/>
    <w:rsid w:val="00074A45"/>
    <w:rsid w:val="00076266"/>
    <w:rsid w:val="0008021A"/>
    <w:rsid w:val="000813FF"/>
    <w:rsid w:val="00081605"/>
    <w:rsid w:val="00083735"/>
    <w:rsid w:val="00084B67"/>
    <w:rsid w:val="00085606"/>
    <w:rsid w:val="00086581"/>
    <w:rsid w:val="00091BAC"/>
    <w:rsid w:val="00092E95"/>
    <w:rsid w:val="00093767"/>
    <w:rsid w:val="0009522A"/>
    <w:rsid w:val="00095434"/>
    <w:rsid w:val="00096B1A"/>
    <w:rsid w:val="00097CF6"/>
    <w:rsid w:val="000A077D"/>
    <w:rsid w:val="000A17C7"/>
    <w:rsid w:val="000A1839"/>
    <w:rsid w:val="000A18ED"/>
    <w:rsid w:val="000A3C6D"/>
    <w:rsid w:val="000A4D26"/>
    <w:rsid w:val="000A4D79"/>
    <w:rsid w:val="000A6A7A"/>
    <w:rsid w:val="000A70CC"/>
    <w:rsid w:val="000A7CF6"/>
    <w:rsid w:val="000B0B89"/>
    <w:rsid w:val="000B2540"/>
    <w:rsid w:val="000B2A86"/>
    <w:rsid w:val="000B2F9A"/>
    <w:rsid w:val="000B4264"/>
    <w:rsid w:val="000B5067"/>
    <w:rsid w:val="000B6731"/>
    <w:rsid w:val="000B75C4"/>
    <w:rsid w:val="000C0624"/>
    <w:rsid w:val="000C2373"/>
    <w:rsid w:val="000C358B"/>
    <w:rsid w:val="000C36D4"/>
    <w:rsid w:val="000C3999"/>
    <w:rsid w:val="000C41E1"/>
    <w:rsid w:val="000C4D35"/>
    <w:rsid w:val="000C4DAB"/>
    <w:rsid w:val="000C5CF7"/>
    <w:rsid w:val="000D2123"/>
    <w:rsid w:val="000D2687"/>
    <w:rsid w:val="000D3325"/>
    <w:rsid w:val="000D3577"/>
    <w:rsid w:val="000D51F1"/>
    <w:rsid w:val="000D61CD"/>
    <w:rsid w:val="000D661A"/>
    <w:rsid w:val="000E14B4"/>
    <w:rsid w:val="000E16CF"/>
    <w:rsid w:val="000E2371"/>
    <w:rsid w:val="000E264C"/>
    <w:rsid w:val="000E352B"/>
    <w:rsid w:val="000E494D"/>
    <w:rsid w:val="000E59E2"/>
    <w:rsid w:val="000E6059"/>
    <w:rsid w:val="000E639C"/>
    <w:rsid w:val="000E6762"/>
    <w:rsid w:val="000F2C81"/>
    <w:rsid w:val="000F2DC9"/>
    <w:rsid w:val="000F54EA"/>
    <w:rsid w:val="000F5665"/>
    <w:rsid w:val="000F5DE4"/>
    <w:rsid w:val="000F61D8"/>
    <w:rsid w:val="000F6C0D"/>
    <w:rsid w:val="000F7194"/>
    <w:rsid w:val="0010035E"/>
    <w:rsid w:val="00101006"/>
    <w:rsid w:val="00101DD7"/>
    <w:rsid w:val="00101FCB"/>
    <w:rsid w:val="0010351C"/>
    <w:rsid w:val="001048EA"/>
    <w:rsid w:val="001054E8"/>
    <w:rsid w:val="001065E5"/>
    <w:rsid w:val="0011217C"/>
    <w:rsid w:val="00114CAE"/>
    <w:rsid w:val="00116B15"/>
    <w:rsid w:val="00116FF9"/>
    <w:rsid w:val="001172CF"/>
    <w:rsid w:val="00117609"/>
    <w:rsid w:val="0011766D"/>
    <w:rsid w:val="00117C02"/>
    <w:rsid w:val="00117E17"/>
    <w:rsid w:val="00120891"/>
    <w:rsid w:val="00121784"/>
    <w:rsid w:val="001236B9"/>
    <w:rsid w:val="0012430C"/>
    <w:rsid w:val="00124B71"/>
    <w:rsid w:val="00125785"/>
    <w:rsid w:val="0012639A"/>
    <w:rsid w:val="00126CBE"/>
    <w:rsid w:val="001273B2"/>
    <w:rsid w:val="00127A7D"/>
    <w:rsid w:val="00132736"/>
    <w:rsid w:val="00132AE5"/>
    <w:rsid w:val="0013373D"/>
    <w:rsid w:val="00133B09"/>
    <w:rsid w:val="001343FF"/>
    <w:rsid w:val="00134AA0"/>
    <w:rsid w:val="00134AFB"/>
    <w:rsid w:val="00135125"/>
    <w:rsid w:val="00136046"/>
    <w:rsid w:val="0013605C"/>
    <w:rsid w:val="00137225"/>
    <w:rsid w:val="001379DA"/>
    <w:rsid w:val="001408D4"/>
    <w:rsid w:val="0014227F"/>
    <w:rsid w:val="00144A02"/>
    <w:rsid w:val="00145CD4"/>
    <w:rsid w:val="0014623F"/>
    <w:rsid w:val="00147952"/>
    <w:rsid w:val="00147C69"/>
    <w:rsid w:val="00150D1C"/>
    <w:rsid w:val="00151732"/>
    <w:rsid w:val="00153237"/>
    <w:rsid w:val="00153B33"/>
    <w:rsid w:val="00154D9D"/>
    <w:rsid w:val="00155F20"/>
    <w:rsid w:val="0016087F"/>
    <w:rsid w:val="00160CA3"/>
    <w:rsid w:val="00164BDE"/>
    <w:rsid w:val="001652E8"/>
    <w:rsid w:val="0016696A"/>
    <w:rsid w:val="00167462"/>
    <w:rsid w:val="00167EFE"/>
    <w:rsid w:val="0017141A"/>
    <w:rsid w:val="00171E59"/>
    <w:rsid w:val="0017327C"/>
    <w:rsid w:val="001735FD"/>
    <w:rsid w:val="00173BC7"/>
    <w:rsid w:val="001747C7"/>
    <w:rsid w:val="00174C06"/>
    <w:rsid w:val="00175256"/>
    <w:rsid w:val="00175942"/>
    <w:rsid w:val="00176167"/>
    <w:rsid w:val="00177004"/>
    <w:rsid w:val="00180D30"/>
    <w:rsid w:val="001834E2"/>
    <w:rsid w:val="00185108"/>
    <w:rsid w:val="00185814"/>
    <w:rsid w:val="001859FB"/>
    <w:rsid w:val="00186586"/>
    <w:rsid w:val="001873E6"/>
    <w:rsid w:val="00190998"/>
    <w:rsid w:val="00190BAD"/>
    <w:rsid w:val="00190EA2"/>
    <w:rsid w:val="00191844"/>
    <w:rsid w:val="001927D4"/>
    <w:rsid w:val="001931B8"/>
    <w:rsid w:val="00193845"/>
    <w:rsid w:val="0019464F"/>
    <w:rsid w:val="0019504A"/>
    <w:rsid w:val="00195D60"/>
    <w:rsid w:val="00196148"/>
    <w:rsid w:val="00197BC6"/>
    <w:rsid w:val="00197DF4"/>
    <w:rsid w:val="001A016A"/>
    <w:rsid w:val="001A28B0"/>
    <w:rsid w:val="001A2D5D"/>
    <w:rsid w:val="001A39DA"/>
    <w:rsid w:val="001A4E90"/>
    <w:rsid w:val="001A57DC"/>
    <w:rsid w:val="001A7E46"/>
    <w:rsid w:val="001B12B6"/>
    <w:rsid w:val="001B155A"/>
    <w:rsid w:val="001B1AC1"/>
    <w:rsid w:val="001B20DA"/>
    <w:rsid w:val="001B22C0"/>
    <w:rsid w:val="001B333D"/>
    <w:rsid w:val="001B3639"/>
    <w:rsid w:val="001B3EF8"/>
    <w:rsid w:val="001B6329"/>
    <w:rsid w:val="001B665F"/>
    <w:rsid w:val="001B7B58"/>
    <w:rsid w:val="001B7C07"/>
    <w:rsid w:val="001C0D3A"/>
    <w:rsid w:val="001C1744"/>
    <w:rsid w:val="001C1C53"/>
    <w:rsid w:val="001C1E82"/>
    <w:rsid w:val="001C4AA8"/>
    <w:rsid w:val="001C666B"/>
    <w:rsid w:val="001C6D14"/>
    <w:rsid w:val="001D2598"/>
    <w:rsid w:val="001D63DF"/>
    <w:rsid w:val="001D6BA6"/>
    <w:rsid w:val="001D7389"/>
    <w:rsid w:val="001D75A1"/>
    <w:rsid w:val="001D7B93"/>
    <w:rsid w:val="001E1050"/>
    <w:rsid w:val="001E19D7"/>
    <w:rsid w:val="001E2CCF"/>
    <w:rsid w:val="001E5998"/>
    <w:rsid w:val="001E6810"/>
    <w:rsid w:val="001E6A2F"/>
    <w:rsid w:val="001E6C7F"/>
    <w:rsid w:val="001F0A4D"/>
    <w:rsid w:val="001F14F4"/>
    <w:rsid w:val="001F1B0F"/>
    <w:rsid w:val="001F28A1"/>
    <w:rsid w:val="001F3441"/>
    <w:rsid w:val="001F46AE"/>
    <w:rsid w:val="001F56B7"/>
    <w:rsid w:val="001F71B7"/>
    <w:rsid w:val="001F7B04"/>
    <w:rsid w:val="00200131"/>
    <w:rsid w:val="00201BAF"/>
    <w:rsid w:val="00201E69"/>
    <w:rsid w:val="002033B4"/>
    <w:rsid w:val="002051DE"/>
    <w:rsid w:val="0020561A"/>
    <w:rsid w:val="0020593D"/>
    <w:rsid w:val="00205A2F"/>
    <w:rsid w:val="00207E28"/>
    <w:rsid w:val="00210706"/>
    <w:rsid w:val="002115A6"/>
    <w:rsid w:val="00212B08"/>
    <w:rsid w:val="002131BF"/>
    <w:rsid w:val="00213F77"/>
    <w:rsid w:val="00217443"/>
    <w:rsid w:val="00222086"/>
    <w:rsid w:val="002222A7"/>
    <w:rsid w:val="0022278B"/>
    <w:rsid w:val="002233AE"/>
    <w:rsid w:val="00224B37"/>
    <w:rsid w:val="00224F2B"/>
    <w:rsid w:val="0022631D"/>
    <w:rsid w:val="00226900"/>
    <w:rsid w:val="00226978"/>
    <w:rsid w:val="00227DA1"/>
    <w:rsid w:val="00227E2F"/>
    <w:rsid w:val="00227E9F"/>
    <w:rsid w:val="002332AF"/>
    <w:rsid w:val="00233741"/>
    <w:rsid w:val="002337B8"/>
    <w:rsid w:val="00234A6D"/>
    <w:rsid w:val="00235ADD"/>
    <w:rsid w:val="00236975"/>
    <w:rsid w:val="0023734E"/>
    <w:rsid w:val="0024098F"/>
    <w:rsid w:val="00241A58"/>
    <w:rsid w:val="002457B8"/>
    <w:rsid w:val="0024595B"/>
    <w:rsid w:val="002461B0"/>
    <w:rsid w:val="0024650D"/>
    <w:rsid w:val="00251EC3"/>
    <w:rsid w:val="00253A48"/>
    <w:rsid w:val="00254086"/>
    <w:rsid w:val="00254103"/>
    <w:rsid w:val="00254AB0"/>
    <w:rsid w:val="00255AE2"/>
    <w:rsid w:val="00256849"/>
    <w:rsid w:val="00260261"/>
    <w:rsid w:val="00262983"/>
    <w:rsid w:val="00265B74"/>
    <w:rsid w:val="00267F1E"/>
    <w:rsid w:val="00270887"/>
    <w:rsid w:val="00270AE4"/>
    <w:rsid w:val="00270E4E"/>
    <w:rsid w:val="00271A74"/>
    <w:rsid w:val="0027206A"/>
    <w:rsid w:val="0027213C"/>
    <w:rsid w:val="002736A7"/>
    <w:rsid w:val="00274BFB"/>
    <w:rsid w:val="00274E38"/>
    <w:rsid w:val="00275825"/>
    <w:rsid w:val="00275E91"/>
    <w:rsid w:val="00275EA5"/>
    <w:rsid w:val="00276FEB"/>
    <w:rsid w:val="00282147"/>
    <w:rsid w:val="0028243A"/>
    <w:rsid w:val="002860AA"/>
    <w:rsid w:val="002906B9"/>
    <w:rsid w:val="00291789"/>
    <w:rsid w:val="002927A7"/>
    <w:rsid w:val="002935E4"/>
    <w:rsid w:val="00293824"/>
    <w:rsid w:val="00293949"/>
    <w:rsid w:val="00294CD0"/>
    <w:rsid w:val="0029510F"/>
    <w:rsid w:val="00297854"/>
    <w:rsid w:val="00297CD8"/>
    <w:rsid w:val="002A33D3"/>
    <w:rsid w:val="002A4D50"/>
    <w:rsid w:val="002A535E"/>
    <w:rsid w:val="002A53FD"/>
    <w:rsid w:val="002A6865"/>
    <w:rsid w:val="002A70E7"/>
    <w:rsid w:val="002A733A"/>
    <w:rsid w:val="002A744F"/>
    <w:rsid w:val="002A770C"/>
    <w:rsid w:val="002A7817"/>
    <w:rsid w:val="002B2E1F"/>
    <w:rsid w:val="002B438E"/>
    <w:rsid w:val="002B4B95"/>
    <w:rsid w:val="002B67CF"/>
    <w:rsid w:val="002B7AD5"/>
    <w:rsid w:val="002B7E8D"/>
    <w:rsid w:val="002C01C9"/>
    <w:rsid w:val="002C0C65"/>
    <w:rsid w:val="002C396E"/>
    <w:rsid w:val="002C529E"/>
    <w:rsid w:val="002D0BDC"/>
    <w:rsid w:val="002D157D"/>
    <w:rsid w:val="002D2437"/>
    <w:rsid w:val="002D3CE5"/>
    <w:rsid w:val="002D4122"/>
    <w:rsid w:val="002D6030"/>
    <w:rsid w:val="002D7895"/>
    <w:rsid w:val="002E00E3"/>
    <w:rsid w:val="002E228C"/>
    <w:rsid w:val="002E501A"/>
    <w:rsid w:val="002E5378"/>
    <w:rsid w:val="002E7574"/>
    <w:rsid w:val="002E7AD1"/>
    <w:rsid w:val="002F13EF"/>
    <w:rsid w:val="002F29DB"/>
    <w:rsid w:val="002F2A0E"/>
    <w:rsid w:val="002F2BC8"/>
    <w:rsid w:val="002F3DAC"/>
    <w:rsid w:val="002F4A00"/>
    <w:rsid w:val="002F50F8"/>
    <w:rsid w:val="002F6100"/>
    <w:rsid w:val="00301C73"/>
    <w:rsid w:val="00303DE1"/>
    <w:rsid w:val="003051EB"/>
    <w:rsid w:val="00305A28"/>
    <w:rsid w:val="00306C3B"/>
    <w:rsid w:val="00310BF3"/>
    <w:rsid w:val="00311134"/>
    <w:rsid w:val="00311653"/>
    <w:rsid w:val="00312931"/>
    <w:rsid w:val="00312E96"/>
    <w:rsid w:val="00313813"/>
    <w:rsid w:val="00313970"/>
    <w:rsid w:val="00314730"/>
    <w:rsid w:val="00320339"/>
    <w:rsid w:val="003218F3"/>
    <w:rsid w:val="0032305A"/>
    <w:rsid w:val="00325A6A"/>
    <w:rsid w:val="00327319"/>
    <w:rsid w:val="00327557"/>
    <w:rsid w:val="00331DC2"/>
    <w:rsid w:val="00332037"/>
    <w:rsid w:val="00333533"/>
    <w:rsid w:val="003350D8"/>
    <w:rsid w:val="003358E4"/>
    <w:rsid w:val="00336C05"/>
    <w:rsid w:val="0034000F"/>
    <w:rsid w:val="00340BFB"/>
    <w:rsid w:val="0034176C"/>
    <w:rsid w:val="00344C0D"/>
    <w:rsid w:val="00345573"/>
    <w:rsid w:val="00347F65"/>
    <w:rsid w:val="0035128E"/>
    <w:rsid w:val="003526CE"/>
    <w:rsid w:val="003533A4"/>
    <w:rsid w:val="00353E48"/>
    <w:rsid w:val="00354875"/>
    <w:rsid w:val="003553AA"/>
    <w:rsid w:val="003562AD"/>
    <w:rsid w:val="00356344"/>
    <w:rsid w:val="00357011"/>
    <w:rsid w:val="003613AF"/>
    <w:rsid w:val="003635EA"/>
    <w:rsid w:val="003648D7"/>
    <w:rsid w:val="003653E1"/>
    <w:rsid w:val="00366CF9"/>
    <w:rsid w:val="00370139"/>
    <w:rsid w:val="00370758"/>
    <w:rsid w:val="00370972"/>
    <w:rsid w:val="00370C7C"/>
    <w:rsid w:val="00370EAD"/>
    <w:rsid w:val="00374E4E"/>
    <w:rsid w:val="00375D20"/>
    <w:rsid w:val="003761C1"/>
    <w:rsid w:val="00376201"/>
    <w:rsid w:val="0037737B"/>
    <w:rsid w:val="003778C0"/>
    <w:rsid w:val="00377A9F"/>
    <w:rsid w:val="0038223E"/>
    <w:rsid w:val="00382998"/>
    <w:rsid w:val="0038372B"/>
    <w:rsid w:val="00383DA8"/>
    <w:rsid w:val="00383EBE"/>
    <w:rsid w:val="00384014"/>
    <w:rsid w:val="003846D7"/>
    <w:rsid w:val="003867DE"/>
    <w:rsid w:val="00387BD2"/>
    <w:rsid w:val="00391600"/>
    <w:rsid w:val="0039223D"/>
    <w:rsid w:val="003923AB"/>
    <w:rsid w:val="00395E03"/>
    <w:rsid w:val="00396603"/>
    <w:rsid w:val="003974ED"/>
    <w:rsid w:val="003A0C72"/>
    <w:rsid w:val="003A2C5B"/>
    <w:rsid w:val="003A2C94"/>
    <w:rsid w:val="003A403C"/>
    <w:rsid w:val="003A4F38"/>
    <w:rsid w:val="003A5179"/>
    <w:rsid w:val="003A776C"/>
    <w:rsid w:val="003A77EC"/>
    <w:rsid w:val="003B0C71"/>
    <w:rsid w:val="003B1700"/>
    <w:rsid w:val="003B236B"/>
    <w:rsid w:val="003B4CB0"/>
    <w:rsid w:val="003B5C79"/>
    <w:rsid w:val="003B6C17"/>
    <w:rsid w:val="003B7500"/>
    <w:rsid w:val="003B767F"/>
    <w:rsid w:val="003B7E44"/>
    <w:rsid w:val="003C0A68"/>
    <w:rsid w:val="003C0CF9"/>
    <w:rsid w:val="003C0EFF"/>
    <w:rsid w:val="003C2A21"/>
    <w:rsid w:val="003C2D96"/>
    <w:rsid w:val="003C6CC4"/>
    <w:rsid w:val="003C76E7"/>
    <w:rsid w:val="003D0194"/>
    <w:rsid w:val="003D0542"/>
    <w:rsid w:val="003D16BC"/>
    <w:rsid w:val="003D25CB"/>
    <w:rsid w:val="003D52CB"/>
    <w:rsid w:val="003D6A8C"/>
    <w:rsid w:val="003D732D"/>
    <w:rsid w:val="003D7F37"/>
    <w:rsid w:val="003E0003"/>
    <w:rsid w:val="003E1382"/>
    <w:rsid w:val="003E1736"/>
    <w:rsid w:val="003E2257"/>
    <w:rsid w:val="003E2D5E"/>
    <w:rsid w:val="003E43B1"/>
    <w:rsid w:val="003E4EA6"/>
    <w:rsid w:val="003E4EF6"/>
    <w:rsid w:val="003E6870"/>
    <w:rsid w:val="003F0E23"/>
    <w:rsid w:val="003F1337"/>
    <w:rsid w:val="003F15F7"/>
    <w:rsid w:val="003F21F1"/>
    <w:rsid w:val="003F3B89"/>
    <w:rsid w:val="003F4157"/>
    <w:rsid w:val="003F5FEC"/>
    <w:rsid w:val="003F6F2E"/>
    <w:rsid w:val="0040075C"/>
    <w:rsid w:val="0040121C"/>
    <w:rsid w:val="00402A8C"/>
    <w:rsid w:val="00402B0A"/>
    <w:rsid w:val="004048B0"/>
    <w:rsid w:val="00404DE9"/>
    <w:rsid w:val="00406F68"/>
    <w:rsid w:val="00413BB1"/>
    <w:rsid w:val="00414190"/>
    <w:rsid w:val="00414736"/>
    <w:rsid w:val="00416B19"/>
    <w:rsid w:val="004177DD"/>
    <w:rsid w:val="004204A1"/>
    <w:rsid w:val="00420530"/>
    <w:rsid w:val="004205A3"/>
    <w:rsid w:val="004225E9"/>
    <w:rsid w:val="0042274D"/>
    <w:rsid w:val="0042716F"/>
    <w:rsid w:val="00430759"/>
    <w:rsid w:val="004310EA"/>
    <w:rsid w:val="00434289"/>
    <w:rsid w:val="00434E37"/>
    <w:rsid w:val="00435EED"/>
    <w:rsid w:val="00436182"/>
    <w:rsid w:val="004376E6"/>
    <w:rsid w:val="004379A0"/>
    <w:rsid w:val="00441838"/>
    <w:rsid w:val="00441D98"/>
    <w:rsid w:val="00442AFB"/>
    <w:rsid w:val="00442E3C"/>
    <w:rsid w:val="00443A13"/>
    <w:rsid w:val="0044571E"/>
    <w:rsid w:val="00445A46"/>
    <w:rsid w:val="00446665"/>
    <w:rsid w:val="00447748"/>
    <w:rsid w:val="00447AD2"/>
    <w:rsid w:val="00450458"/>
    <w:rsid w:val="00453187"/>
    <w:rsid w:val="00453D28"/>
    <w:rsid w:val="0045564C"/>
    <w:rsid w:val="004574DE"/>
    <w:rsid w:val="004605B4"/>
    <w:rsid w:val="0046085C"/>
    <w:rsid w:val="00462436"/>
    <w:rsid w:val="00463B48"/>
    <w:rsid w:val="004645F7"/>
    <w:rsid w:val="00464625"/>
    <w:rsid w:val="00464AAE"/>
    <w:rsid w:val="00464BAC"/>
    <w:rsid w:val="0046591A"/>
    <w:rsid w:val="00466109"/>
    <w:rsid w:val="004661EE"/>
    <w:rsid w:val="00467107"/>
    <w:rsid w:val="0047047B"/>
    <w:rsid w:val="004720D4"/>
    <w:rsid w:val="004729C7"/>
    <w:rsid w:val="00472C1A"/>
    <w:rsid w:val="00472D25"/>
    <w:rsid w:val="00475EC6"/>
    <w:rsid w:val="00476374"/>
    <w:rsid w:val="0047746B"/>
    <w:rsid w:val="00480D5A"/>
    <w:rsid w:val="00481B51"/>
    <w:rsid w:val="00481B6C"/>
    <w:rsid w:val="00482ADF"/>
    <w:rsid w:val="00483A23"/>
    <w:rsid w:val="00484349"/>
    <w:rsid w:val="004843D1"/>
    <w:rsid w:val="00484F8D"/>
    <w:rsid w:val="004854A6"/>
    <w:rsid w:val="00486E16"/>
    <w:rsid w:val="00487347"/>
    <w:rsid w:val="004877D6"/>
    <w:rsid w:val="0049183B"/>
    <w:rsid w:val="00493A83"/>
    <w:rsid w:val="00495402"/>
    <w:rsid w:val="0049751A"/>
    <w:rsid w:val="004A0A57"/>
    <w:rsid w:val="004A1A83"/>
    <w:rsid w:val="004A1F03"/>
    <w:rsid w:val="004A4586"/>
    <w:rsid w:val="004A48C7"/>
    <w:rsid w:val="004A6A03"/>
    <w:rsid w:val="004A715D"/>
    <w:rsid w:val="004A7D75"/>
    <w:rsid w:val="004B02ED"/>
    <w:rsid w:val="004B2662"/>
    <w:rsid w:val="004B2B56"/>
    <w:rsid w:val="004B3D9F"/>
    <w:rsid w:val="004B3E27"/>
    <w:rsid w:val="004B4FB0"/>
    <w:rsid w:val="004B570C"/>
    <w:rsid w:val="004B5AD1"/>
    <w:rsid w:val="004C05D9"/>
    <w:rsid w:val="004C146A"/>
    <w:rsid w:val="004C1D30"/>
    <w:rsid w:val="004C245D"/>
    <w:rsid w:val="004C27FD"/>
    <w:rsid w:val="004C280E"/>
    <w:rsid w:val="004C2C75"/>
    <w:rsid w:val="004C3ABB"/>
    <w:rsid w:val="004C41C8"/>
    <w:rsid w:val="004C4E8E"/>
    <w:rsid w:val="004C55A3"/>
    <w:rsid w:val="004C615A"/>
    <w:rsid w:val="004C6480"/>
    <w:rsid w:val="004C7B00"/>
    <w:rsid w:val="004D052A"/>
    <w:rsid w:val="004D0A00"/>
    <w:rsid w:val="004D2689"/>
    <w:rsid w:val="004D3457"/>
    <w:rsid w:val="004D3F2B"/>
    <w:rsid w:val="004D484B"/>
    <w:rsid w:val="004D506B"/>
    <w:rsid w:val="004D6372"/>
    <w:rsid w:val="004D6A7A"/>
    <w:rsid w:val="004D741B"/>
    <w:rsid w:val="004D78D4"/>
    <w:rsid w:val="004E0665"/>
    <w:rsid w:val="004E0781"/>
    <w:rsid w:val="004E11D2"/>
    <w:rsid w:val="004E211C"/>
    <w:rsid w:val="004E4750"/>
    <w:rsid w:val="004F3118"/>
    <w:rsid w:val="004F317D"/>
    <w:rsid w:val="004F452E"/>
    <w:rsid w:val="004F4C02"/>
    <w:rsid w:val="004F5438"/>
    <w:rsid w:val="004F6598"/>
    <w:rsid w:val="0050117D"/>
    <w:rsid w:val="00501B5E"/>
    <w:rsid w:val="00503473"/>
    <w:rsid w:val="005035B0"/>
    <w:rsid w:val="00503D1A"/>
    <w:rsid w:val="00506A00"/>
    <w:rsid w:val="0051250A"/>
    <w:rsid w:val="00512702"/>
    <w:rsid w:val="00512F14"/>
    <w:rsid w:val="00513226"/>
    <w:rsid w:val="00513721"/>
    <w:rsid w:val="00514414"/>
    <w:rsid w:val="00514B26"/>
    <w:rsid w:val="00514C05"/>
    <w:rsid w:val="005170A5"/>
    <w:rsid w:val="00517293"/>
    <w:rsid w:val="00520DE2"/>
    <w:rsid w:val="00521BDB"/>
    <w:rsid w:val="00522E68"/>
    <w:rsid w:val="005239F5"/>
    <w:rsid w:val="00524A9C"/>
    <w:rsid w:val="0052640C"/>
    <w:rsid w:val="00530305"/>
    <w:rsid w:val="00530B33"/>
    <w:rsid w:val="00530BCA"/>
    <w:rsid w:val="00532180"/>
    <w:rsid w:val="005325FB"/>
    <w:rsid w:val="00533399"/>
    <w:rsid w:val="0053362E"/>
    <w:rsid w:val="00533C56"/>
    <w:rsid w:val="00533F4E"/>
    <w:rsid w:val="005347D4"/>
    <w:rsid w:val="00535CA4"/>
    <w:rsid w:val="00535E61"/>
    <w:rsid w:val="00537D3D"/>
    <w:rsid w:val="00540345"/>
    <w:rsid w:val="00542114"/>
    <w:rsid w:val="0054274E"/>
    <w:rsid w:val="00542B0C"/>
    <w:rsid w:val="00542FE6"/>
    <w:rsid w:val="005439CD"/>
    <w:rsid w:val="00543D16"/>
    <w:rsid w:val="00543E93"/>
    <w:rsid w:val="00544E30"/>
    <w:rsid w:val="0054677F"/>
    <w:rsid w:val="005471C4"/>
    <w:rsid w:val="005509E9"/>
    <w:rsid w:val="00550A6A"/>
    <w:rsid w:val="00554E09"/>
    <w:rsid w:val="00555A02"/>
    <w:rsid w:val="0055614C"/>
    <w:rsid w:val="005601A9"/>
    <w:rsid w:val="00560513"/>
    <w:rsid w:val="0056085B"/>
    <w:rsid w:val="00561439"/>
    <w:rsid w:val="00561BC3"/>
    <w:rsid w:val="0056239F"/>
    <w:rsid w:val="005636CE"/>
    <w:rsid w:val="00563F51"/>
    <w:rsid w:val="00565390"/>
    <w:rsid w:val="005654D6"/>
    <w:rsid w:val="005662D6"/>
    <w:rsid w:val="00567C9E"/>
    <w:rsid w:val="00571DDC"/>
    <w:rsid w:val="005730BD"/>
    <w:rsid w:val="00574343"/>
    <w:rsid w:val="00576059"/>
    <w:rsid w:val="0057731F"/>
    <w:rsid w:val="00580E88"/>
    <w:rsid w:val="005823B4"/>
    <w:rsid w:val="00582AB6"/>
    <w:rsid w:val="005831B3"/>
    <w:rsid w:val="00584012"/>
    <w:rsid w:val="005849CB"/>
    <w:rsid w:val="0058628C"/>
    <w:rsid w:val="00586881"/>
    <w:rsid w:val="005869E1"/>
    <w:rsid w:val="00590C8E"/>
    <w:rsid w:val="00592B0D"/>
    <w:rsid w:val="005944E3"/>
    <w:rsid w:val="00594850"/>
    <w:rsid w:val="00594AD1"/>
    <w:rsid w:val="005950CC"/>
    <w:rsid w:val="00595BF4"/>
    <w:rsid w:val="00595C45"/>
    <w:rsid w:val="00596578"/>
    <w:rsid w:val="005A0818"/>
    <w:rsid w:val="005A16B4"/>
    <w:rsid w:val="005A3981"/>
    <w:rsid w:val="005A3C9B"/>
    <w:rsid w:val="005A58A9"/>
    <w:rsid w:val="005A5955"/>
    <w:rsid w:val="005A5C12"/>
    <w:rsid w:val="005A60C2"/>
    <w:rsid w:val="005A6191"/>
    <w:rsid w:val="005A6BE8"/>
    <w:rsid w:val="005A7620"/>
    <w:rsid w:val="005A7A81"/>
    <w:rsid w:val="005A7CD1"/>
    <w:rsid w:val="005B0210"/>
    <w:rsid w:val="005B10BB"/>
    <w:rsid w:val="005B1E58"/>
    <w:rsid w:val="005B1F6C"/>
    <w:rsid w:val="005B28BB"/>
    <w:rsid w:val="005B301C"/>
    <w:rsid w:val="005B5B17"/>
    <w:rsid w:val="005C09CA"/>
    <w:rsid w:val="005C0D7C"/>
    <w:rsid w:val="005C148B"/>
    <w:rsid w:val="005C1B9A"/>
    <w:rsid w:val="005C1D49"/>
    <w:rsid w:val="005C2EEC"/>
    <w:rsid w:val="005C36AC"/>
    <w:rsid w:val="005C3946"/>
    <w:rsid w:val="005C3E75"/>
    <w:rsid w:val="005C7968"/>
    <w:rsid w:val="005C7970"/>
    <w:rsid w:val="005C7EC5"/>
    <w:rsid w:val="005D0B6F"/>
    <w:rsid w:val="005D26F3"/>
    <w:rsid w:val="005D38ED"/>
    <w:rsid w:val="005D3AFE"/>
    <w:rsid w:val="005D5114"/>
    <w:rsid w:val="005D59B0"/>
    <w:rsid w:val="005D6862"/>
    <w:rsid w:val="005D69B3"/>
    <w:rsid w:val="005E08F2"/>
    <w:rsid w:val="005E1F85"/>
    <w:rsid w:val="005E2F79"/>
    <w:rsid w:val="005E3650"/>
    <w:rsid w:val="005E394A"/>
    <w:rsid w:val="005E470E"/>
    <w:rsid w:val="005E4891"/>
    <w:rsid w:val="005E52F9"/>
    <w:rsid w:val="005E6040"/>
    <w:rsid w:val="005E6605"/>
    <w:rsid w:val="005E786C"/>
    <w:rsid w:val="005F0A81"/>
    <w:rsid w:val="005F0B14"/>
    <w:rsid w:val="005F136E"/>
    <w:rsid w:val="005F20F6"/>
    <w:rsid w:val="005F22E9"/>
    <w:rsid w:val="005F2A69"/>
    <w:rsid w:val="005F2FF4"/>
    <w:rsid w:val="005F488A"/>
    <w:rsid w:val="005F4C72"/>
    <w:rsid w:val="005F4FBE"/>
    <w:rsid w:val="005F56DC"/>
    <w:rsid w:val="005F58AE"/>
    <w:rsid w:val="005F694C"/>
    <w:rsid w:val="006000ED"/>
    <w:rsid w:val="006002DB"/>
    <w:rsid w:val="006004A2"/>
    <w:rsid w:val="00600BD4"/>
    <w:rsid w:val="0060170E"/>
    <w:rsid w:val="00602AEA"/>
    <w:rsid w:val="00602B22"/>
    <w:rsid w:val="00603DC2"/>
    <w:rsid w:val="00603ED0"/>
    <w:rsid w:val="00604338"/>
    <w:rsid w:val="0060576F"/>
    <w:rsid w:val="0060583D"/>
    <w:rsid w:val="00605918"/>
    <w:rsid w:val="00605D61"/>
    <w:rsid w:val="0060606B"/>
    <w:rsid w:val="00606B30"/>
    <w:rsid w:val="00606E0E"/>
    <w:rsid w:val="00607168"/>
    <w:rsid w:val="0060726E"/>
    <w:rsid w:val="0061034B"/>
    <w:rsid w:val="00612C76"/>
    <w:rsid w:val="00613360"/>
    <w:rsid w:val="00614CB8"/>
    <w:rsid w:val="00615079"/>
    <w:rsid w:val="00616970"/>
    <w:rsid w:val="0062020B"/>
    <w:rsid w:val="006226CD"/>
    <w:rsid w:val="006234F7"/>
    <w:rsid w:val="006235BC"/>
    <w:rsid w:val="00623E53"/>
    <w:rsid w:val="00624594"/>
    <w:rsid w:val="006248EB"/>
    <w:rsid w:val="00624EB9"/>
    <w:rsid w:val="00627A18"/>
    <w:rsid w:val="00630805"/>
    <w:rsid w:val="006312F3"/>
    <w:rsid w:val="006336FB"/>
    <w:rsid w:val="0063374B"/>
    <w:rsid w:val="006341A9"/>
    <w:rsid w:val="006400B8"/>
    <w:rsid w:val="00640472"/>
    <w:rsid w:val="00640A60"/>
    <w:rsid w:val="00640E49"/>
    <w:rsid w:val="00641730"/>
    <w:rsid w:val="00641A89"/>
    <w:rsid w:val="00643143"/>
    <w:rsid w:val="00646EC2"/>
    <w:rsid w:val="00647F48"/>
    <w:rsid w:val="00650EB5"/>
    <w:rsid w:val="00652C23"/>
    <w:rsid w:val="00652CEB"/>
    <w:rsid w:val="00652D24"/>
    <w:rsid w:val="00653596"/>
    <w:rsid w:val="00653E4D"/>
    <w:rsid w:val="00654759"/>
    <w:rsid w:val="006553D8"/>
    <w:rsid w:val="00655647"/>
    <w:rsid w:val="00655A0C"/>
    <w:rsid w:val="00656437"/>
    <w:rsid w:val="00657F83"/>
    <w:rsid w:val="00661C08"/>
    <w:rsid w:val="00662F74"/>
    <w:rsid w:val="006636B3"/>
    <w:rsid w:val="0066414E"/>
    <w:rsid w:val="00664603"/>
    <w:rsid w:val="006651A8"/>
    <w:rsid w:val="00665BF9"/>
    <w:rsid w:val="00665D20"/>
    <w:rsid w:val="00666948"/>
    <w:rsid w:val="00667834"/>
    <w:rsid w:val="00667D08"/>
    <w:rsid w:val="00670623"/>
    <w:rsid w:val="00672B1B"/>
    <w:rsid w:val="006736AF"/>
    <w:rsid w:val="00674421"/>
    <w:rsid w:val="00675DF4"/>
    <w:rsid w:val="006766C3"/>
    <w:rsid w:val="00676DA0"/>
    <w:rsid w:val="0067779F"/>
    <w:rsid w:val="006778A8"/>
    <w:rsid w:val="00681B76"/>
    <w:rsid w:val="00682238"/>
    <w:rsid w:val="00684187"/>
    <w:rsid w:val="00684331"/>
    <w:rsid w:val="006848ED"/>
    <w:rsid w:val="00684F4F"/>
    <w:rsid w:val="006850C7"/>
    <w:rsid w:val="006869D8"/>
    <w:rsid w:val="006878DC"/>
    <w:rsid w:val="00687A1F"/>
    <w:rsid w:val="006930C2"/>
    <w:rsid w:val="00693F6F"/>
    <w:rsid w:val="00694436"/>
    <w:rsid w:val="00695A72"/>
    <w:rsid w:val="0069667B"/>
    <w:rsid w:val="00697966"/>
    <w:rsid w:val="006A281B"/>
    <w:rsid w:val="006A49D3"/>
    <w:rsid w:val="006A5260"/>
    <w:rsid w:val="006A52EF"/>
    <w:rsid w:val="006A58AD"/>
    <w:rsid w:val="006A5C2F"/>
    <w:rsid w:val="006A5F2E"/>
    <w:rsid w:val="006B03BF"/>
    <w:rsid w:val="006B06F2"/>
    <w:rsid w:val="006B08C5"/>
    <w:rsid w:val="006B219C"/>
    <w:rsid w:val="006B291F"/>
    <w:rsid w:val="006B3880"/>
    <w:rsid w:val="006B42F3"/>
    <w:rsid w:val="006B4541"/>
    <w:rsid w:val="006B4D3D"/>
    <w:rsid w:val="006B520F"/>
    <w:rsid w:val="006B68C6"/>
    <w:rsid w:val="006B71EC"/>
    <w:rsid w:val="006B71F8"/>
    <w:rsid w:val="006B76E7"/>
    <w:rsid w:val="006B796B"/>
    <w:rsid w:val="006B7D65"/>
    <w:rsid w:val="006C06CC"/>
    <w:rsid w:val="006C2792"/>
    <w:rsid w:val="006C2A68"/>
    <w:rsid w:val="006C365A"/>
    <w:rsid w:val="006C37A6"/>
    <w:rsid w:val="006C3835"/>
    <w:rsid w:val="006C445E"/>
    <w:rsid w:val="006C453F"/>
    <w:rsid w:val="006C4BCC"/>
    <w:rsid w:val="006C70C2"/>
    <w:rsid w:val="006C736D"/>
    <w:rsid w:val="006D1905"/>
    <w:rsid w:val="006D1D37"/>
    <w:rsid w:val="006D1E87"/>
    <w:rsid w:val="006D2E6D"/>
    <w:rsid w:val="006D4036"/>
    <w:rsid w:val="006D48F8"/>
    <w:rsid w:val="006D504E"/>
    <w:rsid w:val="006D5105"/>
    <w:rsid w:val="006D54E2"/>
    <w:rsid w:val="006D57CC"/>
    <w:rsid w:val="006D7F17"/>
    <w:rsid w:val="006E57DB"/>
    <w:rsid w:val="006E5FB2"/>
    <w:rsid w:val="006E7BC6"/>
    <w:rsid w:val="006F0ACE"/>
    <w:rsid w:val="006F4E2E"/>
    <w:rsid w:val="006F5C27"/>
    <w:rsid w:val="006F710A"/>
    <w:rsid w:val="00700372"/>
    <w:rsid w:val="0070179A"/>
    <w:rsid w:val="00702A3F"/>
    <w:rsid w:val="00703209"/>
    <w:rsid w:val="007044B8"/>
    <w:rsid w:val="007059BD"/>
    <w:rsid w:val="00705EEF"/>
    <w:rsid w:val="00707054"/>
    <w:rsid w:val="0070732B"/>
    <w:rsid w:val="00711379"/>
    <w:rsid w:val="00712120"/>
    <w:rsid w:val="00713BF0"/>
    <w:rsid w:val="00715198"/>
    <w:rsid w:val="007152C6"/>
    <w:rsid w:val="00715356"/>
    <w:rsid w:val="00715B22"/>
    <w:rsid w:val="007169F3"/>
    <w:rsid w:val="00716EC0"/>
    <w:rsid w:val="007171A6"/>
    <w:rsid w:val="00717230"/>
    <w:rsid w:val="00723B2E"/>
    <w:rsid w:val="0072435E"/>
    <w:rsid w:val="00724DA1"/>
    <w:rsid w:val="00726680"/>
    <w:rsid w:val="00726E26"/>
    <w:rsid w:val="00727091"/>
    <w:rsid w:val="00727342"/>
    <w:rsid w:val="007309D1"/>
    <w:rsid w:val="00730FC6"/>
    <w:rsid w:val="00731FB5"/>
    <w:rsid w:val="007342BD"/>
    <w:rsid w:val="00734B39"/>
    <w:rsid w:val="00735EC5"/>
    <w:rsid w:val="007365C2"/>
    <w:rsid w:val="007373ED"/>
    <w:rsid w:val="0074010B"/>
    <w:rsid w:val="0074050A"/>
    <w:rsid w:val="00740CC8"/>
    <w:rsid w:val="0074103E"/>
    <w:rsid w:val="00741561"/>
    <w:rsid w:val="00741F48"/>
    <w:rsid w:val="0074218F"/>
    <w:rsid w:val="00744BA7"/>
    <w:rsid w:val="007451E9"/>
    <w:rsid w:val="0074525B"/>
    <w:rsid w:val="00745B8A"/>
    <w:rsid w:val="007460FD"/>
    <w:rsid w:val="0074684A"/>
    <w:rsid w:val="00750031"/>
    <w:rsid w:val="0075285E"/>
    <w:rsid w:val="00752E24"/>
    <w:rsid w:val="0075405A"/>
    <w:rsid w:val="007542DB"/>
    <w:rsid w:val="007558C5"/>
    <w:rsid w:val="00755960"/>
    <w:rsid w:val="007600BF"/>
    <w:rsid w:val="00760497"/>
    <w:rsid w:val="00760A40"/>
    <w:rsid w:val="00760FEB"/>
    <w:rsid w:val="0076197A"/>
    <w:rsid w:val="00763750"/>
    <w:rsid w:val="00764835"/>
    <w:rsid w:val="00765E05"/>
    <w:rsid w:val="00767895"/>
    <w:rsid w:val="00767A89"/>
    <w:rsid w:val="00771B58"/>
    <w:rsid w:val="00773139"/>
    <w:rsid w:val="00773A2E"/>
    <w:rsid w:val="00774481"/>
    <w:rsid w:val="00774DD4"/>
    <w:rsid w:val="00775E06"/>
    <w:rsid w:val="00775E34"/>
    <w:rsid w:val="00780043"/>
    <w:rsid w:val="00782339"/>
    <w:rsid w:val="00782E48"/>
    <w:rsid w:val="00783B74"/>
    <w:rsid w:val="00785F7C"/>
    <w:rsid w:val="00787585"/>
    <w:rsid w:val="007911D4"/>
    <w:rsid w:val="00791693"/>
    <w:rsid w:val="00792101"/>
    <w:rsid w:val="00792145"/>
    <w:rsid w:val="007921E3"/>
    <w:rsid w:val="00793872"/>
    <w:rsid w:val="00794B41"/>
    <w:rsid w:val="00795277"/>
    <w:rsid w:val="0079561D"/>
    <w:rsid w:val="00796E33"/>
    <w:rsid w:val="00797795"/>
    <w:rsid w:val="007A6F54"/>
    <w:rsid w:val="007A7695"/>
    <w:rsid w:val="007A78D3"/>
    <w:rsid w:val="007B0AA2"/>
    <w:rsid w:val="007B0DB5"/>
    <w:rsid w:val="007B1411"/>
    <w:rsid w:val="007B1957"/>
    <w:rsid w:val="007B2A60"/>
    <w:rsid w:val="007B2F76"/>
    <w:rsid w:val="007B3E38"/>
    <w:rsid w:val="007B5C3D"/>
    <w:rsid w:val="007B5FD9"/>
    <w:rsid w:val="007B611F"/>
    <w:rsid w:val="007B709B"/>
    <w:rsid w:val="007B77F7"/>
    <w:rsid w:val="007B7891"/>
    <w:rsid w:val="007C0354"/>
    <w:rsid w:val="007C06B4"/>
    <w:rsid w:val="007C43C0"/>
    <w:rsid w:val="007C49A2"/>
    <w:rsid w:val="007C4C65"/>
    <w:rsid w:val="007C4DA6"/>
    <w:rsid w:val="007C6C1C"/>
    <w:rsid w:val="007C6E98"/>
    <w:rsid w:val="007C712A"/>
    <w:rsid w:val="007C7488"/>
    <w:rsid w:val="007C78F1"/>
    <w:rsid w:val="007C7F13"/>
    <w:rsid w:val="007D0C41"/>
    <w:rsid w:val="007D1FA9"/>
    <w:rsid w:val="007D2369"/>
    <w:rsid w:val="007D3917"/>
    <w:rsid w:val="007D5149"/>
    <w:rsid w:val="007D5342"/>
    <w:rsid w:val="007D56BB"/>
    <w:rsid w:val="007E01C2"/>
    <w:rsid w:val="007E0255"/>
    <w:rsid w:val="007E0E86"/>
    <w:rsid w:val="007E2D94"/>
    <w:rsid w:val="007E48C8"/>
    <w:rsid w:val="007E59E8"/>
    <w:rsid w:val="007E6013"/>
    <w:rsid w:val="007E6431"/>
    <w:rsid w:val="007E662A"/>
    <w:rsid w:val="007F0518"/>
    <w:rsid w:val="007F0D74"/>
    <w:rsid w:val="007F16D7"/>
    <w:rsid w:val="007F1B22"/>
    <w:rsid w:val="007F20A1"/>
    <w:rsid w:val="007F2F0A"/>
    <w:rsid w:val="007F31BF"/>
    <w:rsid w:val="007F393E"/>
    <w:rsid w:val="007F3DD3"/>
    <w:rsid w:val="007F44CF"/>
    <w:rsid w:val="007F458B"/>
    <w:rsid w:val="007F5B31"/>
    <w:rsid w:val="007F626B"/>
    <w:rsid w:val="007F774E"/>
    <w:rsid w:val="007F776E"/>
    <w:rsid w:val="0080013B"/>
    <w:rsid w:val="00800A3E"/>
    <w:rsid w:val="008012E8"/>
    <w:rsid w:val="0080134C"/>
    <w:rsid w:val="00801592"/>
    <w:rsid w:val="008022F0"/>
    <w:rsid w:val="00803134"/>
    <w:rsid w:val="008036DC"/>
    <w:rsid w:val="008040D5"/>
    <w:rsid w:val="00804691"/>
    <w:rsid w:val="008047EE"/>
    <w:rsid w:val="00804EAE"/>
    <w:rsid w:val="00810CB1"/>
    <w:rsid w:val="0081287A"/>
    <w:rsid w:val="008138B5"/>
    <w:rsid w:val="00814960"/>
    <w:rsid w:val="00816B93"/>
    <w:rsid w:val="00816F68"/>
    <w:rsid w:val="00816FFE"/>
    <w:rsid w:val="00817538"/>
    <w:rsid w:val="0082000D"/>
    <w:rsid w:val="00820692"/>
    <w:rsid w:val="00821C0C"/>
    <w:rsid w:val="0082313D"/>
    <w:rsid w:val="008238A1"/>
    <w:rsid w:val="00823FE5"/>
    <w:rsid w:val="008248D8"/>
    <w:rsid w:val="008252CF"/>
    <w:rsid w:val="008252DA"/>
    <w:rsid w:val="0082531C"/>
    <w:rsid w:val="008255B2"/>
    <w:rsid w:val="00826196"/>
    <w:rsid w:val="0082662A"/>
    <w:rsid w:val="00827856"/>
    <w:rsid w:val="00830411"/>
    <w:rsid w:val="00830B89"/>
    <w:rsid w:val="00830BEC"/>
    <w:rsid w:val="00832D24"/>
    <w:rsid w:val="008332CE"/>
    <w:rsid w:val="00834E10"/>
    <w:rsid w:val="00836B53"/>
    <w:rsid w:val="008376E0"/>
    <w:rsid w:val="00844337"/>
    <w:rsid w:val="008450C7"/>
    <w:rsid w:val="00846CB1"/>
    <w:rsid w:val="008505E1"/>
    <w:rsid w:val="00850D47"/>
    <w:rsid w:val="00853464"/>
    <w:rsid w:val="00853641"/>
    <w:rsid w:val="00854826"/>
    <w:rsid w:val="00854C81"/>
    <w:rsid w:val="00855A70"/>
    <w:rsid w:val="00855F8E"/>
    <w:rsid w:val="00860712"/>
    <w:rsid w:val="00860B34"/>
    <w:rsid w:val="0086173C"/>
    <w:rsid w:val="00861FF6"/>
    <w:rsid w:val="00864075"/>
    <w:rsid w:val="00864E6D"/>
    <w:rsid w:val="00865CF1"/>
    <w:rsid w:val="0086658B"/>
    <w:rsid w:val="008665A5"/>
    <w:rsid w:val="00866B87"/>
    <w:rsid w:val="00866FFC"/>
    <w:rsid w:val="00870D58"/>
    <w:rsid w:val="0087145D"/>
    <w:rsid w:val="00871950"/>
    <w:rsid w:val="00872B73"/>
    <w:rsid w:val="008732A2"/>
    <w:rsid w:val="008748DA"/>
    <w:rsid w:val="0087620F"/>
    <w:rsid w:val="00881018"/>
    <w:rsid w:val="00884078"/>
    <w:rsid w:val="008844F2"/>
    <w:rsid w:val="00884D6F"/>
    <w:rsid w:val="00887AA4"/>
    <w:rsid w:val="00890676"/>
    <w:rsid w:val="008908FD"/>
    <w:rsid w:val="00892300"/>
    <w:rsid w:val="00892AEA"/>
    <w:rsid w:val="00892FAA"/>
    <w:rsid w:val="00893D96"/>
    <w:rsid w:val="0089549F"/>
    <w:rsid w:val="00895D57"/>
    <w:rsid w:val="00897C2D"/>
    <w:rsid w:val="008A0412"/>
    <w:rsid w:val="008A1070"/>
    <w:rsid w:val="008A2128"/>
    <w:rsid w:val="008A2CE3"/>
    <w:rsid w:val="008A322F"/>
    <w:rsid w:val="008A3D2E"/>
    <w:rsid w:val="008A40D2"/>
    <w:rsid w:val="008A7243"/>
    <w:rsid w:val="008A7758"/>
    <w:rsid w:val="008B1BBB"/>
    <w:rsid w:val="008B201C"/>
    <w:rsid w:val="008B242B"/>
    <w:rsid w:val="008B26D6"/>
    <w:rsid w:val="008B29F0"/>
    <w:rsid w:val="008B38FA"/>
    <w:rsid w:val="008B40B2"/>
    <w:rsid w:val="008B4585"/>
    <w:rsid w:val="008C0D41"/>
    <w:rsid w:val="008C102C"/>
    <w:rsid w:val="008C10C8"/>
    <w:rsid w:val="008C1274"/>
    <w:rsid w:val="008C2407"/>
    <w:rsid w:val="008C7385"/>
    <w:rsid w:val="008D1FE1"/>
    <w:rsid w:val="008D20B6"/>
    <w:rsid w:val="008D2CFC"/>
    <w:rsid w:val="008D50C9"/>
    <w:rsid w:val="008D53C5"/>
    <w:rsid w:val="008D54AF"/>
    <w:rsid w:val="008D57FF"/>
    <w:rsid w:val="008D6AAF"/>
    <w:rsid w:val="008D71D4"/>
    <w:rsid w:val="008E0429"/>
    <w:rsid w:val="008E2676"/>
    <w:rsid w:val="008E2971"/>
    <w:rsid w:val="008E48AA"/>
    <w:rsid w:val="008E4B30"/>
    <w:rsid w:val="008E5744"/>
    <w:rsid w:val="008E58BB"/>
    <w:rsid w:val="008E6667"/>
    <w:rsid w:val="008E70BF"/>
    <w:rsid w:val="008F0C19"/>
    <w:rsid w:val="008F2CDE"/>
    <w:rsid w:val="008F33B1"/>
    <w:rsid w:val="008F492F"/>
    <w:rsid w:val="008F4B85"/>
    <w:rsid w:val="008F7F02"/>
    <w:rsid w:val="00900D5B"/>
    <w:rsid w:val="009031A6"/>
    <w:rsid w:val="00903DBA"/>
    <w:rsid w:val="00904124"/>
    <w:rsid w:val="00904303"/>
    <w:rsid w:val="00904862"/>
    <w:rsid w:val="00904AAF"/>
    <w:rsid w:val="009065BC"/>
    <w:rsid w:val="009069DE"/>
    <w:rsid w:val="00907AFB"/>
    <w:rsid w:val="009114DB"/>
    <w:rsid w:val="00911C79"/>
    <w:rsid w:val="00914369"/>
    <w:rsid w:val="00914FF4"/>
    <w:rsid w:val="009150BE"/>
    <w:rsid w:val="0091657D"/>
    <w:rsid w:val="00916B1A"/>
    <w:rsid w:val="00916D70"/>
    <w:rsid w:val="009202CE"/>
    <w:rsid w:val="009234E9"/>
    <w:rsid w:val="009268EC"/>
    <w:rsid w:val="00926B61"/>
    <w:rsid w:val="00926B8B"/>
    <w:rsid w:val="00930D3B"/>
    <w:rsid w:val="00932A0E"/>
    <w:rsid w:val="00933BBC"/>
    <w:rsid w:val="00933EB8"/>
    <w:rsid w:val="00935F44"/>
    <w:rsid w:val="00936165"/>
    <w:rsid w:val="009365A5"/>
    <w:rsid w:val="0093664D"/>
    <w:rsid w:val="00936F62"/>
    <w:rsid w:val="00937085"/>
    <w:rsid w:val="0093749D"/>
    <w:rsid w:val="009410A5"/>
    <w:rsid w:val="009423B6"/>
    <w:rsid w:val="00942F28"/>
    <w:rsid w:val="009437A7"/>
    <w:rsid w:val="00944E6C"/>
    <w:rsid w:val="00945D61"/>
    <w:rsid w:val="009462FC"/>
    <w:rsid w:val="00946CE1"/>
    <w:rsid w:val="00947010"/>
    <w:rsid w:val="00947BB1"/>
    <w:rsid w:val="0095365D"/>
    <w:rsid w:val="0096106D"/>
    <w:rsid w:val="009620ED"/>
    <w:rsid w:val="00962A62"/>
    <w:rsid w:val="00962C81"/>
    <w:rsid w:val="0096310E"/>
    <w:rsid w:val="00963FD7"/>
    <w:rsid w:val="00964D43"/>
    <w:rsid w:val="00965003"/>
    <w:rsid w:val="00965365"/>
    <w:rsid w:val="009665B5"/>
    <w:rsid w:val="00970C63"/>
    <w:rsid w:val="00970EB0"/>
    <w:rsid w:val="00971B6C"/>
    <w:rsid w:val="00971CF8"/>
    <w:rsid w:val="00972AD6"/>
    <w:rsid w:val="00972E56"/>
    <w:rsid w:val="009734B5"/>
    <w:rsid w:val="009748FC"/>
    <w:rsid w:val="00974A8A"/>
    <w:rsid w:val="00974AF5"/>
    <w:rsid w:val="009760FF"/>
    <w:rsid w:val="00976F7B"/>
    <w:rsid w:val="0097733C"/>
    <w:rsid w:val="00977A2B"/>
    <w:rsid w:val="00980198"/>
    <w:rsid w:val="009819A8"/>
    <w:rsid w:val="00981C00"/>
    <w:rsid w:val="00982126"/>
    <w:rsid w:val="00984816"/>
    <w:rsid w:val="009854C9"/>
    <w:rsid w:val="00985A93"/>
    <w:rsid w:val="00985C07"/>
    <w:rsid w:val="00985F4C"/>
    <w:rsid w:val="00986585"/>
    <w:rsid w:val="009872C1"/>
    <w:rsid w:val="00991DD4"/>
    <w:rsid w:val="009921CB"/>
    <w:rsid w:val="00992EEA"/>
    <w:rsid w:val="0099314C"/>
    <w:rsid w:val="009942C0"/>
    <w:rsid w:val="009951DC"/>
    <w:rsid w:val="00997024"/>
    <w:rsid w:val="00997DEA"/>
    <w:rsid w:val="009A0BD1"/>
    <w:rsid w:val="009A2BE1"/>
    <w:rsid w:val="009A316D"/>
    <w:rsid w:val="009A37A9"/>
    <w:rsid w:val="009A47DB"/>
    <w:rsid w:val="009A5610"/>
    <w:rsid w:val="009A5C1C"/>
    <w:rsid w:val="009A7E4A"/>
    <w:rsid w:val="009B066B"/>
    <w:rsid w:val="009B1058"/>
    <w:rsid w:val="009B2257"/>
    <w:rsid w:val="009B350E"/>
    <w:rsid w:val="009B3BD8"/>
    <w:rsid w:val="009B4EB8"/>
    <w:rsid w:val="009B5F8E"/>
    <w:rsid w:val="009B5FEF"/>
    <w:rsid w:val="009B73A6"/>
    <w:rsid w:val="009B7AB0"/>
    <w:rsid w:val="009C046B"/>
    <w:rsid w:val="009C0D2F"/>
    <w:rsid w:val="009C0E40"/>
    <w:rsid w:val="009C1A3D"/>
    <w:rsid w:val="009C1B88"/>
    <w:rsid w:val="009C3C44"/>
    <w:rsid w:val="009C3FD2"/>
    <w:rsid w:val="009C456E"/>
    <w:rsid w:val="009C6540"/>
    <w:rsid w:val="009D482F"/>
    <w:rsid w:val="009D51B3"/>
    <w:rsid w:val="009D76C2"/>
    <w:rsid w:val="009D7720"/>
    <w:rsid w:val="009E0180"/>
    <w:rsid w:val="009E0573"/>
    <w:rsid w:val="009E098B"/>
    <w:rsid w:val="009E34C0"/>
    <w:rsid w:val="009E3788"/>
    <w:rsid w:val="009E630C"/>
    <w:rsid w:val="009E696D"/>
    <w:rsid w:val="009E7A07"/>
    <w:rsid w:val="009E7CD8"/>
    <w:rsid w:val="009F0589"/>
    <w:rsid w:val="009F0681"/>
    <w:rsid w:val="009F191F"/>
    <w:rsid w:val="009F1E6F"/>
    <w:rsid w:val="009F25EF"/>
    <w:rsid w:val="009F4193"/>
    <w:rsid w:val="009F4C9D"/>
    <w:rsid w:val="009F5393"/>
    <w:rsid w:val="00A025D0"/>
    <w:rsid w:val="00A02A69"/>
    <w:rsid w:val="00A02C3C"/>
    <w:rsid w:val="00A05597"/>
    <w:rsid w:val="00A10972"/>
    <w:rsid w:val="00A129B6"/>
    <w:rsid w:val="00A16073"/>
    <w:rsid w:val="00A16DEC"/>
    <w:rsid w:val="00A2215C"/>
    <w:rsid w:val="00A22B30"/>
    <w:rsid w:val="00A235FD"/>
    <w:rsid w:val="00A27FD2"/>
    <w:rsid w:val="00A324E8"/>
    <w:rsid w:val="00A329E7"/>
    <w:rsid w:val="00A33383"/>
    <w:rsid w:val="00A338CE"/>
    <w:rsid w:val="00A33A17"/>
    <w:rsid w:val="00A33FF2"/>
    <w:rsid w:val="00A34273"/>
    <w:rsid w:val="00A35076"/>
    <w:rsid w:val="00A35265"/>
    <w:rsid w:val="00A353A9"/>
    <w:rsid w:val="00A364ED"/>
    <w:rsid w:val="00A36ABD"/>
    <w:rsid w:val="00A37508"/>
    <w:rsid w:val="00A37FD3"/>
    <w:rsid w:val="00A431C0"/>
    <w:rsid w:val="00A437D6"/>
    <w:rsid w:val="00A447FB"/>
    <w:rsid w:val="00A47391"/>
    <w:rsid w:val="00A5098E"/>
    <w:rsid w:val="00A52E76"/>
    <w:rsid w:val="00A530C7"/>
    <w:rsid w:val="00A54985"/>
    <w:rsid w:val="00A552C9"/>
    <w:rsid w:val="00A560E3"/>
    <w:rsid w:val="00A60283"/>
    <w:rsid w:val="00A62664"/>
    <w:rsid w:val="00A639D3"/>
    <w:rsid w:val="00A63CBB"/>
    <w:rsid w:val="00A64803"/>
    <w:rsid w:val="00A64AED"/>
    <w:rsid w:val="00A65F38"/>
    <w:rsid w:val="00A668D2"/>
    <w:rsid w:val="00A703EA"/>
    <w:rsid w:val="00A70FC2"/>
    <w:rsid w:val="00A7222C"/>
    <w:rsid w:val="00A72D71"/>
    <w:rsid w:val="00A7387C"/>
    <w:rsid w:val="00A73ACA"/>
    <w:rsid w:val="00A74525"/>
    <w:rsid w:val="00A76833"/>
    <w:rsid w:val="00A80975"/>
    <w:rsid w:val="00A80F5B"/>
    <w:rsid w:val="00A8262E"/>
    <w:rsid w:val="00A8302C"/>
    <w:rsid w:val="00A8315D"/>
    <w:rsid w:val="00A831D4"/>
    <w:rsid w:val="00A83702"/>
    <w:rsid w:val="00A85D4D"/>
    <w:rsid w:val="00A85E93"/>
    <w:rsid w:val="00A862F7"/>
    <w:rsid w:val="00A87728"/>
    <w:rsid w:val="00A91A97"/>
    <w:rsid w:val="00A93698"/>
    <w:rsid w:val="00A95183"/>
    <w:rsid w:val="00AA0DCF"/>
    <w:rsid w:val="00AA421A"/>
    <w:rsid w:val="00AB0320"/>
    <w:rsid w:val="00AB0471"/>
    <w:rsid w:val="00AB1473"/>
    <w:rsid w:val="00AB1571"/>
    <w:rsid w:val="00AB22BA"/>
    <w:rsid w:val="00AB317D"/>
    <w:rsid w:val="00AB38CC"/>
    <w:rsid w:val="00AB3A1F"/>
    <w:rsid w:val="00AB3C66"/>
    <w:rsid w:val="00AB486C"/>
    <w:rsid w:val="00AB6D76"/>
    <w:rsid w:val="00AB7A7D"/>
    <w:rsid w:val="00AC15C4"/>
    <w:rsid w:val="00AC2D5C"/>
    <w:rsid w:val="00AC3C05"/>
    <w:rsid w:val="00AC402C"/>
    <w:rsid w:val="00AC4B52"/>
    <w:rsid w:val="00AC509E"/>
    <w:rsid w:val="00AC5F8B"/>
    <w:rsid w:val="00AC61A6"/>
    <w:rsid w:val="00AC69D7"/>
    <w:rsid w:val="00AC6D6A"/>
    <w:rsid w:val="00AC6F74"/>
    <w:rsid w:val="00AD1385"/>
    <w:rsid w:val="00AD1853"/>
    <w:rsid w:val="00AD1DB2"/>
    <w:rsid w:val="00AD4235"/>
    <w:rsid w:val="00AD4B40"/>
    <w:rsid w:val="00AD5B3C"/>
    <w:rsid w:val="00AD6CDA"/>
    <w:rsid w:val="00AD7444"/>
    <w:rsid w:val="00AD78E7"/>
    <w:rsid w:val="00AE0A4C"/>
    <w:rsid w:val="00AE0E92"/>
    <w:rsid w:val="00AE13B5"/>
    <w:rsid w:val="00AE1DF3"/>
    <w:rsid w:val="00AE2886"/>
    <w:rsid w:val="00AE4094"/>
    <w:rsid w:val="00AE478E"/>
    <w:rsid w:val="00AE4BBE"/>
    <w:rsid w:val="00AE6A72"/>
    <w:rsid w:val="00AE6E83"/>
    <w:rsid w:val="00AF120A"/>
    <w:rsid w:val="00AF5722"/>
    <w:rsid w:val="00AF6BC4"/>
    <w:rsid w:val="00AF7D9E"/>
    <w:rsid w:val="00B00C48"/>
    <w:rsid w:val="00B01293"/>
    <w:rsid w:val="00B01C8F"/>
    <w:rsid w:val="00B02048"/>
    <w:rsid w:val="00B02F1D"/>
    <w:rsid w:val="00B02FC5"/>
    <w:rsid w:val="00B03756"/>
    <w:rsid w:val="00B03CD2"/>
    <w:rsid w:val="00B04819"/>
    <w:rsid w:val="00B04A2E"/>
    <w:rsid w:val="00B04C68"/>
    <w:rsid w:val="00B057A5"/>
    <w:rsid w:val="00B05A0B"/>
    <w:rsid w:val="00B0699D"/>
    <w:rsid w:val="00B10607"/>
    <w:rsid w:val="00B11677"/>
    <w:rsid w:val="00B12071"/>
    <w:rsid w:val="00B12766"/>
    <w:rsid w:val="00B12856"/>
    <w:rsid w:val="00B12E54"/>
    <w:rsid w:val="00B13F1C"/>
    <w:rsid w:val="00B174AC"/>
    <w:rsid w:val="00B210A4"/>
    <w:rsid w:val="00B23B5B"/>
    <w:rsid w:val="00B244E5"/>
    <w:rsid w:val="00B24AC0"/>
    <w:rsid w:val="00B25022"/>
    <w:rsid w:val="00B26EF7"/>
    <w:rsid w:val="00B27B34"/>
    <w:rsid w:val="00B30625"/>
    <w:rsid w:val="00B30AAA"/>
    <w:rsid w:val="00B32132"/>
    <w:rsid w:val="00B3361A"/>
    <w:rsid w:val="00B34857"/>
    <w:rsid w:val="00B34E54"/>
    <w:rsid w:val="00B36334"/>
    <w:rsid w:val="00B37325"/>
    <w:rsid w:val="00B374A1"/>
    <w:rsid w:val="00B4035E"/>
    <w:rsid w:val="00B41B2D"/>
    <w:rsid w:val="00B41C03"/>
    <w:rsid w:val="00B421EE"/>
    <w:rsid w:val="00B42692"/>
    <w:rsid w:val="00B43DD6"/>
    <w:rsid w:val="00B43F90"/>
    <w:rsid w:val="00B44764"/>
    <w:rsid w:val="00B45185"/>
    <w:rsid w:val="00B45263"/>
    <w:rsid w:val="00B455E7"/>
    <w:rsid w:val="00B45681"/>
    <w:rsid w:val="00B45D86"/>
    <w:rsid w:val="00B45FAC"/>
    <w:rsid w:val="00B47117"/>
    <w:rsid w:val="00B500FA"/>
    <w:rsid w:val="00B50EF8"/>
    <w:rsid w:val="00B52E73"/>
    <w:rsid w:val="00B530CE"/>
    <w:rsid w:val="00B54E5D"/>
    <w:rsid w:val="00B55482"/>
    <w:rsid w:val="00B55772"/>
    <w:rsid w:val="00B55990"/>
    <w:rsid w:val="00B55C8F"/>
    <w:rsid w:val="00B55F67"/>
    <w:rsid w:val="00B57756"/>
    <w:rsid w:val="00B601F4"/>
    <w:rsid w:val="00B606DD"/>
    <w:rsid w:val="00B6230D"/>
    <w:rsid w:val="00B6284A"/>
    <w:rsid w:val="00B62B89"/>
    <w:rsid w:val="00B63EEA"/>
    <w:rsid w:val="00B64064"/>
    <w:rsid w:val="00B64067"/>
    <w:rsid w:val="00B646F9"/>
    <w:rsid w:val="00B656FE"/>
    <w:rsid w:val="00B65FF8"/>
    <w:rsid w:val="00B67B51"/>
    <w:rsid w:val="00B71C13"/>
    <w:rsid w:val="00B745DD"/>
    <w:rsid w:val="00B7483D"/>
    <w:rsid w:val="00B800B5"/>
    <w:rsid w:val="00B80FB5"/>
    <w:rsid w:val="00B81060"/>
    <w:rsid w:val="00B81633"/>
    <w:rsid w:val="00B830D3"/>
    <w:rsid w:val="00B83B61"/>
    <w:rsid w:val="00B83F08"/>
    <w:rsid w:val="00B8478B"/>
    <w:rsid w:val="00B85001"/>
    <w:rsid w:val="00B8519C"/>
    <w:rsid w:val="00B864CE"/>
    <w:rsid w:val="00B86C5D"/>
    <w:rsid w:val="00B8733B"/>
    <w:rsid w:val="00B8752D"/>
    <w:rsid w:val="00B8780E"/>
    <w:rsid w:val="00B900CC"/>
    <w:rsid w:val="00B903CD"/>
    <w:rsid w:val="00B921D4"/>
    <w:rsid w:val="00B96F77"/>
    <w:rsid w:val="00B96F9A"/>
    <w:rsid w:val="00BA044C"/>
    <w:rsid w:val="00BA0B31"/>
    <w:rsid w:val="00BA17A8"/>
    <w:rsid w:val="00BA7EE7"/>
    <w:rsid w:val="00BB0CAB"/>
    <w:rsid w:val="00BB0CD7"/>
    <w:rsid w:val="00BB0F6B"/>
    <w:rsid w:val="00BB174E"/>
    <w:rsid w:val="00BB1D83"/>
    <w:rsid w:val="00BB2E63"/>
    <w:rsid w:val="00BB3AE5"/>
    <w:rsid w:val="00BB697F"/>
    <w:rsid w:val="00BC44F6"/>
    <w:rsid w:val="00BC468E"/>
    <w:rsid w:val="00BC48CC"/>
    <w:rsid w:val="00BC5546"/>
    <w:rsid w:val="00BD115C"/>
    <w:rsid w:val="00BD12A7"/>
    <w:rsid w:val="00BD179C"/>
    <w:rsid w:val="00BD1C13"/>
    <w:rsid w:val="00BD2581"/>
    <w:rsid w:val="00BD54F6"/>
    <w:rsid w:val="00BD583C"/>
    <w:rsid w:val="00BD5866"/>
    <w:rsid w:val="00BE06C4"/>
    <w:rsid w:val="00BE0C35"/>
    <w:rsid w:val="00BE2353"/>
    <w:rsid w:val="00BE3339"/>
    <w:rsid w:val="00BE5589"/>
    <w:rsid w:val="00BE5C2D"/>
    <w:rsid w:val="00BF047F"/>
    <w:rsid w:val="00BF17BC"/>
    <w:rsid w:val="00BF220B"/>
    <w:rsid w:val="00BF3AC7"/>
    <w:rsid w:val="00BF4615"/>
    <w:rsid w:val="00BF46D2"/>
    <w:rsid w:val="00BF641B"/>
    <w:rsid w:val="00BF76D2"/>
    <w:rsid w:val="00C00FC2"/>
    <w:rsid w:val="00C015B3"/>
    <w:rsid w:val="00C015F2"/>
    <w:rsid w:val="00C01881"/>
    <w:rsid w:val="00C040CE"/>
    <w:rsid w:val="00C04DDA"/>
    <w:rsid w:val="00C0515A"/>
    <w:rsid w:val="00C07B89"/>
    <w:rsid w:val="00C07DB1"/>
    <w:rsid w:val="00C10675"/>
    <w:rsid w:val="00C115E8"/>
    <w:rsid w:val="00C12ADC"/>
    <w:rsid w:val="00C14295"/>
    <w:rsid w:val="00C14976"/>
    <w:rsid w:val="00C14CEA"/>
    <w:rsid w:val="00C1577D"/>
    <w:rsid w:val="00C167F8"/>
    <w:rsid w:val="00C17D1A"/>
    <w:rsid w:val="00C20F35"/>
    <w:rsid w:val="00C2109D"/>
    <w:rsid w:val="00C21B3E"/>
    <w:rsid w:val="00C26C78"/>
    <w:rsid w:val="00C278A8"/>
    <w:rsid w:val="00C27EB6"/>
    <w:rsid w:val="00C27FBA"/>
    <w:rsid w:val="00C30411"/>
    <w:rsid w:val="00C31225"/>
    <w:rsid w:val="00C31AA9"/>
    <w:rsid w:val="00C3254A"/>
    <w:rsid w:val="00C32C5E"/>
    <w:rsid w:val="00C339EE"/>
    <w:rsid w:val="00C341DA"/>
    <w:rsid w:val="00C35BA8"/>
    <w:rsid w:val="00C37630"/>
    <w:rsid w:val="00C406AF"/>
    <w:rsid w:val="00C40DAD"/>
    <w:rsid w:val="00C41B86"/>
    <w:rsid w:val="00C434F1"/>
    <w:rsid w:val="00C43ED5"/>
    <w:rsid w:val="00C46AAD"/>
    <w:rsid w:val="00C46B98"/>
    <w:rsid w:val="00C47EB3"/>
    <w:rsid w:val="00C502E7"/>
    <w:rsid w:val="00C51B95"/>
    <w:rsid w:val="00C5245B"/>
    <w:rsid w:val="00C5342C"/>
    <w:rsid w:val="00C53A91"/>
    <w:rsid w:val="00C54203"/>
    <w:rsid w:val="00C55CD4"/>
    <w:rsid w:val="00C56FA3"/>
    <w:rsid w:val="00C61617"/>
    <w:rsid w:val="00C61FE6"/>
    <w:rsid w:val="00C6200A"/>
    <w:rsid w:val="00C623C8"/>
    <w:rsid w:val="00C62CC7"/>
    <w:rsid w:val="00C64D54"/>
    <w:rsid w:val="00C64E8A"/>
    <w:rsid w:val="00C657DC"/>
    <w:rsid w:val="00C67CB2"/>
    <w:rsid w:val="00C70AC2"/>
    <w:rsid w:val="00C7158E"/>
    <w:rsid w:val="00C72754"/>
    <w:rsid w:val="00C72F77"/>
    <w:rsid w:val="00C73372"/>
    <w:rsid w:val="00C740C3"/>
    <w:rsid w:val="00C741A3"/>
    <w:rsid w:val="00C75485"/>
    <w:rsid w:val="00C75621"/>
    <w:rsid w:val="00C75A3F"/>
    <w:rsid w:val="00C75AAA"/>
    <w:rsid w:val="00C76C81"/>
    <w:rsid w:val="00C7708D"/>
    <w:rsid w:val="00C7708E"/>
    <w:rsid w:val="00C77BE2"/>
    <w:rsid w:val="00C81A76"/>
    <w:rsid w:val="00C82BB5"/>
    <w:rsid w:val="00C8381A"/>
    <w:rsid w:val="00C844F7"/>
    <w:rsid w:val="00C84FE3"/>
    <w:rsid w:val="00C86515"/>
    <w:rsid w:val="00C867A1"/>
    <w:rsid w:val="00C8689C"/>
    <w:rsid w:val="00C870D9"/>
    <w:rsid w:val="00C87E5F"/>
    <w:rsid w:val="00C90213"/>
    <w:rsid w:val="00C90636"/>
    <w:rsid w:val="00C906B2"/>
    <w:rsid w:val="00C90825"/>
    <w:rsid w:val="00C91ABD"/>
    <w:rsid w:val="00C91BC0"/>
    <w:rsid w:val="00C92DD8"/>
    <w:rsid w:val="00C95D42"/>
    <w:rsid w:val="00C96034"/>
    <w:rsid w:val="00C964A6"/>
    <w:rsid w:val="00CA0099"/>
    <w:rsid w:val="00CA18F1"/>
    <w:rsid w:val="00CA273F"/>
    <w:rsid w:val="00CA279D"/>
    <w:rsid w:val="00CA288E"/>
    <w:rsid w:val="00CA2F01"/>
    <w:rsid w:val="00CA3CE0"/>
    <w:rsid w:val="00CA4142"/>
    <w:rsid w:val="00CA5D55"/>
    <w:rsid w:val="00CA68A1"/>
    <w:rsid w:val="00CB03A0"/>
    <w:rsid w:val="00CB067E"/>
    <w:rsid w:val="00CB192F"/>
    <w:rsid w:val="00CB1E94"/>
    <w:rsid w:val="00CB2891"/>
    <w:rsid w:val="00CB2CE3"/>
    <w:rsid w:val="00CB45E5"/>
    <w:rsid w:val="00CB4A71"/>
    <w:rsid w:val="00CB5664"/>
    <w:rsid w:val="00CB626E"/>
    <w:rsid w:val="00CB6DAD"/>
    <w:rsid w:val="00CB70CB"/>
    <w:rsid w:val="00CC0DB8"/>
    <w:rsid w:val="00CC3174"/>
    <w:rsid w:val="00CC352C"/>
    <w:rsid w:val="00CC409A"/>
    <w:rsid w:val="00CC4E2F"/>
    <w:rsid w:val="00CC4E96"/>
    <w:rsid w:val="00CC7FC4"/>
    <w:rsid w:val="00CD0F69"/>
    <w:rsid w:val="00CD158C"/>
    <w:rsid w:val="00CD193A"/>
    <w:rsid w:val="00CD1FD7"/>
    <w:rsid w:val="00CD3B4F"/>
    <w:rsid w:val="00CD400E"/>
    <w:rsid w:val="00CD40F3"/>
    <w:rsid w:val="00CD4867"/>
    <w:rsid w:val="00CD54B6"/>
    <w:rsid w:val="00CE1685"/>
    <w:rsid w:val="00CE23A8"/>
    <w:rsid w:val="00CE2E3A"/>
    <w:rsid w:val="00CE70C7"/>
    <w:rsid w:val="00CE791A"/>
    <w:rsid w:val="00CE7F7D"/>
    <w:rsid w:val="00CF0230"/>
    <w:rsid w:val="00CF12E5"/>
    <w:rsid w:val="00CF172A"/>
    <w:rsid w:val="00CF192D"/>
    <w:rsid w:val="00CF4705"/>
    <w:rsid w:val="00CF5CC0"/>
    <w:rsid w:val="00CF68AE"/>
    <w:rsid w:val="00D0042D"/>
    <w:rsid w:val="00D01672"/>
    <w:rsid w:val="00D01700"/>
    <w:rsid w:val="00D01D67"/>
    <w:rsid w:val="00D02C97"/>
    <w:rsid w:val="00D03FF1"/>
    <w:rsid w:val="00D05427"/>
    <w:rsid w:val="00D06500"/>
    <w:rsid w:val="00D06A36"/>
    <w:rsid w:val="00D071E0"/>
    <w:rsid w:val="00D119A0"/>
    <w:rsid w:val="00D13109"/>
    <w:rsid w:val="00D139F5"/>
    <w:rsid w:val="00D1463C"/>
    <w:rsid w:val="00D14920"/>
    <w:rsid w:val="00D14CF7"/>
    <w:rsid w:val="00D15218"/>
    <w:rsid w:val="00D15CB8"/>
    <w:rsid w:val="00D16206"/>
    <w:rsid w:val="00D2090C"/>
    <w:rsid w:val="00D21152"/>
    <w:rsid w:val="00D22185"/>
    <w:rsid w:val="00D2302D"/>
    <w:rsid w:val="00D23162"/>
    <w:rsid w:val="00D25FF2"/>
    <w:rsid w:val="00D27F48"/>
    <w:rsid w:val="00D30201"/>
    <w:rsid w:val="00D3192C"/>
    <w:rsid w:val="00D31CCF"/>
    <w:rsid w:val="00D326F8"/>
    <w:rsid w:val="00D335E3"/>
    <w:rsid w:val="00D33AD3"/>
    <w:rsid w:val="00D33E87"/>
    <w:rsid w:val="00D342BC"/>
    <w:rsid w:val="00D34F50"/>
    <w:rsid w:val="00D3595C"/>
    <w:rsid w:val="00D35EB0"/>
    <w:rsid w:val="00D37AB4"/>
    <w:rsid w:val="00D43830"/>
    <w:rsid w:val="00D44F34"/>
    <w:rsid w:val="00D4631F"/>
    <w:rsid w:val="00D5000A"/>
    <w:rsid w:val="00D50B20"/>
    <w:rsid w:val="00D54172"/>
    <w:rsid w:val="00D54FB9"/>
    <w:rsid w:val="00D55F7B"/>
    <w:rsid w:val="00D576E5"/>
    <w:rsid w:val="00D60C9F"/>
    <w:rsid w:val="00D61538"/>
    <w:rsid w:val="00D62467"/>
    <w:rsid w:val="00D66CDC"/>
    <w:rsid w:val="00D67487"/>
    <w:rsid w:val="00D6780C"/>
    <w:rsid w:val="00D67E81"/>
    <w:rsid w:val="00D7108A"/>
    <w:rsid w:val="00D7150A"/>
    <w:rsid w:val="00D72804"/>
    <w:rsid w:val="00D73989"/>
    <w:rsid w:val="00D744F1"/>
    <w:rsid w:val="00D75536"/>
    <w:rsid w:val="00D75910"/>
    <w:rsid w:val="00D75952"/>
    <w:rsid w:val="00D75A21"/>
    <w:rsid w:val="00D771F7"/>
    <w:rsid w:val="00D8005C"/>
    <w:rsid w:val="00D808BE"/>
    <w:rsid w:val="00D81511"/>
    <w:rsid w:val="00D816F3"/>
    <w:rsid w:val="00D840B7"/>
    <w:rsid w:val="00D84430"/>
    <w:rsid w:val="00D849CA"/>
    <w:rsid w:val="00D84A38"/>
    <w:rsid w:val="00D84B84"/>
    <w:rsid w:val="00D85EE1"/>
    <w:rsid w:val="00D8707A"/>
    <w:rsid w:val="00D87B3C"/>
    <w:rsid w:val="00D91E20"/>
    <w:rsid w:val="00D91E32"/>
    <w:rsid w:val="00D9303A"/>
    <w:rsid w:val="00D935F0"/>
    <w:rsid w:val="00D93635"/>
    <w:rsid w:val="00D9368B"/>
    <w:rsid w:val="00D93B9A"/>
    <w:rsid w:val="00D94D9E"/>
    <w:rsid w:val="00D96A7C"/>
    <w:rsid w:val="00D96D4D"/>
    <w:rsid w:val="00D96DB0"/>
    <w:rsid w:val="00DA02A8"/>
    <w:rsid w:val="00DA0E2D"/>
    <w:rsid w:val="00DA12DA"/>
    <w:rsid w:val="00DA1A01"/>
    <w:rsid w:val="00DA2BCC"/>
    <w:rsid w:val="00DA4E22"/>
    <w:rsid w:val="00DA4E7D"/>
    <w:rsid w:val="00DA4FC8"/>
    <w:rsid w:val="00DA53E8"/>
    <w:rsid w:val="00DA5871"/>
    <w:rsid w:val="00DA640D"/>
    <w:rsid w:val="00DA6F79"/>
    <w:rsid w:val="00DA6F8E"/>
    <w:rsid w:val="00DA765A"/>
    <w:rsid w:val="00DB3FFC"/>
    <w:rsid w:val="00DB47EE"/>
    <w:rsid w:val="00DB4DCF"/>
    <w:rsid w:val="00DB5148"/>
    <w:rsid w:val="00DB58E5"/>
    <w:rsid w:val="00DB6073"/>
    <w:rsid w:val="00DB710F"/>
    <w:rsid w:val="00DB7510"/>
    <w:rsid w:val="00DB7886"/>
    <w:rsid w:val="00DB7DD6"/>
    <w:rsid w:val="00DC15AA"/>
    <w:rsid w:val="00DC1E1E"/>
    <w:rsid w:val="00DC23D8"/>
    <w:rsid w:val="00DC265D"/>
    <w:rsid w:val="00DC5C69"/>
    <w:rsid w:val="00DC649B"/>
    <w:rsid w:val="00DC69A6"/>
    <w:rsid w:val="00DC7B85"/>
    <w:rsid w:val="00DD0662"/>
    <w:rsid w:val="00DD08B6"/>
    <w:rsid w:val="00DD191B"/>
    <w:rsid w:val="00DD3E55"/>
    <w:rsid w:val="00DD455D"/>
    <w:rsid w:val="00DD4D66"/>
    <w:rsid w:val="00DD60D1"/>
    <w:rsid w:val="00DD66CB"/>
    <w:rsid w:val="00DD6967"/>
    <w:rsid w:val="00DD720B"/>
    <w:rsid w:val="00DD72D6"/>
    <w:rsid w:val="00DD755D"/>
    <w:rsid w:val="00DD7D6E"/>
    <w:rsid w:val="00DE0769"/>
    <w:rsid w:val="00DE10B0"/>
    <w:rsid w:val="00DE2141"/>
    <w:rsid w:val="00DE2385"/>
    <w:rsid w:val="00DE24EF"/>
    <w:rsid w:val="00DE2604"/>
    <w:rsid w:val="00DE2DF6"/>
    <w:rsid w:val="00DE2F23"/>
    <w:rsid w:val="00DE3C06"/>
    <w:rsid w:val="00DE3C46"/>
    <w:rsid w:val="00DE4515"/>
    <w:rsid w:val="00DE46BB"/>
    <w:rsid w:val="00DE5378"/>
    <w:rsid w:val="00DE57D2"/>
    <w:rsid w:val="00DE7C31"/>
    <w:rsid w:val="00DF208B"/>
    <w:rsid w:val="00DF23A6"/>
    <w:rsid w:val="00DF4774"/>
    <w:rsid w:val="00DF5688"/>
    <w:rsid w:val="00E008AA"/>
    <w:rsid w:val="00E01690"/>
    <w:rsid w:val="00E01751"/>
    <w:rsid w:val="00E02443"/>
    <w:rsid w:val="00E031DE"/>
    <w:rsid w:val="00E0390D"/>
    <w:rsid w:val="00E03B47"/>
    <w:rsid w:val="00E03FA9"/>
    <w:rsid w:val="00E046A8"/>
    <w:rsid w:val="00E046DC"/>
    <w:rsid w:val="00E04B83"/>
    <w:rsid w:val="00E053FA"/>
    <w:rsid w:val="00E0639B"/>
    <w:rsid w:val="00E06D2A"/>
    <w:rsid w:val="00E073A4"/>
    <w:rsid w:val="00E07735"/>
    <w:rsid w:val="00E102B2"/>
    <w:rsid w:val="00E11106"/>
    <w:rsid w:val="00E11DB8"/>
    <w:rsid w:val="00E11E75"/>
    <w:rsid w:val="00E1221B"/>
    <w:rsid w:val="00E1225B"/>
    <w:rsid w:val="00E12447"/>
    <w:rsid w:val="00E12C32"/>
    <w:rsid w:val="00E14009"/>
    <w:rsid w:val="00E149DF"/>
    <w:rsid w:val="00E159DF"/>
    <w:rsid w:val="00E16B27"/>
    <w:rsid w:val="00E16B8C"/>
    <w:rsid w:val="00E178C2"/>
    <w:rsid w:val="00E17C22"/>
    <w:rsid w:val="00E200DA"/>
    <w:rsid w:val="00E22BA7"/>
    <w:rsid w:val="00E22CFD"/>
    <w:rsid w:val="00E23764"/>
    <w:rsid w:val="00E23B1F"/>
    <w:rsid w:val="00E24CCB"/>
    <w:rsid w:val="00E24F8C"/>
    <w:rsid w:val="00E252C7"/>
    <w:rsid w:val="00E2568F"/>
    <w:rsid w:val="00E25721"/>
    <w:rsid w:val="00E257B3"/>
    <w:rsid w:val="00E2600A"/>
    <w:rsid w:val="00E300E5"/>
    <w:rsid w:val="00E327E0"/>
    <w:rsid w:val="00E32B21"/>
    <w:rsid w:val="00E34EFE"/>
    <w:rsid w:val="00E372F8"/>
    <w:rsid w:val="00E403E7"/>
    <w:rsid w:val="00E437C4"/>
    <w:rsid w:val="00E46A85"/>
    <w:rsid w:val="00E46BBC"/>
    <w:rsid w:val="00E526A6"/>
    <w:rsid w:val="00E527DB"/>
    <w:rsid w:val="00E53064"/>
    <w:rsid w:val="00E54535"/>
    <w:rsid w:val="00E55D2B"/>
    <w:rsid w:val="00E56396"/>
    <w:rsid w:val="00E57DA8"/>
    <w:rsid w:val="00E617FE"/>
    <w:rsid w:val="00E61940"/>
    <w:rsid w:val="00E61976"/>
    <w:rsid w:val="00E62870"/>
    <w:rsid w:val="00E63084"/>
    <w:rsid w:val="00E64173"/>
    <w:rsid w:val="00E64B31"/>
    <w:rsid w:val="00E64D2E"/>
    <w:rsid w:val="00E65373"/>
    <w:rsid w:val="00E70230"/>
    <w:rsid w:val="00E71367"/>
    <w:rsid w:val="00E714AE"/>
    <w:rsid w:val="00E718FE"/>
    <w:rsid w:val="00E72E6E"/>
    <w:rsid w:val="00E73336"/>
    <w:rsid w:val="00E75964"/>
    <w:rsid w:val="00E76E54"/>
    <w:rsid w:val="00E77A78"/>
    <w:rsid w:val="00E818F2"/>
    <w:rsid w:val="00E82754"/>
    <w:rsid w:val="00E83230"/>
    <w:rsid w:val="00E834A9"/>
    <w:rsid w:val="00E86B3B"/>
    <w:rsid w:val="00E903C4"/>
    <w:rsid w:val="00E90724"/>
    <w:rsid w:val="00E9081F"/>
    <w:rsid w:val="00E90EC5"/>
    <w:rsid w:val="00E91524"/>
    <w:rsid w:val="00E919B4"/>
    <w:rsid w:val="00E93303"/>
    <w:rsid w:val="00E937B1"/>
    <w:rsid w:val="00E96B53"/>
    <w:rsid w:val="00EA066C"/>
    <w:rsid w:val="00EA0B9C"/>
    <w:rsid w:val="00EA299F"/>
    <w:rsid w:val="00EA2F48"/>
    <w:rsid w:val="00EA333A"/>
    <w:rsid w:val="00EA3688"/>
    <w:rsid w:val="00EA517E"/>
    <w:rsid w:val="00EA5EB6"/>
    <w:rsid w:val="00EA6A90"/>
    <w:rsid w:val="00EA7136"/>
    <w:rsid w:val="00EA7530"/>
    <w:rsid w:val="00EA7608"/>
    <w:rsid w:val="00EB1941"/>
    <w:rsid w:val="00EB1F44"/>
    <w:rsid w:val="00EB2A28"/>
    <w:rsid w:val="00EB3C95"/>
    <w:rsid w:val="00EB702A"/>
    <w:rsid w:val="00EC07A4"/>
    <w:rsid w:val="00EC221A"/>
    <w:rsid w:val="00EC5D27"/>
    <w:rsid w:val="00EC652D"/>
    <w:rsid w:val="00EC7019"/>
    <w:rsid w:val="00EC74F1"/>
    <w:rsid w:val="00EC7974"/>
    <w:rsid w:val="00EC7FED"/>
    <w:rsid w:val="00ED0802"/>
    <w:rsid w:val="00ED1BE0"/>
    <w:rsid w:val="00ED21EF"/>
    <w:rsid w:val="00ED38E8"/>
    <w:rsid w:val="00ED42F0"/>
    <w:rsid w:val="00ED54DA"/>
    <w:rsid w:val="00ED5743"/>
    <w:rsid w:val="00ED5922"/>
    <w:rsid w:val="00ED5D18"/>
    <w:rsid w:val="00ED6DB8"/>
    <w:rsid w:val="00ED7150"/>
    <w:rsid w:val="00ED7ABC"/>
    <w:rsid w:val="00ED7CCD"/>
    <w:rsid w:val="00EE2146"/>
    <w:rsid w:val="00EE23BE"/>
    <w:rsid w:val="00EE348C"/>
    <w:rsid w:val="00EE3C8D"/>
    <w:rsid w:val="00EE5279"/>
    <w:rsid w:val="00EE56D6"/>
    <w:rsid w:val="00EE5742"/>
    <w:rsid w:val="00EE5A3E"/>
    <w:rsid w:val="00EE64E3"/>
    <w:rsid w:val="00EF0175"/>
    <w:rsid w:val="00EF32F1"/>
    <w:rsid w:val="00EF50F6"/>
    <w:rsid w:val="00EF58F4"/>
    <w:rsid w:val="00EF7C16"/>
    <w:rsid w:val="00F00EDD"/>
    <w:rsid w:val="00F01A08"/>
    <w:rsid w:val="00F01E56"/>
    <w:rsid w:val="00F0419A"/>
    <w:rsid w:val="00F06A0F"/>
    <w:rsid w:val="00F1286D"/>
    <w:rsid w:val="00F12D2C"/>
    <w:rsid w:val="00F12FF1"/>
    <w:rsid w:val="00F1375B"/>
    <w:rsid w:val="00F13AC1"/>
    <w:rsid w:val="00F2017B"/>
    <w:rsid w:val="00F2124E"/>
    <w:rsid w:val="00F21BC4"/>
    <w:rsid w:val="00F21CF2"/>
    <w:rsid w:val="00F234BA"/>
    <w:rsid w:val="00F241A2"/>
    <w:rsid w:val="00F2462C"/>
    <w:rsid w:val="00F248A4"/>
    <w:rsid w:val="00F25B8C"/>
    <w:rsid w:val="00F261D1"/>
    <w:rsid w:val="00F266A9"/>
    <w:rsid w:val="00F26779"/>
    <w:rsid w:val="00F2700A"/>
    <w:rsid w:val="00F27036"/>
    <w:rsid w:val="00F271C2"/>
    <w:rsid w:val="00F27355"/>
    <w:rsid w:val="00F312BF"/>
    <w:rsid w:val="00F31BA0"/>
    <w:rsid w:val="00F32662"/>
    <w:rsid w:val="00F336C4"/>
    <w:rsid w:val="00F34171"/>
    <w:rsid w:val="00F345CA"/>
    <w:rsid w:val="00F35475"/>
    <w:rsid w:val="00F35A9A"/>
    <w:rsid w:val="00F35D94"/>
    <w:rsid w:val="00F3757F"/>
    <w:rsid w:val="00F405A6"/>
    <w:rsid w:val="00F407F6"/>
    <w:rsid w:val="00F40A98"/>
    <w:rsid w:val="00F41D94"/>
    <w:rsid w:val="00F4302E"/>
    <w:rsid w:val="00F443AA"/>
    <w:rsid w:val="00F45A8F"/>
    <w:rsid w:val="00F45FCA"/>
    <w:rsid w:val="00F468FD"/>
    <w:rsid w:val="00F46B72"/>
    <w:rsid w:val="00F50703"/>
    <w:rsid w:val="00F5100D"/>
    <w:rsid w:val="00F5108C"/>
    <w:rsid w:val="00F51BF3"/>
    <w:rsid w:val="00F51FF2"/>
    <w:rsid w:val="00F5388B"/>
    <w:rsid w:val="00F54813"/>
    <w:rsid w:val="00F56413"/>
    <w:rsid w:val="00F5642A"/>
    <w:rsid w:val="00F60685"/>
    <w:rsid w:val="00F60A9F"/>
    <w:rsid w:val="00F66D5E"/>
    <w:rsid w:val="00F67264"/>
    <w:rsid w:val="00F67BF2"/>
    <w:rsid w:val="00F709FB"/>
    <w:rsid w:val="00F71D0D"/>
    <w:rsid w:val="00F71D69"/>
    <w:rsid w:val="00F71D7E"/>
    <w:rsid w:val="00F7357F"/>
    <w:rsid w:val="00F737A8"/>
    <w:rsid w:val="00F73D1F"/>
    <w:rsid w:val="00F7522B"/>
    <w:rsid w:val="00F752C4"/>
    <w:rsid w:val="00F756AE"/>
    <w:rsid w:val="00F75C42"/>
    <w:rsid w:val="00F7657A"/>
    <w:rsid w:val="00F77424"/>
    <w:rsid w:val="00F77F5A"/>
    <w:rsid w:val="00F801F0"/>
    <w:rsid w:val="00F82805"/>
    <w:rsid w:val="00F84151"/>
    <w:rsid w:val="00F8431C"/>
    <w:rsid w:val="00F876EB"/>
    <w:rsid w:val="00F90A21"/>
    <w:rsid w:val="00F91C8E"/>
    <w:rsid w:val="00F928BD"/>
    <w:rsid w:val="00F92AAA"/>
    <w:rsid w:val="00F93D57"/>
    <w:rsid w:val="00F95584"/>
    <w:rsid w:val="00F955F3"/>
    <w:rsid w:val="00F95C2D"/>
    <w:rsid w:val="00F96DE9"/>
    <w:rsid w:val="00FA0C6E"/>
    <w:rsid w:val="00FA1165"/>
    <w:rsid w:val="00FA1F9A"/>
    <w:rsid w:val="00FA25EF"/>
    <w:rsid w:val="00FA42BE"/>
    <w:rsid w:val="00FA6532"/>
    <w:rsid w:val="00FA721D"/>
    <w:rsid w:val="00FA7A27"/>
    <w:rsid w:val="00FB13FB"/>
    <w:rsid w:val="00FB3310"/>
    <w:rsid w:val="00FB4F18"/>
    <w:rsid w:val="00FB62C1"/>
    <w:rsid w:val="00FC001D"/>
    <w:rsid w:val="00FC0EBB"/>
    <w:rsid w:val="00FC17E8"/>
    <w:rsid w:val="00FC22B0"/>
    <w:rsid w:val="00FC4C1C"/>
    <w:rsid w:val="00FC64DC"/>
    <w:rsid w:val="00FC6A2D"/>
    <w:rsid w:val="00FC76D0"/>
    <w:rsid w:val="00FC7815"/>
    <w:rsid w:val="00FD0CE9"/>
    <w:rsid w:val="00FD13CC"/>
    <w:rsid w:val="00FD3E6B"/>
    <w:rsid w:val="00FD60EC"/>
    <w:rsid w:val="00FD6ADC"/>
    <w:rsid w:val="00FE010B"/>
    <w:rsid w:val="00FE1831"/>
    <w:rsid w:val="00FE2039"/>
    <w:rsid w:val="00FE25F3"/>
    <w:rsid w:val="00FE28CA"/>
    <w:rsid w:val="00FE3C62"/>
    <w:rsid w:val="00FE493F"/>
    <w:rsid w:val="00FE49B5"/>
    <w:rsid w:val="00FE4EDC"/>
    <w:rsid w:val="00FF071C"/>
    <w:rsid w:val="00FF1341"/>
    <w:rsid w:val="00FF20AD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BFA69-B318-4BD6-B380-293284B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5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54203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54203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4203"/>
    <w:pPr>
      <w:jc w:val="both"/>
    </w:pPr>
    <w:rPr>
      <w:sz w:val="16"/>
    </w:rPr>
  </w:style>
  <w:style w:type="paragraph" w:styleId="Tytu">
    <w:name w:val="Title"/>
    <w:basedOn w:val="Normalny"/>
    <w:qFormat/>
    <w:rsid w:val="00C54203"/>
    <w:pPr>
      <w:jc w:val="center"/>
    </w:pPr>
    <w:rPr>
      <w:b/>
      <w:bCs/>
    </w:rPr>
  </w:style>
  <w:style w:type="character" w:styleId="Hipercze">
    <w:name w:val="Hyperlink"/>
    <w:rsid w:val="00C54203"/>
    <w:rPr>
      <w:color w:val="0000FF"/>
      <w:u w:val="single"/>
    </w:rPr>
  </w:style>
  <w:style w:type="paragraph" w:customStyle="1" w:styleId="Styl">
    <w:name w:val="Styl"/>
    <w:basedOn w:val="Normalny"/>
    <w:rsid w:val="00C54203"/>
    <w:rPr>
      <w:sz w:val="20"/>
      <w:szCs w:val="20"/>
    </w:rPr>
  </w:style>
  <w:style w:type="paragraph" w:customStyle="1" w:styleId="NormalnyWyjustowany">
    <w:name w:val="Normalny + Wyjustowany"/>
    <w:aliases w:val="Pierwszy wiersz:  0,76 cm + Nie Pogrubienie,76 cm"/>
    <w:basedOn w:val="Normalny"/>
    <w:rsid w:val="00C54203"/>
    <w:pPr>
      <w:ind w:firstLine="432"/>
      <w:jc w:val="both"/>
    </w:pPr>
    <w:rPr>
      <w:rFonts w:cs="Arial"/>
      <w:b/>
      <w:bCs/>
    </w:rPr>
  </w:style>
  <w:style w:type="paragraph" w:customStyle="1" w:styleId="Default">
    <w:name w:val="Default"/>
    <w:rsid w:val="008D20B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semiHidden/>
    <w:rsid w:val="008B1B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1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B1BBB"/>
    <w:rPr>
      <w:b/>
      <w:bCs/>
    </w:rPr>
  </w:style>
  <w:style w:type="paragraph" w:styleId="Tekstdymka">
    <w:name w:val="Balloon Text"/>
    <w:basedOn w:val="Normalny"/>
    <w:semiHidden/>
    <w:rsid w:val="008B1BB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C0D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0D2F"/>
  </w:style>
  <w:style w:type="paragraph" w:styleId="Tekstprzypisudolnego">
    <w:name w:val="footnote text"/>
    <w:basedOn w:val="Normalny"/>
    <w:semiHidden/>
    <w:rsid w:val="00933BBC"/>
    <w:rPr>
      <w:sz w:val="20"/>
      <w:szCs w:val="20"/>
    </w:rPr>
  </w:style>
  <w:style w:type="character" w:styleId="Odwoanieprzypisudolnego">
    <w:name w:val="footnote reference"/>
    <w:uiPriority w:val="99"/>
    <w:rsid w:val="00933BBC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933BBC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TekstkomentarzaZnak">
    <w:name w:val="Tekst komentarza Znak"/>
    <w:link w:val="Tekstkomentarza"/>
    <w:semiHidden/>
    <w:locked/>
    <w:rsid w:val="00E0390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84D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84D6F"/>
    <w:rPr>
      <w:sz w:val="24"/>
      <w:szCs w:val="24"/>
    </w:rPr>
  </w:style>
  <w:style w:type="paragraph" w:styleId="Nagwek">
    <w:name w:val="header"/>
    <w:basedOn w:val="Normalny"/>
    <w:link w:val="NagwekZnak"/>
    <w:rsid w:val="00746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68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E0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0E92"/>
  </w:style>
  <w:style w:type="character" w:styleId="Odwoanieprzypisukocowego">
    <w:name w:val="endnote reference"/>
    <w:rsid w:val="00AE0E92"/>
    <w:rPr>
      <w:vertAlign w:val="superscript"/>
    </w:rPr>
  </w:style>
  <w:style w:type="paragraph" w:styleId="Poprawka">
    <w:name w:val="Revision"/>
    <w:hidden/>
    <w:uiPriority w:val="99"/>
    <w:semiHidden/>
    <w:rsid w:val="00C32C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ep.pl/urzed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6CBA-AE71-4668-919E-D2077008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9902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ZBIEŻNOŚCI</vt:lpstr>
    </vt:vector>
  </TitlesOfParts>
  <Company>Ministerstwo Finansów</Company>
  <LinksUpToDate>false</LinksUpToDate>
  <CharactersWithSpaces>11415</CharactersWithSpaces>
  <SharedDoc>false</SharedDoc>
  <HLinks>
    <vt:vector size="6" baseType="variant"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http://www.e-step.pl/urzednik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ZBIEŻNOŚCI</dc:title>
  <dc:creator>Paweł Wendler</dc:creator>
  <cp:lastModifiedBy>Kamińska Adriana</cp:lastModifiedBy>
  <cp:revision>2</cp:revision>
  <cp:lastPrinted>2012-03-23T08:04:00Z</cp:lastPrinted>
  <dcterms:created xsi:type="dcterms:W3CDTF">2021-04-28T08:01:00Z</dcterms:created>
  <dcterms:modified xsi:type="dcterms:W3CDTF">2021-04-28T08:01:00Z</dcterms:modified>
</cp:coreProperties>
</file>