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B3" w:rsidRPr="00ED1B09" w:rsidRDefault="00B203B3" w:rsidP="002F6787">
      <w:pPr>
        <w:pStyle w:val="Tekstpodstawowy2"/>
        <w:spacing w:after="80"/>
        <w:ind w:right="506" w:firstLine="426"/>
        <w:jc w:val="center"/>
        <w:rPr>
          <w:b/>
          <w:szCs w:val="24"/>
        </w:rPr>
      </w:pPr>
      <w:bookmarkStart w:id="0" w:name="_GoBack"/>
      <w:bookmarkEnd w:id="0"/>
      <w:r w:rsidRPr="00ED1B09">
        <w:rPr>
          <w:b/>
          <w:szCs w:val="24"/>
        </w:rPr>
        <w:t>UZASADNIENIE</w:t>
      </w:r>
    </w:p>
    <w:p w:rsidR="00B203B3" w:rsidRPr="00ED1B09" w:rsidRDefault="00B203B3" w:rsidP="002F6787">
      <w:pPr>
        <w:spacing w:after="80"/>
        <w:ind w:right="506"/>
        <w:jc w:val="both"/>
      </w:pPr>
    </w:p>
    <w:p w:rsidR="00B203B3" w:rsidRPr="00ED1B09" w:rsidRDefault="00B203B3" w:rsidP="002F6787">
      <w:pPr>
        <w:pStyle w:val="Tekstpodstawowy2"/>
        <w:spacing w:after="80"/>
        <w:ind w:right="26"/>
        <w:rPr>
          <w:color w:val="auto"/>
          <w:szCs w:val="24"/>
        </w:rPr>
      </w:pPr>
      <w:r w:rsidRPr="00ED1B09">
        <w:rPr>
          <w:color w:val="auto"/>
          <w:szCs w:val="24"/>
        </w:rPr>
        <w:t>Projekt rozporządzenia Ministra</w:t>
      </w:r>
      <w:r w:rsidR="00600CED" w:rsidRPr="00ED1B09">
        <w:rPr>
          <w:color w:val="auto"/>
          <w:szCs w:val="24"/>
        </w:rPr>
        <w:t xml:space="preserve"> </w:t>
      </w:r>
      <w:r w:rsidRPr="00ED1B09">
        <w:rPr>
          <w:color w:val="auto"/>
          <w:szCs w:val="24"/>
        </w:rPr>
        <w:t>Finansów</w:t>
      </w:r>
      <w:r w:rsidR="00BD535F">
        <w:rPr>
          <w:color w:val="auto"/>
          <w:szCs w:val="24"/>
        </w:rPr>
        <w:t>, Funduszy i Polityki Regionalnej</w:t>
      </w:r>
      <w:r w:rsidRPr="00ED1B09">
        <w:rPr>
          <w:color w:val="auto"/>
          <w:szCs w:val="24"/>
        </w:rPr>
        <w:t xml:space="preserve"> </w:t>
      </w:r>
      <w:r w:rsidR="00FC7D5A" w:rsidRPr="00FC7D5A">
        <w:rPr>
          <w:i/>
          <w:color w:val="auto"/>
          <w:szCs w:val="24"/>
        </w:rPr>
        <w:t>w sprawie udzielania przez Bank Gospodarstwa Krajowego pomocy publicznej w formie gwarancji trans</w:t>
      </w:r>
      <w:r w:rsidR="00FC7D5A">
        <w:rPr>
          <w:i/>
          <w:color w:val="auto"/>
          <w:szCs w:val="24"/>
        </w:rPr>
        <w:t>akcji leasingowych w związku ze </w:t>
      </w:r>
      <w:r w:rsidR="00FC7D5A" w:rsidRPr="00FC7D5A">
        <w:rPr>
          <w:i/>
          <w:color w:val="auto"/>
          <w:szCs w:val="24"/>
        </w:rPr>
        <w:t>skutkami COVID-19</w:t>
      </w:r>
      <w:r w:rsidR="00D10693">
        <w:rPr>
          <w:i/>
          <w:color w:val="auto"/>
          <w:szCs w:val="24"/>
        </w:rPr>
        <w:t xml:space="preserve"> </w:t>
      </w:r>
      <w:r w:rsidRPr="00ED1B09">
        <w:rPr>
          <w:color w:val="auto"/>
          <w:szCs w:val="24"/>
        </w:rPr>
        <w:t xml:space="preserve">stanowi wykonanie delegacji zawartej w art. 34a ust. </w:t>
      </w:r>
      <w:r w:rsidR="00AD03C2" w:rsidRPr="00ED1B09">
        <w:rPr>
          <w:color w:val="auto"/>
          <w:szCs w:val="24"/>
        </w:rPr>
        <w:t>4</w:t>
      </w:r>
      <w:r w:rsidRPr="00ED1B09">
        <w:rPr>
          <w:color w:val="auto"/>
          <w:szCs w:val="24"/>
        </w:rPr>
        <w:t xml:space="preserve"> pkt </w:t>
      </w:r>
      <w:r w:rsidR="00FC7D5A">
        <w:rPr>
          <w:color w:val="auto"/>
          <w:szCs w:val="24"/>
        </w:rPr>
        <w:t>1 ustawy z </w:t>
      </w:r>
      <w:r w:rsidRPr="00ED1B09">
        <w:rPr>
          <w:color w:val="auto"/>
          <w:szCs w:val="24"/>
        </w:rPr>
        <w:t xml:space="preserve">dnia 8 maja 1997 r. </w:t>
      </w:r>
      <w:r w:rsidRPr="00ED1B09">
        <w:rPr>
          <w:i/>
          <w:color w:val="auto"/>
          <w:szCs w:val="24"/>
        </w:rPr>
        <w:t>o poręczeniach i gwarancjach udzie</w:t>
      </w:r>
      <w:r w:rsidR="00FC7D5A">
        <w:rPr>
          <w:i/>
          <w:color w:val="auto"/>
          <w:szCs w:val="24"/>
        </w:rPr>
        <w:t>lanych przez Skarb Państwa oraz </w:t>
      </w:r>
      <w:r w:rsidRPr="00ED1B09">
        <w:rPr>
          <w:i/>
          <w:color w:val="auto"/>
          <w:szCs w:val="24"/>
        </w:rPr>
        <w:t>niektóre osoby prawne</w:t>
      </w:r>
      <w:r w:rsidRPr="00ED1B09">
        <w:rPr>
          <w:color w:val="auto"/>
          <w:szCs w:val="24"/>
        </w:rPr>
        <w:t xml:space="preserve"> (Dz. U.</w:t>
      </w:r>
      <w:r w:rsidR="007B7747" w:rsidRPr="00ED1B09">
        <w:rPr>
          <w:color w:val="auto"/>
          <w:szCs w:val="24"/>
        </w:rPr>
        <w:t xml:space="preserve"> </w:t>
      </w:r>
      <w:r w:rsidR="000D718F" w:rsidRPr="00ED1B09">
        <w:rPr>
          <w:color w:val="auto"/>
          <w:szCs w:val="24"/>
        </w:rPr>
        <w:t>z 20</w:t>
      </w:r>
      <w:r w:rsidR="00FC7D5A">
        <w:rPr>
          <w:color w:val="auto"/>
          <w:szCs w:val="24"/>
        </w:rPr>
        <w:t>21</w:t>
      </w:r>
      <w:r w:rsidR="000D718F" w:rsidRPr="00ED1B09">
        <w:rPr>
          <w:color w:val="auto"/>
          <w:szCs w:val="24"/>
        </w:rPr>
        <w:t xml:space="preserve"> r. poz. </w:t>
      </w:r>
      <w:r w:rsidR="00FC7D5A">
        <w:rPr>
          <w:color w:val="auto"/>
          <w:szCs w:val="24"/>
        </w:rPr>
        <w:t>442</w:t>
      </w:r>
      <w:r w:rsidR="007B7747" w:rsidRPr="00ED1B09">
        <w:rPr>
          <w:color w:val="auto"/>
          <w:szCs w:val="24"/>
        </w:rPr>
        <w:t>)</w:t>
      </w:r>
      <w:r w:rsidRPr="00ED1B09">
        <w:rPr>
          <w:color w:val="auto"/>
          <w:szCs w:val="24"/>
        </w:rPr>
        <w:t>, zwanej dalej „</w:t>
      </w:r>
      <w:r w:rsidRPr="00FC7D5A">
        <w:rPr>
          <w:color w:val="auto"/>
          <w:szCs w:val="24"/>
        </w:rPr>
        <w:t>ustawą</w:t>
      </w:r>
      <w:r w:rsidR="002C3448" w:rsidRPr="00ED1B09">
        <w:rPr>
          <w:i/>
          <w:color w:val="auto"/>
          <w:szCs w:val="24"/>
        </w:rPr>
        <w:t xml:space="preserve"> o poręczeniach</w:t>
      </w:r>
      <w:r w:rsidR="007B7747" w:rsidRPr="00ED1B09">
        <w:rPr>
          <w:i/>
          <w:color w:val="auto"/>
          <w:szCs w:val="24"/>
        </w:rPr>
        <w:t xml:space="preserve"> </w:t>
      </w:r>
      <w:r w:rsidR="000D718F" w:rsidRPr="00ED1B09">
        <w:rPr>
          <w:i/>
          <w:color w:val="auto"/>
          <w:szCs w:val="24"/>
        </w:rPr>
        <w:t>i </w:t>
      </w:r>
      <w:r w:rsidR="002C3448" w:rsidRPr="00ED1B09">
        <w:rPr>
          <w:i/>
          <w:color w:val="auto"/>
          <w:szCs w:val="24"/>
        </w:rPr>
        <w:t>gwarancjach</w:t>
      </w:r>
      <w:r w:rsidRPr="00ED1B09">
        <w:rPr>
          <w:color w:val="auto"/>
          <w:szCs w:val="24"/>
        </w:rPr>
        <w:t>”.</w:t>
      </w:r>
    </w:p>
    <w:p w:rsidR="00FC7D5A" w:rsidRDefault="00B203B3" w:rsidP="002F6787">
      <w:pPr>
        <w:pStyle w:val="Tekstpodstawowy2"/>
        <w:spacing w:after="80"/>
        <w:ind w:right="26"/>
        <w:rPr>
          <w:color w:val="auto"/>
          <w:szCs w:val="24"/>
        </w:rPr>
      </w:pPr>
      <w:r w:rsidRPr="00ED1B09">
        <w:rPr>
          <w:color w:val="auto"/>
          <w:szCs w:val="24"/>
        </w:rPr>
        <w:t xml:space="preserve">Zgodnie z </w:t>
      </w:r>
      <w:r w:rsidR="00A80ABB" w:rsidRPr="00ED1B09">
        <w:rPr>
          <w:color w:val="auto"/>
          <w:szCs w:val="24"/>
        </w:rPr>
        <w:t>przytoczonym powyżej p</w:t>
      </w:r>
      <w:r w:rsidRPr="00ED1B09">
        <w:rPr>
          <w:color w:val="auto"/>
          <w:szCs w:val="24"/>
        </w:rPr>
        <w:t>rzepis</w:t>
      </w:r>
      <w:r w:rsidR="00A4388A" w:rsidRPr="00ED1B09">
        <w:rPr>
          <w:color w:val="auto"/>
          <w:szCs w:val="24"/>
        </w:rPr>
        <w:t>em</w:t>
      </w:r>
      <w:r w:rsidR="00A80ABB" w:rsidRPr="00ED1B09">
        <w:rPr>
          <w:color w:val="auto"/>
          <w:szCs w:val="24"/>
        </w:rPr>
        <w:t>,</w:t>
      </w:r>
      <w:r w:rsidRPr="00ED1B09">
        <w:rPr>
          <w:color w:val="auto"/>
          <w:szCs w:val="24"/>
        </w:rPr>
        <w:t xml:space="preserve"> minister właściwy do spraw finansów publicznych </w:t>
      </w:r>
      <w:r w:rsidR="00236C9F" w:rsidRPr="00ED1B09">
        <w:rPr>
          <w:color w:val="auto"/>
          <w:szCs w:val="24"/>
        </w:rPr>
        <w:t>określi</w:t>
      </w:r>
      <w:r w:rsidRPr="00ED1B09">
        <w:rPr>
          <w:color w:val="auto"/>
          <w:szCs w:val="24"/>
        </w:rPr>
        <w:t>, w drodze rozporządzenia, szczegółowe warunki oraz tryb udzielania</w:t>
      </w:r>
      <w:r w:rsidR="00A80ABB" w:rsidRPr="00ED1B09">
        <w:rPr>
          <w:color w:val="auto"/>
          <w:szCs w:val="24"/>
        </w:rPr>
        <w:t xml:space="preserve"> </w:t>
      </w:r>
      <w:r w:rsidRPr="00FC7D5A">
        <w:rPr>
          <w:color w:val="auto"/>
          <w:szCs w:val="24"/>
        </w:rPr>
        <w:t>pomocy</w:t>
      </w:r>
      <w:r w:rsidR="00A80ABB" w:rsidRPr="00FC7D5A">
        <w:rPr>
          <w:color w:val="auto"/>
          <w:szCs w:val="24"/>
        </w:rPr>
        <w:t xml:space="preserve"> </w:t>
      </w:r>
      <w:r w:rsidR="00FC7D5A" w:rsidRPr="00FC7D5A">
        <w:rPr>
          <w:color w:val="auto"/>
          <w:szCs w:val="24"/>
        </w:rPr>
        <w:t>publicznej</w:t>
      </w:r>
      <w:r w:rsidR="001D2B16" w:rsidRPr="00ED1B09">
        <w:rPr>
          <w:color w:val="auto"/>
          <w:szCs w:val="24"/>
        </w:rPr>
        <w:t xml:space="preserve"> w </w:t>
      </w:r>
      <w:r w:rsidRPr="00ED1B09">
        <w:rPr>
          <w:color w:val="auto"/>
          <w:szCs w:val="24"/>
        </w:rPr>
        <w:t xml:space="preserve">ramach rządowych programów </w:t>
      </w:r>
      <w:r w:rsidR="001D2B16" w:rsidRPr="00ED1B09">
        <w:rPr>
          <w:color w:val="auto"/>
          <w:szCs w:val="24"/>
        </w:rPr>
        <w:t>poręczeniowo-gwarancyjnych</w:t>
      </w:r>
      <w:r w:rsidRPr="00ED1B09">
        <w:rPr>
          <w:color w:val="auto"/>
          <w:szCs w:val="24"/>
        </w:rPr>
        <w:t>,</w:t>
      </w:r>
      <w:r w:rsidR="00B86DCA" w:rsidRPr="00ED1B09">
        <w:rPr>
          <w:color w:val="auto"/>
          <w:szCs w:val="24"/>
        </w:rPr>
        <w:t xml:space="preserve"> </w:t>
      </w:r>
      <w:r w:rsidRPr="00ED1B09">
        <w:rPr>
          <w:color w:val="auto"/>
          <w:szCs w:val="24"/>
        </w:rPr>
        <w:t>o których mowa w art. 34a ust. 1 ustawy</w:t>
      </w:r>
      <w:r w:rsidR="007B7747" w:rsidRPr="00ED1B09">
        <w:rPr>
          <w:color w:val="auto"/>
          <w:szCs w:val="24"/>
        </w:rPr>
        <w:t xml:space="preserve"> </w:t>
      </w:r>
      <w:r w:rsidR="007B7747" w:rsidRPr="00FC7D5A">
        <w:rPr>
          <w:i/>
          <w:color w:val="auto"/>
          <w:szCs w:val="24"/>
        </w:rPr>
        <w:t>o poręczeniach i gwarancjach</w:t>
      </w:r>
      <w:r w:rsidR="000D718F" w:rsidRPr="00ED1B09">
        <w:rPr>
          <w:color w:val="auto"/>
          <w:szCs w:val="24"/>
        </w:rPr>
        <w:t>, w formie poręczeń lub </w:t>
      </w:r>
      <w:r w:rsidRPr="00ED1B09">
        <w:rPr>
          <w:color w:val="auto"/>
          <w:szCs w:val="24"/>
        </w:rPr>
        <w:t>gwarancji Banku Gospodarstwa Krajowego</w:t>
      </w:r>
      <w:r w:rsidR="00236C9F" w:rsidRPr="00ED1B09">
        <w:rPr>
          <w:color w:val="auto"/>
          <w:szCs w:val="24"/>
        </w:rPr>
        <w:t xml:space="preserve">, zwanego dalej </w:t>
      </w:r>
      <w:r w:rsidRPr="00ED1B09">
        <w:rPr>
          <w:color w:val="auto"/>
          <w:szCs w:val="24"/>
        </w:rPr>
        <w:t>„</w:t>
      </w:r>
      <w:r w:rsidRPr="002A2DE4">
        <w:rPr>
          <w:color w:val="auto"/>
          <w:szCs w:val="24"/>
        </w:rPr>
        <w:t>BGK</w:t>
      </w:r>
      <w:r w:rsidRPr="00ED1B09">
        <w:rPr>
          <w:color w:val="auto"/>
          <w:szCs w:val="24"/>
        </w:rPr>
        <w:t>”</w:t>
      </w:r>
      <w:r w:rsidR="00FC7D5A">
        <w:rPr>
          <w:color w:val="auto"/>
          <w:szCs w:val="24"/>
        </w:rPr>
        <w:t>.</w:t>
      </w:r>
    </w:p>
    <w:p w:rsidR="00291587" w:rsidRDefault="00291587" w:rsidP="002F6787">
      <w:pPr>
        <w:pStyle w:val="Tekstpodstawowy2"/>
        <w:spacing w:after="80"/>
        <w:ind w:right="26"/>
        <w:rPr>
          <w:color w:val="auto"/>
          <w:szCs w:val="24"/>
        </w:rPr>
      </w:pPr>
      <w:r w:rsidRPr="00291587">
        <w:rPr>
          <w:color w:val="auto"/>
          <w:szCs w:val="24"/>
        </w:rPr>
        <w:t>Na postawie art. 34a ust. 2 ustawy o poręczeniach i gwarancjach BGK może udzielać, w ramach rządowych programów poręczeniowo-g</w:t>
      </w:r>
      <w:r>
        <w:rPr>
          <w:color w:val="auto"/>
          <w:szCs w:val="24"/>
        </w:rPr>
        <w:t>warancyjnych, m.in. pomocy publicznej.</w:t>
      </w:r>
    </w:p>
    <w:p w:rsidR="00FC7D5A" w:rsidRDefault="00FC7D5A" w:rsidP="002F6787">
      <w:pPr>
        <w:pStyle w:val="Tekstpodstawowy2"/>
        <w:spacing w:after="80"/>
        <w:ind w:right="26"/>
        <w:rPr>
          <w:color w:val="auto"/>
          <w:szCs w:val="24"/>
        </w:rPr>
      </w:pPr>
      <w:r w:rsidRPr="00FC7D5A">
        <w:rPr>
          <w:color w:val="auto"/>
          <w:szCs w:val="24"/>
        </w:rPr>
        <w:t>Programem rządowym określającym zasady udzielania p</w:t>
      </w:r>
      <w:r>
        <w:rPr>
          <w:color w:val="auto"/>
          <w:szCs w:val="24"/>
        </w:rPr>
        <w:t xml:space="preserve">rzez BGK poręczeń i gwarancji </w:t>
      </w:r>
      <w:r w:rsidRPr="00FC7D5A">
        <w:rPr>
          <w:color w:val="auto"/>
          <w:szCs w:val="24"/>
        </w:rPr>
        <w:t>jest program „Wspieranie przedsiębiorczości z wykorzystaniem poręczeń i gwarancji Banku Gospodarstwa Krajowego”</w:t>
      </w:r>
      <w:r w:rsidR="00291587">
        <w:rPr>
          <w:color w:val="auto"/>
          <w:szCs w:val="24"/>
        </w:rPr>
        <w:t xml:space="preserve"> z dnia 7 marca 2018 r</w:t>
      </w:r>
      <w:r w:rsidR="00E93615">
        <w:rPr>
          <w:color w:val="auto"/>
          <w:szCs w:val="24"/>
        </w:rPr>
        <w:t>.</w:t>
      </w:r>
      <w:r w:rsidR="00291587">
        <w:rPr>
          <w:color w:val="auto"/>
          <w:szCs w:val="24"/>
        </w:rPr>
        <w:t>, zm</w:t>
      </w:r>
      <w:r w:rsidR="007D73AB">
        <w:rPr>
          <w:color w:val="auto"/>
          <w:szCs w:val="24"/>
        </w:rPr>
        <w:t>ie</w:t>
      </w:r>
      <w:r w:rsidR="00175729">
        <w:rPr>
          <w:color w:val="auto"/>
          <w:szCs w:val="24"/>
        </w:rPr>
        <w:t>niony w dniu 11 czerwca 2019 r</w:t>
      </w:r>
      <w:r w:rsidRPr="00FC7D5A">
        <w:rPr>
          <w:color w:val="auto"/>
          <w:szCs w:val="24"/>
        </w:rPr>
        <w:t>. Określono w nim m. in katalog instrumentów poręczeniow</w:t>
      </w:r>
      <w:r w:rsidR="00291587">
        <w:rPr>
          <w:color w:val="auto"/>
          <w:szCs w:val="24"/>
        </w:rPr>
        <w:t>o-gwarancyjnych pozostających w </w:t>
      </w:r>
      <w:r w:rsidRPr="00FC7D5A">
        <w:rPr>
          <w:color w:val="auto"/>
          <w:szCs w:val="24"/>
        </w:rPr>
        <w:t>dyspozycji BGK.</w:t>
      </w:r>
    </w:p>
    <w:p w:rsidR="00B203B3" w:rsidRPr="00ED1B09" w:rsidRDefault="00B203B3" w:rsidP="002F6787">
      <w:pPr>
        <w:pStyle w:val="Tekstpodstawowy2"/>
        <w:spacing w:after="80"/>
        <w:rPr>
          <w:color w:val="auto"/>
          <w:szCs w:val="24"/>
        </w:rPr>
      </w:pPr>
      <w:r w:rsidRPr="00ED1B09">
        <w:rPr>
          <w:color w:val="auto"/>
          <w:szCs w:val="24"/>
        </w:rPr>
        <w:t>Zgodnie z obowiązującymi w Unii Europejskiej przepisami</w:t>
      </w:r>
      <w:r w:rsidR="00A4388A" w:rsidRPr="00ED1B09">
        <w:rPr>
          <w:color w:val="auto"/>
          <w:szCs w:val="24"/>
        </w:rPr>
        <w:t xml:space="preserve">, </w:t>
      </w:r>
      <w:r w:rsidRPr="00ED1B09">
        <w:rPr>
          <w:color w:val="auto"/>
          <w:szCs w:val="24"/>
        </w:rPr>
        <w:t xml:space="preserve">działaniem determinującym możliwość udzielania przez BGK pomocy publicznej lub pomocy </w:t>
      </w:r>
      <w:r w:rsidRPr="00ED1B09">
        <w:rPr>
          <w:i/>
          <w:color w:val="auto"/>
          <w:szCs w:val="24"/>
        </w:rPr>
        <w:t>de minimis</w:t>
      </w:r>
      <w:r w:rsidRPr="00ED1B09">
        <w:rPr>
          <w:color w:val="auto"/>
          <w:szCs w:val="24"/>
        </w:rPr>
        <w:t xml:space="preserve"> w formie gwarancji lub poręczeń jest przygotowanie programu pomocowego. </w:t>
      </w:r>
    </w:p>
    <w:p w:rsidR="00B203B3" w:rsidRDefault="00B203B3" w:rsidP="002F6787">
      <w:pPr>
        <w:spacing w:after="80"/>
        <w:jc w:val="both"/>
        <w:rPr>
          <w:color w:val="000000"/>
        </w:rPr>
      </w:pPr>
      <w:r w:rsidRPr="003B2875">
        <w:t xml:space="preserve">Ponadto, zgodnie z art. 2 pkt 7 ustawy z dnia 30 kwietnia 2004 r. </w:t>
      </w:r>
      <w:r w:rsidRPr="003B2875">
        <w:rPr>
          <w:i/>
        </w:rPr>
        <w:t>o postępowaniu w sprawach dotyczących pomocy publicznej</w:t>
      </w:r>
      <w:r w:rsidRPr="003B2875">
        <w:t xml:space="preserve"> (</w:t>
      </w:r>
      <w:r w:rsidR="002B15AF" w:rsidRPr="003B2875">
        <w:t xml:space="preserve">Dz. U. z </w:t>
      </w:r>
      <w:r w:rsidR="00A10E8B" w:rsidRPr="003B2875">
        <w:t>20</w:t>
      </w:r>
      <w:r w:rsidR="008F4E99">
        <w:t>20</w:t>
      </w:r>
      <w:r w:rsidR="00A10E8B" w:rsidRPr="003B2875">
        <w:t xml:space="preserve"> </w:t>
      </w:r>
      <w:r w:rsidR="002B15AF" w:rsidRPr="003B2875">
        <w:t>r. poz. </w:t>
      </w:r>
      <w:r w:rsidR="008F4E99">
        <w:t>708</w:t>
      </w:r>
      <w:r w:rsidR="003A3D81">
        <w:t>,</w:t>
      </w:r>
      <w:r w:rsidR="008F4E99">
        <w:t xml:space="preserve"> z późn. zm.</w:t>
      </w:r>
      <w:r w:rsidRPr="003B2875">
        <w:t>), ilekroć w tej ustawie jest mowa o programie pomocowym, należy przez to rozumieć akt normatywny</w:t>
      </w:r>
      <w:r w:rsidRPr="003B2875">
        <w:rPr>
          <w:color w:val="000000"/>
        </w:rPr>
        <w:t xml:space="preserve"> spełniający przesłanki, o których mowa w art. 1 lit. d rozporządzenia Rady (</w:t>
      </w:r>
      <w:r w:rsidR="00512F8C" w:rsidRPr="003B2875">
        <w:rPr>
          <w:color w:val="000000"/>
        </w:rPr>
        <w:t>UE</w:t>
      </w:r>
      <w:r w:rsidRPr="003B2875">
        <w:rPr>
          <w:color w:val="000000"/>
        </w:rPr>
        <w:t xml:space="preserve">) nr </w:t>
      </w:r>
      <w:r w:rsidR="00512F8C" w:rsidRPr="003B2875">
        <w:rPr>
          <w:color w:val="000000"/>
        </w:rPr>
        <w:t>2015/1589</w:t>
      </w:r>
      <w:r w:rsidRPr="003B2875">
        <w:rPr>
          <w:color w:val="000000"/>
        </w:rPr>
        <w:t xml:space="preserve"> z dnia </w:t>
      </w:r>
      <w:r w:rsidR="008F4E99">
        <w:rPr>
          <w:color w:val="000000"/>
        </w:rPr>
        <w:t>13 </w:t>
      </w:r>
      <w:r w:rsidR="00512F8C" w:rsidRPr="003B2875">
        <w:rPr>
          <w:color w:val="000000"/>
        </w:rPr>
        <w:t>lipca 2015 r.</w:t>
      </w:r>
      <w:r w:rsidRPr="003B2875">
        <w:rPr>
          <w:color w:val="000000"/>
        </w:rPr>
        <w:t xml:space="preserve"> </w:t>
      </w:r>
      <w:r w:rsidRPr="003B2875">
        <w:rPr>
          <w:i/>
          <w:color w:val="000000"/>
        </w:rPr>
        <w:t xml:space="preserve">ustanawiającego szczegółowe zasady stosowania art. </w:t>
      </w:r>
      <w:r w:rsidR="00957B8D" w:rsidRPr="003B2875">
        <w:rPr>
          <w:i/>
          <w:color w:val="000000"/>
        </w:rPr>
        <w:t xml:space="preserve">108 </w:t>
      </w:r>
      <w:r w:rsidRPr="003B2875">
        <w:rPr>
          <w:i/>
          <w:color w:val="000000"/>
        </w:rPr>
        <w:t>Traktatu</w:t>
      </w:r>
      <w:r w:rsidR="003A3D81">
        <w:rPr>
          <w:i/>
          <w:color w:val="000000"/>
        </w:rPr>
        <w:t xml:space="preserve"> </w:t>
      </w:r>
      <w:r w:rsidR="008F4E99">
        <w:rPr>
          <w:i/>
          <w:color w:val="000000"/>
        </w:rPr>
        <w:t>o </w:t>
      </w:r>
      <w:r w:rsidR="00957B8D" w:rsidRPr="003B2875">
        <w:rPr>
          <w:i/>
          <w:color w:val="000000"/>
        </w:rPr>
        <w:t>funkcjonowaniu Unii Europejskiej</w:t>
      </w:r>
      <w:r w:rsidR="00957B8D" w:rsidRPr="003B2875">
        <w:rPr>
          <w:color w:val="000000"/>
        </w:rPr>
        <w:t xml:space="preserve"> </w:t>
      </w:r>
      <w:r w:rsidRPr="003B2875">
        <w:rPr>
          <w:color w:val="000000"/>
        </w:rPr>
        <w:t xml:space="preserve">(Dz. Urz. </w:t>
      </w:r>
      <w:r w:rsidR="00957B8D" w:rsidRPr="003B2875">
        <w:rPr>
          <w:color w:val="000000"/>
        </w:rPr>
        <w:t xml:space="preserve">UE </w:t>
      </w:r>
      <w:r w:rsidRPr="003B2875">
        <w:rPr>
          <w:color w:val="000000"/>
        </w:rPr>
        <w:t xml:space="preserve">L </w:t>
      </w:r>
      <w:r w:rsidR="00957B8D" w:rsidRPr="003B2875">
        <w:rPr>
          <w:color w:val="000000"/>
        </w:rPr>
        <w:t xml:space="preserve">248 </w:t>
      </w:r>
      <w:r w:rsidRPr="003B2875">
        <w:rPr>
          <w:color w:val="000000"/>
        </w:rPr>
        <w:t xml:space="preserve">z </w:t>
      </w:r>
      <w:r w:rsidR="00957B8D" w:rsidRPr="003B2875">
        <w:rPr>
          <w:color w:val="000000"/>
        </w:rPr>
        <w:t>24.09.2015, str. 9</w:t>
      </w:r>
      <w:r w:rsidRPr="003B2875">
        <w:rPr>
          <w:color w:val="000000"/>
        </w:rPr>
        <w:t>).</w:t>
      </w:r>
      <w:r w:rsidRPr="00ED1B09">
        <w:rPr>
          <w:color w:val="000000"/>
        </w:rPr>
        <w:t xml:space="preserve"> Program pom</w:t>
      </w:r>
      <w:r w:rsidR="001D2B16" w:rsidRPr="00ED1B09">
        <w:rPr>
          <w:color w:val="000000"/>
        </w:rPr>
        <w:t>ocowy powinien mieć zatem formę </w:t>
      </w:r>
      <w:r w:rsidRPr="00ED1B09">
        <w:rPr>
          <w:color w:val="000000"/>
        </w:rPr>
        <w:t xml:space="preserve">wskazanego w </w:t>
      </w:r>
      <w:r w:rsidRPr="00ED1B09">
        <w:rPr>
          <w:i/>
          <w:color w:val="000000"/>
        </w:rPr>
        <w:t>Konstytucji Rzeczypospolitej Polskiej</w:t>
      </w:r>
      <w:r w:rsidR="00D45BA1" w:rsidRPr="00ED1B09">
        <w:rPr>
          <w:i/>
          <w:color w:val="000000"/>
        </w:rPr>
        <w:t xml:space="preserve"> </w:t>
      </w:r>
      <w:r w:rsidR="008F4E99">
        <w:rPr>
          <w:color w:val="000000"/>
        </w:rPr>
        <w:t>z </w:t>
      </w:r>
      <w:r w:rsidR="00D45BA1" w:rsidRPr="00ED1B09">
        <w:rPr>
          <w:color w:val="000000"/>
        </w:rPr>
        <w:t>dnia 2 kwietnia 1997 r. (Dz. U. poz. 483, z późn. zm.)</w:t>
      </w:r>
      <w:r w:rsidRPr="00ED1B09">
        <w:rPr>
          <w:color w:val="000000"/>
        </w:rPr>
        <w:t xml:space="preserve"> aktu normatywnego, </w:t>
      </w:r>
      <w:r w:rsidR="00084CE8" w:rsidRPr="00ED1B09">
        <w:rPr>
          <w:color w:val="000000"/>
        </w:rPr>
        <w:t>tj. np. </w:t>
      </w:r>
      <w:r w:rsidRPr="00ED1B09">
        <w:rPr>
          <w:color w:val="000000"/>
        </w:rPr>
        <w:t xml:space="preserve">rozporządzenia. </w:t>
      </w:r>
    </w:p>
    <w:p w:rsidR="00106BB2" w:rsidRDefault="00106BB2" w:rsidP="002F6787">
      <w:pPr>
        <w:spacing w:after="80"/>
        <w:jc w:val="both"/>
        <w:rPr>
          <w:color w:val="000000"/>
        </w:rPr>
      </w:pPr>
      <w:r w:rsidRPr="00106BB2">
        <w:rPr>
          <w:color w:val="000000"/>
        </w:rPr>
        <w:t xml:space="preserve">W dniu </w:t>
      </w:r>
      <w:r>
        <w:rPr>
          <w:color w:val="000000"/>
        </w:rPr>
        <w:t>20</w:t>
      </w:r>
      <w:r w:rsidRPr="00106BB2">
        <w:rPr>
          <w:color w:val="000000"/>
        </w:rPr>
        <w:t xml:space="preserve"> marca 2020 r. Komisja </w:t>
      </w:r>
      <w:r>
        <w:rPr>
          <w:color w:val="000000"/>
        </w:rPr>
        <w:t xml:space="preserve">Europejska </w:t>
      </w:r>
      <w:r w:rsidRPr="00106BB2">
        <w:rPr>
          <w:color w:val="000000"/>
        </w:rPr>
        <w:t xml:space="preserve">przyjęła komunikat </w:t>
      </w:r>
      <w:r w:rsidRPr="00CF68FB">
        <w:rPr>
          <w:i/>
          <w:color w:val="000000"/>
        </w:rPr>
        <w:t>„Tymczasowe ramy środków pomocy państwa w celu wsparcia gospodarki w kontekście trwającej epidemii COVID-19”</w:t>
      </w:r>
      <w:r>
        <w:rPr>
          <w:color w:val="000000"/>
        </w:rPr>
        <w:t xml:space="preserve"> </w:t>
      </w:r>
      <w:r w:rsidR="00CF68FB">
        <w:rPr>
          <w:color w:val="000000"/>
        </w:rPr>
        <w:t>(Dz. </w:t>
      </w:r>
      <w:r w:rsidRPr="00106BB2">
        <w:rPr>
          <w:color w:val="000000"/>
        </w:rPr>
        <w:t>Urz</w:t>
      </w:r>
      <w:r w:rsidR="007D1BA3">
        <w:rPr>
          <w:color w:val="000000"/>
        </w:rPr>
        <w:t>. UE C z 2020 r. Nr 91</w:t>
      </w:r>
      <w:r>
        <w:rPr>
          <w:color w:val="000000"/>
        </w:rPr>
        <w:t>, str. 1 z późn. zm.), zwany dalej „Komunikatem Komisji”, którego celem jest złagodzenie</w:t>
      </w:r>
      <w:r w:rsidRPr="00106BB2">
        <w:t xml:space="preserve"> </w:t>
      </w:r>
      <w:r w:rsidRPr="00106BB2">
        <w:rPr>
          <w:color w:val="000000"/>
        </w:rPr>
        <w:t>negatywnych skutków</w:t>
      </w:r>
      <w:r>
        <w:rPr>
          <w:color w:val="000000"/>
        </w:rPr>
        <w:t xml:space="preserve"> COVID-19</w:t>
      </w:r>
      <w:r w:rsidRPr="00106BB2">
        <w:rPr>
          <w:color w:val="000000"/>
        </w:rPr>
        <w:t xml:space="preserve"> dla gospodarki U</w:t>
      </w:r>
      <w:r>
        <w:rPr>
          <w:color w:val="000000"/>
        </w:rPr>
        <w:t xml:space="preserve">nii </w:t>
      </w:r>
      <w:r w:rsidRPr="00106BB2">
        <w:rPr>
          <w:color w:val="000000"/>
        </w:rPr>
        <w:t>E</w:t>
      </w:r>
      <w:r>
        <w:rPr>
          <w:color w:val="000000"/>
        </w:rPr>
        <w:t xml:space="preserve">uropejskiej, poprzez przede wszystkim pomoc udzielaną przedsiębiorcom przez Państwa Członkowskie. </w:t>
      </w:r>
      <w:r w:rsidR="00C05054">
        <w:rPr>
          <w:color w:val="000000"/>
        </w:rPr>
        <w:t xml:space="preserve">Komunikat Komisji określa szczegółowe warunki udzielania takiej pomocy </w:t>
      </w:r>
      <w:r w:rsidR="003224DC">
        <w:rPr>
          <w:color w:val="000000"/>
        </w:rPr>
        <w:t>w </w:t>
      </w:r>
      <w:r w:rsidR="00C05054">
        <w:rPr>
          <w:color w:val="000000"/>
        </w:rPr>
        <w:t xml:space="preserve">różnych formach, w tym w formie gwarancji. </w:t>
      </w:r>
      <w:r>
        <w:rPr>
          <w:color w:val="000000"/>
        </w:rPr>
        <w:t xml:space="preserve">W dniu </w:t>
      </w:r>
      <w:r w:rsidRPr="00106BB2">
        <w:rPr>
          <w:color w:val="000000"/>
        </w:rPr>
        <w:t>1</w:t>
      </w:r>
      <w:r>
        <w:rPr>
          <w:color w:val="000000"/>
        </w:rPr>
        <w:t xml:space="preserve"> lutego </w:t>
      </w:r>
      <w:r w:rsidRPr="00106BB2">
        <w:rPr>
          <w:color w:val="000000"/>
        </w:rPr>
        <w:t>2021</w:t>
      </w:r>
      <w:r>
        <w:rPr>
          <w:color w:val="000000"/>
        </w:rPr>
        <w:t xml:space="preserve"> r. przyjęto</w:t>
      </w:r>
      <w:r w:rsidRPr="00106BB2">
        <w:rPr>
          <w:color w:val="000000"/>
        </w:rPr>
        <w:t xml:space="preserve"> piątą zmianę </w:t>
      </w:r>
      <w:r>
        <w:rPr>
          <w:color w:val="000000"/>
        </w:rPr>
        <w:t>K</w:t>
      </w:r>
      <w:r w:rsidRPr="00106BB2">
        <w:rPr>
          <w:color w:val="000000"/>
        </w:rPr>
        <w:t>omunikatu</w:t>
      </w:r>
      <w:r>
        <w:rPr>
          <w:color w:val="000000"/>
        </w:rPr>
        <w:t xml:space="preserve"> Komisji</w:t>
      </w:r>
      <w:r w:rsidRPr="00106BB2">
        <w:rPr>
          <w:color w:val="000000"/>
        </w:rPr>
        <w:t xml:space="preserve">, </w:t>
      </w:r>
      <w:r>
        <w:rPr>
          <w:color w:val="000000"/>
        </w:rPr>
        <w:t xml:space="preserve">zgodnie z którą </w:t>
      </w:r>
      <w:r w:rsidRPr="00106BB2">
        <w:rPr>
          <w:color w:val="000000"/>
        </w:rPr>
        <w:t>przedłuż</w:t>
      </w:r>
      <w:r>
        <w:rPr>
          <w:color w:val="000000"/>
        </w:rPr>
        <w:t>ono okres</w:t>
      </w:r>
      <w:r w:rsidRPr="00106BB2">
        <w:rPr>
          <w:color w:val="000000"/>
        </w:rPr>
        <w:t xml:space="preserve"> obowiązywania środków określonych w </w:t>
      </w:r>
      <w:r>
        <w:rPr>
          <w:color w:val="000000"/>
        </w:rPr>
        <w:t>Komunikacie Komisji do </w:t>
      </w:r>
      <w:r w:rsidRPr="00106BB2">
        <w:rPr>
          <w:color w:val="000000"/>
        </w:rPr>
        <w:t>dnia 31 grudnia 2021 r.</w:t>
      </w:r>
    </w:p>
    <w:p w:rsidR="004F0402" w:rsidRDefault="003A6AB1" w:rsidP="002F6787">
      <w:pPr>
        <w:spacing w:after="80"/>
        <w:jc w:val="both"/>
        <w:rPr>
          <w:color w:val="000000"/>
        </w:rPr>
      </w:pPr>
      <w:r>
        <w:rPr>
          <w:color w:val="000000"/>
        </w:rPr>
        <w:t xml:space="preserve">Ponadto </w:t>
      </w:r>
      <w:r w:rsidR="00C05054" w:rsidRPr="00C05054">
        <w:rPr>
          <w:color w:val="000000"/>
        </w:rPr>
        <w:t xml:space="preserve">utworzono Paneuropejski Fundusz Gwarancyjny </w:t>
      </w:r>
      <w:r>
        <w:rPr>
          <w:color w:val="000000"/>
        </w:rPr>
        <w:t>decyzj</w:t>
      </w:r>
      <w:r w:rsidR="00803CED">
        <w:rPr>
          <w:color w:val="000000"/>
        </w:rPr>
        <w:t>ą</w:t>
      </w:r>
      <w:r>
        <w:rPr>
          <w:color w:val="000000"/>
        </w:rPr>
        <w:t xml:space="preserve"> Komisji Europejskiej </w:t>
      </w:r>
      <w:r w:rsidRPr="00CF68FB">
        <w:rPr>
          <w:i/>
          <w:color w:val="000000"/>
        </w:rPr>
        <w:t>w sprawie Paneuropejskiego Funduszu Gwarancyjnego w odpowiedzi na COVID-19 nr C(2020) 9237</w:t>
      </w:r>
      <w:r>
        <w:rPr>
          <w:color w:val="000000"/>
        </w:rPr>
        <w:t xml:space="preserve"> z </w:t>
      </w:r>
      <w:r w:rsidRPr="003A6AB1">
        <w:rPr>
          <w:color w:val="000000"/>
        </w:rPr>
        <w:t>dnia 14 grudnia 2020 r.</w:t>
      </w:r>
      <w:r w:rsidR="009B3B86">
        <w:rPr>
          <w:color w:val="000000"/>
        </w:rPr>
        <w:t>, zwan</w:t>
      </w:r>
      <w:r w:rsidR="00803CED">
        <w:rPr>
          <w:color w:val="000000"/>
        </w:rPr>
        <w:t>ą</w:t>
      </w:r>
      <w:r w:rsidR="009B3B86">
        <w:rPr>
          <w:color w:val="000000"/>
        </w:rPr>
        <w:t xml:space="preserve"> dalej „decyzją KE</w:t>
      </w:r>
      <w:r w:rsidR="00EE1AA6">
        <w:rPr>
          <w:color w:val="000000"/>
        </w:rPr>
        <w:t xml:space="preserve"> w sprawie PFG</w:t>
      </w:r>
      <w:r w:rsidR="009B3B86">
        <w:rPr>
          <w:color w:val="000000"/>
        </w:rPr>
        <w:t>”</w:t>
      </w:r>
      <w:r w:rsidR="00D37606">
        <w:rPr>
          <w:color w:val="000000"/>
        </w:rPr>
        <w:t>, zarządzany przez </w:t>
      </w:r>
      <w:r>
        <w:rPr>
          <w:color w:val="000000"/>
        </w:rPr>
        <w:t>Europejski Bank Inwestycyjny</w:t>
      </w:r>
      <w:r w:rsidR="0003385B">
        <w:rPr>
          <w:color w:val="000000"/>
        </w:rPr>
        <w:t xml:space="preserve"> </w:t>
      </w:r>
      <w:r>
        <w:rPr>
          <w:color w:val="000000"/>
        </w:rPr>
        <w:t>oraz</w:t>
      </w:r>
      <w:r w:rsidRPr="003A6AB1">
        <w:rPr>
          <w:color w:val="000000"/>
        </w:rPr>
        <w:t xml:space="preserve"> E</w:t>
      </w:r>
      <w:r>
        <w:rPr>
          <w:color w:val="000000"/>
        </w:rPr>
        <w:t>uropejski Fundusz Inwestycyjny, zwany dalej „</w:t>
      </w:r>
      <w:r w:rsidRPr="003A6AB1">
        <w:rPr>
          <w:color w:val="000000"/>
        </w:rPr>
        <w:t>EFI</w:t>
      </w:r>
      <w:r>
        <w:rPr>
          <w:color w:val="000000"/>
        </w:rPr>
        <w:t xml:space="preserve">”. </w:t>
      </w:r>
      <w:r w:rsidR="005D7C66">
        <w:rPr>
          <w:color w:val="000000"/>
        </w:rPr>
        <w:t xml:space="preserve">Rzeczpospolita </w:t>
      </w:r>
      <w:r>
        <w:rPr>
          <w:color w:val="000000"/>
        </w:rPr>
        <w:t>Polska podjęła decyzję o przys</w:t>
      </w:r>
      <w:r w:rsidR="00BB56BB">
        <w:rPr>
          <w:color w:val="000000"/>
        </w:rPr>
        <w:t xml:space="preserve">tąpieniu do </w:t>
      </w:r>
      <w:r w:rsidR="00BB56BB" w:rsidRPr="00BB56BB">
        <w:rPr>
          <w:color w:val="000000"/>
        </w:rPr>
        <w:t>Paneuropejski</w:t>
      </w:r>
      <w:r w:rsidR="00BB56BB">
        <w:rPr>
          <w:color w:val="000000"/>
        </w:rPr>
        <w:t>ego</w:t>
      </w:r>
      <w:r w:rsidR="00BB56BB" w:rsidRPr="00BB56BB">
        <w:rPr>
          <w:color w:val="000000"/>
        </w:rPr>
        <w:t xml:space="preserve"> Fundusz</w:t>
      </w:r>
      <w:r w:rsidR="00BB56BB">
        <w:rPr>
          <w:color w:val="000000"/>
        </w:rPr>
        <w:t>u</w:t>
      </w:r>
      <w:r w:rsidR="00BB56BB" w:rsidRPr="00BB56BB">
        <w:rPr>
          <w:color w:val="000000"/>
        </w:rPr>
        <w:t xml:space="preserve"> Gwarancyjn</w:t>
      </w:r>
      <w:r w:rsidR="00BB56BB">
        <w:rPr>
          <w:color w:val="000000"/>
        </w:rPr>
        <w:t xml:space="preserve">ego i wniosła do niego wkład </w:t>
      </w:r>
      <w:r w:rsidR="003224DC">
        <w:rPr>
          <w:color w:val="000000"/>
        </w:rPr>
        <w:t>finansowy</w:t>
      </w:r>
      <w:r w:rsidR="00BB56BB">
        <w:rPr>
          <w:color w:val="000000"/>
        </w:rPr>
        <w:t>, zaś BGK złożył wniosek o przyznanie</w:t>
      </w:r>
      <w:r w:rsidR="00BB56BB" w:rsidRPr="00BB56BB">
        <w:t xml:space="preserve"> </w:t>
      </w:r>
      <w:r w:rsidR="00D37606">
        <w:rPr>
          <w:color w:val="000000"/>
        </w:rPr>
        <w:t>w </w:t>
      </w:r>
      <w:r w:rsidR="00BB56BB" w:rsidRPr="00BB56BB">
        <w:rPr>
          <w:color w:val="000000"/>
        </w:rPr>
        <w:t>jego ram</w:t>
      </w:r>
      <w:r w:rsidR="00BB56BB">
        <w:rPr>
          <w:color w:val="000000"/>
        </w:rPr>
        <w:t>a</w:t>
      </w:r>
      <w:r w:rsidR="00BB56BB" w:rsidRPr="00BB56BB">
        <w:rPr>
          <w:color w:val="000000"/>
        </w:rPr>
        <w:t>ch</w:t>
      </w:r>
      <w:r w:rsidR="00BB56BB">
        <w:rPr>
          <w:color w:val="000000"/>
        </w:rPr>
        <w:t xml:space="preserve"> regwarancji EFI</w:t>
      </w:r>
      <w:r w:rsidR="003A3D81">
        <w:rPr>
          <w:color w:val="000000"/>
        </w:rPr>
        <w:t>,</w:t>
      </w:r>
      <w:r w:rsidR="00BB56BB">
        <w:rPr>
          <w:color w:val="000000"/>
        </w:rPr>
        <w:t xml:space="preserve"> dotyczącej portfela transakcji leasingowych, która została już zaakceptowana przez Radę EFI i w najbliższym czasie planowane jest podpisanie stosownej umowy.</w:t>
      </w:r>
    </w:p>
    <w:p w:rsidR="00880019" w:rsidRDefault="00D10693" w:rsidP="002F6787">
      <w:pPr>
        <w:spacing w:after="80"/>
        <w:jc w:val="both"/>
        <w:rPr>
          <w:color w:val="000000"/>
        </w:rPr>
      </w:pPr>
      <w:r>
        <w:rPr>
          <w:color w:val="000000"/>
        </w:rPr>
        <w:lastRenderedPageBreak/>
        <w:t>Jednocześnie, w</w:t>
      </w:r>
      <w:r w:rsidR="00880019">
        <w:rPr>
          <w:color w:val="000000"/>
        </w:rPr>
        <w:t xml:space="preserve"> kontekście wyboru </w:t>
      </w:r>
      <w:r w:rsidR="00880019" w:rsidRPr="00880019">
        <w:rPr>
          <w:color w:val="000000"/>
        </w:rPr>
        <w:t>transakcji leasingowych</w:t>
      </w:r>
      <w:r w:rsidR="00880019">
        <w:rPr>
          <w:color w:val="000000"/>
        </w:rPr>
        <w:t>, jako</w:t>
      </w:r>
      <w:r w:rsidR="00880019" w:rsidRPr="00880019">
        <w:rPr>
          <w:color w:val="000000"/>
        </w:rPr>
        <w:t xml:space="preserve"> </w:t>
      </w:r>
      <w:r w:rsidR="00880019">
        <w:rPr>
          <w:color w:val="000000"/>
        </w:rPr>
        <w:t>planowanych do objęcia gwarancjami BGK, n</w:t>
      </w:r>
      <w:r w:rsidR="00880019" w:rsidRPr="00880019">
        <w:rPr>
          <w:color w:val="000000"/>
        </w:rPr>
        <w:t>ależy zaznaczyć, iż leasing stanowi bardzo istotną część finansowania potrzeb mikroprzedsiębiorców, małych i średnich przedsiębiorc</w:t>
      </w:r>
      <w:r w:rsidR="00FE789C">
        <w:rPr>
          <w:color w:val="000000"/>
        </w:rPr>
        <w:t>ów</w:t>
      </w:r>
      <w:r w:rsidR="00880019" w:rsidRPr="00880019">
        <w:rPr>
          <w:color w:val="000000"/>
        </w:rPr>
        <w:t>, zwanych dalej „MŚP”. Całkowita kwota środków trwałych finansowanych przez firmy leasingowe w Polsce</w:t>
      </w:r>
      <w:r w:rsidR="00880019">
        <w:rPr>
          <w:color w:val="000000"/>
        </w:rPr>
        <w:t xml:space="preserve"> wyniosła w 2019 r. 78 ml</w:t>
      </w:r>
      <w:r w:rsidR="005D7C66">
        <w:rPr>
          <w:color w:val="000000"/>
        </w:rPr>
        <w:t>d</w:t>
      </w:r>
      <w:r w:rsidR="00880019">
        <w:rPr>
          <w:color w:val="000000"/>
        </w:rPr>
        <w:t xml:space="preserve"> PLN. Więcej niż 70% leasingobiorców to </w:t>
      </w:r>
      <w:r w:rsidR="00FE789C">
        <w:rPr>
          <w:color w:val="000000"/>
        </w:rPr>
        <w:t>mikro i małe przedsiębiorstwa</w:t>
      </w:r>
      <w:r w:rsidR="00880019">
        <w:rPr>
          <w:color w:val="000000"/>
        </w:rPr>
        <w:t xml:space="preserve">, szczególnie dotknięte skutkami COVID-19, dlatego też </w:t>
      </w:r>
      <w:r w:rsidR="00FE789C">
        <w:rPr>
          <w:color w:val="000000"/>
        </w:rPr>
        <w:t xml:space="preserve">skierowana do nich </w:t>
      </w:r>
      <w:r w:rsidR="00880019">
        <w:rPr>
          <w:color w:val="000000"/>
        </w:rPr>
        <w:t>pomoc publiczna</w:t>
      </w:r>
      <w:r w:rsidR="00FE789C">
        <w:rPr>
          <w:color w:val="000000"/>
        </w:rPr>
        <w:t xml:space="preserve"> obejmująca transakcje leasingowe </w:t>
      </w:r>
      <w:r w:rsidR="00880019">
        <w:rPr>
          <w:color w:val="000000"/>
        </w:rPr>
        <w:t xml:space="preserve">będzie stanowiła istotne wsparcie ich </w:t>
      </w:r>
      <w:r w:rsidR="00FE789C">
        <w:rPr>
          <w:color w:val="000000"/>
        </w:rPr>
        <w:t>działalności.</w:t>
      </w:r>
    </w:p>
    <w:p w:rsidR="00106BB2" w:rsidRDefault="00BD535F" w:rsidP="002F6787">
      <w:pPr>
        <w:spacing w:after="80"/>
        <w:jc w:val="both"/>
        <w:rPr>
          <w:color w:val="000000"/>
        </w:rPr>
      </w:pPr>
      <w:r>
        <w:rPr>
          <w:color w:val="000000"/>
        </w:rPr>
        <w:t xml:space="preserve">Mając na uwadze powyższe, aby ww. pomoc publiczna w postaci udzielanych przez BGK gwarancji transakcji leasingowych mogła być udzielana, konieczne jest wydanie niniejszego </w:t>
      </w:r>
      <w:r w:rsidRPr="00BD535F">
        <w:rPr>
          <w:color w:val="000000"/>
        </w:rPr>
        <w:t>rozporządzenia</w:t>
      </w:r>
      <w:r>
        <w:rPr>
          <w:color w:val="000000"/>
        </w:rPr>
        <w:t xml:space="preserve">. </w:t>
      </w:r>
    </w:p>
    <w:p w:rsidR="00BD535F" w:rsidRDefault="00BD535F" w:rsidP="002F6787">
      <w:pPr>
        <w:spacing w:after="80"/>
        <w:jc w:val="both"/>
        <w:rPr>
          <w:color w:val="000000"/>
        </w:rPr>
      </w:pPr>
      <w:r>
        <w:rPr>
          <w:color w:val="000000"/>
        </w:rPr>
        <w:t xml:space="preserve">Zgodnie </w:t>
      </w:r>
      <w:r w:rsidR="00D10693">
        <w:rPr>
          <w:color w:val="000000"/>
        </w:rPr>
        <w:t>z § 1</w:t>
      </w:r>
      <w:r w:rsidR="009D2383">
        <w:rPr>
          <w:color w:val="000000"/>
        </w:rPr>
        <w:t xml:space="preserve"> ust. 1</w:t>
      </w:r>
      <w:r w:rsidR="00D10693">
        <w:rPr>
          <w:color w:val="000000"/>
        </w:rPr>
        <w:t xml:space="preserve"> projektu</w:t>
      </w:r>
      <w:r>
        <w:rPr>
          <w:color w:val="000000"/>
        </w:rPr>
        <w:t xml:space="preserve"> r</w:t>
      </w:r>
      <w:r w:rsidRPr="00BD535F">
        <w:rPr>
          <w:color w:val="000000"/>
        </w:rPr>
        <w:t>ozporządzenie określa szczegółowe warunki oraz tryb udzielania pomocy publicznej w formie gw</w:t>
      </w:r>
      <w:r>
        <w:rPr>
          <w:color w:val="000000"/>
        </w:rPr>
        <w:t>arancji transakcji leasingowych</w:t>
      </w:r>
      <w:r w:rsidRPr="00BD535F">
        <w:rPr>
          <w:color w:val="000000"/>
        </w:rPr>
        <w:t xml:space="preserve"> udzielanych przez </w:t>
      </w:r>
      <w:r>
        <w:rPr>
          <w:color w:val="000000"/>
        </w:rPr>
        <w:t>BGK</w:t>
      </w:r>
      <w:r w:rsidR="009D2383">
        <w:rPr>
          <w:color w:val="000000"/>
        </w:rPr>
        <w:t xml:space="preserve"> w związku ze skutkami COVID-19</w:t>
      </w:r>
      <w:r w:rsidRPr="00BD535F">
        <w:rPr>
          <w:color w:val="000000"/>
        </w:rPr>
        <w:t xml:space="preserve">, </w:t>
      </w:r>
      <w:r>
        <w:rPr>
          <w:color w:val="000000"/>
        </w:rPr>
        <w:t>w </w:t>
      </w:r>
      <w:r w:rsidRPr="00BD535F">
        <w:rPr>
          <w:color w:val="000000"/>
        </w:rPr>
        <w:t>ramach rządowego programu poręczeniowo</w:t>
      </w:r>
      <w:r w:rsidR="00D37606">
        <w:rPr>
          <w:color w:val="000000"/>
        </w:rPr>
        <w:t>-</w:t>
      </w:r>
      <w:r w:rsidRPr="00BD535F">
        <w:rPr>
          <w:color w:val="000000"/>
        </w:rPr>
        <w:t>gwarancyjnego</w:t>
      </w:r>
      <w:r>
        <w:rPr>
          <w:color w:val="000000"/>
        </w:rPr>
        <w:t>, o którym mowa w art. 34a ust. </w:t>
      </w:r>
      <w:r w:rsidRPr="00BD535F">
        <w:rPr>
          <w:color w:val="000000"/>
        </w:rPr>
        <w:t xml:space="preserve">1 ustawy </w:t>
      </w:r>
      <w:r w:rsidRPr="00BD535F">
        <w:rPr>
          <w:i/>
          <w:color w:val="000000"/>
        </w:rPr>
        <w:t>o poręczeniach i gwarancjach</w:t>
      </w:r>
      <w:r w:rsidRPr="00BD535F">
        <w:rPr>
          <w:color w:val="000000"/>
        </w:rPr>
        <w:t>.</w:t>
      </w:r>
    </w:p>
    <w:p w:rsidR="00BD535F" w:rsidRDefault="00BD535F" w:rsidP="002F6787">
      <w:pPr>
        <w:spacing w:after="80"/>
        <w:jc w:val="both"/>
        <w:rPr>
          <w:color w:val="000000"/>
        </w:rPr>
      </w:pPr>
      <w:r>
        <w:rPr>
          <w:color w:val="000000"/>
        </w:rPr>
        <w:t>Przyjęto, iż gwarancją BGK objęte będą dwa rodzaje transakcji</w:t>
      </w:r>
      <w:r w:rsidR="009D2383">
        <w:rPr>
          <w:color w:val="000000"/>
        </w:rPr>
        <w:t xml:space="preserve"> (§ 1 ust. 2 projektu)</w:t>
      </w:r>
      <w:r>
        <w:rPr>
          <w:color w:val="000000"/>
        </w:rPr>
        <w:t>:</w:t>
      </w:r>
    </w:p>
    <w:p w:rsidR="00BD535F" w:rsidRPr="00286BD6" w:rsidRDefault="00DF05E1" w:rsidP="002F6787">
      <w:pPr>
        <w:pStyle w:val="Akapitzlist"/>
        <w:numPr>
          <w:ilvl w:val="0"/>
          <w:numId w:val="3"/>
        </w:numPr>
        <w:spacing w:after="80"/>
        <w:ind w:left="284" w:hanging="284"/>
        <w:jc w:val="both"/>
        <w:rPr>
          <w:color w:val="000000"/>
        </w:rPr>
      </w:pPr>
      <w:r w:rsidRPr="00286BD6">
        <w:rPr>
          <w:color w:val="000000"/>
        </w:rPr>
        <w:t xml:space="preserve">leasing, polegający na przekazaniu przez </w:t>
      </w:r>
      <w:r w:rsidR="00286BD6" w:rsidRPr="00286BD6">
        <w:rPr>
          <w:color w:val="000000"/>
        </w:rPr>
        <w:t>firmę leasingową</w:t>
      </w:r>
      <w:r w:rsidRPr="00286BD6">
        <w:rPr>
          <w:color w:val="000000"/>
        </w:rPr>
        <w:t xml:space="preserve"> </w:t>
      </w:r>
      <w:r w:rsidR="00286BD6" w:rsidRPr="00286BD6">
        <w:rPr>
          <w:color w:val="000000"/>
        </w:rPr>
        <w:t>(leasingodawcę) na </w:t>
      </w:r>
      <w:r w:rsidRPr="00286BD6">
        <w:rPr>
          <w:color w:val="000000"/>
        </w:rPr>
        <w:t xml:space="preserve">czas oznaczony prawa do użytkowania określonych składników majątku trwałego lub prawa do użytkowania i pobierania pożytków korzystającemu (leasingobiorcy) w zamian za odpowiednie opłaty (raty leasingowe). </w:t>
      </w:r>
      <w:r w:rsidR="009B3B86">
        <w:rPr>
          <w:color w:val="000000"/>
        </w:rPr>
        <w:t xml:space="preserve">W ramach umowy leasingu leasingodawca </w:t>
      </w:r>
      <w:r w:rsidRPr="00286BD6">
        <w:rPr>
          <w:color w:val="000000"/>
        </w:rPr>
        <w:t>przenosi zasadniczo na leasingobiorcę całe ryzyko i pożytki wynikające z posiadania przedmiotu leasingu</w:t>
      </w:r>
      <w:r w:rsidR="009B3B86">
        <w:rPr>
          <w:color w:val="000000"/>
        </w:rPr>
        <w:t>. Zgodnie z definicją EFI jest to leasing finansowy</w:t>
      </w:r>
      <w:r w:rsidR="00803F66">
        <w:rPr>
          <w:color w:val="000000"/>
        </w:rPr>
        <w:t>;</w:t>
      </w:r>
    </w:p>
    <w:p w:rsidR="00DF05E1" w:rsidRDefault="00DF05E1" w:rsidP="002F6787">
      <w:pPr>
        <w:pStyle w:val="Akapitzlist"/>
        <w:numPr>
          <w:ilvl w:val="0"/>
          <w:numId w:val="3"/>
        </w:numPr>
        <w:spacing w:after="80"/>
        <w:ind w:left="284" w:hanging="284"/>
        <w:jc w:val="both"/>
        <w:rPr>
          <w:color w:val="000000"/>
        </w:rPr>
      </w:pPr>
      <w:r w:rsidRPr="00286BD6">
        <w:rPr>
          <w:color w:val="000000"/>
        </w:rPr>
        <w:t xml:space="preserve">pożyczka leasingowa, </w:t>
      </w:r>
      <w:r w:rsidR="00286BD6" w:rsidRPr="00286BD6">
        <w:rPr>
          <w:color w:val="000000"/>
        </w:rPr>
        <w:t>udzielana przez leasingodawcę na zakup środka trwałego, wykorzystywanego na potrzeby prowadzonej działalności gospodarczej</w:t>
      </w:r>
      <w:r w:rsidR="00286BD6" w:rsidRPr="00286BD6">
        <w:t xml:space="preserve"> </w:t>
      </w:r>
      <w:r w:rsidR="00286BD6" w:rsidRPr="00286BD6">
        <w:rPr>
          <w:color w:val="000000"/>
        </w:rPr>
        <w:t>leasingobiorcy. W przypadku pożyczki leasingowej środek trwały nabyty z jej środków staje się własnością leasingobiorcy.</w:t>
      </w:r>
    </w:p>
    <w:p w:rsidR="00754097" w:rsidRDefault="00286BD6" w:rsidP="002F6787">
      <w:pPr>
        <w:spacing w:after="80"/>
        <w:jc w:val="both"/>
        <w:rPr>
          <w:color w:val="000000"/>
        </w:rPr>
      </w:pPr>
      <w:r>
        <w:rPr>
          <w:color w:val="000000"/>
        </w:rPr>
        <w:t xml:space="preserve">W </w:t>
      </w:r>
      <w:r w:rsidRPr="00286BD6">
        <w:rPr>
          <w:color w:val="000000"/>
        </w:rPr>
        <w:t xml:space="preserve">§ 2 </w:t>
      </w:r>
      <w:r w:rsidR="00BC10B1">
        <w:rPr>
          <w:color w:val="000000"/>
        </w:rPr>
        <w:t xml:space="preserve">projektu </w:t>
      </w:r>
      <w:r>
        <w:rPr>
          <w:color w:val="000000"/>
        </w:rPr>
        <w:t>określono, iż p</w:t>
      </w:r>
      <w:r w:rsidRPr="00286BD6">
        <w:rPr>
          <w:color w:val="000000"/>
        </w:rPr>
        <w:t>omoc jest udzielana</w:t>
      </w:r>
      <w:r w:rsidR="004F0402">
        <w:rPr>
          <w:color w:val="000000"/>
        </w:rPr>
        <w:t xml:space="preserve"> MŚP</w:t>
      </w:r>
      <w:r w:rsidRPr="00286BD6">
        <w:rPr>
          <w:color w:val="000000"/>
        </w:rPr>
        <w:t xml:space="preserve"> w rozumieniu </w:t>
      </w:r>
      <w:r w:rsidR="000A188B">
        <w:rPr>
          <w:color w:val="000000"/>
        </w:rPr>
        <w:t>r</w:t>
      </w:r>
      <w:r w:rsidRPr="00286BD6">
        <w:rPr>
          <w:color w:val="000000"/>
        </w:rPr>
        <w:t xml:space="preserve">ozporządzenia Komisji (UE) nr 651/2014 z dnia 17 czerwca 2014 r. </w:t>
      </w:r>
      <w:r w:rsidRPr="00BE7730">
        <w:rPr>
          <w:i/>
          <w:color w:val="000000"/>
        </w:rPr>
        <w:t>uznającego niek</w:t>
      </w:r>
      <w:r w:rsidR="003D56AE">
        <w:rPr>
          <w:i/>
          <w:color w:val="000000"/>
        </w:rPr>
        <w:t>tóre rodzaje pomocy za zgodne z </w:t>
      </w:r>
      <w:r w:rsidRPr="00BE7730">
        <w:rPr>
          <w:i/>
          <w:color w:val="000000"/>
        </w:rPr>
        <w:t>rynkiem wewnętrznym w zastosowaniu art. 107 i 108 Traktatu</w:t>
      </w:r>
      <w:r w:rsidRPr="00286BD6">
        <w:rPr>
          <w:color w:val="000000"/>
        </w:rPr>
        <w:t xml:space="preserve"> (Dz. U</w:t>
      </w:r>
      <w:r>
        <w:rPr>
          <w:color w:val="000000"/>
        </w:rPr>
        <w:t xml:space="preserve">rz. UE. L 187, </w:t>
      </w:r>
      <w:r w:rsidR="007D1BA3" w:rsidRPr="007D1BA3">
        <w:rPr>
          <w:rFonts w:cs="Arial"/>
          <w:szCs w:val="20"/>
        </w:rPr>
        <w:t>z 26.06</w:t>
      </w:r>
      <w:r w:rsidR="007D1BA3">
        <w:rPr>
          <w:rFonts w:cs="Arial"/>
          <w:szCs w:val="20"/>
        </w:rPr>
        <w:t xml:space="preserve">.2014r., </w:t>
      </w:r>
      <w:r>
        <w:rPr>
          <w:color w:val="000000"/>
        </w:rPr>
        <w:t>str. 1</w:t>
      </w:r>
      <w:r w:rsidR="007D1BA3">
        <w:rPr>
          <w:color w:val="000000"/>
        </w:rPr>
        <w:t>,</w:t>
      </w:r>
      <w:r w:rsidRPr="00286BD6">
        <w:rPr>
          <w:color w:val="000000"/>
        </w:rPr>
        <w:t xml:space="preserve"> z</w:t>
      </w:r>
      <w:r w:rsidR="00BE7730">
        <w:rPr>
          <w:color w:val="000000"/>
        </w:rPr>
        <w:t xml:space="preserve"> późn. zm.)</w:t>
      </w:r>
      <w:r w:rsidRPr="00286BD6">
        <w:rPr>
          <w:color w:val="000000"/>
        </w:rPr>
        <w:t xml:space="preserve">, </w:t>
      </w:r>
      <w:r w:rsidR="00BC10B1">
        <w:rPr>
          <w:color w:val="000000"/>
        </w:rPr>
        <w:t>a także, iż musi ona być zgodna</w:t>
      </w:r>
      <w:r w:rsidRPr="00286BD6">
        <w:rPr>
          <w:color w:val="000000"/>
        </w:rPr>
        <w:t xml:space="preserve"> </w:t>
      </w:r>
      <w:r w:rsidR="00BC10B1">
        <w:rPr>
          <w:color w:val="000000"/>
        </w:rPr>
        <w:t xml:space="preserve">z przepisami </w:t>
      </w:r>
      <w:r w:rsidR="00D37606">
        <w:rPr>
          <w:color w:val="000000"/>
        </w:rPr>
        <w:t xml:space="preserve">sekcji 3.1 </w:t>
      </w:r>
      <w:r w:rsidR="00BC10B1">
        <w:rPr>
          <w:color w:val="000000"/>
        </w:rPr>
        <w:t>Komunikatu Komisji.</w:t>
      </w:r>
    </w:p>
    <w:p w:rsidR="00D37606" w:rsidRDefault="00D37606" w:rsidP="002F6787">
      <w:pPr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625396">
        <w:rPr>
          <w:color w:val="000000"/>
        </w:rPr>
        <w:t xml:space="preserve">W § 3 ust. 1 projektu określono, iż </w:t>
      </w:r>
      <w:r w:rsidR="00904227" w:rsidRPr="00625396">
        <w:rPr>
          <w:color w:val="000000"/>
        </w:rPr>
        <w:t>pomoc nie może być udzielana przedsiębiorcom, którzy w dniu 31 grudnia 2019 r. znajdowali się w trudnej sytuacji</w:t>
      </w:r>
      <w:r w:rsidRPr="00625396">
        <w:rPr>
          <w:color w:val="000000"/>
        </w:rPr>
        <w:t>, zgodnie z wymienionymi w tym ustępie przepisami</w:t>
      </w:r>
      <w:r w:rsidR="00904227" w:rsidRPr="00625396">
        <w:rPr>
          <w:color w:val="000000"/>
        </w:rPr>
        <w:t>.</w:t>
      </w:r>
      <w:r w:rsidRPr="00625396">
        <w:rPr>
          <w:color w:val="000000"/>
        </w:rPr>
        <w:t xml:space="preserve"> </w:t>
      </w:r>
      <w:r w:rsidR="00F11322" w:rsidRPr="00625396">
        <w:rPr>
          <w:color w:val="000000"/>
        </w:rPr>
        <w:t>W § 3 ust. 2 wymieniono natomiast ro</w:t>
      </w:r>
      <w:r w:rsidR="009D2383">
        <w:rPr>
          <w:color w:val="000000"/>
        </w:rPr>
        <w:t>dzaje pomocy</w:t>
      </w:r>
      <w:r w:rsidR="003A3D81">
        <w:rPr>
          <w:color w:val="000000"/>
        </w:rPr>
        <w:t>,</w:t>
      </w:r>
      <w:r w:rsidR="00904227" w:rsidRPr="00625396">
        <w:rPr>
          <w:color w:val="000000"/>
        </w:rPr>
        <w:t xml:space="preserve"> w odniesieniu do </w:t>
      </w:r>
      <w:r w:rsidR="00F11322" w:rsidRPr="00625396">
        <w:rPr>
          <w:color w:val="000000"/>
        </w:rPr>
        <w:t>których nie stosuje się rozporządzenia.</w:t>
      </w:r>
      <w:r w:rsidR="00F11322">
        <w:rPr>
          <w:color w:val="000000"/>
        </w:rPr>
        <w:t xml:space="preserve"> </w:t>
      </w:r>
    </w:p>
    <w:p w:rsidR="00E459B2" w:rsidRDefault="00E459B2" w:rsidP="002F6787">
      <w:pPr>
        <w:autoSpaceDE w:val="0"/>
        <w:autoSpaceDN w:val="0"/>
        <w:adjustRightInd w:val="0"/>
        <w:spacing w:after="80"/>
        <w:jc w:val="both"/>
        <w:rPr>
          <w:color w:val="000000"/>
        </w:rPr>
      </w:pPr>
      <w:r>
        <w:rPr>
          <w:color w:val="000000"/>
        </w:rPr>
        <w:t>Zgodnie z</w:t>
      </w:r>
      <w:r w:rsidR="00F11322">
        <w:rPr>
          <w:color w:val="000000"/>
        </w:rPr>
        <w:t xml:space="preserve"> § 4 </w:t>
      </w:r>
      <w:r w:rsidR="002F6787">
        <w:rPr>
          <w:color w:val="000000"/>
        </w:rPr>
        <w:t xml:space="preserve">ust. 1 </w:t>
      </w:r>
      <w:r>
        <w:rPr>
          <w:color w:val="000000"/>
        </w:rPr>
        <w:t>g</w:t>
      </w:r>
      <w:r w:rsidRPr="00E459B2">
        <w:rPr>
          <w:color w:val="000000"/>
        </w:rPr>
        <w:t>warancja obejmuje nie więcej niż 8</w:t>
      </w:r>
      <w:r w:rsidR="00EE1AA6">
        <w:rPr>
          <w:color w:val="000000"/>
        </w:rPr>
        <w:t>0% kwoty transakcji leasingowej. W paragrafie tym określone również zostały maksymalne kwoty możliwej do udzielenia gwarancji w zależności od sektorów działalności MŚP.</w:t>
      </w:r>
    </w:p>
    <w:p w:rsidR="002F6787" w:rsidRPr="002F6787" w:rsidRDefault="002F6787" w:rsidP="002F6787">
      <w:pPr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2F6787">
        <w:rPr>
          <w:color w:val="000000"/>
        </w:rPr>
        <w:t>W związku z faktem, iż gwarancja BGK udzielana na podstaw</w:t>
      </w:r>
      <w:r>
        <w:rPr>
          <w:color w:val="000000"/>
        </w:rPr>
        <w:t>ie niniejszego rozporządzenia w </w:t>
      </w:r>
      <w:r w:rsidRPr="002F6787">
        <w:rPr>
          <w:color w:val="000000"/>
        </w:rPr>
        <w:t>70% objęta będzie regwarancją EFI, udzieloną w związku</w:t>
      </w:r>
      <w:r>
        <w:rPr>
          <w:color w:val="000000"/>
        </w:rPr>
        <w:t xml:space="preserve"> z decyzją KE w sprawie PFG, w § 4 ust. 2 określono, iż wartość pomocy udzielanej na podstawie rozporządzenia </w:t>
      </w:r>
      <w:r w:rsidRPr="002F6787">
        <w:rPr>
          <w:color w:val="000000"/>
        </w:rPr>
        <w:t>jest równa równowartości 30% nominalnej kwoty udzielonej gwarancji. Regwarancją EFI jest udzielona do wysokości ustalonego poziomu limitu na ryzyko, przy</w:t>
      </w:r>
      <w:r>
        <w:rPr>
          <w:color w:val="000000"/>
        </w:rPr>
        <w:t xml:space="preserve"> czym przyjęty poziom limitu na </w:t>
      </w:r>
      <w:r w:rsidRPr="002F6787">
        <w:rPr>
          <w:color w:val="000000"/>
        </w:rPr>
        <w:t>ryzyko jest na tyle wysoki, że prawdopodobieństwo jego przekroczenia jest bardzo niskie. Oznacza to, iż BGK ponosi ryzyko dotyczące wyłącznie 30</w:t>
      </w:r>
      <w:r>
        <w:rPr>
          <w:color w:val="000000"/>
        </w:rPr>
        <w:t>% kwoty udzielonej gwarancji. W </w:t>
      </w:r>
      <w:r w:rsidRPr="002F6787">
        <w:rPr>
          <w:color w:val="000000"/>
        </w:rPr>
        <w:t xml:space="preserve">przypadku wypłaty środków z gwarancji różnica pomiędzy kwotą gwarancji a regwarancją EFI będzie pokrywana ze środków Krajowego Funduszu Gwarancyjnego, zwanego dalej „KFG”, o którym mowa w art. 34g ustawy </w:t>
      </w:r>
      <w:r w:rsidRPr="00952ED6">
        <w:rPr>
          <w:i/>
          <w:color w:val="000000"/>
        </w:rPr>
        <w:t>o poręczeniach i gwarancjach</w:t>
      </w:r>
      <w:r>
        <w:rPr>
          <w:color w:val="000000"/>
        </w:rPr>
        <w:t>. W odniesieniu do </w:t>
      </w:r>
      <w:r w:rsidRPr="002F6787">
        <w:rPr>
          <w:color w:val="000000"/>
        </w:rPr>
        <w:t>części gwarancji, w stosunku do której ryzyko wypłaty ciąży na BGK (30% nieobjęte regwarancją EFI), pomoc publiczna będzie udzielana na podstawie przepisów Komunikatu Komisji.</w:t>
      </w:r>
    </w:p>
    <w:p w:rsidR="009D2383" w:rsidRDefault="002F6787" w:rsidP="002F6787">
      <w:pPr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2F6787">
        <w:rPr>
          <w:color w:val="000000"/>
        </w:rPr>
        <w:lastRenderedPageBreak/>
        <w:t>Podkreślenia wymaga również, iż w przypadku pomocy udzielanej na podstawie niniejszego rozporządzenia nie będzie wyliczany tzw. ekwiwalent dotacji brutto. Wartość pomocy udzielanej na podstawie rozporządzenia jest równa nominalnej kwocie 30% udzielonej gwarancji.</w:t>
      </w:r>
    </w:p>
    <w:p w:rsidR="00EE1AA6" w:rsidRDefault="00EE1AA6" w:rsidP="002F6787">
      <w:pPr>
        <w:autoSpaceDE w:val="0"/>
        <w:autoSpaceDN w:val="0"/>
        <w:adjustRightInd w:val="0"/>
        <w:spacing w:after="80"/>
        <w:jc w:val="both"/>
        <w:rPr>
          <w:color w:val="000000"/>
        </w:rPr>
      </w:pPr>
      <w:r>
        <w:rPr>
          <w:color w:val="000000"/>
        </w:rPr>
        <w:t xml:space="preserve">Pomoc w formie gwarancji BGK, o których mowa w projekcie rozporządzenia, może podlegać kumulacji z pomocą publiczną udzielaną na podstawie innych aktów prawnych oraz z pomocą </w:t>
      </w:r>
      <w:r w:rsidRPr="007D1BA3">
        <w:rPr>
          <w:i/>
          <w:color w:val="000000"/>
        </w:rPr>
        <w:t>de minimis</w:t>
      </w:r>
      <w:r>
        <w:rPr>
          <w:color w:val="000000"/>
        </w:rPr>
        <w:t xml:space="preserve"> udzielaną zgodnie z przepisami wymienionymi w § 5 ust. 1 projektu. Ponadto w § </w:t>
      </w:r>
      <w:r w:rsidRPr="001E3439">
        <w:rPr>
          <w:color w:val="000000"/>
        </w:rPr>
        <w:t xml:space="preserve">5 ust. </w:t>
      </w:r>
      <w:r>
        <w:rPr>
          <w:color w:val="000000"/>
        </w:rPr>
        <w:t>2</w:t>
      </w:r>
      <w:r w:rsidRPr="001E3439">
        <w:rPr>
          <w:color w:val="000000"/>
        </w:rPr>
        <w:t xml:space="preserve"> projektu </w:t>
      </w:r>
      <w:r>
        <w:rPr>
          <w:color w:val="000000"/>
        </w:rPr>
        <w:t>wskazano, iż j</w:t>
      </w:r>
      <w:r w:rsidRPr="001E3439">
        <w:rPr>
          <w:color w:val="000000"/>
        </w:rPr>
        <w:t xml:space="preserve">eżeli pomoc udzielana na podstawie </w:t>
      </w:r>
      <w:r>
        <w:rPr>
          <w:color w:val="000000"/>
        </w:rPr>
        <w:t xml:space="preserve">niniejszego </w:t>
      </w:r>
      <w:r w:rsidRPr="001E3439">
        <w:rPr>
          <w:color w:val="000000"/>
        </w:rPr>
        <w:t xml:space="preserve">rozporządzenia podlega kumulacji z inną pomocą udzielaną zgodnie z sekcją 3.1 komunikatu Komisji, łączna wartość pomocy udzielanej jednemu przedsiębiorcy nie </w:t>
      </w:r>
      <w:r>
        <w:rPr>
          <w:color w:val="000000"/>
        </w:rPr>
        <w:t xml:space="preserve">może </w:t>
      </w:r>
      <w:r w:rsidRPr="001E3439">
        <w:rPr>
          <w:color w:val="000000"/>
        </w:rPr>
        <w:t>przekracza</w:t>
      </w:r>
      <w:r>
        <w:rPr>
          <w:color w:val="000000"/>
        </w:rPr>
        <w:t>ć określonych w nim wartości.</w:t>
      </w:r>
    </w:p>
    <w:p w:rsidR="002F6787" w:rsidRDefault="00445DC1" w:rsidP="002F6787">
      <w:pPr>
        <w:autoSpaceDE w:val="0"/>
        <w:autoSpaceDN w:val="0"/>
        <w:adjustRightInd w:val="0"/>
        <w:spacing w:after="80"/>
        <w:jc w:val="both"/>
        <w:rPr>
          <w:color w:val="000000"/>
        </w:rPr>
      </w:pPr>
      <w:r>
        <w:rPr>
          <w:color w:val="000000"/>
        </w:rPr>
        <w:t xml:space="preserve">§ 6 projektu reguluje sytuację udzielania gwarancji w przypadku prowadzenia przez MŚP </w:t>
      </w:r>
      <w:r w:rsidR="002F6787">
        <w:rPr>
          <w:color w:val="000000"/>
        </w:rPr>
        <w:t xml:space="preserve">działalności w kilku sektorach, </w:t>
      </w:r>
      <w:r w:rsidR="002F6787" w:rsidRPr="002F6787">
        <w:rPr>
          <w:color w:val="000000"/>
        </w:rPr>
        <w:t>do których zastosowanie mają różne maksymalne kwoty gwarancji lub różne maksymalne kwoty pomocy</w:t>
      </w:r>
      <w:r w:rsidR="002F6787">
        <w:rPr>
          <w:color w:val="000000"/>
        </w:rPr>
        <w:t xml:space="preserve">. W takim </w:t>
      </w:r>
      <w:r w:rsidR="003403B2">
        <w:rPr>
          <w:color w:val="000000"/>
        </w:rPr>
        <w:t>prz</w:t>
      </w:r>
      <w:r w:rsidR="002F6787">
        <w:rPr>
          <w:color w:val="000000"/>
        </w:rPr>
        <w:t>ypadku</w:t>
      </w:r>
      <w:r w:rsidR="002F6787" w:rsidRPr="002F6787">
        <w:rPr>
          <w:color w:val="000000"/>
        </w:rPr>
        <w:t xml:space="preserve"> gwarancja lub pomoc podlegają kumulacji do wysokości maksymalnych kwot oraz najwyższej z maksymalnych kwot gwarancji lub pomocy możliwej do udzielenia przedsiębiorcy zgodnie z komunikatem Komisji. Przedsiębiorca zapewnia </w:t>
      </w:r>
      <w:r w:rsidR="002F6787">
        <w:rPr>
          <w:color w:val="000000"/>
        </w:rPr>
        <w:t xml:space="preserve">również </w:t>
      </w:r>
      <w:r w:rsidR="002F6787" w:rsidRPr="002F6787">
        <w:rPr>
          <w:color w:val="000000"/>
        </w:rPr>
        <w:t>rozdzielność finansowo - księgową działalności</w:t>
      </w:r>
      <w:r w:rsidR="007D1BA3">
        <w:rPr>
          <w:color w:val="000000"/>
        </w:rPr>
        <w:t>,</w:t>
      </w:r>
      <w:r w:rsidR="002F6787" w:rsidRPr="002F6787">
        <w:rPr>
          <w:color w:val="000000"/>
        </w:rPr>
        <w:t xml:space="preserve"> prowadzonych </w:t>
      </w:r>
      <w:r w:rsidR="002F6787">
        <w:rPr>
          <w:color w:val="000000"/>
        </w:rPr>
        <w:t>w </w:t>
      </w:r>
      <w:r w:rsidR="002F6787" w:rsidRPr="002F6787">
        <w:rPr>
          <w:color w:val="000000"/>
        </w:rPr>
        <w:t>poszczególnych sektorach w celu zapewnienia nieprzekroczenia właściwych kwot gwarancji lub pomocy.</w:t>
      </w:r>
    </w:p>
    <w:p w:rsidR="007921D7" w:rsidRDefault="004C270A" w:rsidP="002F6787">
      <w:pPr>
        <w:autoSpaceDE w:val="0"/>
        <w:autoSpaceDN w:val="0"/>
        <w:adjustRightInd w:val="0"/>
        <w:spacing w:after="80"/>
        <w:jc w:val="both"/>
      </w:pPr>
      <w:r>
        <w:t xml:space="preserve">Zgodnie z </w:t>
      </w:r>
      <w:r w:rsidR="00445DC1">
        <w:t>§ 7</w:t>
      </w:r>
      <w:r w:rsidRPr="004C270A">
        <w:t xml:space="preserve"> projektu </w:t>
      </w:r>
      <w:r>
        <w:t>g</w:t>
      </w:r>
      <w:r w:rsidR="007921D7" w:rsidRPr="007921D7">
        <w:t>warancja BGK będzie mogła obejmować transakcje leasingowe wchodzące w skład portfela stanowiącego zbiór pojedynczych transakcji leasingowych</w:t>
      </w:r>
      <w:r w:rsidR="007921D7">
        <w:t xml:space="preserve">. </w:t>
      </w:r>
      <w:r w:rsidR="007921D7" w:rsidRPr="007921D7">
        <w:t xml:space="preserve">Przepis ten wynika z założenia, że </w:t>
      </w:r>
      <w:r w:rsidR="007921D7">
        <w:t xml:space="preserve">udzielane </w:t>
      </w:r>
      <w:r w:rsidR="007921D7" w:rsidRPr="007921D7">
        <w:t>gwarancje będą miały formę gwarancji po</w:t>
      </w:r>
      <w:r w:rsidR="007921D7">
        <w:t>rtfelowych według sprawdzonej i</w:t>
      </w:r>
      <w:r>
        <w:t xml:space="preserve"> </w:t>
      </w:r>
      <w:r w:rsidR="007921D7" w:rsidRPr="007921D7">
        <w:t xml:space="preserve">akceptowanej zasady stosowanej </w:t>
      </w:r>
      <w:r>
        <w:t xml:space="preserve">np. </w:t>
      </w:r>
      <w:r w:rsidR="007921D7" w:rsidRPr="007921D7">
        <w:t xml:space="preserve">w ramach programu gwarancji portfelowych </w:t>
      </w:r>
      <w:r w:rsidR="007921D7" w:rsidRPr="007D1BA3">
        <w:rPr>
          <w:i/>
        </w:rPr>
        <w:t>de minimis</w:t>
      </w:r>
      <w:r w:rsidR="007921D7" w:rsidRPr="007921D7">
        <w:t xml:space="preserve"> (PLD), których BGK udziela od 2013 r., wspierając działalność MŚP.</w:t>
      </w:r>
      <w:r w:rsidR="007921D7">
        <w:t xml:space="preserve"> Instytucje finansujące, w tym przypadku leasingodawcy,</w:t>
      </w:r>
      <w:r w:rsidR="007921D7" w:rsidRPr="007921D7">
        <w:t xml:space="preserve"> aplikują o limit gwar</w:t>
      </w:r>
      <w:r w:rsidR="0011593F">
        <w:t>ancji portfelowych do BGK, a po </w:t>
      </w:r>
      <w:r w:rsidR="007921D7" w:rsidRPr="007921D7">
        <w:t>uzyskaniu tego limitu zyskują upoważnienie do o</w:t>
      </w:r>
      <w:r w:rsidR="0011593F">
        <w:t>bejmowania gwarancjami BGK tych </w:t>
      </w:r>
      <w:r w:rsidR="007921D7">
        <w:t>transakcji</w:t>
      </w:r>
      <w:r w:rsidR="007921D7" w:rsidRPr="007921D7">
        <w:t xml:space="preserve">, które przeszły pozytywną weryfikację pod kątem ryzyka </w:t>
      </w:r>
      <w:r w:rsidR="0011593F">
        <w:t>oraz </w:t>
      </w:r>
      <w:r w:rsidR="007921D7">
        <w:t>kwalifikowalności z </w:t>
      </w:r>
      <w:r w:rsidR="007921D7" w:rsidRPr="007921D7">
        <w:t xml:space="preserve">punktu widzenia zasad programu pomocowego i z punktu widzenia </w:t>
      </w:r>
      <w:r>
        <w:t xml:space="preserve">jego </w:t>
      </w:r>
      <w:r w:rsidR="007921D7" w:rsidRPr="007921D7">
        <w:t>celów</w:t>
      </w:r>
      <w:r w:rsidR="007921D7">
        <w:t>. Ł</w:t>
      </w:r>
      <w:r w:rsidR="007921D7" w:rsidRPr="007921D7">
        <w:t>ączną kwotę limitu gwarancji udz</w:t>
      </w:r>
      <w:r w:rsidR="0011593F">
        <w:t>ielanych na określony czas oraz </w:t>
      </w:r>
      <w:r w:rsidR="007921D7" w:rsidRPr="007921D7">
        <w:t>przeznaczenie tych</w:t>
      </w:r>
      <w:r w:rsidR="007921D7">
        <w:t xml:space="preserve"> transakcji leasingowych określi</w:t>
      </w:r>
      <w:r w:rsidR="0011593F">
        <w:t xml:space="preserve"> umowa zawarta pomiędzy BGK a </w:t>
      </w:r>
      <w:r w:rsidR="007921D7">
        <w:t>leasingodawc</w:t>
      </w:r>
      <w:r w:rsidR="00941574">
        <w:t>ą</w:t>
      </w:r>
      <w:r w:rsidR="007921D7" w:rsidRPr="007921D7">
        <w:t>.</w:t>
      </w:r>
    </w:p>
    <w:p w:rsidR="005914E9" w:rsidRDefault="005914E9" w:rsidP="002F6787">
      <w:pPr>
        <w:autoSpaceDE w:val="0"/>
        <w:autoSpaceDN w:val="0"/>
        <w:adjustRightInd w:val="0"/>
        <w:spacing w:after="80"/>
        <w:jc w:val="both"/>
      </w:pPr>
      <w:r>
        <w:t xml:space="preserve">Zgodnie z § </w:t>
      </w:r>
      <w:r w:rsidR="00445DC1">
        <w:t>8</w:t>
      </w:r>
      <w:r>
        <w:t xml:space="preserve"> projektu pomoc publiczna będzie udzielana na wniosek MŚP</w:t>
      </w:r>
      <w:r w:rsidR="00B100C3">
        <w:t xml:space="preserve"> składany do </w:t>
      </w:r>
      <w:r>
        <w:t>leasingodawcy. Wniosek o udzielenie pomocy zawiera:</w:t>
      </w:r>
    </w:p>
    <w:p w:rsidR="005914E9" w:rsidRDefault="005914E9" w:rsidP="002F6787">
      <w:pPr>
        <w:autoSpaceDE w:val="0"/>
        <w:autoSpaceDN w:val="0"/>
        <w:adjustRightInd w:val="0"/>
        <w:spacing w:after="80"/>
        <w:ind w:left="284" w:hanging="284"/>
        <w:jc w:val="both"/>
      </w:pPr>
      <w:r>
        <w:t>­</w:t>
      </w:r>
      <w:r>
        <w:tab/>
      </w:r>
      <w:r w:rsidRPr="005914E9">
        <w:t>informacje o wnioskodawcy, w tym imię i nazwisko albo nazwę oraz adres miejsca zamieszkania albo siedziby przedsiębiorcy</w:t>
      </w:r>
      <w:r>
        <w:t>,</w:t>
      </w:r>
    </w:p>
    <w:p w:rsidR="005914E9" w:rsidRDefault="005914E9" w:rsidP="002F6787">
      <w:pPr>
        <w:autoSpaceDE w:val="0"/>
        <w:autoSpaceDN w:val="0"/>
        <w:adjustRightInd w:val="0"/>
        <w:spacing w:after="80"/>
        <w:ind w:left="284" w:hanging="284"/>
        <w:jc w:val="both"/>
      </w:pPr>
      <w:r>
        <w:t>­</w:t>
      </w:r>
      <w:r>
        <w:tab/>
      </w:r>
      <w:r w:rsidRPr="005914E9">
        <w:t>kwotę i przeznaczenie środków z transakcji leasingowej</w:t>
      </w:r>
      <w:r>
        <w:t>,</w:t>
      </w:r>
    </w:p>
    <w:p w:rsidR="005914E9" w:rsidRDefault="005914E9" w:rsidP="002F6787">
      <w:pPr>
        <w:autoSpaceDE w:val="0"/>
        <w:autoSpaceDN w:val="0"/>
        <w:adjustRightInd w:val="0"/>
        <w:spacing w:after="80"/>
        <w:ind w:left="284" w:hanging="284"/>
        <w:jc w:val="both"/>
      </w:pPr>
      <w:r>
        <w:t>­</w:t>
      </w:r>
      <w:r>
        <w:tab/>
        <w:t>wysokość i termin obowiązywania gwarancji,</w:t>
      </w:r>
    </w:p>
    <w:p w:rsidR="005914E9" w:rsidRDefault="005914E9" w:rsidP="002F6787">
      <w:pPr>
        <w:autoSpaceDE w:val="0"/>
        <w:autoSpaceDN w:val="0"/>
        <w:adjustRightInd w:val="0"/>
        <w:spacing w:after="80"/>
        <w:ind w:left="284" w:hanging="284"/>
        <w:jc w:val="both"/>
      </w:pPr>
      <w:r>
        <w:t>­</w:t>
      </w:r>
      <w:r>
        <w:tab/>
        <w:t>inne informacje niezbęd</w:t>
      </w:r>
      <w:r w:rsidR="00B100C3">
        <w:t>ne do dokonania oceny wniosku i </w:t>
      </w:r>
      <w:r>
        <w:t>udzielenia pomocy publicznej.</w:t>
      </w:r>
    </w:p>
    <w:p w:rsidR="00754097" w:rsidRDefault="005914E9" w:rsidP="002F6787">
      <w:pPr>
        <w:autoSpaceDE w:val="0"/>
        <w:autoSpaceDN w:val="0"/>
        <w:adjustRightInd w:val="0"/>
        <w:spacing w:after="80"/>
        <w:jc w:val="both"/>
      </w:pPr>
      <w:r>
        <w:t xml:space="preserve">Dniem udzielenia pomocy będzie dzień udzielenia gwarancji (§ </w:t>
      </w:r>
      <w:r w:rsidR="00445DC1">
        <w:t>9</w:t>
      </w:r>
      <w:r>
        <w:t xml:space="preserve"> projektu).</w:t>
      </w:r>
    </w:p>
    <w:p w:rsidR="00754097" w:rsidRDefault="004C270A" w:rsidP="002F6787">
      <w:pPr>
        <w:autoSpaceDE w:val="0"/>
        <w:autoSpaceDN w:val="0"/>
        <w:adjustRightInd w:val="0"/>
        <w:spacing w:after="80"/>
        <w:jc w:val="both"/>
      </w:pPr>
      <w:r w:rsidRPr="004C270A">
        <w:t>Pomoc</w:t>
      </w:r>
      <w:r>
        <w:t xml:space="preserve"> w formie gwarancji BGK udzielanych na podstawie niniejszego rozporządzenia będzie </w:t>
      </w:r>
      <w:r w:rsidRPr="004C270A">
        <w:t>udzielana do dnia 31 grudnia 2021 r.</w:t>
      </w:r>
      <w:r>
        <w:t>, czyli do daty określonej w Komunikacie Komisji</w:t>
      </w:r>
      <w:r w:rsidR="00445DC1">
        <w:t xml:space="preserve"> (§ 10</w:t>
      </w:r>
      <w:r w:rsidR="001E3439">
        <w:t> </w:t>
      </w:r>
      <w:r w:rsidR="001E3439" w:rsidRPr="001E3439">
        <w:t>projektu</w:t>
      </w:r>
      <w:r w:rsidR="001E3439">
        <w:t>)</w:t>
      </w:r>
      <w:r>
        <w:t>.</w:t>
      </w:r>
    </w:p>
    <w:p w:rsidR="00B129DC" w:rsidRPr="00ED1B09" w:rsidRDefault="00562D14" w:rsidP="002F6787">
      <w:pPr>
        <w:spacing w:after="80"/>
        <w:jc w:val="both"/>
        <w:rPr>
          <w:bCs/>
        </w:rPr>
      </w:pPr>
      <w:r w:rsidRPr="00562D14">
        <w:t xml:space="preserve">Termin wejścia rozporządzenia w życie został określony w § </w:t>
      </w:r>
      <w:r w:rsidR="00445DC1">
        <w:t>11</w:t>
      </w:r>
      <w:r w:rsidRPr="00562D14">
        <w:t xml:space="preserve"> projektu, zgodnie z którym rozporządzenie wchodzi w życie z dniem następującym po dniu ogłoszenia. Skrócenie </w:t>
      </w:r>
      <w:r w:rsidRPr="00562D14">
        <w:rPr>
          <w:i/>
        </w:rPr>
        <w:t>vacatio legis</w:t>
      </w:r>
      <w:r w:rsidRPr="00562D14">
        <w:t xml:space="preserve"> rozporządzenia podyktowane jest koniecznością jak </w:t>
      </w:r>
      <w:r>
        <w:t>najpilniejszego wdrożenia przewidzianego w rozporządzeniu programu wsparcia MŚP będących leasingobiorcami</w:t>
      </w:r>
      <w:r w:rsidRPr="00562D14">
        <w:t>. Proponowana data wejścia w życie aktu nie stoi w sprzeczności z zasadami demokratycznego państwa prawnego, zgodnie z art. 4 ust. 2 ustawy o z dnia 20 lipca 2000 r. o ogłaszaniu aktów normatywnych i niektórych innych aktów prawnych (Dz. U. z 2019 r. poz. 1461).</w:t>
      </w:r>
    </w:p>
    <w:p w:rsidR="002849EB" w:rsidRDefault="001668E0" w:rsidP="002F6787">
      <w:pPr>
        <w:spacing w:after="80"/>
        <w:jc w:val="both"/>
        <w:rPr>
          <w:bCs/>
        </w:rPr>
      </w:pPr>
      <w:r>
        <w:rPr>
          <w:bCs/>
        </w:rPr>
        <w:lastRenderedPageBreak/>
        <w:t>Szacuje się, iż ze wsparcia w formie gwarancji BGK obejmujących transakcje leasingowe skorzysta ok. 30 tys. przedsiębiorców z sektora MŚP, a</w:t>
      </w:r>
      <w:r w:rsidR="003022BB">
        <w:rPr>
          <w:bCs/>
        </w:rPr>
        <w:t xml:space="preserve"> możliwa</w:t>
      </w:r>
      <w:r w:rsidR="0003385B">
        <w:rPr>
          <w:bCs/>
        </w:rPr>
        <w:t xml:space="preserve"> kwota udzielonych gwarancji wyn</w:t>
      </w:r>
      <w:r w:rsidR="007D1BA3">
        <w:rPr>
          <w:bCs/>
        </w:rPr>
        <w:t>iesie</w:t>
      </w:r>
      <w:r w:rsidR="0003385B">
        <w:rPr>
          <w:bCs/>
        </w:rPr>
        <w:t xml:space="preserve"> 4,5 mld PLN</w:t>
      </w:r>
      <w:r>
        <w:rPr>
          <w:bCs/>
        </w:rPr>
        <w:t>.</w:t>
      </w:r>
    </w:p>
    <w:p w:rsidR="001668E0" w:rsidRDefault="001668E0" w:rsidP="002F6787">
      <w:pPr>
        <w:spacing w:after="80"/>
        <w:jc w:val="both"/>
        <w:rPr>
          <w:bCs/>
        </w:rPr>
      </w:pPr>
      <w:r>
        <w:rPr>
          <w:bCs/>
        </w:rPr>
        <w:t>Założono następujące podstawowe parametry gwarancji:</w:t>
      </w:r>
    </w:p>
    <w:p w:rsidR="001668E0" w:rsidRPr="00C90328" w:rsidRDefault="0086250F" w:rsidP="002F6787">
      <w:pPr>
        <w:pStyle w:val="Akapitzlist"/>
        <w:numPr>
          <w:ilvl w:val="0"/>
          <w:numId w:val="4"/>
        </w:numPr>
        <w:spacing w:after="80"/>
        <w:ind w:left="284" w:hanging="284"/>
        <w:jc w:val="both"/>
        <w:rPr>
          <w:bCs/>
        </w:rPr>
      </w:pPr>
      <w:r w:rsidRPr="00C90328">
        <w:rPr>
          <w:bCs/>
        </w:rPr>
        <w:t>okres gwarancji: maksymalny - 120 miesięcy, minimalny - 3 miesiące,</w:t>
      </w:r>
    </w:p>
    <w:p w:rsidR="0086250F" w:rsidRPr="00C90328" w:rsidRDefault="0086250F" w:rsidP="002F6787">
      <w:pPr>
        <w:pStyle w:val="Akapitzlist"/>
        <w:numPr>
          <w:ilvl w:val="0"/>
          <w:numId w:val="4"/>
        </w:numPr>
        <w:spacing w:after="80"/>
        <w:ind w:left="284" w:hanging="284"/>
        <w:jc w:val="both"/>
        <w:rPr>
          <w:bCs/>
        </w:rPr>
      </w:pPr>
      <w:r w:rsidRPr="00C90328">
        <w:rPr>
          <w:bCs/>
        </w:rPr>
        <w:t>maksymalna kwota gwarancji - 800 tys. EUR, z wyjątkiem przedsiębiorstw prowadzących działalność w sektorze rybołówstwa i akwakultury - 120 tys. EUR i</w:t>
      </w:r>
      <w:r w:rsidR="0003385B">
        <w:rPr>
          <w:bCs/>
        </w:rPr>
        <w:t xml:space="preserve"> w przypadku </w:t>
      </w:r>
      <w:r w:rsidRPr="00C90328">
        <w:rPr>
          <w:bCs/>
        </w:rPr>
        <w:t xml:space="preserve"> przedsiębiorstw prowadząc</w:t>
      </w:r>
      <w:r w:rsidR="0003385B">
        <w:rPr>
          <w:bCs/>
        </w:rPr>
        <w:t>ych</w:t>
      </w:r>
      <w:r w:rsidRPr="00C90328">
        <w:rPr>
          <w:bCs/>
        </w:rPr>
        <w:t xml:space="preserve"> działalność w sektorze produkcji podstawowej produktów rolnych - 100 tys. EUR,</w:t>
      </w:r>
    </w:p>
    <w:p w:rsidR="0086250F" w:rsidRPr="00C90328" w:rsidRDefault="00C90328" w:rsidP="002F6787">
      <w:pPr>
        <w:pStyle w:val="Akapitzlist"/>
        <w:numPr>
          <w:ilvl w:val="0"/>
          <w:numId w:val="4"/>
        </w:numPr>
        <w:spacing w:after="80"/>
        <w:ind w:left="284" w:hanging="284"/>
        <w:jc w:val="both"/>
        <w:rPr>
          <w:bCs/>
        </w:rPr>
      </w:pPr>
      <w:r>
        <w:rPr>
          <w:bCs/>
        </w:rPr>
        <w:t>p</w:t>
      </w:r>
      <w:r w:rsidR="0086250F" w:rsidRPr="00C90328">
        <w:rPr>
          <w:bCs/>
        </w:rPr>
        <w:t>lanowana opłata prowizyjna: za 1, 2 i 3 rok trwania gwarancji - 0,20%, za 4 i kolejny rok trwania gwarancji - 0,30%. Opłata prowizyjna wyliczona z wykorzystaniem stawek wskazanych dla gwarancji udzielanych MŚP w Komunikacie Komisji, uwzględniając regwarancję EFI w wysokości 70% oraz przyjęcie minimalnej stawki na poziomie 0,20% zapewniającej pokrycie należnej EFI opłaty za regwarancję</w:t>
      </w:r>
      <w:r w:rsidRPr="00C90328">
        <w:rPr>
          <w:bCs/>
        </w:rPr>
        <w:t>,</w:t>
      </w:r>
    </w:p>
    <w:p w:rsidR="00C90328" w:rsidRPr="00C90328" w:rsidRDefault="00C90328" w:rsidP="002F6787">
      <w:pPr>
        <w:pStyle w:val="Akapitzlist"/>
        <w:numPr>
          <w:ilvl w:val="0"/>
          <w:numId w:val="4"/>
        </w:numPr>
        <w:spacing w:after="80"/>
        <w:ind w:left="284" w:hanging="284"/>
        <w:jc w:val="both"/>
        <w:rPr>
          <w:bCs/>
        </w:rPr>
      </w:pPr>
      <w:r w:rsidRPr="00C90328">
        <w:rPr>
          <w:bCs/>
        </w:rPr>
        <w:t>możliwość udzielania gwarancji do dnia 31 grudnia 2021 r., zgodnie z terminem obowiązywania Komunikatu Komisji.</w:t>
      </w:r>
    </w:p>
    <w:p w:rsidR="00FE789C" w:rsidRDefault="00C51ACB" w:rsidP="002F6787">
      <w:pPr>
        <w:spacing w:after="80"/>
        <w:jc w:val="both"/>
        <w:rPr>
          <w:bCs/>
        </w:rPr>
      </w:pPr>
      <w:r>
        <w:rPr>
          <w:bCs/>
        </w:rPr>
        <w:t xml:space="preserve">Jak wskazano powyżej gwarancja BGK obejmowała będzie 80% kwoty transakcji leasingowej, z czego 70% objęte zostanie regwarancją EFI. </w:t>
      </w:r>
    </w:p>
    <w:p w:rsidR="00FE789C" w:rsidRDefault="00C51ACB" w:rsidP="002F6787">
      <w:pPr>
        <w:spacing w:after="80"/>
        <w:jc w:val="both"/>
        <w:rPr>
          <w:bCs/>
        </w:rPr>
      </w:pPr>
      <w:r w:rsidRPr="00C51ACB">
        <w:rPr>
          <w:bCs/>
        </w:rPr>
        <w:t>W przypad</w:t>
      </w:r>
      <w:r>
        <w:rPr>
          <w:bCs/>
        </w:rPr>
        <w:t xml:space="preserve">ku wypłaty środków z gwarancji </w:t>
      </w:r>
      <w:r w:rsidRPr="00C51ACB">
        <w:rPr>
          <w:bCs/>
        </w:rPr>
        <w:t xml:space="preserve">różnica pomiędzy kwotą gwarancji a regwarancją EFI </w:t>
      </w:r>
      <w:r>
        <w:rPr>
          <w:bCs/>
        </w:rPr>
        <w:t>(30% kwoty objętej gwarancją) będzie pokrywana</w:t>
      </w:r>
      <w:r w:rsidRPr="00C51ACB">
        <w:rPr>
          <w:bCs/>
        </w:rPr>
        <w:t xml:space="preserve"> ze środków </w:t>
      </w:r>
      <w:r>
        <w:rPr>
          <w:bCs/>
        </w:rPr>
        <w:t>KFG</w:t>
      </w:r>
      <w:r w:rsidRPr="00C51ACB">
        <w:rPr>
          <w:bCs/>
        </w:rPr>
        <w:t>. Jednocześnie BGK zakłada, że w związku z terminem jaki BGK ma na realizację wypłaty z gwarancji (15 dni roboczych) wypłaty w całości byłyby pokry</w:t>
      </w:r>
      <w:r>
        <w:rPr>
          <w:bCs/>
        </w:rPr>
        <w:t>wane</w:t>
      </w:r>
      <w:r w:rsidRPr="00C51ACB">
        <w:rPr>
          <w:bCs/>
        </w:rPr>
        <w:t xml:space="preserve"> ze środków KFG, z kolei środki otrzymane </w:t>
      </w:r>
      <w:r>
        <w:rPr>
          <w:bCs/>
        </w:rPr>
        <w:t xml:space="preserve">później </w:t>
      </w:r>
      <w:r w:rsidRPr="00C51ACB">
        <w:rPr>
          <w:bCs/>
        </w:rPr>
        <w:t xml:space="preserve">z EFI z tytułu regwarancji zasiliłyby </w:t>
      </w:r>
      <w:r>
        <w:rPr>
          <w:bCs/>
        </w:rPr>
        <w:t xml:space="preserve">KFG. </w:t>
      </w:r>
      <w:r w:rsidRPr="00C51ACB">
        <w:rPr>
          <w:bCs/>
        </w:rPr>
        <w:t>Ze środków z KFG byłyby również pokrywane pozostałe koszty i wydatki związane z obsługą tego produkt</w:t>
      </w:r>
      <w:r>
        <w:rPr>
          <w:bCs/>
        </w:rPr>
        <w:t>u</w:t>
      </w:r>
      <w:r w:rsidRPr="00C51ACB">
        <w:rPr>
          <w:bCs/>
        </w:rPr>
        <w:t>, w tym opłata na</w:t>
      </w:r>
      <w:r>
        <w:rPr>
          <w:bCs/>
        </w:rPr>
        <w:t xml:space="preserve"> </w:t>
      </w:r>
      <w:r w:rsidRPr="00C51ACB">
        <w:rPr>
          <w:bCs/>
        </w:rPr>
        <w:t>rzecz EFI z tytułu regwarancji (0,20% rocznie od kwoty zaangażowania na portfelu). Jednocześnie wszelkie przychody, w tym wpływy z opłat prowizyjnych</w:t>
      </w:r>
      <w:r>
        <w:rPr>
          <w:bCs/>
        </w:rPr>
        <w:t>,</w:t>
      </w:r>
      <w:r w:rsidRPr="00C51ACB">
        <w:rPr>
          <w:bCs/>
        </w:rPr>
        <w:t xml:space="preserve"> stanowiłyby przychód KFG.</w:t>
      </w:r>
    </w:p>
    <w:p w:rsidR="004F0402" w:rsidRPr="002629AF" w:rsidRDefault="002163B9" w:rsidP="002F6787">
      <w:pPr>
        <w:spacing w:after="80"/>
        <w:jc w:val="both"/>
      </w:pPr>
      <w:r>
        <w:t>W</w:t>
      </w:r>
      <w:r w:rsidR="004F0402" w:rsidRPr="002629AF">
        <w:t xml:space="preserve"> ustawie </w:t>
      </w:r>
      <w:r w:rsidR="004F0402" w:rsidRPr="002629AF">
        <w:rPr>
          <w:i/>
        </w:rPr>
        <w:t>o poręczeniach i gwarancjach</w:t>
      </w:r>
      <w:r w:rsidR="004F0402" w:rsidRPr="002629AF">
        <w:t xml:space="preserve"> funkcjonuje model finansowania kosztów i wydatków związanych z udzielaniem przez BGK gwarancji</w:t>
      </w:r>
      <w:r w:rsidR="004F0402" w:rsidRPr="002629AF">
        <w:rPr>
          <w:bCs/>
        </w:rPr>
        <w:t>,</w:t>
      </w:r>
      <w:r w:rsidR="004F0402" w:rsidRPr="002629AF">
        <w:t xml:space="preserve"> zgodnie z którym, zamiast budżetowego finansowania większości wydatków i kosztów z tytułu udzielonych gwarancji stanowiących pomoc publiczną i pomoc </w:t>
      </w:r>
      <w:r w:rsidR="004F0402" w:rsidRPr="002629AF">
        <w:rPr>
          <w:i/>
        </w:rPr>
        <w:t>de minimis,</w:t>
      </w:r>
      <w:r w:rsidR="004F0402" w:rsidRPr="002629AF">
        <w:t xml:space="preserve"> stworzony został montaż finansowy środków uwolnionych z instrumentów finansowych programów operacyjnych szczebla centralnego obecnej i minionej perspektywy finansowej Unii Europejskiej, środków realokowanych z kapitałów BGK oraz ewentualnej, dobrowolnej partycypacji interesariuszy w dowolnym przedziale czasowym. Środki te są gromadzone w </w:t>
      </w:r>
      <w:r w:rsidR="002629AF" w:rsidRPr="002629AF">
        <w:t xml:space="preserve">KFG </w:t>
      </w:r>
      <w:r w:rsidR="004F0402" w:rsidRPr="002629AF">
        <w:t xml:space="preserve">utworzonym z dniem 1 stycznia 2018 r. w BGK. </w:t>
      </w:r>
    </w:p>
    <w:p w:rsidR="004F0402" w:rsidRPr="002629AF" w:rsidRDefault="004F0402" w:rsidP="002F6787">
      <w:pPr>
        <w:spacing w:after="80"/>
        <w:jc w:val="both"/>
        <w:rPr>
          <w:bCs/>
          <w:color w:val="000000"/>
        </w:rPr>
      </w:pPr>
      <w:r w:rsidRPr="002629AF">
        <w:rPr>
          <w:bCs/>
        </w:rPr>
        <w:t>Dodatkowo, jednym ze źródeł zasilania KFG o charakterze uzupełniającym i płynnościowym pozostał nadal budżet państwa. Jednakże środki z budżetu państwa przekazywane będą przez ministra właściwego do spraw finansów publicznych w wysokości umożliwiającej pokrycie kosztów i wydatków związanych m.in. z udzielanymi gwarancjami</w:t>
      </w:r>
      <w:r w:rsidR="002629AF" w:rsidRPr="002629AF">
        <w:rPr>
          <w:bCs/>
        </w:rPr>
        <w:t xml:space="preserve"> transakcji leasingowych</w:t>
      </w:r>
      <w:r w:rsidRPr="002629AF">
        <w:rPr>
          <w:bCs/>
        </w:rPr>
        <w:t xml:space="preserve">, o ile nie znajdą one pokrycia w innych środkach zgromadzonych na KFG. </w:t>
      </w:r>
      <w:r w:rsidR="00E44815" w:rsidRPr="00E44815">
        <w:rPr>
          <w:rFonts w:cs="Arial"/>
        </w:rPr>
        <w:t xml:space="preserve"> </w:t>
      </w:r>
      <w:r w:rsidR="00E44815">
        <w:rPr>
          <w:rFonts w:cs="Arial"/>
        </w:rPr>
        <w:t xml:space="preserve">Źródłem finansowania KFG mogą być też zaciągane kredyty, pożyczki oraz wyemitowane obligacje na rzecz KFG. </w:t>
      </w:r>
      <w:r w:rsidRPr="002629AF">
        <w:rPr>
          <w:bCs/>
        </w:rPr>
        <w:t>Aktualnie na rachunku KF</w:t>
      </w:r>
      <w:r w:rsidR="00803F66">
        <w:rPr>
          <w:bCs/>
        </w:rPr>
        <w:t>G zgromadzona została kwota ok. </w:t>
      </w:r>
      <w:r w:rsidR="00A431AD">
        <w:rPr>
          <w:bCs/>
        </w:rPr>
        <w:t>1,1</w:t>
      </w:r>
      <w:r w:rsidR="00803F66">
        <w:rPr>
          <w:bCs/>
        </w:rPr>
        <w:t> mld </w:t>
      </w:r>
      <w:r w:rsidR="00D6628C">
        <w:rPr>
          <w:bCs/>
        </w:rPr>
        <w:t>zł, która będzie służyć pokryciu</w:t>
      </w:r>
      <w:r w:rsidRPr="002629AF">
        <w:rPr>
          <w:bCs/>
        </w:rPr>
        <w:t xml:space="preserve"> kosztów i wydatków wynikających z udzielanych gwarancji przez BGK, stąd do czasu wyczerpania tych środków nie będzie zachodziła konieczność angażowania środków budżetowych z tytułu udzielanych gwarancji. </w:t>
      </w:r>
      <w:r w:rsidR="00BA1010" w:rsidRPr="00F20C56">
        <w:rPr>
          <w:color w:val="000000"/>
        </w:rPr>
        <w:t xml:space="preserve">Mając </w:t>
      </w:r>
      <w:r w:rsidR="00BA1010">
        <w:rPr>
          <w:color w:val="000000"/>
        </w:rPr>
        <w:t xml:space="preserve">jednak </w:t>
      </w:r>
      <w:r w:rsidR="00BA1010" w:rsidRPr="00F20C56">
        <w:rPr>
          <w:color w:val="000000"/>
        </w:rPr>
        <w:t xml:space="preserve">na uwadze skutki wysokiej kwoty udzielonych gwarancji </w:t>
      </w:r>
      <w:r w:rsidR="00BA1010">
        <w:rPr>
          <w:color w:val="000000"/>
        </w:rPr>
        <w:t>w ramach</w:t>
      </w:r>
      <w:r w:rsidR="00BA1010" w:rsidRPr="00F20C56">
        <w:rPr>
          <w:color w:val="000000"/>
        </w:rPr>
        <w:t xml:space="preserve"> KFG w 2020 r.</w:t>
      </w:r>
      <w:r w:rsidR="003403B2">
        <w:rPr>
          <w:color w:val="000000"/>
        </w:rPr>
        <w:t>,</w:t>
      </w:r>
      <w:r w:rsidR="00BA1010" w:rsidRPr="00F20C56">
        <w:rPr>
          <w:color w:val="000000"/>
        </w:rPr>
        <w:t xml:space="preserve"> wynoszącej 23,6 mld zł</w:t>
      </w:r>
      <w:r w:rsidR="002163B9">
        <w:rPr>
          <w:color w:val="000000"/>
        </w:rPr>
        <w:t>,</w:t>
      </w:r>
      <w:r w:rsidR="00BA1010" w:rsidRPr="00F20C56">
        <w:rPr>
          <w:color w:val="000000"/>
        </w:rPr>
        <w:t xml:space="preserve"> zakładaną sprzedaż gwarancji </w:t>
      </w:r>
      <w:r w:rsidR="00BA1010">
        <w:rPr>
          <w:color w:val="000000"/>
        </w:rPr>
        <w:t>w ramach</w:t>
      </w:r>
      <w:r w:rsidR="00BA1010" w:rsidRPr="00F20C56">
        <w:rPr>
          <w:color w:val="000000"/>
        </w:rPr>
        <w:t xml:space="preserve"> KFG na poziomie </w:t>
      </w:r>
      <w:r w:rsidR="00BA1010">
        <w:rPr>
          <w:color w:val="000000"/>
        </w:rPr>
        <w:t>23,8</w:t>
      </w:r>
      <w:r w:rsidR="00BA1010" w:rsidRPr="00F20C56">
        <w:rPr>
          <w:color w:val="000000"/>
        </w:rPr>
        <w:t xml:space="preserve"> mld zł w 2021 r.</w:t>
      </w:r>
      <w:r w:rsidR="00BA1010">
        <w:rPr>
          <w:color w:val="000000"/>
        </w:rPr>
        <w:t xml:space="preserve"> </w:t>
      </w:r>
      <w:r w:rsidR="00BA1010" w:rsidRPr="00F20C56">
        <w:rPr>
          <w:color w:val="000000"/>
        </w:rPr>
        <w:t>(</w:t>
      </w:r>
      <w:r w:rsidR="00BA1010">
        <w:rPr>
          <w:color w:val="000000"/>
        </w:rPr>
        <w:t xml:space="preserve">bez </w:t>
      </w:r>
      <w:r w:rsidR="00BA1010" w:rsidRPr="00F20C56">
        <w:rPr>
          <w:color w:val="000000"/>
        </w:rPr>
        <w:t>gwarancji transakcji leasingowych</w:t>
      </w:r>
      <w:r w:rsidR="00BA1010">
        <w:rPr>
          <w:color w:val="000000"/>
        </w:rPr>
        <w:t>)</w:t>
      </w:r>
      <w:r w:rsidR="00BA1010" w:rsidRPr="00F20C56">
        <w:rPr>
          <w:color w:val="000000"/>
        </w:rPr>
        <w:t xml:space="preserve"> i </w:t>
      </w:r>
      <w:r w:rsidR="00BA1010">
        <w:rPr>
          <w:color w:val="000000"/>
        </w:rPr>
        <w:t>12</w:t>
      </w:r>
      <w:r w:rsidR="00BA1010" w:rsidRPr="00F20C56">
        <w:rPr>
          <w:color w:val="000000"/>
        </w:rPr>
        <w:t xml:space="preserve"> mld zł rocznie w kolejnych latach, </w:t>
      </w:r>
      <w:r w:rsidR="00BA1010">
        <w:rPr>
          <w:color w:val="000000"/>
        </w:rPr>
        <w:t xml:space="preserve">należy założyć konieczność finansowania gwarancji transakcji leasingowych w oparciu o środki budżetowe. Biorąc pod uwagę maksymalną </w:t>
      </w:r>
      <w:r w:rsidR="008A4078">
        <w:rPr>
          <w:color w:val="000000"/>
        </w:rPr>
        <w:t xml:space="preserve">łączną </w:t>
      </w:r>
      <w:r w:rsidR="00BA1010">
        <w:rPr>
          <w:color w:val="000000"/>
        </w:rPr>
        <w:t>kwotę gwarancji możliw</w:t>
      </w:r>
      <w:r w:rsidR="008A4078">
        <w:rPr>
          <w:color w:val="000000"/>
        </w:rPr>
        <w:t>ych</w:t>
      </w:r>
      <w:r w:rsidR="00BA1010">
        <w:rPr>
          <w:color w:val="000000"/>
        </w:rPr>
        <w:t xml:space="preserve"> do udzielenia</w:t>
      </w:r>
      <w:r w:rsidR="003403B2">
        <w:rPr>
          <w:color w:val="000000"/>
        </w:rPr>
        <w:t>,</w:t>
      </w:r>
      <w:r w:rsidR="00BA1010">
        <w:rPr>
          <w:color w:val="000000"/>
        </w:rPr>
        <w:t xml:space="preserve"> </w:t>
      </w:r>
      <w:r w:rsidR="008A4078">
        <w:rPr>
          <w:color w:val="000000"/>
        </w:rPr>
        <w:t xml:space="preserve">tj. nawet </w:t>
      </w:r>
      <w:r w:rsidR="00D53ABB">
        <w:rPr>
          <w:color w:val="000000"/>
        </w:rPr>
        <w:t>4,5 </w:t>
      </w:r>
      <w:r w:rsidR="00BA1010">
        <w:rPr>
          <w:color w:val="000000"/>
        </w:rPr>
        <w:t>mld zł,</w:t>
      </w:r>
      <w:r w:rsidR="008A4078">
        <w:rPr>
          <w:color w:val="000000"/>
        </w:rPr>
        <w:t xml:space="preserve"> </w:t>
      </w:r>
      <w:r w:rsidR="00BA1010">
        <w:rPr>
          <w:color w:val="000000"/>
        </w:rPr>
        <w:t xml:space="preserve">zakładaną szkodowość tych gwarancji, koszty i wydatki związane z ich udzielaniem </w:t>
      </w:r>
      <w:r w:rsidR="00BA1010">
        <w:rPr>
          <w:color w:val="000000"/>
        </w:rPr>
        <w:lastRenderedPageBreak/>
        <w:t>oraz otrzymywane prowizje i możliwe odzyski, prognozowane z</w:t>
      </w:r>
      <w:r w:rsidR="00BA1010" w:rsidRPr="00F20C56">
        <w:rPr>
          <w:color w:val="000000"/>
        </w:rPr>
        <w:t>asileni</w:t>
      </w:r>
      <w:r w:rsidR="00BA1010">
        <w:rPr>
          <w:color w:val="000000"/>
        </w:rPr>
        <w:t>a</w:t>
      </w:r>
      <w:r w:rsidR="00BA1010" w:rsidRPr="00F20C56">
        <w:rPr>
          <w:color w:val="000000"/>
        </w:rPr>
        <w:t xml:space="preserve"> KFG z budżetu państwa w latach 2021-2030 </w:t>
      </w:r>
      <w:r w:rsidR="00BA1010">
        <w:rPr>
          <w:color w:val="000000"/>
        </w:rPr>
        <w:t xml:space="preserve">w związku z planowanymi gwarancjami transakcji leasingowych, mogą wynieść </w:t>
      </w:r>
      <w:r w:rsidR="00BA1010" w:rsidRPr="00F20C56">
        <w:rPr>
          <w:color w:val="000000"/>
        </w:rPr>
        <w:t>łączn</w:t>
      </w:r>
      <w:r w:rsidR="00BA1010">
        <w:rPr>
          <w:color w:val="000000"/>
        </w:rPr>
        <w:t>ie</w:t>
      </w:r>
      <w:r w:rsidR="00BA1010" w:rsidRPr="00F20C56">
        <w:rPr>
          <w:color w:val="000000"/>
        </w:rPr>
        <w:t xml:space="preserve"> ok. </w:t>
      </w:r>
      <w:r w:rsidR="00BA1010">
        <w:rPr>
          <w:color w:val="000000"/>
        </w:rPr>
        <w:t>0,1</w:t>
      </w:r>
      <w:r w:rsidR="00BA1010" w:rsidRPr="00F20C56">
        <w:rPr>
          <w:color w:val="000000"/>
        </w:rPr>
        <w:t xml:space="preserve"> ml</w:t>
      </w:r>
      <w:r w:rsidR="008A4078">
        <w:rPr>
          <w:color w:val="000000"/>
        </w:rPr>
        <w:t>d</w:t>
      </w:r>
      <w:r w:rsidR="00BA1010" w:rsidRPr="00F20C56">
        <w:rPr>
          <w:color w:val="000000"/>
        </w:rPr>
        <w:t xml:space="preserve"> zł.</w:t>
      </w:r>
    </w:p>
    <w:p w:rsidR="00D10693" w:rsidRDefault="00D10693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  <w:r w:rsidRPr="00D10693">
        <w:rPr>
          <w:bCs/>
        </w:rPr>
        <w:t>Należy przy tym podkreślić, iż regwarancj</w:t>
      </w:r>
      <w:r>
        <w:rPr>
          <w:bCs/>
        </w:rPr>
        <w:t>a</w:t>
      </w:r>
      <w:r w:rsidRPr="00D10693">
        <w:rPr>
          <w:bCs/>
        </w:rPr>
        <w:t xml:space="preserve"> EFI</w:t>
      </w:r>
      <w:r w:rsidR="00EC7BEE">
        <w:rPr>
          <w:bCs/>
        </w:rPr>
        <w:t xml:space="preserve"> (</w:t>
      </w:r>
      <w:r w:rsidR="00EC7BEE" w:rsidRPr="00D10693">
        <w:rPr>
          <w:bCs/>
        </w:rPr>
        <w:t>70%</w:t>
      </w:r>
      <w:r w:rsidR="00EC7BEE">
        <w:rPr>
          <w:bCs/>
        </w:rPr>
        <w:t xml:space="preserve"> kwoty objętej gwarancją)</w:t>
      </w:r>
      <w:r w:rsidRPr="00D10693">
        <w:rPr>
          <w:bCs/>
        </w:rPr>
        <w:t>, wynikając</w:t>
      </w:r>
      <w:r w:rsidR="0086790D">
        <w:rPr>
          <w:bCs/>
        </w:rPr>
        <w:t>a z </w:t>
      </w:r>
      <w:r>
        <w:rPr>
          <w:bCs/>
        </w:rPr>
        <w:t>uczestnictwa</w:t>
      </w:r>
      <w:r w:rsidR="003403B2">
        <w:rPr>
          <w:bCs/>
        </w:rPr>
        <w:t xml:space="preserve"> Rzeczypospolitej Polskiej </w:t>
      </w:r>
      <w:r>
        <w:rPr>
          <w:bCs/>
        </w:rPr>
        <w:t>w </w:t>
      </w:r>
      <w:r w:rsidRPr="00D10693">
        <w:rPr>
          <w:bCs/>
        </w:rPr>
        <w:t xml:space="preserve">Paneuropejskim Funduszu Gwarancyjnym, </w:t>
      </w:r>
      <w:r>
        <w:rPr>
          <w:bCs/>
        </w:rPr>
        <w:t xml:space="preserve">umożliwi wdrożenie programu pomocowego, którego koszty dla budżetu państwa będą </w:t>
      </w:r>
      <w:r w:rsidR="0013468A">
        <w:rPr>
          <w:bCs/>
        </w:rPr>
        <w:t>znacząco</w:t>
      </w:r>
      <w:r>
        <w:rPr>
          <w:bCs/>
        </w:rPr>
        <w:t xml:space="preserve"> niższe niż</w:t>
      </w:r>
      <w:r w:rsidR="0086790D">
        <w:rPr>
          <w:bCs/>
        </w:rPr>
        <w:t xml:space="preserve"> w </w:t>
      </w:r>
      <w:r w:rsidR="0013468A">
        <w:rPr>
          <w:bCs/>
        </w:rPr>
        <w:t>sytuacji,</w:t>
      </w:r>
      <w:r>
        <w:rPr>
          <w:bCs/>
        </w:rPr>
        <w:t xml:space="preserve"> gdyby </w:t>
      </w:r>
      <w:r w:rsidRPr="00D10693">
        <w:rPr>
          <w:bCs/>
        </w:rPr>
        <w:t>wprowadzono taki program pomocowy w oparciu wyłącznie o środki krajowe</w:t>
      </w:r>
      <w:r>
        <w:rPr>
          <w:bCs/>
        </w:rPr>
        <w:t>.</w:t>
      </w:r>
    </w:p>
    <w:p w:rsidR="004F0402" w:rsidRDefault="004F0402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  <w:r w:rsidRPr="00D6628C">
        <w:rPr>
          <w:bCs/>
        </w:rPr>
        <w:t xml:space="preserve">Warunki i terminy przekazywania środków budżetowych oraz szczegółowe warunki i tryb udzielania gwarancji, a także warunki i tryb pobierania opłat prowizyjnych z tytułu udzielonych gwarancji, na podstawie art. 34c pkt 2 ustawy </w:t>
      </w:r>
      <w:r w:rsidRPr="00D6628C">
        <w:rPr>
          <w:bCs/>
          <w:i/>
        </w:rPr>
        <w:t>o poręczeniach i gwarancjach</w:t>
      </w:r>
      <w:r w:rsidRPr="00D6628C">
        <w:rPr>
          <w:bCs/>
        </w:rPr>
        <w:t>, określa umowa zawarta między ministrem właściwym do spraw finansów publicznych a BGK.</w:t>
      </w:r>
    </w:p>
    <w:p w:rsidR="008349B8" w:rsidRDefault="008349B8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  <w:r w:rsidRPr="008349B8">
        <w:rPr>
          <w:bCs/>
        </w:rPr>
        <w:t>Ocena przewidywanego wpływu rozporządzenia na działalność MŚP, zgodnie z art. 66 ust. 1 pkt 2 ustawy z dnia 6 marca 2018 r. - Prawo przedsiębior</w:t>
      </w:r>
      <w:r w:rsidR="00026D29">
        <w:rPr>
          <w:bCs/>
        </w:rPr>
        <w:t>ców (Dz. U. z 2021 r. poz. 162) - p</w:t>
      </w:r>
      <w:r w:rsidRPr="008349B8">
        <w:rPr>
          <w:bCs/>
        </w:rPr>
        <w:t>rojekt rozporządzenia nie ogranicza praw majątkowych ani praw wobec administracji publicznej oraz nie nakłada obowiązków, w tym wobec admi</w:t>
      </w:r>
      <w:r>
        <w:rPr>
          <w:bCs/>
        </w:rPr>
        <w:t>nistracji publicznej. Wejście w </w:t>
      </w:r>
      <w:r w:rsidRPr="008349B8">
        <w:rPr>
          <w:bCs/>
        </w:rPr>
        <w:t>życie rozporządzenia powinno wpłynąć na ogr</w:t>
      </w:r>
      <w:r>
        <w:rPr>
          <w:bCs/>
        </w:rPr>
        <w:t>aniczenie negatywnych skutków w </w:t>
      </w:r>
      <w:r w:rsidRPr="008349B8">
        <w:rPr>
          <w:bCs/>
        </w:rPr>
        <w:t>funkcjonowaniu MŚP spowodowanych COVID-19. Tym samym projektowane przepisy powinny mieć pozytywny wpływ na rynek pracy w sektorze MŚP.</w:t>
      </w:r>
      <w:r w:rsidR="00547FD6">
        <w:rPr>
          <w:bCs/>
        </w:rPr>
        <w:t xml:space="preserve"> Gwarancje BGK umożliwią szerszy dostęp do finansowania działalności przy udziale leasingu finansowego oraz pożyczek leasingowych.</w:t>
      </w:r>
    </w:p>
    <w:p w:rsidR="008349B8" w:rsidRPr="008349B8" w:rsidRDefault="008349B8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  <w:r w:rsidRPr="008349B8">
        <w:rPr>
          <w:bCs/>
        </w:rPr>
        <w:t xml:space="preserve">Projekt </w:t>
      </w:r>
      <w:r w:rsidR="00547FD6">
        <w:rPr>
          <w:bCs/>
        </w:rPr>
        <w:t>rozporządzenia</w:t>
      </w:r>
      <w:r w:rsidRPr="008349B8">
        <w:rPr>
          <w:bCs/>
        </w:rPr>
        <w:t xml:space="preserve"> jest zgodny z prawem Unii Europejskiej. </w:t>
      </w:r>
    </w:p>
    <w:p w:rsidR="008349B8" w:rsidRPr="008349B8" w:rsidRDefault="008349B8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  <w:r w:rsidRPr="008349B8">
        <w:rPr>
          <w:bCs/>
        </w:rPr>
        <w:t xml:space="preserve">Projekt </w:t>
      </w:r>
      <w:r w:rsidR="00865FB2">
        <w:rPr>
          <w:bCs/>
        </w:rPr>
        <w:t xml:space="preserve">rozporządzenia </w:t>
      </w:r>
      <w:r w:rsidRPr="008349B8">
        <w:rPr>
          <w:bCs/>
        </w:rPr>
        <w:t xml:space="preserve">nie wymaga przedstawienia go organom i instytucjom Unii Europejskiej w celu uzyskania opinii, dokonania powiadomienia, konsultacji albo uzgodnienia. </w:t>
      </w:r>
    </w:p>
    <w:p w:rsidR="008349B8" w:rsidRPr="008349B8" w:rsidRDefault="008349B8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  <w:r w:rsidRPr="008349B8">
        <w:rPr>
          <w:bCs/>
        </w:rPr>
        <w:t>Zgodnie z art. 2 ust. 1 decyzji Rady 98/415/WE z dnia 29 czerwca 1998 r. w sprawie konsultacji Europejskiego Banku Centralnego udzielanych władzom krajowym w sprawie projektów przepisów prawnych (Dz. Urz. WE L 189 z 03.07.1998, str. 42; Dz. Urz. UE Polskie Wydanie Specjalne rozdz. 1, t. 1, str. 446) projekt rozporządzenia nie wymaga konsultacji z Europejskim Bankiem Centralnym.</w:t>
      </w:r>
    </w:p>
    <w:p w:rsidR="008349B8" w:rsidRPr="008349B8" w:rsidRDefault="008349B8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  <w:r w:rsidRPr="008349B8">
        <w:rPr>
          <w:bCs/>
        </w:rPr>
        <w:t>Projekt rozporządzenia nie podlega procedurze notyfikacji zgodnie z przepisami rozporządzenia Rady Ministrów z dnia 23 grudnia 2002 r. w sprawie sposobu funkcjonowania krajowego systemu notyfikacji norm i aktów prawnych (Dz. U. poz. 2039, z późn. zm.).</w:t>
      </w:r>
    </w:p>
    <w:p w:rsidR="005C14AC" w:rsidRDefault="008349B8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  <w:r w:rsidRPr="008349B8">
        <w:rPr>
          <w:bCs/>
        </w:rPr>
        <w:t xml:space="preserve">Zgodnie z art. 5 ustawy z dnia 7 lipca 2005 r. o działalności lobbingowej w procesie stanowienia prawa (Dz. U. z 2017 r. poz. 248) w związku z § 52 ust. 1 </w:t>
      </w:r>
      <w:r w:rsidR="00026D29">
        <w:rPr>
          <w:bCs/>
        </w:rPr>
        <w:t>uchwały n</w:t>
      </w:r>
      <w:r w:rsidR="00000E76">
        <w:rPr>
          <w:bCs/>
        </w:rPr>
        <w:t>r 190 Rady Ministrów z </w:t>
      </w:r>
      <w:r w:rsidRPr="008349B8">
        <w:rPr>
          <w:bCs/>
        </w:rPr>
        <w:t xml:space="preserve">dnia 29 października 2013 r. </w:t>
      </w:r>
      <w:r w:rsidR="00000E76">
        <w:rPr>
          <w:bCs/>
        </w:rPr>
        <w:t>-</w:t>
      </w:r>
      <w:r w:rsidRPr="008349B8">
        <w:rPr>
          <w:bCs/>
        </w:rPr>
        <w:t xml:space="preserve"> Reg</w:t>
      </w:r>
      <w:r w:rsidR="00026D29">
        <w:rPr>
          <w:bCs/>
        </w:rPr>
        <w:t>ulamin pracy Rady Ministrów (M.</w:t>
      </w:r>
      <w:r w:rsidRPr="008349B8">
        <w:rPr>
          <w:bCs/>
        </w:rPr>
        <w:t>P. z 2016 r. poz. 1006, z późn. zm.) projekt zostanie udostępniony w Biuletynie Informacji Publicznej na stronie podmiotowej Rządowego Centrum Legislacji, w serwisie Rządowy Proces Legislacyjny.</w:t>
      </w:r>
    </w:p>
    <w:p w:rsidR="005C14AC" w:rsidRDefault="005C14AC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</w:p>
    <w:p w:rsidR="00A8231A" w:rsidRDefault="00A8231A" w:rsidP="002F6787">
      <w:pPr>
        <w:tabs>
          <w:tab w:val="left" w:pos="426"/>
          <w:tab w:val="left" w:pos="567"/>
        </w:tabs>
        <w:spacing w:after="80"/>
        <w:jc w:val="both"/>
        <w:rPr>
          <w:bCs/>
        </w:rPr>
      </w:pPr>
    </w:p>
    <w:sectPr w:rsidR="00A8231A" w:rsidSect="000E1188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79" w:rsidRDefault="00A24279">
      <w:r>
        <w:separator/>
      </w:r>
    </w:p>
  </w:endnote>
  <w:endnote w:type="continuationSeparator" w:id="0">
    <w:p w:rsidR="00A24279" w:rsidRDefault="00A2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E1" w:rsidRDefault="007A4DE1" w:rsidP="00882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DE1" w:rsidRDefault="007A4DE1" w:rsidP="007A4D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E1" w:rsidRDefault="007A4DE1" w:rsidP="00882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E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4DE1" w:rsidRDefault="007A4DE1" w:rsidP="007A4D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79" w:rsidRDefault="00A24279">
      <w:r>
        <w:separator/>
      </w:r>
    </w:p>
  </w:footnote>
  <w:footnote w:type="continuationSeparator" w:id="0">
    <w:p w:rsidR="00A24279" w:rsidRDefault="00A2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7F7A"/>
    <w:multiLevelType w:val="hybridMultilevel"/>
    <w:tmpl w:val="21925F9E"/>
    <w:lvl w:ilvl="0" w:tplc="92B48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1B5639"/>
    <w:multiLevelType w:val="hybridMultilevel"/>
    <w:tmpl w:val="0F081B16"/>
    <w:lvl w:ilvl="0" w:tplc="D0004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B0211"/>
    <w:multiLevelType w:val="hybridMultilevel"/>
    <w:tmpl w:val="00A86BB8"/>
    <w:lvl w:ilvl="0" w:tplc="D0004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D"/>
    <w:rsid w:val="00000E76"/>
    <w:rsid w:val="000015CF"/>
    <w:rsid w:val="00020FEC"/>
    <w:rsid w:val="00025393"/>
    <w:rsid w:val="00025FF3"/>
    <w:rsid w:val="00026D29"/>
    <w:rsid w:val="0003385B"/>
    <w:rsid w:val="00034C9F"/>
    <w:rsid w:val="000539A0"/>
    <w:rsid w:val="00071DED"/>
    <w:rsid w:val="0007772A"/>
    <w:rsid w:val="0008426B"/>
    <w:rsid w:val="00084CE8"/>
    <w:rsid w:val="00086660"/>
    <w:rsid w:val="00086D96"/>
    <w:rsid w:val="0009005D"/>
    <w:rsid w:val="000A188B"/>
    <w:rsid w:val="000A2965"/>
    <w:rsid w:val="000B0F4C"/>
    <w:rsid w:val="000B2032"/>
    <w:rsid w:val="000D718F"/>
    <w:rsid w:val="000E1188"/>
    <w:rsid w:val="000E699E"/>
    <w:rsid w:val="000E75AE"/>
    <w:rsid w:val="000F11E4"/>
    <w:rsid w:val="000F451B"/>
    <w:rsid w:val="00100FD0"/>
    <w:rsid w:val="0010293A"/>
    <w:rsid w:val="00106BB2"/>
    <w:rsid w:val="00110D18"/>
    <w:rsid w:val="00113202"/>
    <w:rsid w:val="0011593F"/>
    <w:rsid w:val="00122605"/>
    <w:rsid w:val="001316DE"/>
    <w:rsid w:val="0013468A"/>
    <w:rsid w:val="00135CEA"/>
    <w:rsid w:val="00140B54"/>
    <w:rsid w:val="00141058"/>
    <w:rsid w:val="00142323"/>
    <w:rsid w:val="001441D6"/>
    <w:rsid w:val="001475C8"/>
    <w:rsid w:val="001668E0"/>
    <w:rsid w:val="00174B8D"/>
    <w:rsid w:val="00175729"/>
    <w:rsid w:val="001968D7"/>
    <w:rsid w:val="001A35FD"/>
    <w:rsid w:val="001B0844"/>
    <w:rsid w:val="001B4C05"/>
    <w:rsid w:val="001B5DD1"/>
    <w:rsid w:val="001C256D"/>
    <w:rsid w:val="001C3360"/>
    <w:rsid w:val="001C41AE"/>
    <w:rsid w:val="001C4DD0"/>
    <w:rsid w:val="001D2B16"/>
    <w:rsid w:val="001D39D7"/>
    <w:rsid w:val="001E10FE"/>
    <w:rsid w:val="001E3439"/>
    <w:rsid w:val="001F76A4"/>
    <w:rsid w:val="00215F9C"/>
    <w:rsid w:val="002163B9"/>
    <w:rsid w:val="0022372E"/>
    <w:rsid w:val="00233E62"/>
    <w:rsid w:val="0023478C"/>
    <w:rsid w:val="00236C9F"/>
    <w:rsid w:val="00237253"/>
    <w:rsid w:val="00253724"/>
    <w:rsid w:val="002629AF"/>
    <w:rsid w:val="002640AA"/>
    <w:rsid w:val="00270CDD"/>
    <w:rsid w:val="00276F70"/>
    <w:rsid w:val="002849EB"/>
    <w:rsid w:val="00286BD6"/>
    <w:rsid w:val="00291587"/>
    <w:rsid w:val="002A18A9"/>
    <w:rsid w:val="002A1F53"/>
    <w:rsid w:val="002A2DE4"/>
    <w:rsid w:val="002A7BAC"/>
    <w:rsid w:val="002B15AF"/>
    <w:rsid w:val="002C0ED6"/>
    <w:rsid w:val="002C3448"/>
    <w:rsid w:val="002C425C"/>
    <w:rsid w:val="002D0066"/>
    <w:rsid w:val="002E7057"/>
    <w:rsid w:val="002F2BBF"/>
    <w:rsid w:val="002F6787"/>
    <w:rsid w:val="003022B3"/>
    <w:rsid w:val="003022BB"/>
    <w:rsid w:val="0031112A"/>
    <w:rsid w:val="003224DC"/>
    <w:rsid w:val="00325D6D"/>
    <w:rsid w:val="00327018"/>
    <w:rsid w:val="003307C1"/>
    <w:rsid w:val="003403B2"/>
    <w:rsid w:val="00340851"/>
    <w:rsid w:val="003474E0"/>
    <w:rsid w:val="003510A7"/>
    <w:rsid w:val="003648E7"/>
    <w:rsid w:val="00375566"/>
    <w:rsid w:val="00381F61"/>
    <w:rsid w:val="003A2B58"/>
    <w:rsid w:val="003A3D81"/>
    <w:rsid w:val="003A6AB1"/>
    <w:rsid w:val="003A7770"/>
    <w:rsid w:val="003B0E6C"/>
    <w:rsid w:val="003B2875"/>
    <w:rsid w:val="003B2B01"/>
    <w:rsid w:val="003B451C"/>
    <w:rsid w:val="003B5959"/>
    <w:rsid w:val="003B6635"/>
    <w:rsid w:val="003C25DE"/>
    <w:rsid w:val="003C63D3"/>
    <w:rsid w:val="003D216E"/>
    <w:rsid w:val="003D335B"/>
    <w:rsid w:val="003D56AE"/>
    <w:rsid w:val="003D7980"/>
    <w:rsid w:val="003E5618"/>
    <w:rsid w:val="003E6B0B"/>
    <w:rsid w:val="003F6955"/>
    <w:rsid w:val="00404CB6"/>
    <w:rsid w:val="00406F27"/>
    <w:rsid w:val="00415ECA"/>
    <w:rsid w:val="00416AC5"/>
    <w:rsid w:val="0041750C"/>
    <w:rsid w:val="00417CD9"/>
    <w:rsid w:val="00425D9F"/>
    <w:rsid w:val="0043110C"/>
    <w:rsid w:val="0043226F"/>
    <w:rsid w:val="00432393"/>
    <w:rsid w:val="0044262B"/>
    <w:rsid w:val="00445DC1"/>
    <w:rsid w:val="004470A3"/>
    <w:rsid w:val="004631CD"/>
    <w:rsid w:val="00474DFB"/>
    <w:rsid w:val="004764E4"/>
    <w:rsid w:val="00490618"/>
    <w:rsid w:val="00492608"/>
    <w:rsid w:val="00496AB3"/>
    <w:rsid w:val="00497E30"/>
    <w:rsid w:val="004A0AC4"/>
    <w:rsid w:val="004C270A"/>
    <w:rsid w:val="004C409B"/>
    <w:rsid w:val="004D0B9A"/>
    <w:rsid w:val="004D7EC4"/>
    <w:rsid w:val="004F0402"/>
    <w:rsid w:val="004F403F"/>
    <w:rsid w:val="00504305"/>
    <w:rsid w:val="0050657D"/>
    <w:rsid w:val="00507429"/>
    <w:rsid w:val="00510D54"/>
    <w:rsid w:val="00512F8C"/>
    <w:rsid w:val="00523CC0"/>
    <w:rsid w:val="00530640"/>
    <w:rsid w:val="0053113B"/>
    <w:rsid w:val="00547FD6"/>
    <w:rsid w:val="005615F2"/>
    <w:rsid w:val="00562D14"/>
    <w:rsid w:val="00566131"/>
    <w:rsid w:val="005751F2"/>
    <w:rsid w:val="00581A51"/>
    <w:rsid w:val="00587230"/>
    <w:rsid w:val="005914E9"/>
    <w:rsid w:val="00594838"/>
    <w:rsid w:val="005A463C"/>
    <w:rsid w:val="005A536D"/>
    <w:rsid w:val="005C06A7"/>
    <w:rsid w:val="005C14AC"/>
    <w:rsid w:val="005C186C"/>
    <w:rsid w:val="005C3CE3"/>
    <w:rsid w:val="005C4D36"/>
    <w:rsid w:val="005D4276"/>
    <w:rsid w:val="005D46C4"/>
    <w:rsid w:val="005D7C66"/>
    <w:rsid w:val="005E2391"/>
    <w:rsid w:val="005E3679"/>
    <w:rsid w:val="005E3E35"/>
    <w:rsid w:val="005F2E56"/>
    <w:rsid w:val="005F3B2C"/>
    <w:rsid w:val="00600CED"/>
    <w:rsid w:val="00605369"/>
    <w:rsid w:val="00610D52"/>
    <w:rsid w:val="00625396"/>
    <w:rsid w:val="006259A6"/>
    <w:rsid w:val="00627A36"/>
    <w:rsid w:val="00635A2D"/>
    <w:rsid w:val="006360AF"/>
    <w:rsid w:val="00642E7D"/>
    <w:rsid w:val="00654700"/>
    <w:rsid w:val="00657437"/>
    <w:rsid w:val="00662E77"/>
    <w:rsid w:val="00673F90"/>
    <w:rsid w:val="0067424E"/>
    <w:rsid w:val="0068363B"/>
    <w:rsid w:val="00684A65"/>
    <w:rsid w:val="00692BA8"/>
    <w:rsid w:val="006A1AC7"/>
    <w:rsid w:val="006A22F9"/>
    <w:rsid w:val="006B5B6E"/>
    <w:rsid w:val="006C0B54"/>
    <w:rsid w:val="006C72D6"/>
    <w:rsid w:val="006E1119"/>
    <w:rsid w:val="006E3DF8"/>
    <w:rsid w:val="006E6295"/>
    <w:rsid w:val="006F17FF"/>
    <w:rsid w:val="006F21B0"/>
    <w:rsid w:val="007022A3"/>
    <w:rsid w:val="00714CC5"/>
    <w:rsid w:val="007153AC"/>
    <w:rsid w:val="00715651"/>
    <w:rsid w:val="007248BA"/>
    <w:rsid w:val="007319D4"/>
    <w:rsid w:val="00737CEC"/>
    <w:rsid w:val="00751DE0"/>
    <w:rsid w:val="00754097"/>
    <w:rsid w:val="00780017"/>
    <w:rsid w:val="0079051E"/>
    <w:rsid w:val="00791B66"/>
    <w:rsid w:val="007921D7"/>
    <w:rsid w:val="007A4DE1"/>
    <w:rsid w:val="007B051E"/>
    <w:rsid w:val="007B1925"/>
    <w:rsid w:val="007B7747"/>
    <w:rsid w:val="007C2547"/>
    <w:rsid w:val="007C419D"/>
    <w:rsid w:val="007D1BA3"/>
    <w:rsid w:val="007D6C1C"/>
    <w:rsid w:val="007D73AB"/>
    <w:rsid w:val="007E334C"/>
    <w:rsid w:val="00801152"/>
    <w:rsid w:val="00802ED4"/>
    <w:rsid w:val="00803CED"/>
    <w:rsid w:val="00803F66"/>
    <w:rsid w:val="00812F46"/>
    <w:rsid w:val="00813E1A"/>
    <w:rsid w:val="00822635"/>
    <w:rsid w:val="008349B8"/>
    <w:rsid w:val="00841646"/>
    <w:rsid w:val="00850231"/>
    <w:rsid w:val="008533BD"/>
    <w:rsid w:val="00854A69"/>
    <w:rsid w:val="0086250F"/>
    <w:rsid w:val="0086264D"/>
    <w:rsid w:val="00863284"/>
    <w:rsid w:val="00865FB2"/>
    <w:rsid w:val="0086790D"/>
    <w:rsid w:val="00874CB9"/>
    <w:rsid w:val="00880019"/>
    <w:rsid w:val="00882173"/>
    <w:rsid w:val="00887991"/>
    <w:rsid w:val="00890614"/>
    <w:rsid w:val="008A04E9"/>
    <w:rsid w:val="008A4078"/>
    <w:rsid w:val="008B07A1"/>
    <w:rsid w:val="008B2C8D"/>
    <w:rsid w:val="008B3199"/>
    <w:rsid w:val="008B55B9"/>
    <w:rsid w:val="008E19AE"/>
    <w:rsid w:val="008E7D2A"/>
    <w:rsid w:val="008F3D4B"/>
    <w:rsid w:val="008F4E99"/>
    <w:rsid w:val="00904227"/>
    <w:rsid w:val="00911BB2"/>
    <w:rsid w:val="0091533E"/>
    <w:rsid w:val="00915CA3"/>
    <w:rsid w:val="009262DB"/>
    <w:rsid w:val="0093135F"/>
    <w:rsid w:val="0093653B"/>
    <w:rsid w:val="00941574"/>
    <w:rsid w:val="009516D3"/>
    <w:rsid w:val="00952ED6"/>
    <w:rsid w:val="0095506A"/>
    <w:rsid w:val="00957B8D"/>
    <w:rsid w:val="00961601"/>
    <w:rsid w:val="00964305"/>
    <w:rsid w:val="00971ACD"/>
    <w:rsid w:val="0098111F"/>
    <w:rsid w:val="00982C1C"/>
    <w:rsid w:val="00984AAC"/>
    <w:rsid w:val="009909DB"/>
    <w:rsid w:val="009A2E7A"/>
    <w:rsid w:val="009A4A8E"/>
    <w:rsid w:val="009A6806"/>
    <w:rsid w:val="009B3B86"/>
    <w:rsid w:val="009B6E90"/>
    <w:rsid w:val="009C32DB"/>
    <w:rsid w:val="009D1C46"/>
    <w:rsid w:val="009D2383"/>
    <w:rsid w:val="009E2251"/>
    <w:rsid w:val="009E622E"/>
    <w:rsid w:val="009F1FAC"/>
    <w:rsid w:val="009F5A90"/>
    <w:rsid w:val="00A05AAD"/>
    <w:rsid w:val="00A10152"/>
    <w:rsid w:val="00A10E8B"/>
    <w:rsid w:val="00A11863"/>
    <w:rsid w:val="00A20125"/>
    <w:rsid w:val="00A215D2"/>
    <w:rsid w:val="00A22201"/>
    <w:rsid w:val="00A22B8E"/>
    <w:rsid w:val="00A24279"/>
    <w:rsid w:val="00A320D0"/>
    <w:rsid w:val="00A431AD"/>
    <w:rsid w:val="00A4388A"/>
    <w:rsid w:val="00A55106"/>
    <w:rsid w:val="00A601FE"/>
    <w:rsid w:val="00A60A66"/>
    <w:rsid w:val="00A6112A"/>
    <w:rsid w:val="00A612FF"/>
    <w:rsid w:val="00A80ABB"/>
    <w:rsid w:val="00A8231A"/>
    <w:rsid w:val="00A935AD"/>
    <w:rsid w:val="00A94DBA"/>
    <w:rsid w:val="00AA1996"/>
    <w:rsid w:val="00AA216E"/>
    <w:rsid w:val="00AA31A8"/>
    <w:rsid w:val="00AC1896"/>
    <w:rsid w:val="00AD03C2"/>
    <w:rsid w:val="00AE2436"/>
    <w:rsid w:val="00AE7B80"/>
    <w:rsid w:val="00B100C3"/>
    <w:rsid w:val="00B129DC"/>
    <w:rsid w:val="00B203B3"/>
    <w:rsid w:val="00B23A9E"/>
    <w:rsid w:val="00B3707D"/>
    <w:rsid w:val="00B47483"/>
    <w:rsid w:val="00B72AC1"/>
    <w:rsid w:val="00B76AB8"/>
    <w:rsid w:val="00B76ABA"/>
    <w:rsid w:val="00B76C97"/>
    <w:rsid w:val="00B80A0E"/>
    <w:rsid w:val="00B84697"/>
    <w:rsid w:val="00B85A45"/>
    <w:rsid w:val="00B85D6F"/>
    <w:rsid w:val="00B86DCA"/>
    <w:rsid w:val="00BA1010"/>
    <w:rsid w:val="00BA547C"/>
    <w:rsid w:val="00BA6796"/>
    <w:rsid w:val="00BB56BB"/>
    <w:rsid w:val="00BC10B1"/>
    <w:rsid w:val="00BD19B4"/>
    <w:rsid w:val="00BD535F"/>
    <w:rsid w:val="00BE59A9"/>
    <w:rsid w:val="00BE7730"/>
    <w:rsid w:val="00BF2AA2"/>
    <w:rsid w:val="00C05054"/>
    <w:rsid w:val="00C071AB"/>
    <w:rsid w:val="00C14C8A"/>
    <w:rsid w:val="00C178AF"/>
    <w:rsid w:val="00C22063"/>
    <w:rsid w:val="00C2699E"/>
    <w:rsid w:val="00C27E3B"/>
    <w:rsid w:val="00C336D6"/>
    <w:rsid w:val="00C35728"/>
    <w:rsid w:val="00C3693C"/>
    <w:rsid w:val="00C37118"/>
    <w:rsid w:val="00C40EA5"/>
    <w:rsid w:val="00C41874"/>
    <w:rsid w:val="00C476FB"/>
    <w:rsid w:val="00C51ACB"/>
    <w:rsid w:val="00C64529"/>
    <w:rsid w:val="00C72531"/>
    <w:rsid w:val="00C90328"/>
    <w:rsid w:val="00C91944"/>
    <w:rsid w:val="00CD7106"/>
    <w:rsid w:val="00CE5149"/>
    <w:rsid w:val="00CE6735"/>
    <w:rsid w:val="00CF3543"/>
    <w:rsid w:val="00CF68FB"/>
    <w:rsid w:val="00D00366"/>
    <w:rsid w:val="00D07F12"/>
    <w:rsid w:val="00D10693"/>
    <w:rsid w:val="00D14349"/>
    <w:rsid w:val="00D16F16"/>
    <w:rsid w:val="00D3035F"/>
    <w:rsid w:val="00D37606"/>
    <w:rsid w:val="00D42688"/>
    <w:rsid w:val="00D44008"/>
    <w:rsid w:val="00D44DEC"/>
    <w:rsid w:val="00D45BA1"/>
    <w:rsid w:val="00D53ABB"/>
    <w:rsid w:val="00D6628C"/>
    <w:rsid w:val="00D711D3"/>
    <w:rsid w:val="00D74E17"/>
    <w:rsid w:val="00D751A2"/>
    <w:rsid w:val="00D76568"/>
    <w:rsid w:val="00D8598E"/>
    <w:rsid w:val="00D9606D"/>
    <w:rsid w:val="00D9642D"/>
    <w:rsid w:val="00DA587E"/>
    <w:rsid w:val="00DB1BCF"/>
    <w:rsid w:val="00DD26A8"/>
    <w:rsid w:val="00DD371A"/>
    <w:rsid w:val="00DE5D5C"/>
    <w:rsid w:val="00DF05E1"/>
    <w:rsid w:val="00DF6929"/>
    <w:rsid w:val="00E063E6"/>
    <w:rsid w:val="00E163B7"/>
    <w:rsid w:val="00E44815"/>
    <w:rsid w:val="00E459B2"/>
    <w:rsid w:val="00E4633B"/>
    <w:rsid w:val="00E53747"/>
    <w:rsid w:val="00E5514B"/>
    <w:rsid w:val="00E67536"/>
    <w:rsid w:val="00E71770"/>
    <w:rsid w:val="00E7467B"/>
    <w:rsid w:val="00E90501"/>
    <w:rsid w:val="00E93615"/>
    <w:rsid w:val="00E943EB"/>
    <w:rsid w:val="00E969CD"/>
    <w:rsid w:val="00E97CBB"/>
    <w:rsid w:val="00EA3874"/>
    <w:rsid w:val="00EA3927"/>
    <w:rsid w:val="00EC2B34"/>
    <w:rsid w:val="00EC7BEE"/>
    <w:rsid w:val="00ED1577"/>
    <w:rsid w:val="00ED1B09"/>
    <w:rsid w:val="00ED1E52"/>
    <w:rsid w:val="00ED4280"/>
    <w:rsid w:val="00ED4941"/>
    <w:rsid w:val="00EE1AA6"/>
    <w:rsid w:val="00EF076F"/>
    <w:rsid w:val="00EF6F51"/>
    <w:rsid w:val="00F07254"/>
    <w:rsid w:val="00F11322"/>
    <w:rsid w:val="00F1244D"/>
    <w:rsid w:val="00F1735A"/>
    <w:rsid w:val="00F36466"/>
    <w:rsid w:val="00F5376A"/>
    <w:rsid w:val="00F65937"/>
    <w:rsid w:val="00F72202"/>
    <w:rsid w:val="00F7796E"/>
    <w:rsid w:val="00F821F0"/>
    <w:rsid w:val="00F82C5A"/>
    <w:rsid w:val="00F8428E"/>
    <w:rsid w:val="00F86761"/>
    <w:rsid w:val="00F90F79"/>
    <w:rsid w:val="00F91232"/>
    <w:rsid w:val="00F977B0"/>
    <w:rsid w:val="00F97B04"/>
    <w:rsid w:val="00FC7D5A"/>
    <w:rsid w:val="00FD7743"/>
    <w:rsid w:val="00FE6B94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597CC1-535D-4226-A6B7-3B89EA4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3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0A2965"/>
    <w:pPr>
      <w:ind w:right="828" w:firstLine="600"/>
      <w:jc w:val="both"/>
    </w:pPr>
    <w:rPr>
      <w:rFonts w:eastAsia="Cambria"/>
      <w:szCs w:val="25"/>
      <w:lang w:eastAsia="en-US"/>
    </w:rPr>
  </w:style>
  <w:style w:type="paragraph" w:customStyle="1" w:styleId="TNR12">
    <w:name w:val="TNR12"/>
    <w:aliases w:val="5"/>
    <w:basedOn w:val="Normalny"/>
    <w:autoRedefine/>
    <w:rsid w:val="00141058"/>
    <w:pPr>
      <w:ind w:firstLine="567"/>
      <w:jc w:val="both"/>
    </w:pPr>
    <w:rPr>
      <w:rFonts w:eastAsia="Cambria"/>
      <w:szCs w:val="25"/>
      <w:lang w:eastAsia="en-US"/>
    </w:rPr>
  </w:style>
  <w:style w:type="character" w:styleId="Hipercze">
    <w:name w:val="Hyperlink"/>
    <w:rsid w:val="00B203B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203B3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link w:val="Tekstpodstawowy2"/>
    <w:locked/>
    <w:rsid w:val="00B203B3"/>
    <w:rPr>
      <w:color w:val="000000"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A4DE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A4D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4DE1"/>
  </w:style>
  <w:style w:type="character" w:styleId="Odwoaniedokomentarza">
    <w:name w:val="annotation reference"/>
    <w:uiPriority w:val="99"/>
    <w:rsid w:val="0060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53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5369"/>
  </w:style>
  <w:style w:type="paragraph" w:styleId="Tematkomentarza">
    <w:name w:val="annotation subject"/>
    <w:basedOn w:val="Tekstkomentarza"/>
    <w:next w:val="Tekstkomentarza"/>
    <w:link w:val="TematkomentarzaZnak"/>
    <w:rsid w:val="00605369"/>
    <w:rPr>
      <w:b/>
      <w:bCs/>
    </w:rPr>
  </w:style>
  <w:style w:type="character" w:customStyle="1" w:styleId="TematkomentarzaZnak">
    <w:name w:val="Temat komentarza Znak"/>
    <w:link w:val="Tematkomentarza"/>
    <w:rsid w:val="00605369"/>
    <w:rPr>
      <w:b/>
      <w:bCs/>
    </w:rPr>
  </w:style>
  <w:style w:type="paragraph" w:styleId="Poprawka">
    <w:name w:val="Revision"/>
    <w:hidden/>
    <w:uiPriority w:val="99"/>
    <w:semiHidden/>
    <w:rsid w:val="003307C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F0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076F"/>
  </w:style>
  <w:style w:type="character" w:styleId="Odwoanieprzypisukocowego">
    <w:name w:val="endnote reference"/>
    <w:basedOn w:val="Domylnaczcionkaakapitu"/>
    <w:semiHidden/>
    <w:unhideWhenUsed/>
    <w:rsid w:val="00EF076F"/>
    <w:rPr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D07F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D00366"/>
    <w:rPr>
      <w:b/>
    </w:rPr>
  </w:style>
  <w:style w:type="paragraph" w:styleId="Akapitzlist">
    <w:name w:val="List Paragraph"/>
    <w:basedOn w:val="Normalny"/>
    <w:uiPriority w:val="34"/>
    <w:qFormat/>
    <w:rsid w:val="00286BD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448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4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IO\ezdpuw\20210412135356628\UZASADNIENIE%2007%2004%20202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758D-1288-418E-8C51-1BC6D6EF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UZASADNIENIE 07 04 2021</Template>
  <TotalTime>0</TotalTime>
  <Pages>5</Pages>
  <Words>2613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MF</Company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Kamola Katarzyna</dc:creator>
  <cp:lastModifiedBy>KGHM</cp:lastModifiedBy>
  <cp:revision>2</cp:revision>
  <cp:lastPrinted>2021-03-25T16:46:00Z</cp:lastPrinted>
  <dcterms:created xsi:type="dcterms:W3CDTF">2021-04-14T13:15:00Z</dcterms:created>
  <dcterms:modified xsi:type="dcterms:W3CDTF">2021-04-14T13:15:00Z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Maciej.Debski@bgk.pl</vt:lpwstr>
  </property>
  <property fmtid="{D5CDD505-2E9C-101B-9397-08002B2CF9AE}" pid="5" name="MSIP_Label_ffd642cb-f5ac-4f9c-8f91-3377ed972e0d_SetDate">
    <vt:lpwstr>2021-03-26T12:30:30.7536509Z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Maciej.Debski@bgk.pl</vt:lpwstr>
  </property>
  <property fmtid="{D5CDD505-2E9C-101B-9397-08002B2CF9AE}" pid="12" name="MSIP_Label_52a0fa98-7deb-4b97-a58b-3087d9cf6647_SetDate">
    <vt:lpwstr>2021-03-26T12:30:30.7536509Z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