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4DA3F" w14:textId="77777777" w:rsidR="00DB40FA" w:rsidRPr="00DB34CB" w:rsidRDefault="00DB40FA" w:rsidP="000D6351">
      <w:pPr>
        <w:jc w:val="center"/>
        <w:rPr>
          <w:rFonts w:ascii="Times New Roman" w:hAnsi="Times New Roman" w:cs="Times New Roman"/>
          <w:sz w:val="24"/>
          <w:szCs w:val="24"/>
          <w:lang w:val="pl-PL"/>
        </w:rPr>
      </w:pPr>
      <w:bookmarkStart w:id="0" w:name="_GoBack"/>
      <w:bookmarkEnd w:id="0"/>
      <w:r w:rsidRPr="00DB34CB">
        <w:rPr>
          <w:rFonts w:ascii="Times New Roman" w:hAnsi="Times New Roman" w:cs="Times New Roman"/>
          <w:b/>
          <w:bCs/>
          <w:sz w:val="24"/>
          <w:szCs w:val="24"/>
          <w:lang w:val="pl-PL"/>
        </w:rPr>
        <w:t>UZASADNIENIE</w:t>
      </w:r>
    </w:p>
    <w:p w14:paraId="57756B56" w14:textId="77777777" w:rsidR="0047686F" w:rsidRPr="0047686F" w:rsidRDefault="0047686F" w:rsidP="000D6351">
      <w:pPr>
        <w:jc w:val="both"/>
        <w:rPr>
          <w:rFonts w:ascii="Times New Roman" w:hAnsi="Times New Roman" w:cs="Times New Roman"/>
          <w:bCs/>
          <w:sz w:val="24"/>
          <w:szCs w:val="24"/>
          <w:lang w:val="pl-PL"/>
        </w:rPr>
      </w:pPr>
      <w:r w:rsidRPr="0047686F">
        <w:rPr>
          <w:rFonts w:ascii="Times New Roman" w:hAnsi="Times New Roman" w:cs="Times New Roman"/>
          <w:bCs/>
          <w:sz w:val="24"/>
          <w:szCs w:val="24"/>
          <w:lang w:val="pl-PL"/>
        </w:rPr>
        <w:t>Celem projektu jest dokonanie niezbędnych zmian w krajowym porządku prawnym w związku z</w:t>
      </w:r>
      <w:r>
        <w:rPr>
          <w:rFonts w:ascii="Times New Roman" w:hAnsi="Times New Roman" w:cs="Times New Roman"/>
          <w:bCs/>
          <w:sz w:val="24"/>
          <w:szCs w:val="24"/>
          <w:lang w:val="pl-PL"/>
        </w:rPr>
        <w:t> </w:t>
      </w:r>
      <w:r w:rsidRPr="0047686F">
        <w:rPr>
          <w:rFonts w:ascii="Times New Roman" w:hAnsi="Times New Roman" w:cs="Times New Roman"/>
          <w:bCs/>
          <w:sz w:val="24"/>
          <w:szCs w:val="24"/>
          <w:lang w:val="pl-PL"/>
        </w:rPr>
        <w:t xml:space="preserve">wejściem w życie regulacji prawnych Unii Europejskiej dotyczących wymogów kapitałowych dla instytucji finansowych, </w:t>
      </w:r>
      <w:r w:rsidRPr="0047686F">
        <w:rPr>
          <w:rFonts w:ascii="Times New Roman" w:hAnsi="Times New Roman" w:cs="Times New Roman"/>
          <w:bCs/>
          <w:i/>
          <w:sz w:val="24"/>
          <w:szCs w:val="24"/>
          <w:lang w:val="pl-PL"/>
        </w:rPr>
        <w:t>tzw. pakietu CRD V/CRR II</w:t>
      </w:r>
      <w:r w:rsidRPr="0047686F">
        <w:rPr>
          <w:rFonts w:ascii="Times New Roman" w:hAnsi="Times New Roman" w:cs="Times New Roman"/>
          <w:bCs/>
          <w:sz w:val="24"/>
          <w:szCs w:val="24"/>
          <w:lang w:val="pl-PL"/>
        </w:rPr>
        <w:t>, który obejmuje:</w:t>
      </w:r>
    </w:p>
    <w:p w14:paraId="4EA3B6D4" w14:textId="77777777" w:rsidR="0047686F" w:rsidRPr="0047686F" w:rsidRDefault="0047686F" w:rsidP="000D6351">
      <w:pPr>
        <w:numPr>
          <w:ilvl w:val="0"/>
          <w:numId w:val="1"/>
        </w:numPr>
        <w:jc w:val="both"/>
        <w:rPr>
          <w:rFonts w:ascii="Times New Roman" w:hAnsi="Times New Roman" w:cs="Times New Roman"/>
          <w:i/>
          <w:sz w:val="24"/>
          <w:szCs w:val="24"/>
          <w:lang w:val="pl-PL"/>
        </w:rPr>
      </w:pPr>
      <w:r w:rsidRPr="0047686F">
        <w:rPr>
          <w:rFonts w:ascii="Times New Roman" w:hAnsi="Times New Roman" w:cs="Times New Roman"/>
          <w:sz w:val="24"/>
          <w:szCs w:val="24"/>
          <w:lang w:val="pl-PL"/>
        </w:rPr>
        <w:t xml:space="preserve">dyrektywę Parlamentu Europejskiego i Rady (UE) 2019/878 z dnia 20 maja 2019 r. zmieniającej dyrektywę 2013/36/UE </w:t>
      </w:r>
      <w:r w:rsidRPr="0047686F">
        <w:rPr>
          <w:rFonts w:ascii="Times New Roman" w:hAnsi="Times New Roman" w:cs="Times New Roman"/>
          <w:i/>
          <w:sz w:val="24"/>
          <w:szCs w:val="24"/>
          <w:lang w:val="pl-PL"/>
        </w:rPr>
        <w:t>w odniesieniu do podmiotów zwolnionych, finansowych spółek holdingowych, finansowych spółek holdingowych o działalności mieszanej, wynagrodzeń, środków i uprawnień nadzorczych oraz środków ochrony kapitału</w:t>
      </w:r>
      <w:r w:rsidRPr="0047686F">
        <w:rPr>
          <w:rFonts w:ascii="Times New Roman" w:hAnsi="Times New Roman" w:cs="Times New Roman"/>
          <w:sz w:val="24"/>
          <w:szCs w:val="24"/>
          <w:lang w:val="pl-PL"/>
        </w:rPr>
        <w:t xml:space="preserve"> (Dz. Urz. UE L 150 z 07.06.2019, str. 253), zwaną dalej „dyrektywą CRD V”;</w:t>
      </w:r>
    </w:p>
    <w:p w14:paraId="79A9D521" w14:textId="77777777" w:rsidR="0047686F" w:rsidRPr="0047686F" w:rsidRDefault="0047686F" w:rsidP="000D6351">
      <w:pPr>
        <w:numPr>
          <w:ilvl w:val="0"/>
          <w:numId w:val="1"/>
        </w:numPr>
        <w:jc w:val="both"/>
        <w:rPr>
          <w:rFonts w:ascii="Times New Roman" w:hAnsi="Times New Roman" w:cs="Times New Roman"/>
          <w:bCs/>
          <w:i/>
          <w:sz w:val="24"/>
          <w:szCs w:val="24"/>
          <w:lang w:val="pl-PL"/>
        </w:rPr>
      </w:pPr>
      <w:r w:rsidRPr="0047686F">
        <w:rPr>
          <w:rFonts w:ascii="Times New Roman" w:hAnsi="Times New Roman" w:cs="Times New Roman"/>
          <w:bCs/>
          <w:sz w:val="24"/>
          <w:szCs w:val="24"/>
          <w:lang w:val="pl-PL"/>
        </w:rPr>
        <w:t xml:space="preserve">rozporządzenie Parlamentu Europejskiego i Rady (UE) 2019/876 z dnia 20 maja 2019 r. zmieniającego rozporządzenie (UE) nr 575/2013 </w:t>
      </w:r>
      <w:r w:rsidRPr="0047686F">
        <w:rPr>
          <w:rFonts w:ascii="Times New Roman" w:hAnsi="Times New Roman" w:cs="Times New Roman"/>
          <w:bCs/>
          <w:i/>
          <w:sz w:val="24"/>
          <w:szCs w:val="24"/>
          <w:lang w:val="pl-PL"/>
        </w:rPr>
        <w:t>w odniesieniu do wskaźnika dźwigni, wskaźnika stabilnego finansowania netto, wymogów w zakresie funduszy własnych i zobowiązań kwalifikowalnych, ryzyka kredytowego kontrahenta, ryzyka rynkowego, ekspozycji wobec kontrahentów centralnych, ekspozycji wobec przedsiębiorstw zbiorowego inwestowania, dużych ekspozycji, wymogów dotyczących sprawozdawczości i ujawniania informacji</w:t>
      </w:r>
      <w:r w:rsidRPr="0047686F">
        <w:rPr>
          <w:rFonts w:ascii="Times New Roman" w:hAnsi="Times New Roman" w:cs="Times New Roman"/>
          <w:bCs/>
          <w:sz w:val="24"/>
          <w:szCs w:val="24"/>
          <w:lang w:val="pl-PL"/>
        </w:rPr>
        <w:t>, a także rozporządzenie (UE) nr 648/2012 (Dz. Urz. UE L 150 z 7.06.2019, str. 1), zwane dalej „rozporządzeniem CRR II”.</w:t>
      </w:r>
    </w:p>
    <w:p w14:paraId="03624555" w14:textId="77777777" w:rsidR="0047686F" w:rsidRDefault="0047686F" w:rsidP="000D6351">
      <w:pPr>
        <w:jc w:val="both"/>
        <w:rPr>
          <w:rFonts w:ascii="Times New Roman" w:hAnsi="Times New Roman" w:cs="Times New Roman"/>
          <w:sz w:val="24"/>
          <w:szCs w:val="24"/>
          <w:lang w:val="pl-PL"/>
        </w:rPr>
      </w:pPr>
      <w:r w:rsidRPr="0047686F">
        <w:rPr>
          <w:rFonts w:ascii="Times New Roman" w:hAnsi="Times New Roman" w:cs="Times New Roman"/>
          <w:bCs/>
          <w:sz w:val="24"/>
          <w:szCs w:val="24"/>
          <w:lang w:val="pl-PL"/>
        </w:rPr>
        <w:t>Dyrektywa CRD V oraz rozporządzenie CRR II stanowią elementy pakietu legislacyjnego obejmującego również zmiany rozporządzenia (UE) nr 806/2014 (rozporządzenie w sprawie jednolitego mechanizmu restrukturyzacji i uporządkowanej likwidacji lub rozporządzenie w sprawie SRM) i dyrektywy 2014/59/UE (dyrektywa w sprawie naprawy oraz restrukturyzacji i</w:t>
      </w:r>
      <w:r w:rsidR="00056AA3">
        <w:rPr>
          <w:rFonts w:ascii="Times New Roman" w:hAnsi="Times New Roman" w:cs="Times New Roman"/>
          <w:bCs/>
          <w:sz w:val="24"/>
          <w:szCs w:val="24"/>
          <w:lang w:val="pl-PL"/>
        </w:rPr>
        <w:t> </w:t>
      </w:r>
      <w:r w:rsidRPr="0047686F">
        <w:rPr>
          <w:rFonts w:ascii="Times New Roman" w:hAnsi="Times New Roman" w:cs="Times New Roman"/>
          <w:bCs/>
          <w:sz w:val="24"/>
          <w:szCs w:val="24"/>
          <w:lang w:val="pl-PL"/>
        </w:rPr>
        <w:t xml:space="preserve">uporządkowanej likwidacji banków lub BRRD). Pakiet ten jest wynikiem gruntownej reformy przeprowadzonej przez UE, która dotyczyła zmiany ram regulacyjnych w zakresie usług finansowych w celu zwiększenia odporności instytucji kredytowych lub firm inwestycyjnych prowadzących działalność w sektorze finansowym UE. </w:t>
      </w:r>
      <w:r w:rsidRPr="0047686F">
        <w:rPr>
          <w:rFonts w:ascii="Times New Roman" w:hAnsi="Times New Roman" w:cs="Times New Roman"/>
          <w:sz w:val="24"/>
          <w:szCs w:val="24"/>
          <w:lang w:val="pl-PL"/>
        </w:rPr>
        <w:t>Zmiany zostały przeprowadzone w odpowiedzi na kryzys finansowy, który rozpoczął się w latach 2007–2008, i stanowią odzwierciedlenie standardów uzgodnionych na szczeblu międzynarodowym. Mimo, że wspomniane reformy zwiększyły stabilność i odporność systemu finansowego na wiele rodzajów możliwych przyszłych kryzysów, nie rozwiązały one jednak w sposób kompleksowy wszystkich zidentyfikowanych problemów. Celem dyrektywy CRD V oraz rozporządzenia CRR II jest zatem uzupełnienie programu reform poprzez usunięcie pozostałych niedociągnięć i</w:t>
      </w:r>
      <w:r w:rsidR="00056AA3">
        <w:rPr>
          <w:rFonts w:ascii="Times New Roman" w:hAnsi="Times New Roman" w:cs="Times New Roman"/>
          <w:sz w:val="24"/>
          <w:szCs w:val="24"/>
          <w:lang w:val="pl-PL"/>
        </w:rPr>
        <w:t> </w:t>
      </w:r>
      <w:r w:rsidRPr="0047686F">
        <w:rPr>
          <w:rFonts w:ascii="Times New Roman" w:hAnsi="Times New Roman" w:cs="Times New Roman"/>
          <w:sz w:val="24"/>
          <w:szCs w:val="24"/>
          <w:lang w:val="pl-PL"/>
        </w:rPr>
        <w:t>wdrożenie pewnych niezrealizowanych jeszcze elementów reformy, które mają zasadnicze znaczenie dla zapewnienia odporności instytucji, ale które to elementy zostały dopiero niedawno sfinalizowane przez podmioty odpowiedzialne za ustanawianie ogólnoświatowych standardów, tj. Bazylejski Komitet Nadzoru Bankowego i Radę Stabilności Finansowej, m.in.: wiążącego wskaźnika dźwigni lub wskaźnika stabilnego finansowania netto.</w:t>
      </w:r>
    </w:p>
    <w:p w14:paraId="6C0A888C" w14:textId="6407800D" w:rsidR="0047686F" w:rsidRPr="0061435B" w:rsidRDefault="0047686F" w:rsidP="000D6351">
      <w:pPr>
        <w:jc w:val="both"/>
        <w:rPr>
          <w:rFonts w:ascii="Times New Roman" w:hAnsi="Times New Roman" w:cs="Times New Roman"/>
          <w:bCs/>
          <w:sz w:val="24"/>
          <w:szCs w:val="24"/>
          <w:lang w:val="pl-PL"/>
        </w:rPr>
      </w:pPr>
      <w:r w:rsidRPr="0047686F">
        <w:rPr>
          <w:rFonts w:ascii="Times New Roman" w:hAnsi="Times New Roman" w:cs="Times New Roman"/>
          <w:sz w:val="24"/>
          <w:szCs w:val="24"/>
          <w:lang w:val="pl-PL"/>
        </w:rPr>
        <w:lastRenderedPageBreak/>
        <w:t xml:space="preserve">Co do zasady implementacja dyrektywy CRD V i dostosowanie przepisów do rozporządzenia CRR II nastąpiła poprzez uchwalenie ustawy z dnia 25 lutego 2021 r. </w:t>
      </w:r>
      <w:r w:rsidRPr="0047686F">
        <w:rPr>
          <w:rFonts w:ascii="Times New Roman" w:hAnsi="Times New Roman" w:cs="Times New Roman"/>
          <w:i/>
          <w:sz w:val="24"/>
          <w:szCs w:val="24"/>
          <w:lang w:val="pl-PL"/>
        </w:rPr>
        <w:t xml:space="preserve">o zmianie ustawy </w:t>
      </w:r>
      <w:r w:rsidR="00B552F2">
        <w:rPr>
          <w:rFonts w:ascii="Times New Roman" w:hAnsi="Times New Roman" w:cs="Times New Roman"/>
          <w:i/>
          <w:sz w:val="24"/>
          <w:szCs w:val="24"/>
          <w:lang w:val="pl-PL"/>
        </w:rPr>
        <w:t xml:space="preserve">- </w:t>
      </w:r>
      <w:r w:rsidRPr="0047686F">
        <w:rPr>
          <w:rFonts w:ascii="Times New Roman" w:hAnsi="Times New Roman" w:cs="Times New Roman"/>
          <w:i/>
          <w:sz w:val="24"/>
          <w:szCs w:val="24"/>
          <w:lang w:val="pl-PL"/>
        </w:rPr>
        <w:t>Prawo bankowe oraz niektórych innych ustaw</w:t>
      </w:r>
      <w:r w:rsidRPr="0047686F">
        <w:rPr>
          <w:rFonts w:ascii="Times New Roman" w:hAnsi="Times New Roman" w:cs="Times New Roman"/>
          <w:sz w:val="24"/>
          <w:szCs w:val="24"/>
          <w:lang w:val="pl-PL"/>
        </w:rPr>
        <w:t xml:space="preserve"> (druk senacki 332). Wydanie nowego rozporządzenia Ministra Finansów, Funduszy i Polityki Regionalnej </w:t>
      </w:r>
      <w:r w:rsidRPr="0047686F">
        <w:rPr>
          <w:rFonts w:ascii="Times New Roman" w:hAnsi="Times New Roman" w:cs="Times New Roman"/>
          <w:i/>
          <w:sz w:val="24"/>
          <w:szCs w:val="24"/>
          <w:lang w:val="pl-PL"/>
        </w:rPr>
        <w:t>w sprawie szczegółowego sposobu szacowania kapitału wewnętrznego oraz dokonywania przez bank przeglądów strategii i procedur szacowania i stałego utrzymywania kapitału wewnętrznego</w:t>
      </w:r>
      <w:r w:rsidRPr="0047686F">
        <w:rPr>
          <w:rFonts w:ascii="Times New Roman" w:hAnsi="Times New Roman" w:cs="Times New Roman"/>
          <w:sz w:val="24"/>
          <w:szCs w:val="24"/>
          <w:lang w:val="pl-PL"/>
        </w:rPr>
        <w:t xml:space="preserve"> wynika z konieczności implementacji przepisów dyrektywy CRD V oraz jest konsekwencją zmian wprowadzonych </w:t>
      </w:r>
      <w:r w:rsidR="001F543B">
        <w:rPr>
          <w:rFonts w:ascii="Times New Roman" w:hAnsi="Times New Roman" w:cs="Times New Roman"/>
          <w:sz w:val="24"/>
          <w:szCs w:val="24"/>
          <w:lang w:val="pl-PL"/>
        </w:rPr>
        <w:t>przez powyższą ustawę</w:t>
      </w:r>
      <w:r w:rsidR="003838B6">
        <w:rPr>
          <w:rFonts w:ascii="Times New Roman" w:hAnsi="Times New Roman" w:cs="Times New Roman"/>
          <w:sz w:val="24"/>
          <w:szCs w:val="24"/>
          <w:lang w:val="pl-PL"/>
        </w:rPr>
        <w:t xml:space="preserve">. </w:t>
      </w:r>
      <w:r>
        <w:rPr>
          <w:rFonts w:ascii="Times New Roman" w:hAnsi="Times New Roman" w:cs="Times New Roman"/>
          <w:sz w:val="24"/>
          <w:szCs w:val="24"/>
          <w:lang w:val="pl-PL"/>
        </w:rPr>
        <w:t>Ponadto, zgodnie z art. 25</w:t>
      </w:r>
      <w:r w:rsidR="00AC27D6">
        <w:rPr>
          <w:rFonts w:ascii="Times New Roman" w:hAnsi="Times New Roman" w:cs="Times New Roman"/>
          <w:sz w:val="24"/>
          <w:szCs w:val="24"/>
          <w:lang w:val="pl-PL"/>
        </w:rPr>
        <w:t xml:space="preserve"> ust. 1</w:t>
      </w:r>
      <w:r>
        <w:rPr>
          <w:rFonts w:ascii="Times New Roman" w:hAnsi="Times New Roman" w:cs="Times New Roman"/>
          <w:sz w:val="24"/>
          <w:szCs w:val="24"/>
          <w:lang w:val="pl-PL"/>
        </w:rPr>
        <w:t xml:space="preserve"> </w:t>
      </w:r>
      <w:r w:rsidRPr="00056AA3">
        <w:rPr>
          <w:rFonts w:ascii="Times New Roman" w:hAnsi="Times New Roman" w:cs="Times New Roman"/>
          <w:sz w:val="24"/>
          <w:szCs w:val="24"/>
          <w:lang w:val="pl-PL"/>
        </w:rPr>
        <w:t>ustawy z dnia 25 lutego 2021 r.</w:t>
      </w:r>
      <w:r w:rsidRPr="0047686F">
        <w:rPr>
          <w:rFonts w:ascii="Times New Roman" w:hAnsi="Times New Roman" w:cs="Times New Roman"/>
          <w:i/>
          <w:sz w:val="24"/>
          <w:szCs w:val="24"/>
          <w:lang w:val="pl-PL"/>
        </w:rPr>
        <w:t xml:space="preserve"> o zmianie ustawy </w:t>
      </w:r>
      <w:r w:rsidR="00B552F2">
        <w:rPr>
          <w:rFonts w:ascii="Times New Roman" w:hAnsi="Times New Roman" w:cs="Times New Roman"/>
          <w:i/>
          <w:sz w:val="24"/>
          <w:szCs w:val="24"/>
          <w:lang w:val="pl-PL"/>
        </w:rPr>
        <w:t xml:space="preserve">- </w:t>
      </w:r>
      <w:r w:rsidRPr="0047686F">
        <w:rPr>
          <w:rFonts w:ascii="Times New Roman" w:hAnsi="Times New Roman" w:cs="Times New Roman"/>
          <w:i/>
          <w:sz w:val="24"/>
          <w:szCs w:val="24"/>
          <w:lang w:val="pl-PL"/>
        </w:rPr>
        <w:t>Prawo bankowe oraz niektórych innych ustaw</w:t>
      </w:r>
      <w:r w:rsidR="003838B6">
        <w:rPr>
          <w:rFonts w:ascii="Times New Roman" w:hAnsi="Times New Roman" w:cs="Times New Roman"/>
          <w:i/>
          <w:sz w:val="24"/>
          <w:szCs w:val="24"/>
          <w:lang w:val="pl-PL"/>
        </w:rPr>
        <w:t xml:space="preserve">, </w:t>
      </w:r>
      <w:r w:rsidR="00AC27D6">
        <w:rPr>
          <w:rFonts w:ascii="Times New Roman" w:hAnsi="Times New Roman" w:cs="Times New Roman"/>
          <w:sz w:val="24"/>
          <w:szCs w:val="24"/>
          <w:lang w:val="pl-PL"/>
        </w:rPr>
        <w:t>d</w:t>
      </w:r>
      <w:r w:rsidR="00AC27D6" w:rsidRPr="00AC27D6">
        <w:rPr>
          <w:rFonts w:ascii="Times New Roman" w:hAnsi="Times New Roman" w:cs="Times New Roman"/>
          <w:sz w:val="24"/>
          <w:szCs w:val="24"/>
          <w:lang w:val="pl-PL"/>
        </w:rPr>
        <w:t>o</w:t>
      </w:r>
      <w:r w:rsidR="00AC27D6">
        <w:rPr>
          <w:rFonts w:ascii="Times New Roman" w:hAnsi="Times New Roman" w:cs="Times New Roman"/>
          <w:sz w:val="24"/>
          <w:szCs w:val="24"/>
          <w:lang w:val="pl-PL"/>
        </w:rPr>
        <w:t xml:space="preserve">tychczasowe przepisy wykonawcze </w:t>
      </w:r>
      <w:r w:rsidR="00AC27D6" w:rsidRPr="00AC27D6">
        <w:rPr>
          <w:rFonts w:ascii="Times New Roman" w:hAnsi="Times New Roman" w:cs="Times New Roman"/>
          <w:bCs/>
          <w:sz w:val="24"/>
          <w:szCs w:val="24"/>
          <w:lang w:val="pl-PL"/>
        </w:rPr>
        <w:t xml:space="preserve">wydane na podstawie art. 9f ust. 1 pkt 2 </w:t>
      </w:r>
      <w:r w:rsidR="003838B6" w:rsidRPr="003838B6">
        <w:rPr>
          <w:rFonts w:ascii="Times New Roman" w:hAnsi="Times New Roman" w:cs="Times New Roman"/>
          <w:bCs/>
          <w:i/>
          <w:sz w:val="24"/>
          <w:szCs w:val="24"/>
          <w:lang w:val="pl-PL"/>
        </w:rPr>
        <w:t>ustawy</w:t>
      </w:r>
      <w:r w:rsidR="003838B6">
        <w:rPr>
          <w:rFonts w:ascii="Times New Roman" w:hAnsi="Times New Roman" w:cs="Times New Roman"/>
          <w:bCs/>
          <w:sz w:val="24"/>
          <w:szCs w:val="24"/>
          <w:lang w:val="pl-PL"/>
        </w:rPr>
        <w:t xml:space="preserve"> </w:t>
      </w:r>
      <w:r w:rsidR="003838B6" w:rsidRPr="003838B6">
        <w:rPr>
          <w:rFonts w:ascii="Times New Roman" w:hAnsi="Times New Roman" w:cs="Times New Roman"/>
          <w:bCs/>
          <w:i/>
          <w:iCs/>
          <w:sz w:val="24"/>
          <w:szCs w:val="24"/>
          <w:lang w:val="pl-PL"/>
        </w:rPr>
        <w:t xml:space="preserve">z dnia 29 sierpnia 1997 r. – Prawo bankowe </w:t>
      </w:r>
      <w:r w:rsidR="003838B6" w:rsidRPr="006C12A8">
        <w:rPr>
          <w:rFonts w:ascii="Times New Roman" w:hAnsi="Times New Roman" w:cs="Times New Roman"/>
          <w:bCs/>
          <w:sz w:val="24"/>
          <w:szCs w:val="24"/>
          <w:lang w:val="pl-PL"/>
        </w:rPr>
        <w:t>(</w:t>
      </w:r>
      <w:r w:rsidR="006C12A8" w:rsidRPr="006C12A8">
        <w:rPr>
          <w:rFonts w:ascii="Times New Roman" w:hAnsi="Times New Roman" w:cs="Times New Roman"/>
          <w:bCs/>
          <w:sz w:val="24"/>
          <w:szCs w:val="24"/>
          <w:lang w:val="pl-PL"/>
        </w:rPr>
        <w:t>Dz. U. z</w:t>
      </w:r>
      <w:r w:rsidR="006C12A8">
        <w:rPr>
          <w:rFonts w:ascii="Times New Roman" w:hAnsi="Times New Roman" w:cs="Times New Roman"/>
          <w:bCs/>
          <w:sz w:val="24"/>
          <w:szCs w:val="24"/>
          <w:lang w:val="pl-PL"/>
        </w:rPr>
        <w:t xml:space="preserve"> 2020 r. poz. 1896, </w:t>
      </w:r>
      <w:r w:rsidR="00142D82">
        <w:rPr>
          <w:rFonts w:ascii="Times New Roman" w:hAnsi="Times New Roman" w:cs="Times New Roman"/>
          <w:bCs/>
          <w:sz w:val="24"/>
          <w:szCs w:val="24"/>
          <w:lang w:val="pl-PL"/>
        </w:rPr>
        <w:t>z późn. zm.</w:t>
      </w:r>
      <w:r w:rsidR="003838B6" w:rsidRPr="006C12A8">
        <w:rPr>
          <w:rFonts w:ascii="Times New Roman" w:hAnsi="Times New Roman" w:cs="Times New Roman"/>
          <w:bCs/>
          <w:sz w:val="24"/>
          <w:szCs w:val="24"/>
          <w:lang w:val="pl-PL"/>
        </w:rPr>
        <w:t>)</w:t>
      </w:r>
      <w:r w:rsidR="006C12A8">
        <w:rPr>
          <w:rFonts w:ascii="Times New Roman" w:hAnsi="Times New Roman" w:cs="Times New Roman"/>
          <w:bCs/>
          <w:sz w:val="24"/>
          <w:szCs w:val="24"/>
          <w:lang w:val="pl-PL"/>
        </w:rPr>
        <w:t>,</w:t>
      </w:r>
      <w:r w:rsidR="006C12A8" w:rsidRPr="006C12A8">
        <w:rPr>
          <w:rFonts w:ascii="Times New Roman" w:hAnsi="Times New Roman" w:cs="Times New Roman"/>
          <w:sz w:val="24"/>
          <w:szCs w:val="24"/>
          <w:lang w:val="pl-PL"/>
        </w:rPr>
        <w:t xml:space="preserve"> </w:t>
      </w:r>
      <w:r w:rsidR="006C12A8" w:rsidRPr="006C12A8">
        <w:rPr>
          <w:rFonts w:ascii="Times New Roman" w:hAnsi="Times New Roman" w:cs="Times New Roman"/>
          <w:bCs/>
          <w:sz w:val="24"/>
          <w:szCs w:val="24"/>
          <w:lang w:val="pl-PL"/>
        </w:rPr>
        <w:t>zwanej dalej „ustawą – Prawo bankowe”</w:t>
      </w:r>
      <w:r w:rsidR="006C12A8">
        <w:rPr>
          <w:rFonts w:ascii="Times New Roman" w:hAnsi="Times New Roman" w:cs="Times New Roman"/>
          <w:bCs/>
          <w:sz w:val="24"/>
          <w:szCs w:val="24"/>
          <w:lang w:val="pl-PL"/>
        </w:rPr>
        <w:t>,</w:t>
      </w:r>
      <w:r w:rsidR="00056AA3">
        <w:rPr>
          <w:rFonts w:ascii="Times New Roman" w:hAnsi="Times New Roman" w:cs="Times New Roman"/>
          <w:bCs/>
          <w:i/>
          <w:sz w:val="24"/>
          <w:szCs w:val="24"/>
          <w:lang w:val="pl-PL"/>
        </w:rPr>
        <w:t xml:space="preserve"> </w:t>
      </w:r>
      <w:r w:rsidR="00AC27D6" w:rsidRPr="00AC27D6">
        <w:rPr>
          <w:rFonts w:ascii="Times New Roman" w:hAnsi="Times New Roman" w:cs="Times New Roman"/>
          <w:bCs/>
          <w:sz w:val="24"/>
          <w:szCs w:val="24"/>
          <w:lang w:val="pl-PL"/>
        </w:rPr>
        <w:t>zachowują moc do dnia wejścia w życie</w:t>
      </w:r>
      <w:r w:rsidR="00AC27D6">
        <w:rPr>
          <w:rFonts w:ascii="Times New Roman" w:hAnsi="Times New Roman" w:cs="Times New Roman"/>
          <w:bCs/>
          <w:sz w:val="24"/>
          <w:szCs w:val="24"/>
          <w:lang w:val="pl-PL"/>
        </w:rPr>
        <w:t xml:space="preserve"> przepisów wykonawczych</w:t>
      </w:r>
      <w:r w:rsidR="00AC27D6" w:rsidRPr="00AC27D6">
        <w:rPr>
          <w:lang w:val="pl-PL"/>
        </w:rPr>
        <w:t xml:space="preserve"> </w:t>
      </w:r>
      <w:r w:rsidR="00AC27D6" w:rsidRPr="00AC27D6">
        <w:rPr>
          <w:rFonts w:ascii="Times New Roman" w:hAnsi="Times New Roman" w:cs="Times New Roman"/>
          <w:bCs/>
          <w:sz w:val="24"/>
          <w:szCs w:val="24"/>
          <w:lang w:val="pl-PL"/>
        </w:rPr>
        <w:t>wydanych na podstawie art. 9f ust. 1 pkt 2</w:t>
      </w:r>
      <w:r w:rsidR="0061435B" w:rsidRPr="0061435B">
        <w:rPr>
          <w:rFonts w:ascii="Times New Roman" w:hAnsi="Times New Roman" w:cs="Times New Roman"/>
          <w:bCs/>
          <w:i/>
          <w:sz w:val="24"/>
          <w:szCs w:val="24"/>
          <w:lang w:val="pl-PL"/>
        </w:rPr>
        <w:t xml:space="preserve"> </w:t>
      </w:r>
      <w:r w:rsidR="0061435B" w:rsidRPr="001F543B">
        <w:rPr>
          <w:rFonts w:ascii="Times New Roman" w:hAnsi="Times New Roman" w:cs="Times New Roman"/>
          <w:bCs/>
          <w:sz w:val="24"/>
          <w:szCs w:val="24"/>
          <w:lang w:val="pl-PL"/>
        </w:rPr>
        <w:t>ustawy – Prawo bankowe</w:t>
      </w:r>
      <w:r w:rsidR="00D11747" w:rsidRPr="00D11747">
        <w:rPr>
          <w:rFonts w:ascii="Times New Roman" w:hAnsi="Times New Roman" w:cs="Times New Roman"/>
          <w:sz w:val="24"/>
          <w:szCs w:val="24"/>
          <w:lang w:val="pl-PL"/>
        </w:rPr>
        <w:t xml:space="preserve"> </w:t>
      </w:r>
      <w:r w:rsidR="00D11747" w:rsidRPr="00D11747">
        <w:rPr>
          <w:rFonts w:ascii="Times New Roman" w:hAnsi="Times New Roman" w:cs="Times New Roman"/>
          <w:bCs/>
          <w:sz w:val="24"/>
          <w:szCs w:val="24"/>
          <w:lang w:val="pl-PL"/>
        </w:rPr>
        <w:t>w brzmieniu jakie nadała temu przepisowi</w:t>
      </w:r>
      <w:r w:rsidR="00D11747" w:rsidRPr="00D11747">
        <w:rPr>
          <w:rFonts w:ascii="Times New Roman" w:hAnsi="Times New Roman" w:cs="Times New Roman"/>
          <w:bCs/>
          <w:i/>
          <w:sz w:val="24"/>
          <w:szCs w:val="24"/>
          <w:lang w:val="pl-PL"/>
        </w:rPr>
        <w:t xml:space="preserve"> </w:t>
      </w:r>
      <w:r w:rsidR="00D11747" w:rsidRPr="00D11747">
        <w:rPr>
          <w:rFonts w:ascii="Times New Roman" w:hAnsi="Times New Roman" w:cs="Times New Roman"/>
          <w:bCs/>
          <w:i/>
          <w:iCs/>
          <w:sz w:val="24"/>
          <w:szCs w:val="24"/>
          <w:lang w:val="pl-PL"/>
        </w:rPr>
        <w:t xml:space="preserve">ustawa z dnia 25 lutego 2021 r. o zmianie ustawy </w:t>
      </w:r>
      <w:r w:rsidR="00B552F2">
        <w:rPr>
          <w:rFonts w:ascii="Times New Roman" w:hAnsi="Times New Roman" w:cs="Times New Roman"/>
          <w:bCs/>
          <w:i/>
          <w:iCs/>
          <w:sz w:val="24"/>
          <w:szCs w:val="24"/>
          <w:lang w:val="pl-PL"/>
        </w:rPr>
        <w:t xml:space="preserve">- </w:t>
      </w:r>
      <w:r w:rsidR="00D11747" w:rsidRPr="00D11747">
        <w:rPr>
          <w:rFonts w:ascii="Times New Roman" w:hAnsi="Times New Roman" w:cs="Times New Roman"/>
          <w:bCs/>
          <w:i/>
          <w:iCs/>
          <w:sz w:val="24"/>
          <w:szCs w:val="24"/>
          <w:lang w:val="pl-PL"/>
        </w:rPr>
        <w:t>Prawo bankowe oraz niektórych innych ustaw</w:t>
      </w:r>
      <w:r w:rsidR="00142D82">
        <w:rPr>
          <w:rFonts w:ascii="Times New Roman" w:hAnsi="Times New Roman" w:cs="Times New Roman"/>
          <w:bCs/>
          <w:i/>
          <w:iCs/>
          <w:sz w:val="24"/>
          <w:szCs w:val="24"/>
          <w:lang w:val="pl-PL"/>
        </w:rPr>
        <w:t xml:space="preserve"> </w:t>
      </w:r>
      <w:r w:rsidR="00142D82">
        <w:rPr>
          <w:rFonts w:ascii="Times New Roman" w:hAnsi="Times New Roman" w:cs="Times New Roman"/>
          <w:bCs/>
          <w:iCs/>
          <w:sz w:val="24"/>
          <w:szCs w:val="24"/>
          <w:lang w:val="pl-PL"/>
        </w:rPr>
        <w:t>(Dz. U. poz. 680)</w:t>
      </w:r>
      <w:r w:rsidR="00AC27D6">
        <w:rPr>
          <w:rFonts w:ascii="Times New Roman" w:hAnsi="Times New Roman" w:cs="Times New Roman"/>
          <w:bCs/>
          <w:sz w:val="24"/>
          <w:szCs w:val="24"/>
          <w:lang w:val="pl-PL"/>
        </w:rPr>
        <w:t xml:space="preserve">, </w:t>
      </w:r>
      <w:r w:rsidR="00AC27D6" w:rsidRPr="00AC27D6">
        <w:rPr>
          <w:rFonts w:ascii="Times New Roman" w:hAnsi="Times New Roman" w:cs="Times New Roman"/>
          <w:bCs/>
          <w:sz w:val="24"/>
          <w:szCs w:val="24"/>
          <w:lang w:val="pl-PL"/>
        </w:rPr>
        <w:t xml:space="preserve">jednak nie dłużej niż przez 12 miesięcy od dnia wejścia w życie </w:t>
      </w:r>
      <w:r w:rsidR="00056AA3">
        <w:rPr>
          <w:rFonts w:ascii="Times New Roman" w:hAnsi="Times New Roman" w:cs="Times New Roman"/>
          <w:bCs/>
          <w:sz w:val="24"/>
          <w:szCs w:val="24"/>
          <w:lang w:val="pl-PL"/>
        </w:rPr>
        <w:t xml:space="preserve">tej </w:t>
      </w:r>
      <w:r w:rsidR="00AC27D6" w:rsidRPr="00AC27D6">
        <w:rPr>
          <w:rFonts w:ascii="Times New Roman" w:hAnsi="Times New Roman" w:cs="Times New Roman"/>
          <w:bCs/>
          <w:sz w:val="24"/>
          <w:szCs w:val="24"/>
          <w:lang w:val="pl-PL"/>
        </w:rPr>
        <w:t>ustawy.</w:t>
      </w:r>
    </w:p>
    <w:p w14:paraId="6B254550" w14:textId="77777777" w:rsidR="00E156E4" w:rsidRPr="00E156E4" w:rsidRDefault="00E156E4" w:rsidP="000D6351">
      <w:pPr>
        <w:jc w:val="both"/>
        <w:rPr>
          <w:rFonts w:ascii="Times New Roman" w:hAnsi="Times New Roman" w:cs="Times New Roman"/>
          <w:sz w:val="24"/>
          <w:szCs w:val="24"/>
          <w:lang w:val="pl-PL"/>
        </w:rPr>
      </w:pPr>
      <w:r w:rsidRPr="00E156E4">
        <w:rPr>
          <w:rFonts w:ascii="Times New Roman" w:hAnsi="Times New Roman" w:cs="Times New Roman"/>
          <w:sz w:val="24"/>
          <w:szCs w:val="24"/>
          <w:lang w:val="pl-PL"/>
        </w:rPr>
        <w:t xml:space="preserve">Projekt rozporządzenia stanowi wykonanie upoważnia zawartego w art. </w:t>
      </w:r>
      <w:r w:rsidR="0047686F">
        <w:rPr>
          <w:rFonts w:ascii="Times New Roman" w:hAnsi="Times New Roman" w:cs="Times New Roman"/>
          <w:sz w:val="24"/>
          <w:szCs w:val="24"/>
          <w:lang w:val="pl-PL"/>
        </w:rPr>
        <w:t>9f ust. 1</w:t>
      </w:r>
      <w:r w:rsidRPr="00E156E4">
        <w:rPr>
          <w:rFonts w:ascii="Times New Roman" w:hAnsi="Times New Roman" w:cs="Times New Roman"/>
          <w:sz w:val="24"/>
          <w:szCs w:val="24"/>
          <w:lang w:val="pl-PL"/>
        </w:rPr>
        <w:t xml:space="preserve"> </w:t>
      </w:r>
      <w:r w:rsidR="006C12A8">
        <w:rPr>
          <w:rFonts w:ascii="Times New Roman" w:hAnsi="Times New Roman" w:cs="Times New Roman"/>
          <w:sz w:val="24"/>
          <w:szCs w:val="24"/>
          <w:lang w:val="pl-PL"/>
        </w:rPr>
        <w:t>ustawy</w:t>
      </w:r>
      <w:r w:rsidRPr="00E156E4">
        <w:rPr>
          <w:rFonts w:ascii="Times New Roman" w:hAnsi="Times New Roman" w:cs="Times New Roman"/>
          <w:sz w:val="24"/>
          <w:szCs w:val="24"/>
          <w:lang w:val="pl-PL"/>
        </w:rPr>
        <w:t xml:space="preserve"> – Pr</w:t>
      </w:r>
      <w:r w:rsidR="006C12A8">
        <w:rPr>
          <w:rFonts w:ascii="Times New Roman" w:hAnsi="Times New Roman" w:cs="Times New Roman"/>
          <w:sz w:val="24"/>
          <w:szCs w:val="24"/>
          <w:lang w:val="pl-PL"/>
        </w:rPr>
        <w:t>awo bankowe</w:t>
      </w:r>
      <w:r w:rsidRPr="00E156E4">
        <w:rPr>
          <w:rFonts w:ascii="Times New Roman" w:hAnsi="Times New Roman" w:cs="Times New Roman"/>
          <w:sz w:val="24"/>
          <w:szCs w:val="24"/>
          <w:lang w:val="pl-PL"/>
        </w:rPr>
        <w:t>. Zmianie ulega obecnie obowiązujące rozporządzenie Ministra Rozwoju i Finansów z</w:t>
      </w:r>
      <w:r w:rsidR="001F543B">
        <w:rPr>
          <w:rFonts w:ascii="Times New Roman" w:hAnsi="Times New Roman" w:cs="Times New Roman"/>
          <w:sz w:val="24"/>
          <w:szCs w:val="24"/>
          <w:lang w:val="pl-PL"/>
        </w:rPr>
        <w:t> </w:t>
      </w:r>
      <w:r w:rsidRPr="00E156E4">
        <w:rPr>
          <w:rFonts w:ascii="Times New Roman" w:hAnsi="Times New Roman" w:cs="Times New Roman"/>
          <w:sz w:val="24"/>
          <w:szCs w:val="24"/>
          <w:lang w:val="pl-PL"/>
        </w:rPr>
        <w:t xml:space="preserve">dnia 6 marca 2017 r. </w:t>
      </w:r>
      <w:r w:rsidRPr="00E156E4">
        <w:rPr>
          <w:rFonts w:ascii="Times New Roman" w:hAnsi="Times New Roman" w:cs="Times New Roman"/>
          <w:i/>
          <w:sz w:val="24"/>
          <w:szCs w:val="24"/>
          <w:lang w:val="pl-PL"/>
        </w:rPr>
        <w:t>w sprawie systemu zarządzania ryzykiem i systemu kontroli wewnętrznej, polityki wynagrodzeń oraz szczegółowego sposobu szacowania kapitału wewnętrznego w bankach</w:t>
      </w:r>
      <w:r w:rsidRPr="00E156E4">
        <w:rPr>
          <w:rFonts w:ascii="Times New Roman" w:hAnsi="Times New Roman" w:cs="Times New Roman"/>
          <w:sz w:val="24"/>
          <w:szCs w:val="24"/>
          <w:lang w:val="pl-PL"/>
        </w:rPr>
        <w:t xml:space="preserve"> (Dz. U. poz. 637), które to zostaje podzielone na dwa odrębne akty:</w:t>
      </w:r>
    </w:p>
    <w:p w14:paraId="0FE101FB" w14:textId="369B1190" w:rsidR="00E156E4" w:rsidRDefault="0047686F" w:rsidP="000D6351">
      <w:pPr>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rozporządzenie</w:t>
      </w:r>
      <w:r w:rsidR="00E156E4" w:rsidRPr="00E156E4">
        <w:rPr>
          <w:rFonts w:ascii="Times New Roman" w:hAnsi="Times New Roman" w:cs="Times New Roman"/>
          <w:sz w:val="24"/>
          <w:szCs w:val="24"/>
          <w:lang w:val="pl-PL"/>
        </w:rPr>
        <w:t xml:space="preserve"> Ministra Finansów, Funduszy i Polityki Regionalnej </w:t>
      </w:r>
      <w:r w:rsidR="00E156E4" w:rsidRPr="00E156E4">
        <w:rPr>
          <w:rFonts w:ascii="Times New Roman" w:hAnsi="Times New Roman" w:cs="Times New Roman"/>
          <w:i/>
          <w:iCs/>
          <w:sz w:val="24"/>
          <w:szCs w:val="24"/>
          <w:lang w:val="pl-PL"/>
        </w:rPr>
        <w:t xml:space="preserve">w sprawie systemu zarządzania ryzykiem i systemu kontroli wewnętrznej oraz polityki wynagrodzeń </w:t>
      </w:r>
      <w:r w:rsidR="00E156E4" w:rsidRPr="00E156E4">
        <w:rPr>
          <w:rFonts w:ascii="Times New Roman" w:hAnsi="Times New Roman" w:cs="Times New Roman"/>
          <w:sz w:val="24"/>
          <w:szCs w:val="24"/>
          <w:lang w:val="pl-PL"/>
        </w:rPr>
        <w:t xml:space="preserve">stanowiącego jednocześnie uzupełnienie wdrożenia </w:t>
      </w:r>
      <w:r w:rsidR="00142D82">
        <w:rPr>
          <w:rFonts w:ascii="Times New Roman" w:hAnsi="Times New Roman" w:cs="Times New Roman"/>
          <w:i/>
          <w:iCs/>
          <w:sz w:val="24"/>
          <w:szCs w:val="24"/>
          <w:lang w:val="pl-PL"/>
        </w:rPr>
        <w:t>dyrektywy</w:t>
      </w:r>
      <w:r w:rsidR="00E156E4" w:rsidRPr="00E156E4">
        <w:rPr>
          <w:rFonts w:ascii="Times New Roman" w:hAnsi="Times New Roman" w:cs="Times New Roman"/>
          <w:i/>
          <w:iCs/>
          <w:sz w:val="24"/>
          <w:szCs w:val="24"/>
          <w:lang w:val="pl-PL"/>
        </w:rPr>
        <w:t xml:space="preserve"> Parlamentu Europejskiego i Rady (UE) 2019/878 z dnia 20 maja 2019 r. zmieniającej dyrektywę 2013/36/UE w</w:t>
      </w:r>
      <w:r w:rsidR="001F543B">
        <w:rPr>
          <w:rFonts w:ascii="Times New Roman" w:hAnsi="Times New Roman" w:cs="Times New Roman"/>
          <w:i/>
          <w:iCs/>
          <w:sz w:val="24"/>
          <w:szCs w:val="24"/>
          <w:lang w:val="pl-PL"/>
        </w:rPr>
        <w:t> </w:t>
      </w:r>
      <w:r w:rsidR="00E156E4" w:rsidRPr="00E156E4">
        <w:rPr>
          <w:rFonts w:ascii="Times New Roman" w:hAnsi="Times New Roman" w:cs="Times New Roman"/>
          <w:i/>
          <w:iCs/>
          <w:sz w:val="24"/>
          <w:szCs w:val="24"/>
          <w:lang w:val="pl-PL"/>
        </w:rPr>
        <w:t xml:space="preserve">odniesieniu do podmiotów zwolnionych, finansowych spółek holdingowych, finansowych spółek holdingowych o działalności mieszanej, wynagrodzeń, środków i uprawnień nadzorczych oraz środków ochrony kapitału (Dz. Urz. UE L 150 z 07.06.2019, str. 253) </w:t>
      </w:r>
      <w:r w:rsidR="00E156E4" w:rsidRPr="00E156E4">
        <w:rPr>
          <w:rFonts w:ascii="Times New Roman" w:hAnsi="Times New Roman" w:cs="Times New Roman"/>
          <w:sz w:val="24"/>
          <w:szCs w:val="24"/>
          <w:lang w:val="pl-PL"/>
        </w:rPr>
        <w:t>oraz;</w:t>
      </w:r>
    </w:p>
    <w:p w14:paraId="4615ADA9" w14:textId="77777777" w:rsidR="00E156E4" w:rsidRPr="00E156E4" w:rsidRDefault="0047686F" w:rsidP="000D6351">
      <w:pPr>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rozporządzenie</w:t>
      </w:r>
      <w:r w:rsidR="00E156E4" w:rsidRPr="00E156E4">
        <w:rPr>
          <w:rFonts w:ascii="Times New Roman" w:hAnsi="Times New Roman" w:cs="Times New Roman"/>
          <w:sz w:val="24"/>
          <w:szCs w:val="24"/>
          <w:lang w:val="pl-PL"/>
        </w:rPr>
        <w:t xml:space="preserve"> Ministra Finansów, Funduszy i Polityki Regionalnej </w:t>
      </w:r>
      <w:r w:rsidR="00E156E4" w:rsidRPr="00E156E4">
        <w:rPr>
          <w:rFonts w:ascii="Times New Roman" w:hAnsi="Times New Roman" w:cs="Times New Roman"/>
          <w:i/>
          <w:iCs/>
          <w:sz w:val="24"/>
          <w:szCs w:val="24"/>
          <w:lang w:val="pl-PL"/>
        </w:rPr>
        <w:t>w sprawie szczegółowego sposobu szacowania kapitału wewnętrznego oraz dokonywania przez bank przeglądów strategii i  procedur szacowania i stałego utrzymywania kapitału wewnętrznego</w:t>
      </w:r>
      <w:r w:rsidR="00E156E4" w:rsidRPr="00E156E4">
        <w:rPr>
          <w:rFonts w:ascii="Times New Roman" w:hAnsi="Times New Roman" w:cs="Times New Roman"/>
          <w:sz w:val="24"/>
          <w:szCs w:val="24"/>
          <w:lang w:val="pl-PL"/>
        </w:rPr>
        <w:t>.</w:t>
      </w:r>
    </w:p>
    <w:p w14:paraId="48B3FE11" w14:textId="77777777" w:rsidR="003B5B71" w:rsidRPr="009B3934" w:rsidRDefault="009B3934" w:rsidP="000D6351">
      <w:pPr>
        <w:jc w:val="both"/>
        <w:rPr>
          <w:rFonts w:ascii="Times New Roman" w:hAnsi="Times New Roman" w:cs="Times New Roman"/>
          <w:sz w:val="24"/>
          <w:szCs w:val="24"/>
        </w:rPr>
      </w:pPr>
      <w:proofErr w:type="spellStart"/>
      <w:r w:rsidRPr="009B3934">
        <w:rPr>
          <w:rFonts w:ascii="Times New Roman" w:hAnsi="Times New Roman" w:cs="Times New Roman"/>
          <w:sz w:val="24"/>
          <w:szCs w:val="24"/>
        </w:rPr>
        <w:t>Projektowane</w:t>
      </w:r>
      <w:proofErr w:type="spellEnd"/>
      <w:r w:rsidRPr="009B3934">
        <w:rPr>
          <w:rFonts w:ascii="Times New Roman" w:hAnsi="Times New Roman" w:cs="Times New Roman"/>
          <w:sz w:val="24"/>
          <w:szCs w:val="24"/>
        </w:rPr>
        <w:t xml:space="preserve"> </w:t>
      </w:r>
      <w:proofErr w:type="spellStart"/>
      <w:r w:rsidRPr="009B3934">
        <w:rPr>
          <w:rFonts w:ascii="Times New Roman" w:hAnsi="Times New Roman" w:cs="Times New Roman"/>
          <w:sz w:val="24"/>
          <w:szCs w:val="24"/>
        </w:rPr>
        <w:t>rozporządzenie</w:t>
      </w:r>
      <w:proofErr w:type="spellEnd"/>
      <w:r w:rsidRPr="009B3934">
        <w:rPr>
          <w:rFonts w:ascii="Times New Roman" w:hAnsi="Times New Roman" w:cs="Times New Roman"/>
          <w:sz w:val="24"/>
          <w:szCs w:val="24"/>
        </w:rPr>
        <w:t xml:space="preserve"> </w:t>
      </w:r>
      <w:proofErr w:type="spellStart"/>
      <w:r w:rsidR="004E5323">
        <w:rPr>
          <w:rFonts w:ascii="Times New Roman" w:hAnsi="Times New Roman" w:cs="Times New Roman"/>
          <w:sz w:val="24"/>
          <w:szCs w:val="24"/>
        </w:rPr>
        <w:t>wdraża</w:t>
      </w:r>
      <w:proofErr w:type="spellEnd"/>
      <w:r w:rsidR="004E5323">
        <w:rPr>
          <w:rFonts w:ascii="Times New Roman" w:hAnsi="Times New Roman" w:cs="Times New Roman"/>
          <w:sz w:val="24"/>
          <w:szCs w:val="24"/>
        </w:rPr>
        <w:t xml:space="preserve"> do </w:t>
      </w:r>
      <w:proofErr w:type="spellStart"/>
      <w:r w:rsidR="004E5323">
        <w:rPr>
          <w:rFonts w:ascii="Times New Roman" w:hAnsi="Times New Roman" w:cs="Times New Roman"/>
          <w:sz w:val="24"/>
          <w:szCs w:val="24"/>
        </w:rPr>
        <w:t>polskiego</w:t>
      </w:r>
      <w:proofErr w:type="spellEnd"/>
      <w:r w:rsidR="004E5323">
        <w:rPr>
          <w:rFonts w:ascii="Times New Roman" w:hAnsi="Times New Roman" w:cs="Times New Roman"/>
          <w:sz w:val="24"/>
          <w:szCs w:val="24"/>
        </w:rPr>
        <w:t xml:space="preserve"> </w:t>
      </w:r>
      <w:proofErr w:type="spellStart"/>
      <w:r w:rsidR="004E5323">
        <w:rPr>
          <w:rFonts w:ascii="Times New Roman" w:hAnsi="Times New Roman" w:cs="Times New Roman"/>
          <w:sz w:val="24"/>
          <w:szCs w:val="24"/>
        </w:rPr>
        <w:t>prawa</w:t>
      </w:r>
      <w:proofErr w:type="spellEnd"/>
      <w:r w:rsidR="004E5323">
        <w:rPr>
          <w:rFonts w:ascii="Times New Roman" w:hAnsi="Times New Roman" w:cs="Times New Roman"/>
          <w:sz w:val="24"/>
          <w:szCs w:val="24"/>
        </w:rPr>
        <w:t xml:space="preserve"> </w:t>
      </w:r>
      <w:proofErr w:type="spellStart"/>
      <w:r w:rsidR="004E5323">
        <w:rPr>
          <w:rFonts w:ascii="Times New Roman" w:hAnsi="Times New Roman" w:cs="Times New Roman"/>
          <w:sz w:val="24"/>
          <w:szCs w:val="24"/>
        </w:rPr>
        <w:t>przepisy</w:t>
      </w:r>
      <w:proofErr w:type="spellEnd"/>
      <w:r w:rsidRPr="009B3934">
        <w:rPr>
          <w:rFonts w:ascii="Times New Roman" w:hAnsi="Times New Roman" w:cs="Times New Roman"/>
          <w:sz w:val="24"/>
          <w:szCs w:val="24"/>
        </w:rPr>
        <w:t xml:space="preserve"> </w:t>
      </w:r>
      <w:proofErr w:type="spellStart"/>
      <w:r w:rsidR="00F71370">
        <w:rPr>
          <w:rFonts w:ascii="Times New Roman" w:hAnsi="Times New Roman" w:cs="Times New Roman"/>
          <w:sz w:val="24"/>
          <w:szCs w:val="24"/>
        </w:rPr>
        <w:t>dyrektywy</w:t>
      </w:r>
      <w:proofErr w:type="spellEnd"/>
      <w:r w:rsidR="00F71370">
        <w:rPr>
          <w:rFonts w:ascii="Times New Roman" w:hAnsi="Times New Roman" w:cs="Times New Roman"/>
          <w:sz w:val="24"/>
          <w:szCs w:val="24"/>
        </w:rPr>
        <w:t xml:space="preserve"> CRD V </w:t>
      </w:r>
      <w:proofErr w:type="spellStart"/>
      <w:r w:rsidR="00E156E4">
        <w:rPr>
          <w:rFonts w:ascii="Times New Roman" w:hAnsi="Times New Roman" w:cs="Times New Roman"/>
          <w:sz w:val="24"/>
          <w:szCs w:val="24"/>
        </w:rPr>
        <w:t>oraz</w:t>
      </w:r>
      <w:proofErr w:type="spellEnd"/>
      <w:r w:rsidR="00E156E4">
        <w:rPr>
          <w:rFonts w:ascii="Times New Roman" w:hAnsi="Times New Roman" w:cs="Times New Roman"/>
          <w:sz w:val="24"/>
          <w:szCs w:val="24"/>
        </w:rPr>
        <w:t xml:space="preserve"> </w:t>
      </w:r>
      <w:r w:rsidR="003B5B71" w:rsidRPr="003B5B71">
        <w:rPr>
          <w:rFonts w:ascii="Times New Roman" w:hAnsi="Times New Roman" w:cs="Times New Roman"/>
          <w:sz w:val="24"/>
          <w:szCs w:val="24"/>
          <w:lang w:val="pl-PL"/>
        </w:rPr>
        <w:t xml:space="preserve">służy </w:t>
      </w:r>
      <w:r w:rsidR="00F71370">
        <w:rPr>
          <w:rFonts w:ascii="Times New Roman" w:hAnsi="Times New Roman" w:cs="Times New Roman"/>
          <w:sz w:val="24"/>
          <w:szCs w:val="24"/>
          <w:lang w:val="pl-PL"/>
        </w:rPr>
        <w:t>stosowaniu r</w:t>
      </w:r>
      <w:r w:rsidR="00C36F3D">
        <w:rPr>
          <w:rFonts w:ascii="Times New Roman" w:hAnsi="Times New Roman" w:cs="Times New Roman"/>
          <w:sz w:val="24"/>
          <w:szCs w:val="24"/>
          <w:lang w:val="pl-PL"/>
        </w:rPr>
        <w:t>ozporządzeni</w:t>
      </w:r>
      <w:r w:rsidR="00F71370">
        <w:rPr>
          <w:rFonts w:ascii="Times New Roman" w:hAnsi="Times New Roman" w:cs="Times New Roman"/>
          <w:sz w:val="24"/>
          <w:szCs w:val="24"/>
          <w:lang w:val="pl-PL"/>
        </w:rPr>
        <w:t>a CRR</w:t>
      </w:r>
      <w:r w:rsidR="00C36F3D">
        <w:rPr>
          <w:rFonts w:ascii="Times New Roman" w:hAnsi="Times New Roman" w:cs="Times New Roman"/>
          <w:sz w:val="24"/>
          <w:szCs w:val="24"/>
          <w:lang w:val="pl-PL"/>
        </w:rPr>
        <w:t>.</w:t>
      </w:r>
    </w:p>
    <w:p w14:paraId="3C26AB91" w14:textId="77777777" w:rsidR="00BD2CF2" w:rsidRDefault="00277408" w:rsidP="000D6351">
      <w:pPr>
        <w:jc w:val="both"/>
        <w:rPr>
          <w:rFonts w:ascii="Times New Roman" w:hAnsi="Times New Roman" w:cs="Times New Roman"/>
          <w:bCs/>
          <w:sz w:val="24"/>
          <w:szCs w:val="24"/>
          <w:lang w:val="pl-PL"/>
        </w:rPr>
      </w:pPr>
      <w:r w:rsidRPr="00277408">
        <w:rPr>
          <w:rFonts w:ascii="Times New Roman" w:hAnsi="Times New Roman" w:cs="Times New Roman"/>
          <w:bCs/>
          <w:sz w:val="24"/>
          <w:szCs w:val="24"/>
          <w:lang w:val="pl-PL"/>
        </w:rPr>
        <w:t xml:space="preserve">Projektowane rozporządzenie określa sposób funkcjonowania w bankach systemu zarządzania ryzykiem i systemu kontroli wewnętrznej, w tym trybu anonimowego zgłaszania wskazanemu członkowi zarządu lub rady nadzorczej naruszeń prawa oraz obowiązujących w banku procedur </w:t>
      </w:r>
      <w:r w:rsidRPr="00277408">
        <w:rPr>
          <w:rFonts w:ascii="Times New Roman" w:hAnsi="Times New Roman" w:cs="Times New Roman"/>
          <w:bCs/>
          <w:sz w:val="24"/>
          <w:szCs w:val="24"/>
          <w:lang w:val="pl-PL"/>
        </w:rPr>
        <w:lastRenderedPageBreak/>
        <w:t>i</w:t>
      </w:r>
      <w:r w:rsidR="008957A3">
        <w:rPr>
          <w:rFonts w:ascii="Times New Roman" w:hAnsi="Times New Roman" w:cs="Times New Roman"/>
          <w:bCs/>
          <w:sz w:val="24"/>
          <w:szCs w:val="24"/>
          <w:lang w:val="pl-PL"/>
        </w:rPr>
        <w:t> </w:t>
      </w:r>
      <w:r w:rsidRPr="00277408">
        <w:rPr>
          <w:rFonts w:ascii="Times New Roman" w:hAnsi="Times New Roman" w:cs="Times New Roman"/>
          <w:bCs/>
          <w:sz w:val="24"/>
          <w:szCs w:val="24"/>
          <w:lang w:val="pl-PL"/>
        </w:rPr>
        <w:t>standardów etycznych, a także szczegółowego zakresu polityki wynag</w:t>
      </w:r>
      <w:r w:rsidR="00BD2CF2">
        <w:rPr>
          <w:rFonts w:ascii="Times New Roman" w:hAnsi="Times New Roman" w:cs="Times New Roman"/>
          <w:bCs/>
          <w:sz w:val="24"/>
          <w:szCs w:val="24"/>
          <w:lang w:val="pl-PL"/>
        </w:rPr>
        <w:t>rodzeń i sposobu jej ustalania.</w:t>
      </w:r>
    </w:p>
    <w:p w14:paraId="219520A7" w14:textId="77777777" w:rsidR="007076B6" w:rsidRDefault="007C3747" w:rsidP="000D6351">
      <w:pPr>
        <w:jc w:val="both"/>
        <w:rPr>
          <w:rFonts w:ascii="Times New Roman" w:hAnsi="Times New Roman" w:cs="Times New Roman"/>
          <w:sz w:val="24"/>
          <w:szCs w:val="24"/>
          <w:lang w:val="pl-PL"/>
        </w:rPr>
      </w:pPr>
      <w:r w:rsidRPr="007C3747">
        <w:rPr>
          <w:rFonts w:ascii="Times New Roman" w:hAnsi="Times New Roman" w:cs="Times New Roman"/>
          <w:sz w:val="24"/>
          <w:szCs w:val="24"/>
          <w:lang w:val="pl-PL"/>
        </w:rPr>
        <w:t xml:space="preserve">Co do zasady projekt rozporządzenia powiela przepisy wprowadzone rozporządzeniem Ministra Rozwoju i Finansów z dnia 6 marca 2017 r. </w:t>
      </w:r>
      <w:r w:rsidRPr="007C3747">
        <w:rPr>
          <w:rFonts w:ascii="Times New Roman" w:hAnsi="Times New Roman" w:cs="Times New Roman"/>
          <w:i/>
          <w:sz w:val="24"/>
          <w:szCs w:val="24"/>
          <w:lang w:val="pl-PL"/>
        </w:rPr>
        <w:t>w sprawie systemu zarządzania ryzykiem i systemu kontroli wewnętrznej, polityki wynagrodzeń oraz szczegółowego sposobu szacowania kapitału wewnętrznego w bankach</w:t>
      </w:r>
      <w:r w:rsidR="00F71370">
        <w:rPr>
          <w:rFonts w:ascii="Times New Roman" w:hAnsi="Times New Roman" w:cs="Times New Roman"/>
          <w:sz w:val="24"/>
          <w:szCs w:val="24"/>
          <w:lang w:val="pl-PL"/>
        </w:rPr>
        <w:t xml:space="preserve"> (Dz. U. poz. 637), z wyłączeniem przepisów rozdziału 6 ww. rozporządzenia.</w:t>
      </w:r>
    </w:p>
    <w:p w14:paraId="15180DC9" w14:textId="334917E6" w:rsidR="007076B6" w:rsidRDefault="007076B6" w:rsidP="000D6351">
      <w:pPr>
        <w:jc w:val="both"/>
        <w:rPr>
          <w:rFonts w:ascii="Times New Roman" w:hAnsi="Times New Roman" w:cs="Times New Roman"/>
          <w:sz w:val="24"/>
          <w:szCs w:val="24"/>
          <w:lang w:val="pl-PL"/>
        </w:rPr>
      </w:pPr>
      <w:r>
        <w:rPr>
          <w:rFonts w:ascii="Times New Roman" w:hAnsi="Times New Roman" w:cs="Times New Roman"/>
          <w:sz w:val="24"/>
          <w:szCs w:val="24"/>
          <w:lang w:val="pl-PL"/>
        </w:rPr>
        <w:t>Projekt rozporządzenia reguluje kwestie dotyczące:</w:t>
      </w:r>
    </w:p>
    <w:p w14:paraId="2FC1F4D0" w14:textId="2155BBA2" w:rsidR="007076B6" w:rsidRPr="007076B6" w:rsidRDefault="007076B6" w:rsidP="007076B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kryteriów technicznych w zakresie </w:t>
      </w:r>
      <w:r w:rsidRPr="007076B6">
        <w:rPr>
          <w:rFonts w:ascii="Times New Roman" w:hAnsi="Times New Roman" w:cs="Times New Roman"/>
          <w:sz w:val="24"/>
          <w:szCs w:val="24"/>
          <w:lang w:val="pl-PL"/>
        </w:rPr>
        <w:t>organizacji i traktowania ryzyka; powyższe przepisy zostały określone w Rozdziale 2 projektowanego rozporządzenia – System zarządzania ryzykiem oraz w Rozdziale 6 – Zasady zarządzania ryzykiem płynności i finansowania; projektowane rozporządzenie doprecyzowuje w tym zakresie art. 9b i art. 9cb ustawy</w:t>
      </w:r>
      <w:r>
        <w:rPr>
          <w:rFonts w:ascii="Times New Roman" w:hAnsi="Times New Roman" w:cs="Times New Roman"/>
          <w:sz w:val="24"/>
          <w:szCs w:val="24"/>
          <w:lang w:val="pl-PL"/>
        </w:rPr>
        <w:t xml:space="preserve"> </w:t>
      </w:r>
      <w:r w:rsidRPr="007076B6">
        <w:rPr>
          <w:rFonts w:ascii="Times New Roman" w:hAnsi="Times New Roman" w:cs="Times New Roman"/>
          <w:sz w:val="24"/>
          <w:szCs w:val="24"/>
          <w:lang w:val="pl-PL"/>
        </w:rPr>
        <w:t xml:space="preserve">– Prawo bankowe; </w:t>
      </w:r>
    </w:p>
    <w:p w14:paraId="3ED99CE4" w14:textId="0D9B123B" w:rsidR="007076B6" w:rsidRPr="007076B6" w:rsidRDefault="007076B6" w:rsidP="007076B6">
      <w:pPr>
        <w:jc w:val="both"/>
        <w:rPr>
          <w:rFonts w:ascii="Times New Roman" w:hAnsi="Times New Roman" w:cs="Times New Roman"/>
          <w:sz w:val="24"/>
          <w:szCs w:val="24"/>
          <w:lang w:val="pl-PL"/>
        </w:rPr>
      </w:pPr>
      <w:r>
        <w:rPr>
          <w:rFonts w:ascii="Times New Roman" w:hAnsi="Times New Roman" w:cs="Times New Roman"/>
          <w:sz w:val="24"/>
          <w:szCs w:val="24"/>
          <w:lang w:val="pl-PL"/>
        </w:rPr>
        <w:t>2. polityki</w:t>
      </w:r>
      <w:r w:rsidRPr="007076B6">
        <w:rPr>
          <w:rFonts w:ascii="Times New Roman" w:hAnsi="Times New Roman" w:cs="Times New Roman"/>
          <w:sz w:val="24"/>
          <w:szCs w:val="24"/>
          <w:lang w:val="pl-PL"/>
        </w:rPr>
        <w:t xml:space="preserve"> wynagrodzeń; powyższe przepisy zostały określone w Rozdziale 3 projektowanego rozporządzenia – Polityka wynagrodzeń; projektowane rozporządzenie doprecyzowuje w tym zakresie art. 9ca ustawy</w:t>
      </w:r>
      <w:r>
        <w:rPr>
          <w:rFonts w:ascii="Times New Roman" w:hAnsi="Times New Roman" w:cs="Times New Roman"/>
          <w:sz w:val="24"/>
          <w:szCs w:val="24"/>
          <w:lang w:val="pl-PL"/>
        </w:rPr>
        <w:t xml:space="preserve"> </w:t>
      </w:r>
      <w:r w:rsidRPr="007076B6">
        <w:rPr>
          <w:rFonts w:ascii="Times New Roman" w:hAnsi="Times New Roman" w:cs="Times New Roman"/>
          <w:sz w:val="24"/>
          <w:szCs w:val="24"/>
          <w:lang w:val="pl-PL"/>
        </w:rPr>
        <w:t>– Prawo bankowe;</w:t>
      </w:r>
    </w:p>
    <w:p w14:paraId="3D649BB0" w14:textId="6C739832" w:rsidR="007076B6" w:rsidRPr="007076B6" w:rsidRDefault="007076B6" w:rsidP="007076B6">
      <w:pPr>
        <w:jc w:val="both"/>
        <w:rPr>
          <w:rFonts w:ascii="Times New Roman" w:hAnsi="Times New Roman" w:cs="Times New Roman"/>
          <w:sz w:val="24"/>
          <w:szCs w:val="24"/>
          <w:lang w:val="pl-PL"/>
        </w:rPr>
      </w:pPr>
      <w:r>
        <w:rPr>
          <w:rFonts w:ascii="Times New Roman" w:hAnsi="Times New Roman" w:cs="Times New Roman"/>
          <w:sz w:val="24"/>
          <w:szCs w:val="24"/>
          <w:lang w:val="pl-PL"/>
        </w:rPr>
        <w:t>3. kontroli wewnętrznej;</w:t>
      </w:r>
      <w:r w:rsidRPr="007076B6">
        <w:rPr>
          <w:rFonts w:ascii="Times New Roman" w:hAnsi="Times New Roman" w:cs="Times New Roman"/>
          <w:sz w:val="24"/>
          <w:szCs w:val="24"/>
          <w:lang w:val="pl-PL"/>
        </w:rPr>
        <w:t xml:space="preserve"> powyższe przepisy zostały określone w Rozdziale 4 projektowanego rozporządzenia – System kontroli wewnętrznej; projektowane rozporządzenie doprecyzowuje w tym zakresie art. 9c ustawy, przy czym, zgodnie z art. 10 ust. 2 ustawy </w:t>
      </w:r>
      <w:r w:rsidR="00142D82">
        <w:rPr>
          <w:rFonts w:ascii="Times New Roman" w:hAnsi="Times New Roman" w:cs="Times New Roman"/>
          <w:sz w:val="24"/>
          <w:szCs w:val="24"/>
          <w:lang w:val="pl-PL"/>
        </w:rPr>
        <w:t>- Prawo bankowe, w </w:t>
      </w:r>
      <w:r w:rsidRPr="007076B6">
        <w:rPr>
          <w:rFonts w:ascii="Times New Roman" w:hAnsi="Times New Roman" w:cs="Times New Roman"/>
          <w:sz w:val="24"/>
          <w:szCs w:val="24"/>
          <w:lang w:val="pl-PL"/>
        </w:rPr>
        <w:t>przypadku banków zrzeszających lub banków spółdzielczych będących uczestnikami systemu ochrony, o którym mowa w art. 22b ust. 1 ustawy z dnia 7 grudnia 2000 r. o funkcjonowaniu banków spółdzielczych, ich zrzeszaniu się i bankach zrzeszających (Dz. U. z 2021 r. poz. 102), kontrola wewnętrzna, o której mowa w art. 9c ust. 2 pkt 3 ustawy Prawo bankowe, wykonywana jest w tych bankach na zasadach określonych w umowie systemu ochrony;</w:t>
      </w:r>
    </w:p>
    <w:p w14:paraId="1FBC3CE1" w14:textId="66EAB6AC" w:rsidR="00A77465" w:rsidRPr="00A77465" w:rsidRDefault="007076B6" w:rsidP="00A77465">
      <w:pPr>
        <w:jc w:val="both"/>
        <w:rPr>
          <w:rFonts w:ascii="Times New Roman" w:hAnsi="Times New Roman" w:cs="Times New Roman"/>
          <w:sz w:val="24"/>
          <w:szCs w:val="24"/>
          <w:lang w:val="pl-PL"/>
        </w:rPr>
      </w:pPr>
      <w:r w:rsidRPr="007076B6">
        <w:rPr>
          <w:rFonts w:ascii="Times New Roman" w:hAnsi="Times New Roman" w:cs="Times New Roman"/>
          <w:sz w:val="24"/>
          <w:szCs w:val="24"/>
          <w:lang w:val="pl-PL"/>
        </w:rPr>
        <w:t>4. zgłaszania naruszeń; powyższe przepisy zostały określone w Rozdziale 5 projektowanego rozporządzenia – Procedury anonimowego zgłaszania narus</w:t>
      </w:r>
      <w:r w:rsidR="00142D82">
        <w:rPr>
          <w:rFonts w:ascii="Times New Roman" w:hAnsi="Times New Roman" w:cs="Times New Roman"/>
          <w:sz w:val="24"/>
          <w:szCs w:val="24"/>
          <w:lang w:val="pl-PL"/>
        </w:rPr>
        <w:t>zeń prawa oraz obowiązujących w </w:t>
      </w:r>
      <w:r w:rsidRPr="007076B6">
        <w:rPr>
          <w:rFonts w:ascii="Times New Roman" w:hAnsi="Times New Roman" w:cs="Times New Roman"/>
          <w:sz w:val="24"/>
          <w:szCs w:val="24"/>
          <w:lang w:val="pl-PL"/>
        </w:rPr>
        <w:t>banku procedur i standardów etycznych; projektowane rozporządzenie doprecyzowuje w tym zakresie art. 9 ust. 2a ustawy</w:t>
      </w:r>
      <w:r>
        <w:rPr>
          <w:rFonts w:ascii="Times New Roman" w:hAnsi="Times New Roman" w:cs="Times New Roman"/>
          <w:sz w:val="24"/>
          <w:szCs w:val="24"/>
          <w:lang w:val="pl-PL"/>
        </w:rPr>
        <w:t xml:space="preserve"> </w:t>
      </w:r>
      <w:r w:rsidRPr="007076B6">
        <w:rPr>
          <w:rFonts w:ascii="Times New Roman" w:hAnsi="Times New Roman" w:cs="Times New Roman"/>
          <w:sz w:val="24"/>
          <w:szCs w:val="24"/>
          <w:lang w:val="pl-PL"/>
        </w:rPr>
        <w:t>– Prawo bankowe.</w:t>
      </w:r>
      <w:r w:rsidR="005E4F70">
        <w:rPr>
          <w:rFonts w:ascii="Times New Roman" w:hAnsi="Times New Roman" w:cs="Times New Roman"/>
          <w:sz w:val="24"/>
          <w:szCs w:val="24"/>
          <w:lang w:val="pl-PL"/>
        </w:rPr>
        <w:t xml:space="preserve"> </w:t>
      </w:r>
      <w:r w:rsidR="00A77465" w:rsidRPr="00A77465">
        <w:rPr>
          <w:rFonts w:ascii="Times New Roman" w:hAnsi="Times New Roman" w:cs="Times New Roman"/>
          <w:sz w:val="24"/>
          <w:szCs w:val="24"/>
          <w:lang w:val="pl-PL"/>
        </w:rPr>
        <w:t>Projektowane ro</w:t>
      </w:r>
      <w:r w:rsidR="00142D82">
        <w:rPr>
          <w:rFonts w:ascii="Times New Roman" w:hAnsi="Times New Roman" w:cs="Times New Roman"/>
          <w:sz w:val="24"/>
          <w:szCs w:val="24"/>
          <w:lang w:val="pl-PL"/>
        </w:rPr>
        <w:t>zporządzenie, m.in. w oparciu o </w:t>
      </w:r>
      <w:r w:rsidR="00A77465" w:rsidRPr="00A77465">
        <w:rPr>
          <w:rFonts w:ascii="Times New Roman" w:hAnsi="Times New Roman" w:cs="Times New Roman"/>
          <w:sz w:val="24"/>
          <w:szCs w:val="24"/>
          <w:lang w:val="pl-PL"/>
        </w:rPr>
        <w:t xml:space="preserve">wytyczne wskazane przez Europejski Urząd Nadzoru Bankowego w </w:t>
      </w:r>
      <w:r w:rsidR="00A77465" w:rsidRPr="00A77465">
        <w:rPr>
          <w:rFonts w:ascii="Times New Roman" w:hAnsi="Times New Roman" w:cs="Times New Roman"/>
          <w:i/>
          <w:sz w:val="24"/>
          <w:szCs w:val="24"/>
          <w:lang w:val="pl-PL"/>
        </w:rPr>
        <w:t>Wytycznych w sprawie zarządzania wewnętrznego</w:t>
      </w:r>
      <w:r w:rsidR="00A77465" w:rsidRPr="00A77465">
        <w:rPr>
          <w:rFonts w:ascii="Times New Roman" w:hAnsi="Times New Roman" w:cs="Times New Roman"/>
          <w:sz w:val="24"/>
          <w:szCs w:val="24"/>
          <w:lang w:val="pl-PL"/>
        </w:rPr>
        <w:t xml:space="preserve"> (EBA/GL/2017/11) z 23 marca 20</w:t>
      </w:r>
      <w:r w:rsidR="00142D82">
        <w:rPr>
          <w:rFonts w:ascii="Times New Roman" w:hAnsi="Times New Roman" w:cs="Times New Roman"/>
          <w:sz w:val="24"/>
          <w:szCs w:val="24"/>
          <w:lang w:val="pl-PL"/>
        </w:rPr>
        <w:t>18 r.</w:t>
      </w:r>
      <w:r w:rsidR="00A77465" w:rsidRPr="00A77465">
        <w:rPr>
          <w:rFonts w:ascii="Times New Roman" w:hAnsi="Times New Roman" w:cs="Times New Roman"/>
          <w:sz w:val="24"/>
          <w:szCs w:val="24"/>
          <w:lang w:val="pl-PL"/>
        </w:rPr>
        <w:t xml:space="preserve"> oraz wytyczne Bazylejskiego Komitetu Nadzoru Bankowego wskazane w </w:t>
      </w:r>
      <w:proofErr w:type="spellStart"/>
      <w:r w:rsidR="00A77465" w:rsidRPr="00A77465">
        <w:rPr>
          <w:rFonts w:ascii="Times New Roman" w:hAnsi="Times New Roman" w:cs="Times New Roman"/>
          <w:i/>
          <w:sz w:val="24"/>
          <w:szCs w:val="24"/>
          <w:lang w:val="pl-PL"/>
        </w:rPr>
        <w:t>Corporate</w:t>
      </w:r>
      <w:proofErr w:type="spellEnd"/>
      <w:r w:rsidR="00A77465" w:rsidRPr="00A77465">
        <w:rPr>
          <w:rFonts w:ascii="Times New Roman" w:hAnsi="Times New Roman" w:cs="Times New Roman"/>
          <w:i/>
          <w:sz w:val="24"/>
          <w:szCs w:val="24"/>
          <w:lang w:val="pl-PL"/>
        </w:rPr>
        <w:t xml:space="preserve"> </w:t>
      </w:r>
      <w:proofErr w:type="spellStart"/>
      <w:r w:rsidR="00A77465" w:rsidRPr="00A77465">
        <w:rPr>
          <w:rFonts w:ascii="Times New Roman" w:hAnsi="Times New Roman" w:cs="Times New Roman"/>
          <w:i/>
          <w:sz w:val="24"/>
          <w:szCs w:val="24"/>
          <w:lang w:val="pl-PL"/>
        </w:rPr>
        <w:t>governance</w:t>
      </w:r>
      <w:proofErr w:type="spellEnd"/>
      <w:r w:rsidR="00A77465" w:rsidRPr="00A77465">
        <w:rPr>
          <w:rFonts w:ascii="Times New Roman" w:hAnsi="Times New Roman" w:cs="Times New Roman"/>
          <w:i/>
          <w:sz w:val="24"/>
          <w:szCs w:val="24"/>
          <w:lang w:val="pl-PL"/>
        </w:rPr>
        <w:t xml:space="preserve"> </w:t>
      </w:r>
      <w:proofErr w:type="spellStart"/>
      <w:r w:rsidR="00A77465" w:rsidRPr="00A77465">
        <w:rPr>
          <w:rFonts w:ascii="Times New Roman" w:hAnsi="Times New Roman" w:cs="Times New Roman"/>
          <w:i/>
          <w:sz w:val="24"/>
          <w:szCs w:val="24"/>
          <w:lang w:val="pl-PL"/>
        </w:rPr>
        <w:t>principles</w:t>
      </w:r>
      <w:proofErr w:type="spellEnd"/>
      <w:r w:rsidR="00A77465" w:rsidRPr="00A77465">
        <w:rPr>
          <w:rFonts w:ascii="Times New Roman" w:hAnsi="Times New Roman" w:cs="Times New Roman"/>
          <w:i/>
          <w:sz w:val="24"/>
          <w:szCs w:val="24"/>
          <w:lang w:val="pl-PL"/>
        </w:rPr>
        <w:t xml:space="preserve"> for </w:t>
      </w:r>
      <w:proofErr w:type="spellStart"/>
      <w:r w:rsidR="00A77465" w:rsidRPr="00A77465">
        <w:rPr>
          <w:rFonts w:ascii="Times New Roman" w:hAnsi="Times New Roman" w:cs="Times New Roman"/>
          <w:i/>
          <w:sz w:val="24"/>
          <w:szCs w:val="24"/>
          <w:lang w:val="pl-PL"/>
        </w:rPr>
        <w:t>banks</w:t>
      </w:r>
      <w:proofErr w:type="spellEnd"/>
      <w:r w:rsidR="00A77465" w:rsidRPr="00A77465">
        <w:rPr>
          <w:rFonts w:ascii="Times New Roman" w:hAnsi="Times New Roman" w:cs="Times New Roman"/>
          <w:sz w:val="24"/>
          <w:szCs w:val="24"/>
          <w:lang w:val="pl-PL"/>
        </w:rPr>
        <w:t xml:space="preserve"> z 2015 r., przewiduje tzw. model trzech poziomów (linii) obrony, na który składa się system zarządzania ryzykiem wraz z systemem kontroli wewnętrznej (2 systemy razem). </w:t>
      </w:r>
      <w:r w:rsidR="00A77465" w:rsidRPr="00A77465">
        <w:rPr>
          <w:rFonts w:ascii="Times New Roman" w:hAnsi="Times New Roman" w:cs="Times New Roman"/>
          <w:bCs/>
          <w:sz w:val="24"/>
          <w:szCs w:val="24"/>
          <w:lang w:val="pl-PL"/>
        </w:rPr>
        <w:t xml:space="preserve">Na pierwszy poziom składa się zarządzanie ryzykiem w działalności operacyjnej banku, a więc zarządzanie ryzykiem przez jednostki biznesowe w toku prowadzonych działań biznesowych i sprzedażowych. Na drugi poziom składa się, co najmniej, zarządzanie ryzykiem przez pracowników na specjalnie powoływanych do tego stanowiskach lub w komórkach organizacyjnych, niezależnie od zarządzania ryzykiem na pierwszym poziomie, co oznacza niezależne komórki i departamenty </w:t>
      </w:r>
      <w:r w:rsidR="00A77465" w:rsidRPr="00A77465">
        <w:rPr>
          <w:rFonts w:ascii="Times New Roman" w:hAnsi="Times New Roman" w:cs="Times New Roman"/>
          <w:bCs/>
          <w:sz w:val="24"/>
          <w:szCs w:val="24"/>
          <w:lang w:val="pl-PL"/>
        </w:rPr>
        <w:lastRenderedPageBreak/>
        <w:t>zarządzania ryzykiem (np. departament ryzyka kredytowego, departament ryzyka rynkowego i płynności) oraz działalność komórki do spraw zgodności. Na trzeci poziom składa się działalność komórki audytu wewnętrznego, który zgodnie z art. 9c ust. 2 pkt 3 ustawy – Prawo bankowe ma za zadanie badanie i ocenę, w sposób niezależny i obiektywny, adekwatności i skuteczności obu systemów, czyli systemu zarządzania ryzykiem i systemu kontroli wewnętrznej.</w:t>
      </w:r>
      <w:r w:rsidR="00A77465" w:rsidRPr="00A77465">
        <w:rPr>
          <w:rFonts w:ascii="Times New Roman" w:hAnsi="Times New Roman" w:cs="Times New Roman"/>
          <w:sz w:val="24"/>
          <w:szCs w:val="24"/>
          <w:lang w:val="pl-PL"/>
        </w:rPr>
        <w:t xml:space="preserve"> Przez wszystkie trzy poziomy przechodzi, przynależna systemowi kontroli wewnętrznej, funkcja kontroli w postaci mechanizmów kontrolnych oraz niezależnego monitorowania mechanizmów kontrolnych. Oznacza to, że zgodnie z projektem rozporządzenia, nie może być jednej osoby w banku całościowo odpowiedzialnej za funkcję kontroli, gdyż przestrzega</w:t>
      </w:r>
      <w:r w:rsidR="00BF6938">
        <w:rPr>
          <w:rFonts w:ascii="Times New Roman" w:hAnsi="Times New Roman" w:cs="Times New Roman"/>
          <w:sz w:val="24"/>
          <w:szCs w:val="24"/>
          <w:lang w:val="pl-PL"/>
        </w:rPr>
        <w:t>nie mechanizmów kontrolnych i </w:t>
      </w:r>
      <w:r w:rsidR="00A77465" w:rsidRPr="00A77465">
        <w:rPr>
          <w:rFonts w:ascii="Times New Roman" w:hAnsi="Times New Roman" w:cs="Times New Roman"/>
          <w:sz w:val="24"/>
          <w:szCs w:val="24"/>
          <w:lang w:val="pl-PL"/>
        </w:rPr>
        <w:t xml:space="preserve">niezależne monitorowanie przestrzegania mechanizmów jest zadaniem każdego z pracowników banku na każdym z poziomów, w związku z wykonywaniem przypisanych im obowiązków służbowych. Rozporządzenie </w:t>
      </w:r>
      <w:r w:rsidR="009924A2">
        <w:rPr>
          <w:rFonts w:ascii="Times New Roman" w:hAnsi="Times New Roman" w:cs="Times New Roman"/>
          <w:sz w:val="24"/>
          <w:szCs w:val="24"/>
          <w:lang w:val="pl-PL"/>
        </w:rPr>
        <w:t xml:space="preserve">przewiduje </w:t>
      </w:r>
      <w:r w:rsidR="00A77465" w:rsidRPr="00A77465">
        <w:rPr>
          <w:rFonts w:ascii="Times New Roman" w:hAnsi="Times New Roman" w:cs="Times New Roman"/>
          <w:sz w:val="24"/>
          <w:szCs w:val="24"/>
          <w:lang w:val="pl-PL"/>
        </w:rPr>
        <w:t xml:space="preserve">obowiązek zatwierdzenia przez radę nadzorczą powołania i odwołania kierujących komórka do spraw zgodności i komórką audytu wewnętrznego, oraz informowania o zmianach na tych stanowiskach Komisji Nadzoru Finansowego, co może stanowić sygnał ostrzegawczy dla Komisji odnośnie naruszenia w banku obowiązków prawnych realizowanych przez te komórki. </w:t>
      </w:r>
    </w:p>
    <w:p w14:paraId="13784E98" w14:textId="15ECB7CA" w:rsidR="00A77465" w:rsidRPr="00A77465" w:rsidRDefault="00A77465" w:rsidP="00A77465">
      <w:pPr>
        <w:jc w:val="both"/>
        <w:rPr>
          <w:rFonts w:ascii="Times New Roman" w:hAnsi="Times New Roman" w:cs="Times New Roman"/>
          <w:sz w:val="24"/>
          <w:szCs w:val="24"/>
          <w:lang w:val="pl-PL"/>
        </w:rPr>
      </w:pPr>
      <w:r w:rsidRPr="00A77465">
        <w:rPr>
          <w:rFonts w:ascii="Times New Roman" w:hAnsi="Times New Roman" w:cs="Times New Roman"/>
          <w:sz w:val="24"/>
          <w:szCs w:val="24"/>
          <w:lang w:val="pl-PL"/>
        </w:rPr>
        <w:t xml:space="preserve">W zakresie systemu kontroli wewnętrznej, w tym komórki do spraw zgodności i komórki audytu wewnętrznego, rozporządzenie określa także obowiązki banku, o którym mowa w art. 70 ust. 2 </w:t>
      </w:r>
      <w:r w:rsidRPr="00A77465">
        <w:rPr>
          <w:rFonts w:ascii="Times New Roman" w:hAnsi="Times New Roman" w:cs="Times New Roman"/>
          <w:iCs/>
          <w:sz w:val="24"/>
          <w:szCs w:val="24"/>
          <w:lang w:val="pl-PL"/>
        </w:rPr>
        <w:t>ustawy z dnia 29 lipca 2005 r. o obrocie instrumentami finansowymi</w:t>
      </w:r>
      <w:r w:rsidRPr="00A77465">
        <w:rPr>
          <w:rFonts w:ascii="Times New Roman" w:hAnsi="Times New Roman" w:cs="Times New Roman"/>
          <w:i/>
          <w:iCs/>
          <w:sz w:val="24"/>
          <w:szCs w:val="24"/>
          <w:lang w:val="pl-PL"/>
        </w:rPr>
        <w:t xml:space="preserve"> </w:t>
      </w:r>
      <w:r w:rsidRPr="00A77465">
        <w:rPr>
          <w:rFonts w:ascii="Times New Roman" w:hAnsi="Times New Roman" w:cs="Times New Roman"/>
          <w:sz w:val="24"/>
          <w:szCs w:val="24"/>
          <w:lang w:val="pl-PL"/>
        </w:rPr>
        <w:t>(Dz. U. z 2021 r. poz. …). Przepisy niniejszego rozporządzenia nie wyłączają jednak stosowania obowiązków wynikających z innych przepisów dotyczących warunków technicznych i organizacyjnych regulujących działalność banku prowadzącego działalność maklerską, o której mowa w art. 69 ust. 2 i 4 ustawy z dnia 29 lipca 2005 r. o obrocie instrumentami finansowymi oraz banku powierniczego, o którym mowa w art. 3 pkt 36 tej ustawy – w zakresie działalności związanej z prowadzeniem rachunków papierów wartościowych i rachunków zbiorczych. Oznacza to, iż w przypadku banku prowadzącego działalność maklerską oraz w przypadku banku powierniczego niniejsze rozporządzenie nie znosi, wynikających z ustawowego nakazu wydzielenia organizacyjnego, obowiązków posiadania systemów wewnętrznych i komórek organizacyjnych, w tym procedur anonimowego powiadamiania o naruszeniach, w sposób przewidziany odrębnymi przepisami prawa regulującymi działalność maklerską i działalność powiern</w:t>
      </w:r>
      <w:r w:rsidR="00BF6938">
        <w:rPr>
          <w:rFonts w:ascii="Times New Roman" w:hAnsi="Times New Roman" w:cs="Times New Roman"/>
          <w:sz w:val="24"/>
          <w:szCs w:val="24"/>
          <w:lang w:val="pl-PL"/>
        </w:rPr>
        <w:t>iczą, w szczególności zgodnie z </w:t>
      </w:r>
      <w:r w:rsidRPr="00A77465">
        <w:rPr>
          <w:rFonts w:ascii="Times New Roman" w:hAnsi="Times New Roman" w:cs="Times New Roman"/>
          <w:sz w:val="24"/>
          <w:szCs w:val="24"/>
          <w:lang w:val="pl-PL"/>
        </w:rPr>
        <w:t>rozporządzeniem wydanym na podstawie art. 94 ust. 1 pkt 5 ustawy z dnia 29 lipca 2005 r. o obrocie instrumentami finansowymi.</w:t>
      </w:r>
    </w:p>
    <w:p w14:paraId="389031CE" w14:textId="0FF4C8FF" w:rsidR="00A77465" w:rsidRDefault="00A77465" w:rsidP="000D6351">
      <w:pPr>
        <w:jc w:val="both"/>
        <w:rPr>
          <w:rFonts w:ascii="Times New Roman" w:hAnsi="Times New Roman" w:cs="Times New Roman"/>
          <w:sz w:val="24"/>
          <w:szCs w:val="24"/>
          <w:lang w:val="pl-PL"/>
        </w:rPr>
      </w:pPr>
      <w:r w:rsidRPr="00A77465">
        <w:rPr>
          <w:rFonts w:ascii="Times New Roman" w:hAnsi="Times New Roman" w:cs="Times New Roman"/>
          <w:sz w:val="24"/>
          <w:szCs w:val="24"/>
          <w:lang w:val="pl-PL"/>
        </w:rPr>
        <w:t xml:space="preserve">Biorąc pod uwagę całą procedurę określoną w przepisach § 25 ust. 2 pkt 4 – obowiązek zawarcia umowy, o której mowa w § 25 ust. 2 pkt 4 lit. b </w:t>
      </w:r>
      <w:proofErr w:type="spellStart"/>
      <w:r w:rsidRPr="00A77465">
        <w:rPr>
          <w:rFonts w:ascii="Times New Roman" w:hAnsi="Times New Roman" w:cs="Times New Roman"/>
          <w:sz w:val="24"/>
          <w:szCs w:val="24"/>
          <w:lang w:val="pl-PL"/>
        </w:rPr>
        <w:t>tiret</w:t>
      </w:r>
      <w:proofErr w:type="spellEnd"/>
      <w:r w:rsidRPr="00A77465">
        <w:rPr>
          <w:rFonts w:ascii="Times New Roman" w:hAnsi="Times New Roman" w:cs="Times New Roman"/>
          <w:sz w:val="24"/>
          <w:szCs w:val="24"/>
          <w:lang w:val="pl-PL"/>
        </w:rPr>
        <w:t xml:space="preserve"> piąte powstaje w momencie,  gdy dana osoba będąc akcjonariuszem/udziałowcem banku staje się osobą, o której mowa w § 24 rozporządzenia tzn. zostaje objęta polityką wynagrodzeń.</w:t>
      </w:r>
    </w:p>
    <w:p w14:paraId="728614AB" w14:textId="3CCF9CE7" w:rsidR="004D41AF" w:rsidRDefault="000D6351"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projekcie zostały wprowadzone zmiany, wynikające </w:t>
      </w:r>
      <w:r w:rsidR="009924A2">
        <w:rPr>
          <w:rFonts w:ascii="Times New Roman" w:hAnsi="Times New Roman" w:cs="Times New Roman"/>
          <w:sz w:val="24"/>
          <w:szCs w:val="24"/>
          <w:lang w:val="pl-PL"/>
        </w:rPr>
        <w:t xml:space="preserve">z </w:t>
      </w:r>
      <w:r w:rsidR="00F71370">
        <w:rPr>
          <w:rFonts w:ascii="Times New Roman" w:hAnsi="Times New Roman" w:cs="Times New Roman"/>
          <w:sz w:val="24"/>
          <w:szCs w:val="24"/>
          <w:lang w:val="pl-PL"/>
        </w:rPr>
        <w:t>wdrożenia d</w:t>
      </w:r>
      <w:r>
        <w:rPr>
          <w:rFonts w:ascii="Times New Roman" w:hAnsi="Times New Roman" w:cs="Times New Roman"/>
          <w:sz w:val="24"/>
          <w:szCs w:val="24"/>
          <w:lang w:val="pl-PL"/>
        </w:rPr>
        <w:t>yrektyw</w:t>
      </w:r>
      <w:r w:rsidR="00F71370">
        <w:rPr>
          <w:rFonts w:ascii="Times New Roman" w:hAnsi="Times New Roman" w:cs="Times New Roman"/>
          <w:sz w:val="24"/>
          <w:szCs w:val="24"/>
          <w:lang w:val="pl-PL"/>
        </w:rPr>
        <w:t>y</w:t>
      </w:r>
      <w:r w:rsidR="004D41AF">
        <w:rPr>
          <w:rFonts w:ascii="Times New Roman" w:hAnsi="Times New Roman" w:cs="Times New Roman"/>
          <w:sz w:val="24"/>
          <w:szCs w:val="24"/>
          <w:lang w:val="pl-PL"/>
        </w:rPr>
        <w:t xml:space="preserve"> CRD V</w:t>
      </w:r>
      <w:r w:rsidR="009924A2">
        <w:rPr>
          <w:rFonts w:ascii="Times New Roman" w:hAnsi="Times New Roman" w:cs="Times New Roman"/>
          <w:sz w:val="24"/>
          <w:szCs w:val="24"/>
          <w:lang w:val="pl-PL"/>
        </w:rPr>
        <w:t xml:space="preserve"> w zakresie</w:t>
      </w:r>
      <w:r w:rsidR="004D41AF">
        <w:rPr>
          <w:rFonts w:ascii="Times New Roman" w:hAnsi="Times New Roman" w:cs="Times New Roman"/>
          <w:sz w:val="24"/>
          <w:szCs w:val="24"/>
          <w:lang w:val="pl-PL"/>
        </w:rPr>
        <w:t xml:space="preserve"> </w:t>
      </w:r>
      <w:r>
        <w:rPr>
          <w:rFonts w:ascii="Times New Roman" w:hAnsi="Times New Roman" w:cs="Times New Roman"/>
          <w:sz w:val="24"/>
          <w:szCs w:val="24"/>
          <w:lang w:val="pl-PL"/>
        </w:rPr>
        <w:t>zasad</w:t>
      </w:r>
      <w:r w:rsidR="009F78BA">
        <w:rPr>
          <w:rFonts w:ascii="Times New Roman" w:hAnsi="Times New Roman" w:cs="Times New Roman"/>
          <w:sz w:val="24"/>
          <w:szCs w:val="24"/>
          <w:lang w:val="pl-PL"/>
        </w:rPr>
        <w:t xml:space="preserve"> </w:t>
      </w:r>
      <w:r w:rsidR="004D41AF">
        <w:rPr>
          <w:rFonts w:ascii="Times New Roman" w:hAnsi="Times New Roman" w:cs="Times New Roman"/>
          <w:sz w:val="24"/>
          <w:szCs w:val="24"/>
          <w:lang w:val="pl-PL"/>
        </w:rPr>
        <w:t xml:space="preserve">realizacji strategii zarządzania ryzykiem </w:t>
      </w:r>
      <w:r w:rsidR="009924A2">
        <w:rPr>
          <w:rFonts w:ascii="Times New Roman" w:hAnsi="Times New Roman" w:cs="Times New Roman"/>
          <w:sz w:val="24"/>
          <w:szCs w:val="24"/>
          <w:lang w:val="pl-PL"/>
        </w:rPr>
        <w:t>co do</w:t>
      </w:r>
      <w:r w:rsidR="005E4F70">
        <w:rPr>
          <w:rFonts w:ascii="Times New Roman" w:hAnsi="Times New Roman" w:cs="Times New Roman"/>
          <w:sz w:val="24"/>
          <w:szCs w:val="24"/>
          <w:lang w:val="pl-PL"/>
        </w:rPr>
        <w:t xml:space="preserve"> </w:t>
      </w:r>
      <w:r w:rsidR="004D41AF">
        <w:rPr>
          <w:rFonts w:ascii="Times New Roman" w:hAnsi="Times New Roman" w:cs="Times New Roman"/>
          <w:sz w:val="24"/>
          <w:szCs w:val="24"/>
          <w:lang w:val="pl-PL"/>
        </w:rPr>
        <w:t xml:space="preserve">wprowadzania i aktualizacji polityk i procedur zarządzania ryzykiem z uwzględnieniem ryzyka stopy procentowej oraz </w:t>
      </w:r>
      <w:r>
        <w:rPr>
          <w:rFonts w:ascii="Times New Roman" w:hAnsi="Times New Roman" w:cs="Times New Roman"/>
          <w:sz w:val="24"/>
          <w:szCs w:val="24"/>
          <w:lang w:val="pl-PL"/>
        </w:rPr>
        <w:t>zasad</w:t>
      </w:r>
      <w:r w:rsidR="009F78BA">
        <w:rPr>
          <w:rFonts w:ascii="Times New Roman" w:hAnsi="Times New Roman" w:cs="Times New Roman"/>
          <w:sz w:val="24"/>
          <w:szCs w:val="24"/>
          <w:lang w:val="pl-PL"/>
        </w:rPr>
        <w:t xml:space="preserve"> </w:t>
      </w:r>
      <w:r w:rsidR="004D41AF">
        <w:rPr>
          <w:rFonts w:ascii="Times New Roman" w:hAnsi="Times New Roman" w:cs="Times New Roman"/>
          <w:sz w:val="24"/>
          <w:szCs w:val="24"/>
          <w:lang w:val="pl-PL"/>
        </w:rPr>
        <w:t xml:space="preserve">polityki </w:t>
      </w:r>
      <w:r w:rsidR="004D41AF">
        <w:rPr>
          <w:rFonts w:ascii="Times New Roman" w:hAnsi="Times New Roman" w:cs="Times New Roman"/>
          <w:sz w:val="24"/>
          <w:szCs w:val="24"/>
          <w:lang w:val="pl-PL"/>
        </w:rPr>
        <w:lastRenderedPageBreak/>
        <w:t xml:space="preserve">wynagrodzeń w zakresie zmiennych składników wynagrodzenia i </w:t>
      </w:r>
      <w:r w:rsidR="009E00EF">
        <w:rPr>
          <w:rFonts w:ascii="Times New Roman" w:hAnsi="Times New Roman" w:cs="Times New Roman"/>
          <w:sz w:val="24"/>
          <w:szCs w:val="24"/>
          <w:lang w:val="pl-PL"/>
        </w:rPr>
        <w:t xml:space="preserve">neutralności </w:t>
      </w:r>
      <w:r w:rsidR="004D41AF">
        <w:rPr>
          <w:rFonts w:ascii="Times New Roman" w:hAnsi="Times New Roman" w:cs="Times New Roman"/>
          <w:sz w:val="24"/>
          <w:szCs w:val="24"/>
          <w:lang w:val="pl-PL"/>
        </w:rPr>
        <w:t xml:space="preserve">wynagrodzeń </w:t>
      </w:r>
      <w:r w:rsidR="009E00EF">
        <w:rPr>
          <w:rFonts w:ascii="Times New Roman" w:hAnsi="Times New Roman" w:cs="Times New Roman"/>
          <w:sz w:val="24"/>
          <w:szCs w:val="24"/>
          <w:lang w:val="pl-PL"/>
        </w:rPr>
        <w:t>pod względem płci</w:t>
      </w:r>
      <w:r w:rsidR="004D41AF">
        <w:rPr>
          <w:rFonts w:ascii="Times New Roman" w:hAnsi="Times New Roman" w:cs="Times New Roman"/>
          <w:sz w:val="24"/>
          <w:szCs w:val="24"/>
          <w:lang w:val="pl-PL"/>
        </w:rPr>
        <w:t xml:space="preserve">. </w:t>
      </w:r>
    </w:p>
    <w:p w14:paraId="1CD3D677" w14:textId="77777777" w:rsidR="00340F9F" w:rsidRDefault="00340F9F" w:rsidP="000D6351">
      <w:pPr>
        <w:spacing w:after="0"/>
        <w:jc w:val="both"/>
        <w:rPr>
          <w:rFonts w:ascii="Times New Roman" w:hAnsi="Times New Roman" w:cs="Times New Roman"/>
          <w:sz w:val="24"/>
          <w:szCs w:val="24"/>
          <w:lang w:val="pl-PL"/>
        </w:rPr>
      </w:pPr>
    </w:p>
    <w:p w14:paraId="05D74DE7" w14:textId="77777777" w:rsidR="00340F9F" w:rsidRPr="00340F9F" w:rsidRDefault="004D41AF"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Zgodnie z </w:t>
      </w:r>
      <w:r w:rsidR="00D4349E">
        <w:rPr>
          <w:rFonts w:ascii="Times New Roman" w:hAnsi="Times New Roman" w:cs="Times New Roman"/>
          <w:sz w:val="24"/>
          <w:szCs w:val="24"/>
          <w:lang w:val="pl-PL"/>
        </w:rPr>
        <w:t>§ 18 pkt 6</w:t>
      </w:r>
      <w:r w:rsidR="00E137DF">
        <w:rPr>
          <w:rFonts w:ascii="Times New Roman" w:hAnsi="Times New Roman" w:cs="Times New Roman"/>
          <w:sz w:val="24"/>
          <w:szCs w:val="24"/>
          <w:lang w:val="pl-PL"/>
        </w:rPr>
        <w:t xml:space="preserve"> projektowanego rozporządzenia,</w:t>
      </w:r>
      <w:r w:rsidR="009A2CDD">
        <w:rPr>
          <w:rFonts w:ascii="Times New Roman" w:hAnsi="Times New Roman" w:cs="Times New Roman"/>
          <w:sz w:val="24"/>
          <w:szCs w:val="24"/>
          <w:lang w:val="pl-PL"/>
        </w:rPr>
        <w:t xml:space="preserve"> r</w:t>
      </w:r>
      <w:r w:rsidR="00340F9F" w:rsidRPr="00340F9F">
        <w:rPr>
          <w:rFonts w:ascii="Times New Roman" w:hAnsi="Times New Roman" w:cs="Times New Roman"/>
          <w:sz w:val="24"/>
          <w:szCs w:val="24"/>
          <w:lang w:val="pl-PL"/>
        </w:rPr>
        <w:t>ealizując strategię zarządzania ryzykiem, bank wprowadza i aktualizuje polityki i procedury zarządzania ryzykiem, określające w</w:t>
      </w:r>
      <w:r w:rsidR="00E156E4">
        <w:rPr>
          <w:rFonts w:ascii="Times New Roman" w:hAnsi="Times New Roman" w:cs="Times New Roman"/>
          <w:sz w:val="24"/>
          <w:szCs w:val="24"/>
          <w:lang w:val="pl-PL"/>
        </w:rPr>
        <w:t> </w:t>
      </w:r>
      <w:r w:rsidR="00340F9F" w:rsidRPr="00340F9F">
        <w:rPr>
          <w:rFonts w:ascii="Times New Roman" w:hAnsi="Times New Roman" w:cs="Times New Roman"/>
          <w:sz w:val="24"/>
          <w:szCs w:val="24"/>
          <w:lang w:val="pl-PL"/>
        </w:rPr>
        <w:t>szczególności w zakresie ryzyka stopy procentowej:</w:t>
      </w:r>
    </w:p>
    <w:p w14:paraId="2FD45303" w14:textId="70F19814" w:rsidR="00340F9F" w:rsidRPr="00340F9F" w:rsidRDefault="00E74131" w:rsidP="000D6351">
      <w:pPr>
        <w:numPr>
          <w:ilvl w:val="0"/>
          <w:numId w:val="2"/>
        </w:numPr>
        <w:spacing w:after="0"/>
        <w:jc w:val="both"/>
        <w:rPr>
          <w:rFonts w:ascii="Times New Roman" w:hAnsi="Times New Roman" w:cs="Times New Roman"/>
          <w:sz w:val="24"/>
          <w:szCs w:val="24"/>
          <w:lang w:val="pl-PL"/>
        </w:rPr>
      </w:pPr>
      <w:r w:rsidRPr="00E74131">
        <w:rPr>
          <w:rFonts w:ascii="Times New Roman" w:hAnsi="Times New Roman" w:cs="Times New Roman"/>
          <w:bCs/>
          <w:sz w:val="24"/>
          <w:szCs w:val="24"/>
          <w:lang w:val="pl-PL"/>
        </w:rPr>
        <w:t xml:space="preserve">zasady zarządzania ryzykiem wynikające z wewnętrznych systemów oceny ryzyka stopy procentowej albo ze standardowej metodyki lub uproszczonej standardowej metodyki </w:t>
      </w:r>
      <w:r w:rsidR="002F29AF" w:rsidRPr="002F29AF">
        <w:rPr>
          <w:rFonts w:ascii="Times New Roman" w:hAnsi="Times New Roman" w:cs="Times New Roman"/>
          <w:bCs/>
          <w:sz w:val="24"/>
          <w:szCs w:val="24"/>
          <w:lang w:val="pl-PL"/>
        </w:rPr>
        <w:t>w</w:t>
      </w:r>
      <w:r w:rsidR="002108DA">
        <w:rPr>
          <w:rFonts w:ascii="Times New Roman" w:hAnsi="Times New Roman" w:cs="Times New Roman"/>
          <w:bCs/>
          <w:sz w:val="24"/>
          <w:szCs w:val="24"/>
          <w:lang w:val="pl-PL"/>
        </w:rPr>
        <w:t> </w:t>
      </w:r>
      <w:r w:rsidR="002F29AF" w:rsidRPr="002F29AF">
        <w:rPr>
          <w:rFonts w:ascii="Times New Roman" w:hAnsi="Times New Roman" w:cs="Times New Roman"/>
          <w:bCs/>
          <w:sz w:val="24"/>
          <w:szCs w:val="24"/>
          <w:lang w:val="pl-PL"/>
        </w:rPr>
        <w:t>celu identyfikacji i oceny ryzyka z tytułu potencjalnych zmian stóp procentowych, które wpływają zarówno na wartość ekonomiczną kapitału własnego, jak i na wynik odsetkowy netto z działalności w ramach portfela bankowego, a także do celów zarządzania takim ryzykiem i jego ograniczania</w:t>
      </w:r>
      <w:r w:rsidR="00B552F2">
        <w:rPr>
          <w:rFonts w:ascii="Times New Roman" w:hAnsi="Times New Roman" w:cs="Times New Roman"/>
          <w:sz w:val="24"/>
          <w:szCs w:val="24"/>
          <w:lang w:val="pl-PL"/>
        </w:rPr>
        <w:t>,</w:t>
      </w:r>
    </w:p>
    <w:p w14:paraId="7F81677D" w14:textId="77777777" w:rsidR="00340F9F" w:rsidRPr="00340F9F" w:rsidRDefault="00340F9F" w:rsidP="000D6351">
      <w:pPr>
        <w:numPr>
          <w:ilvl w:val="0"/>
          <w:numId w:val="2"/>
        </w:numPr>
        <w:spacing w:after="0"/>
        <w:jc w:val="both"/>
        <w:rPr>
          <w:rFonts w:ascii="Times New Roman" w:hAnsi="Times New Roman" w:cs="Times New Roman"/>
          <w:sz w:val="24"/>
          <w:szCs w:val="24"/>
          <w:lang w:val="pl-PL"/>
        </w:rPr>
      </w:pPr>
      <w:r w:rsidRPr="00340F9F">
        <w:rPr>
          <w:rFonts w:ascii="Times New Roman" w:hAnsi="Times New Roman" w:cs="Times New Roman"/>
          <w:sz w:val="24"/>
          <w:szCs w:val="24"/>
          <w:lang w:val="pl-PL"/>
        </w:rPr>
        <w:t xml:space="preserve">wewnętrzne systemy w celu oceny i monitorowania ryzyka z tytułu potencjalnych zmian </w:t>
      </w:r>
      <w:proofErr w:type="spellStart"/>
      <w:r w:rsidRPr="00340F9F">
        <w:rPr>
          <w:rFonts w:ascii="Times New Roman" w:hAnsi="Times New Roman" w:cs="Times New Roman"/>
          <w:sz w:val="24"/>
          <w:szCs w:val="24"/>
          <w:lang w:val="pl-PL"/>
        </w:rPr>
        <w:t>spreadów</w:t>
      </w:r>
      <w:proofErr w:type="spellEnd"/>
      <w:r w:rsidRPr="00340F9F">
        <w:rPr>
          <w:rFonts w:ascii="Times New Roman" w:hAnsi="Times New Roman" w:cs="Times New Roman"/>
          <w:sz w:val="24"/>
          <w:szCs w:val="24"/>
          <w:lang w:val="pl-PL"/>
        </w:rPr>
        <w:t xml:space="preserve"> kredytowych, które wpływają zarówno na wartość ekonomiczną kapitału własnego, jak i na wynik odsetkowy netto z działalności banku.</w:t>
      </w:r>
    </w:p>
    <w:p w14:paraId="226C189A" w14:textId="77777777" w:rsidR="00340F9F" w:rsidRDefault="00340F9F" w:rsidP="000D6351">
      <w:pPr>
        <w:spacing w:after="0"/>
        <w:jc w:val="both"/>
        <w:rPr>
          <w:rFonts w:ascii="Times New Roman" w:hAnsi="Times New Roman" w:cs="Times New Roman"/>
          <w:sz w:val="24"/>
          <w:szCs w:val="24"/>
          <w:lang w:val="pl-PL"/>
        </w:rPr>
      </w:pPr>
    </w:p>
    <w:p w14:paraId="27F89EE5" w14:textId="77777777" w:rsidR="00340F9F" w:rsidRPr="00340F9F" w:rsidRDefault="009F78BA"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Brzmienie powyższego przepisu </w:t>
      </w:r>
      <w:r w:rsidR="00340F9F" w:rsidRPr="00340F9F">
        <w:rPr>
          <w:rFonts w:ascii="Times New Roman" w:hAnsi="Times New Roman" w:cs="Times New Roman"/>
          <w:sz w:val="24"/>
          <w:szCs w:val="24"/>
          <w:lang w:val="pl-PL"/>
        </w:rPr>
        <w:t>w</w:t>
      </w:r>
      <w:r>
        <w:rPr>
          <w:rFonts w:ascii="Times New Roman" w:hAnsi="Times New Roman" w:cs="Times New Roman"/>
          <w:sz w:val="24"/>
          <w:szCs w:val="24"/>
          <w:lang w:val="pl-PL"/>
        </w:rPr>
        <w:t>ynika</w:t>
      </w:r>
      <w:r w:rsidR="00340F9F" w:rsidRPr="00340F9F">
        <w:rPr>
          <w:rFonts w:ascii="Times New Roman" w:hAnsi="Times New Roman" w:cs="Times New Roman"/>
          <w:sz w:val="24"/>
          <w:szCs w:val="24"/>
          <w:lang w:val="pl-PL"/>
        </w:rPr>
        <w:t xml:space="preserve"> z implementacji art.</w:t>
      </w:r>
      <w:r w:rsidR="008E2BBD">
        <w:rPr>
          <w:rFonts w:ascii="Times New Roman" w:hAnsi="Times New Roman" w:cs="Times New Roman"/>
          <w:sz w:val="24"/>
          <w:szCs w:val="24"/>
          <w:lang w:val="pl-PL"/>
        </w:rPr>
        <w:t xml:space="preserve"> 1 pkt 21 </w:t>
      </w:r>
      <w:r w:rsidR="00F71370">
        <w:rPr>
          <w:rFonts w:ascii="Times New Roman" w:hAnsi="Times New Roman" w:cs="Times New Roman"/>
          <w:sz w:val="24"/>
          <w:szCs w:val="24"/>
          <w:lang w:val="pl-PL"/>
        </w:rPr>
        <w:t>d</w:t>
      </w:r>
      <w:r w:rsidR="008E2BBD">
        <w:rPr>
          <w:rFonts w:ascii="Times New Roman" w:hAnsi="Times New Roman" w:cs="Times New Roman"/>
          <w:sz w:val="24"/>
          <w:szCs w:val="24"/>
          <w:lang w:val="pl-PL"/>
        </w:rPr>
        <w:t>yrektywy CRD V, zmieniającego art. 84</w:t>
      </w:r>
      <w:r w:rsidR="00CE69C3">
        <w:rPr>
          <w:rFonts w:ascii="Times New Roman" w:hAnsi="Times New Roman" w:cs="Times New Roman"/>
          <w:sz w:val="24"/>
          <w:szCs w:val="24"/>
          <w:lang w:val="pl-PL"/>
        </w:rPr>
        <w:t xml:space="preserve"> ust. 1 i 2</w:t>
      </w:r>
      <w:r w:rsidR="008E2BBD">
        <w:rPr>
          <w:rFonts w:ascii="Times New Roman" w:hAnsi="Times New Roman" w:cs="Times New Roman"/>
          <w:sz w:val="24"/>
          <w:szCs w:val="24"/>
          <w:lang w:val="pl-PL"/>
        </w:rPr>
        <w:t xml:space="preserve"> </w:t>
      </w:r>
      <w:r w:rsidR="00F71370">
        <w:rPr>
          <w:rFonts w:ascii="Times New Roman" w:hAnsi="Times New Roman" w:cs="Times New Roman"/>
          <w:sz w:val="24"/>
          <w:szCs w:val="24"/>
          <w:lang w:val="pl-PL"/>
        </w:rPr>
        <w:t>d</w:t>
      </w:r>
      <w:r w:rsidR="008E2BBD">
        <w:rPr>
          <w:rFonts w:ascii="Times New Roman" w:hAnsi="Times New Roman" w:cs="Times New Roman"/>
          <w:sz w:val="24"/>
          <w:szCs w:val="24"/>
          <w:lang w:val="pl-PL"/>
        </w:rPr>
        <w:t>yrektywy CRD IV.</w:t>
      </w:r>
      <w:r w:rsidR="00340F9F" w:rsidRPr="00340F9F">
        <w:rPr>
          <w:rFonts w:ascii="Times New Roman" w:hAnsi="Times New Roman" w:cs="Times New Roman"/>
          <w:sz w:val="24"/>
          <w:szCs w:val="24"/>
          <w:lang w:val="pl-PL"/>
        </w:rPr>
        <w:t xml:space="preserve"> </w:t>
      </w:r>
    </w:p>
    <w:p w14:paraId="07F46D98" w14:textId="77777777" w:rsidR="00340F9F" w:rsidRDefault="00340F9F" w:rsidP="000D6351">
      <w:pPr>
        <w:spacing w:after="0"/>
        <w:jc w:val="both"/>
        <w:rPr>
          <w:rFonts w:ascii="Times New Roman" w:hAnsi="Times New Roman" w:cs="Times New Roman"/>
          <w:sz w:val="24"/>
          <w:szCs w:val="24"/>
          <w:lang w:val="pl-PL"/>
        </w:rPr>
      </w:pPr>
    </w:p>
    <w:p w14:paraId="471D0EC0" w14:textId="6167A45D" w:rsidR="00340F9F" w:rsidRPr="00340F9F" w:rsidRDefault="00340F9F" w:rsidP="000D6351">
      <w:pPr>
        <w:spacing w:after="0"/>
        <w:jc w:val="both"/>
        <w:rPr>
          <w:rFonts w:ascii="Times New Roman" w:hAnsi="Times New Roman" w:cs="Times New Roman"/>
          <w:sz w:val="24"/>
          <w:szCs w:val="24"/>
          <w:lang w:val="pl-PL"/>
        </w:rPr>
      </w:pPr>
      <w:r w:rsidRPr="00340F9F">
        <w:rPr>
          <w:rFonts w:ascii="Times New Roman" w:hAnsi="Times New Roman" w:cs="Times New Roman"/>
          <w:sz w:val="24"/>
          <w:szCs w:val="24"/>
          <w:lang w:val="pl-PL"/>
        </w:rPr>
        <w:t>Zgodnie z § 25 ust. 2 pkt 7 lit. a oraz pkt 8</w:t>
      </w:r>
      <w:r w:rsidR="009F78BA">
        <w:rPr>
          <w:rFonts w:ascii="Times New Roman" w:hAnsi="Times New Roman" w:cs="Times New Roman"/>
          <w:sz w:val="24"/>
          <w:szCs w:val="24"/>
          <w:lang w:val="pl-PL"/>
        </w:rPr>
        <w:t xml:space="preserve"> projektowanego rozporządzenia, </w:t>
      </w:r>
      <w:r w:rsidRPr="00340F9F">
        <w:rPr>
          <w:rFonts w:ascii="Times New Roman" w:hAnsi="Times New Roman" w:cs="Times New Roman"/>
          <w:sz w:val="24"/>
          <w:szCs w:val="24"/>
          <w:lang w:val="pl-PL"/>
        </w:rPr>
        <w:t>polityka wynagrodzeń w zakresie zmiennych składników wynagrodzenia, z zastrzeżeniem § 29 ust. 3 rozporządzenia, uwzględnia określone zasady. W przypadku banków działających w formie spółki akcyjnej co najmniej 50% zmiennych składników wynagrodzenia mających stanowić zachętę do szczególnej dbałości o długoterminowe dobro banku stanowią m. in. akcje lub związane z nimi instrumenty finansowe albo odpowiadające im instrumenty niepieniężne (lit. a). Dodatkowo</w:t>
      </w:r>
      <w:r w:rsidR="00CA31BA">
        <w:rPr>
          <w:rFonts w:ascii="Times New Roman" w:hAnsi="Times New Roman" w:cs="Times New Roman"/>
          <w:sz w:val="24"/>
          <w:szCs w:val="24"/>
          <w:lang w:val="pl-PL"/>
        </w:rPr>
        <w:t xml:space="preserve"> zgodnie z § 25 ust.</w:t>
      </w:r>
      <w:r w:rsidR="00B552F2">
        <w:rPr>
          <w:rFonts w:ascii="Times New Roman" w:hAnsi="Times New Roman" w:cs="Times New Roman"/>
          <w:sz w:val="24"/>
          <w:szCs w:val="24"/>
          <w:lang w:val="pl-PL"/>
        </w:rPr>
        <w:t> </w:t>
      </w:r>
      <w:r w:rsidR="00CA31BA">
        <w:rPr>
          <w:rFonts w:ascii="Times New Roman" w:hAnsi="Times New Roman" w:cs="Times New Roman"/>
          <w:sz w:val="24"/>
          <w:szCs w:val="24"/>
          <w:lang w:val="pl-PL"/>
        </w:rPr>
        <w:t xml:space="preserve">2 </w:t>
      </w:r>
      <w:r w:rsidR="00CA31BA" w:rsidRPr="00CA31BA">
        <w:rPr>
          <w:rFonts w:ascii="Times New Roman" w:hAnsi="Times New Roman" w:cs="Times New Roman"/>
          <w:sz w:val="24"/>
          <w:szCs w:val="24"/>
          <w:lang w:val="pl-PL"/>
        </w:rPr>
        <w:t xml:space="preserve">pkt 8 </w:t>
      </w:r>
      <w:r w:rsidRPr="00340F9F">
        <w:rPr>
          <w:rFonts w:ascii="Times New Roman" w:hAnsi="Times New Roman" w:cs="Times New Roman"/>
          <w:sz w:val="24"/>
          <w:szCs w:val="24"/>
          <w:lang w:val="pl-PL"/>
        </w:rPr>
        <w:t>projektu rozporządzenia co najmniej 40% zmiennych składników wynagrodzenia wypłaca się po zakończeniu okresu oceny, za jaki to wynagrodzenie</w:t>
      </w:r>
      <w:r>
        <w:rPr>
          <w:rFonts w:ascii="Times New Roman" w:hAnsi="Times New Roman" w:cs="Times New Roman"/>
          <w:sz w:val="24"/>
          <w:szCs w:val="24"/>
          <w:lang w:val="pl-PL"/>
        </w:rPr>
        <w:t xml:space="preserve"> </w:t>
      </w:r>
      <w:r w:rsidRPr="00340F9F">
        <w:rPr>
          <w:rFonts w:ascii="Times New Roman" w:hAnsi="Times New Roman" w:cs="Times New Roman"/>
          <w:sz w:val="24"/>
          <w:szCs w:val="24"/>
          <w:lang w:val="pl-PL"/>
        </w:rPr>
        <w:t>przysługuje, przy czym wypłata następuje nie wcześniej niż w ciągu 4 do 5 lat, a w przypadku rady nadzorczej banku istotnego, z</w:t>
      </w:r>
      <w:r w:rsidR="00CA31BA">
        <w:rPr>
          <w:rFonts w:ascii="Times New Roman" w:hAnsi="Times New Roman" w:cs="Times New Roman"/>
          <w:sz w:val="24"/>
          <w:szCs w:val="24"/>
          <w:lang w:val="pl-PL"/>
        </w:rPr>
        <w:t> </w:t>
      </w:r>
      <w:r w:rsidRPr="00340F9F">
        <w:rPr>
          <w:rFonts w:ascii="Times New Roman" w:hAnsi="Times New Roman" w:cs="Times New Roman"/>
          <w:sz w:val="24"/>
          <w:szCs w:val="24"/>
          <w:lang w:val="pl-PL"/>
        </w:rPr>
        <w:t xml:space="preserve">zastrzeżeniem ust. 1 pkt 2, oraz kadry kierowniczej wyższego szczebla banku istotnego, </w:t>
      </w:r>
      <w:r w:rsidR="00133BA8">
        <w:rPr>
          <w:rFonts w:ascii="Times New Roman" w:hAnsi="Times New Roman" w:cs="Times New Roman"/>
          <w:sz w:val="24"/>
          <w:szCs w:val="24"/>
          <w:lang w:val="pl-PL"/>
        </w:rPr>
        <w:t>nie wcześniej</w:t>
      </w:r>
      <w:r w:rsidR="002F29AF">
        <w:rPr>
          <w:rFonts w:ascii="Times New Roman" w:hAnsi="Times New Roman" w:cs="Times New Roman"/>
          <w:sz w:val="24"/>
          <w:szCs w:val="24"/>
          <w:lang w:val="pl-PL"/>
        </w:rPr>
        <w:t xml:space="preserve"> niż w ciągu </w:t>
      </w:r>
      <w:r w:rsidRPr="00340F9F">
        <w:rPr>
          <w:rFonts w:ascii="Times New Roman" w:hAnsi="Times New Roman" w:cs="Times New Roman"/>
          <w:sz w:val="24"/>
          <w:szCs w:val="24"/>
          <w:lang w:val="pl-PL"/>
        </w:rPr>
        <w:t>5 lat, w równych rocznych ratach płatnych</w:t>
      </w:r>
      <w:r>
        <w:rPr>
          <w:rFonts w:ascii="Times New Roman" w:hAnsi="Times New Roman" w:cs="Times New Roman"/>
          <w:sz w:val="24"/>
          <w:szCs w:val="24"/>
          <w:lang w:val="pl-PL"/>
        </w:rPr>
        <w:t xml:space="preserve"> </w:t>
      </w:r>
      <w:r w:rsidRPr="00340F9F">
        <w:rPr>
          <w:rFonts w:ascii="Times New Roman" w:hAnsi="Times New Roman" w:cs="Times New Roman"/>
          <w:sz w:val="24"/>
          <w:szCs w:val="24"/>
          <w:lang w:val="pl-PL"/>
        </w:rPr>
        <w:t>z dołu; wynagrodzenie to jest uzależnione od efektów pracy danej osoby, w okresie oceny, o którym mowa w pkt 2, za jaki przysługuje wynagrodzenie, oraz uwzględnia ryzyko banku; w przypadku zmiennych składników wynagrodzenia opiewających na szczególnie dużą</w:t>
      </w:r>
      <w:r w:rsidR="00BF6938">
        <w:rPr>
          <w:rFonts w:ascii="Times New Roman" w:hAnsi="Times New Roman" w:cs="Times New Roman"/>
          <w:sz w:val="24"/>
          <w:szCs w:val="24"/>
          <w:lang w:val="pl-PL"/>
        </w:rPr>
        <w:t xml:space="preserve"> kwotę, określoną w </w:t>
      </w:r>
      <w:r w:rsidRPr="00340F9F">
        <w:rPr>
          <w:rFonts w:ascii="Times New Roman" w:hAnsi="Times New Roman" w:cs="Times New Roman"/>
          <w:sz w:val="24"/>
          <w:szCs w:val="24"/>
          <w:lang w:val="pl-PL"/>
        </w:rPr>
        <w:t>polityce wynagrodzeń, wypłacie w takich terminach podlega nie mniej niż 60% zmiennych składników wynagrodzenia; okres odroczenia wypłaty ustala się zgodnie z cyklem koniunkturalnym, charakterem działalności, ryzykiem z nią związanym oraz obowiązkami danej osoby; bank przewiduje w polityce wynagrodzeń, regulaminie pracy, regulaminie wynagradzania, umowie o pracę lub innej umowie stanowiącej podstawę sprawowania funkcji przez tę osobę, że wypłata zmiennych składników wynagrodzenia tej osobie może być ograniczana lub wstrzymywana w sytuacji, o której mowa w</w:t>
      </w:r>
      <w:r w:rsidR="001F543B">
        <w:rPr>
          <w:rFonts w:ascii="Times New Roman" w:hAnsi="Times New Roman" w:cs="Times New Roman"/>
          <w:sz w:val="24"/>
          <w:szCs w:val="24"/>
          <w:lang w:val="pl-PL"/>
        </w:rPr>
        <w:t> </w:t>
      </w:r>
      <w:r w:rsidRPr="00340F9F">
        <w:rPr>
          <w:rFonts w:ascii="Times New Roman" w:hAnsi="Times New Roman" w:cs="Times New Roman"/>
          <w:sz w:val="24"/>
          <w:szCs w:val="24"/>
          <w:lang w:val="pl-PL"/>
        </w:rPr>
        <w:t>art. 142 ust. 1 ustawy – Prawo bankowe</w:t>
      </w:r>
      <w:r w:rsidR="007076B6">
        <w:rPr>
          <w:rFonts w:ascii="Times New Roman" w:hAnsi="Times New Roman" w:cs="Times New Roman"/>
          <w:sz w:val="24"/>
          <w:szCs w:val="24"/>
          <w:lang w:val="pl-PL"/>
        </w:rPr>
        <w:t>.</w:t>
      </w:r>
    </w:p>
    <w:p w14:paraId="40CBADDF" w14:textId="77777777" w:rsidR="00340F9F" w:rsidRDefault="00340F9F" w:rsidP="000D6351">
      <w:pPr>
        <w:spacing w:after="0"/>
        <w:jc w:val="both"/>
        <w:rPr>
          <w:rFonts w:ascii="Times New Roman" w:hAnsi="Times New Roman" w:cs="Times New Roman"/>
          <w:sz w:val="24"/>
          <w:szCs w:val="24"/>
          <w:lang w:val="pl-PL"/>
        </w:rPr>
      </w:pPr>
    </w:p>
    <w:p w14:paraId="60DA20D9" w14:textId="0E2D6883" w:rsidR="00340F9F" w:rsidRDefault="009F78BA"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Brzmienie powyższego przepisu wynika</w:t>
      </w:r>
      <w:r w:rsidR="00340F9F" w:rsidRPr="00340F9F">
        <w:rPr>
          <w:rFonts w:ascii="Times New Roman" w:hAnsi="Times New Roman" w:cs="Times New Roman"/>
          <w:sz w:val="24"/>
          <w:szCs w:val="24"/>
          <w:lang w:val="pl-PL"/>
        </w:rPr>
        <w:t xml:space="preserve"> z implementacji </w:t>
      </w:r>
      <w:r w:rsidR="008E2BBD">
        <w:rPr>
          <w:rFonts w:ascii="Times New Roman" w:hAnsi="Times New Roman" w:cs="Times New Roman"/>
          <w:sz w:val="24"/>
          <w:szCs w:val="24"/>
          <w:lang w:val="pl-PL"/>
        </w:rPr>
        <w:t>art. 1 pkt 27</w:t>
      </w:r>
      <w:r w:rsidR="00112082">
        <w:rPr>
          <w:rFonts w:ascii="Times New Roman" w:hAnsi="Times New Roman" w:cs="Times New Roman"/>
          <w:sz w:val="24"/>
          <w:szCs w:val="24"/>
          <w:lang w:val="pl-PL"/>
        </w:rPr>
        <w:t xml:space="preserve"> ust. 1 (i) oraz (ii)</w:t>
      </w:r>
      <w:r w:rsidR="008E2BBD">
        <w:rPr>
          <w:rFonts w:ascii="Times New Roman" w:hAnsi="Times New Roman" w:cs="Times New Roman"/>
          <w:sz w:val="24"/>
          <w:szCs w:val="24"/>
          <w:lang w:val="pl-PL"/>
        </w:rPr>
        <w:t xml:space="preserve"> </w:t>
      </w:r>
      <w:r w:rsidR="00F71370">
        <w:rPr>
          <w:rFonts w:ascii="Times New Roman" w:hAnsi="Times New Roman" w:cs="Times New Roman"/>
          <w:sz w:val="24"/>
          <w:szCs w:val="24"/>
          <w:lang w:val="pl-PL"/>
        </w:rPr>
        <w:t>d</w:t>
      </w:r>
      <w:r w:rsidR="008E2BBD">
        <w:rPr>
          <w:rFonts w:ascii="Times New Roman" w:hAnsi="Times New Roman" w:cs="Times New Roman"/>
          <w:sz w:val="24"/>
          <w:szCs w:val="24"/>
          <w:lang w:val="pl-PL"/>
        </w:rPr>
        <w:t xml:space="preserve">yrektywy CRD V, zmieniającego art. 94 </w:t>
      </w:r>
      <w:r w:rsidR="00CE69C3">
        <w:rPr>
          <w:rFonts w:ascii="Times New Roman" w:hAnsi="Times New Roman" w:cs="Times New Roman"/>
          <w:sz w:val="24"/>
          <w:szCs w:val="24"/>
          <w:lang w:val="pl-PL"/>
        </w:rPr>
        <w:t xml:space="preserve">ust. 1 lit. l </w:t>
      </w:r>
      <w:proofErr w:type="spellStart"/>
      <w:r w:rsidR="00CE69C3">
        <w:rPr>
          <w:rFonts w:ascii="Times New Roman" w:hAnsi="Times New Roman" w:cs="Times New Roman"/>
          <w:sz w:val="24"/>
          <w:szCs w:val="24"/>
          <w:lang w:val="pl-PL"/>
        </w:rPr>
        <w:t>ppkt</w:t>
      </w:r>
      <w:proofErr w:type="spellEnd"/>
      <w:r w:rsidR="00CE69C3">
        <w:rPr>
          <w:rFonts w:ascii="Times New Roman" w:hAnsi="Times New Roman" w:cs="Times New Roman"/>
          <w:sz w:val="24"/>
          <w:szCs w:val="24"/>
          <w:lang w:val="pl-PL"/>
        </w:rPr>
        <w:t xml:space="preserve"> i oraz</w:t>
      </w:r>
      <w:r w:rsidR="00CE69C3" w:rsidRPr="00CE69C3">
        <w:rPr>
          <w:rFonts w:ascii="Times New Roman" w:eastAsia="Times New Roman" w:hAnsi="Times New Roman" w:cs="Times New Roman"/>
          <w:sz w:val="20"/>
          <w:szCs w:val="20"/>
          <w:lang w:val="pl-PL" w:eastAsia="pl-PL"/>
        </w:rPr>
        <w:t xml:space="preserve"> </w:t>
      </w:r>
      <w:r w:rsidR="00CE69C3" w:rsidRPr="00CE69C3">
        <w:rPr>
          <w:rFonts w:ascii="Times New Roman" w:hAnsi="Times New Roman" w:cs="Times New Roman"/>
          <w:sz w:val="24"/>
          <w:szCs w:val="24"/>
          <w:lang w:val="pl-PL"/>
        </w:rPr>
        <w:t xml:space="preserve">lit. m </w:t>
      </w:r>
      <w:r w:rsidR="00F71370">
        <w:rPr>
          <w:rFonts w:ascii="Times New Roman" w:hAnsi="Times New Roman" w:cs="Times New Roman"/>
          <w:sz w:val="24"/>
          <w:szCs w:val="24"/>
          <w:lang w:val="pl-PL"/>
        </w:rPr>
        <w:t>d</w:t>
      </w:r>
      <w:r w:rsidR="008E2BBD">
        <w:rPr>
          <w:rFonts w:ascii="Times New Roman" w:hAnsi="Times New Roman" w:cs="Times New Roman"/>
          <w:sz w:val="24"/>
          <w:szCs w:val="24"/>
          <w:lang w:val="pl-PL"/>
        </w:rPr>
        <w:t>yrektywy CRD IV.</w:t>
      </w:r>
    </w:p>
    <w:p w14:paraId="2B2B00B2" w14:textId="77777777" w:rsidR="003D250B" w:rsidRDefault="003D250B" w:rsidP="000D6351">
      <w:pPr>
        <w:spacing w:after="0"/>
        <w:jc w:val="both"/>
        <w:rPr>
          <w:rFonts w:ascii="Times New Roman" w:hAnsi="Times New Roman" w:cs="Times New Roman"/>
          <w:sz w:val="24"/>
          <w:szCs w:val="24"/>
          <w:lang w:val="pl-PL"/>
        </w:rPr>
      </w:pPr>
    </w:p>
    <w:p w14:paraId="2BC67AAA" w14:textId="58D929AE" w:rsidR="000C5627" w:rsidRDefault="00BF6938"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Przepis </w:t>
      </w:r>
      <w:r w:rsidR="003D250B" w:rsidRPr="003D250B">
        <w:rPr>
          <w:rFonts w:ascii="Times New Roman" w:hAnsi="Times New Roman" w:cs="Times New Roman"/>
          <w:sz w:val="24"/>
          <w:szCs w:val="24"/>
          <w:lang w:val="pl-PL"/>
        </w:rPr>
        <w:t>§ 25</w:t>
      </w:r>
      <w:r w:rsidR="003D250B">
        <w:rPr>
          <w:rFonts w:ascii="Times New Roman" w:hAnsi="Times New Roman" w:cs="Times New Roman"/>
          <w:sz w:val="24"/>
          <w:szCs w:val="24"/>
          <w:lang w:val="pl-PL"/>
        </w:rPr>
        <w:t xml:space="preserve"> pkt 3 stanowi, że polityka wynagrodzeń jest neutralna pod względem płci.</w:t>
      </w:r>
      <w:r w:rsidR="00F71370">
        <w:rPr>
          <w:rFonts w:ascii="Times New Roman" w:hAnsi="Times New Roman" w:cs="Times New Roman"/>
          <w:sz w:val="24"/>
          <w:szCs w:val="24"/>
          <w:lang w:val="pl-PL"/>
        </w:rPr>
        <w:t xml:space="preserve"> </w:t>
      </w:r>
      <w:r w:rsidR="003D250B" w:rsidRPr="003D250B">
        <w:rPr>
          <w:rFonts w:ascii="Times New Roman" w:hAnsi="Times New Roman" w:cs="Times New Roman"/>
          <w:sz w:val="24"/>
          <w:szCs w:val="24"/>
          <w:lang w:val="pl-PL"/>
        </w:rPr>
        <w:t>Brzmienie powyższego przepisu wynika z implementacji art. 1 pkt</w:t>
      </w:r>
      <w:r w:rsidR="003D250B">
        <w:rPr>
          <w:rFonts w:ascii="Times New Roman" w:hAnsi="Times New Roman" w:cs="Times New Roman"/>
          <w:sz w:val="24"/>
          <w:szCs w:val="24"/>
          <w:lang w:val="pl-PL"/>
        </w:rPr>
        <w:t xml:space="preserve"> 19 </w:t>
      </w:r>
      <w:r w:rsidR="00F71370">
        <w:rPr>
          <w:rFonts w:ascii="Times New Roman" w:hAnsi="Times New Roman" w:cs="Times New Roman"/>
          <w:sz w:val="24"/>
          <w:szCs w:val="24"/>
          <w:lang w:val="pl-PL"/>
        </w:rPr>
        <w:t>d</w:t>
      </w:r>
      <w:r w:rsidR="003D250B" w:rsidRPr="003D250B">
        <w:rPr>
          <w:rFonts w:ascii="Times New Roman" w:hAnsi="Times New Roman" w:cs="Times New Roman"/>
          <w:sz w:val="24"/>
          <w:szCs w:val="24"/>
          <w:lang w:val="pl-PL"/>
        </w:rPr>
        <w:t>yrektywy CRD V,</w:t>
      </w:r>
      <w:r w:rsidR="003D250B">
        <w:rPr>
          <w:rFonts w:ascii="Times New Roman" w:hAnsi="Times New Roman" w:cs="Times New Roman"/>
          <w:sz w:val="24"/>
          <w:szCs w:val="24"/>
          <w:lang w:val="pl-PL"/>
        </w:rPr>
        <w:t xml:space="preserve"> zmieniającego art. 75 </w:t>
      </w:r>
      <w:r w:rsidR="00CE69C3" w:rsidRPr="00CE69C3">
        <w:rPr>
          <w:rFonts w:ascii="Times New Roman" w:hAnsi="Times New Roman" w:cs="Times New Roman"/>
          <w:iCs/>
          <w:sz w:val="24"/>
          <w:szCs w:val="24"/>
          <w:lang w:val="pl-PL"/>
        </w:rPr>
        <w:t xml:space="preserve">ust. 1 akapit drugi </w:t>
      </w:r>
      <w:r w:rsidR="003D250B">
        <w:rPr>
          <w:rFonts w:ascii="Times New Roman" w:hAnsi="Times New Roman" w:cs="Times New Roman"/>
          <w:sz w:val="24"/>
          <w:szCs w:val="24"/>
          <w:lang w:val="pl-PL"/>
        </w:rPr>
        <w:t>dyrektywy CRD IV.</w:t>
      </w:r>
      <w:r w:rsidR="00F71370">
        <w:rPr>
          <w:rFonts w:ascii="Times New Roman" w:hAnsi="Times New Roman" w:cs="Times New Roman"/>
          <w:sz w:val="24"/>
          <w:szCs w:val="24"/>
          <w:lang w:val="pl-PL"/>
        </w:rPr>
        <w:t xml:space="preserve"> </w:t>
      </w:r>
      <w:r w:rsidR="000C2837">
        <w:rPr>
          <w:rFonts w:ascii="Times New Roman" w:hAnsi="Times New Roman" w:cs="Times New Roman"/>
          <w:sz w:val="24"/>
          <w:szCs w:val="24"/>
          <w:lang w:val="pl-PL"/>
        </w:rPr>
        <w:t xml:space="preserve">Zgodnie z </w:t>
      </w:r>
      <w:r w:rsidR="009F78BA">
        <w:rPr>
          <w:rFonts w:ascii="Times New Roman" w:hAnsi="Times New Roman" w:cs="Times New Roman"/>
          <w:sz w:val="24"/>
          <w:szCs w:val="24"/>
          <w:lang w:val="pl-PL"/>
        </w:rPr>
        <w:t xml:space="preserve">§ 25 </w:t>
      </w:r>
      <w:r w:rsidR="00340F9F" w:rsidRPr="00340F9F">
        <w:rPr>
          <w:rFonts w:ascii="Times New Roman" w:hAnsi="Times New Roman" w:cs="Times New Roman"/>
          <w:sz w:val="24"/>
          <w:szCs w:val="24"/>
          <w:lang w:val="pl-PL"/>
        </w:rPr>
        <w:t xml:space="preserve">ust. 2 </w:t>
      </w:r>
      <w:r w:rsidR="000C2837">
        <w:rPr>
          <w:rFonts w:ascii="Times New Roman" w:hAnsi="Times New Roman" w:cs="Times New Roman"/>
          <w:sz w:val="24"/>
          <w:szCs w:val="24"/>
          <w:lang w:val="pl-PL"/>
        </w:rPr>
        <w:t xml:space="preserve">pkt 11 projektowanego rozporządzenia, </w:t>
      </w:r>
      <w:r w:rsidR="00B85416" w:rsidRPr="00B85416">
        <w:rPr>
          <w:rFonts w:ascii="Times New Roman" w:hAnsi="Times New Roman" w:cs="Times New Roman"/>
          <w:bCs/>
          <w:sz w:val="24"/>
          <w:szCs w:val="24"/>
          <w:lang w:val="pl-PL"/>
        </w:rPr>
        <w:t>polityka wynagrodzeń i praktyki w</w:t>
      </w:r>
      <w:r w:rsidR="003D250B">
        <w:rPr>
          <w:rFonts w:ascii="Times New Roman" w:hAnsi="Times New Roman" w:cs="Times New Roman"/>
          <w:bCs/>
          <w:sz w:val="24"/>
          <w:szCs w:val="24"/>
          <w:lang w:val="pl-PL"/>
        </w:rPr>
        <w:t> </w:t>
      </w:r>
      <w:r w:rsidR="00B85416" w:rsidRPr="00B85416">
        <w:rPr>
          <w:rFonts w:ascii="Times New Roman" w:hAnsi="Times New Roman" w:cs="Times New Roman"/>
          <w:bCs/>
          <w:sz w:val="24"/>
          <w:szCs w:val="24"/>
          <w:lang w:val="pl-PL"/>
        </w:rPr>
        <w:t>tym zakresie są neutralne pod względem płci</w:t>
      </w:r>
      <w:r w:rsidR="00E74131">
        <w:rPr>
          <w:rFonts w:ascii="Times New Roman" w:hAnsi="Times New Roman" w:cs="Times New Roman"/>
          <w:bCs/>
          <w:sz w:val="24"/>
          <w:szCs w:val="24"/>
          <w:lang w:val="pl-PL"/>
        </w:rPr>
        <w:t>.</w:t>
      </w:r>
      <w:r w:rsidR="00F71370">
        <w:rPr>
          <w:rFonts w:ascii="Times New Roman" w:hAnsi="Times New Roman" w:cs="Times New Roman"/>
          <w:bCs/>
          <w:sz w:val="24"/>
          <w:szCs w:val="24"/>
          <w:lang w:val="pl-PL"/>
        </w:rPr>
        <w:t xml:space="preserve"> </w:t>
      </w:r>
      <w:r w:rsidR="009F78BA" w:rsidRPr="009F78BA">
        <w:rPr>
          <w:rFonts w:ascii="Times New Roman" w:hAnsi="Times New Roman" w:cs="Times New Roman"/>
          <w:sz w:val="24"/>
          <w:szCs w:val="24"/>
          <w:lang w:val="pl-PL"/>
        </w:rPr>
        <w:t xml:space="preserve">Brzmienie powyższego przepisu wynika </w:t>
      </w:r>
      <w:r w:rsidR="00340F9F" w:rsidRPr="00340F9F">
        <w:rPr>
          <w:rFonts w:ascii="Times New Roman" w:hAnsi="Times New Roman" w:cs="Times New Roman"/>
          <w:sz w:val="24"/>
          <w:szCs w:val="24"/>
          <w:lang w:val="pl-PL"/>
        </w:rPr>
        <w:t>z implementacji art. 1 pkt</w:t>
      </w:r>
      <w:r w:rsidR="00176AD4">
        <w:rPr>
          <w:rFonts w:ascii="Times New Roman" w:hAnsi="Times New Roman" w:cs="Times New Roman"/>
          <w:sz w:val="24"/>
          <w:szCs w:val="24"/>
          <w:lang w:val="pl-PL"/>
        </w:rPr>
        <w:t xml:space="preserve"> 26 lit. b (ii) </w:t>
      </w:r>
      <w:r w:rsidR="00F71370">
        <w:rPr>
          <w:rFonts w:ascii="Times New Roman" w:hAnsi="Times New Roman" w:cs="Times New Roman"/>
          <w:sz w:val="24"/>
          <w:szCs w:val="24"/>
          <w:lang w:val="pl-PL"/>
        </w:rPr>
        <w:t>d</w:t>
      </w:r>
      <w:r w:rsidR="00176AD4">
        <w:rPr>
          <w:rFonts w:ascii="Times New Roman" w:hAnsi="Times New Roman" w:cs="Times New Roman"/>
          <w:sz w:val="24"/>
          <w:szCs w:val="24"/>
          <w:lang w:val="pl-PL"/>
        </w:rPr>
        <w:t xml:space="preserve">yrektywy CRD V, wprowadzającego zmianę w </w:t>
      </w:r>
      <w:r w:rsidR="00F71370">
        <w:rPr>
          <w:rFonts w:ascii="Times New Roman" w:hAnsi="Times New Roman" w:cs="Times New Roman"/>
          <w:sz w:val="24"/>
          <w:szCs w:val="24"/>
          <w:lang w:val="pl-PL"/>
        </w:rPr>
        <w:t>d</w:t>
      </w:r>
      <w:r w:rsidR="00176AD4">
        <w:rPr>
          <w:rFonts w:ascii="Times New Roman" w:hAnsi="Times New Roman" w:cs="Times New Roman"/>
          <w:sz w:val="24"/>
          <w:szCs w:val="24"/>
          <w:lang w:val="pl-PL"/>
        </w:rPr>
        <w:t xml:space="preserve">yrektywie CRD IV poprzez dodanie </w:t>
      </w:r>
      <w:r w:rsidR="00176AD4" w:rsidRPr="00176AD4">
        <w:rPr>
          <w:rFonts w:ascii="Times New Roman" w:hAnsi="Times New Roman" w:cs="Times New Roman"/>
          <w:sz w:val="24"/>
          <w:szCs w:val="24"/>
          <w:lang w:val="pl-PL"/>
        </w:rPr>
        <w:t>pkt aa</w:t>
      </w:r>
      <w:r w:rsidR="00730600">
        <w:rPr>
          <w:rFonts w:ascii="Times New Roman" w:hAnsi="Times New Roman" w:cs="Times New Roman"/>
          <w:sz w:val="24"/>
          <w:szCs w:val="24"/>
          <w:lang w:val="pl-PL"/>
        </w:rPr>
        <w:t xml:space="preserve"> </w:t>
      </w:r>
      <w:r w:rsidR="00730600" w:rsidRPr="00730600">
        <w:rPr>
          <w:rFonts w:ascii="Times New Roman" w:hAnsi="Times New Roman" w:cs="Times New Roman"/>
          <w:sz w:val="24"/>
          <w:szCs w:val="24"/>
          <w:lang w:val="pl-PL"/>
        </w:rPr>
        <w:t>do art. 92 ust. 2</w:t>
      </w:r>
      <w:r w:rsidR="00730600">
        <w:rPr>
          <w:rFonts w:ascii="Times New Roman" w:hAnsi="Times New Roman" w:cs="Times New Roman"/>
          <w:sz w:val="24"/>
          <w:szCs w:val="24"/>
          <w:lang w:val="pl-PL"/>
        </w:rPr>
        <w:t>.</w:t>
      </w:r>
      <w:r w:rsidR="00F71370">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Przepis </w:t>
      </w:r>
      <w:r w:rsidR="003D250B" w:rsidRPr="003D250B">
        <w:rPr>
          <w:rFonts w:ascii="Times New Roman" w:hAnsi="Times New Roman" w:cs="Times New Roman"/>
          <w:sz w:val="24"/>
          <w:szCs w:val="24"/>
          <w:lang w:val="pl-PL"/>
        </w:rPr>
        <w:t>§ 25 pkt 3</w:t>
      </w:r>
      <w:r w:rsidR="003D250B">
        <w:rPr>
          <w:rFonts w:ascii="Times New Roman" w:hAnsi="Times New Roman" w:cs="Times New Roman"/>
          <w:sz w:val="24"/>
          <w:szCs w:val="24"/>
          <w:lang w:val="pl-PL"/>
        </w:rPr>
        <w:t xml:space="preserve"> stanowi ogólną zasadę neutralności polityki wynagrodzeń i dotyczy wszystkich pracowników banku. Natomiast </w:t>
      </w:r>
      <w:r w:rsidR="003D250B" w:rsidRPr="003D250B">
        <w:rPr>
          <w:rFonts w:ascii="Times New Roman" w:hAnsi="Times New Roman" w:cs="Times New Roman"/>
          <w:sz w:val="24"/>
          <w:szCs w:val="24"/>
          <w:lang w:val="pl-PL"/>
        </w:rPr>
        <w:t>§ 25 ust. 2 pkt 11</w:t>
      </w:r>
      <w:r w:rsidR="003D250B">
        <w:rPr>
          <w:rFonts w:ascii="Times New Roman" w:hAnsi="Times New Roman" w:cs="Times New Roman"/>
          <w:sz w:val="24"/>
          <w:szCs w:val="24"/>
          <w:lang w:val="pl-PL"/>
        </w:rPr>
        <w:t xml:space="preserve"> odnosi się do członków kadry zarządzającej banku oraz do osób, których </w:t>
      </w:r>
      <w:r w:rsidR="003D250B" w:rsidRPr="003D250B">
        <w:rPr>
          <w:rFonts w:ascii="Times New Roman" w:hAnsi="Times New Roman" w:cs="Times New Roman"/>
          <w:sz w:val="24"/>
          <w:szCs w:val="24"/>
          <w:lang w:val="pl-PL"/>
        </w:rPr>
        <w:t>działalność zawodowa ma istotny wpływ na profil ryzyka banku</w:t>
      </w:r>
      <w:r w:rsidR="003D250B">
        <w:rPr>
          <w:rFonts w:ascii="Times New Roman" w:hAnsi="Times New Roman" w:cs="Times New Roman"/>
          <w:sz w:val="24"/>
          <w:szCs w:val="24"/>
          <w:lang w:val="pl-PL"/>
        </w:rPr>
        <w:t>.</w:t>
      </w:r>
      <w:r w:rsidR="00F71370">
        <w:rPr>
          <w:rFonts w:ascii="Times New Roman" w:hAnsi="Times New Roman" w:cs="Times New Roman"/>
          <w:sz w:val="24"/>
          <w:szCs w:val="24"/>
          <w:lang w:val="pl-PL"/>
        </w:rPr>
        <w:t xml:space="preserve"> Należy podkreślić, że </w:t>
      </w:r>
      <w:r w:rsidR="00E819F5">
        <w:rPr>
          <w:rFonts w:ascii="Times New Roman" w:hAnsi="Times New Roman" w:cs="Times New Roman"/>
          <w:sz w:val="24"/>
          <w:szCs w:val="24"/>
          <w:lang w:val="pl-PL"/>
        </w:rPr>
        <w:t xml:space="preserve">Europejski Urząd Nadzoru Bankowego (EBA) wyda wytyczne dotyczące </w:t>
      </w:r>
      <w:r w:rsidR="000C5627">
        <w:rPr>
          <w:rFonts w:ascii="Times New Roman" w:hAnsi="Times New Roman" w:cs="Times New Roman"/>
          <w:sz w:val="24"/>
          <w:szCs w:val="24"/>
          <w:lang w:val="pl-PL"/>
        </w:rPr>
        <w:t xml:space="preserve">stosowania zasady </w:t>
      </w:r>
      <w:r w:rsidR="004E5172">
        <w:rPr>
          <w:rFonts w:ascii="Times New Roman" w:hAnsi="Times New Roman" w:cs="Times New Roman"/>
          <w:sz w:val="24"/>
          <w:szCs w:val="24"/>
          <w:lang w:val="pl-PL"/>
        </w:rPr>
        <w:t>neutralności wewnętrznych polityk banku</w:t>
      </w:r>
      <w:r>
        <w:rPr>
          <w:rFonts w:ascii="Times New Roman" w:hAnsi="Times New Roman" w:cs="Times New Roman"/>
          <w:sz w:val="24"/>
          <w:szCs w:val="24"/>
          <w:lang w:val="pl-PL"/>
        </w:rPr>
        <w:t>, w tym polityki wynagrodzeń i </w:t>
      </w:r>
      <w:r w:rsidR="000C5627">
        <w:rPr>
          <w:rFonts w:ascii="Times New Roman" w:hAnsi="Times New Roman" w:cs="Times New Roman"/>
          <w:sz w:val="24"/>
          <w:szCs w:val="24"/>
          <w:lang w:val="pl-PL"/>
        </w:rPr>
        <w:t>praktyk w tym zakresie.</w:t>
      </w:r>
    </w:p>
    <w:p w14:paraId="785CA8F7" w14:textId="77777777" w:rsidR="000C5627" w:rsidRDefault="000C5627" w:rsidP="000D6351">
      <w:pPr>
        <w:spacing w:after="0"/>
        <w:jc w:val="both"/>
        <w:rPr>
          <w:rFonts w:ascii="Times New Roman" w:hAnsi="Times New Roman" w:cs="Times New Roman"/>
          <w:sz w:val="24"/>
          <w:szCs w:val="24"/>
          <w:lang w:val="pl-PL"/>
        </w:rPr>
      </w:pPr>
    </w:p>
    <w:p w14:paraId="15CB0A70" w14:textId="1E20CD8F" w:rsidR="005742F4" w:rsidRDefault="002108DA" w:rsidP="000D6351">
      <w:pPr>
        <w:spacing w:after="0"/>
        <w:jc w:val="both"/>
        <w:rPr>
          <w:rFonts w:ascii="Times New Roman" w:hAnsi="Times New Roman" w:cs="Times New Roman"/>
          <w:bCs/>
          <w:sz w:val="24"/>
          <w:szCs w:val="24"/>
          <w:lang w:val="pl-PL"/>
        </w:rPr>
      </w:pPr>
      <w:r>
        <w:rPr>
          <w:rFonts w:ascii="Times New Roman" w:hAnsi="Times New Roman" w:cs="Times New Roman"/>
          <w:sz w:val="24"/>
          <w:szCs w:val="24"/>
          <w:lang w:val="pl-PL"/>
        </w:rPr>
        <w:t xml:space="preserve">Według </w:t>
      </w:r>
      <w:r w:rsidR="000C2837">
        <w:rPr>
          <w:rFonts w:ascii="Times New Roman" w:hAnsi="Times New Roman" w:cs="Times New Roman"/>
          <w:sz w:val="24"/>
          <w:szCs w:val="24"/>
          <w:lang w:val="pl-PL"/>
        </w:rPr>
        <w:t xml:space="preserve">§ 26 </w:t>
      </w:r>
      <w:r w:rsidR="000C2837" w:rsidRPr="000C2837">
        <w:rPr>
          <w:rFonts w:ascii="Times New Roman" w:hAnsi="Times New Roman" w:cs="Times New Roman"/>
          <w:sz w:val="24"/>
          <w:szCs w:val="24"/>
          <w:lang w:val="pl-PL"/>
        </w:rPr>
        <w:t>projektowanego rozporządzenia</w:t>
      </w:r>
      <w:r>
        <w:rPr>
          <w:rFonts w:ascii="Times New Roman" w:hAnsi="Times New Roman" w:cs="Times New Roman"/>
          <w:sz w:val="24"/>
          <w:szCs w:val="24"/>
          <w:lang w:val="pl-PL"/>
        </w:rPr>
        <w:t xml:space="preserve">, </w:t>
      </w:r>
      <w:r w:rsidR="003B3B7A">
        <w:rPr>
          <w:rFonts w:ascii="Times New Roman" w:hAnsi="Times New Roman" w:cs="Times New Roman"/>
          <w:bCs/>
          <w:sz w:val="24"/>
          <w:szCs w:val="24"/>
          <w:lang w:val="pl-PL"/>
        </w:rPr>
        <w:t>d</w:t>
      </w:r>
      <w:r w:rsidR="003B3B7A" w:rsidRPr="003B3B7A">
        <w:rPr>
          <w:rFonts w:ascii="Times New Roman" w:hAnsi="Times New Roman" w:cs="Times New Roman"/>
          <w:bCs/>
          <w:sz w:val="24"/>
          <w:szCs w:val="24"/>
          <w:lang w:val="pl-PL"/>
        </w:rPr>
        <w:t>o polityki wynagrodzeń w zakresie zmiennych składników wynagrodzenia, o której mowa w § 25 ust. 2 nie stosuje się zasad wskazanych w § 25 ust. 2 pkt 7, 8 oraz 12</w:t>
      </w:r>
      <w:r w:rsidR="00BF6938">
        <w:rPr>
          <w:rFonts w:ascii="Times New Roman" w:hAnsi="Times New Roman" w:cs="Times New Roman"/>
          <w:bCs/>
          <w:sz w:val="24"/>
          <w:szCs w:val="24"/>
          <w:lang w:val="pl-PL"/>
        </w:rPr>
        <w:t>,</w:t>
      </w:r>
      <w:r w:rsidR="003B3B7A" w:rsidRPr="003B3B7A">
        <w:rPr>
          <w:rFonts w:ascii="Times New Roman" w:hAnsi="Times New Roman" w:cs="Times New Roman"/>
          <w:bCs/>
          <w:sz w:val="24"/>
          <w:szCs w:val="24"/>
          <w:lang w:val="pl-PL"/>
        </w:rPr>
        <w:t xml:space="preserve"> w przypadku gdy bank stosuje politykę wynagrodzeń w</w:t>
      </w:r>
      <w:r w:rsidR="003D250B">
        <w:rPr>
          <w:rFonts w:ascii="Times New Roman" w:hAnsi="Times New Roman" w:cs="Times New Roman"/>
          <w:bCs/>
          <w:sz w:val="24"/>
          <w:szCs w:val="24"/>
          <w:lang w:val="pl-PL"/>
        </w:rPr>
        <w:t> </w:t>
      </w:r>
      <w:r w:rsidR="003B3B7A" w:rsidRPr="003B3B7A">
        <w:rPr>
          <w:rFonts w:ascii="Times New Roman" w:hAnsi="Times New Roman" w:cs="Times New Roman"/>
          <w:bCs/>
          <w:sz w:val="24"/>
          <w:szCs w:val="24"/>
          <w:lang w:val="pl-PL"/>
        </w:rPr>
        <w:t>ograniczonym zakresie</w:t>
      </w:r>
      <w:r w:rsidR="003B3B7A">
        <w:rPr>
          <w:rFonts w:ascii="Times New Roman" w:hAnsi="Times New Roman" w:cs="Times New Roman"/>
          <w:bCs/>
          <w:sz w:val="24"/>
          <w:szCs w:val="24"/>
          <w:lang w:val="pl-PL"/>
        </w:rPr>
        <w:t>.</w:t>
      </w:r>
      <w:r w:rsidR="00F71370">
        <w:rPr>
          <w:rFonts w:ascii="Times New Roman" w:hAnsi="Times New Roman" w:cs="Times New Roman"/>
          <w:bCs/>
          <w:sz w:val="24"/>
          <w:szCs w:val="24"/>
          <w:lang w:val="pl-PL"/>
        </w:rPr>
        <w:t xml:space="preserve"> </w:t>
      </w:r>
      <w:r w:rsidR="005742F4" w:rsidRPr="005742F4">
        <w:rPr>
          <w:rFonts w:ascii="Times New Roman" w:hAnsi="Times New Roman" w:cs="Times New Roman"/>
          <w:bCs/>
          <w:sz w:val="24"/>
          <w:szCs w:val="24"/>
          <w:lang w:val="pl-PL"/>
        </w:rPr>
        <w:t>Brzmien</w:t>
      </w:r>
      <w:r w:rsidR="00F71370">
        <w:rPr>
          <w:rFonts w:ascii="Times New Roman" w:hAnsi="Times New Roman" w:cs="Times New Roman"/>
          <w:bCs/>
          <w:sz w:val="24"/>
          <w:szCs w:val="24"/>
          <w:lang w:val="pl-PL"/>
        </w:rPr>
        <w:t xml:space="preserve">ie powyższego przepisu wynika ze zmian wprowadzonych ustawą z dnia 25 lutego 2021 r. o zmianie ustawy </w:t>
      </w:r>
      <w:r w:rsidR="00B552F2">
        <w:rPr>
          <w:rFonts w:ascii="Times New Roman" w:hAnsi="Times New Roman" w:cs="Times New Roman"/>
          <w:bCs/>
          <w:sz w:val="24"/>
          <w:szCs w:val="24"/>
          <w:lang w:val="pl-PL"/>
        </w:rPr>
        <w:t xml:space="preserve">- </w:t>
      </w:r>
      <w:r w:rsidR="00F71370">
        <w:rPr>
          <w:rFonts w:ascii="Times New Roman" w:hAnsi="Times New Roman" w:cs="Times New Roman"/>
          <w:bCs/>
          <w:sz w:val="24"/>
          <w:szCs w:val="24"/>
          <w:lang w:val="pl-PL"/>
        </w:rPr>
        <w:t>Prawo bankowe oraz niektórych innych ustaw.</w:t>
      </w:r>
    </w:p>
    <w:p w14:paraId="295C2429" w14:textId="77777777" w:rsidR="005742F4" w:rsidRPr="005742F4" w:rsidRDefault="005742F4" w:rsidP="000D6351">
      <w:pPr>
        <w:spacing w:after="0"/>
        <w:jc w:val="both"/>
        <w:rPr>
          <w:rFonts w:ascii="Times New Roman" w:hAnsi="Times New Roman" w:cs="Times New Roman"/>
          <w:bCs/>
          <w:sz w:val="24"/>
          <w:szCs w:val="24"/>
          <w:lang w:val="pl-PL"/>
        </w:rPr>
      </w:pPr>
    </w:p>
    <w:p w14:paraId="4EE3F895" w14:textId="6424B28B" w:rsidR="00B457EE" w:rsidRDefault="006E3BF5"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w:t>
      </w:r>
      <w:r w:rsidR="00340F9F" w:rsidRPr="00340F9F">
        <w:rPr>
          <w:rFonts w:ascii="Times New Roman" w:hAnsi="Times New Roman" w:cs="Times New Roman"/>
          <w:sz w:val="24"/>
          <w:szCs w:val="24"/>
          <w:lang w:val="pl-PL"/>
        </w:rPr>
        <w:t>§ 45 w ust. 4 pkt 3 otrzymuje brzmienie</w:t>
      </w:r>
      <w:r w:rsidR="00BF6938">
        <w:rPr>
          <w:rFonts w:ascii="Times New Roman" w:hAnsi="Times New Roman" w:cs="Times New Roman"/>
          <w:sz w:val="24"/>
          <w:szCs w:val="24"/>
          <w:lang w:val="pl-PL"/>
        </w:rPr>
        <w:t>,</w:t>
      </w:r>
      <w:r w:rsidR="00340F9F" w:rsidRPr="00340F9F">
        <w:rPr>
          <w:rFonts w:ascii="Times New Roman" w:hAnsi="Times New Roman" w:cs="Times New Roman"/>
          <w:sz w:val="24"/>
          <w:szCs w:val="24"/>
          <w:lang w:val="pl-PL"/>
        </w:rPr>
        <w:t xml:space="preserve"> zgodnie z którym procedury anonimowego zgłaszania przez pracowników naruszeń określają co najmniej sposób ochrony danych osobowych pracowni</w:t>
      </w:r>
      <w:r w:rsidR="00BF6938">
        <w:rPr>
          <w:rFonts w:ascii="Times New Roman" w:hAnsi="Times New Roman" w:cs="Times New Roman"/>
          <w:sz w:val="24"/>
          <w:szCs w:val="24"/>
          <w:lang w:val="pl-PL"/>
        </w:rPr>
        <w:t>ka dokonującego zgłoszenia oraz</w:t>
      </w:r>
      <w:r w:rsidR="00340F9F" w:rsidRPr="00340F9F">
        <w:rPr>
          <w:rFonts w:ascii="Times New Roman" w:hAnsi="Times New Roman" w:cs="Times New Roman"/>
          <w:sz w:val="24"/>
          <w:szCs w:val="24"/>
          <w:lang w:val="pl-PL"/>
        </w:rPr>
        <w:t xml:space="preserve"> osoby</w:t>
      </w:r>
      <w:r w:rsidR="00BF6938">
        <w:rPr>
          <w:rFonts w:ascii="Times New Roman" w:hAnsi="Times New Roman" w:cs="Times New Roman"/>
          <w:sz w:val="24"/>
          <w:szCs w:val="24"/>
          <w:lang w:val="pl-PL"/>
        </w:rPr>
        <w:t>,</w:t>
      </w:r>
      <w:r w:rsidR="00340F9F" w:rsidRPr="00340F9F">
        <w:rPr>
          <w:rFonts w:ascii="Times New Roman" w:hAnsi="Times New Roman" w:cs="Times New Roman"/>
          <w:sz w:val="24"/>
          <w:szCs w:val="24"/>
          <w:lang w:val="pl-PL"/>
        </w:rPr>
        <w:t xml:space="preserve"> której zrzuca się dokonanie naruszenia, zgodnie z przepisami rozporządzenia Parlamentu Europejskiego i Rady (UE) 2016/679 z dnia 27 kwietnia 2016 r. w sprawie ochrony osób fizycznych w związku z przetwarzaniem danych osobowych i</w:t>
      </w:r>
      <w:r w:rsidR="003D250B">
        <w:rPr>
          <w:rFonts w:ascii="Times New Roman" w:hAnsi="Times New Roman" w:cs="Times New Roman"/>
          <w:sz w:val="24"/>
          <w:szCs w:val="24"/>
          <w:lang w:val="pl-PL"/>
        </w:rPr>
        <w:t> </w:t>
      </w:r>
      <w:r w:rsidR="00340F9F" w:rsidRPr="00340F9F">
        <w:rPr>
          <w:rFonts w:ascii="Times New Roman" w:hAnsi="Times New Roman" w:cs="Times New Roman"/>
          <w:sz w:val="24"/>
          <w:szCs w:val="24"/>
          <w:lang w:val="pl-PL"/>
        </w:rPr>
        <w:t>w</w:t>
      </w:r>
      <w:r w:rsidR="003D250B">
        <w:rPr>
          <w:rFonts w:ascii="Times New Roman" w:hAnsi="Times New Roman" w:cs="Times New Roman"/>
          <w:sz w:val="24"/>
          <w:szCs w:val="24"/>
          <w:lang w:val="pl-PL"/>
        </w:rPr>
        <w:t> </w:t>
      </w:r>
      <w:r w:rsidR="00340F9F" w:rsidRPr="00340F9F">
        <w:rPr>
          <w:rFonts w:ascii="Times New Roman" w:hAnsi="Times New Roman" w:cs="Times New Roman"/>
          <w:sz w:val="24"/>
          <w:szCs w:val="24"/>
          <w:lang w:val="pl-PL"/>
        </w:rPr>
        <w:t xml:space="preserve">sprawie swobodnego przepływu takich danych oraz uchylenia dyrektywy 95/46/WE (ogólne rozporządzenie o ochronie danych) (Dz. Urz. UE L 119 z 4.05.2016, str. 1). </w:t>
      </w:r>
    </w:p>
    <w:p w14:paraId="1AC4551B" w14:textId="77777777" w:rsidR="00B457EE" w:rsidRDefault="00B457EE" w:rsidP="000D6351">
      <w:pPr>
        <w:spacing w:after="0"/>
        <w:jc w:val="both"/>
        <w:rPr>
          <w:rFonts w:ascii="Times New Roman" w:hAnsi="Times New Roman" w:cs="Times New Roman"/>
          <w:sz w:val="24"/>
          <w:szCs w:val="24"/>
          <w:lang w:val="pl-PL"/>
        </w:rPr>
      </w:pPr>
    </w:p>
    <w:p w14:paraId="7901B2A3" w14:textId="3E0F3DB6" w:rsidR="00B457EE" w:rsidRDefault="00B457EE"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Natomiast § 25 otrzymuje brzmienie</w:t>
      </w:r>
      <w:r w:rsidR="00BF6938">
        <w:rPr>
          <w:rFonts w:ascii="Times New Roman" w:hAnsi="Times New Roman" w:cs="Times New Roman"/>
          <w:sz w:val="24"/>
          <w:szCs w:val="24"/>
          <w:lang w:val="pl-PL"/>
        </w:rPr>
        <w:t>, zgodnie z którym</w:t>
      </w:r>
      <w:r>
        <w:rPr>
          <w:rFonts w:ascii="Times New Roman" w:hAnsi="Times New Roman" w:cs="Times New Roman"/>
          <w:sz w:val="24"/>
          <w:szCs w:val="24"/>
          <w:lang w:val="pl-PL"/>
        </w:rPr>
        <w:t xml:space="preserve"> b</w:t>
      </w:r>
      <w:r w:rsidRPr="00B457EE">
        <w:rPr>
          <w:rFonts w:ascii="Times New Roman" w:hAnsi="Times New Roman" w:cs="Times New Roman"/>
          <w:sz w:val="24"/>
          <w:szCs w:val="24"/>
          <w:lang w:val="pl-PL"/>
        </w:rPr>
        <w:t>ank prowadzi wykaz osób, których działalność zawodowa ma istotny wpływ na profil ryzyka banku, o których mowa w art. 9ca ust. 1a ustawy - Prawo bankowe, określonych zgodnie z rozporządzeniem delegowanym Komisji wydanym na podstawie upoważnienia zawartego w art. 94 ust. 2 dyrektywy 2013/36/UE, z</w:t>
      </w:r>
      <w:r w:rsidR="003D250B">
        <w:rPr>
          <w:rFonts w:ascii="Times New Roman" w:hAnsi="Times New Roman" w:cs="Times New Roman"/>
          <w:sz w:val="24"/>
          <w:szCs w:val="24"/>
          <w:lang w:val="pl-PL"/>
        </w:rPr>
        <w:t> </w:t>
      </w:r>
      <w:r w:rsidRPr="00B457EE">
        <w:rPr>
          <w:rFonts w:ascii="Times New Roman" w:hAnsi="Times New Roman" w:cs="Times New Roman"/>
          <w:sz w:val="24"/>
          <w:szCs w:val="24"/>
          <w:lang w:val="pl-PL"/>
        </w:rPr>
        <w:t>zastrzeżeniem § 30 ust. 3</w:t>
      </w:r>
      <w:r>
        <w:rPr>
          <w:rFonts w:ascii="Times New Roman" w:hAnsi="Times New Roman" w:cs="Times New Roman"/>
          <w:sz w:val="24"/>
          <w:szCs w:val="24"/>
          <w:lang w:val="pl-PL"/>
        </w:rPr>
        <w:t>.</w:t>
      </w:r>
    </w:p>
    <w:p w14:paraId="512F2281" w14:textId="77777777" w:rsidR="00B457EE" w:rsidRDefault="00B457EE" w:rsidP="000D6351">
      <w:pPr>
        <w:spacing w:after="0"/>
        <w:jc w:val="both"/>
        <w:rPr>
          <w:rFonts w:ascii="Times New Roman" w:hAnsi="Times New Roman" w:cs="Times New Roman"/>
          <w:sz w:val="24"/>
          <w:szCs w:val="24"/>
          <w:lang w:val="pl-PL"/>
        </w:rPr>
      </w:pPr>
    </w:p>
    <w:p w14:paraId="184BA27B" w14:textId="77777777" w:rsidR="00B457EE" w:rsidRDefault="00B457EE"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Powyższe zmiany mają charakter legislacyjny.</w:t>
      </w:r>
    </w:p>
    <w:p w14:paraId="28A50693" w14:textId="77777777" w:rsidR="00340F9F" w:rsidRDefault="00340F9F" w:rsidP="000D6351">
      <w:pPr>
        <w:spacing w:after="0"/>
        <w:jc w:val="both"/>
        <w:rPr>
          <w:rFonts w:ascii="Times New Roman" w:hAnsi="Times New Roman" w:cs="Times New Roman"/>
          <w:sz w:val="24"/>
          <w:szCs w:val="24"/>
          <w:lang w:val="pl-PL"/>
        </w:rPr>
      </w:pPr>
    </w:p>
    <w:p w14:paraId="5DFA1097" w14:textId="77777777" w:rsidR="004011F4" w:rsidRDefault="00E729CC"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R</w:t>
      </w:r>
      <w:r w:rsidR="00DB40FA" w:rsidRPr="00DB34CB">
        <w:rPr>
          <w:rFonts w:ascii="Times New Roman" w:hAnsi="Times New Roman" w:cs="Times New Roman"/>
          <w:sz w:val="24"/>
          <w:szCs w:val="24"/>
          <w:lang w:val="pl-PL"/>
        </w:rPr>
        <w:t>ozporządzenie</w:t>
      </w:r>
      <w:r w:rsidR="00185379" w:rsidRPr="00185379">
        <w:rPr>
          <w:rFonts w:ascii="Times New Roman" w:hAnsi="Times New Roman" w:cs="Times New Roman"/>
          <w:sz w:val="24"/>
          <w:szCs w:val="24"/>
          <w:lang w:val="pl-PL"/>
        </w:rPr>
        <w:t xml:space="preserve"> wejdzie w życie  </w:t>
      </w:r>
      <w:r w:rsidR="00B85416">
        <w:rPr>
          <w:rFonts w:ascii="Times New Roman" w:hAnsi="Times New Roman" w:cs="Times New Roman"/>
          <w:sz w:val="24"/>
          <w:szCs w:val="24"/>
          <w:lang w:val="pl-PL"/>
        </w:rPr>
        <w:t>z</w:t>
      </w:r>
      <w:r w:rsidR="007D691C">
        <w:rPr>
          <w:rFonts w:ascii="Times New Roman" w:hAnsi="Times New Roman" w:cs="Times New Roman"/>
          <w:sz w:val="24"/>
          <w:szCs w:val="24"/>
          <w:lang w:val="pl-PL"/>
        </w:rPr>
        <w:t xml:space="preserve"> dniem następującym po dniu ogłoszenia</w:t>
      </w:r>
      <w:r w:rsidR="00B85416">
        <w:rPr>
          <w:rFonts w:ascii="Times New Roman" w:hAnsi="Times New Roman" w:cs="Times New Roman"/>
          <w:sz w:val="24"/>
          <w:szCs w:val="24"/>
          <w:lang w:val="pl-PL"/>
        </w:rPr>
        <w:t>, z wyjątkiem § 18 pkt 6</w:t>
      </w:r>
      <w:r w:rsidR="00591B86" w:rsidRPr="00591B86">
        <w:rPr>
          <w:rFonts w:ascii="Times New Roman" w:hAnsi="Times New Roman" w:cs="Times New Roman"/>
          <w:sz w:val="24"/>
          <w:szCs w:val="24"/>
          <w:lang w:val="pl-PL"/>
        </w:rPr>
        <w:t>,</w:t>
      </w:r>
      <w:r w:rsidR="006A3156">
        <w:rPr>
          <w:rFonts w:ascii="Times New Roman" w:hAnsi="Times New Roman" w:cs="Times New Roman"/>
          <w:sz w:val="24"/>
          <w:szCs w:val="24"/>
          <w:lang w:val="pl-PL"/>
        </w:rPr>
        <w:t xml:space="preserve"> który wchodzi w</w:t>
      </w:r>
      <w:r w:rsidR="002108DA">
        <w:rPr>
          <w:rFonts w:ascii="Times New Roman" w:hAnsi="Times New Roman" w:cs="Times New Roman"/>
          <w:sz w:val="24"/>
          <w:szCs w:val="24"/>
          <w:lang w:val="pl-PL"/>
        </w:rPr>
        <w:t> </w:t>
      </w:r>
      <w:r w:rsidR="006A3156">
        <w:rPr>
          <w:rFonts w:ascii="Times New Roman" w:hAnsi="Times New Roman" w:cs="Times New Roman"/>
          <w:sz w:val="24"/>
          <w:szCs w:val="24"/>
          <w:lang w:val="pl-PL"/>
        </w:rPr>
        <w:t>życie z dniem 28 czerwca 2021</w:t>
      </w:r>
      <w:r w:rsidR="00591B86" w:rsidRPr="00591B86">
        <w:rPr>
          <w:rFonts w:ascii="Times New Roman" w:hAnsi="Times New Roman" w:cs="Times New Roman"/>
          <w:sz w:val="24"/>
          <w:szCs w:val="24"/>
          <w:lang w:val="pl-PL"/>
        </w:rPr>
        <w:t xml:space="preserve"> r</w:t>
      </w:r>
      <w:r w:rsidR="00591B86">
        <w:rPr>
          <w:rFonts w:ascii="Times New Roman" w:hAnsi="Times New Roman" w:cs="Times New Roman"/>
          <w:sz w:val="24"/>
          <w:szCs w:val="24"/>
          <w:lang w:val="pl-PL"/>
        </w:rPr>
        <w:t>.</w:t>
      </w:r>
      <w:r w:rsidR="00F8613A">
        <w:rPr>
          <w:rFonts w:ascii="Times New Roman" w:hAnsi="Times New Roman" w:cs="Times New Roman"/>
          <w:sz w:val="24"/>
          <w:szCs w:val="24"/>
          <w:lang w:val="pl-PL"/>
        </w:rPr>
        <w:t xml:space="preserve"> </w:t>
      </w:r>
    </w:p>
    <w:p w14:paraId="5D5B4CDE" w14:textId="77777777" w:rsidR="004011F4" w:rsidRDefault="004011F4" w:rsidP="000D6351">
      <w:pPr>
        <w:spacing w:after="0"/>
        <w:jc w:val="both"/>
        <w:rPr>
          <w:rFonts w:ascii="Times New Roman" w:hAnsi="Times New Roman" w:cs="Times New Roman"/>
          <w:sz w:val="24"/>
          <w:szCs w:val="24"/>
          <w:lang w:val="pl-PL"/>
        </w:rPr>
      </w:pPr>
    </w:p>
    <w:p w14:paraId="12A0BC97" w14:textId="77777777" w:rsidR="000C2837" w:rsidRDefault="00D15F1D" w:rsidP="000D6351">
      <w:pPr>
        <w:spacing w:after="0"/>
        <w:jc w:val="both"/>
        <w:rPr>
          <w:rFonts w:ascii="Times New Roman" w:hAnsi="Times New Roman" w:cs="Times New Roman"/>
          <w:sz w:val="24"/>
          <w:szCs w:val="24"/>
          <w:lang w:val="pl-PL"/>
        </w:rPr>
      </w:pPr>
      <w:r w:rsidRPr="00D15F1D">
        <w:rPr>
          <w:rFonts w:ascii="Times New Roman" w:hAnsi="Times New Roman" w:cs="Times New Roman"/>
          <w:sz w:val="24"/>
          <w:szCs w:val="24"/>
          <w:lang w:val="pl-PL"/>
        </w:rPr>
        <w:lastRenderedPageBreak/>
        <w:t>Zawarte w projekcie regulacje nie stanowią przepisów technicznych w rozumieniu rozporządzenia Rady Ministrów z dnia 23 grudnia 2002 r. w sprawie sposobu funkcjonowania</w:t>
      </w:r>
      <w:r>
        <w:rPr>
          <w:rFonts w:ascii="Times New Roman" w:hAnsi="Times New Roman" w:cs="Times New Roman"/>
          <w:sz w:val="24"/>
          <w:szCs w:val="24"/>
          <w:lang w:val="pl-PL"/>
        </w:rPr>
        <w:t xml:space="preserve"> </w:t>
      </w:r>
      <w:r w:rsidRPr="00D15F1D">
        <w:rPr>
          <w:rFonts w:ascii="Times New Roman" w:hAnsi="Times New Roman" w:cs="Times New Roman"/>
          <w:sz w:val="24"/>
          <w:szCs w:val="24"/>
          <w:lang w:val="pl-PL"/>
        </w:rPr>
        <w:t>krajowego systemu notyfikacji norm i aktów prawnych (Dz. U. poz. 2039, z późn. zm.), dlatego też projekt ustawy nie podlega procedurze notyfikacji.</w:t>
      </w:r>
    </w:p>
    <w:p w14:paraId="3B6F9B76" w14:textId="77777777" w:rsidR="000C2837" w:rsidRDefault="000C2837" w:rsidP="000D6351">
      <w:pPr>
        <w:spacing w:after="0"/>
        <w:jc w:val="both"/>
        <w:rPr>
          <w:rFonts w:ascii="Times New Roman" w:hAnsi="Times New Roman" w:cs="Times New Roman"/>
          <w:sz w:val="24"/>
          <w:szCs w:val="24"/>
          <w:lang w:val="pl-PL"/>
        </w:rPr>
      </w:pPr>
    </w:p>
    <w:p w14:paraId="43ABD6F5" w14:textId="6B83E37B" w:rsidR="00D15F1D" w:rsidRDefault="00D15F1D" w:rsidP="000D6351">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Projektowane rozporządzenie</w:t>
      </w:r>
      <w:r w:rsidRPr="00D15F1D">
        <w:rPr>
          <w:rFonts w:ascii="Times New Roman" w:hAnsi="Times New Roman" w:cs="Times New Roman"/>
          <w:sz w:val="24"/>
          <w:szCs w:val="24"/>
          <w:lang w:val="pl-PL"/>
        </w:rPr>
        <w:t xml:space="preserve"> nie wymaga przedstawiania organom i instytucjom Unii Europejskiej w celu uzyskania opinii, dokonania powiadomienia, konsultacji albo uzgodnienia. W</w:t>
      </w:r>
      <w:r>
        <w:rPr>
          <w:rFonts w:ascii="Times New Roman" w:hAnsi="Times New Roman" w:cs="Times New Roman"/>
          <w:sz w:val="24"/>
          <w:szCs w:val="24"/>
          <w:lang w:val="pl-PL"/>
        </w:rPr>
        <w:t> </w:t>
      </w:r>
      <w:r w:rsidRPr="00D15F1D">
        <w:rPr>
          <w:rFonts w:ascii="Times New Roman" w:hAnsi="Times New Roman" w:cs="Times New Roman"/>
          <w:sz w:val="24"/>
          <w:szCs w:val="24"/>
          <w:lang w:val="pl-PL"/>
        </w:rPr>
        <w:t>szczególności, zgodnie z art. 2 ust. 1 decyzji Rady 98/415/WE z dnia 29 czerwca 1998 r. w</w:t>
      </w:r>
      <w:r>
        <w:rPr>
          <w:rFonts w:ascii="Times New Roman" w:hAnsi="Times New Roman" w:cs="Times New Roman"/>
          <w:sz w:val="24"/>
          <w:szCs w:val="24"/>
          <w:lang w:val="pl-PL"/>
        </w:rPr>
        <w:t> </w:t>
      </w:r>
      <w:r w:rsidRPr="00D15F1D">
        <w:rPr>
          <w:rFonts w:ascii="Times New Roman" w:hAnsi="Times New Roman" w:cs="Times New Roman"/>
          <w:sz w:val="24"/>
          <w:szCs w:val="24"/>
          <w:lang w:val="pl-PL"/>
        </w:rPr>
        <w:t>sprawie konsultacji Europejskiego Banku Centralnego udzielanych władzom krajowym w</w:t>
      </w:r>
      <w:r>
        <w:rPr>
          <w:rFonts w:ascii="Times New Roman" w:hAnsi="Times New Roman" w:cs="Times New Roman"/>
          <w:sz w:val="24"/>
          <w:szCs w:val="24"/>
          <w:lang w:val="pl-PL"/>
        </w:rPr>
        <w:t> </w:t>
      </w:r>
      <w:r w:rsidRPr="00D15F1D">
        <w:rPr>
          <w:rFonts w:ascii="Times New Roman" w:hAnsi="Times New Roman" w:cs="Times New Roman"/>
          <w:sz w:val="24"/>
          <w:szCs w:val="24"/>
          <w:lang w:val="pl-PL"/>
        </w:rPr>
        <w:t>sprawie projektów przepisów prawnych (Dz. Urz. WE L 189 z 03.07.1998, str. 42), projek</w:t>
      </w:r>
      <w:r w:rsidR="00BF6938">
        <w:rPr>
          <w:rFonts w:ascii="Times New Roman" w:hAnsi="Times New Roman" w:cs="Times New Roman"/>
          <w:sz w:val="24"/>
          <w:szCs w:val="24"/>
          <w:lang w:val="pl-PL"/>
        </w:rPr>
        <w:t>t ustawy nie podlega konsultacjom</w:t>
      </w:r>
      <w:r w:rsidRPr="00D15F1D">
        <w:rPr>
          <w:rFonts w:ascii="Times New Roman" w:hAnsi="Times New Roman" w:cs="Times New Roman"/>
          <w:sz w:val="24"/>
          <w:szCs w:val="24"/>
          <w:lang w:val="pl-PL"/>
        </w:rPr>
        <w:t xml:space="preserve"> z Europejskim Bankiem Centralnym.</w:t>
      </w:r>
    </w:p>
    <w:p w14:paraId="3DBAE716" w14:textId="77777777" w:rsidR="00BF6938" w:rsidRPr="00D15F1D" w:rsidRDefault="00BF6938" w:rsidP="000D6351">
      <w:pPr>
        <w:spacing w:after="0"/>
        <w:jc w:val="both"/>
        <w:rPr>
          <w:rFonts w:ascii="Times New Roman" w:hAnsi="Times New Roman" w:cs="Times New Roman"/>
          <w:sz w:val="24"/>
          <w:szCs w:val="24"/>
          <w:lang w:val="pl-PL"/>
        </w:rPr>
      </w:pPr>
    </w:p>
    <w:p w14:paraId="32624DB8" w14:textId="3E85AB79" w:rsidR="00D15F1D" w:rsidRPr="00D15F1D" w:rsidRDefault="00D15F1D" w:rsidP="000D6351">
      <w:pPr>
        <w:jc w:val="both"/>
        <w:rPr>
          <w:rFonts w:ascii="Times New Roman" w:hAnsi="Times New Roman" w:cs="Times New Roman"/>
          <w:sz w:val="24"/>
          <w:szCs w:val="24"/>
          <w:lang w:val="pl-PL"/>
        </w:rPr>
      </w:pPr>
      <w:r w:rsidRPr="00D15F1D">
        <w:rPr>
          <w:rFonts w:ascii="Times New Roman" w:hAnsi="Times New Roman" w:cs="Times New Roman"/>
          <w:sz w:val="24"/>
          <w:szCs w:val="24"/>
          <w:lang w:val="pl-PL"/>
        </w:rPr>
        <w:t xml:space="preserve">Stosownie do art. 4 ustawy z dnia 7 lipca 2005 r. o działalności lobbingowej w procesie stanowienia prawa (Dz. U. z 2017 r. poz. 248) projekt został zamieszczony w wykazie prac legislacyjnych </w:t>
      </w:r>
      <w:r w:rsidR="001758F6">
        <w:rPr>
          <w:rFonts w:ascii="Times New Roman" w:hAnsi="Times New Roman" w:cs="Times New Roman"/>
          <w:sz w:val="24"/>
          <w:szCs w:val="24"/>
          <w:lang w:val="pl-PL"/>
        </w:rPr>
        <w:t>Ministra Finansów, Funduszy i Polityki R</w:t>
      </w:r>
      <w:r w:rsidR="00331735">
        <w:rPr>
          <w:rFonts w:ascii="Times New Roman" w:hAnsi="Times New Roman" w:cs="Times New Roman"/>
          <w:sz w:val="24"/>
          <w:szCs w:val="24"/>
          <w:lang w:val="pl-PL"/>
        </w:rPr>
        <w:t>e</w:t>
      </w:r>
      <w:r w:rsidR="001758F6">
        <w:rPr>
          <w:rFonts w:ascii="Times New Roman" w:hAnsi="Times New Roman" w:cs="Times New Roman"/>
          <w:sz w:val="24"/>
          <w:szCs w:val="24"/>
          <w:lang w:val="pl-PL"/>
        </w:rPr>
        <w:t>gionalnej</w:t>
      </w:r>
      <w:r w:rsidRPr="00D15F1D">
        <w:rPr>
          <w:rFonts w:ascii="Times New Roman" w:hAnsi="Times New Roman" w:cs="Times New Roman"/>
          <w:sz w:val="24"/>
          <w:szCs w:val="24"/>
          <w:lang w:val="pl-PL"/>
        </w:rPr>
        <w:t>.</w:t>
      </w:r>
    </w:p>
    <w:p w14:paraId="004C6816" w14:textId="46400524" w:rsidR="00D15F1D" w:rsidRPr="00D15F1D" w:rsidRDefault="00D15F1D" w:rsidP="000D6351">
      <w:pPr>
        <w:jc w:val="both"/>
        <w:rPr>
          <w:rFonts w:ascii="Times New Roman" w:hAnsi="Times New Roman" w:cs="Times New Roman"/>
          <w:sz w:val="24"/>
          <w:szCs w:val="24"/>
          <w:lang w:val="pl-PL"/>
        </w:rPr>
      </w:pPr>
      <w:r w:rsidRPr="00D15F1D">
        <w:rPr>
          <w:rFonts w:ascii="Times New Roman" w:hAnsi="Times New Roman" w:cs="Times New Roman"/>
          <w:sz w:val="24"/>
          <w:szCs w:val="24"/>
          <w:lang w:val="pl-PL"/>
        </w:rPr>
        <w:t>Zgodnie z art. 5 ustawy z dnia 7 lipca 2005 r. o działalności lobbingowej w procesie stanowienia prawa oraz § 52 uchwały nr 190 Rady Ministrów z dnia 29 października 2013 r. - Regulamin pracy Rady Ministrów (M.P. z 2016 r. poz. 1006, z późn. zm.) projekt ustawy zostanie udostępniony w</w:t>
      </w:r>
      <w:r>
        <w:rPr>
          <w:rFonts w:ascii="Times New Roman" w:hAnsi="Times New Roman" w:cs="Times New Roman"/>
          <w:sz w:val="24"/>
          <w:szCs w:val="24"/>
          <w:lang w:val="pl-PL"/>
        </w:rPr>
        <w:t> </w:t>
      </w:r>
      <w:r w:rsidRPr="00D15F1D">
        <w:rPr>
          <w:rFonts w:ascii="Times New Roman" w:hAnsi="Times New Roman" w:cs="Times New Roman"/>
          <w:sz w:val="24"/>
          <w:szCs w:val="24"/>
          <w:lang w:val="pl-PL"/>
        </w:rPr>
        <w:t>Biuletynie Informacji Publicznej na stronie podmiotowej Rządowego Centrum Legislacji, w</w:t>
      </w:r>
      <w:r>
        <w:rPr>
          <w:rFonts w:ascii="Times New Roman" w:hAnsi="Times New Roman" w:cs="Times New Roman"/>
          <w:sz w:val="24"/>
          <w:szCs w:val="24"/>
          <w:lang w:val="pl-PL"/>
        </w:rPr>
        <w:t> </w:t>
      </w:r>
      <w:r w:rsidR="005623F0">
        <w:rPr>
          <w:rFonts w:ascii="Times New Roman" w:hAnsi="Times New Roman" w:cs="Times New Roman"/>
          <w:sz w:val="24"/>
          <w:szCs w:val="24"/>
          <w:lang w:val="pl-PL"/>
        </w:rPr>
        <w:t>s</w:t>
      </w:r>
      <w:r w:rsidRPr="00D15F1D">
        <w:rPr>
          <w:rFonts w:ascii="Times New Roman" w:hAnsi="Times New Roman" w:cs="Times New Roman"/>
          <w:sz w:val="24"/>
          <w:szCs w:val="24"/>
          <w:lang w:val="pl-PL"/>
        </w:rPr>
        <w:t>erwisie Rządowy Proces Legislacyjny.</w:t>
      </w:r>
    </w:p>
    <w:p w14:paraId="0E41B81C" w14:textId="7B0B0A35" w:rsidR="00D15F1D" w:rsidRPr="00D15F1D" w:rsidRDefault="00D15F1D" w:rsidP="000D6351">
      <w:pPr>
        <w:jc w:val="both"/>
        <w:rPr>
          <w:rFonts w:ascii="Times New Roman" w:hAnsi="Times New Roman" w:cs="Times New Roman"/>
          <w:sz w:val="24"/>
          <w:szCs w:val="24"/>
          <w:lang w:val="pl-PL"/>
        </w:rPr>
      </w:pPr>
      <w:r w:rsidRPr="00D15F1D">
        <w:rPr>
          <w:rFonts w:ascii="Times New Roman" w:hAnsi="Times New Roman" w:cs="Times New Roman"/>
          <w:sz w:val="24"/>
          <w:szCs w:val="24"/>
          <w:lang w:val="pl-PL"/>
        </w:rPr>
        <w:t>Zawarte w projekcie regulacje nie będą miały wpływu na działalność mikroprzedsiębiorców, małych i średnich przedsiębiorców zgodnie z ustawą z dnia 6 marca 2018 r. – Prawo przedsiębiorców (Dz. U. z 20</w:t>
      </w:r>
      <w:r w:rsidR="006B3433">
        <w:rPr>
          <w:rFonts w:ascii="Times New Roman" w:hAnsi="Times New Roman" w:cs="Times New Roman"/>
          <w:sz w:val="24"/>
          <w:szCs w:val="24"/>
          <w:lang w:val="pl-PL"/>
        </w:rPr>
        <w:t>21</w:t>
      </w:r>
      <w:r w:rsidRPr="00D15F1D">
        <w:rPr>
          <w:rFonts w:ascii="Times New Roman" w:hAnsi="Times New Roman" w:cs="Times New Roman"/>
          <w:sz w:val="24"/>
          <w:szCs w:val="24"/>
          <w:lang w:val="pl-PL"/>
        </w:rPr>
        <w:t xml:space="preserve"> r. poz. </w:t>
      </w:r>
      <w:r w:rsidR="006B3433">
        <w:rPr>
          <w:rFonts w:ascii="Times New Roman" w:hAnsi="Times New Roman" w:cs="Times New Roman"/>
          <w:sz w:val="24"/>
          <w:szCs w:val="24"/>
          <w:lang w:val="pl-PL"/>
        </w:rPr>
        <w:t>162</w:t>
      </w:r>
      <w:r w:rsidRPr="00D15F1D">
        <w:rPr>
          <w:rFonts w:ascii="Times New Roman" w:hAnsi="Times New Roman" w:cs="Times New Roman"/>
          <w:sz w:val="24"/>
          <w:szCs w:val="24"/>
          <w:lang w:val="pl-PL"/>
        </w:rPr>
        <w:t>).</w:t>
      </w:r>
    </w:p>
    <w:p w14:paraId="0A40D2C8" w14:textId="77777777" w:rsidR="00437ECE" w:rsidRPr="00DB34CB" w:rsidRDefault="00D15F1D" w:rsidP="000D6351">
      <w:pPr>
        <w:jc w:val="both"/>
        <w:rPr>
          <w:rFonts w:ascii="Times New Roman" w:hAnsi="Times New Roman" w:cs="Times New Roman"/>
          <w:sz w:val="24"/>
          <w:szCs w:val="24"/>
          <w:lang w:val="pl-PL"/>
        </w:rPr>
      </w:pPr>
      <w:r w:rsidRPr="00D15F1D">
        <w:rPr>
          <w:rFonts w:ascii="Times New Roman" w:hAnsi="Times New Roman" w:cs="Times New Roman"/>
          <w:sz w:val="24"/>
          <w:szCs w:val="24"/>
          <w:lang w:val="pl-PL"/>
        </w:rPr>
        <w:t>Projekt rozporządzenia nie jest sprzeczny z prawem Unii Europejskiej.</w:t>
      </w:r>
    </w:p>
    <w:sectPr w:rsidR="00437ECE" w:rsidRPr="00DB34C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B15C8"/>
    <w:multiLevelType w:val="hybridMultilevel"/>
    <w:tmpl w:val="9DE00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E97050"/>
    <w:multiLevelType w:val="hybridMultilevel"/>
    <w:tmpl w:val="0944B7C6"/>
    <w:lvl w:ilvl="0" w:tplc="E17AA5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6C411CA"/>
    <w:multiLevelType w:val="hybridMultilevel"/>
    <w:tmpl w:val="7A1E6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FA"/>
    <w:rsid w:val="00024D69"/>
    <w:rsid w:val="00026FCC"/>
    <w:rsid w:val="00036C95"/>
    <w:rsid w:val="00056AA3"/>
    <w:rsid w:val="00090D4F"/>
    <w:rsid w:val="000A08EE"/>
    <w:rsid w:val="000A1FD6"/>
    <w:rsid w:val="000C2837"/>
    <w:rsid w:val="000C5627"/>
    <w:rsid w:val="000C6E7C"/>
    <w:rsid w:val="000D3A57"/>
    <w:rsid w:val="000D6351"/>
    <w:rsid w:val="000F1312"/>
    <w:rsid w:val="0011143C"/>
    <w:rsid w:val="00112082"/>
    <w:rsid w:val="00133BA8"/>
    <w:rsid w:val="00142D82"/>
    <w:rsid w:val="00154D8A"/>
    <w:rsid w:val="001758F6"/>
    <w:rsid w:val="00176AD4"/>
    <w:rsid w:val="00185379"/>
    <w:rsid w:val="001B25FE"/>
    <w:rsid w:val="001C1C81"/>
    <w:rsid w:val="001C3003"/>
    <w:rsid w:val="001E1042"/>
    <w:rsid w:val="001F543B"/>
    <w:rsid w:val="00201267"/>
    <w:rsid w:val="00202FE1"/>
    <w:rsid w:val="002108DA"/>
    <w:rsid w:val="002225EA"/>
    <w:rsid w:val="00277408"/>
    <w:rsid w:val="002C3C81"/>
    <w:rsid w:val="002F29AF"/>
    <w:rsid w:val="002F545E"/>
    <w:rsid w:val="00306329"/>
    <w:rsid w:val="00331735"/>
    <w:rsid w:val="00340F9F"/>
    <w:rsid w:val="00342DD5"/>
    <w:rsid w:val="00355EA0"/>
    <w:rsid w:val="00375B15"/>
    <w:rsid w:val="0037711E"/>
    <w:rsid w:val="003838B6"/>
    <w:rsid w:val="003B3B7A"/>
    <w:rsid w:val="003B5B71"/>
    <w:rsid w:val="003D250B"/>
    <w:rsid w:val="004011F4"/>
    <w:rsid w:val="0042022B"/>
    <w:rsid w:val="00435356"/>
    <w:rsid w:val="00437ECE"/>
    <w:rsid w:val="00462EC6"/>
    <w:rsid w:val="0047686F"/>
    <w:rsid w:val="0049225B"/>
    <w:rsid w:val="004B529E"/>
    <w:rsid w:val="004D41AF"/>
    <w:rsid w:val="004E5172"/>
    <w:rsid w:val="004E5323"/>
    <w:rsid w:val="005623F0"/>
    <w:rsid w:val="005742F4"/>
    <w:rsid w:val="0058558E"/>
    <w:rsid w:val="00591B86"/>
    <w:rsid w:val="005922CA"/>
    <w:rsid w:val="005A67C4"/>
    <w:rsid w:val="005D220F"/>
    <w:rsid w:val="005D288D"/>
    <w:rsid w:val="005E4F70"/>
    <w:rsid w:val="00600EAB"/>
    <w:rsid w:val="0061435B"/>
    <w:rsid w:val="006541C8"/>
    <w:rsid w:val="006A3156"/>
    <w:rsid w:val="006B3433"/>
    <w:rsid w:val="006C12A8"/>
    <w:rsid w:val="006C2C05"/>
    <w:rsid w:val="006E3BF5"/>
    <w:rsid w:val="006E58E4"/>
    <w:rsid w:val="00702722"/>
    <w:rsid w:val="007076B6"/>
    <w:rsid w:val="00711B96"/>
    <w:rsid w:val="00730600"/>
    <w:rsid w:val="00757636"/>
    <w:rsid w:val="00762041"/>
    <w:rsid w:val="007C3747"/>
    <w:rsid w:val="007D1500"/>
    <w:rsid w:val="007D6778"/>
    <w:rsid w:val="007D691C"/>
    <w:rsid w:val="008043EA"/>
    <w:rsid w:val="00821D9C"/>
    <w:rsid w:val="008576AB"/>
    <w:rsid w:val="00860135"/>
    <w:rsid w:val="00877284"/>
    <w:rsid w:val="008957A3"/>
    <w:rsid w:val="008E2BBD"/>
    <w:rsid w:val="008E3AD7"/>
    <w:rsid w:val="0093664B"/>
    <w:rsid w:val="00945952"/>
    <w:rsid w:val="00980FD5"/>
    <w:rsid w:val="009924A2"/>
    <w:rsid w:val="009A2CDD"/>
    <w:rsid w:val="009A52FB"/>
    <w:rsid w:val="009B1BA0"/>
    <w:rsid w:val="009B3934"/>
    <w:rsid w:val="009C7AFB"/>
    <w:rsid w:val="009E00EF"/>
    <w:rsid w:val="009F78BA"/>
    <w:rsid w:val="00A30FDC"/>
    <w:rsid w:val="00A43DB5"/>
    <w:rsid w:val="00A77465"/>
    <w:rsid w:val="00AA758F"/>
    <w:rsid w:val="00AC27D6"/>
    <w:rsid w:val="00AC6268"/>
    <w:rsid w:val="00B03985"/>
    <w:rsid w:val="00B1172E"/>
    <w:rsid w:val="00B457EE"/>
    <w:rsid w:val="00B552F2"/>
    <w:rsid w:val="00B679AB"/>
    <w:rsid w:val="00B85416"/>
    <w:rsid w:val="00B90232"/>
    <w:rsid w:val="00B95676"/>
    <w:rsid w:val="00BA0BFF"/>
    <w:rsid w:val="00BA1F4E"/>
    <w:rsid w:val="00BD2CF2"/>
    <w:rsid w:val="00BE6260"/>
    <w:rsid w:val="00BF6938"/>
    <w:rsid w:val="00C30A88"/>
    <w:rsid w:val="00C36F3D"/>
    <w:rsid w:val="00C375F8"/>
    <w:rsid w:val="00C54589"/>
    <w:rsid w:val="00C556CF"/>
    <w:rsid w:val="00C671E4"/>
    <w:rsid w:val="00C909F3"/>
    <w:rsid w:val="00C95219"/>
    <w:rsid w:val="00CA01D0"/>
    <w:rsid w:val="00CA31BA"/>
    <w:rsid w:val="00CA36AF"/>
    <w:rsid w:val="00CB4368"/>
    <w:rsid w:val="00CE1F44"/>
    <w:rsid w:val="00CE2D23"/>
    <w:rsid w:val="00CE69C3"/>
    <w:rsid w:val="00CF1CD9"/>
    <w:rsid w:val="00CF7861"/>
    <w:rsid w:val="00D00D59"/>
    <w:rsid w:val="00D11747"/>
    <w:rsid w:val="00D15F1D"/>
    <w:rsid w:val="00D2010B"/>
    <w:rsid w:val="00D4349E"/>
    <w:rsid w:val="00D77696"/>
    <w:rsid w:val="00DB34CB"/>
    <w:rsid w:val="00DB3961"/>
    <w:rsid w:val="00DB40FA"/>
    <w:rsid w:val="00DE5CA1"/>
    <w:rsid w:val="00DF77E6"/>
    <w:rsid w:val="00E137DF"/>
    <w:rsid w:val="00E156E4"/>
    <w:rsid w:val="00E1710E"/>
    <w:rsid w:val="00E35BDC"/>
    <w:rsid w:val="00E5038A"/>
    <w:rsid w:val="00E729CC"/>
    <w:rsid w:val="00E74131"/>
    <w:rsid w:val="00E819F5"/>
    <w:rsid w:val="00EA03AB"/>
    <w:rsid w:val="00EF70B1"/>
    <w:rsid w:val="00F03819"/>
    <w:rsid w:val="00F1072B"/>
    <w:rsid w:val="00F1380D"/>
    <w:rsid w:val="00F37D59"/>
    <w:rsid w:val="00F62537"/>
    <w:rsid w:val="00F67118"/>
    <w:rsid w:val="00F71370"/>
    <w:rsid w:val="00F8613A"/>
    <w:rsid w:val="00F912B9"/>
    <w:rsid w:val="00FA3ACF"/>
    <w:rsid w:val="00FE37E0"/>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78AA"/>
  <w15:docId w15:val="{90CEE763-0296-446B-8F05-179B260B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B40F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C37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75F8"/>
    <w:rPr>
      <w:rFonts w:ascii="Tahoma" w:hAnsi="Tahoma" w:cs="Tahoma"/>
      <w:sz w:val="16"/>
      <w:szCs w:val="16"/>
    </w:rPr>
  </w:style>
  <w:style w:type="character" w:styleId="Odwoaniedokomentarza">
    <w:name w:val="annotation reference"/>
    <w:basedOn w:val="Domylnaczcionkaakapitu"/>
    <w:uiPriority w:val="99"/>
    <w:semiHidden/>
    <w:unhideWhenUsed/>
    <w:rsid w:val="00D2010B"/>
    <w:rPr>
      <w:sz w:val="16"/>
      <w:szCs w:val="16"/>
    </w:rPr>
  </w:style>
  <w:style w:type="paragraph" w:styleId="Tekstkomentarza">
    <w:name w:val="annotation text"/>
    <w:basedOn w:val="Normalny"/>
    <w:link w:val="TekstkomentarzaZnak"/>
    <w:uiPriority w:val="99"/>
    <w:semiHidden/>
    <w:unhideWhenUsed/>
    <w:rsid w:val="00D20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010B"/>
    <w:rPr>
      <w:sz w:val="20"/>
      <w:szCs w:val="20"/>
    </w:rPr>
  </w:style>
  <w:style w:type="paragraph" w:styleId="Tematkomentarza">
    <w:name w:val="annotation subject"/>
    <w:basedOn w:val="Tekstkomentarza"/>
    <w:next w:val="Tekstkomentarza"/>
    <w:link w:val="TematkomentarzaZnak"/>
    <w:uiPriority w:val="99"/>
    <w:semiHidden/>
    <w:unhideWhenUsed/>
    <w:rsid w:val="00D2010B"/>
    <w:rPr>
      <w:b/>
      <w:bCs/>
    </w:rPr>
  </w:style>
  <w:style w:type="character" w:customStyle="1" w:styleId="TematkomentarzaZnak">
    <w:name w:val="Temat komentarza Znak"/>
    <w:basedOn w:val="TekstkomentarzaZnak"/>
    <w:link w:val="Tematkomentarza"/>
    <w:uiPriority w:val="99"/>
    <w:semiHidden/>
    <w:rsid w:val="00D2010B"/>
    <w:rPr>
      <w:b/>
      <w:bCs/>
      <w:sz w:val="20"/>
      <w:szCs w:val="20"/>
    </w:rPr>
  </w:style>
  <w:style w:type="paragraph" w:styleId="Poprawka">
    <w:name w:val="Revision"/>
    <w:hidden/>
    <w:uiPriority w:val="99"/>
    <w:semiHidden/>
    <w:rsid w:val="00D20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82C9E940CBC5499900027ECA65A020" ma:contentTypeVersion="" ma:contentTypeDescription="Utwórz nowy dokument." ma:contentTypeScope="" ma:versionID="1eb281e89d3524965b3e793c6c4abc40">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651D7-22D7-4495-8A25-D083AA8C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6C47F1-3F5D-41E5-807C-344B41681B3C}">
  <ds:schemaRefs>
    <ds:schemaRef ds:uri="http://schemas.microsoft.com/sharepoint/v3/contenttype/forms"/>
  </ds:schemaRefs>
</ds:datastoreItem>
</file>

<file path=customXml/itemProps3.xml><?xml version="1.0" encoding="utf-8"?>
<ds:datastoreItem xmlns:ds="http://schemas.openxmlformats.org/officeDocument/2006/customXml" ds:itemID="{F7E7263F-070E-4110-9BA3-617F38D93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2837</Words>
  <Characters>17026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UKNF</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Cichy Łukasz2</dc:creator>
  <cp:lastModifiedBy>KGHM</cp:lastModifiedBy>
  <cp:revision>2</cp:revision>
  <cp:lastPrinted>2016-10-18T10:30:00Z</cp:lastPrinted>
  <dcterms:created xsi:type="dcterms:W3CDTF">2021-04-29T09:14:00Z</dcterms:created>
  <dcterms:modified xsi:type="dcterms:W3CDTF">2021-04-29T09:14:00Z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0x010100CC82C9E940CBC5499900027ECA65A020</vt:lpwstr>
  </property>
</Properties>
</file>