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A38204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A790B14" w14:textId="77777777" w:rsidR="006A701A" w:rsidRPr="00D765FB" w:rsidRDefault="006A701A" w:rsidP="00A33C1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D765F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765F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0AAC740" w14:textId="557823DC" w:rsidR="00314291" w:rsidRDefault="00314291" w:rsidP="00A33C1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D765FB">
              <w:rPr>
                <w:rFonts w:ascii="Times New Roman" w:hAnsi="Times New Roman"/>
                <w:color w:val="000000"/>
              </w:rPr>
              <w:t xml:space="preserve">Projekt ustawy o </w:t>
            </w:r>
            <w:r w:rsidR="00ED0CE0">
              <w:rPr>
                <w:rFonts w:ascii="Times New Roman" w:hAnsi="Times New Roman"/>
                <w:color w:val="000000"/>
              </w:rPr>
              <w:t>finansowaniu</w:t>
            </w:r>
            <w:r w:rsidRPr="00D765FB">
              <w:rPr>
                <w:rFonts w:ascii="Times New Roman" w:hAnsi="Times New Roman"/>
                <w:color w:val="000000"/>
              </w:rPr>
              <w:t xml:space="preserve"> społecznościow</w:t>
            </w:r>
            <w:r w:rsidR="00ED0CE0">
              <w:rPr>
                <w:rFonts w:ascii="Times New Roman" w:hAnsi="Times New Roman"/>
                <w:color w:val="000000"/>
              </w:rPr>
              <w:t>ym</w:t>
            </w:r>
            <w:r w:rsidRPr="00D765FB">
              <w:rPr>
                <w:rFonts w:ascii="Times New Roman" w:hAnsi="Times New Roman"/>
                <w:color w:val="000000"/>
              </w:rPr>
              <w:t xml:space="preserve"> dla przedsięwzięć gospodarczych</w:t>
            </w:r>
          </w:p>
          <w:p w14:paraId="32AA9294" w14:textId="77777777" w:rsidR="00D765FB" w:rsidRPr="00D765FB" w:rsidRDefault="00D765FB" w:rsidP="00A33C1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54C617AD" w14:textId="77777777" w:rsidR="006A701A" w:rsidRPr="00D765FB" w:rsidRDefault="006A701A" w:rsidP="00A33C1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765F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E871A02" w14:textId="77777777" w:rsidR="006A701A" w:rsidRPr="00D765FB" w:rsidRDefault="00143C40" w:rsidP="00D765F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765FB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FFD8BE7" w14:textId="77777777" w:rsidR="007415D0" w:rsidRPr="00D765FB" w:rsidRDefault="007415D0" w:rsidP="00D765F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CECFA35" w14:textId="77777777" w:rsidR="001B3460" w:rsidRPr="00A33C11" w:rsidRDefault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3C11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A477C34" w14:textId="77777777" w:rsidR="001B3460" w:rsidRDefault="00143C40">
            <w:pPr>
              <w:spacing w:line="240" w:lineRule="auto"/>
              <w:rPr>
                <w:rFonts w:ascii="Times New Roman" w:hAnsi="Times New Roman"/>
              </w:rPr>
            </w:pPr>
            <w:r w:rsidRPr="00A33C11">
              <w:rPr>
                <w:rFonts w:ascii="Times New Roman" w:hAnsi="Times New Roman"/>
              </w:rPr>
              <w:t>Piotr Patkowski, Podsekretarz Stanu w Ministerstwie Finansów</w:t>
            </w:r>
          </w:p>
          <w:p w14:paraId="43748C2A" w14:textId="77777777" w:rsidR="00D765FB" w:rsidRPr="00A33C11" w:rsidRDefault="00D765FB">
            <w:pPr>
              <w:spacing w:line="240" w:lineRule="auto"/>
              <w:rPr>
                <w:rFonts w:ascii="Times New Roman" w:hAnsi="Times New Roman"/>
              </w:rPr>
            </w:pPr>
          </w:p>
          <w:p w14:paraId="693206B7" w14:textId="77777777" w:rsidR="006A701A" w:rsidRPr="00D765FB" w:rsidRDefault="006A701A" w:rsidP="00A33C1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765F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38840E" w14:textId="77777777" w:rsidR="006A701A" w:rsidRPr="00D765FB" w:rsidRDefault="00143C40" w:rsidP="00D765F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765FB">
              <w:rPr>
                <w:rFonts w:ascii="Times New Roman" w:hAnsi="Times New Roman"/>
                <w:color w:val="000000"/>
              </w:rPr>
              <w:t>Jakub Kącki, Departament Rozwoju Rynku Finansowego</w:t>
            </w:r>
          </w:p>
          <w:p w14:paraId="5838D058" w14:textId="77777777" w:rsidR="00143C40" w:rsidRDefault="00143C40" w:rsidP="00D765F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D765FB">
              <w:rPr>
                <w:rFonts w:ascii="Times New Roman" w:hAnsi="Times New Roman"/>
                <w:color w:val="000000"/>
                <w:lang w:val="en-GB"/>
              </w:rPr>
              <w:t xml:space="preserve">tel. 22 694-59-78, e-mail: </w:t>
            </w:r>
            <w:hyperlink r:id="rId7" w:history="1">
              <w:r w:rsidRPr="00D765FB">
                <w:rPr>
                  <w:rStyle w:val="Hipercze"/>
                  <w:rFonts w:ascii="Times New Roman" w:hAnsi="Times New Roman"/>
                  <w:lang w:val="en-GB"/>
                </w:rPr>
                <w:t>jakub.kacki@mf.gov.pl</w:t>
              </w:r>
            </w:hyperlink>
            <w:r w:rsidRPr="00D765FB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14:paraId="762EE44D" w14:textId="77777777" w:rsidR="007B37FA" w:rsidRPr="00D765FB" w:rsidRDefault="007B37FA" w:rsidP="00D765F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7FF9484B" w14:textId="298BBA59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4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73245">
                  <w:rPr>
                    <w:rFonts w:ascii="Times New Roman" w:hAnsi="Times New Roman"/>
                    <w:b/>
                    <w:sz w:val="21"/>
                    <w:szCs w:val="21"/>
                  </w:rPr>
                  <w:t>28.04.2021</w:t>
                </w:r>
              </w:sdtContent>
            </w:sdt>
          </w:p>
          <w:p w14:paraId="19575BD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76BCF1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0DF40909" w14:textId="77777777" w:rsidR="00F76884" w:rsidRPr="00EF290C" w:rsidRDefault="00143C40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Prawo UE</w:t>
                </w:r>
              </w:p>
            </w:sdtContent>
          </w:sdt>
          <w:p w14:paraId="660B5EC8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D40078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C6EB7D0" w14:textId="465C199F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D1233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7B37FA">
              <w:rPr>
                <w:rFonts w:ascii="Times New Roman" w:hAnsi="Times New Roman"/>
                <w:b/>
                <w:color w:val="000000"/>
              </w:rPr>
              <w:t xml:space="preserve">legislacyjnych i programowych Rady Ministrów </w:t>
            </w:r>
          </w:p>
          <w:p w14:paraId="3BEF8FD7" w14:textId="77777777" w:rsidR="00DD1233" w:rsidRDefault="00DD1233" w:rsidP="007943E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E8E8F9D" w14:textId="564FCE97" w:rsidR="006A701A" w:rsidRPr="008B4FE6" w:rsidRDefault="00D8581F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UC</w:t>
            </w:r>
            <w:r w:rsidR="00DD1233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76</w:t>
            </w:r>
          </w:p>
          <w:p w14:paraId="7E2846FC" w14:textId="62C1755D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8DDBB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3BA2B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A6DC7E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7C08E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2A0550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6585D3" w14:textId="12A8CBF6" w:rsidR="006A701A" w:rsidRDefault="006A701A" w:rsidP="00143C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2F48FA" w14:textId="77777777" w:rsidR="0086219C" w:rsidRDefault="0086219C" w:rsidP="003B6E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Celem projektowanej ustawy jest:</w:t>
            </w:r>
          </w:p>
          <w:p w14:paraId="270F8001" w14:textId="4E3A8A25" w:rsidR="0086219C" w:rsidRDefault="0086219C" w:rsidP="003B6E2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zapewnienie stosowania rozporządzenia Parlamentu Europejskiego </w:t>
            </w:r>
            <w:r>
              <w:rPr>
                <w:rFonts w:ascii="Times New Roman" w:hAnsi="Times New Roman"/>
              </w:rPr>
              <w:t xml:space="preserve">i Rady (UE) 2020/1503 </w:t>
            </w:r>
            <w:r w:rsidRPr="004D5356">
              <w:rPr>
                <w:rFonts w:ascii="Times New Roman" w:hAnsi="Times New Roman"/>
              </w:rPr>
              <w:t>z dnia 7 października 2020 r.</w:t>
            </w:r>
            <w:r>
              <w:rPr>
                <w:rFonts w:ascii="Times New Roman" w:hAnsi="Times New Roman"/>
              </w:rPr>
              <w:t xml:space="preserve"> w sprawie europejskich dostawców usług finansowania społecznościowego dla przedsięwzięć gospodarczych </w:t>
            </w:r>
            <w:r w:rsidRPr="004D5356">
              <w:rPr>
                <w:rFonts w:ascii="Times New Roman" w:hAnsi="Times New Roman"/>
              </w:rPr>
              <w:t>oraz zmieniające</w:t>
            </w:r>
            <w:r>
              <w:rPr>
                <w:rFonts w:ascii="Times New Roman" w:hAnsi="Times New Roman"/>
              </w:rPr>
              <w:t>go</w:t>
            </w:r>
            <w:r w:rsidRPr="004D5356">
              <w:rPr>
                <w:rFonts w:ascii="Times New Roman" w:hAnsi="Times New Roman"/>
              </w:rPr>
              <w:t xml:space="preserve"> rozporządzenie (UE) 2017/1129 i dyrektywę (UE) 2019/1937</w:t>
            </w:r>
            <w:r>
              <w:rPr>
                <w:rFonts w:ascii="Times New Roman" w:hAnsi="Times New Roman"/>
              </w:rPr>
              <w:t xml:space="preserve"> (Dz. Urz. UE L 347 z 20.10.2020, str. 1)</w:t>
            </w:r>
            <w:r w:rsidR="00B4333E">
              <w:rPr>
                <w:rFonts w:ascii="Times New Roman" w:hAnsi="Times New Roman"/>
              </w:rPr>
              <w:t xml:space="preserve">, dalej „rozporządzenie </w:t>
            </w:r>
            <w:r w:rsidR="0084394A">
              <w:rPr>
                <w:rFonts w:ascii="Times New Roman" w:hAnsi="Times New Roman"/>
              </w:rPr>
              <w:t>2020/1503”</w:t>
            </w:r>
            <w:r>
              <w:rPr>
                <w:rFonts w:ascii="Times New Roman" w:hAnsi="Times New Roman"/>
              </w:rPr>
              <w:t>;</w:t>
            </w:r>
          </w:p>
          <w:p w14:paraId="771D77B8" w14:textId="673B76AB" w:rsidR="0086219C" w:rsidRPr="003B6E25" w:rsidRDefault="003B6E25" w:rsidP="003B6E2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77E32">
              <w:rPr>
                <w:rFonts w:ascii="Times New Roman" w:hAnsi="Times New Roman"/>
              </w:rPr>
              <w:t>implementacja dyrektywy Parlamentu Europejskiego i Rady (UE) 2020/1504 z dnia 7 października 2020 r. zmieniającej dyrektywę 2014/65/UE w sprawie rynków instrumentów finansowych (Dz. Urz. UE L 347 z 20.10.2020, str. 50)</w:t>
            </w:r>
            <w:r>
              <w:rPr>
                <w:rFonts w:ascii="Times New Roman" w:hAnsi="Times New Roman"/>
              </w:rPr>
              <w:t>.</w:t>
            </w:r>
          </w:p>
          <w:p w14:paraId="4086BCAA" w14:textId="77777777" w:rsidR="0086219C" w:rsidRPr="00377E32" w:rsidRDefault="0086219C" w:rsidP="003B6E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77E32">
              <w:rPr>
                <w:rFonts w:ascii="Times New Roman" w:hAnsi="Times New Roman"/>
              </w:rPr>
              <w:t>Przepisy te będą stosowane od dnia 10 listopada 2021 r.</w:t>
            </w:r>
          </w:p>
          <w:p w14:paraId="0C00921D" w14:textId="77777777" w:rsidR="0086219C" w:rsidRPr="009E3A34" w:rsidRDefault="0086219C" w:rsidP="003B6E2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377E32">
              <w:rPr>
                <w:color w:val="000000"/>
                <w:sz w:val="22"/>
                <w:szCs w:val="22"/>
                <w:shd w:val="clear" w:color="auto" w:fill="FFFFFF"/>
              </w:rPr>
              <w:t>Przepisy rozporządzenia wprowadzają w Unii Europejskiej jednolite zasady dotycząc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377E32">
              <w:rPr>
                <w:color w:val="000000"/>
                <w:sz w:val="22"/>
                <w:szCs w:val="22"/>
                <w:shd w:val="clear" w:color="auto" w:fill="FFFFFF"/>
              </w:rPr>
              <w:t xml:space="preserve"> finansowania społecznościowego </w:t>
            </w:r>
            <w:r w:rsidRPr="00377E32">
              <w:rPr>
                <w:i/>
                <w:color w:val="000000"/>
                <w:sz w:val="22"/>
                <w:szCs w:val="22"/>
                <w:shd w:val="clear" w:color="auto" w:fill="FFFFFF"/>
              </w:rPr>
              <w:t>(European Crowdfunding Service Provider, ECSP)</w:t>
            </w:r>
            <w:r w:rsidRPr="00377E32">
              <w:rPr>
                <w:color w:val="000000"/>
                <w:sz w:val="22"/>
                <w:szCs w:val="22"/>
                <w:shd w:val="clear" w:color="auto" w:fill="FFFFFF"/>
              </w:rPr>
              <w:t xml:space="preserve">, tzw. crowdfundingu. </w:t>
            </w:r>
            <w:r w:rsidRPr="00377E32">
              <w:rPr>
                <w:color w:val="000000"/>
                <w:sz w:val="22"/>
                <w:szCs w:val="22"/>
              </w:rPr>
              <w:t xml:space="preserve">Finansowanie społecznościowe jest rozwiązaniem z dziedziny technologii finansowej, które zapewnia małym i średnim przedsiębiorstwom (MŚP), w szczególności </w:t>
            </w:r>
            <w:r w:rsidRPr="009E3A34">
              <w:rPr>
                <w:sz w:val="22"/>
                <w:szCs w:val="22"/>
              </w:rPr>
              <w:t xml:space="preserve">przedsiębiorstwom typu start-up, alternatywny dostęp do finansowania. Jest ono realizowane za pośrednictwem </w:t>
            </w:r>
            <w:r w:rsidRPr="009E3A34">
              <w:rPr>
                <w:sz w:val="22"/>
                <w:szCs w:val="22"/>
                <w:shd w:val="clear" w:color="auto" w:fill="FFFFFF"/>
              </w:rPr>
              <w:t>platformy crowfundingowej, tj. rozwiązania cyfrowego udostępnianego w Internecie otwartemu gronu odbiorców przez dostawcę usług crowdfundingowych, służącego do prowadzenia zbiórek crowfdundingowych. </w:t>
            </w:r>
          </w:p>
          <w:p w14:paraId="0CF21989" w14:textId="5F14F953" w:rsidR="0086219C" w:rsidRPr="009E3A34" w:rsidRDefault="0086219C" w:rsidP="003B6E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3A34">
              <w:rPr>
                <w:rFonts w:ascii="Times New Roman" w:hAnsi="Times New Roman"/>
              </w:rPr>
              <w:t xml:space="preserve">Rozporządzenie </w:t>
            </w:r>
            <w:r w:rsidR="009E3A34" w:rsidRPr="009E3A34">
              <w:rPr>
                <w:rFonts w:ascii="Times New Roman" w:hAnsi="Times New Roman"/>
              </w:rPr>
              <w:t xml:space="preserve">dotyczy </w:t>
            </w:r>
            <w:r w:rsidR="00A73245">
              <w:rPr>
                <w:rFonts w:ascii="Times New Roman" w:hAnsi="Times New Roman"/>
              </w:rPr>
              <w:t>platform crowdfundingowych</w:t>
            </w:r>
            <w:r w:rsidRPr="009E3A34">
              <w:rPr>
                <w:rFonts w:ascii="Times New Roman" w:hAnsi="Times New Roman"/>
              </w:rPr>
              <w:t>:</w:t>
            </w:r>
          </w:p>
          <w:p w14:paraId="3ECA5CAF" w14:textId="7ADEDFB2" w:rsidR="0086219C" w:rsidRPr="00377E32" w:rsidRDefault="0086219C" w:rsidP="003B6E2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E32">
              <w:rPr>
                <w:rFonts w:ascii="Times New Roman" w:hAnsi="Times New Roman"/>
                <w:color w:val="000000"/>
              </w:rPr>
              <w:t xml:space="preserve">działających w tzw. modelu </w:t>
            </w:r>
            <w:r>
              <w:rPr>
                <w:rFonts w:ascii="Times New Roman" w:hAnsi="Times New Roman"/>
                <w:color w:val="000000"/>
              </w:rPr>
              <w:t>udziałowym, w którym inwestor, w zamian za wpłatę, obejmuje papiery wartościowe (najczęściej akcje) wyemitowane przez właściciela projektu</w:t>
            </w:r>
            <w:r w:rsidRPr="00377E32">
              <w:rPr>
                <w:rFonts w:ascii="Times New Roman" w:hAnsi="Times New Roman"/>
                <w:color w:val="000000"/>
              </w:rPr>
              <w:t>,</w:t>
            </w:r>
            <w:r w:rsidR="003B6E25">
              <w:rPr>
                <w:rFonts w:ascii="Times New Roman" w:hAnsi="Times New Roman"/>
                <w:color w:val="000000"/>
              </w:rPr>
              <w:t xml:space="preserve"> oraz</w:t>
            </w:r>
          </w:p>
          <w:p w14:paraId="74527D16" w14:textId="77777777" w:rsidR="0086219C" w:rsidRPr="00377E32" w:rsidRDefault="0086219C" w:rsidP="003B6E2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E32">
              <w:rPr>
                <w:rFonts w:ascii="Times New Roman" w:hAnsi="Times New Roman"/>
                <w:color w:val="000000"/>
              </w:rPr>
              <w:t xml:space="preserve">ułatwiających udzielanie pożyczek społecznościowych. </w:t>
            </w:r>
          </w:p>
          <w:p w14:paraId="1B95BB31" w14:textId="77777777" w:rsidR="0086219C" w:rsidRDefault="0086219C" w:rsidP="003B6E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przyznaje dostawcom usług finansowania społecznościowego dla przedsięwzięć gospodarczych swobodę świadczenia usług w całej Unii Europejskiej, jednocześnie nakładając na nich konieczność spełniania określonych obowiązków organizacyjnych. </w:t>
            </w:r>
          </w:p>
          <w:p w14:paraId="2CCB9F62" w14:textId="5A3B0690" w:rsidR="00A33C11" w:rsidRDefault="0086219C" w:rsidP="003B6E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zawiera także rozwiązania podnoszące poziom ochrony inwestorów.</w:t>
            </w:r>
          </w:p>
          <w:p w14:paraId="1AAE4121" w14:textId="77777777" w:rsidR="00A33C11" w:rsidRPr="00B37C80" w:rsidRDefault="00A33C11" w:rsidP="00A33C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626CB3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8E4891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7EC24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9EA897C" w14:textId="6A03080C" w:rsidR="006A701A" w:rsidRDefault="006A701A" w:rsidP="008451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0FD573B" w14:textId="77777777" w:rsidR="0086219C" w:rsidRDefault="0086219C" w:rsidP="008621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Rozporządzenie zobowiązuje państwa członkowskie UE do wprowadzenia w prawie krajowym rozwiązań zapewniających skuteczne stosowanie przepisów tego rozporządzenia. W tym celu projektowana ustawa:</w:t>
            </w:r>
          </w:p>
          <w:p w14:paraId="3208398B" w14:textId="77777777" w:rsidR="0086219C" w:rsidRDefault="0086219C" w:rsidP="0086219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7E32">
              <w:rPr>
                <w:rFonts w:ascii="Times New Roman" w:hAnsi="Times New Roman"/>
                <w:color w:val="000000"/>
                <w:spacing w:val="-2"/>
              </w:rPr>
              <w:t xml:space="preserve">wskaże Komisję Nadzoru Finansowego (KNF) jako organ właściwy do nadzoru nad dostawcami usług finansowania społecznościowego dla przedsięwzięć gospodarczych, </w:t>
            </w:r>
          </w:p>
          <w:p w14:paraId="00944B70" w14:textId="77777777" w:rsidR="0086219C" w:rsidRDefault="0086219C" w:rsidP="0086219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7E32">
              <w:rPr>
                <w:rFonts w:ascii="Times New Roman" w:hAnsi="Times New Roman"/>
                <w:color w:val="000000"/>
                <w:spacing w:val="-2"/>
              </w:rPr>
              <w:t>przyzna KNF odpowiednie uprawnienia nadzorcze (m.in. do zawieszania konkretnych ofert finansowania społecznościowego lub zawieszania prowadzenia działalności przez dostawców oraz do współdziałania z organami wymiaru sprawiedliwości i organami nadzoru z innych państw członkowskich UE)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41EB52B" w14:textId="42ADD4DF" w:rsidR="0086219C" w:rsidRDefault="0086219C" w:rsidP="0086219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7E32">
              <w:rPr>
                <w:rFonts w:ascii="Times New Roman" w:hAnsi="Times New Roman"/>
                <w:color w:val="000000"/>
                <w:spacing w:val="-2"/>
              </w:rPr>
              <w:t>wprowadzi odpowiednie sankcje administracyjne i karne za nieprzestrzeganie przepisów rozporządzenia lub ustawy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9191647" w14:textId="77777777" w:rsidR="0086219C" w:rsidRDefault="0086219C" w:rsidP="0086219C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</w:pPr>
            <w:r w:rsidRPr="00377E32">
              <w:rPr>
                <w:rFonts w:ascii="Times New Roman" w:hAnsi="Times New Roman"/>
                <w:color w:val="000000"/>
                <w:spacing w:val="-2"/>
              </w:rPr>
              <w:t xml:space="preserve">wprowadzi odpowiedzialność cywilnoprawną i karną za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poprawność i prawdziwość </w:t>
            </w:r>
            <w:r w:rsidRPr="00377E32">
              <w:rPr>
                <w:rFonts w:ascii="Times New Roman" w:hAnsi="Times New Roman"/>
                <w:color w:val="000000"/>
                <w:spacing w:val="-2"/>
              </w:rPr>
              <w:t>informacj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377E32">
              <w:rPr>
                <w:rFonts w:ascii="Times New Roman" w:hAnsi="Times New Roman"/>
                <w:color w:val="000000"/>
                <w:spacing w:val="-2"/>
              </w:rPr>
              <w:t xml:space="preserve"> podawan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ych </w:t>
            </w:r>
            <w:r w:rsidRPr="00377E32">
              <w:rPr>
                <w:rFonts w:ascii="Times New Roman" w:hAnsi="Times New Roman"/>
                <w:color w:val="000000"/>
                <w:spacing w:val="-2"/>
              </w:rPr>
              <w:t>w dokumentach informacyjnych sporządzanych w związku z ofertą finansowania społecznościowego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2787711" w14:textId="77777777" w:rsidR="0086219C" w:rsidRDefault="0086219C" w:rsidP="0086219C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7E32">
              <w:rPr>
                <w:rFonts w:ascii="Times New Roman" w:hAnsi="Times New Roman"/>
                <w:color w:val="000000"/>
                <w:spacing w:val="-2"/>
              </w:rPr>
              <w:t>wprowadzi przepisy dotyczące tajemnicy zawodowej i zasad przechowywania dokumentacji związanej ze świadczeniem usług finansowania społecznościowego dla przedsięwzięć gospodarczych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27C6F6A" w14:textId="5CAFCA23" w:rsidR="0086219C" w:rsidRPr="00167570" w:rsidRDefault="009E3A34" w:rsidP="0086219C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uprości </w:t>
            </w:r>
            <w:r w:rsidR="0086219C" w:rsidRPr="00515EF0">
              <w:rPr>
                <w:rFonts w:ascii="Times New Roman" w:hAnsi="Times New Roman"/>
                <w:color w:val="000000"/>
                <w:spacing w:val="-2"/>
              </w:rPr>
              <w:t>niektóre wymogi informacyjne spoczywając</w:t>
            </w:r>
            <w:r w:rsidR="0086219C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86219C" w:rsidRPr="00515EF0">
              <w:rPr>
                <w:rFonts w:ascii="Times New Roman" w:hAnsi="Times New Roman"/>
                <w:color w:val="000000"/>
                <w:spacing w:val="-2"/>
              </w:rPr>
              <w:t xml:space="preserve"> na emitencie papierów wartościowych</w:t>
            </w:r>
            <w:r w:rsidR="0086219C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86219C" w:rsidRPr="00A73245">
              <w:rPr>
                <w:rFonts w:ascii="Times New Roman" w:hAnsi="Times New Roman"/>
                <w:color w:val="000000"/>
                <w:spacing w:val="-2"/>
              </w:rPr>
              <w:t>w przypadku ofert publicznych prowadzonych poza platformami finansowania społecznościowego, ale za pośrednictwem firmy inwestycyjnej, emitent będzie miał możliwość sporządzenia jedynie arkusza kluczowych informacji inwestycyjnych zamiast memorandum informacyjnego</w:t>
            </w:r>
            <w:r w:rsidR="007E100C" w:rsidRPr="00A7324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8751966" w14:textId="77777777" w:rsidR="0086219C" w:rsidRDefault="0086219C" w:rsidP="008621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5C1A86" w14:textId="587F1BCC" w:rsidR="0086219C" w:rsidRPr="00A73245" w:rsidRDefault="009E3A34" w:rsidP="008621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 </w:t>
            </w:r>
            <w:r w:rsidR="0086219C">
              <w:rPr>
                <w:rFonts w:ascii="Times New Roman" w:hAnsi="Times New Roman"/>
                <w:color w:val="000000"/>
                <w:spacing w:val="-2"/>
              </w:rPr>
              <w:t>dniem 10 listopad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2023 r. ulegnie podwyższeniu próg </w:t>
            </w:r>
            <w:r w:rsidR="0086219C">
              <w:rPr>
                <w:rFonts w:ascii="Times New Roman" w:hAnsi="Times New Roman"/>
                <w:color w:val="000000"/>
                <w:spacing w:val="-2"/>
              </w:rPr>
              <w:t xml:space="preserve">kwotowy wpływów z tytułu emisji papierów wartościowych, który zwalnia z obowiązku sporządzenia prospektu, z 2,5 mln euro do 5 mln euro. </w:t>
            </w:r>
            <w:r w:rsidR="0086219C" w:rsidRPr="00A73245">
              <w:rPr>
                <w:rFonts w:ascii="Times New Roman" w:hAnsi="Times New Roman"/>
                <w:color w:val="000000"/>
                <w:spacing w:val="-2"/>
              </w:rPr>
              <w:t>Oferty publiczne, z których zakładane wpływy wyniosą między 2,5 a 5 mln euro, zostaną z tym dniem objęte obowiązkiem sporządzenia memorandum informacyjnego (lub arkusza kluczowych informacji inwestycyjnych, w przypadku ofert prowadzonych za pośrednictwem firmy inwestycyjnej).</w:t>
            </w:r>
          </w:p>
          <w:p w14:paraId="5B72508F" w14:textId="66013203" w:rsidR="0086219C" w:rsidRDefault="0086219C" w:rsidP="008621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rozporządzeniem właściciele projektów finansowanych na platformach finansowania społecznościowego będą mogli pozyskać środki do 5 mln euro bez konieczności sporządzania prospektu. Natomiast przez okres 2 lat od dnia rozpoczęcia stosowania rozporządzenia (tj. do dnia 9 listopada 2023 r.) w państwach, w których próg kwotowy wpływów z tytułu emisji papierów wartościowych, powyżej którego należy spo</w:t>
            </w:r>
            <w:r w:rsidR="009E3A34">
              <w:rPr>
                <w:rFonts w:ascii="Times New Roman" w:hAnsi="Times New Roman"/>
                <w:color w:val="000000"/>
                <w:spacing w:val="-2"/>
              </w:rPr>
              <w:t xml:space="preserve">rządzić prospekt, wynosi mniej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niż 5 mln euro, dopuszcza się prowadzenie ofert finansowania społecznościowego bez konieczności sporządzenia prospektu jedynie do wartości nieprzekraczającej progu przewidzianego w prawie krajowym. </w:t>
            </w:r>
          </w:p>
          <w:p w14:paraId="4B895B89" w14:textId="77777777" w:rsidR="0086219C" w:rsidRDefault="0086219C" w:rsidP="008621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17B5DE77" w14:textId="5188B05E" w:rsidR="001A2433" w:rsidRDefault="0086219C" w:rsidP="008451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celu implementacji dyrektywy projektowana ustawa dokona nowelizacji ustawy z dnia 29 lipca 2005 r. o obrocie instrumentami finansowymi (Dz. U. z 202</w:t>
            </w:r>
            <w:r w:rsidR="00927DA3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927DA3">
              <w:rPr>
                <w:rFonts w:ascii="Times New Roman" w:hAnsi="Times New Roman"/>
                <w:color w:val="000000"/>
                <w:spacing w:val="-2"/>
              </w:rPr>
              <w:t>328</w:t>
            </w:r>
            <w:r w:rsidR="00ED0CE0"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>
              <w:rPr>
                <w:rFonts w:ascii="Times New Roman" w:hAnsi="Times New Roman"/>
                <w:color w:val="000000"/>
                <w:spacing w:val="-2"/>
              </w:rPr>
              <w:t>) przez wyłączenie stosowania przepisów tej ustawy do dostawców usług finansowania społecznościowego dla przedsięwzięć gospodarczych.</w:t>
            </w:r>
          </w:p>
          <w:p w14:paraId="5F173229" w14:textId="77777777" w:rsidR="001A2433" w:rsidRPr="00B37C80" w:rsidRDefault="001A2433" w:rsidP="008451B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0903C1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50EC9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FFA4C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B59EF9E" w14:textId="77777777" w:rsidR="0009526A" w:rsidRDefault="0009526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44A318E" w14:textId="1E0C8B1B" w:rsidR="006A701A" w:rsidRDefault="007B37F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143C40">
              <w:rPr>
                <w:rFonts w:ascii="Times New Roman" w:hAnsi="Times New Roman"/>
                <w:color w:val="000000"/>
                <w:spacing w:val="-2"/>
              </w:rPr>
              <w:t xml:space="preserve">rojektowana ustawa ma na celu wykonanie prawa Unii Europejskiej,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co nastąpi na tożsamych zasadach w </w:t>
            </w:r>
            <w:r w:rsidR="00143C40">
              <w:rPr>
                <w:rFonts w:ascii="Times New Roman" w:hAnsi="Times New Roman"/>
                <w:color w:val="000000"/>
                <w:spacing w:val="-2"/>
              </w:rPr>
              <w:t>państwach członkowskich UE.</w:t>
            </w:r>
          </w:p>
          <w:p w14:paraId="5CFC5480" w14:textId="6B69A9B2" w:rsidR="0086219C" w:rsidRDefault="0086219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Poza Unią Europejską regulacje prawne dotyczące crowdfundingu zostały przyjęte m.in. w Wielkiej Brytanii, Stanach Zjednoczonych Ameryki i Australii. W związku z koniecznością zapewnienia przez projektowaną ustawę stosowania prawa Unii Europejskiej nie prowadzono jednak pogłębionej analizy rozwiązań przyjętych poza UE.</w:t>
            </w:r>
          </w:p>
          <w:p w14:paraId="085CECEF" w14:textId="77777777" w:rsidR="0009526A" w:rsidRPr="00B37C80" w:rsidRDefault="0009526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7857AC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5066D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2B2119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6C4F5B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1284BB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7AD65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57CE03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2E729E0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5AB55D" w14:textId="77777777" w:rsidR="00260F33" w:rsidRPr="008B4FE6" w:rsidRDefault="00130914" w:rsidP="001309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Dostawcy usług finansowania społecznościowego dla przedsięwzięć gospodarczych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EC77E4" w14:textId="05023AEC" w:rsidR="00260F33" w:rsidRPr="00B37C80" w:rsidRDefault="00D8581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C04E22" w14:textId="49E2733B" w:rsidR="00260F33" w:rsidRPr="00B37C80" w:rsidRDefault="0013091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analiza własna</w:t>
            </w:r>
            <w:r w:rsidR="001565F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4333E">
              <w:rPr>
                <w:rFonts w:ascii="Times New Roman" w:hAnsi="Times New Roman"/>
                <w:color w:val="000000"/>
                <w:spacing w:val="-2"/>
              </w:rPr>
              <w:t>MF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821BD6" w14:textId="0F6B8C5B" w:rsidR="00260F33" w:rsidRPr="00B37C80" w:rsidRDefault="00130914" w:rsidP="001565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uzyskani</w:t>
            </w:r>
            <w:r w:rsidR="007B37FA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zezwolenia na prowadzenie działalności</w:t>
            </w:r>
            <w:r w:rsidR="007B37FA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>
              <w:rPr>
                <w:rFonts w:ascii="Times New Roman" w:hAnsi="Times New Roman"/>
                <w:color w:val="000000"/>
                <w:spacing w:val="-2"/>
              </w:rPr>
              <w:t>spełni</w:t>
            </w:r>
            <w:r w:rsidR="007B37FA">
              <w:rPr>
                <w:rFonts w:ascii="Times New Roman" w:hAnsi="Times New Roman"/>
                <w:color w:val="000000"/>
                <w:spacing w:val="-2"/>
              </w:rPr>
              <w:t xml:space="preserve">enia </w:t>
            </w:r>
            <w:r>
              <w:rPr>
                <w:rFonts w:ascii="Times New Roman" w:hAnsi="Times New Roman"/>
                <w:color w:val="000000"/>
                <w:spacing w:val="-2"/>
              </w:rPr>
              <w:t>określonych wymogów organizacyjnych</w:t>
            </w:r>
          </w:p>
        </w:tc>
      </w:tr>
      <w:tr w:rsidR="00260F33" w:rsidRPr="008B4FE6" w14:paraId="04AC950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258912" w14:textId="77777777" w:rsidR="00260F33" w:rsidRPr="008B4FE6" w:rsidRDefault="00130914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inwestorzy dokonujący inwestycji na platformach finansowania społecznościowego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087486" w14:textId="77777777" w:rsidR="00260F33" w:rsidRPr="00B37C80" w:rsidRDefault="00130914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niemożliwa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6AEB42" w14:textId="77777777"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CD00DC1" w14:textId="2BF44472" w:rsidR="00260F33" w:rsidRPr="00B37C80" w:rsidRDefault="007B37FA" w:rsidP="00927DA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130914">
              <w:rPr>
                <w:rFonts w:ascii="Times New Roman" w:hAnsi="Times New Roman"/>
                <w:color w:val="000000"/>
                <w:spacing w:val="-2"/>
              </w:rPr>
              <w:t xml:space="preserve">większenie bezpieczeństwa inwestycji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związku z </w:t>
            </w:r>
            <w:r w:rsidR="00130914">
              <w:rPr>
                <w:rFonts w:ascii="Times New Roman" w:hAnsi="Times New Roman"/>
                <w:color w:val="000000"/>
                <w:spacing w:val="-2"/>
              </w:rPr>
              <w:t xml:space="preserve">nadzorem KNF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nad </w:t>
            </w:r>
            <w:r w:rsidR="00130914">
              <w:rPr>
                <w:rFonts w:ascii="Times New Roman" w:hAnsi="Times New Roman"/>
                <w:color w:val="000000"/>
                <w:spacing w:val="-2"/>
              </w:rPr>
              <w:t>działalności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ą </w:t>
            </w:r>
            <w:r w:rsidR="00130914">
              <w:rPr>
                <w:rFonts w:ascii="Times New Roman" w:hAnsi="Times New Roman"/>
                <w:color w:val="000000"/>
                <w:spacing w:val="-2"/>
              </w:rPr>
              <w:t>platform finansowania społecznościowego dla przedsięwzięć gospodarczych</w:t>
            </w:r>
          </w:p>
        </w:tc>
      </w:tr>
      <w:tr w:rsidR="00260F33" w:rsidRPr="008B4FE6" w14:paraId="73C648F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DF224F" w14:textId="77777777" w:rsidR="00260F33" w:rsidRPr="008B4FE6" w:rsidRDefault="0013091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emitenci papierów wartościowych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A3423F0" w14:textId="77777777" w:rsidR="00260F33" w:rsidRPr="00B37C80" w:rsidRDefault="0013091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niemożliwa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53961C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AB2ADE7" w14:textId="33AAE625" w:rsidR="00260F33" w:rsidRPr="00B37C80" w:rsidRDefault="00164CA1" w:rsidP="007B37F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sporządzani</w:t>
            </w:r>
            <w:r w:rsidR="007B37FA"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>
              <w:rPr>
                <w:rFonts w:ascii="Times New Roman" w:hAnsi="Times New Roman"/>
                <w:color w:val="000000"/>
                <w:spacing w:val="-2"/>
              </w:rPr>
              <w:t>arkusza kluczowych informacji inwestycyjnych w miejsce memorandum informacyjnego lub prospektu w przypadku prowadzenia ofert publicznych na platformach finansowania społecznościowego oraz w przypadku ofert prowadzonych za pośrednictwem firmy inwestycyjnej</w:t>
            </w:r>
          </w:p>
        </w:tc>
      </w:tr>
      <w:tr w:rsidR="00260F33" w:rsidRPr="008B4FE6" w14:paraId="722CA2B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8EA019A" w14:textId="77777777" w:rsidR="00260F33" w:rsidRPr="008B4FE6" w:rsidRDefault="00164CA1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44C2AB7" w14:textId="77777777" w:rsidR="00260F33" w:rsidRPr="00B37C80" w:rsidRDefault="00164CA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90F8A0B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44F9B4B" w14:textId="2D0C2847" w:rsidR="007B37FA" w:rsidRDefault="007B37FA" w:rsidP="007B37F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reglamentacja administracyjna </w:t>
            </w:r>
            <w:r w:rsidR="00164CA1">
              <w:rPr>
                <w:rFonts w:ascii="Times New Roman" w:hAnsi="Times New Roman"/>
                <w:color w:val="000000"/>
                <w:spacing w:val="-2"/>
              </w:rPr>
              <w:t>platform</w:t>
            </w:r>
            <w:r w:rsidR="009E3A3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4CA1">
              <w:rPr>
                <w:rFonts w:ascii="Times New Roman" w:hAnsi="Times New Roman"/>
                <w:color w:val="000000"/>
                <w:spacing w:val="-2"/>
              </w:rPr>
              <w:t>finansowania społecznościowego dla przedsięwzięć gospodarczych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nadzór nad taką działalnością;</w:t>
            </w:r>
          </w:p>
          <w:p w14:paraId="0AD377C6" w14:textId="77777777" w:rsidR="00260F33" w:rsidRDefault="00164CA1" w:rsidP="007B37F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współpraca z ESMA i organami nadzoru z innych państw członkowskich UE w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zakresie nadzoru nad dostawcami usług finansowania społecznościowego dla przedsięwzięć gospodarczych</w:t>
            </w:r>
          </w:p>
          <w:p w14:paraId="442FA07D" w14:textId="3B3659A9" w:rsidR="0084394A" w:rsidRPr="00B37C80" w:rsidRDefault="0084394A" w:rsidP="007B37F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3FD036A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5502CB7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4823B79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1CCA9A3" w14:textId="39E47005" w:rsidR="00143C40" w:rsidRDefault="00143C40" w:rsidP="00ED0CE0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2837B5">
              <w:rPr>
                <w:rFonts w:ascii="Times New Roman" w:hAnsi="Times New Roman"/>
                <w:noProof/>
                <w:color w:val="000000"/>
              </w:rPr>
              <w:t xml:space="preserve">Nie prowadzono konsultacji poprzedzających przygotowanie projektu </w:t>
            </w:r>
            <w:r>
              <w:rPr>
                <w:rFonts w:ascii="Times New Roman" w:hAnsi="Times New Roman"/>
                <w:noProof/>
                <w:color w:val="000000"/>
              </w:rPr>
              <w:t>ustawy</w:t>
            </w:r>
            <w:r w:rsidR="00ED0CE0">
              <w:rPr>
                <w:rFonts w:ascii="Times New Roman" w:hAnsi="Times New Roman"/>
                <w:noProof/>
                <w:color w:val="000000"/>
              </w:rPr>
              <w:t>.</w:t>
            </w:r>
          </w:p>
          <w:p w14:paraId="0BAA4A09" w14:textId="77777777" w:rsidR="00ED0CE0" w:rsidRDefault="00ED0CE0" w:rsidP="00ED0CE0">
            <w:pPr>
              <w:spacing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  <w:p w14:paraId="41504FDF" w14:textId="3ABE7A70" w:rsidR="006A701A" w:rsidRDefault="00143C40" w:rsidP="0009526A">
            <w:pPr>
              <w:spacing w:line="240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W ramach konsultacji publicznych </w:t>
            </w:r>
            <w:r w:rsidR="0009526A">
              <w:rPr>
                <w:rFonts w:ascii="Times New Roman" w:hAnsi="Times New Roman"/>
                <w:noProof/>
                <w:color w:val="000000"/>
              </w:rPr>
              <w:t xml:space="preserve">i opiniowania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projekt </w:t>
            </w:r>
            <w:r w:rsidR="00CA4E5C">
              <w:rPr>
                <w:rFonts w:ascii="Times New Roman" w:hAnsi="Times New Roman"/>
                <w:noProof/>
                <w:color w:val="000000"/>
              </w:rPr>
              <w:t xml:space="preserve">ustawy zostanie przekazany </w:t>
            </w:r>
            <w:r w:rsidR="0086219C" w:rsidRPr="00901F90">
              <w:rPr>
                <w:rFonts w:ascii="Times New Roman" w:hAnsi="Times New Roman"/>
                <w:bCs/>
                <w:color w:val="000000"/>
                <w:spacing w:val="-2"/>
              </w:rPr>
              <w:t>Komisji Nadzoru Finansowego, Narodowemu Bankowi Polskiemu, Urzędowi Ochrony Konkurencji i Konsumentów</w:t>
            </w:r>
            <w:r w:rsidR="0086219C"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, Rzecznikowi Praw Obywatelskich, Głównemu Urzędowi Statystycznemu, Prokuratorii Generalnej </w:t>
            </w:r>
            <w:r w:rsidR="0086219C">
              <w:rPr>
                <w:rFonts w:ascii="Times New Roman" w:hAnsi="Times New Roman"/>
                <w:bCs/>
                <w:color w:val="000000"/>
                <w:spacing w:val="-2"/>
              </w:rPr>
              <w:t>Rzeczypospolitej Polskiej</w:t>
            </w:r>
            <w:r w:rsidR="0086219C"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, </w:t>
            </w:r>
            <w:r w:rsidR="0086219C">
              <w:rPr>
                <w:rFonts w:ascii="Times New Roman" w:hAnsi="Times New Roman"/>
                <w:bCs/>
                <w:color w:val="000000"/>
                <w:spacing w:val="-2"/>
              </w:rPr>
              <w:t xml:space="preserve">Prezesowi Urzędu </w:t>
            </w:r>
            <w:r w:rsidR="0086219C" w:rsidRPr="005112BD">
              <w:rPr>
                <w:rFonts w:ascii="Times New Roman" w:hAnsi="Times New Roman"/>
                <w:bCs/>
                <w:color w:val="000000"/>
                <w:spacing w:val="-2"/>
              </w:rPr>
              <w:t>Ochrony Danych Osobowych</w:t>
            </w:r>
            <w:r w:rsidR="0086219C">
              <w:rPr>
                <w:rFonts w:ascii="Times New Roman" w:hAnsi="Times New Roman"/>
                <w:bCs/>
                <w:color w:val="000000"/>
                <w:spacing w:val="-2"/>
              </w:rPr>
              <w:t>,</w:t>
            </w:r>
            <w:r w:rsidR="0009526A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CA4E5C">
              <w:rPr>
                <w:rFonts w:ascii="Times New Roman" w:hAnsi="Times New Roman"/>
                <w:noProof/>
                <w:color w:val="000000"/>
              </w:rPr>
              <w:t>dostawcom usług finansowania społecznościowego dla przedsięwzięć gospodarczych prowadzącym działalność na terytorium RP,</w:t>
            </w:r>
            <w:r w:rsidRPr="002837B5">
              <w:rPr>
                <w:rFonts w:ascii="Times New Roman" w:hAnsi="Times New Roman"/>
                <w:noProof/>
                <w:color w:val="000000"/>
              </w:rPr>
              <w:t xml:space="preserve"> Giełdzie Papierów Wartościowych S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BondSpot S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Towarowej Giełdzie Energii S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Krajowemu Depozytowi Papierów Wartościowych S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A73245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Izbie Domów Maklerskich, Izbie Zarządzających Funduszami i Aktywami, Związkowi Banków Polskich, Radzie Banków Depozytariuszy, Stowarzyszeniu Emitentów Giełdowych,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Izbie Rozliczeniowej Giełd Towarowych, Stowarzyszeniu Inwestorów Indywidualnych, Związkowi Maklerów i Doradców, Polskiemu Stowarzyszeniu Inwestorów Kapitałowych, Fundacji Polski Instytut Dyrektorów, Krajowej Spółdzielczej Kas</w:t>
            </w:r>
            <w:r>
              <w:rPr>
                <w:rFonts w:ascii="Times New Roman" w:hAnsi="Times New Roman"/>
                <w:noProof/>
                <w:color w:val="000000"/>
              </w:rPr>
              <w:t>ie</w:t>
            </w:r>
            <w:r w:rsidRPr="002837B5">
              <w:rPr>
                <w:rFonts w:ascii="Times New Roman" w:hAnsi="Times New Roman"/>
                <w:noProof/>
                <w:color w:val="000000"/>
              </w:rPr>
              <w:t xml:space="preserve"> Oszczędnościowo-Kredytowej, CFA Society Poland, Instytutowi Rachunkowości i Podatków, Stowarzyszeniu Compliance Polska</w:t>
            </w:r>
            <w:r w:rsidR="001565FF">
              <w:rPr>
                <w:rFonts w:ascii="Times New Roman" w:hAnsi="Times New Roman"/>
                <w:noProof/>
                <w:color w:val="000000"/>
              </w:rPr>
              <w:t xml:space="preserve"> oraz</w:t>
            </w:r>
            <w:r w:rsidRPr="002837B5">
              <w:rPr>
                <w:rFonts w:ascii="Times New Roman" w:hAnsi="Times New Roman"/>
                <w:noProof/>
                <w:color w:val="000000"/>
              </w:rPr>
              <w:t xml:space="preserve"> Federacji Przedsiębiorców Polskich.</w:t>
            </w:r>
          </w:p>
          <w:p w14:paraId="71780424" w14:textId="77777777" w:rsidR="001565FF" w:rsidRDefault="001565FF" w:rsidP="0009526A">
            <w:pPr>
              <w:spacing w:line="240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  <w:p w14:paraId="1313DD86" w14:textId="7D4C145C" w:rsidR="003E52AC" w:rsidRPr="00B4333E" w:rsidRDefault="003E52AC" w:rsidP="0009526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Czas trwania konsultacji zostanie wyznaczony na 14 dni od dnia udostępnienia projektu. Skrócenie czasu trwania konsultacji wynika z konieczności przeprowadzenia procesu legislacyjnego w takich terminach, aby projektowana ustawa weszła w życie z dniem 10 listopada 2021 r.</w:t>
            </w:r>
            <w:r w:rsidR="001565FF">
              <w:rPr>
                <w:rFonts w:ascii="Times New Roman" w:hAnsi="Times New Roman"/>
                <w:noProof/>
                <w:color w:val="000000"/>
              </w:rPr>
              <w:t xml:space="preserve">, tj. w </w:t>
            </w:r>
            <w:r w:rsidR="001565FF">
              <w:rPr>
                <w:rFonts w:ascii="Times New Roman" w:hAnsi="Times New Roman"/>
                <w:spacing w:val="-2"/>
              </w:rPr>
              <w:t>terminie rozpoczęcia stosowania rozporządzenia</w:t>
            </w:r>
            <w:r w:rsidR="0084394A">
              <w:rPr>
                <w:rFonts w:ascii="Times New Roman" w:hAnsi="Times New Roman"/>
                <w:spacing w:val="-2"/>
              </w:rPr>
              <w:t xml:space="preserve"> 2020/1503</w:t>
            </w:r>
            <w:r w:rsidR="001565FF" w:rsidRPr="00B06EE5">
              <w:rPr>
                <w:rFonts w:ascii="Times New Roman" w:hAnsi="Times New Roman"/>
                <w:spacing w:val="-2"/>
              </w:rPr>
              <w:t>.</w:t>
            </w:r>
          </w:p>
          <w:p w14:paraId="1394A251" w14:textId="35D1810B" w:rsidR="0009526A" w:rsidRPr="00B37C80" w:rsidRDefault="0009526A" w:rsidP="000952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948CD8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463415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6BDFA18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9010A28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7EF8C20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3119B5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D44CC8C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36817A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60918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BA76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131A6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E99DE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C5BFD7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168CF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2A294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7DA0C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8E611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F2F84E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D0B3C35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4BF2B34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821E0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C67A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58AA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91AF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16B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92BD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7E5E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F4A3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4015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B43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CB73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045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573E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FE62E4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D5BCB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B551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1314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D3F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4778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914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B47F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E99FC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6681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94D0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ABF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5131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FEC1B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9A87CA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89F3F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604D8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AF9F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A3CB2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B6466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B7BB1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90CA0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A4421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895A3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7616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0695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15D59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AF06E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CDD0B7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C1BC2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5BD63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6091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6D28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C6661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48833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DE813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0EEEB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E8F25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5EA3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172E6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5CDB6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599CB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B718B1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0DB3E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BBF0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7C6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621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CA48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3FB6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4434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8DB2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1471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550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CFE4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8578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7444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EA4F37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F209D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7022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F0CD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12D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FBA1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5C48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4601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AAFA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E2D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1F9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0EC1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2154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BF94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4C053C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1D0A0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157F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D511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1D6F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5A39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E80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7F59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8998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A97B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05A1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1C9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4998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66546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5FA730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5BA04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20EE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AF53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1DC1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A607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8A77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1884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A227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DFE8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E5A7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C09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04E4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DC126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47B2E4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1C4E6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F8A4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5EF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8F72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F35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5DF6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C80C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99907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4841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1253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2CA8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4C6B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C960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4A8E03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AC5AA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1D82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F2C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FF3C0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AFC7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CAC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C7D3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FCC5F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4302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D192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F28D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3388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182D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506BC8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AE2BE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D7A7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53A7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4E454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C566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F45A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34FF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6328C8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45FE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397F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20B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CE90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93AA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FA1E9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7A9A0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73A7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DAAE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6535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D09B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E7A8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3CB7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5A63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A175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31A6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D7B7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9CCF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DD1AB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4B6DB26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7BEDF2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B099A81" w14:textId="5D0DEB19" w:rsidR="000A4B82" w:rsidRDefault="000A4B82" w:rsidP="000A4B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D863B2" w14:textId="6A793767" w:rsidR="000A4B82" w:rsidRDefault="000A4B82" w:rsidP="000A4B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08A4">
              <w:rPr>
                <w:rFonts w:ascii="Times New Roman" w:hAnsi="Times New Roman"/>
              </w:rPr>
              <w:t>Wejście w życie ustawy nie wpłynie na sektor finansów publicznych, w tym budżet państwa i budżety jednostek samorządu terytorialnego.</w:t>
            </w:r>
          </w:p>
          <w:p w14:paraId="3D738B61" w14:textId="77777777" w:rsidR="006A701A" w:rsidRPr="00B37C80" w:rsidRDefault="006A701A" w:rsidP="001565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610C1341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60206F0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6D0FFA0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B61650" w14:textId="77777777" w:rsidR="00E24BD7" w:rsidRDefault="001565FF" w:rsidP="008439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52AC">
              <w:rPr>
                <w:rFonts w:ascii="Times New Roman" w:hAnsi="Times New Roman"/>
              </w:rPr>
              <w:t>Zwiększone koszty działania KNF, wynikające z dodatkowych zadań będą pokrywane z opłat uiszczanych przez dostawców usług finansowania społecznościowego. Podmioty te będą obciążane jednorazową opłatą za wydanie zezwolenia na prowadzenie działalności (nie więcej niż równowartość w złotych 4500 euro). Dodatkowo podmioty te będą wnosić na rzecz KNF opłaty roczne, ustalane na podstawie średniej wartości przychodów w okresie ostatnich trzech lat obrotowych poprzedzających rok, za który należna jest opłata, pomniejszonych o dywidendy otrzymane od jednostek zależnych i stowarzyszonych (nie więcej niż 0,5% tej średniej, jednak nie mniejsza niż równowartość w złotych 750 euro). Wysokość opłat odpowiada wysokościom przyjętym dla pozostałych instytucji finansowych działających na rynku kapitałowym.</w:t>
            </w:r>
          </w:p>
          <w:p w14:paraId="60BD8109" w14:textId="2D94FD40" w:rsidR="00B4333E" w:rsidRPr="00C53F26" w:rsidRDefault="00B4333E" w:rsidP="008439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8A33E4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74B8E6A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7D8C0F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9894AA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E18A0D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12A690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0AE17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78827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32450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08E2A8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9025DD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D741B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F021626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1B960DF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1E06899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9198A67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3DF5C92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AEF2DFF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C46B2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4E7C2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FD894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0877F8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33E34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A35C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2B48D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E558B0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A2768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A8E811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DB86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BC25A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FDF36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870826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4863A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24695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AE92C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6F7FB5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C4159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7E021A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8235FA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019BA6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611ADF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4B58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A1A00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84F64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6E8AB1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3DE87F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2718FE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AB127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2EF84B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C350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F4072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0C450E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602B3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66EED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1E6873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E52AC" w:rsidRPr="008B4FE6" w14:paraId="57593F2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B133560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F35627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7DB2CD" w14:textId="77777777" w:rsidR="003E52AC" w:rsidRDefault="003E52AC" w:rsidP="00F536E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58B99994" w14:textId="56747A02" w:rsidR="003E52AC" w:rsidRDefault="003E52AC" w:rsidP="00B433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Wejście w życie ustawy będzie miało pozytywny wpływ na dużych przedsiębiorców w związku z u</w:t>
            </w:r>
            <w:r w:rsidRPr="00515EF0">
              <w:rPr>
                <w:rFonts w:ascii="Times New Roman" w:hAnsi="Times New Roman"/>
                <w:color w:val="000000"/>
                <w:spacing w:val="-2"/>
              </w:rPr>
              <w:t>pro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szczeniem </w:t>
            </w:r>
            <w:r w:rsidRPr="00515EF0">
              <w:rPr>
                <w:rFonts w:ascii="Times New Roman" w:hAnsi="Times New Roman"/>
                <w:color w:val="000000"/>
                <w:spacing w:val="-2"/>
              </w:rPr>
              <w:t>niektór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ych wymogów </w:t>
            </w:r>
            <w:r w:rsidRPr="00515EF0">
              <w:rPr>
                <w:rFonts w:ascii="Times New Roman" w:hAnsi="Times New Roman"/>
                <w:color w:val="000000"/>
                <w:spacing w:val="-2"/>
              </w:rPr>
              <w:t>informacyjn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ych </w:t>
            </w:r>
            <w:r w:rsidRPr="00515EF0">
              <w:rPr>
                <w:rFonts w:ascii="Times New Roman" w:hAnsi="Times New Roman"/>
                <w:color w:val="000000"/>
                <w:spacing w:val="-2"/>
              </w:rPr>
              <w:t>spoczywających na emitencie papierów wartościowych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3809DF6" w14:textId="27062142" w:rsidR="003E52AC" w:rsidRDefault="003E52AC" w:rsidP="00B433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Uproszczenie zasad sporządzania dokumentów związanych z ofertą publiczną przyczyni się do ułatwienia pozyskiwania kapitału przez przedsiębiorców, niezależnie od tego, czy takie oferty będą prowadzone na platformach finansowania społecznościowego czy poza nimi.</w:t>
            </w:r>
          </w:p>
          <w:p w14:paraId="6B953D30" w14:textId="4D010084" w:rsidR="003E52AC" w:rsidRPr="00B37C80" w:rsidRDefault="003E52AC" w:rsidP="00F536E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E52AC" w:rsidRPr="008B4FE6" w14:paraId="69AA8A2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D826B7" w14:textId="6345AF8F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051FDC5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D05970" w14:textId="77777777" w:rsidR="003E52AC" w:rsidRDefault="003E52AC" w:rsidP="001309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0AFB7173" w14:textId="39446643" w:rsidR="003E52AC" w:rsidRDefault="003E52AC" w:rsidP="00B433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Wejście w życie ustawy będzie miało pozytywny wpływ na mikro-, małych i średnich przedsiębiorców w związku ze zwiększeniem bezpieczeństwa inwestycji na platformach finansowania społecznościowego dla przedsięwzięć gospodarczych, a co za tym idzie – spopularyzowaniem tej formy inwestycji. </w:t>
            </w:r>
          </w:p>
          <w:p w14:paraId="04812664" w14:textId="2F4D77C6" w:rsidR="003E52AC" w:rsidRPr="00B37C80" w:rsidRDefault="003E52AC" w:rsidP="00B433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Przełoży się to na zwiększenie możliwości pozyskiwania przez przedsiębiorców kapitału w sposób stanowiący alternatywę np. dla kredytów bankowych czy emisji dłużnych papierów wartościowych. Dotyczy to przede wszystkim przedsiębiorstw typu </w:t>
            </w:r>
            <w:r w:rsidRPr="00130914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start-up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więc najmniejszych przedsiębiorstw działających w innowacyjnych branżach, które mogą mieć trudności z uzyskaniem finansowania swojej działalności bardziej tradycyjnymi metodami.</w:t>
            </w:r>
          </w:p>
        </w:tc>
      </w:tr>
      <w:tr w:rsidR="003E52AC" w:rsidRPr="008B4FE6" w14:paraId="338DB5C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E83642B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A6A994" w14:textId="77777777" w:rsidR="003E52AC" w:rsidRPr="00301959" w:rsidRDefault="003E52AC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C45215" w14:textId="424421D9" w:rsidR="003E52AC" w:rsidRPr="00B37C80" w:rsidRDefault="003E52AC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E52AC" w:rsidRPr="008B4FE6" w14:paraId="1EE7CFA0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E82D447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C168AD9" w14:textId="77777777" w:rsidR="003E52AC" w:rsidRPr="00301959" w:rsidRDefault="003E52AC" w:rsidP="008451B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51B3">
              <w:rPr>
                <w:rFonts w:ascii="Times New Roman" w:hAnsi="Times New Roman"/>
                <w:sz w:val="21"/>
                <w:szCs w:val="21"/>
              </w:rPr>
              <w:t>inwestorzy dokonujący inwestycji na platformach finansowania społecznościowego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7D9859D" w14:textId="3A4A545C" w:rsidR="003E52AC" w:rsidRPr="00B37C80" w:rsidRDefault="003E52AC" w:rsidP="00B4333E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Wejście w życie ustawy z</w:t>
            </w:r>
            <w:r w:rsidRPr="008451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większ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8451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bezpieczeństw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</w:t>
            </w:r>
            <w:r w:rsidRPr="008451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inwestycji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dokonywanych na platformach finansowania społecznościowego </w:t>
            </w:r>
            <w:r w:rsidRPr="008451B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przez objęcie nadzorem KNF działalności platform finansowania społecznościowego dla przedsięwzięć gospodarczych.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Jednocześnie rozporządzenie wprowadzi rozwiązania chroniące inwestorów detalicznych (przede wszystkim osoby fizyczne nieposiadające dużej wiedzy i doświadczenia w zakresie inwestycji), takie jak wstępny test wiedzy, badanie adekwatności ofert finansowania społecznościowego dla konkretnego inwestora, limity inwestycji, okres namysłu przed ostatecznym zawarciem transakcji.</w:t>
            </w:r>
          </w:p>
        </w:tc>
      </w:tr>
      <w:tr w:rsidR="003E52AC" w:rsidRPr="008B4FE6" w14:paraId="0887648D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3503312" w14:textId="77777777" w:rsidR="003E52AC" w:rsidRPr="00301959" w:rsidRDefault="003E52AC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C40CDC" w14:textId="75DF7AFA" w:rsidR="003E52AC" w:rsidRPr="008451B3" w:rsidRDefault="003E52AC" w:rsidP="008451B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dostawcy usług finansowania społecznościowego dla przedsięwzięć gospodarczych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AFE8BB" w14:textId="77777777" w:rsidR="003E52AC" w:rsidRDefault="003E52AC" w:rsidP="00B4333E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Dostawcy usług finansowania społecznościowego będą obciążani</w:t>
            </w:r>
            <w:r w:rsidRPr="003E52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jednorazową opłatą za wydanie zezwolenia na prowadzenie działalności (nie więcej niż równowartość w złotych 4500 euro). Dodatkowo podmioty te będą wnosić na rzecz KNF opłaty roczne, ustalane na podstawie średniej wartości przychodów w okresie ostatnich trzech lat obrotowych poprzedzających rok, za który należna jest opłata, pomniejszonych o dywidendy otrzymane od jednostek zależnych i stowarzyszonych (nie więcej niż 0,5% tej średniej, jednak nie mniejsza niż równowartość w złotych 750 euro).</w:t>
            </w:r>
          </w:p>
          <w:p w14:paraId="13B3DD76" w14:textId="51FC52B3" w:rsidR="0071264D" w:rsidRDefault="009432E2" w:rsidP="00B4333E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konsekwencji wdrożenia r</w:t>
            </w:r>
            <w:r w:rsidRPr="009432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ozporządzenia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2020/1503</w:t>
            </w:r>
            <w:r w:rsidRPr="009432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 wejścia w życie ustawy dostawcy usług finansowania społecznościowego będą musieli wystąpić do KNF o udzielenie zezwolenia na prowadzenie działalności oraz zostaną poddani nadzorowi KNF. </w:t>
            </w:r>
            <w:r w:rsidR="0071264D" w:rsidRPr="00712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Jednocześnie uzyskanie statusu </w:t>
            </w:r>
            <w:r w:rsidR="00712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dostawcy usług finansowania społecznościowego</w:t>
            </w:r>
            <w:r w:rsidR="0071264D" w:rsidRPr="00712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pozwoli tym podmiotom na zwiększenie skali prowadzonej działalności poprzez korzystanie z tzw. paszportu europejskiego, tj. możliwości transgranicznego świadczenia usług na terytorium wszystkich państw UE</w:t>
            </w:r>
            <w:r w:rsidR="00186DE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6A2E2D29" w14:textId="4D5A2CA4" w:rsidR="0071264D" w:rsidRDefault="0071264D" w:rsidP="00B4333E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1264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Dostawcy usług finansowania społecznościowego będą musieli wdrożyć w swojej działalności nowe rozwiązania służące przede wszystkim zwiększeniu ochrony inwestorów, takie jak wstępny test wiedzy inwestora, ocena adekwatności inwestycji dla inwestora, czy weryfikacja kompletności informacji zawartych w arkuszu kluczowych informacji inwestycyjnych. Pozytywny wpływ na bezpieczeństwo inwestorów powinien jednak przełożyć się na zwiększenie zainteresowania inwestorów finansowaniem społecznościowym.</w:t>
            </w:r>
          </w:p>
        </w:tc>
      </w:tr>
      <w:tr w:rsidR="005E7371" w:rsidRPr="008B4FE6" w14:paraId="077BA41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E14DCB4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63CC5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CA3157A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AC7000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51E33D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987647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A250F41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1F6783AF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F5947C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23E725" w14:textId="52BF6BA8" w:rsidR="00E24BD7" w:rsidRPr="00301959" w:rsidRDefault="000A4B8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Wejście w życie ustawy nie wpłynie </w:t>
            </w:r>
            <w:r w:rsidRPr="00D52E58">
              <w:rPr>
                <w:rFonts w:ascii="Times New Roman" w:hAnsi="Times New Roman"/>
                <w:color w:val="000000"/>
                <w:spacing w:val="-2"/>
              </w:rPr>
              <w:t>na wymienione obszary oraz sytuację ekonomiczną i społeczną rodziny, a także osób niepełnosprawnych oraz osób starszych.</w:t>
            </w:r>
          </w:p>
        </w:tc>
      </w:tr>
      <w:tr w:rsidR="006A701A" w:rsidRPr="008B4FE6" w14:paraId="12A25E4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33932F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84740D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A0761FE" w14:textId="77777777" w:rsidR="00D86AFF" w:rsidRPr="008B4FE6" w:rsidRDefault="00801A5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8EFCA8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08E4900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D934BE1" w14:textId="77777777" w:rsidR="00D86AFF" w:rsidRDefault="00801A5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18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76D2F07E" w14:textId="77777777" w:rsidR="00D86AFF" w:rsidRDefault="00801A5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1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15611859" w14:textId="77777777" w:rsidR="00D86AFF" w:rsidRDefault="00801A5E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2172590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23864DF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18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88286B8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277142B" w14:textId="77777777" w:rsidR="001B3460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4D6880" w14:textId="77777777" w:rsidR="001B3460" w:rsidRPr="008B4FE6" w:rsidRDefault="00801A5E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DAEB6CB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2A74E62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76C7C3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2DA6C97" w14:textId="77777777" w:rsidR="001B3460" w:rsidRPr="008B4FE6" w:rsidRDefault="00801A5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2084CB2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5FEB970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ACE54C9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97646F" w14:textId="77777777" w:rsidR="00BF0DA2" w:rsidRDefault="00801A5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02F4BFC2" w14:textId="77777777" w:rsidR="00BF0DA2" w:rsidRDefault="00801A5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026D2942" w14:textId="77777777" w:rsidR="00BF0DA2" w:rsidRDefault="00801A5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5C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30D469CC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63A438D3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C0D3377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DFC2BFC" w14:textId="77777777" w:rsidR="0071264D" w:rsidRDefault="0071264D" w:rsidP="007126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264D">
              <w:rPr>
                <w:rFonts w:ascii="Times New Roman" w:hAnsi="Times New Roman"/>
                <w:color w:val="000000"/>
              </w:rPr>
              <w:t>Dostawcy usług finansowania społecznościowego będą musieli wdrożyć w swojej działalności nowe rozwiązania służące przede wszystkim zwiększeniu ochrony inwestorów, takie jak wstępny test wiedzy inwestora, ocena adekwatności inwestycji dla inwestora, czy weryfikacja kompletności informacji zawartych w arkuszu kluczowych informacji inwestycyjnych.</w:t>
            </w:r>
          </w:p>
          <w:p w14:paraId="05A2B294" w14:textId="77777777" w:rsidR="0071264D" w:rsidRDefault="00186DEC" w:rsidP="007126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Projektowana ustawa </w:t>
            </w:r>
            <w:r w:rsidRPr="00186DEC">
              <w:rPr>
                <w:rFonts w:ascii="Times New Roman" w:hAnsi="Times New Roman"/>
                <w:color w:val="000000"/>
              </w:rPr>
              <w:t>uprości niektóre wymogi informacyjne spoczywające na emitencie papierów wartościowych – w przypadku ofert publicznych prowadzonych poza platformami finansowania społecznościowego, ale za pośrednictwem firmy inwestycyjnej, emitent będzie miał możliwość sporządzenia jedynie arkusza kluczowych informacji inwestycyjnych zamiast memorandum informacyjnego.</w:t>
            </w:r>
            <w:r>
              <w:rPr>
                <w:rFonts w:ascii="Times New Roman" w:hAnsi="Times New Roman"/>
                <w:color w:val="000000"/>
              </w:rPr>
              <w:t xml:space="preserve"> Przyczyni się to do zmniejszenia objętości dokumentów sporządzanych w związku z ofertą publiczną oraz do uproszczenia procesu przygotowania oferty publicznej.</w:t>
            </w:r>
          </w:p>
          <w:p w14:paraId="56BCF70F" w14:textId="77777777" w:rsidR="00186DEC" w:rsidRDefault="00186DEC" w:rsidP="00186D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ustawy spowoduje niewielki wzrost liczby podmiotów nadzorowanych przez KNF – zarówno ze względu na podmioty z siedzibą na terytorium RP zainteresowane uzyskaniem zezwolenia na prowadzenie działalności, jak i ze względu na spodziewaną szerszą skalę działalności transgranicznej dostawców usług finansowania społecznościowego. Ponadto w</w:t>
            </w:r>
            <w:r w:rsidRPr="00186DEC">
              <w:rPr>
                <w:rFonts w:ascii="Times New Roman" w:hAnsi="Times New Roman"/>
                <w:color w:val="000000"/>
              </w:rPr>
              <w:t>pływ projektowanych zmian na KNF będzie polegał na sprawowaniu bieżącego nadzoru nad platformami crowdfundingowymi (kontrola na miejscu działalności dostawców, nakł</w:t>
            </w:r>
            <w:r>
              <w:rPr>
                <w:rFonts w:ascii="Times New Roman" w:hAnsi="Times New Roman"/>
                <w:color w:val="000000"/>
              </w:rPr>
              <w:t>adanie kar pieniężnych i cofanie</w:t>
            </w:r>
            <w:r w:rsidRPr="00186DEC">
              <w:rPr>
                <w:rFonts w:ascii="Times New Roman" w:hAnsi="Times New Roman"/>
                <w:color w:val="000000"/>
              </w:rPr>
              <w:t xml:space="preserve"> zezwoleń).</w:t>
            </w:r>
          </w:p>
          <w:p w14:paraId="46B33279" w14:textId="1DC60D63" w:rsidR="001565FF" w:rsidRPr="008B4FE6" w:rsidRDefault="001565FF" w:rsidP="00186D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5AAEE6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E24F3EF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7A3325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196E84" w14:textId="22D4BE06" w:rsidR="001B3460" w:rsidRDefault="000A4B82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0E81">
              <w:rPr>
                <w:rFonts w:ascii="Times New Roman" w:hAnsi="Times New Roman"/>
              </w:rPr>
              <w:t xml:space="preserve">Wejście w życie </w:t>
            </w:r>
            <w:r>
              <w:rPr>
                <w:rFonts w:ascii="Times New Roman" w:hAnsi="Times New Roman"/>
              </w:rPr>
              <w:t xml:space="preserve">ustawy </w:t>
            </w:r>
            <w:r w:rsidRPr="008C0E81">
              <w:rPr>
                <w:rFonts w:ascii="Times New Roman" w:hAnsi="Times New Roman"/>
              </w:rPr>
              <w:t>nie wpły</w:t>
            </w:r>
            <w:r w:rsidR="00DE09A4">
              <w:rPr>
                <w:rFonts w:ascii="Times New Roman" w:hAnsi="Times New Roman"/>
              </w:rPr>
              <w:t xml:space="preserve">nie </w:t>
            </w:r>
            <w:r w:rsidRPr="008C0E81">
              <w:rPr>
                <w:rFonts w:ascii="Times New Roman" w:hAnsi="Times New Roman"/>
              </w:rPr>
              <w:t>na rynek pracy.</w:t>
            </w:r>
          </w:p>
          <w:p w14:paraId="57A1EDF8" w14:textId="4BBD32D0" w:rsidR="000A4B82" w:rsidRPr="008B4FE6" w:rsidRDefault="000A4B8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3D1146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233768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6BB6808B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AB9668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9FCC13" w14:textId="77777777" w:rsidR="001B3460" w:rsidRPr="008B4FE6" w:rsidRDefault="00801A5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E64A5C2" w14:textId="77777777" w:rsidR="001B3460" w:rsidRDefault="00801A5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637C76F" w14:textId="77777777" w:rsidR="001B3460" w:rsidRPr="008B4FE6" w:rsidRDefault="00801A5E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4EAE3D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345666" w14:textId="77777777" w:rsidR="001B3460" w:rsidRPr="008B4FE6" w:rsidRDefault="00801A5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CE35AF9" w14:textId="77777777" w:rsidR="001B3460" w:rsidRPr="008B4FE6" w:rsidRDefault="00801A5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925ED1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050462" w14:textId="77777777" w:rsidR="001B3460" w:rsidRDefault="00801A5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E8627ED" w14:textId="77777777" w:rsidR="001B3460" w:rsidRPr="008B4FE6" w:rsidRDefault="00801A5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382C115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6E3F5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80EDB5" w14:textId="1FCA83F7" w:rsidR="001B3460" w:rsidRPr="008B4FE6" w:rsidRDefault="00DE09A4" w:rsidP="009E3A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Wejście w życie ustawy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wpłynie </w:t>
            </w:r>
            <w:r w:rsidR="00CA4E5C">
              <w:rPr>
                <w:rFonts w:ascii="Times New Roman" w:hAnsi="Times New Roman"/>
                <w:color w:val="000000"/>
                <w:spacing w:val="-2"/>
              </w:rPr>
              <w:t>na wskazane obszary.</w:t>
            </w:r>
          </w:p>
        </w:tc>
      </w:tr>
      <w:tr w:rsidR="001B3460" w:rsidRPr="008B4FE6" w14:paraId="7EE456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A14518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21A00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C70520" w14:textId="3F0E12C5" w:rsidR="001B3460" w:rsidRDefault="00CA4E5C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T</w:t>
            </w:r>
            <w:r w:rsidRPr="00B06EE5">
              <w:rPr>
                <w:rFonts w:ascii="Times New Roman" w:hAnsi="Times New Roman"/>
                <w:spacing w:val="-2"/>
              </w:rPr>
              <w:t>ermin w</w:t>
            </w:r>
            <w:r>
              <w:rPr>
                <w:rFonts w:ascii="Times New Roman" w:hAnsi="Times New Roman"/>
                <w:spacing w:val="-2"/>
              </w:rPr>
              <w:t>ejścia w życie projektowanej ustawy został wyznaczony na dzień 10 listopada 2021 r., co jest zbieżne z terminem rozpoczęcia stosowania rozporządzenia</w:t>
            </w:r>
            <w:r w:rsidR="00B433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4394A">
              <w:rPr>
                <w:rFonts w:ascii="Times New Roman" w:hAnsi="Times New Roman"/>
                <w:color w:val="000000"/>
                <w:spacing w:val="-2"/>
              </w:rPr>
              <w:t>2020/1503</w:t>
            </w:r>
            <w:r w:rsidRPr="00B06EE5">
              <w:rPr>
                <w:rFonts w:ascii="Times New Roman" w:hAnsi="Times New Roman"/>
                <w:spacing w:val="-2"/>
              </w:rPr>
              <w:t>.</w:t>
            </w:r>
          </w:p>
          <w:p w14:paraId="47EBD454" w14:textId="77777777" w:rsidR="00CA4E5C" w:rsidRDefault="00CA4E5C" w:rsidP="0009526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8593A30" w14:textId="77777777" w:rsidR="000A30AB" w:rsidRPr="00B37C80" w:rsidRDefault="000A30AB" w:rsidP="0009526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38C04AD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8C7063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414706C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39C82E" w14:textId="77777777" w:rsidR="0009526A" w:rsidRDefault="0009526A" w:rsidP="000952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2BB8287" w14:textId="65AB7248" w:rsidR="001B3460" w:rsidRPr="00B37C80" w:rsidRDefault="0009526A" w:rsidP="000952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4905ED">
              <w:rPr>
                <w:rFonts w:ascii="Times New Roman" w:hAnsi="Times New Roman"/>
                <w:color w:val="000000"/>
                <w:spacing w:val="-2"/>
              </w:rPr>
              <w:t>a podstawie art. 45 rozporządzenia</w:t>
            </w:r>
            <w:r w:rsidR="00B433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4394A">
              <w:rPr>
                <w:rFonts w:ascii="Times New Roman" w:hAnsi="Times New Roman"/>
                <w:color w:val="000000"/>
                <w:spacing w:val="-2"/>
              </w:rPr>
              <w:t>2020/1503</w:t>
            </w:r>
            <w:r w:rsidR="004905ED">
              <w:rPr>
                <w:rFonts w:ascii="Times New Roman" w:hAnsi="Times New Roman"/>
                <w:color w:val="000000"/>
                <w:spacing w:val="-2"/>
              </w:rPr>
              <w:t xml:space="preserve">, do dnia 10 listopada 2023 r. Komisja Europejska dokona przeglądu i przedłoży Parlamentowi Europejskiemu i Radzie sprawozdanie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dotyczące </w:t>
            </w:r>
            <w:r w:rsidR="004905ED">
              <w:rPr>
                <w:rFonts w:ascii="Times New Roman" w:hAnsi="Times New Roman"/>
                <w:color w:val="000000"/>
                <w:spacing w:val="-2"/>
              </w:rPr>
              <w:t xml:space="preserve">stosowania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tego </w:t>
            </w:r>
            <w:r w:rsidR="004905ED">
              <w:rPr>
                <w:rFonts w:ascii="Times New Roman" w:hAnsi="Times New Roman"/>
                <w:color w:val="000000"/>
                <w:spacing w:val="-2"/>
              </w:rPr>
              <w:t xml:space="preserve">rozporządzenia. Komisja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Europejska </w:t>
            </w:r>
            <w:r w:rsidR="004905ED">
              <w:rPr>
                <w:rFonts w:ascii="Times New Roman" w:hAnsi="Times New Roman"/>
                <w:color w:val="000000"/>
                <w:spacing w:val="-2"/>
              </w:rPr>
              <w:t xml:space="preserve">oceni m.in. </w:t>
            </w:r>
            <w:r w:rsidR="00E65D89">
              <w:rPr>
                <w:rFonts w:ascii="Times New Roman" w:hAnsi="Times New Roman"/>
                <w:color w:val="000000"/>
                <w:spacing w:val="-2"/>
              </w:rPr>
              <w:t xml:space="preserve">wpływ rozporządzenia na funkcjonowanie rynku finansowania społecznościowego, czy zakres usług objętych rozporządzeniem jest nadal odpowiedni, czy środki ochrony inwestorów przewidziane w rozporządzeniu są adekwatne oraz czy konieczna jest dalsza harmonizacja przepisów w zakresie świadczenia usług finansowania społecznościowego. Komisja </w:t>
            </w:r>
            <w:r w:rsidR="009E3A34">
              <w:rPr>
                <w:rFonts w:ascii="Times New Roman" w:hAnsi="Times New Roman"/>
                <w:color w:val="000000"/>
                <w:spacing w:val="-2"/>
              </w:rPr>
              <w:t xml:space="preserve">Europejska wypowie się również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 potrzebie ewentualnej </w:t>
            </w:r>
            <w:r w:rsidR="00E65D89">
              <w:rPr>
                <w:rFonts w:ascii="Times New Roman" w:hAnsi="Times New Roman"/>
                <w:color w:val="000000"/>
                <w:spacing w:val="-2"/>
              </w:rPr>
              <w:t>nowelizacj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E65D89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84394A">
              <w:rPr>
                <w:rFonts w:ascii="Times New Roman" w:hAnsi="Times New Roman"/>
                <w:color w:val="000000"/>
                <w:spacing w:val="-2"/>
              </w:rPr>
              <w:t xml:space="preserve"> 2020/1503</w:t>
            </w:r>
            <w:r w:rsidR="00E65D8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E8B4E47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66F942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CDD0758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7F8B09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192BC0A" w14:textId="77777777" w:rsidR="001B3460" w:rsidRPr="00B37C80" w:rsidRDefault="004905E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15447D63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4048260" w14:textId="77777777" w:rsidR="006176ED" w:rsidRPr="00522D94" w:rsidRDefault="006176ED" w:rsidP="00CA4E5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DA21" w14:textId="77777777" w:rsidR="00391305" w:rsidRDefault="00391305" w:rsidP="00044739">
      <w:pPr>
        <w:spacing w:line="240" w:lineRule="auto"/>
      </w:pPr>
      <w:r>
        <w:separator/>
      </w:r>
    </w:p>
  </w:endnote>
  <w:endnote w:type="continuationSeparator" w:id="0">
    <w:p w14:paraId="233D7AB4" w14:textId="77777777" w:rsidR="00391305" w:rsidRDefault="0039130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A692" w14:textId="77777777" w:rsidR="00391305" w:rsidRDefault="00391305" w:rsidP="00044739">
      <w:pPr>
        <w:spacing w:line="240" w:lineRule="auto"/>
      </w:pPr>
      <w:r>
        <w:separator/>
      </w:r>
    </w:p>
  </w:footnote>
  <w:footnote w:type="continuationSeparator" w:id="0">
    <w:p w14:paraId="4FCE2AF1" w14:textId="77777777" w:rsidR="00391305" w:rsidRDefault="0039130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5DB9"/>
    <w:multiLevelType w:val="hybridMultilevel"/>
    <w:tmpl w:val="F06E5BC0"/>
    <w:lvl w:ilvl="0" w:tplc="2332B4B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DFB251D"/>
    <w:multiLevelType w:val="hybridMultilevel"/>
    <w:tmpl w:val="F01C2030"/>
    <w:lvl w:ilvl="0" w:tplc="2332B4B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4B0B24D1"/>
    <w:multiLevelType w:val="hybridMultilevel"/>
    <w:tmpl w:val="5BAC6F5C"/>
    <w:lvl w:ilvl="0" w:tplc="2332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2"/>
  </w:num>
  <w:num w:numId="19">
    <w:abstractNumId w:val="23"/>
  </w:num>
  <w:num w:numId="20">
    <w:abstractNumId w:val="18"/>
  </w:num>
  <w:num w:numId="21">
    <w:abstractNumId w:val="6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3527"/>
    <w:rsid w:val="000944AC"/>
    <w:rsid w:val="00094CB9"/>
    <w:rsid w:val="0009526A"/>
    <w:rsid w:val="000956B2"/>
    <w:rsid w:val="000969E7"/>
    <w:rsid w:val="000A23DE"/>
    <w:rsid w:val="000A30AB"/>
    <w:rsid w:val="000A4020"/>
    <w:rsid w:val="000A4B82"/>
    <w:rsid w:val="000B54FB"/>
    <w:rsid w:val="000C29B0"/>
    <w:rsid w:val="000C76FC"/>
    <w:rsid w:val="000D38FC"/>
    <w:rsid w:val="000D4D90"/>
    <w:rsid w:val="000E1891"/>
    <w:rsid w:val="000E2D10"/>
    <w:rsid w:val="000F3204"/>
    <w:rsid w:val="0010548B"/>
    <w:rsid w:val="001072D1"/>
    <w:rsid w:val="00117017"/>
    <w:rsid w:val="00130914"/>
    <w:rsid w:val="00130E8E"/>
    <w:rsid w:val="0013216E"/>
    <w:rsid w:val="001401B5"/>
    <w:rsid w:val="001422B9"/>
    <w:rsid w:val="00143C40"/>
    <w:rsid w:val="0014665F"/>
    <w:rsid w:val="001518CF"/>
    <w:rsid w:val="00153464"/>
    <w:rsid w:val="001541B3"/>
    <w:rsid w:val="00155B15"/>
    <w:rsid w:val="001565FF"/>
    <w:rsid w:val="001625BE"/>
    <w:rsid w:val="001643A4"/>
    <w:rsid w:val="00164CA1"/>
    <w:rsid w:val="001727BB"/>
    <w:rsid w:val="00180D25"/>
    <w:rsid w:val="0018318D"/>
    <w:rsid w:val="0018572C"/>
    <w:rsid w:val="00186DEC"/>
    <w:rsid w:val="00187E79"/>
    <w:rsid w:val="00187F0D"/>
    <w:rsid w:val="00192CC5"/>
    <w:rsid w:val="001956A7"/>
    <w:rsid w:val="001A118A"/>
    <w:rsid w:val="001A2433"/>
    <w:rsid w:val="001A27F4"/>
    <w:rsid w:val="001A2D95"/>
    <w:rsid w:val="001A44DB"/>
    <w:rsid w:val="001A4BD9"/>
    <w:rsid w:val="001B3460"/>
    <w:rsid w:val="001B4CA1"/>
    <w:rsid w:val="001B75D8"/>
    <w:rsid w:val="001C1060"/>
    <w:rsid w:val="001C3C63"/>
    <w:rsid w:val="001D4732"/>
    <w:rsid w:val="001D6A3C"/>
    <w:rsid w:val="001D6D51"/>
    <w:rsid w:val="001E2820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249A"/>
    <w:rsid w:val="00294259"/>
    <w:rsid w:val="002A2C81"/>
    <w:rsid w:val="002B3D1A"/>
    <w:rsid w:val="002C08BD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12D3"/>
    <w:rsid w:val="002F500B"/>
    <w:rsid w:val="00300991"/>
    <w:rsid w:val="00301959"/>
    <w:rsid w:val="00305B8A"/>
    <w:rsid w:val="00314291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1305"/>
    <w:rsid w:val="00393032"/>
    <w:rsid w:val="00394B69"/>
    <w:rsid w:val="00397078"/>
    <w:rsid w:val="003A6953"/>
    <w:rsid w:val="003B6083"/>
    <w:rsid w:val="003B6E25"/>
    <w:rsid w:val="003C3838"/>
    <w:rsid w:val="003C5847"/>
    <w:rsid w:val="003D0681"/>
    <w:rsid w:val="003D12F6"/>
    <w:rsid w:val="003D1426"/>
    <w:rsid w:val="003E2F4E"/>
    <w:rsid w:val="003E52AC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05ED"/>
    <w:rsid w:val="0049343F"/>
    <w:rsid w:val="004964FC"/>
    <w:rsid w:val="004A0075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2ABD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2583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62AB"/>
    <w:rsid w:val="0066091B"/>
    <w:rsid w:val="006660E9"/>
    <w:rsid w:val="00667249"/>
    <w:rsid w:val="00667558"/>
    <w:rsid w:val="00671523"/>
    <w:rsid w:val="006741C1"/>
    <w:rsid w:val="006754EF"/>
    <w:rsid w:val="00676C8D"/>
    <w:rsid w:val="00676F1F"/>
    <w:rsid w:val="00677381"/>
    <w:rsid w:val="00677414"/>
    <w:rsid w:val="006832CF"/>
    <w:rsid w:val="0068601E"/>
    <w:rsid w:val="0069486B"/>
    <w:rsid w:val="006A1182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3394"/>
    <w:rsid w:val="00705A29"/>
    <w:rsid w:val="00707498"/>
    <w:rsid w:val="00711A65"/>
    <w:rsid w:val="0071264D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298D"/>
    <w:rsid w:val="0076423E"/>
    <w:rsid w:val="007646CB"/>
    <w:rsid w:val="0076658F"/>
    <w:rsid w:val="0077040A"/>
    <w:rsid w:val="00772297"/>
    <w:rsid w:val="00772D64"/>
    <w:rsid w:val="00792609"/>
    <w:rsid w:val="00792887"/>
    <w:rsid w:val="007943E2"/>
    <w:rsid w:val="00794F2C"/>
    <w:rsid w:val="007A3BC7"/>
    <w:rsid w:val="007A5AC4"/>
    <w:rsid w:val="007B0FDD"/>
    <w:rsid w:val="007B37FA"/>
    <w:rsid w:val="007B4802"/>
    <w:rsid w:val="007B6668"/>
    <w:rsid w:val="007B6B33"/>
    <w:rsid w:val="007C2701"/>
    <w:rsid w:val="007D2192"/>
    <w:rsid w:val="007E100C"/>
    <w:rsid w:val="007F0021"/>
    <w:rsid w:val="007F2F52"/>
    <w:rsid w:val="00801A5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394A"/>
    <w:rsid w:val="008451B3"/>
    <w:rsid w:val="00856799"/>
    <w:rsid w:val="008575C3"/>
    <w:rsid w:val="0086219C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92"/>
    <w:rsid w:val="009008A8"/>
    <w:rsid w:val="009063B0"/>
    <w:rsid w:val="00907106"/>
    <w:rsid w:val="009107FD"/>
    <w:rsid w:val="0091137C"/>
    <w:rsid w:val="00911567"/>
    <w:rsid w:val="00917AAE"/>
    <w:rsid w:val="009251A9"/>
    <w:rsid w:val="00927DA3"/>
    <w:rsid w:val="00930699"/>
    <w:rsid w:val="00931F69"/>
    <w:rsid w:val="00934123"/>
    <w:rsid w:val="009432E2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B796E"/>
    <w:rsid w:val="009D0027"/>
    <w:rsid w:val="009D0655"/>
    <w:rsid w:val="009E1E98"/>
    <w:rsid w:val="009E3A34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3C11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3245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26B4"/>
    <w:rsid w:val="00B2219A"/>
    <w:rsid w:val="00B3581B"/>
    <w:rsid w:val="00B358E2"/>
    <w:rsid w:val="00B36B81"/>
    <w:rsid w:val="00B36FEE"/>
    <w:rsid w:val="00B37C80"/>
    <w:rsid w:val="00B4333E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5C9F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3D3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4E5C"/>
    <w:rsid w:val="00CA63EB"/>
    <w:rsid w:val="00CA69F1"/>
    <w:rsid w:val="00CB6991"/>
    <w:rsid w:val="00CC6194"/>
    <w:rsid w:val="00CC6305"/>
    <w:rsid w:val="00CC78A5"/>
    <w:rsid w:val="00CD0516"/>
    <w:rsid w:val="00CD756B"/>
    <w:rsid w:val="00CE3070"/>
    <w:rsid w:val="00CE734F"/>
    <w:rsid w:val="00CF112E"/>
    <w:rsid w:val="00CF5F4F"/>
    <w:rsid w:val="00D07397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65FB"/>
    <w:rsid w:val="00D77DF1"/>
    <w:rsid w:val="00D8581F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1233"/>
    <w:rsid w:val="00DD3F3F"/>
    <w:rsid w:val="00DD5572"/>
    <w:rsid w:val="00DE09A4"/>
    <w:rsid w:val="00DE5D80"/>
    <w:rsid w:val="00DF58CD"/>
    <w:rsid w:val="00DF65DE"/>
    <w:rsid w:val="00E019A5"/>
    <w:rsid w:val="00E02EC8"/>
    <w:rsid w:val="00E0334E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65EA"/>
    <w:rsid w:val="00E57322"/>
    <w:rsid w:val="00E628CB"/>
    <w:rsid w:val="00E62AD9"/>
    <w:rsid w:val="00E638C8"/>
    <w:rsid w:val="00E65D89"/>
    <w:rsid w:val="00E7509B"/>
    <w:rsid w:val="00E86590"/>
    <w:rsid w:val="00E907FF"/>
    <w:rsid w:val="00EA42D1"/>
    <w:rsid w:val="00EA42EF"/>
    <w:rsid w:val="00EB2DD1"/>
    <w:rsid w:val="00EB46F6"/>
    <w:rsid w:val="00EB6B37"/>
    <w:rsid w:val="00EC29FE"/>
    <w:rsid w:val="00EC3C70"/>
    <w:rsid w:val="00ED0CE0"/>
    <w:rsid w:val="00ED3A3D"/>
    <w:rsid w:val="00ED538A"/>
    <w:rsid w:val="00ED6FBC"/>
    <w:rsid w:val="00EE2F16"/>
    <w:rsid w:val="00EE3861"/>
    <w:rsid w:val="00EE5FE2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36E6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7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86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kacki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34AFC"/>
    <w:rsid w:val="004F0161"/>
    <w:rsid w:val="00635DD6"/>
    <w:rsid w:val="00686644"/>
    <w:rsid w:val="00830DAB"/>
    <w:rsid w:val="008C7CA2"/>
    <w:rsid w:val="00997518"/>
    <w:rsid w:val="00AD66A9"/>
    <w:rsid w:val="00E142FF"/>
    <w:rsid w:val="00E83492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16174</Characters>
  <Application>Microsoft Office Word</Application>
  <DocSecurity>4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18331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2021-05-04T10:31:00Z</dcterms:created>
  <dcterms:modified xsi:type="dcterms:W3CDTF">2021-05-04T10:31:00Z</dcterms:modified>
</cp:coreProperties>
</file>