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84AE2" w14:textId="1FB30788" w:rsidR="00AD207D" w:rsidRDefault="00AD207D" w:rsidP="005E7A4C">
      <w:pPr>
        <w:keepNext/>
        <w:suppressAutoHyphens/>
        <w:spacing w:before="120" w:after="120"/>
        <w:jc w:val="center"/>
        <w:rPr>
          <w:rFonts w:ascii="Times New Roman" w:eastAsia="Times New Roman" w:hAnsi="Times New Roman" w:cs="Times New Roman"/>
          <w:b/>
          <w:bCs/>
          <w:caps/>
          <w:spacing w:val="54"/>
          <w:kern w:val="24"/>
          <w:sz w:val="24"/>
          <w:szCs w:val="24"/>
          <w:lang w:eastAsia="pl-PL"/>
        </w:rPr>
      </w:pPr>
      <w:bookmarkStart w:id="0" w:name="_GoBack"/>
      <w:bookmarkEnd w:id="0"/>
      <w:r w:rsidRPr="004E768F">
        <w:rPr>
          <w:rFonts w:ascii="Times New Roman" w:eastAsia="Times New Roman" w:hAnsi="Times New Roman" w:cs="Times New Roman"/>
          <w:b/>
          <w:bCs/>
          <w:caps/>
          <w:spacing w:val="54"/>
          <w:kern w:val="24"/>
          <w:sz w:val="24"/>
          <w:szCs w:val="24"/>
          <w:lang w:eastAsia="pl-PL"/>
        </w:rPr>
        <w:t>uzasadnienie</w:t>
      </w:r>
    </w:p>
    <w:p w14:paraId="243D88A2" w14:textId="77777777" w:rsidR="007072A5" w:rsidRPr="004E768F" w:rsidRDefault="007072A5" w:rsidP="005E7A4C">
      <w:pPr>
        <w:keepNext/>
        <w:suppressAutoHyphens/>
        <w:spacing w:before="120" w:after="120"/>
        <w:jc w:val="center"/>
        <w:rPr>
          <w:rFonts w:ascii="Times New Roman" w:eastAsia="Times New Roman" w:hAnsi="Times New Roman" w:cs="Times New Roman"/>
          <w:b/>
          <w:bCs/>
          <w:caps/>
          <w:spacing w:val="54"/>
          <w:kern w:val="24"/>
          <w:sz w:val="24"/>
          <w:szCs w:val="24"/>
          <w:lang w:eastAsia="pl-PL"/>
        </w:rPr>
      </w:pPr>
    </w:p>
    <w:p w14:paraId="67AF8218" w14:textId="0C75E959" w:rsidR="00642465" w:rsidRPr="004E768F" w:rsidRDefault="00642465"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Celem projektowanej ustawy jest:</w:t>
      </w:r>
    </w:p>
    <w:p w14:paraId="531ECB5A" w14:textId="3234B10B" w:rsidR="00642465" w:rsidRPr="004E768F" w:rsidRDefault="00642465"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zapewnienie stosowania rozporządzenia Parlamentu Europejskiego i Rady (UE) 2020/1503 z dnia 7 października 2020 r. w sprawie europejskich dostawców usług finansowania społecznościowego dla przedsięwzięć gospodarczych oraz zmieniającego rozporządzenie (UE) 2017/1129 i dyrektywę (UE) 2019/1937 (Dz. Urz. UE L 347 z 20.10.2020, str. 1), zwanego dalej „rozporządzeniem 2020/1503”;</w:t>
      </w:r>
    </w:p>
    <w:p w14:paraId="5F6C2677" w14:textId="2A78B529" w:rsidR="00642465" w:rsidRPr="004E768F" w:rsidRDefault="00642465"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implementacja dyrektywy Parlamentu Europejskiego i Rady (UE) 2020/1504 z dnia 7 października 2020 r. zmieniającej dyrektywę 2014/65/UE w sprawie rynków instrumentów finansowych (Dz. Urz. UE L 347 z 20.10.2020, str. 50), zwanej dalej „dyrektywą 2020/1504”.</w:t>
      </w:r>
    </w:p>
    <w:p w14:paraId="530C9D36" w14:textId="77777777" w:rsidR="00642465" w:rsidRPr="004E768F" w:rsidRDefault="00642465"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Przepisy te będą stosowane od dnia 10 listopada 2021 r.</w:t>
      </w:r>
    </w:p>
    <w:p w14:paraId="25F815BB" w14:textId="73CAA847" w:rsidR="00642465" w:rsidRPr="004E768F" w:rsidRDefault="00642465"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xml:space="preserve">Przepisy rozporządzenia 2020/1503 wprowadzają w Unii Europejskiej jednolite zasady dotyczące </w:t>
      </w:r>
      <w:r w:rsidR="007072A5">
        <w:rPr>
          <w:rFonts w:ascii="Times New Roman" w:eastAsia="Times New Roman" w:hAnsi="Times New Roman" w:cs="Times New Roman"/>
          <w:bCs/>
          <w:sz w:val="24"/>
          <w:szCs w:val="24"/>
          <w:lang w:eastAsia="pl-PL"/>
        </w:rPr>
        <w:t xml:space="preserve">dostawców </w:t>
      </w:r>
      <w:r w:rsidRPr="004E768F">
        <w:rPr>
          <w:rFonts w:ascii="Times New Roman" w:eastAsia="Times New Roman" w:hAnsi="Times New Roman" w:cs="Times New Roman"/>
          <w:bCs/>
          <w:sz w:val="24"/>
          <w:szCs w:val="24"/>
          <w:lang w:eastAsia="pl-PL"/>
        </w:rPr>
        <w:t>finansowania społecznościowego (</w:t>
      </w:r>
      <w:r w:rsidRPr="004E768F">
        <w:rPr>
          <w:rFonts w:ascii="Times New Roman" w:eastAsia="Times New Roman" w:hAnsi="Times New Roman" w:cs="Times New Roman"/>
          <w:bCs/>
          <w:i/>
          <w:sz w:val="24"/>
          <w:szCs w:val="24"/>
          <w:lang w:eastAsia="pl-PL"/>
        </w:rPr>
        <w:t>European Crowdfunding Service Provider</w:t>
      </w:r>
      <w:r w:rsidRPr="004E768F">
        <w:rPr>
          <w:rFonts w:ascii="Times New Roman" w:eastAsia="Times New Roman" w:hAnsi="Times New Roman" w:cs="Times New Roman"/>
          <w:bCs/>
          <w:sz w:val="24"/>
          <w:szCs w:val="24"/>
          <w:lang w:eastAsia="pl-PL"/>
        </w:rPr>
        <w:t xml:space="preserve">, ECSP), tzw. crowdfundingu. Finansowanie społecznościowe jest rozwiązaniem z dziedziny technologii finansowej, które zapewnia małym i średnim przedsiębiorstwom (MŚP), w szczególności przedsiębiorstwom typu </w:t>
      </w:r>
      <w:r w:rsidRPr="004E768F">
        <w:rPr>
          <w:rFonts w:ascii="Times New Roman" w:eastAsia="Times New Roman" w:hAnsi="Times New Roman" w:cs="Times New Roman"/>
          <w:bCs/>
          <w:i/>
          <w:sz w:val="24"/>
          <w:szCs w:val="24"/>
          <w:lang w:eastAsia="pl-PL"/>
        </w:rPr>
        <w:t>start-up</w:t>
      </w:r>
      <w:r w:rsidRPr="004E768F">
        <w:rPr>
          <w:rFonts w:ascii="Times New Roman" w:eastAsia="Times New Roman" w:hAnsi="Times New Roman" w:cs="Times New Roman"/>
          <w:bCs/>
          <w:sz w:val="24"/>
          <w:szCs w:val="24"/>
          <w:lang w:eastAsia="pl-PL"/>
        </w:rPr>
        <w:t>, alternatywny dostęp do finansowania. Jest ono realizowane za pośrednictwem platformy crowdfundingowej, tj. rozwiązania cyfrowego udostępnianego w Internecie otwartemu gronu odbiorców przez dostawcę usług finansowania społecznościowego, służącego do prowadzenia zbiórek crowfdundingowych.</w:t>
      </w:r>
    </w:p>
    <w:p w14:paraId="39667D1A" w14:textId="54BF6BC8" w:rsidR="007072A5" w:rsidRPr="004E768F" w:rsidRDefault="00642465"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Rozporządzenie 2020/1503 dotyczy platform crowdfundingowych działających w tzw. modelu udziałowym, w którym inwestor, w zamian za wpłatę, obejmuje papiery wartościowe (najczęściej akcje) wyemitowane przez właściciela projektu, oraz ułatwiających udzielanie pożyczek społecznościowych.</w:t>
      </w:r>
      <w:r w:rsidR="007072A5">
        <w:rPr>
          <w:rFonts w:ascii="Times New Roman" w:eastAsia="Times New Roman" w:hAnsi="Times New Roman" w:cs="Times New Roman"/>
          <w:bCs/>
          <w:sz w:val="24"/>
          <w:szCs w:val="24"/>
          <w:lang w:eastAsia="pl-PL"/>
        </w:rPr>
        <w:t xml:space="preserve"> </w:t>
      </w:r>
      <w:r w:rsidR="007072A5" w:rsidRPr="004E768F">
        <w:rPr>
          <w:rFonts w:ascii="Times New Roman" w:eastAsia="Times New Roman" w:hAnsi="Times New Roman" w:cs="Times New Roman"/>
          <w:bCs/>
          <w:sz w:val="24"/>
          <w:szCs w:val="24"/>
          <w:lang w:eastAsia="pl-PL"/>
        </w:rPr>
        <w:t xml:space="preserve">Rozporządzenie </w:t>
      </w:r>
      <w:r w:rsidR="007072A5">
        <w:rPr>
          <w:rFonts w:ascii="Times New Roman" w:eastAsia="Times New Roman" w:hAnsi="Times New Roman" w:cs="Times New Roman"/>
          <w:bCs/>
          <w:sz w:val="24"/>
          <w:szCs w:val="24"/>
          <w:lang w:eastAsia="pl-PL"/>
        </w:rPr>
        <w:t xml:space="preserve">to </w:t>
      </w:r>
      <w:r w:rsidR="007072A5" w:rsidRPr="004E768F">
        <w:rPr>
          <w:rFonts w:ascii="Times New Roman" w:eastAsia="Times New Roman" w:hAnsi="Times New Roman" w:cs="Times New Roman"/>
          <w:bCs/>
          <w:sz w:val="24"/>
          <w:szCs w:val="24"/>
          <w:lang w:eastAsia="pl-PL"/>
        </w:rPr>
        <w:t xml:space="preserve">przyznaje dostawcom usług finansowania społecznościowego dla przedsięwzięć gospodarczych swobodę świadczenia usług w całej Unii Europejskiej, </w:t>
      </w:r>
      <w:r w:rsidR="007072A5" w:rsidRPr="007072A5">
        <w:rPr>
          <w:rFonts w:ascii="Times New Roman" w:eastAsia="Times New Roman" w:hAnsi="Times New Roman" w:cs="Times New Roman"/>
          <w:bCs/>
          <w:sz w:val="24"/>
          <w:szCs w:val="24"/>
          <w:lang w:eastAsia="pl-PL"/>
        </w:rPr>
        <w:t xml:space="preserve">jednocześnie nakładając na nich konieczność spełniania określonych obowiązków organizacyjnych. </w:t>
      </w:r>
      <w:r w:rsidR="00E61F58">
        <w:rPr>
          <w:rFonts w:ascii="Times New Roman" w:hAnsi="Times New Roman" w:cs="Times New Roman"/>
          <w:color w:val="000000"/>
          <w:sz w:val="24"/>
          <w:szCs w:val="24"/>
        </w:rPr>
        <w:t>ECSP będą podlegać wymogom</w:t>
      </w:r>
      <w:r w:rsidR="007072A5" w:rsidRPr="007072A5">
        <w:rPr>
          <w:rFonts w:ascii="Times New Roman" w:hAnsi="Times New Roman" w:cs="Times New Roman"/>
          <w:color w:val="000000"/>
          <w:sz w:val="24"/>
          <w:szCs w:val="24"/>
        </w:rPr>
        <w:t xml:space="preserve"> przewidzianym dla tradycyjnych instytucji rynku kapitałowego, tj. domów maklerskich i towarzystw funduszy inwestycyjnych. ECSP zostali zobowiązani m.in. do utrzymywania odpowiedniego poziomu kapitałów własnych, posiadania polityki, procedur i mechanizmów wewnętrznych pozwalających na ostrożne zarządzanie, identyfikacji i ciągłego monitorowania ryzyk operacyjnych czy zapewnienia odpowiedniego standardu ochrony inwestorów. Przestrzeganie tych wymogów będzie podlegać nadzorowi Komisji Nadzoru Finansowego</w:t>
      </w:r>
      <w:r w:rsidR="00AD02F4">
        <w:rPr>
          <w:rFonts w:ascii="Times New Roman" w:hAnsi="Times New Roman" w:cs="Times New Roman"/>
          <w:color w:val="000000"/>
          <w:sz w:val="24"/>
          <w:szCs w:val="24"/>
        </w:rPr>
        <w:t>, zwanej dalej „Komisją”</w:t>
      </w:r>
      <w:r w:rsidR="007072A5" w:rsidRPr="007072A5">
        <w:rPr>
          <w:rFonts w:ascii="Times New Roman" w:hAnsi="Times New Roman" w:cs="Times New Roman"/>
          <w:color w:val="000000"/>
          <w:sz w:val="24"/>
          <w:szCs w:val="24"/>
        </w:rPr>
        <w:t xml:space="preserve">. </w:t>
      </w:r>
      <w:r w:rsidR="007072A5" w:rsidRPr="007072A5">
        <w:rPr>
          <w:rFonts w:ascii="Times New Roman" w:eastAsia="Times New Roman" w:hAnsi="Times New Roman" w:cs="Times New Roman"/>
          <w:bCs/>
          <w:sz w:val="24"/>
          <w:szCs w:val="24"/>
          <w:lang w:eastAsia="pl-PL"/>
        </w:rPr>
        <w:t>Rozporządzenie 2020/1503 zawiera także rozwiązania podnoszące poziom ochrony inwestorów, przede wszystkim inwestorów detalicznych, tj. osoby fizyczne nieposiadające dużej wiedzy i doświadczenia w</w:t>
      </w:r>
      <w:r w:rsidR="007072A5" w:rsidRPr="004E768F">
        <w:rPr>
          <w:rFonts w:ascii="Times New Roman" w:eastAsia="Times New Roman" w:hAnsi="Times New Roman" w:cs="Times New Roman"/>
          <w:bCs/>
          <w:sz w:val="24"/>
          <w:szCs w:val="24"/>
          <w:lang w:eastAsia="pl-PL"/>
        </w:rPr>
        <w:t xml:space="preserve"> zakresie inwestycji</w:t>
      </w:r>
      <w:r w:rsidR="007072A5">
        <w:rPr>
          <w:rFonts w:ascii="Times New Roman" w:eastAsia="Times New Roman" w:hAnsi="Times New Roman" w:cs="Times New Roman"/>
          <w:bCs/>
          <w:sz w:val="24"/>
          <w:szCs w:val="24"/>
          <w:lang w:eastAsia="pl-PL"/>
        </w:rPr>
        <w:t xml:space="preserve"> – d</w:t>
      </w:r>
      <w:r w:rsidR="007072A5" w:rsidRPr="004E768F">
        <w:rPr>
          <w:rFonts w:ascii="Times New Roman" w:eastAsia="Times New Roman" w:hAnsi="Times New Roman" w:cs="Times New Roman"/>
          <w:bCs/>
          <w:sz w:val="24"/>
          <w:szCs w:val="24"/>
          <w:lang w:eastAsia="pl-PL"/>
        </w:rPr>
        <w:t>o rozwiązań tych należą m.in. wstępny test wiedzy, badanie adekwatności ofert finansowania społecznościowego dla konkretnego inwestora, limity inwestycji czy okres namysłu przed ostatecznym zawarciem transakcji.</w:t>
      </w:r>
    </w:p>
    <w:p w14:paraId="01C9E145" w14:textId="4E96AAAD" w:rsidR="003C2A70" w:rsidRPr="007072A5" w:rsidRDefault="00207B4D"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Dyrektywa 2020/1504 zawiera zmianę tzw. dyrektyw</w:t>
      </w:r>
      <w:r w:rsidR="007072A5">
        <w:rPr>
          <w:rFonts w:ascii="Times New Roman" w:eastAsia="Times New Roman" w:hAnsi="Times New Roman" w:cs="Times New Roman"/>
          <w:bCs/>
          <w:sz w:val="24"/>
          <w:szCs w:val="24"/>
          <w:lang w:eastAsia="pl-PL"/>
        </w:rPr>
        <w:t>y</w:t>
      </w:r>
      <w:r w:rsidRPr="004E768F">
        <w:rPr>
          <w:rFonts w:ascii="Times New Roman" w:eastAsia="Times New Roman" w:hAnsi="Times New Roman" w:cs="Times New Roman"/>
          <w:bCs/>
          <w:sz w:val="24"/>
          <w:szCs w:val="24"/>
          <w:lang w:eastAsia="pl-PL"/>
        </w:rPr>
        <w:t xml:space="preserve"> MiFID </w:t>
      </w:r>
      <w:r w:rsidRPr="007072A5">
        <w:rPr>
          <w:rFonts w:ascii="Times New Roman" w:eastAsia="Times New Roman" w:hAnsi="Times New Roman" w:cs="Times New Roman"/>
          <w:bCs/>
          <w:sz w:val="24"/>
          <w:szCs w:val="24"/>
          <w:lang w:eastAsia="pl-PL"/>
        </w:rPr>
        <w:t xml:space="preserve">II, </w:t>
      </w:r>
      <w:r w:rsidR="007072A5" w:rsidRPr="007072A5">
        <w:rPr>
          <w:rFonts w:ascii="Times New Roman" w:hAnsi="Times New Roman" w:cs="Times New Roman"/>
          <w:color w:val="000000"/>
          <w:sz w:val="24"/>
          <w:szCs w:val="24"/>
        </w:rPr>
        <w:t>tj.</w:t>
      </w:r>
      <w:r w:rsidR="007072A5" w:rsidRPr="007072A5">
        <w:rPr>
          <w:rFonts w:ascii="Times New Roman" w:hAnsi="Times New Roman" w:cs="Times New Roman"/>
          <w:sz w:val="24"/>
          <w:szCs w:val="24"/>
        </w:rPr>
        <w:t xml:space="preserve"> d</w:t>
      </w:r>
      <w:r w:rsidR="007072A5" w:rsidRPr="007072A5">
        <w:rPr>
          <w:rFonts w:ascii="Times New Roman" w:hAnsi="Times New Roman" w:cs="Times New Roman"/>
          <w:color w:val="000000"/>
          <w:sz w:val="24"/>
          <w:szCs w:val="24"/>
        </w:rPr>
        <w:t>yrektyw</w:t>
      </w:r>
      <w:r w:rsidR="007072A5" w:rsidRPr="007072A5">
        <w:rPr>
          <w:rFonts w:ascii="Times New Roman" w:hAnsi="Times New Roman" w:cs="Times New Roman"/>
          <w:sz w:val="24"/>
          <w:szCs w:val="24"/>
        </w:rPr>
        <w:t>y</w:t>
      </w:r>
      <w:r w:rsidR="007072A5" w:rsidRPr="007072A5">
        <w:rPr>
          <w:rFonts w:ascii="Times New Roman" w:hAnsi="Times New Roman" w:cs="Times New Roman"/>
          <w:color w:val="000000"/>
          <w:sz w:val="24"/>
          <w:szCs w:val="24"/>
        </w:rPr>
        <w:t xml:space="preserve"> Parlamentu Europejskiego i Rady 2014/65/UE z dnia 15 maja 2014 r. w sprawie rynków instrumentów finansowych oraz zmieniająca dyrektywę 2002/92/WE i dyrektywę 2011/61/UE (Dz.U. L 173 z 12.</w:t>
      </w:r>
      <w:r w:rsidR="007072A5" w:rsidRPr="007072A5">
        <w:rPr>
          <w:rFonts w:ascii="Times New Roman" w:hAnsi="Times New Roman" w:cs="Times New Roman"/>
          <w:sz w:val="24"/>
          <w:szCs w:val="24"/>
        </w:rPr>
        <w:t>0</w:t>
      </w:r>
      <w:r w:rsidR="007072A5" w:rsidRPr="007072A5">
        <w:rPr>
          <w:rFonts w:ascii="Times New Roman" w:hAnsi="Times New Roman" w:cs="Times New Roman"/>
          <w:color w:val="000000"/>
          <w:sz w:val="24"/>
          <w:szCs w:val="24"/>
        </w:rPr>
        <w:t>6.2014, s</w:t>
      </w:r>
      <w:r w:rsidR="007072A5" w:rsidRPr="007072A5">
        <w:rPr>
          <w:rFonts w:ascii="Times New Roman" w:hAnsi="Times New Roman" w:cs="Times New Roman"/>
          <w:sz w:val="24"/>
          <w:szCs w:val="24"/>
        </w:rPr>
        <w:t>tr</w:t>
      </w:r>
      <w:r w:rsidR="007072A5" w:rsidRPr="007072A5">
        <w:rPr>
          <w:rFonts w:ascii="Times New Roman" w:hAnsi="Times New Roman" w:cs="Times New Roman"/>
          <w:color w:val="000000"/>
          <w:sz w:val="24"/>
          <w:szCs w:val="24"/>
        </w:rPr>
        <w:t>. 349</w:t>
      </w:r>
      <w:r w:rsidR="007072A5" w:rsidRPr="007072A5">
        <w:rPr>
          <w:rFonts w:ascii="Times New Roman" w:hAnsi="Times New Roman" w:cs="Times New Roman"/>
          <w:sz w:val="24"/>
          <w:szCs w:val="24"/>
        </w:rPr>
        <w:t>, z późn. zm.</w:t>
      </w:r>
      <w:r w:rsidR="007072A5" w:rsidRPr="007072A5">
        <w:rPr>
          <w:rFonts w:ascii="Times New Roman" w:hAnsi="Times New Roman" w:cs="Times New Roman"/>
          <w:color w:val="000000"/>
          <w:sz w:val="24"/>
          <w:szCs w:val="24"/>
        </w:rPr>
        <w:t>)</w:t>
      </w:r>
      <w:r w:rsidR="007072A5" w:rsidRPr="007072A5">
        <w:rPr>
          <w:rFonts w:ascii="Times New Roman" w:hAnsi="Times New Roman" w:cs="Times New Roman"/>
          <w:sz w:val="24"/>
          <w:szCs w:val="24"/>
        </w:rPr>
        <w:t>,</w:t>
      </w:r>
      <w:r w:rsidR="007072A5">
        <w:rPr>
          <w:rFonts w:ascii="Times New Roman" w:hAnsi="Times New Roman" w:cs="Times New Roman"/>
          <w:sz w:val="24"/>
          <w:szCs w:val="24"/>
        </w:rPr>
        <w:t xml:space="preserve"> </w:t>
      </w:r>
      <w:r w:rsidRPr="007072A5">
        <w:rPr>
          <w:rFonts w:ascii="Times New Roman" w:eastAsia="Times New Roman" w:hAnsi="Times New Roman" w:cs="Times New Roman"/>
          <w:bCs/>
          <w:sz w:val="24"/>
          <w:szCs w:val="24"/>
          <w:lang w:eastAsia="pl-PL"/>
        </w:rPr>
        <w:t>polegającą na dodaniu dostawców usług</w:t>
      </w:r>
      <w:r w:rsidRPr="004E768F">
        <w:rPr>
          <w:rFonts w:ascii="Times New Roman" w:eastAsia="Times New Roman" w:hAnsi="Times New Roman" w:cs="Times New Roman"/>
          <w:bCs/>
          <w:sz w:val="24"/>
          <w:szCs w:val="24"/>
          <w:lang w:eastAsia="pl-PL"/>
        </w:rPr>
        <w:t xml:space="preserve"> finansowania społecznościowego do art. 2 ust. 1 dyrektywy MiFID II, zawierającego listę podmiotów, których działalność jest wyłączona z zakresu stosowania tej dyrektywy</w:t>
      </w:r>
      <w:r w:rsidR="007072A5" w:rsidRPr="007072A5">
        <w:rPr>
          <w:rFonts w:ascii="Times New Roman" w:eastAsia="Times New Roman" w:hAnsi="Times New Roman" w:cs="Times New Roman"/>
          <w:bCs/>
          <w:sz w:val="24"/>
          <w:szCs w:val="24"/>
          <w:lang w:eastAsia="pl-PL"/>
        </w:rPr>
        <w:t xml:space="preserve">, w celu zapobieżenia </w:t>
      </w:r>
      <w:r w:rsidR="007072A5" w:rsidRPr="003C2A70">
        <w:rPr>
          <w:rFonts w:ascii="Times New Roman" w:hAnsi="Times New Roman" w:cs="Times New Roman"/>
          <w:color w:val="000000"/>
          <w:sz w:val="24"/>
          <w:szCs w:val="24"/>
        </w:rPr>
        <w:t>sytuacji, w której ten sam rodzaj działalności jest objęty różnymi zezwoleniami</w:t>
      </w:r>
      <w:r w:rsidR="007072A5">
        <w:rPr>
          <w:rFonts w:ascii="Times New Roman" w:hAnsi="Times New Roman" w:cs="Times New Roman"/>
          <w:color w:val="000000"/>
          <w:sz w:val="24"/>
          <w:szCs w:val="24"/>
        </w:rPr>
        <w:t>.</w:t>
      </w:r>
    </w:p>
    <w:p w14:paraId="38D3C5E5" w14:textId="051E9295" w:rsidR="00207B4D" w:rsidRPr="00C36F24" w:rsidRDefault="00207B4D"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C36F24">
        <w:rPr>
          <w:rFonts w:ascii="Times New Roman" w:eastAsia="Times New Roman" w:hAnsi="Times New Roman" w:cs="Times New Roman"/>
          <w:bCs/>
          <w:sz w:val="24"/>
          <w:szCs w:val="24"/>
          <w:lang w:eastAsia="pl-PL"/>
        </w:rPr>
        <w:lastRenderedPageBreak/>
        <w:t>Rozporządzenie 2020/1503 zobowiązuje państwa członkowskie UE do wprowadzenia w prawie krajowym rozwiązań zapewniających skuteczne stosowanie przepisów tego rozporządzenia. W tym celu projektowana ustawa:</w:t>
      </w:r>
    </w:p>
    <w:p w14:paraId="2F5BB404" w14:textId="11B1D4B6" w:rsidR="00207B4D" w:rsidRPr="004E768F" w:rsidRDefault="00207B4D"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xml:space="preserve">– wskazuje Komisję jako organ właściwy do nadzoru nad dostawcami usług finansowania społecznościowego dla przedsięwzięć gospodarczych, </w:t>
      </w:r>
    </w:p>
    <w:p w14:paraId="6C15D56B" w14:textId="77777777" w:rsidR="00207B4D" w:rsidRPr="004E768F" w:rsidRDefault="00207B4D"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przyznaje Komisji odpowiednie uprawnienia nadzorcze (m.in. do zawieszania konkretnych ofert finansowania społecznościowego lub zawieszania prowadzenia działalności przez dostawców oraz do współdziałania z organami wymiaru sprawiedliwości i organami nadzoru z innych państw członkowskich UE),</w:t>
      </w:r>
    </w:p>
    <w:p w14:paraId="1CA94D27" w14:textId="77777777" w:rsidR="00207B4D" w:rsidRPr="004E768F" w:rsidRDefault="00207B4D"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wprowadza odpowiednie sankcje administracyjne i karne za nieprzestrzeganie przepisów rozporządzenia lub projektowanej ustawy,</w:t>
      </w:r>
    </w:p>
    <w:p w14:paraId="26019E92" w14:textId="77777777" w:rsidR="00207B4D" w:rsidRPr="004E768F" w:rsidRDefault="00207B4D"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wprowadza odpowiedzialność cywilnoprawną i karną za poprawność i prawdziwość informacji podawanych w dokumentach informacyjnych sporządzanych w związku z ofertą finansowania społecznościowego,</w:t>
      </w:r>
    </w:p>
    <w:p w14:paraId="272D12DE" w14:textId="77777777" w:rsidR="00207B4D" w:rsidRPr="004E768F" w:rsidRDefault="00207B4D"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wprowadza przepisy dotyczące tajemnicy zawodowej i zasad przechowywania dokumentacji związanej ze świadczeniem usług finansowania społecznościowego dla przedsięwzięć gospodarczych,</w:t>
      </w:r>
    </w:p>
    <w:p w14:paraId="0739A199" w14:textId="77777777" w:rsidR="00207B4D" w:rsidRPr="004E768F" w:rsidRDefault="00207B4D"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upraszcza niektóre wymogi informacyjne spoczywające na emitencie papierów wartościowych – w przypadku ofert publicznych prowadzonych poza platformami finansowania społecznościowego, ale za pośrednictwem firmy inwestycyjnej, emitent będzie miał możliwość sporządzenia jedynie arkusza kluczowych informacji inwestycyjnych za</w:t>
      </w:r>
      <w:r w:rsidR="00272404" w:rsidRPr="004E768F">
        <w:rPr>
          <w:rFonts w:ascii="Times New Roman" w:eastAsia="Times New Roman" w:hAnsi="Times New Roman" w:cs="Times New Roman"/>
          <w:bCs/>
          <w:sz w:val="24"/>
          <w:szCs w:val="24"/>
          <w:lang w:eastAsia="pl-PL"/>
        </w:rPr>
        <w:t>miast memorandum informacyjnego.</w:t>
      </w:r>
    </w:p>
    <w:p w14:paraId="48F920FB" w14:textId="00EA088B" w:rsidR="00207B4D" w:rsidRPr="004E768F" w:rsidRDefault="00207B4D"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Projektowana ustawa zakłada również</w:t>
      </w:r>
      <w:r w:rsidR="00515A13">
        <w:rPr>
          <w:rFonts w:ascii="Times New Roman" w:eastAsia="Times New Roman" w:hAnsi="Times New Roman" w:cs="Times New Roman"/>
          <w:bCs/>
          <w:sz w:val="24"/>
          <w:szCs w:val="24"/>
          <w:lang w:eastAsia="pl-PL"/>
        </w:rPr>
        <w:t xml:space="preserve"> </w:t>
      </w:r>
      <w:r w:rsidRPr="004E768F">
        <w:rPr>
          <w:rFonts w:ascii="Times New Roman" w:eastAsia="Times New Roman" w:hAnsi="Times New Roman" w:cs="Times New Roman"/>
          <w:bCs/>
          <w:sz w:val="24"/>
          <w:szCs w:val="24"/>
          <w:lang w:eastAsia="pl-PL"/>
        </w:rPr>
        <w:t>podwyższenie</w:t>
      </w:r>
      <w:r w:rsidR="00515A13">
        <w:rPr>
          <w:rFonts w:ascii="Times New Roman" w:eastAsia="Times New Roman" w:hAnsi="Times New Roman" w:cs="Times New Roman"/>
          <w:bCs/>
          <w:sz w:val="24"/>
          <w:szCs w:val="24"/>
          <w:lang w:eastAsia="pl-PL"/>
        </w:rPr>
        <w:t>,</w:t>
      </w:r>
      <w:r w:rsidRPr="004E768F">
        <w:rPr>
          <w:rFonts w:ascii="Times New Roman" w:eastAsia="Times New Roman" w:hAnsi="Times New Roman" w:cs="Times New Roman"/>
          <w:bCs/>
          <w:sz w:val="24"/>
          <w:szCs w:val="24"/>
          <w:lang w:eastAsia="pl-PL"/>
        </w:rPr>
        <w:t xml:space="preserve"> </w:t>
      </w:r>
      <w:r w:rsidR="00515A13" w:rsidRPr="004E768F">
        <w:rPr>
          <w:rFonts w:ascii="Times New Roman" w:eastAsia="Times New Roman" w:hAnsi="Times New Roman" w:cs="Times New Roman"/>
          <w:bCs/>
          <w:sz w:val="24"/>
          <w:szCs w:val="24"/>
          <w:lang w:eastAsia="pl-PL"/>
        </w:rPr>
        <w:t xml:space="preserve">z dniem 10 listopada 2023 r., </w:t>
      </w:r>
      <w:r w:rsidRPr="004E768F">
        <w:rPr>
          <w:rFonts w:ascii="Times New Roman" w:eastAsia="Times New Roman" w:hAnsi="Times New Roman" w:cs="Times New Roman"/>
          <w:bCs/>
          <w:sz w:val="24"/>
          <w:szCs w:val="24"/>
          <w:lang w:eastAsia="pl-PL"/>
        </w:rPr>
        <w:t>progu kwotowego wpływów z tytułu emisji papierów wartościowych, który zwalnia z obowiązku sporządzenia prospektu, z 2,5 mln euro do 5 mln euro. Oferty publiczne, z których zakładane wpływy wyniosą między 2,5 a 5 mln euro, zostaną z tym dniem objęte obowiązkiem sporządzenia memorandum informacyjnego (lub arkusza kluczowych informacji inwestycyjnych, w przypadku ofert prowadzonych za pośrednictwem firmy inwestycyjnej).</w:t>
      </w:r>
    </w:p>
    <w:p w14:paraId="18731215" w14:textId="2D5668A1" w:rsidR="00207B4D" w:rsidRDefault="00207B4D"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xml:space="preserve">Zgodnie z rozporządzeniem </w:t>
      </w:r>
      <w:r w:rsidR="003C2A70" w:rsidRPr="004E768F">
        <w:rPr>
          <w:rFonts w:ascii="Times New Roman" w:eastAsia="Times New Roman" w:hAnsi="Times New Roman" w:cs="Times New Roman"/>
          <w:bCs/>
          <w:sz w:val="24"/>
          <w:szCs w:val="24"/>
          <w:lang w:eastAsia="pl-PL"/>
        </w:rPr>
        <w:t>2020/1503</w:t>
      </w:r>
      <w:r w:rsidR="003C2A70">
        <w:rPr>
          <w:rFonts w:ascii="Times New Roman" w:eastAsia="Times New Roman" w:hAnsi="Times New Roman" w:cs="Times New Roman"/>
          <w:bCs/>
          <w:sz w:val="24"/>
          <w:szCs w:val="24"/>
          <w:lang w:eastAsia="pl-PL"/>
        </w:rPr>
        <w:t xml:space="preserve"> </w:t>
      </w:r>
      <w:r w:rsidRPr="004E768F">
        <w:rPr>
          <w:rFonts w:ascii="Times New Roman" w:eastAsia="Times New Roman" w:hAnsi="Times New Roman" w:cs="Times New Roman"/>
          <w:bCs/>
          <w:sz w:val="24"/>
          <w:szCs w:val="24"/>
          <w:lang w:eastAsia="pl-PL"/>
        </w:rPr>
        <w:t>właściciele projektów finansowanych na platformach finansowania społecznościowego będą mogli pozyskać środki do 5 mln euro bez konieczności sporządzania prospektu. Natomiast przez okres 2 lat od dnia rozpoczęcia stosowania rozporządzenia (tj. do dnia 9 listopada 2023 r.) w państwach, w których próg kwotowy wpływów z tytułu emisji papierów wartościowych, powyżej którego należy sporządzić prospekt, wynosi mniej niż 5 mln euro, dopuszcza się prowadzenie ofert finansowania społecznościowego bez konieczności sporządzenia prospektu jedynie do wartości nieprzekraczającej progu przewidzianego w prawie krajowym.</w:t>
      </w:r>
    </w:p>
    <w:p w14:paraId="38CBCE9C" w14:textId="6DB8C290" w:rsidR="00B35F5A" w:rsidRPr="004E768F" w:rsidRDefault="00B35F5A"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Art. 47 rozporządzenia 2020/1503 wprowadza również zmianę dyrektywy </w:t>
      </w:r>
      <w:r w:rsidRPr="00B35F5A">
        <w:rPr>
          <w:rFonts w:ascii="Times New Roman" w:eastAsia="Times New Roman" w:hAnsi="Times New Roman" w:cs="Times New Roman"/>
          <w:bCs/>
          <w:sz w:val="24"/>
          <w:szCs w:val="24"/>
          <w:lang w:eastAsia="pl-PL"/>
        </w:rPr>
        <w:t>Parlamentu Europejskiego i Rady (UE) 2019/1937 z dnia 23 października 2019 r. w sprawie ochrony osób zgłaszających naruszenia prawa Unii</w:t>
      </w:r>
      <w:r>
        <w:rPr>
          <w:rFonts w:ascii="Times New Roman" w:eastAsia="Times New Roman" w:hAnsi="Times New Roman" w:cs="Times New Roman"/>
          <w:bCs/>
          <w:sz w:val="24"/>
          <w:szCs w:val="24"/>
          <w:lang w:eastAsia="pl-PL"/>
        </w:rPr>
        <w:t xml:space="preserve"> (Dz. Urz. UE L 305 z 26.11.2019, str. 17, z późn. zm.), </w:t>
      </w:r>
      <w:r w:rsidR="00E96455">
        <w:rPr>
          <w:rFonts w:ascii="Times New Roman" w:eastAsia="Times New Roman" w:hAnsi="Times New Roman" w:cs="Times New Roman"/>
          <w:bCs/>
          <w:sz w:val="24"/>
          <w:szCs w:val="24"/>
          <w:lang w:eastAsia="pl-PL"/>
        </w:rPr>
        <w:t xml:space="preserve">zwanej dalej „dyrektywą 2019/1937”, </w:t>
      </w:r>
      <w:r>
        <w:rPr>
          <w:rFonts w:ascii="Times New Roman" w:eastAsia="Times New Roman" w:hAnsi="Times New Roman" w:cs="Times New Roman"/>
          <w:bCs/>
          <w:sz w:val="24"/>
          <w:szCs w:val="24"/>
          <w:lang w:eastAsia="pl-PL"/>
        </w:rPr>
        <w:t xml:space="preserve">dodając dostawców usług finansowania społecznościowego do katalogu podmiotów objętych przepisami tej dyrektywy. Termin implementacji przepisów dyrektywy 2019/1937 </w:t>
      </w:r>
      <w:r w:rsidR="00E155E9">
        <w:rPr>
          <w:rFonts w:ascii="Times New Roman" w:eastAsia="Times New Roman" w:hAnsi="Times New Roman" w:cs="Times New Roman"/>
          <w:bCs/>
          <w:sz w:val="24"/>
          <w:szCs w:val="24"/>
          <w:lang w:eastAsia="pl-PL"/>
        </w:rPr>
        <w:t>do krajowych porządków prawnych został wyznaczony na dzień 17 grudnia 2021 r., a więc po dniu rozpoczęcia stosowania rozporządzenia 2020/1503. Biorąc ponadto pod uwagę, że dyrektywa 2019/1937 wymaga wprowadzenia nowych mechanizmów ochrony tzw. sygnalistów, wdrożenie nowelizacji przewidzianej w art. 47 rozporządzenia 2020/1503 zostanie dokonane ustawą wdrażającą do polskiego porządku prawnego całą dyrektywę.</w:t>
      </w:r>
    </w:p>
    <w:p w14:paraId="11895B64" w14:textId="60B3C31F" w:rsidR="00207B4D" w:rsidRDefault="00207B4D"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xml:space="preserve">W celu implementacji dyrektywy projektowana ustawa dokona nowelizacji ustawy z dnia 29 lipca 2005 r. o obrocie instrumentami finansowymi (Dz. U. z </w:t>
      </w:r>
      <w:r w:rsidR="00E96455">
        <w:rPr>
          <w:rFonts w:ascii="Times New Roman" w:eastAsia="Times New Roman" w:hAnsi="Times New Roman" w:cs="Times New Roman"/>
          <w:bCs/>
          <w:sz w:val="24"/>
          <w:szCs w:val="24"/>
          <w:lang w:eastAsia="pl-PL"/>
        </w:rPr>
        <w:t>2021 r. poz. 328, z późn. zm.</w:t>
      </w:r>
      <w:r w:rsidRPr="004E768F">
        <w:rPr>
          <w:rFonts w:ascii="Times New Roman" w:eastAsia="Times New Roman" w:hAnsi="Times New Roman" w:cs="Times New Roman"/>
          <w:bCs/>
          <w:sz w:val="24"/>
          <w:szCs w:val="24"/>
          <w:lang w:eastAsia="pl-PL"/>
        </w:rPr>
        <w:t xml:space="preserve">), </w:t>
      </w:r>
      <w:r w:rsidRPr="004E768F">
        <w:rPr>
          <w:rFonts w:ascii="Times New Roman" w:eastAsia="Times New Roman" w:hAnsi="Times New Roman" w:cs="Times New Roman"/>
          <w:bCs/>
          <w:sz w:val="24"/>
          <w:szCs w:val="24"/>
          <w:lang w:eastAsia="pl-PL"/>
        </w:rPr>
        <w:lastRenderedPageBreak/>
        <w:t>zwanej dalej „ustawą o obrocie instrumentami finansowymi”, przez wyłączenie stosowania przepisów tej ustawy do dostawców usług finansowania społecznościowego dla przedsięwzięć gospodarczych.</w:t>
      </w:r>
    </w:p>
    <w:p w14:paraId="5D13D94F" w14:textId="1DBD5B5A" w:rsidR="00700B59" w:rsidRPr="004E768F" w:rsidRDefault="00700B59"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Wyłączenie stosowania przepisów ustawy o obrocie instrumentami finansowymi do dostawców usług finansowania społecznościowego ma na celu zapewnienie pewności prawa przez wyraźne rozgraniczenie zakresu zezwoleń wydawanych, odpowiednio, na podstawie tej ustawy oraz rozporządzenia 2020/1503. Pozwoli to także na uniknięcie sytuacji, w której ten sam rodzaj działalności jest objęty różnymi zezwoleniami. Jednocześnie projektowana ustawa przewiduje objęcie dostawców usług finansowania społecznościowego obowiązkami podobnymi do tych, które muszą spełniać firmy inwestycyjne. Takie rozwiązanie wynika z faktu, że samo rozporządzenie 2020/1503 </w:t>
      </w:r>
      <w:r w:rsidR="00702705">
        <w:rPr>
          <w:rFonts w:ascii="Times New Roman" w:eastAsia="Times New Roman" w:hAnsi="Times New Roman" w:cs="Times New Roman"/>
          <w:bCs/>
          <w:sz w:val="24"/>
          <w:szCs w:val="24"/>
          <w:lang w:eastAsia="pl-PL"/>
        </w:rPr>
        <w:t>zawiera przepisy zbliżone do przepisów dyrektywy MiFID II (np. procedura udzielania zezwoleń, zakres środków nadzorczych, zapobieganie konfliktom interesów, niektóre środki ochrony inwestorów). Ponadto usługi finansowania społecznościowego zdefiniowane w rozporządzeniu 2020/1503 obejmują m.in. oferowanie instrumentów finansowych oraz przyjmowanie i przekazywanie zleceń nabycia lub zbycia instrumentów finansowych, które są uregulowane w ustawie o obrocie instrumentami finansowymi.</w:t>
      </w:r>
    </w:p>
    <w:p w14:paraId="5D83C1CD" w14:textId="2EC35AE0" w:rsidR="00293D55" w:rsidRPr="004E768F" w:rsidRDefault="00207B4D" w:rsidP="00E96455">
      <w:pPr>
        <w:suppressAutoHyphens/>
        <w:autoSpaceDE w:val="0"/>
        <w:autoSpaceDN w:val="0"/>
        <w:adjustRightInd w:val="0"/>
        <w:spacing w:before="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xml:space="preserve">Ustawa przewiduje także nowelizację </w:t>
      </w:r>
      <w:r w:rsidR="00E61F58">
        <w:rPr>
          <w:rFonts w:ascii="Times New Roman" w:eastAsia="Times New Roman" w:hAnsi="Times New Roman" w:cs="Times New Roman"/>
          <w:bCs/>
          <w:sz w:val="24"/>
          <w:szCs w:val="24"/>
          <w:lang w:eastAsia="pl-PL"/>
        </w:rPr>
        <w:t>innych aktów prawnych</w:t>
      </w:r>
      <w:r w:rsidRPr="004E768F">
        <w:rPr>
          <w:rFonts w:ascii="Times New Roman" w:eastAsia="Times New Roman" w:hAnsi="Times New Roman" w:cs="Times New Roman"/>
          <w:bCs/>
          <w:sz w:val="24"/>
          <w:szCs w:val="24"/>
          <w:lang w:eastAsia="pl-PL"/>
        </w:rPr>
        <w:t xml:space="preserve"> w celu dostosowania ich przepisów do </w:t>
      </w:r>
      <w:r w:rsidR="00293D55" w:rsidRPr="004E768F">
        <w:rPr>
          <w:rFonts w:ascii="Times New Roman" w:eastAsia="Times New Roman" w:hAnsi="Times New Roman" w:cs="Times New Roman"/>
          <w:bCs/>
          <w:sz w:val="24"/>
          <w:szCs w:val="24"/>
          <w:lang w:eastAsia="pl-PL"/>
        </w:rPr>
        <w:t xml:space="preserve">rozwiązań </w:t>
      </w:r>
      <w:r w:rsidR="003C2A70">
        <w:rPr>
          <w:rFonts w:ascii="Times New Roman" w:eastAsia="Times New Roman" w:hAnsi="Times New Roman" w:cs="Times New Roman"/>
          <w:bCs/>
          <w:sz w:val="24"/>
          <w:szCs w:val="24"/>
          <w:lang w:eastAsia="pl-PL"/>
        </w:rPr>
        <w:t xml:space="preserve">zawartych w </w:t>
      </w:r>
      <w:r w:rsidR="00293D55" w:rsidRPr="004E768F">
        <w:rPr>
          <w:rFonts w:ascii="Times New Roman" w:eastAsia="Times New Roman" w:hAnsi="Times New Roman" w:cs="Times New Roman"/>
          <w:bCs/>
          <w:sz w:val="24"/>
          <w:szCs w:val="24"/>
          <w:lang w:eastAsia="pl-PL"/>
        </w:rPr>
        <w:t>projektowan</w:t>
      </w:r>
      <w:r w:rsidR="003C2A70">
        <w:rPr>
          <w:rFonts w:ascii="Times New Roman" w:eastAsia="Times New Roman" w:hAnsi="Times New Roman" w:cs="Times New Roman"/>
          <w:bCs/>
          <w:sz w:val="24"/>
          <w:szCs w:val="24"/>
          <w:lang w:eastAsia="pl-PL"/>
        </w:rPr>
        <w:t xml:space="preserve">ej </w:t>
      </w:r>
      <w:r w:rsidR="00272404" w:rsidRPr="004E768F">
        <w:rPr>
          <w:rFonts w:ascii="Times New Roman" w:eastAsia="Times New Roman" w:hAnsi="Times New Roman" w:cs="Times New Roman"/>
          <w:bCs/>
          <w:sz w:val="24"/>
          <w:szCs w:val="24"/>
          <w:lang w:eastAsia="pl-PL"/>
        </w:rPr>
        <w:t>ustawie</w:t>
      </w:r>
      <w:r w:rsidR="00F139E8">
        <w:rPr>
          <w:rFonts w:ascii="Times New Roman" w:eastAsia="Times New Roman" w:hAnsi="Times New Roman" w:cs="Times New Roman"/>
          <w:bCs/>
          <w:sz w:val="24"/>
          <w:szCs w:val="24"/>
          <w:lang w:eastAsia="pl-PL"/>
        </w:rPr>
        <w:t>, tj. następujących ustaw:</w:t>
      </w:r>
    </w:p>
    <w:p w14:paraId="22AEB156" w14:textId="04665D72" w:rsidR="00293D55" w:rsidRPr="004E768F" w:rsidRDefault="00293D55" w:rsidP="00E96455">
      <w:pPr>
        <w:suppressAutoHyphens/>
        <w:autoSpaceDE w:val="0"/>
        <w:autoSpaceDN w:val="0"/>
        <w:adjustRightInd w:val="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xml:space="preserve">– ustawy z dnia 29 września 1994 r. o rachunkowości (Dz. U. z </w:t>
      </w:r>
      <w:r w:rsidR="00F32291">
        <w:rPr>
          <w:rFonts w:ascii="Times New Roman" w:eastAsia="Times New Roman" w:hAnsi="Times New Roman" w:cs="Times New Roman"/>
          <w:bCs/>
          <w:sz w:val="24"/>
          <w:szCs w:val="24"/>
          <w:lang w:eastAsia="pl-PL"/>
        </w:rPr>
        <w:t>2021 r. poz. 217</w:t>
      </w:r>
      <w:r w:rsidRPr="004E768F">
        <w:rPr>
          <w:rFonts w:ascii="Times New Roman" w:eastAsia="Times New Roman" w:hAnsi="Times New Roman" w:cs="Times New Roman"/>
          <w:bCs/>
          <w:sz w:val="24"/>
          <w:szCs w:val="24"/>
          <w:lang w:eastAsia="pl-PL"/>
        </w:rPr>
        <w:t>),</w:t>
      </w:r>
    </w:p>
    <w:p w14:paraId="22D5FE3F" w14:textId="6D670077" w:rsidR="00293D55" w:rsidRPr="004E768F" w:rsidRDefault="00293D55" w:rsidP="00E96455">
      <w:pPr>
        <w:suppressAutoHyphens/>
        <w:autoSpaceDE w:val="0"/>
        <w:autoSpaceDN w:val="0"/>
        <w:adjustRightInd w:val="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ustaw</w:t>
      </w:r>
      <w:r w:rsidR="003C2A70">
        <w:rPr>
          <w:rFonts w:ascii="Times New Roman" w:eastAsia="Times New Roman" w:hAnsi="Times New Roman" w:cs="Times New Roman"/>
          <w:bCs/>
          <w:sz w:val="24"/>
          <w:szCs w:val="24"/>
          <w:lang w:eastAsia="pl-PL"/>
        </w:rPr>
        <w:t>y</w:t>
      </w:r>
      <w:r w:rsidRPr="004E768F">
        <w:rPr>
          <w:rFonts w:ascii="Times New Roman" w:eastAsia="Times New Roman" w:hAnsi="Times New Roman" w:cs="Times New Roman"/>
          <w:bCs/>
          <w:sz w:val="24"/>
          <w:szCs w:val="24"/>
          <w:lang w:eastAsia="pl-PL"/>
        </w:rPr>
        <w:t xml:space="preserve"> z dnia 29 sierpnia 1997 r. – Prawo bankowe (Dz. U. z 2020 r. poz. 1896, z późn. zm.),</w:t>
      </w:r>
      <w:r w:rsidR="00F139E8">
        <w:rPr>
          <w:rFonts w:ascii="Times New Roman" w:eastAsia="Times New Roman" w:hAnsi="Times New Roman" w:cs="Times New Roman"/>
          <w:bCs/>
          <w:sz w:val="24"/>
          <w:szCs w:val="24"/>
          <w:lang w:eastAsia="pl-PL"/>
        </w:rPr>
        <w:t xml:space="preserve"> zwanej dalej „ustawą – Prawo bankowe”,</w:t>
      </w:r>
    </w:p>
    <w:p w14:paraId="06876DBD" w14:textId="70C43FA7" w:rsidR="00293D55" w:rsidRPr="004E768F" w:rsidRDefault="00293D55" w:rsidP="00E96455">
      <w:pPr>
        <w:suppressAutoHyphens/>
        <w:autoSpaceDE w:val="0"/>
        <w:autoSpaceDN w:val="0"/>
        <w:adjustRightInd w:val="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ustaw</w:t>
      </w:r>
      <w:r w:rsidR="003C2A70">
        <w:rPr>
          <w:rFonts w:ascii="Times New Roman" w:eastAsia="Times New Roman" w:hAnsi="Times New Roman" w:cs="Times New Roman"/>
          <w:bCs/>
          <w:sz w:val="24"/>
          <w:szCs w:val="24"/>
          <w:lang w:eastAsia="pl-PL"/>
        </w:rPr>
        <w:t>y</w:t>
      </w:r>
      <w:r w:rsidRPr="004E768F">
        <w:rPr>
          <w:rFonts w:ascii="Times New Roman" w:eastAsia="Times New Roman" w:hAnsi="Times New Roman" w:cs="Times New Roman"/>
          <w:bCs/>
          <w:sz w:val="24"/>
          <w:szCs w:val="24"/>
          <w:lang w:eastAsia="pl-PL"/>
        </w:rPr>
        <w:t xml:space="preserve"> z dnia 15 września 2000 r. – Kodeks spółek handlowych (Dz. U. z 2020 r. poz. 1526, z późn. zm.)</w:t>
      </w:r>
      <w:r w:rsidR="00E77760" w:rsidRPr="004E768F">
        <w:rPr>
          <w:rFonts w:ascii="Times New Roman" w:eastAsia="Times New Roman" w:hAnsi="Times New Roman" w:cs="Times New Roman"/>
          <w:bCs/>
          <w:sz w:val="24"/>
          <w:szCs w:val="24"/>
          <w:lang w:eastAsia="pl-PL"/>
        </w:rPr>
        <w:t>, zwaną dalej „KSH”</w:t>
      </w:r>
      <w:r w:rsidRPr="004E768F">
        <w:rPr>
          <w:rFonts w:ascii="Times New Roman" w:eastAsia="Times New Roman" w:hAnsi="Times New Roman" w:cs="Times New Roman"/>
          <w:bCs/>
          <w:sz w:val="24"/>
          <w:szCs w:val="24"/>
          <w:lang w:eastAsia="pl-PL"/>
        </w:rPr>
        <w:t>,</w:t>
      </w:r>
    </w:p>
    <w:p w14:paraId="14899DA4" w14:textId="33CACF46" w:rsidR="00293D55" w:rsidRPr="004E768F" w:rsidRDefault="00293D55" w:rsidP="00E96455">
      <w:pPr>
        <w:suppressAutoHyphens/>
        <w:autoSpaceDE w:val="0"/>
        <w:autoSpaceDN w:val="0"/>
        <w:adjustRightInd w:val="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ustaw</w:t>
      </w:r>
      <w:r w:rsidR="003C2A70">
        <w:rPr>
          <w:rFonts w:ascii="Times New Roman" w:eastAsia="Times New Roman" w:hAnsi="Times New Roman" w:cs="Times New Roman"/>
          <w:bCs/>
          <w:sz w:val="24"/>
          <w:szCs w:val="24"/>
          <w:lang w:eastAsia="pl-PL"/>
        </w:rPr>
        <w:t>y</w:t>
      </w:r>
      <w:r w:rsidRPr="004E768F">
        <w:rPr>
          <w:rFonts w:ascii="Times New Roman" w:eastAsia="Times New Roman" w:hAnsi="Times New Roman" w:cs="Times New Roman"/>
          <w:bCs/>
          <w:sz w:val="24"/>
          <w:szCs w:val="24"/>
          <w:lang w:eastAsia="pl-PL"/>
        </w:rPr>
        <w:t xml:space="preserve"> z dnia 26 października 2000 r. o giełdach towarowych (Dz. U. z 2019 r. poz. 312),</w:t>
      </w:r>
    </w:p>
    <w:p w14:paraId="7E7155F8" w14:textId="067E6F99" w:rsidR="00293D55" w:rsidRPr="004E768F" w:rsidRDefault="00293D55" w:rsidP="00E96455">
      <w:pPr>
        <w:suppressAutoHyphens/>
        <w:autoSpaceDE w:val="0"/>
        <w:autoSpaceDN w:val="0"/>
        <w:adjustRightInd w:val="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ustaw</w:t>
      </w:r>
      <w:r w:rsidR="003C2A70">
        <w:rPr>
          <w:rFonts w:ascii="Times New Roman" w:eastAsia="Times New Roman" w:hAnsi="Times New Roman" w:cs="Times New Roman"/>
          <w:bCs/>
          <w:sz w:val="24"/>
          <w:szCs w:val="24"/>
          <w:lang w:eastAsia="pl-PL"/>
        </w:rPr>
        <w:t>y</w:t>
      </w:r>
      <w:r w:rsidRPr="004E768F">
        <w:rPr>
          <w:rFonts w:ascii="Times New Roman" w:eastAsia="Times New Roman" w:hAnsi="Times New Roman" w:cs="Times New Roman"/>
          <w:bCs/>
          <w:sz w:val="24"/>
          <w:szCs w:val="24"/>
          <w:lang w:eastAsia="pl-PL"/>
        </w:rPr>
        <w:t xml:space="preserve"> z dnia 29 lipca 2005 r. o nadzorze nad rynkiem kapitałowym (Dz. U. z 2020 r. poz. 1400, z późn. zm.),</w:t>
      </w:r>
    </w:p>
    <w:p w14:paraId="5CFC108A" w14:textId="77B3520E" w:rsidR="00293D55" w:rsidRPr="004E768F" w:rsidRDefault="00293D55" w:rsidP="00E96455">
      <w:pPr>
        <w:suppressAutoHyphens/>
        <w:autoSpaceDE w:val="0"/>
        <w:autoSpaceDN w:val="0"/>
        <w:adjustRightInd w:val="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ustaw</w:t>
      </w:r>
      <w:r w:rsidR="003C2A70">
        <w:rPr>
          <w:rFonts w:ascii="Times New Roman" w:eastAsia="Times New Roman" w:hAnsi="Times New Roman" w:cs="Times New Roman"/>
          <w:bCs/>
          <w:sz w:val="24"/>
          <w:szCs w:val="24"/>
          <w:lang w:eastAsia="pl-PL"/>
        </w:rPr>
        <w:t>y</w:t>
      </w:r>
      <w:r w:rsidRPr="004E768F">
        <w:rPr>
          <w:rFonts w:ascii="Times New Roman" w:eastAsia="Times New Roman" w:hAnsi="Times New Roman" w:cs="Times New Roman"/>
          <w:bCs/>
          <w:sz w:val="24"/>
          <w:szCs w:val="24"/>
          <w:lang w:eastAsia="pl-PL"/>
        </w:rPr>
        <w:t xml:space="preserve"> z dnia 29 lipca 2005 r. o ofercie publicznej i warunkach wprowadzania instrumentów finansowych do zorganizowanego systemu obrotu oraz o spółkach publicznych (Dz. U. z 2020 r. poz. 2080</w:t>
      </w:r>
      <w:r w:rsidR="004920CA">
        <w:rPr>
          <w:rFonts w:ascii="Times New Roman" w:eastAsia="Times New Roman" w:hAnsi="Times New Roman" w:cs="Times New Roman"/>
          <w:bCs/>
          <w:sz w:val="24"/>
          <w:szCs w:val="24"/>
          <w:lang w:eastAsia="pl-PL"/>
        </w:rPr>
        <w:t>, z późn. zm.</w:t>
      </w:r>
      <w:r w:rsidRPr="004E768F">
        <w:rPr>
          <w:rFonts w:ascii="Times New Roman" w:eastAsia="Times New Roman" w:hAnsi="Times New Roman" w:cs="Times New Roman"/>
          <w:bCs/>
          <w:sz w:val="24"/>
          <w:szCs w:val="24"/>
          <w:lang w:eastAsia="pl-PL"/>
        </w:rPr>
        <w:t>), zwaną dalej „ustawą o ofercie publicznej”,</w:t>
      </w:r>
    </w:p>
    <w:p w14:paraId="7D085BC2" w14:textId="734517FB" w:rsidR="003C2A70" w:rsidRPr="004E768F" w:rsidRDefault="00293D55" w:rsidP="00E96455">
      <w:pPr>
        <w:suppressAutoHyphens/>
        <w:autoSpaceDE w:val="0"/>
        <w:autoSpaceDN w:val="0"/>
        <w:adjustRightInd w:val="0"/>
        <w:spacing w:after="12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ustaw</w:t>
      </w:r>
      <w:r w:rsidR="003C2A70">
        <w:rPr>
          <w:rFonts w:ascii="Times New Roman" w:eastAsia="Times New Roman" w:hAnsi="Times New Roman" w:cs="Times New Roman"/>
          <w:bCs/>
          <w:sz w:val="24"/>
          <w:szCs w:val="24"/>
          <w:lang w:eastAsia="pl-PL"/>
        </w:rPr>
        <w:t>y</w:t>
      </w:r>
      <w:r w:rsidRPr="004E768F">
        <w:rPr>
          <w:rFonts w:ascii="Times New Roman" w:eastAsia="Times New Roman" w:hAnsi="Times New Roman" w:cs="Times New Roman"/>
          <w:bCs/>
          <w:sz w:val="24"/>
          <w:szCs w:val="24"/>
          <w:lang w:eastAsia="pl-PL"/>
        </w:rPr>
        <w:t xml:space="preserve"> z dnia 21 lipca 2006 r. o nadzorze nad rynkiem finansowym (Dz. U. z 2020 r. poz. 2059</w:t>
      </w:r>
      <w:r w:rsidR="00184A4F">
        <w:rPr>
          <w:rFonts w:ascii="Times New Roman" w:eastAsia="Times New Roman" w:hAnsi="Times New Roman" w:cs="Times New Roman"/>
          <w:bCs/>
          <w:sz w:val="24"/>
          <w:szCs w:val="24"/>
          <w:lang w:eastAsia="pl-PL"/>
        </w:rPr>
        <w:t>, z późn. zm.</w:t>
      </w:r>
      <w:r w:rsidRPr="004E768F">
        <w:rPr>
          <w:rFonts w:ascii="Times New Roman" w:eastAsia="Times New Roman" w:hAnsi="Times New Roman" w:cs="Times New Roman"/>
          <w:bCs/>
          <w:sz w:val="24"/>
          <w:szCs w:val="24"/>
          <w:lang w:eastAsia="pl-PL"/>
        </w:rPr>
        <w:t>).</w:t>
      </w:r>
    </w:p>
    <w:p w14:paraId="37E6854A" w14:textId="77777777" w:rsidR="00702705" w:rsidRDefault="00FE6887"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
          <w:bCs/>
          <w:sz w:val="24"/>
          <w:szCs w:val="24"/>
          <w:lang w:eastAsia="pl-PL"/>
        </w:rPr>
        <w:t>Art. 1</w:t>
      </w:r>
      <w:r w:rsidR="00A8351C">
        <w:rPr>
          <w:rFonts w:ascii="Times New Roman" w:eastAsia="Times New Roman" w:hAnsi="Times New Roman" w:cs="Times New Roman"/>
          <w:b/>
          <w:bCs/>
          <w:sz w:val="24"/>
          <w:szCs w:val="24"/>
          <w:lang w:eastAsia="pl-PL"/>
        </w:rPr>
        <w:t xml:space="preserve"> </w:t>
      </w:r>
      <w:r w:rsidRPr="004E768F">
        <w:rPr>
          <w:rFonts w:ascii="Times New Roman" w:eastAsia="Times New Roman" w:hAnsi="Times New Roman" w:cs="Times New Roman"/>
          <w:bCs/>
          <w:sz w:val="24"/>
          <w:szCs w:val="24"/>
          <w:lang w:eastAsia="pl-PL"/>
        </w:rPr>
        <w:t>określa</w:t>
      </w:r>
      <w:r w:rsidR="00A8351C">
        <w:rPr>
          <w:rFonts w:ascii="Times New Roman" w:eastAsia="Times New Roman" w:hAnsi="Times New Roman" w:cs="Times New Roman"/>
          <w:bCs/>
          <w:sz w:val="24"/>
          <w:szCs w:val="24"/>
          <w:lang w:eastAsia="pl-PL"/>
        </w:rPr>
        <w:t xml:space="preserve"> </w:t>
      </w:r>
      <w:r w:rsidRPr="004E768F">
        <w:rPr>
          <w:rFonts w:ascii="Times New Roman" w:eastAsia="Times New Roman" w:hAnsi="Times New Roman" w:cs="Times New Roman"/>
          <w:bCs/>
          <w:sz w:val="24"/>
          <w:szCs w:val="24"/>
          <w:lang w:eastAsia="pl-PL"/>
        </w:rPr>
        <w:t xml:space="preserve">zakres przedmiotowy </w:t>
      </w:r>
      <w:r w:rsidR="00702705">
        <w:rPr>
          <w:rFonts w:ascii="Times New Roman" w:eastAsia="Times New Roman" w:hAnsi="Times New Roman" w:cs="Times New Roman"/>
          <w:bCs/>
          <w:sz w:val="24"/>
          <w:szCs w:val="24"/>
          <w:lang w:eastAsia="pl-PL"/>
        </w:rPr>
        <w:t>ustawy.</w:t>
      </w:r>
    </w:p>
    <w:p w14:paraId="493A972C" w14:textId="301BAF2E" w:rsidR="00702705" w:rsidRPr="004E768F" w:rsidRDefault="00702705"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w:t>
      </w:r>
      <w:r w:rsidR="00FE6887" w:rsidRPr="004E768F">
        <w:rPr>
          <w:rFonts w:ascii="Times New Roman" w:eastAsia="Times New Roman" w:hAnsi="Times New Roman" w:cs="Times New Roman"/>
          <w:b/>
          <w:bCs/>
          <w:sz w:val="24"/>
          <w:szCs w:val="24"/>
          <w:lang w:eastAsia="pl-PL"/>
        </w:rPr>
        <w:t>rt. 2</w:t>
      </w:r>
      <w:r w:rsidR="00FE6887" w:rsidRPr="004E768F">
        <w:rPr>
          <w:rFonts w:ascii="Times New Roman" w:eastAsia="Times New Roman" w:hAnsi="Times New Roman" w:cs="Times New Roman"/>
          <w:bCs/>
          <w:sz w:val="24"/>
          <w:szCs w:val="24"/>
          <w:lang w:eastAsia="pl-PL"/>
        </w:rPr>
        <w:t xml:space="preserve"> </w:t>
      </w:r>
      <w:r w:rsidR="00A8351C">
        <w:rPr>
          <w:rFonts w:ascii="Times New Roman" w:eastAsia="Times New Roman" w:hAnsi="Times New Roman" w:cs="Times New Roman"/>
          <w:bCs/>
          <w:sz w:val="24"/>
          <w:szCs w:val="24"/>
          <w:lang w:eastAsia="pl-PL"/>
        </w:rPr>
        <w:t xml:space="preserve">zawiera definicje pojęć stosowanych w ustawie, w tym </w:t>
      </w:r>
      <w:r w:rsidR="00FE6887" w:rsidRPr="004E768F">
        <w:rPr>
          <w:rFonts w:ascii="Times New Roman" w:eastAsia="Times New Roman" w:hAnsi="Times New Roman" w:cs="Times New Roman"/>
          <w:bCs/>
          <w:sz w:val="24"/>
          <w:szCs w:val="24"/>
          <w:lang w:eastAsia="pl-PL"/>
        </w:rPr>
        <w:t>„arkusza kluczowych informacji inwestycyjnych”, „arkusza kluczowych informacji inwestycyjnych na poziomie platformy”, „dostawcy usług finansowania społecznościowego”, „indywidualnego zarządzania portfelem pożyczek”,</w:t>
      </w:r>
      <w:r>
        <w:rPr>
          <w:rFonts w:ascii="Times New Roman" w:eastAsia="Times New Roman" w:hAnsi="Times New Roman" w:cs="Times New Roman"/>
          <w:bCs/>
          <w:sz w:val="24"/>
          <w:szCs w:val="24"/>
          <w:lang w:eastAsia="pl-PL"/>
        </w:rPr>
        <w:t xml:space="preserve"> „inwestora”, „klienta”,</w:t>
      </w:r>
      <w:r w:rsidR="00FE6887" w:rsidRPr="004E768F">
        <w:rPr>
          <w:rFonts w:ascii="Times New Roman" w:eastAsia="Times New Roman" w:hAnsi="Times New Roman" w:cs="Times New Roman"/>
          <w:bCs/>
          <w:sz w:val="24"/>
          <w:szCs w:val="24"/>
          <w:lang w:eastAsia="pl-PL"/>
        </w:rPr>
        <w:t xml:space="preserve"> „pożyczki”, „usługi finansowania społecznościowego”</w:t>
      </w:r>
      <w:r>
        <w:rPr>
          <w:rFonts w:ascii="Times New Roman" w:eastAsia="Times New Roman" w:hAnsi="Times New Roman" w:cs="Times New Roman"/>
          <w:bCs/>
          <w:sz w:val="24"/>
          <w:szCs w:val="24"/>
          <w:lang w:eastAsia="pl-PL"/>
        </w:rPr>
        <w:t>, „trwałego nośnika”</w:t>
      </w:r>
      <w:r w:rsidR="00FE6887" w:rsidRPr="004E768F">
        <w:rPr>
          <w:rFonts w:ascii="Times New Roman" w:eastAsia="Times New Roman" w:hAnsi="Times New Roman" w:cs="Times New Roman"/>
          <w:bCs/>
          <w:sz w:val="24"/>
          <w:szCs w:val="24"/>
          <w:lang w:eastAsia="pl-PL"/>
        </w:rPr>
        <w:t xml:space="preserve"> oraz „właściciela projektu”</w:t>
      </w:r>
      <w:r w:rsidR="00A8351C">
        <w:rPr>
          <w:rFonts w:ascii="Times New Roman" w:eastAsia="Times New Roman" w:hAnsi="Times New Roman" w:cs="Times New Roman"/>
          <w:bCs/>
          <w:sz w:val="24"/>
          <w:szCs w:val="24"/>
          <w:lang w:eastAsia="pl-PL"/>
        </w:rPr>
        <w:t xml:space="preserve">, </w:t>
      </w:r>
      <w:r w:rsidR="00FE6887" w:rsidRPr="004E768F">
        <w:rPr>
          <w:rFonts w:ascii="Times New Roman" w:eastAsia="Times New Roman" w:hAnsi="Times New Roman" w:cs="Times New Roman"/>
          <w:bCs/>
          <w:sz w:val="24"/>
          <w:szCs w:val="24"/>
          <w:lang w:eastAsia="pl-PL"/>
        </w:rPr>
        <w:t>przez odesłanie do odpowiednich prze</w:t>
      </w:r>
      <w:r>
        <w:rPr>
          <w:rFonts w:ascii="Times New Roman" w:eastAsia="Times New Roman" w:hAnsi="Times New Roman" w:cs="Times New Roman"/>
          <w:bCs/>
          <w:sz w:val="24"/>
          <w:szCs w:val="24"/>
          <w:lang w:eastAsia="pl-PL"/>
        </w:rPr>
        <w:t>pisów rozporządzenia 2020/1503.</w:t>
      </w:r>
      <w:r w:rsidR="00A2550D">
        <w:rPr>
          <w:rFonts w:ascii="Times New Roman" w:eastAsia="Times New Roman" w:hAnsi="Times New Roman" w:cs="Times New Roman"/>
          <w:bCs/>
          <w:sz w:val="24"/>
          <w:szCs w:val="24"/>
          <w:lang w:eastAsia="pl-PL"/>
        </w:rPr>
        <w:t xml:space="preserve"> W celu zapewnienia spójności w ramach krajowego porządku prawnego wprowadza się również definicje „jednostki dominującej”, „jednostki zależnej”, „przedsiębiorcy” i „przedsiębiorcy zagranicznego” przez odesłanie do właściwych ustaw, tj. odpowiednio </w:t>
      </w:r>
      <w:r w:rsidR="00A2550D" w:rsidRPr="004E768F">
        <w:rPr>
          <w:rFonts w:ascii="Times New Roman" w:eastAsia="Times New Roman" w:hAnsi="Times New Roman" w:cs="Times New Roman"/>
          <w:bCs/>
          <w:sz w:val="24"/>
          <w:szCs w:val="24"/>
          <w:lang w:eastAsia="pl-PL"/>
        </w:rPr>
        <w:t>ustawy z dnia 29 września 1994 r. o rachunkowości</w:t>
      </w:r>
      <w:r w:rsidR="00A2550D">
        <w:rPr>
          <w:rFonts w:ascii="Times New Roman" w:eastAsia="Times New Roman" w:hAnsi="Times New Roman" w:cs="Times New Roman"/>
          <w:bCs/>
          <w:sz w:val="24"/>
          <w:szCs w:val="24"/>
          <w:lang w:eastAsia="pl-PL"/>
        </w:rPr>
        <w:t xml:space="preserve">, </w:t>
      </w:r>
      <w:r w:rsidR="00A2550D">
        <w:rPr>
          <w:rFonts w:ascii="Times New Roman" w:hAnsi="Times New Roman" w:cs="Times New Roman"/>
          <w:sz w:val="24"/>
          <w:szCs w:val="24"/>
        </w:rPr>
        <w:t>ustawy</w:t>
      </w:r>
      <w:r w:rsidR="00A2550D" w:rsidRPr="00357484">
        <w:rPr>
          <w:rFonts w:ascii="Times New Roman" w:hAnsi="Times New Roman" w:cs="Times New Roman"/>
          <w:sz w:val="24"/>
          <w:szCs w:val="24"/>
        </w:rPr>
        <w:t xml:space="preserve"> z dnia 6 marca 2018 r. – Praw</w:t>
      </w:r>
      <w:r w:rsidR="00A2550D">
        <w:rPr>
          <w:rFonts w:ascii="Times New Roman" w:hAnsi="Times New Roman" w:cs="Times New Roman"/>
          <w:sz w:val="24"/>
          <w:szCs w:val="24"/>
        </w:rPr>
        <w:t>o przedsiębiorców (Dz. U. z 2021</w:t>
      </w:r>
      <w:r w:rsidR="00A2550D" w:rsidRPr="00357484">
        <w:rPr>
          <w:rFonts w:ascii="Times New Roman" w:hAnsi="Times New Roman" w:cs="Times New Roman"/>
          <w:sz w:val="24"/>
          <w:szCs w:val="24"/>
        </w:rPr>
        <w:t xml:space="preserve"> r. poz. </w:t>
      </w:r>
      <w:r w:rsidR="00A2550D">
        <w:rPr>
          <w:rFonts w:ascii="Times New Roman" w:hAnsi="Times New Roman" w:cs="Times New Roman"/>
          <w:sz w:val="24"/>
          <w:szCs w:val="24"/>
        </w:rPr>
        <w:t>162</w:t>
      </w:r>
      <w:r w:rsidR="00A2550D" w:rsidRPr="00357484">
        <w:rPr>
          <w:rFonts w:ascii="Times New Roman" w:hAnsi="Times New Roman" w:cs="Times New Roman"/>
          <w:sz w:val="24"/>
          <w:szCs w:val="24"/>
        </w:rPr>
        <w:t>)</w:t>
      </w:r>
      <w:r w:rsidR="00A2550D">
        <w:rPr>
          <w:rFonts w:ascii="Times New Roman" w:hAnsi="Times New Roman" w:cs="Times New Roman"/>
          <w:sz w:val="24"/>
          <w:szCs w:val="24"/>
        </w:rPr>
        <w:t xml:space="preserve"> oraz </w:t>
      </w:r>
      <w:r w:rsidR="00A2550D" w:rsidRPr="00A2550D">
        <w:rPr>
          <w:rFonts w:ascii="Times New Roman" w:hAnsi="Times New Roman" w:cs="Times New Roman"/>
          <w:sz w:val="24"/>
          <w:szCs w:val="24"/>
        </w:rPr>
        <w:t>ustawy z dnia 6 marca 2018 r. o zasadach uczestnictwa przedsiębiorców zagranicznych i innych osób zagranicznych w obrocie gospodarczym na terytorium Rzeczypospolitej Polskiej (Dz. U. z 2020 r. poz. 1252</w:t>
      </w:r>
      <w:r w:rsidR="00E92088">
        <w:rPr>
          <w:rFonts w:ascii="Times New Roman" w:hAnsi="Times New Roman" w:cs="Times New Roman"/>
          <w:sz w:val="24"/>
          <w:szCs w:val="24"/>
        </w:rPr>
        <w:t>, z późn. zm.</w:t>
      </w:r>
      <w:r w:rsidR="00A2550D" w:rsidRPr="00A2550D">
        <w:rPr>
          <w:rFonts w:ascii="Times New Roman" w:hAnsi="Times New Roman" w:cs="Times New Roman"/>
          <w:sz w:val="24"/>
          <w:szCs w:val="24"/>
        </w:rPr>
        <w:t>)</w:t>
      </w:r>
      <w:r w:rsidR="00A2550D">
        <w:rPr>
          <w:rFonts w:ascii="Times New Roman" w:hAnsi="Times New Roman" w:cs="Times New Roman"/>
          <w:sz w:val="24"/>
          <w:szCs w:val="24"/>
        </w:rPr>
        <w:t>.</w:t>
      </w:r>
    </w:p>
    <w:p w14:paraId="26BF7DAE" w14:textId="77BBA8A5" w:rsidR="00D54028" w:rsidRPr="005E7A4C" w:rsidRDefault="009275C4" w:rsidP="005E7A4C">
      <w:pPr>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Przepisy</w:t>
      </w:r>
      <w:r w:rsidR="00A8351C" w:rsidRPr="00A8351C">
        <w:rPr>
          <w:rFonts w:ascii="Times New Roman" w:eastAsia="Times New Roman" w:hAnsi="Times New Roman" w:cs="Times New Roman"/>
          <w:bCs/>
          <w:sz w:val="24"/>
          <w:szCs w:val="24"/>
          <w:lang w:eastAsia="pl-PL"/>
        </w:rPr>
        <w:t xml:space="preserve"> </w:t>
      </w:r>
      <w:r w:rsidR="00A8351C" w:rsidRPr="00792D08">
        <w:rPr>
          <w:rFonts w:ascii="Times New Roman" w:eastAsia="Times New Roman" w:hAnsi="Times New Roman" w:cs="Times New Roman"/>
          <w:bCs/>
          <w:sz w:val="24"/>
          <w:szCs w:val="24"/>
          <w:lang w:eastAsia="pl-PL"/>
        </w:rPr>
        <w:t>art. 3</w:t>
      </w:r>
      <w:r w:rsidR="00A2550D" w:rsidRPr="00792D08">
        <w:rPr>
          <w:rFonts w:ascii="Times New Roman" w:eastAsia="Times New Roman" w:hAnsi="Times New Roman" w:cs="Times New Roman"/>
          <w:bCs/>
          <w:sz w:val="24"/>
          <w:szCs w:val="24"/>
          <w:lang w:eastAsia="pl-PL"/>
        </w:rPr>
        <w:t>–</w:t>
      </w:r>
      <w:r w:rsidR="002E5F9B" w:rsidRPr="00792D08">
        <w:rPr>
          <w:rFonts w:ascii="Times New Roman" w:eastAsia="Times New Roman" w:hAnsi="Times New Roman" w:cs="Times New Roman"/>
          <w:bCs/>
          <w:sz w:val="24"/>
          <w:szCs w:val="24"/>
          <w:lang w:eastAsia="pl-PL"/>
        </w:rPr>
        <w:t>9</w:t>
      </w:r>
      <w:r w:rsidR="002E5F9B">
        <w:rPr>
          <w:rFonts w:ascii="Times New Roman" w:eastAsia="Times New Roman" w:hAnsi="Times New Roman" w:cs="Times New Roman"/>
          <w:b/>
          <w:bCs/>
          <w:sz w:val="24"/>
          <w:szCs w:val="24"/>
          <w:lang w:eastAsia="pl-PL"/>
        </w:rPr>
        <w:t xml:space="preserve"> </w:t>
      </w:r>
      <w:r w:rsidR="00BB28F6" w:rsidRPr="004E768F">
        <w:rPr>
          <w:rFonts w:ascii="Times New Roman" w:eastAsia="Times New Roman" w:hAnsi="Times New Roman" w:cs="Times New Roman"/>
          <w:bCs/>
          <w:sz w:val="24"/>
          <w:szCs w:val="24"/>
          <w:lang w:eastAsia="pl-PL"/>
        </w:rPr>
        <w:t>dotycz</w:t>
      </w:r>
      <w:r>
        <w:rPr>
          <w:rFonts w:ascii="Times New Roman" w:eastAsia="Times New Roman" w:hAnsi="Times New Roman" w:cs="Times New Roman"/>
          <w:bCs/>
          <w:sz w:val="24"/>
          <w:szCs w:val="24"/>
          <w:lang w:eastAsia="pl-PL"/>
        </w:rPr>
        <w:t>ą</w:t>
      </w:r>
      <w:r w:rsidR="00BB28F6" w:rsidRPr="004E768F">
        <w:rPr>
          <w:rFonts w:ascii="Times New Roman" w:eastAsia="Times New Roman" w:hAnsi="Times New Roman" w:cs="Times New Roman"/>
          <w:bCs/>
          <w:sz w:val="24"/>
          <w:szCs w:val="24"/>
          <w:lang w:eastAsia="pl-PL"/>
        </w:rPr>
        <w:t xml:space="preserve"> tajemnicy zawodowej</w:t>
      </w:r>
      <w:r w:rsidR="00A2550D">
        <w:rPr>
          <w:rFonts w:ascii="Times New Roman" w:eastAsia="Times New Roman" w:hAnsi="Times New Roman" w:cs="Times New Roman"/>
          <w:bCs/>
          <w:sz w:val="24"/>
          <w:szCs w:val="24"/>
          <w:lang w:eastAsia="pl-PL"/>
        </w:rPr>
        <w:t xml:space="preserve"> i</w:t>
      </w:r>
      <w:r w:rsidR="00BB28F6" w:rsidRPr="004E768F">
        <w:rPr>
          <w:rFonts w:ascii="Times New Roman" w:eastAsia="Times New Roman" w:hAnsi="Times New Roman" w:cs="Times New Roman"/>
          <w:bCs/>
          <w:sz w:val="24"/>
          <w:szCs w:val="24"/>
          <w:lang w:eastAsia="pl-PL"/>
        </w:rPr>
        <w:t xml:space="preserve"> stanowią niezbędne doprecyzowanie przepisów </w:t>
      </w:r>
      <w:r>
        <w:rPr>
          <w:rFonts w:ascii="Times New Roman" w:eastAsia="Times New Roman" w:hAnsi="Times New Roman" w:cs="Times New Roman"/>
          <w:bCs/>
          <w:sz w:val="24"/>
          <w:szCs w:val="24"/>
          <w:lang w:eastAsia="pl-PL"/>
        </w:rPr>
        <w:t xml:space="preserve">art. 35 </w:t>
      </w:r>
      <w:r w:rsidR="00BB28F6" w:rsidRPr="004E768F">
        <w:rPr>
          <w:rFonts w:ascii="Times New Roman" w:eastAsia="Times New Roman" w:hAnsi="Times New Roman" w:cs="Times New Roman"/>
          <w:bCs/>
          <w:sz w:val="24"/>
          <w:szCs w:val="24"/>
          <w:lang w:eastAsia="pl-PL"/>
        </w:rPr>
        <w:t>rozporządzenia 2020/1503.</w:t>
      </w:r>
      <w:r w:rsidR="00B26EE6" w:rsidRPr="004E768F">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Z</w:t>
      </w:r>
      <w:r w:rsidR="00B26EE6" w:rsidRPr="004E768F">
        <w:rPr>
          <w:rFonts w:ascii="Times New Roman" w:eastAsia="Times New Roman" w:hAnsi="Times New Roman" w:cs="Times New Roman"/>
          <w:bCs/>
          <w:sz w:val="24"/>
          <w:szCs w:val="24"/>
          <w:lang w:eastAsia="pl-PL"/>
        </w:rPr>
        <w:t xml:space="preserve">e względu na podobieństwo usług finansowania </w:t>
      </w:r>
      <w:r w:rsidR="00B26EE6" w:rsidRPr="004E768F">
        <w:rPr>
          <w:rFonts w:ascii="Times New Roman" w:eastAsia="Times New Roman" w:hAnsi="Times New Roman" w:cs="Times New Roman"/>
          <w:bCs/>
          <w:sz w:val="24"/>
          <w:szCs w:val="24"/>
          <w:lang w:eastAsia="pl-PL"/>
        </w:rPr>
        <w:lastRenderedPageBreak/>
        <w:t xml:space="preserve">społecznościowego do usług </w:t>
      </w:r>
      <w:r w:rsidR="00B26EE6" w:rsidRPr="00AE5C53">
        <w:rPr>
          <w:rFonts w:ascii="Times New Roman" w:eastAsia="Times New Roman" w:hAnsi="Times New Roman" w:cs="Times New Roman"/>
          <w:bCs/>
          <w:sz w:val="24"/>
          <w:szCs w:val="24"/>
          <w:lang w:eastAsia="pl-PL"/>
        </w:rPr>
        <w:t>świadczonych przez firmy inwestycyjne na podstawie ustawy o obrocie instrumentami finansowymi przepisy te</w:t>
      </w:r>
      <w:r w:rsidR="00A2550D">
        <w:rPr>
          <w:rFonts w:ascii="Times New Roman" w:eastAsia="Times New Roman" w:hAnsi="Times New Roman" w:cs="Times New Roman"/>
          <w:bCs/>
          <w:sz w:val="24"/>
          <w:szCs w:val="24"/>
          <w:lang w:eastAsia="pl-PL"/>
        </w:rPr>
        <w:t xml:space="preserve"> </w:t>
      </w:r>
      <w:r w:rsidR="00B26EE6" w:rsidRPr="00AE5C53">
        <w:rPr>
          <w:rFonts w:ascii="Times New Roman" w:eastAsia="Times New Roman" w:hAnsi="Times New Roman" w:cs="Times New Roman"/>
          <w:bCs/>
          <w:sz w:val="24"/>
          <w:szCs w:val="24"/>
          <w:lang w:eastAsia="pl-PL"/>
        </w:rPr>
        <w:t xml:space="preserve">zostały </w:t>
      </w:r>
      <w:r w:rsidR="000F5D8B" w:rsidRPr="00AE5C53">
        <w:rPr>
          <w:rFonts w:ascii="Times New Roman" w:eastAsia="Times New Roman" w:hAnsi="Times New Roman" w:cs="Times New Roman"/>
          <w:bCs/>
          <w:sz w:val="24"/>
          <w:szCs w:val="24"/>
          <w:lang w:eastAsia="pl-PL"/>
        </w:rPr>
        <w:t xml:space="preserve">skonstruowane </w:t>
      </w:r>
      <w:r w:rsidRPr="00AE5C53">
        <w:rPr>
          <w:rFonts w:ascii="Times New Roman" w:eastAsia="Times New Roman" w:hAnsi="Times New Roman" w:cs="Times New Roman"/>
          <w:bCs/>
          <w:sz w:val="24"/>
          <w:szCs w:val="24"/>
          <w:lang w:eastAsia="pl-PL"/>
        </w:rPr>
        <w:t>podobnie</w:t>
      </w:r>
      <w:r w:rsidR="00D54028" w:rsidRPr="00AE5C53">
        <w:rPr>
          <w:rFonts w:ascii="Times New Roman" w:eastAsia="Times New Roman" w:hAnsi="Times New Roman" w:cs="Times New Roman"/>
          <w:bCs/>
          <w:sz w:val="24"/>
          <w:szCs w:val="24"/>
          <w:lang w:eastAsia="pl-PL"/>
        </w:rPr>
        <w:t xml:space="preserve"> jak art</w:t>
      </w:r>
      <w:r w:rsidR="002E5F9B">
        <w:rPr>
          <w:rFonts w:ascii="Times New Roman" w:eastAsia="Times New Roman" w:hAnsi="Times New Roman" w:cs="Times New Roman"/>
          <w:bCs/>
          <w:sz w:val="24"/>
          <w:szCs w:val="24"/>
          <w:lang w:eastAsia="pl-PL"/>
        </w:rPr>
        <w:t xml:space="preserve">. 147–153 </w:t>
      </w:r>
      <w:r w:rsidR="000F5D8B" w:rsidRPr="00AE5C53">
        <w:rPr>
          <w:rFonts w:ascii="Times New Roman" w:eastAsia="Times New Roman" w:hAnsi="Times New Roman" w:cs="Times New Roman"/>
          <w:bCs/>
          <w:sz w:val="24"/>
          <w:szCs w:val="24"/>
          <w:lang w:eastAsia="pl-PL"/>
        </w:rPr>
        <w:t>ustawy o obrocie instrumentami finansowymi.</w:t>
      </w:r>
      <w:r w:rsidR="00D54028" w:rsidRPr="00AE5C53">
        <w:rPr>
          <w:rFonts w:ascii="Times New Roman" w:eastAsia="Times New Roman" w:hAnsi="Times New Roman" w:cs="Times New Roman"/>
          <w:bCs/>
          <w:sz w:val="24"/>
          <w:szCs w:val="24"/>
          <w:lang w:eastAsia="pl-PL"/>
        </w:rPr>
        <w:t xml:space="preserve"> Przepisy </w:t>
      </w:r>
      <w:r w:rsidR="00AE5C53">
        <w:rPr>
          <w:rFonts w:ascii="Times New Roman" w:eastAsia="Times New Roman" w:hAnsi="Times New Roman" w:cs="Times New Roman"/>
          <w:bCs/>
          <w:sz w:val="24"/>
          <w:szCs w:val="24"/>
          <w:lang w:eastAsia="pl-PL"/>
        </w:rPr>
        <w:t xml:space="preserve">wyodrębniają </w:t>
      </w:r>
      <w:r w:rsidR="00D54028" w:rsidRPr="00AE5C53">
        <w:rPr>
          <w:rFonts w:ascii="Times New Roman" w:eastAsia="Times New Roman" w:hAnsi="Times New Roman" w:cs="Times New Roman"/>
          <w:bCs/>
          <w:sz w:val="24"/>
          <w:szCs w:val="24"/>
          <w:lang w:eastAsia="pl-PL"/>
        </w:rPr>
        <w:t>trzy płaszczyzny</w:t>
      </w:r>
      <w:r w:rsidR="00D54028" w:rsidRPr="00AE5C53">
        <w:rPr>
          <w:rFonts w:ascii="Times New Roman" w:eastAsia="Times New Roman" w:hAnsi="Times New Roman" w:cs="Times New Roman"/>
          <w:sz w:val="24"/>
          <w:szCs w:val="24"/>
          <w:lang w:eastAsia="pl-PL"/>
        </w:rPr>
        <w:t xml:space="preserve"> obowiązku zachowania tajemnicy zawodowej: </w:t>
      </w:r>
      <w:r w:rsidR="00D54028" w:rsidRPr="00AE5C53">
        <w:rPr>
          <w:rFonts w:ascii="Times New Roman" w:eastAsia="Times New Roman" w:hAnsi="Times New Roman" w:cs="Times New Roman"/>
          <w:bCs/>
          <w:sz w:val="24"/>
          <w:szCs w:val="24"/>
          <w:lang w:eastAsia="pl-PL"/>
        </w:rPr>
        <w:t>płaszczyznę podmiotową</w:t>
      </w:r>
      <w:r w:rsidR="00D54028" w:rsidRPr="00AE5C53">
        <w:rPr>
          <w:rFonts w:ascii="Times New Roman" w:eastAsia="Times New Roman" w:hAnsi="Times New Roman" w:cs="Times New Roman"/>
          <w:sz w:val="24"/>
          <w:szCs w:val="24"/>
          <w:lang w:eastAsia="pl-PL"/>
        </w:rPr>
        <w:t xml:space="preserve"> (</w:t>
      </w:r>
      <w:r w:rsidR="00D54028" w:rsidRPr="00AE5C53">
        <w:rPr>
          <w:rFonts w:ascii="Times New Roman" w:eastAsia="Times New Roman" w:hAnsi="Times New Roman" w:cs="Times New Roman"/>
          <w:bCs/>
          <w:sz w:val="24"/>
          <w:szCs w:val="24"/>
          <w:lang w:eastAsia="pl-PL"/>
        </w:rPr>
        <w:t>komu</w:t>
      </w:r>
      <w:r w:rsidR="00D54028" w:rsidRPr="00AE5C53">
        <w:rPr>
          <w:rFonts w:ascii="Times New Roman" w:eastAsia="Times New Roman" w:hAnsi="Times New Roman" w:cs="Times New Roman"/>
          <w:sz w:val="24"/>
          <w:szCs w:val="24"/>
          <w:lang w:eastAsia="pl-PL"/>
        </w:rPr>
        <w:t xml:space="preserve"> podmiot zobowiązany może ujawnić tzw. informację konfidencjonalną), </w:t>
      </w:r>
      <w:r w:rsidR="00D54028" w:rsidRPr="00AE5C53">
        <w:rPr>
          <w:rFonts w:ascii="Times New Roman" w:eastAsia="Times New Roman" w:hAnsi="Times New Roman" w:cs="Times New Roman"/>
          <w:bCs/>
          <w:sz w:val="24"/>
          <w:szCs w:val="24"/>
          <w:lang w:eastAsia="pl-PL"/>
        </w:rPr>
        <w:t>płaszczyznę przedmiotową</w:t>
      </w:r>
      <w:r w:rsidR="00D54028" w:rsidRPr="002E5F9B">
        <w:rPr>
          <w:rFonts w:ascii="Times New Roman" w:eastAsia="Times New Roman" w:hAnsi="Times New Roman" w:cs="Times New Roman"/>
          <w:sz w:val="24"/>
          <w:szCs w:val="24"/>
          <w:lang w:eastAsia="pl-PL"/>
        </w:rPr>
        <w:t xml:space="preserve"> (</w:t>
      </w:r>
      <w:r w:rsidR="00D54028" w:rsidRPr="002E5F9B">
        <w:rPr>
          <w:rFonts w:ascii="Times New Roman" w:eastAsia="Times New Roman" w:hAnsi="Times New Roman" w:cs="Times New Roman"/>
          <w:bCs/>
          <w:sz w:val="24"/>
          <w:szCs w:val="24"/>
          <w:lang w:eastAsia="pl-PL"/>
        </w:rPr>
        <w:t>zakres informacji poufnych</w:t>
      </w:r>
      <w:r w:rsidR="00AE5C53" w:rsidRPr="002E5F9B">
        <w:rPr>
          <w:rFonts w:ascii="Times New Roman" w:eastAsia="Times New Roman" w:hAnsi="Times New Roman" w:cs="Times New Roman"/>
          <w:bCs/>
          <w:sz w:val="24"/>
          <w:szCs w:val="24"/>
          <w:lang w:eastAsia="pl-PL"/>
        </w:rPr>
        <w:t>, które mogą b</w:t>
      </w:r>
      <w:r w:rsidR="00D54028" w:rsidRPr="002E5F9B">
        <w:rPr>
          <w:rFonts w:ascii="Times New Roman" w:eastAsia="Times New Roman" w:hAnsi="Times New Roman" w:cs="Times New Roman"/>
          <w:sz w:val="24"/>
          <w:szCs w:val="24"/>
          <w:lang w:eastAsia="pl-PL"/>
        </w:rPr>
        <w:t>yć przekazan</w:t>
      </w:r>
      <w:r w:rsidR="00AE5C53" w:rsidRPr="002E5F9B">
        <w:rPr>
          <w:rFonts w:ascii="Times New Roman" w:eastAsia="Times New Roman" w:hAnsi="Times New Roman" w:cs="Times New Roman"/>
          <w:sz w:val="24"/>
          <w:szCs w:val="24"/>
          <w:lang w:eastAsia="pl-PL"/>
        </w:rPr>
        <w:t xml:space="preserve">e </w:t>
      </w:r>
      <w:r w:rsidR="00D54028" w:rsidRPr="002E5F9B">
        <w:rPr>
          <w:rFonts w:ascii="Times New Roman" w:eastAsia="Times New Roman" w:hAnsi="Times New Roman" w:cs="Times New Roman"/>
          <w:sz w:val="24"/>
          <w:szCs w:val="24"/>
          <w:lang w:eastAsia="pl-PL"/>
        </w:rPr>
        <w:t xml:space="preserve">osobom uprawionym) i </w:t>
      </w:r>
      <w:r w:rsidR="00D54028" w:rsidRPr="002E5F9B">
        <w:rPr>
          <w:rFonts w:ascii="Times New Roman" w:eastAsia="Times New Roman" w:hAnsi="Times New Roman" w:cs="Times New Roman"/>
          <w:bCs/>
          <w:sz w:val="24"/>
          <w:szCs w:val="24"/>
          <w:lang w:eastAsia="pl-PL"/>
        </w:rPr>
        <w:t>płaszczyznę czasową</w:t>
      </w:r>
      <w:r w:rsidR="00D54028" w:rsidRPr="002E5F9B">
        <w:rPr>
          <w:rFonts w:ascii="Times New Roman" w:eastAsia="Times New Roman" w:hAnsi="Times New Roman" w:cs="Times New Roman"/>
          <w:sz w:val="24"/>
          <w:szCs w:val="24"/>
          <w:lang w:eastAsia="pl-PL"/>
        </w:rPr>
        <w:t xml:space="preserve"> (</w:t>
      </w:r>
      <w:r w:rsidR="00D54028" w:rsidRPr="002E5F9B">
        <w:rPr>
          <w:rFonts w:ascii="Times New Roman" w:eastAsia="Times New Roman" w:hAnsi="Times New Roman" w:cs="Times New Roman"/>
          <w:bCs/>
          <w:sz w:val="24"/>
          <w:szCs w:val="24"/>
          <w:lang w:eastAsia="pl-PL"/>
        </w:rPr>
        <w:t>czas powstania i trwania</w:t>
      </w:r>
      <w:r w:rsidR="00D54028" w:rsidRPr="002E5F9B">
        <w:rPr>
          <w:rFonts w:ascii="Times New Roman" w:eastAsia="Times New Roman" w:hAnsi="Times New Roman" w:cs="Times New Roman"/>
          <w:sz w:val="24"/>
          <w:szCs w:val="24"/>
          <w:lang w:eastAsia="pl-PL"/>
        </w:rPr>
        <w:t xml:space="preserve"> obowiązku zachowania tajemnicy zawodowej). Przepisy regulują </w:t>
      </w:r>
      <w:r w:rsidR="00AE5C53" w:rsidRPr="002E5F9B">
        <w:rPr>
          <w:rFonts w:ascii="Times New Roman" w:eastAsia="Times New Roman" w:hAnsi="Times New Roman" w:cs="Times New Roman"/>
          <w:sz w:val="24"/>
          <w:szCs w:val="24"/>
          <w:lang w:eastAsia="pl-PL"/>
        </w:rPr>
        <w:t xml:space="preserve">tzw. </w:t>
      </w:r>
      <w:r w:rsidR="00D54028" w:rsidRPr="002E5F9B">
        <w:rPr>
          <w:rFonts w:ascii="Times New Roman" w:eastAsia="Times New Roman" w:hAnsi="Times New Roman" w:cs="Times New Roman"/>
          <w:sz w:val="24"/>
          <w:szCs w:val="24"/>
          <w:lang w:eastAsia="pl-PL"/>
        </w:rPr>
        <w:t>bezpośredni dostęp do tajemnicy zawodowej (</w:t>
      </w:r>
      <w:r w:rsidR="00736C69">
        <w:rPr>
          <w:rFonts w:ascii="Times New Roman" w:eastAsia="Times New Roman" w:hAnsi="Times New Roman" w:cs="Times New Roman"/>
          <w:sz w:val="24"/>
          <w:szCs w:val="24"/>
          <w:lang w:eastAsia="pl-PL"/>
        </w:rPr>
        <w:t xml:space="preserve">przekazywanie informacji </w:t>
      </w:r>
      <w:r w:rsidR="00D54028" w:rsidRPr="002E5F9B">
        <w:rPr>
          <w:rFonts w:ascii="Times New Roman" w:eastAsia="Times New Roman" w:hAnsi="Times New Roman" w:cs="Times New Roman"/>
          <w:sz w:val="24"/>
          <w:szCs w:val="24"/>
          <w:lang w:eastAsia="pl-PL"/>
        </w:rPr>
        <w:t xml:space="preserve">od podmiotu zobowiązanego </w:t>
      </w:r>
      <w:r w:rsidR="00736C69">
        <w:rPr>
          <w:rFonts w:ascii="Times New Roman" w:eastAsia="Times New Roman" w:hAnsi="Times New Roman" w:cs="Times New Roman"/>
          <w:sz w:val="24"/>
          <w:szCs w:val="24"/>
          <w:lang w:eastAsia="pl-PL"/>
        </w:rPr>
        <w:t xml:space="preserve">do podmiotu </w:t>
      </w:r>
      <w:r w:rsidR="00D54028" w:rsidRPr="002E5F9B">
        <w:rPr>
          <w:rFonts w:ascii="Times New Roman" w:eastAsia="Times New Roman" w:hAnsi="Times New Roman" w:cs="Times New Roman"/>
          <w:sz w:val="24"/>
          <w:szCs w:val="24"/>
          <w:lang w:eastAsia="pl-PL"/>
        </w:rPr>
        <w:t>uprawn</w:t>
      </w:r>
      <w:r w:rsidR="00E61F58">
        <w:rPr>
          <w:rFonts w:ascii="Times New Roman" w:eastAsia="Times New Roman" w:hAnsi="Times New Roman" w:cs="Times New Roman"/>
          <w:sz w:val="24"/>
          <w:szCs w:val="24"/>
          <w:lang w:eastAsia="pl-PL"/>
        </w:rPr>
        <w:t xml:space="preserve">ionego), z pominięciem dostępu </w:t>
      </w:r>
      <w:r w:rsidR="00D54028" w:rsidRPr="002E5F9B">
        <w:rPr>
          <w:rFonts w:ascii="Times New Roman" w:eastAsia="Times New Roman" w:hAnsi="Times New Roman" w:cs="Times New Roman"/>
          <w:bCs/>
          <w:sz w:val="24"/>
          <w:szCs w:val="24"/>
          <w:lang w:eastAsia="pl-PL"/>
        </w:rPr>
        <w:t>pośredni</w:t>
      </w:r>
      <w:r w:rsidR="00AE5C53" w:rsidRPr="002E5F9B">
        <w:rPr>
          <w:rFonts w:ascii="Times New Roman" w:eastAsia="Times New Roman" w:hAnsi="Times New Roman" w:cs="Times New Roman"/>
          <w:bCs/>
          <w:sz w:val="24"/>
          <w:szCs w:val="24"/>
          <w:lang w:eastAsia="pl-PL"/>
        </w:rPr>
        <w:t xml:space="preserve">ego </w:t>
      </w:r>
      <w:r w:rsidR="00D54028" w:rsidRPr="002E5F9B">
        <w:rPr>
          <w:rFonts w:ascii="Times New Roman" w:eastAsia="Times New Roman" w:hAnsi="Times New Roman" w:cs="Times New Roman"/>
          <w:sz w:val="24"/>
          <w:szCs w:val="24"/>
          <w:lang w:eastAsia="pl-PL"/>
        </w:rPr>
        <w:t>(</w:t>
      </w:r>
      <w:r w:rsidR="00736C69">
        <w:rPr>
          <w:rFonts w:ascii="Times New Roman" w:eastAsia="Times New Roman" w:hAnsi="Times New Roman" w:cs="Times New Roman"/>
          <w:sz w:val="24"/>
          <w:szCs w:val="24"/>
          <w:lang w:eastAsia="pl-PL"/>
        </w:rPr>
        <w:t xml:space="preserve">za pośrednictwem </w:t>
      </w:r>
      <w:r w:rsidR="00D54028" w:rsidRPr="002E5F9B">
        <w:rPr>
          <w:rFonts w:ascii="Times New Roman" w:eastAsia="Times New Roman" w:hAnsi="Times New Roman" w:cs="Times New Roman"/>
          <w:sz w:val="24"/>
          <w:szCs w:val="24"/>
          <w:lang w:eastAsia="pl-PL"/>
        </w:rPr>
        <w:t>sąd</w:t>
      </w:r>
      <w:r w:rsidR="00736C69">
        <w:rPr>
          <w:rFonts w:ascii="Times New Roman" w:eastAsia="Times New Roman" w:hAnsi="Times New Roman" w:cs="Times New Roman"/>
          <w:sz w:val="24"/>
          <w:szCs w:val="24"/>
          <w:lang w:eastAsia="pl-PL"/>
        </w:rPr>
        <w:t>u</w:t>
      </w:r>
      <w:r w:rsidR="00D54028" w:rsidRPr="002E5F9B">
        <w:rPr>
          <w:rFonts w:ascii="Times New Roman" w:eastAsia="Times New Roman" w:hAnsi="Times New Roman" w:cs="Times New Roman"/>
          <w:sz w:val="24"/>
          <w:szCs w:val="24"/>
          <w:lang w:eastAsia="pl-PL"/>
        </w:rPr>
        <w:t xml:space="preserve"> w postępowaniu cywilnym lub karnym). </w:t>
      </w:r>
      <w:r w:rsidR="00E61F58">
        <w:rPr>
          <w:rFonts w:ascii="Times New Roman" w:eastAsia="Times New Roman" w:hAnsi="Times New Roman" w:cs="Times New Roman"/>
          <w:sz w:val="24"/>
          <w:szCs w:val="24"/>
          <w:lang w:eastAsia="pl-PL"/>
        </w:rPr>
        <w:t xml:space="preserve">Istotą regulacji w zakresie </w:t>
      </w:r>
      <w:r w:rsidR="00AE5C53" w:rsidRPr="002E5F9B">
        <w:rPr>
          <w:rFonts w:ascii="Times New Roman" w:eastAsia="Times New Roman" w:hAnsi="Times New Roman" w:cs="Times New Roman"/>
          <w:sz w:val="24"/>
          <w:szCs w:val="24"/>
          <w:lang w:eastAsia="pl-PL"/>
        </w:rPr>
        <w:t>tajemnicy zawodowej jest powiązanie informacji poufnych z określoną akty</w:t>
      </w:r>
      <w:r w:rsidR="00E61F58">
        <w:rPr>
          <w:rFonts w:ascii="Times New Roman" w:eastAsia="Times New Roman" w:hAnsi="Times New Roman" w:cs="Times New Roman"/>
          <w:sz w:val="24"/>
          <w:szCs w:val="24"/>
          <w:lang w:eastAsia="pl-PL"/>
        </w:rPr>
        <w:t xml:space="preserve">wnością beneficjenta tajemnicy </w:t>
      </w:r>
      <w:r w:rsidR="00AE5C53" w:rsidRPr="002E5F9B">
        <w:rPr>
          <w:rFonts w:ascii="Times New Roman" w:eastAsia="Times New Roman" w:hAnsi="Times New Roman" w:cs="Times New Roman"/>
          <w:sz w:val="24"/>
          <w:szCs w:val="24"/>
          <w:lang w:eastAsia="pl-PL"/>
        </w:rPr>
        <w:t xml:space="preserve">i wskazanie podstawowych (typowych) informacji (wiadomości) tworzących </w:t>
      </w:r>
      <w:r w:rsidR="00736C69">
        <w:rPr>
          <w:rFonts w:ascii="Times New Roman" w:eastAsia="Times New Roman" w:hAnsi="Times New Roman" w:cs="Times New Roman"/>
          <w:sz w:val="24"/>
          <w:szCs w:val="24"/>
          <w:lang w:eastAsia="pl-PL"/>
        </w:rPr>
        <w:t xml:space="preserve">tę </w:t>
      </w:r>
      <w:r w:rsidR="00AE5C53" w:rsidRPr="002E5F9B">
        <w:rPr>
          <w:rFonts w:ascii="Times New Roman" w:eastAsia="Times New Roman" w:hAnsi="Times New Roman" w:cs="Times New Roman"/>
          <w:sz w:val="24"/>
          <w:szCs w:val="24"/>
          <w:lang w:eastAsia="pl-PL"/>
        </w:rPr>
        <w:t>tajemnicę</w:t>
      </w:r>
      <w:r w:rsidR="00E61F58">
        <w:rPr>
          <w:rFonts w:ascii="Times New Roman" w:eastAsia="Times New Roman" w:hAnsi="Times New Roman" w:cs="Times New Roman"/>
          <w:sz w:val="24"/>
          <w:szCs w:val="24"/>
          <w:lang w:eastAsia="pl-PL"/>
        </w:rPr>
        <w:t xml:space="preserve">. Proponuje się </w:t>
      </w:r>
      <w:r w:rsidR="00AE5C53" w:rsidRPr="00AE5C53">
        <w:rPr>
          <w:rFonts w:ascii="Times New Roman" w:eastAsia="Times New Roman" w:hAnsi="Times New Roman" w:cs="Times New Roman"/>
          <w:bCs/>
          <w:sz w:val="24"/>
          <w:szCs w:val="24"/>
          <w:lang w:eastAsia="pl-PL"/>
        </w:rPr>
        <w:t>szerokie</w:t>
      </w:r>
      <w:r w:rsidR="00736C69">
        <w:rPr>
          <w:rFonts w:ascii="Times New Roman" w:eastAsia="Times New Roman" w:hAnsi="Times New Roman" w:cs="Times New Roman"/>
          <w:bCs/>
          <w:sz w:val="24"/>
          <w:szCs w:val="24"/>
          <w:lang w:eastAsia="pl-PL"/>
        </w:rPr>
        <w:t xml:space="preserve"> ujęcie </w:t>
      </w:r>
      <w:r w:rsidR="00AE5C53" w:rsidRPr="00AE5C53">
        <w:rPr>
          <w:rFonts w:ascii="Times New Roman" w:eastAsia="Times New Roman" w:hAnsi="Times New Roman" w:cs="Times New Roman"/>
          <w:bCs/>
          <w:sz w:val="24"/>
          <w:szCs w:val="24"/>
          <w:lang w:eastAsia="pl-PL"/>
        </w:rPr>
        <w:t>wiadomości</w:t>
      </w:r>
      <w:r w:rsidR="00AE5C53" w:rsidRPr="00AE5C53">
        <w:rPr>
          <w:rFonts w:ascii="Times New Roman" w:eastAsia="Times New Roman" w:hAnsi="Times New Roman" w:cs="Times New Roman"/>
          <w:sz w:val="24"/>
          <w:szCs w:val="24"/>
          <w:lang w:eastAsia="pl-PL"/>
        </w:rPr>
        <w:t xml:space="preserve"> objętych </w:t>
      </w:r>
      <w:r w:rsidR="00736C69">
        <w:rPr>
          <w:rFonts w:ascii="Times New Roman" w:eastAsia="Times New Roman" w:hAnsi="Times New Roman" w:cs="Times New Roman"/>
          <w:sz w:val="24"/>
          <w:szCs w:val="24"/>
          <w:lang w:eastAsia="pl-PL"/>
        </w:rPr>
        <w:t xml:space="preserve">tajemnicą, w konsekwencji </w:t>
      </w:r>
      <w:r w:rsidR="00AE5C53" w:rsidRPr="00AE5C53">
        <w:rPr>
          <w:rFonts w:ascii="Times New Roman" w:eastAsia="Times New Roman" w:hAnsi="Times New Roman" w:cs="Times New Roman"/>
          <w:sz w:val="24"/>
          <w:szCs w:val="24"/>
          <w:lang w:eastAsia="pl-PL"/>
        </w:rPr>
        <w:t xml:space="preserve">wykazanie informacji nieobjętej tajemnicą zawodową </w:t>
      </w:r>
      <w:r w:rsidR="00736C69">
        <w:rPr>
          <w:rFonts w:ascii="Times New Roman" w:eastAsia="Times New Roman" w:hAnsi="Times New Roman" w:cs="Times New Roman"/>
          <w:sz w:val="24"/>
          <w:szCs w:val="24"/>
          <w:lang w:eastAsia="pl-PL"/>
        </w:rPr>
        <w:t xml:space="preserve">będzie </w:t>
      </w:r>
      <w:r w:rsidR="00AE5C53" w:rsidRPr="00AE5C53">
        <w:rPr>
          <w:rFonts w:ascii="Times New Roman" w:eastAsia="Times New Roman" w:hAnsi="Times New Roman" w:cs="Times New Roman"/>
          <w:sz w:val="24"/>
          <w:szCs w:val="24"/>
          <w:lang w:eastAsia="pl-PL"/>
        </w:rPr>
        <w:t xml:space="preserve">spoczywać na podmiocie domagającym się udzielenia informacji w okolicznościach określonych w tym przepisie (zgodnie z ogólną regułą </w:t>
      </w:r>
      <w:r w:rsidR="00736C69">
        <w:rPr>
          <w:rFonts w:ascii="Times New Roman" w:eastAsia="Times New Roman" w:hAnsi="Times New Roman" w:cs="Times New Roman"/>
          <w:sz w:val="24"/>
          <w:szCs w:val="24"/>
          <w:lang w:eastAsia="pl-PL"/>
        </w:rPr>
        <w:t xml:space="preserve">dowodową wynikającą z </w:t>
      </w:r>
      <w:r w:rsidR="00AE5C53" w:rsidRPr="00AE5C53">
        <w:rPr>
          <w:rFonts w:ascii="Times New Roman" w:eastAsia="Times New Roman" w:hAnsi="Times New Roman" w:cs="Times New Roman"/>
          <w:sz w:val="24"/>
          <w:szCs w:val="24"/>
          <w:lang w:eastAsia="pl-PL"/>
        </w:rPr>
        <w:t>art. 6 Kodeksu cywilnego</w:t>
      </w:r>
      <w:r w:rsidR="005E7A4C">
        <w:rPr>
          <w:rFonts w:ascii="Times New Roman" w:eastAsia="Times New Roman" w:hAnsi="Times New Roman" w:cs="Times New Roman"/>
          <w:sz w:val="24"/>
          <w:szCs w:val="24"/>
          <w:lang w:eastAsia="pl-PL"/>
        </w:rPr>
        <w:t>).</w:t>
      </w:r>
    </w:p>
    <w:p w14:paraId="18C9A75C" w14:textId="0D8916D8" w:rsidR="0094617E" w:rsidRDefault="0094617E"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
          <w:bCs/>
          <w:sz w:val="24"/>
          <w:szCs w:val="24"/>
          <w:lang w:eastAsia="pl-PL"/>
        </w:rPr>
        <w:t xml:space="preserve">Art. </w:t>
      </w:r>
      <w:r w:rsidR="00220E58" w:rsidRPr="004E768F">
        <w:rPr>
          <w:rFonts w:ascii="Times New Roman" w:eastAsia="Times New Roman" w:hAnsi="Times New Roman" w:cs="Times New Roman"/>
          <w:b/>
          <w:bCs/>
          <w:sz w:val="24"/>
          <w:szCs w:val="24"/>
          <w:lang w:eastAsia="pl-PL"/>
        </w:rPr>
        <w:t xml:space="preserve">3 </w:t>
      </w:r>
      <w:r w:rsidRPr="004E768F">
        <w:rPr>
          <w:rFonts w:ascii="Times New Roman" w:eastAsia="Times New Roman" w:hAnsi="Times New Roman" w:cs="Times New Roman"/>
          <w:bCs/>
          <w:sz w:val="24"/>
          <w:szCs w:val="24"/>
          <w:lang w:eastAsia="pl-PL"/>
        </w:rPr>
        <w:t>wprowadza definicję tajemnicy zawodowej.</w:t>
      </w:r>
      <w:r w:rsidR="00A2550D">
        <w:rPr>
          <w:rFonts w:ascii="Times New Roman" w:eastAsia="Times New Roman" w:hAnsi="Times New Roman" w:cs="Times New Roman"/>
          <w:bCs/>
          <w:sz w:val="24"/>
          <w:szCs w:val="24"/>
          <w:lang w:eastAsia="pl-PL"/>
        </w:rPr>
        <w:t xml:space="preserve"> O</w:t>
      </w:r>
      <w:r w:rsidRPr="004E768F">
        <w:rPr>
          <w:rFonts w:ascii="Times New Roman" w:eastAsia="Times New Roman" w:hAnsi="Times New Roman" w:cs="Times New Roman"/>
          <w:bCs/>
          <w:sz w:val="24"/>
          <w:szCs w:val="24"/>
          <w:lang w:eastAsia="pl-PL"/>
        </w:rPr>
        <w:t xml:space="preserve">bejmie </w:t>
      </w:r>
      <w:r w:rsidR="00341021">
        <w:rPr>
          <w:rFonts w:ascii="Times New Roman" w:eastAsia="Times New Roman" w:hAnsi="Times New Roman" w:cs="Times New Roman"/>
          <w:bCs/>
          <w:sz w:val="24"/>
          <w:szCs w:val="24"/>
          <w:lang w:eastAsia="pl-PL"/>
        </w:rPr>
        <w:t xml:space="preserve">ona </w:t>
      </w:r>
      <w:r w:rsidRPr="004E768F">
        <w:rPr>
          <w:rFonts w:ascii="Times New Roman" w:eastAsia="Times New Roman" w:hAnsi="Times New Roman" w:cs="Times New Roman"/>
          <w:bCs/>
          <w:sz w:val="24"/>
          <w:szCs w:val="24"/>
          <w:lang w:eastAsia="pl-PL"/>
        </w:rPr>
        <w:t xml:space="preserve">m.in. informacje o decyzjach inwestycyjnych inwestorów, treści pełnomocnictw udzielonych w związku ze świadczeniem usług indywidualnego zarządzania portfelem pożyczek, czy informacje o środkach pozyskanych przez właścicieli projektów. </w:t>
      </w:r>
      <w:r w:rsidR="00D71798" w:rsidRPr="004E768F">
        <w:rPr>
          <w:rFonts w:ascii="Times New Roman" w:eastAsia="Times New Roman" w:hAnsi="Times New Roman" w:cs="Times New Roman"/>
          <w:bCs/>
          <w:sz w:val="24"/>
          <w:szCs w:val="24"/>
          <w:lang w:eastAsia="pl-PL"/>
        </w:rPr>
        <w:t xml:space="preserve">Dysponowanie tymi informacjami przez dostawców usług finansowania społecznościowego </w:t>
      </w:r>
      <w:r w:rsidR="00341021">
        <w:rPr>
          <w:rFonts w:ascii="Times New Roman" w:eastAsia="Times New Roman" w:hAnsi="Times New Roman" w:cs="Times New Roman"/>
          <w:bCs/>
          <w:sz w:val="24"/>
          <w:szCs w:val="24"/>
          <w:lang w:eastAsia="pl-PL"/>
        </w:rPr>
        <w:t xml:space="preserve">będzie </w:t>
      </w:r>
      <w:r w:rsidR="00D71798" w:rsidRPr="004E768F">
        <w:rPr>
          <w:rFonts w:ascii="Times New Roman" w:eastAsia="Times New Roman" w:hAnsi="Times New Roman" w:cs="Times New Roman"/>
          <w:bCs/>
          <w:sz w:val="24"/>
          <w:szCs w:val="24"/>
          <w:lang w:eastAsia="pl-PL"/>
        </w:rPr>
        <w:t>uzależnione od uzyskania zgody osoby, której te informacje dotyczą, lub posiadania podstawy prawnej</w:t>
      </w:r>
      <w:r w:rsidR="00341021">
        <w:rPr>
          <w:rFonts w:ascii="Times New Roman" w:eastAsia="Times New Roman" w:hAnsi="Times New Roman" w:cs="Times New Roman"/>
          <w:bCs/>
          <w:sz w:val="24"/>
          <w:szCs w:val="24"/>
          <w:lang w:eastAsia="pl-PL"/>
        </w:rPr>
        <w:t xml:space="preserve"> udzielenia takiej informacji.</w:t>
      </w:r>
      <w:r w:rsidR="008129F0" w:rsidRPr="008129F0">
        <w:rPr>
          <w:rFonts w:ascii="Times New Roman" w:eastAsia="Times New Roman" w:hAnsi="Times New Roman" w:cs="Times New Roman"/>
          <w:bCs/>
          <w:sz w:val="24"/>
          <w:szCs w:val="24"/>
          <w:lang w:eastAsia="pl-PL"/>
        </w:rPr>
        <w:t xml:space="preserve"> </w:t>
      </w:r>
      <w:r w:rsidR="008129F0">
        <w:rPr>
          <w:rFonts w:ascii="Times New Roman" w:eastAsia="Times New Roman" w:hAnsi="Times New Roman" w:cs="Times New Roman"/>
          <w:bCs/>
          <w:sz w:val="24"/>
          <w:szCs w:val="24"/>
          <w:lang w:eastAsia="pl-PL"/>
        </w:rPr>
        <w:t xml:space="preserve">Wprowadzenie </w:t>
      </w:r>
      <w:r w:rsidR="008129F0" w:rsidRPr="004E768F">
        <w:rPr>
          <w:rFonts w:ascii="Times New Roman" w:eastAsia="Times New Roman" w:hAnsi="Times New Roman" w:cs="Times New Roman"/>
          <w:bCs/>
          <w:sz w:val="24"/>
          <w:szCs w:val="24"/>
          <w:lang w:eastAsia="pl-PL"/>
        </w:rPr>
        <w:t>definicj</w:t>
      </w:r>
      <w:r w:rsidR="008129F0">
        <w:rPr>
          <w:rFonts w:ascii="Times New Roman" w:eastAsia="Times New Roman" w:hAnsi="Times New Roman" w:cs="Times New Roman"/>
          <w:bCs/>
          <w:sz w:val="24"/>
          <w:szCs w:val="24"/>
          <w:lang w:eastAsia="pl-PL"/>
        </w:rPr>
        <w:t xml:space="preserve">i </w:t>
      </w:r>
      <w:r w:rsidR="008129F0" w:rsidRPr="004E768F">
        <w:rPr>
          <w:rFonts w:ascii="Times New Roman" w:eastAsia="Times New Roman" w:hAnsi="Times New Roman" w:cs="Times New Roman"/>
          <w:bCs/>
          <w:sz w:val="24"/>
          <w:szCs w:val="24"/>
          <w:lang w:eastAsia="pl-PL"/>
        </w:rPr>
        <w:t xml:space="preserve">zapobiegnie </w:t>
      </w:r>
      <w:r w:rsidR="008129F0">
        <w:rPr>
          <w:rFonts w:ascii="Times New Roman" w:eastAsia="Times New Roman" w:hAnsi="Times New Roman" w:cs="Times New Roman"/>
          <w:bCs/>
          <w:sz w:val="24"/>
          <w:szCs w:val="24"/>
          <w:lang w:eastAsia="pl-PL"/>
        </w:rPr>
        <w:t xml:space="preserve">także </w:t>
      </w:r>
      <w:r w:rsidR="008129F0" w:rsidRPr="004E768F">
        <w:rPr>
          <w:rFonts w:ascii="Times New Roman" w:eastAsia="Times New Roman" w:hAnsi="Times New Roman" w:cs="Times New Roman"/>
          <w:bCs/>
          <w:sz w:val="24"/>
          <w:szCs w:val="24"/>
          <w:lang w:eastAsia="pl-PL"/>
        </w:rPr>
        <w:t xml:space="preserve">ujawnianiu poufnych informacji o stosunkach prawnych łączących dostawców usług finansowania społecznościowego z właścicielami </w:t>
      </w:r>
      <w:r w:rsidR="008129F0">
        <w:rPr>
          <w:rFonts w:ascii="Times New Roman" w:eastAsia="Times New Roman" w:hAnsi="Times New Roman" w:cs="Times New Roman"/>
          <w:bCs/>
          <w:sz w:val="24"/>
          <w:szCs w:val="24"/>
          <w:lang w:eastAsia="pl-PL"/>
        </w:rPr>
        <w:t xml:space="preserve">finansowanych </w:t>
      </w:r>
      <w:r w:rsidR="008129F0" w:rsidRPr="004E768F">
        <w:rPr>
          <w:rFonts w:ascii="Times New Roman" w:eastAsia="Times New Roman" w:hAnsi="Times New Roman" w:cs="Times New Roman"/>
          <w:bCs/>
          <w:sz w:val="24"/>
          <w:szCs w:val="24"/>
          <w:lang w:eastAsia="pl-PL"/>
        </w:rPr>
        <w:t>projektów</w:t>
      </w:r>
      <w:r w:rsidR="008129F0">
        <w:rPr>
          <w:rFonts w:ascii="Times New Roman" w:eastAsia="Times New Roman" w:hAnsi="Times New Roman" w:cs="Times New Roman"/>
          <w:bCs/>
          <w:sz w:val="24"/>
          <w:szCs w:val="24"/>
          <w:lang w:eastAsia="pl-PL"/>
        </w:rPr>
        <w:t>.</w:t>
      </w:r>
    </w:p>
    <w:p w14:paraId="54409336" w14:textId="6E188480" w:rsidR="008129F0" w:rsidRPr="004E768F" w:rsidRDefault="008129F0"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D54028">
        <w:rPr>
          <w:rFonts w:ascii="Times New Roman" w:eastAsia="Times New Roman" w:hAnsi="Times New Roman" w:cs="Times New Roman"/>
          <w:b/>
          <w:bCs/>
          <w:sz w:val="24"/>
          <w:szCs w:val="24"/>
          <w:lang w:eastAsia="pl-PL"/>
        </w:rPr>
        <w:t xml:space="preserve">Art. </w:t>
      </w:r>
      <w:r>
        <w:rPr>
          <w:rFonts w:ascii="Times New Roman" w:eastAsia="Times New Roman" w:hAnsi="Times New Roman" w:cs="Times New Roman"/>
          <w:b/>
          <w:bCs/>
          <w:sz w:val="24"/>
          <w:szCs w:val="24"/>
          <w:lang w:eastAsia="pl-PL"/>
        </w:rPr>
        <w:t>4</w:t>
      </w:r>
      <w:r w:rsidRPr="00D54028">
        <w:rPr>
          <w:rFonts w:ascii="Times New Roman" w:eastAsia="Times New Roman" w:hAnsi="Times New Roman" w:cs="Times New Roman"/>
          <w:bCs/>
          <w:sz w:val="24"/>
          <w:szCs w:val="24"/>
          <w:lang w:eastAsia="pl-PL"/>
        </w:rPr>
        <w:t xml:space="preserve"> zobowiązuje dostawcę usług finansowania społecznościowego</w:t>
      </w:r>
      <w:r w:rsidRPr="004E768F">
        <w:rPr>
          <w:rFonts w:ascii="Times New Roman" w:eastAsia="Times New Roman" w:hAnsi="Times New Roman" w:cs="Times New Roman"/>
          <w:bCs/>
          <w:sz w:val="24"/>
          <w:szCs w:val="24"/>
          <w:lang w:eastAsia="pl-PL"/>
        </w:rPr>
        <w:t xml:space="preserve"> do stosowania rozwiązań technicznych i organizacyjnych zapewniających ochronę tajemnicy zawodowej, w tym do wprowadzenia regulaminu ochrony przepływu informacji objętych tajemnicą zawodową</w:t>
      </w:r>
      <w:r>
        <w:rPr>
          <w:rFonts w:ascii="Times New Roman" w:eastAsia="Times New Roman" w:hAnsi="Times New Roman" w:cs="Times New Roman"/>
          <w:bCs/>
          <w:sz w:val="24"/>
          <w:szCs w:val="24"/>
          <w:lang w:eastAsia="pl-PL"/>
        </w:rPr>
        <w:t>, co ma zapewnić odpowiedni (</w:t>
      </w:r>
      <w:r w:rsidRPr="004E768F">
        <w:rPr>
          <w:rFonts w:ascii="Times New Roman" w:eastAsia="Times New Roman" w:hAnsi="Times New Roman" w:cs="Times New Roman"/>
          <w:bCs/>
          <w:sz w:val="24"/>
          <w:szCs w:val="24"/>
          <w:lang w:eastAsia="pl-PL"/>
        </w:rPr>
        <w:t>wysoki</w:t>
      </w:r>
      <w:r>
        <w:rPr>
          <w:rFonts w:ascii="Times New Roman" w:eastAsia="Times New Roman" w:hAnsi="Times New Roman" w:cs="Times New Roman"/>
          <w:bCs/>
          <w:sz w:val="24"/>
          <w:szCs w:val="24"/>
          <w:lang w:eastAsia="pl-PL"/>
        </w:rPr>
        <w:t xml:space="preserve">) </w:t>
      </w:r>
      <w:r w:rsidRPr="004E768F">
        <w:rPr>
          <w:rFonts w:ascii="Times New Roman" w:eastAsia="Times New Roman" w:hAnsi="Times New Roman" w:cs="Times New Roman"/>
          <w:bCs/>
          <w:sz w:val="24"/>
          <w:szCs w:val="24"/>
          <w:lang w:eastAsia="pl-PL"/>
        </w:rPr>
        <w:t>poziom bezpieczeństwa wrażliwych informacji o inwestorach korzystających z usług platform finansowania społecznościowego, przede wszystkim informacji o ich sytuacji majątkowej</w:t>
      </w:r>
      <w:r>
        <w:rPr>
          <w:rFonts w:ascii="Times New Roman" w:eastAsia="Times New Roman" w:hAnsi="Times New Roman" w:cs="Times New Roman"/>
          <w:bCs/>
          <w:sz w:val="24"/>
          <w:szCs w:val="24"/>
          <w:lang w:eastAsia="pl-PL"/>
        </w:rPr>
        <w:t>.</w:t>
      </w:r>
    </w:p>
    <w:p w14:paraId="0B262D25" w14:textId="3D5A47C4" w:rsidR="0094617E" w:rsidRPr="004E768F" w:rsidRDefault="008129F0"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5</w:t>
      </w:r>
      <w:r w:rsidR="0094617E" w:rsidRPr="004E768F">
        <w:rPr>
          <w:rFonts w:ascii="Times New Roman" w:eastAsia="Times New Roman" w:hAnsi="Times New Roman" w:cs="Times New Roman"/>
          <w:bCs/>
          <w:sz w:val="24"/>
          <w:szCs w:val="24"/>
          <w:lang w:eastAsia="pl-PL"/>
        </w:rPr>
        <w:t xml:space="preserve"> określa katalog podmiotów obowiązanych do zachowania tajemnicy zawodowej</w:t>
      </w:r>
      <w:r w:rsidR="005E7A4C">
        <w:rPr>
          <w:rFonts w:ascii="Times New Roman" w:eastAsia="Times New Roman" w:hAnsi="Times New Roman" w:cs="Times New Roman"/>
          <w:bCs/>
          <w:sz w:val="24"/>
          <w:szCs w:val="24"/>
          <w:lang w:eastAsia="pl-PL"/>
        </w:rPr>
        <w:t xml:space="preserve">. </w:t>
      </w:r>
      <w:r w:rsidR="001011EF">
        <w:rPr>
          <w:rFonts w:ascii="Times New Roman" w:eastAsia="Times New Roman" w:hAnsi="Times New Roman" w:cs="Times New Roman"/>
          <w:bCs/>
          <w:sz w:val="24"/>
          <w:szCs w:val="24"/>
          <w:lang w:eastAsia="pl-PL"/>
        </w:rPr>
        <w:t>O</w:t>
      </w:r>
      <w:r w:rsidR="0048712F" w:rsidRPr="004E768F">
        <w:rPr>
          <w:rFonts w:ascii="Times New Roman" w:eastAsia="Times New Roman" w:hAnsi="Times New Roman" w:cs="Times New Roman"/>
          <w:bCs/>
          <w:sz w:val="24"/>
          <w:szCs w:val="24"/>
          <w:lang w:eastAsia="pl-PL"/>
        </w:rPr>
        <w:t xml:space="preserve">bowiązek zachowania tajemnicy zawodowej </w:t>
      </w:r>
      <w:r w:rsidR="001011EF">
        <w:rPr>
          <w:rFonts w:ascii="Times New Roman" w:eastAsia="Times New Roman" w:hAnsi="Times New Roman" w:cs="Times New Roman"/>
          <w:bCs/>
          <w:sz w:val="24"/>
          <w:szCs w:val="24"/>
          <w:lang w:eastAsia="pl-PL"/>
        </w:rPr>
        <w:t xml:space="preserve">przez te podmioty </w:t>
      </w:r>
      <w:r w:rsidR="0048712F" w:rsidRPr="004E768F">
        <w:rPr>
          <w:rFonts w:ascii="Times New Roman" w:eastAsia="Times New Roman" w:hAnsi="Times New Roman" w:cs="Times New Roman"/>
          <w:bCs/>
          <w:sz w:val="24"/>
          <w:szCs w:val="24"/>
          <w:lang w:eastAsia="pl-PL"/>
        </w:rPr>
        <w:t xml:space="preserve">trwa również po </w:t>
      </w:r>
      <w:r w:rsidR="00ED2BA4">
        <w:rPr>
          <w:rFonts w:ascii="Times New Roman" w:eastAsia="Times New Roman" w:hAnsi="Times New Roman" w:cs="Times New Roman"/>
          <w:bCs/>
          <w:sz w:val="24"/>
          <w:szCs w:val="24"/>
          <w:lang w:eastAsia="pl-PL"/>
        </w:rPr>
        <w:t xml:space="preserve">zakończeniu pełnienia funkcji lub </w:t>
      </w:r>
      <w:r w:rsidR="0048712F" w:rsidRPr="004E768F">
        <w:rPr>
          <w:rFonts w:ascii="Times New Roman" w:eastAsia="Times New Roman" w:hAnsi="Times New Roman" w:cs="Times New Roman"/>
          <w:bCs/>
          <w:sz w:val="24"/>
          <w:szCs w:val="24"/>
          <w:lang w:eastAsia="pl-PL"/>
        </w:rPr>
        <w:t>ustaniu stosunków prawnych powodujących powstanie tego obowiązku</w:t>
      </w:r>
      <w:r>
        <w:rPr>
          <w:rFonts w:ascii="Times New Roman" w:eastAsia="Times New Roman" w:hAnsi="Times New Roman" w:cs="Times New Roman"/>
          <w:bCs/>
          <w:sz w:val="24"/>
          <w:szCs w:val="24"/>
          <w:lang w:eastAsia="pl-PL"/>
        </w:rPr>
        <w:t>,</w:t>
      </w:r>
      <w:r w:rsidR="0094617E" w:rsidRPr="004E768F">
        <w:rPr>
          <w:rFonts w:ascii="Times New Roman" w:eastAsia="Times New Roman" w:hAnsi="Times New Roman" w:cs="Times New Roman"/>
          <w:bCs/>
          <w:sz w:val="24"/>
          <w:szCs w:val="24"/>
          <w:lang w:eastAsia="pl-PL"/>
        </w:rPr>
        <w:t xml:space="preserve"> analogiczn</w:t>
      </w:r>
      <w:r w:rsidR="005E7A4C">
        <w:rPr>
          <w:rFonts w:ascii="Times New Roman" w:eastAsia="Times New Roman" w:hAnsi="Times New Roman" w:cs="Times New Roman"/>
          <w:bCs/>
          <w:sz w:val="24"/>
          <w:szCs w:val="24"/>
          <w:lang w:eastAsia="pl-PL"/>
        </w:rPr>
        <w:t>ie</w:t>
      </w:r>
      <w:r w:rsidR="0094617E" w:rsidRPr="004E768F">
        <w:rPr>
          <w:rFonts w:ascii="Times New Roman" w:eastAsia="Times New Roman" w:hAnsi="Times New Roman" w:cs="Times New Roman"/>
          <w:bCs/>
          <w:sz w:val="24"/>
          <w:szCs w:val="24"/>
          <w:lang w:eastAsia="pl-PL"/>
        </w:rPr>
        <w:t xml:space="preserve"> do art. 148 ustawy o obrocie instrumentami finansowymi.</w:t>
      </w:r>
    </w:p>
    <w:p w14:paraId="529EAB2C" w14:textId="51A6743A" w:rsidR="00A07385" w:rsidRPr="004E768F" w:rsidRDefault="00A24F82"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6</w:t>
      </w:r>
      <w:r w:rsidR="00A07385" w:rsidRPr="004E768F">
        <w:rPr>
          <w:rFonts w:ascii="Times New Roman" w:eastAsia="Times New Roman" w:hAnsi="Times New Roman" w:cs="Times New Roman"/>
          <w:bCs/>
          <w:sz w:val="24"/>
          <w:szCs w:val="24"/>
          <w:lang w:eastAsia="pl-PL"/>
        </w:rPr>
        <w:t xml:space="preserve"> określa podmioty, na żądanie których </w:t>
      </w:r>
      <w:r w:rsidR="00CF6DEC" w:rsidRPr="004E768F">
        <w:rPr>
          <w:rFonts w:ascii="Times New Roman" w:eastAsia="Times New Roman" w:hAnsi="Times New Roman" w:cs="Times New Roman"/>
          <w:bCs/>
          <w:sz w:val="24"/>
          <w:szCs w:val="24"/>
          <w:lang w:eastAsia="pl-PL"/>
        </w:rPr>
        <w:t xml:space="preserve">mogą być ujawniane </w:t>
      </w:r>
      <w:r w:rsidR="00A07385" w:rsidRPr="004E768F">
        <w:rPr>
          <w:rFonts w:ascii="Times New Roman" w:eastAsia="Times New Roman" w:hAnsi="Times New Roman" w:cs="Times New Roman"/>
          <w:bCs/>
          <w:sz w:val="24"/>
          <w:szCs w:val="24"/>
          <w:lang w:eastAsia="pl-PL"/>
        </w:rPr>
        <w:t>informacje stanowiące tajemn</w:t>
      </w:r>
      <w:r w:rsidR="0048712F" w:rsidRPr="004E768F">
        <w:rPr>
          <w:rFonts w:ascii="Times New Roman" w:eastAsia="Times New Roman" w:hAnsi="Times New Roman" w:cs="Times New Roman"/>
          <w:bCs/>
          <w:sz w:val="24"/>
          <w:szCs w:val="24"/>
          <w:lang w:eastAsia="pl-PL"/>
        </w:rPr>
        <w:t xml:space="preserve">icę zawodową. Katalog podmiotów </w:t>
      </w:r>
      <w:r w:rsidR="00CF6DEC">
        <w:rPr>
          <w:rFonts w:ascii="Times New Roman" w:eastAsia="Times New Roman" w:hAnsi="Times New Roman" w:cs="Times New Roman"/>
          <w:bCs/>
          <w:sz w:val="24"/>
          <w:szCs w:val="24"/>
          <w:lang w:eastAsia="pl-PL"/>
        </w:rPr>
        <w:t xml:space="preserve">odpowiada </w:t>
      </w:r>
      <w:r w:rsidR="0048712F" w:rsidRPr="004E768F">
        <w:rPr>
          <w:rFonts w:ascii="Times New Roman" w:eastAsia="Times New Roman" w:hAnsi="Times New Roman" w:cs="Times New Roman"/>
          <w:bCs/>
          <w:sz w:val="24"/>
          <w:szCs w:val="24"/>
          <w:lang w:eastAsia="pl-PL"/>
        </w:rPr>
        <w:t>art. 149 ustawy o obrocie instrumentami finansowymi.</w:t>
      </w:r>
    </w:p>
    <w:p w14:paraId="2C19A2CF" w14:textId="3340C1E0" w:rsidR="0048712F" w:rsidRPr="004E768F" w:rsidRDefault="00A24F82"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7</w:t>
      </w:r>
      <w:r w:rsidR="0048712F" w:rsidRPr="004E768F">
        <w:rPr>
          <w:rFonts w:ascii="Times New Roman" w:eastAsia="Times New Roman" w:hAnsi="Times New Roman" w:cs="Times New Roman"/>
          <w:bCs/>
          <w:sz w:val="24"/>
          <w:szCs w:val="24"/>
          <w:lang w:eastAsia="pl-PL"/>
        </w:rPr>
        <w:t xml:space="preserve"> wskazuje przypadki, w których przekazanie </w:t>
      </w:r>
      <w:r w:rsidR="00AE5149">
        <w:rPr>
          <w:rFonts w:ascii="Times New Roman" w:eastAsia="Times New Roman" w:hAnsi="Times New Roman" w:cs="Times New Roman"/>
          <w:bCs/>
          <w:sz w:val="24"/>
          <w:szCs w:val="24"/>
          <w:lang w:eastAsia="pl-PL"/>
        </w:rPr>
        <w:t xml:space="preserve">określonym podmiotom </w:t>
      </w:r>
      <w:r w:rsidR="0048712F" w:rsidRPr="004E768F">
        <w:rPr>
          <w:rFonts w:ascii="Times New Roman" w:eastAsia="Times New Roman" w:hAnsi="Times New Roman" w:cs="Times New Roman"/>
          <w:bCs/>
          <w:sz w:val="24"/>
          <w:szCs w:val="24"/>
          <w:lang w:eastAsia="pl-PL"/>
        </w:rPr>
        <w:t>informacji stanowiącej tajemnicę zawodową nie stanowi naruszenia obowiązku zachowania tej tajemnicy</w:t>
      </w:r>
      <w:r w:rsidR="005E7A4C">
        <w:rPr>
          <w:rFonts w:ascii="Times New Roman" w:eastAsia="Times New Roman" w:hAnsi="Times New Roman" w:cs="Times New Roman"/>
          <w:bCs/>
          <w:sz w:val="24"/>
          <w:szCs w:val="24"/>
          <w:lang w:eastAsia="pl-PL"/>
        </w:rPr>
        <w:t>;</w:t>
      </w:r>
      <w:r w:rsidR="00AE5149">
        <w:rPr>
          <w:rFonts w:ascii="Times New Roman" w:eastAsia="Times New Roman" w:hAnsi="Times New Roman" w:cs="Times New Roman"/>
          <w:bCs/>
          <w:sz w:val="24"/>
          <w:szCs w:val="24"/>
          <w:lang w:eastAsia="pl-PL"/>
        </w:rPr>
        <w:t xml:space="preserve"> rozwiązanie </w:t>
      </w:r>
      <w:r w:rsidR="005E7A4C">
        <w:rPr>
          <w:rFonts w:ascii="Times New Roman" w:eastAsia="Times New Roman" w:hAnsi="Times New Roman" w:cs="Times New Roman"/>
          <w:bCs/>
          <w:sz w:val="24"/>
          <w:szCs w:val="24"/>
          <w:lang w:eastAsia="pl-PL"/>
        </w:rPr>
        <w:t xml:space="preserve">to jest </w:t>
      </w:r>
      <w:r w:rsidR="00AE5149">
        <w:rPr>
          <w:rFonts w:ascii="Times New Roman" w:eastAsia="Times New Roman" w:hAnsi="Times New Roman" w:cs="Times New Roman"/>
          <w:bCs/>
          <w:sz w:val="24"/>
          <w:szCs w:val="24"/>
          <w:lang w:eastAsia="pl-PL"/>
        </w:rPr>
        <w:t xml:space="preserve">wzorowane na </w:t>
      </w:r>
      <w:r w:rsidR="0048712F" w:rsidRPr="004E768F">
        <w:rPr>
          <w:rFonts w:ascii="Times New Roman" w:eastAsia="Times New Roman" w:hAnsi="Times New Roman" w:cs="Times New Roman"/>
          <w:bCs/>
          <w:sz w:val="24"/>
          <w:szCs w:val="24"/>
          <w:lang w:eastAsia="pl-PL"/>
        </w:rPr>
        <w:t>art. 150 ustawy o obrocie instrumentami finansowymi.</w:t>
      </w:r>
    </w:p>
    <w:p w14:paraId="27428114" w14:textId="6A1CF82B" w:rsidR="00894061" w:rsidRPr="005E7A4C" w:rsidRDefault="00220E58"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894061">
        <w:rPr>
          <w:rFonts w:ascii="Times New Roman" w:eastAsia="Times New Roman" w:hAnsi="Times New Roman" w:cs="Times New Roman"/>
          <w:b/>
          <w:bCs/>
          <w:sz w:val="24"/>
          <w:szCs w:val="24"/>
          <w:lang w:eastAsia="pl-PL"/>
        </w:rPr>
        <w:t xml:space="preserve">Art. </w:t>
      </w:r>
      <w:r w:rsidR="00A24F82">
        <w:rPr>
          <w:rFonts w:ascii="Times New Roman" w:eastAsia="Times New Roman" w:hAnsi="Times New Roman" w:cs="Times New Roman"/>
          <w:b/>
          <w:bCs/>
          <w:sz w:val="24"/>
          <w:szCs w:val="24"/>
          <w:lang w:eastAsia="pl-PL"/>
        </w:rPr>
        <w:t>8</w:t>
      </w:r>
      <w:r w:rsidR="000F5D8B" w:rsidRPr="00894061">
        <w:rPr>
          <w:rFonts w:ascii="Times New Roman" w:eastAsia="Times New Roman" w:hAnsi="Times New Roman" w:cs="Times New Roman"/>
          <w:bCs/>
          <w:sz w:val="24"/>
          <w:szCs w:val="24"/>
          <w:lang w:eastAsia="pl-PL"/>
        </w:rPr>
        <w:t xml:space="preserve"> przewiduje możliwość ujawnienia </w:t>
      </w:r>
      <w:r w:rsidR="000F5D8B" w:rsidRPr="005842F5">
        <w:rPr>
          <w:rFonts w:ascii="Times New Roman" w:eastAsia="Times New Roman" w:hAnsi="Times New Roman" w:cs="Times New Roman"/>
          <w:bCs/>
          <w:sz w:val="24"/>
          <w:szCs w:val="24"/>
          <w:lang w:eastAsia="pl-PL"/>
        </w:rPr>
        <w:t xml:space="preserve">informacji dotyczących dostawcy usług finansowania społecznościowego, </w:t>
      </w:r>
      <w:r w:rsidR="00AE5149" w:rsidRPr="00A710E1">
        <w:rPr>
          <w:rFonts w:ascii="Times New Roman" w:eastAsia="Times New Roman" w:hAnsi="Times New Roman" w:cs="Times New Roman"/>
          <w:bCs/>
          <w:sz w:val="24"/>
          <w:szCs w:val="24"/>
          <w:lang w:eastAsia="pl-PL"/>
        </w:rPr>
        <w:t xml:space="preserve">które dostawca ten </w:t>
      </w:r>
      <w:r w:rsidR="000F5D8B" w:rsidRPr="00A710E1">
        <w:rPr>
          <w:rFonts w:ascii="Times New Roman" w:eastAsia="Times New Roman" w:hAnsi="Times New Roman" w:cs="Times New Roman"/>
          <w:bCs/>
          <w:sz w:val="24"/>
          <w:szCs w:val="24"/>
          <w:lang w:eastAsia="pl-PL"/>
        </w:rPr>
        <w:t>przekaza</w:t>
      </w:r>
      <w:r w:rsidR="00AE5149" w:rsidRPr="00A710E1">
        <w:rPr>
          <w:rFonts w:ascii="Times New Roman" w:eastAsia="Times New Roman" w:hAnsi="Times New Roman" w:cs="Times New Roman"/>
          <w:bCs/>
          <w:sz w:val="24"/>
          <w:szCs w:val="24"/>
          <w:lang w:eastAsia="pl-PL"/>
        </w:rPr>
        <w:t xml:space="preserve">ł </w:t>
      </w:r>
      <w:r w:rsidR="000F5D8B" w:rsidRPr="002E5F9B">
        <w:rPr>
          <w:rFonts w:ascii="Times New Roman" w:eastAsia="Times New Roman" w:hAnsi="Times New Roman" w:cs="Times New Roman"/>
          <w:bCs/>
          <w:sz w:val="24"/>
          <w:szCs w:val="24"/>
          <w:lang w:eastAsia="pl-PL"/>
        </w:rPr>
        <w:t xml:space="preserve">Komisji, </w:t>
      </w:r>
      <w:r w:rsidR="005E7A4C">
        <w:rPr>
          <w:rFonts w:ascii="Times New Roman" w:eastAsia="Times New Roman" w:hAnsi="Times New Roman" w:cs="Times New Roman"/>
          <w:bCs/>
          <w:sz w:val="24"/>
          <w:szCs w:val="24"/>
          <w:lang w:eastAsia="pl-PL"/>
        </w:rPr>
        <w:t>pod warunkiem, że</w:t>
      </w:r>
      <w:r w:rsidR="000F5D8B" w:rsidRPr="002E5F9B">
        <w:rPr>
          <w:rFonts w:ascii="Times New Roman" w:eastAsia="Times New Roman" w:hAnsi="Times New Roman" w:cs="Times New Roman"/>
          <w:bCs/>
          <w:sz w:val="24"/>
          <w:szCs w:val="24"/>
          <w:lang w:eastAsia="pl-PL"/>
        </w:rPr>
        <w:t xml:space="preserve"> nie narusza to interesów podmiotu, który przekazał informację, lub osób trzecich. </w:t>
      </w:r>
      <w:r w:rsidR="000F5D8B" w:rsidRPr="00894061">
        <w:rPr>
          <w:rFonts w:ascii="Times New Roman" w:eastAsia="Times New Roman" w:hAnsi="Times New Roman" w:cs="Times New Roman"/>
          <w:bCs/>
          <w:sz w:val="24"/>
          <w:szCs w:val="24"/>
          <w:lang w:eastAsia="pl-PL"/>
        </w:rPr>
        <w:t>Przepis ten jest odpowiednikiem art. 151a ustawy o obrocie instrumentami finansowymi.</w:t>
      </w:r>
    </w:p>
    <w:p w14:paraId="64434F4D" w14:textId="0C809BDE" w:rsidR="000F5D8B" w:rsidRDefault="00A24F82" w:rsidP="008129F0">
      <w:pPr>
        <w:spacing w:before="120" w:after="120"/>
        <w:ind w:firstLine="51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Art. 9</w:t>
      </w:r>
      <w:r w:rsidR="000F5D8B" w:rsidRPr="00894061">
        <w:rPr>
          <w:rFonts w:ascii="Times New Roman" w:eastAsia="Times New Roman" w:hAnsi="Times New Roman" w:cs="Times New Roman"/>
          <w:bCs/>
          <w:sz w:val="24"/>
          <w:szCs w:val="24"/>
          <w:lang w:eastAsia="pl-PL"/>
        </w:rPr>
        <w:t xml:space="preserve"> umożliwia dostawcom usług finansowania społecznościowego przekazywanie sobie nawzajem informacji stanowiących tajemnicę zawodową, </w:t>
      </w:r>
      <w:r w:rsidR="00AE5149" w:rsidRPr="005842F5">
        <w:rPr>
          <w:rFonts w:ascii="Times New Roman" w:eastAsia="Times New Roman" w:hAnsi="Times New Roman" w:cs="Times New Roman"/>
          <w:bCs/>
          <w:sz w:val="24"/>
          <w:szCs w:val="24"/>
          <w:lang w:eastAsia="pl-PL"/>
        </w:rPr>
        <w:t xml:space="preserve">które </w:t>
      </w:r>
      <w:r w:rsidR="000F5D8B" w:rsidRPr="005842F5">
        <w:rPr>
          <w:rFonts w:ascii="Times New Roman" w:eastAsia="Times New Roman" w:hAnsi="Times New Roman" w:cs="Times New Roman"/>
          <w:bCs/>
          <w:sz w:val="24"/>
          <w:szCs w:val="24"/>
          <w:lang w:eastAsia="pl-PL"/>
        </w:rPr>
        <w:t xml:space="preserve">są niezbędne do ochrony </w:t>
      </w:r>
      <w:r w:rsidR="00A3487A" w:rsidRPr="005842F5">
        <w:rPr>
          <w:rFonts w:ascii="Times New Roman" w:eastAsia="Times New Roman" w:hAnsi="Times New Roman" w:cs="Times New Roman"/>
          <w:bCs/>
          <w:sz w:val="24"/>
          <w:szCs w:val="24"/>
          <w:lang w:eastAsia="pl-PL"/>
        </w:rPr>
        <w:lastRenderedPageBreak/>
        <w:t xml:space="preserve">ich </w:t>
      </w:r>
      <w:r w:rsidR="000F5D8B" w:rsidRPr="005842F5">
        <w:rPr>
          <w:rFonts w:ascii="Times New Roman" w:eastAsia="Times New Roman" w:hAnsi="Times New Roman" w:cs="Times New Roman"/>
          <w:bCs/>
          <w:sz w:val="24"/>
          <w:szCs w:val="24"/>
          <w:lang w:eastAsia="pl-PL"/>
        </w:rPr>
        <w:t>interesów przed nierzetelnymi klientami.</w:t>
      </w:r>
      <w:r w:rsidR="00A3487A" w:rsidRPr="005842F5">
        <w:rPr>
          <w:rFonts w:ascii="Times New Roman" w:eastAsia="Times New Roman" w:hAnsi="Times New Roman" w:cs="Times New Roman"/>
          <w:bCs/>
          <w:sz w:val="24"/>
          <w:szCs w:val="24"/>
          <w:lang w:eastAsia="pl-PL"/>
        </w:rPr>
        <w:t xml:space="preserve"> </w:t>
      </w:r>
      <w:r w:rsidR="00E61F58">
        <w:rPr>
          <w:rFonts w:ascii="Times New Roman" w:eastAsia="Times New Roman" w:hAnsi="Times New Roman" w:cs="Times New Roman"/>
          <w:bCs/>
          <w:sz w:val="24"/>
          <w:szCs w:val="24"/>
          <w:lang w:eastAsia="pl-PL"/>
        </w:rPr>
        <w:t xml:space="preserve">Przepis realizuje koncepcję </w:t>
      </w:r>
      <w:r w:rsidR="00894061" w:rsidRPr="005842F5">
        <w:rPr>
          <w:rFonts w:ascii="Times New Roman" w:eastAsia="Times New Roman" w:hAnsi="Times New Roman" w:cs="Times New Roman"/>
          <w:bCs/>
          <w:sz w:val="24"/>
          <w:szCs w:val="24"/>
          <w:lang w:eastAsia="pl-PL"/>
        </w:rPr>
        <w:t>tzw. sektorowego wyłączenia tajemnicy zawodowej</w:t>
      </w:r>
      <w:r w:rsidR="005842F5">
        <w:rPr>
          <w:rFonts w:ascii="Times New Roman" w:eastAsia="Times New Roman" w:hAnsi="Times New Roman" w:cs="Times New Roman"/>
          <w:bCs/>
          <w:sz w:val="24"/>
          <w:szCs w:val="24"/>
          <w:lang w:eastAsia="pl-PL"/>
        </w:rPr>
        <w:t xml:space="preserve">, tj. wyłączenia </w:t>
      </w:r>
      <w:r w:rsidR="00894061" w:rsidRPr="005842F5">
        <w:rPr>
          <w:rFonts w:ascii="Times New Roman" w:eastAsia="Times New Roman" w:hAnsi="Times New Roman" w:cs="Times New Roman"/>
          <w:sz w:val="24"/>
          <w:szCs w:val="24"/>
          <w:lang w:eastAsia="pl-PL"/>
        </w:rPr>
        <w:t>w ramach określonej grupy profesjonalnych uczestnik</w:t>
      </w:r>
      <w:r w:rsidR="005842F5">
        <w:rPr>
          <w:rFonts w:ascii="Times New Roman" w:eastAsia="Times New Roman" w:hAnsi="Times New Roman" w:cs="Times New Roman"/>
          <w:sz w:val="24"/>
          <w:szCs w:val="24"/>
          <w:lang w:eastAsia="pl-PL"/>
        </w:rPr>
        <w:t xml:space="preserve">ów </w:t>
      </w:r>
      <w:r w:rsidR="00894061" w:rsidRPr="005842F5">
        <w:rPr>
          <w:rFonts w:ascii="Times New Roman" w:eastAsia="Times New Roman" w:hAnsi="Times New Roman" w:cs="Times New Roman"/>
          <w:sz w:val="24"/>
          <w:szCs w:val="24"/>
          <w:lang w:eastAsia="pl-PL"/>
        </w:rPr>
        <w:t xml:space="preserve">rynku </w:t>
      </w:r>
      <w:r w:rsidR="00894061" w:rsidRPr="00894061">
        <w:rPr>
          <w:rFonts w:ascii="Times New Roman" w:eastAsia="Times New Roman" w:hAnsi="Times New Roman" w:cs="Times New Roman"/>
          <w:bCs/>
          <w:sz w:val="24"/>
          <w:szCs w:val="24"/>
          <w:lang w:eastAsia="pl-PL"/>
        </w:rPr>
        <w:t>usług finansowania społecznościowego</w:t>
      </w:r>
      <w:r w:rsidR="005842F5">
        <w:rPr>
          <w:rFonts w:ascii="Times New Roman" w:eastAsia="Times New Roman" w:hAnsi="Times New Roman" w:cs="Times New Roman"/>
          <w:bCs/>
          <w:sz w:val="24"/>
          <w:szCs w:val="24"/>
          <w:lang w:eastAsia="pl-PL"/>
        </w:rPr>
        <w:t xml:space="preserve">, którzy </w:t>
      </w:r>
      <w:r w:rsidR="005842F5" w:rsidRPr="005842F5">
        <w:rPr>
          <w:rFonts w:ascii="Times New Roman" w:eastAsia="Times New Roman" w:hAnsi="Times New Roman" w:cs="Times New Roman"/>
          <w:sz w:val="24"/>
          <w:szCs w:val="24"/>
          <w:lang w:eastAsia="pl-PL"/>
        </w:rPr>
        <w:t>dążą do uniknięcia współpracy usługowej z nierzetelnym (niewiarygodnym) klientem</w:t>
      </w:r>
      <w:r w:rsidR="00894061" w:rsidRPr="005842F5">
        <w:rPr>
          <w:rFonts w:ascii="Times New Roman" w:eastAsia="Times New Roman" w:hAnsi="Times New Roman" w:cs="Times New Roman"/>
          <w:sz w:val="24"/>
          <w:szCs w:val="24"/>
          <w:lang w:eastAsia="pl-PL"/>
        </w:rPr>
        <w:t xml:space="preserve">. Rozwiązanie jest </w:t>
      </w:r>
      <w:r w:rsidR="00894061" w:rsidRPr="00894061">
        <w:rPr>
          <w:rFonts w:ascii="Times New Roman" w:eastAsia="Times New Roman" w:hAnsi="Times New Roman" w:cs="Times New Roman"/>
          <w:bCs/>
          <w:sz w:val="24"/>
          <w:szCs w:val="24"/>
          <w:lang w:eastAsia="pl-PL"/>
        </w:rPr>
        <w:t>analogiczn</w:t>
      </w:r>
      <w:r w:rsidR="005842F5">
        <w:rPr>
          <w:rFonts w:ascii="Times New Roman" w:eastAsia="Times New Roman" w:hAnsi="Times New Roman" w:cs="Times New Roman"/>
          <w:bCs/>
          <w:sz w:val="24"/>
          <w:szCs w:val="24"/>
          <w:lang w:eastAsia="pl-PL"/>
        </w:rPr>
        <w:t>e</w:t>
      </w:r>
      <w:r w:rsidR="00894061" w:rsidRPr="00894061">
        <w:rPr>
          <w:rFonts w:ascii="Times New Roman" w:eastAsia="Times New Roman" w:hAnsi="Times New Roman" w:cs="Times New Roman"/>
          <w:bCs/>
          <w:sz w:val="24"/>
          <w:szCs w:val="24"/>
          <w:lang w:eastAsia="pl-PL"/>
        </w:rPr>
        <w:t xml:space="preserve"> do art. 152 ustawy o obrocie instrumentami finansowymi</w:t>
      </w:r>
      <w:r w:rsidR="005842F5">
        <w:rPr>
          <w:rFonts w:ascii="Times New Roman" w:eastAsia="Times New Roman" w:hAnsi="Times New Roman" w:cs="Times New Roman"/>
          <w:bCs/>
          <w:sz w:val="24"/>
          <w:szCs w:val="24"/>
          <w:lang w:eastAsia="pl-PL"/>
        </w:rPr>
        <w:t xml:space="preserve">, a także </w:t>
      </w:r>
      <w:r w:rsidR="005842F5" w:rsidRPr="005842F5">
        <w:rPr>
          <w:rFonts w:ascii="Times New Roman" w:eastAsia="Times New Roman" w:hAnsi="Times New Roman" w:cs="Times New Roman"/>
          <w:sz w:val="24"/>
          <w:szCs w:val="24"/>
          <w:lang w:eastAsia="pl-PL"/>
        </w:rPr>
        <w:t xml:space="preserve">art. 105 ust. 1 pkt 1–1e </w:t>
      </w:r>
      <w:r w:rsidR="005842F5">
        <w:rPr>
          <w:rFonts w:ascii="Times New Roman" w:eastAsia="Times New Roman" w:hAnsi="Times New Roman" w:cs="Times New Roman"/>
          <w:sz w:val="24"/>
          <w:szCs w:val="24"/>
          <w:lang w:eastAsia="pl-PL"/>
        </w:rPr>
        <w:t xml:space="preserve">ustawy </w:t>
      </w:r>
      <w:r w:rsidR="005E7A4C">
        <w:rPr>
          <w:rFonts w:ascii="Times New Roman" w:eastAsia="Times New Roman" w:hAnsi="Times New Roman" w:cs="Times New Roman"/>
          <w:sz w:val="24"/>
          <w:szCs w:val="24"/>
          <w:lang w:eastAsia="pl-PL"/>
        </w:rPr>
        <w:t>– Prawo bankowe.</w:t>
      </w:r>
    </w:p>
    <w:p w14:paraId="009F51EF" w14:textId="77777777" w:rsidR="0023266E" w:rsidRDefault="00A24F82" w:rsidP="0023266E">
      <w:pPr>
        <w:spacing w:after="120"/>
        <w:ind w:firstLine="510"/>
        <w:rPr>
          <w:rFonts w:ascii="Times New Roman" w:eastAsia="Times New Roman" w:hAnsi="Times New Roman" w:cs="Times New Roman"/>
          <w:sz w:val="24"/>
          <w:szCs w:val="24"/>
          <w:lang w:eastAsia="pl-PL"/>
        </w:rPr>
      </w:pPr>
      <w:r w:rsidRPr="00A24F82">
        <w:rPr>
          <w:rFonts w:ascii="Times New Roman" w:eastAsia="Times New Roman" w:hAnsi="Times New Roman" w:cs="Times New Roman"/>
          <w:b/>
          <w:sz w:val="24"/>
          <w:szCs w:val="24"/>
          <w:lang w:eastAsia="pl-PL"/>
        </w:rPr>
        <w:t>Art. 10</w:t>
      </w:r>
      <w:r>
        <w:rPr>
          <w:rFonts w:ascii="Times New Roman" w:eastAsia="Times New Roman" w:hAnsi="Times New Roman" w:cs="Times New Roman"/>
          <w:sz w:val="24"/>
          <w:szCs w:val="24"/>
          <w:lang w:eastAsia="pl-PL"/>
        </w:rPr>
        <w:t xml:space="preserve"> określa zasady odpowiedzialności za szkody wynikające z nieuprawnionego ujawnienia informacji stanowiącej tajemnicę zawodową. Przepis ten jest analogiczny do art. 153 ustawy o obrocie instrumentami finansowymi.</w:t>
      </w:r>
      <w:r w:rsidR="00F84A5D">
        <w:rPr>
          <w:rFonts w:ascii="Times New Roman" w:eastAsia="Times New Roman" w:hAnsi="Times New Roman" w:cs="Times New Roman"/>
          <w:sz w:val="24"/>
          <w:szCs w:val="24"/>
          <w:lang w:eastAsia="pl-PL"/>
        </w:rPr>
        <w:t xml:space="preserve"> </w:t>
      </w:r>
    </w:p>
    <w:p w14:paraId="212FA045" w14:textId="77777777" w:rsidR="002E1278" w:rsidRDefault="0023266E" w:rsidP="002E1278">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11</w:t>
      </w:r>
      <w:r>
        <w:rPr>
          <w:rFonts w:ascii="Times New Roman" w:eastAsia="Times New Roman" w:hAnsi="Times New Roman" w:cs="Times New Roman"/>
          <w:bCs/>
          <w:sz w:val="24"/>
          <w:szCs w:val="24"/>
          <w:lang w:eastAsia="pl-PL"/>
        </w:rPr>
        <w:t xml:space="preserve"> dotyczy</w:t>
      </w:r>
      <w:r w:rsidRPr="004E768F">
        <w:rPr>
          <w:rFonts w:ascii="Times New Roman" w:eastAsia="Times New Roman" w:hAnsi="Times New Roman" w:cs="Times New Roman"/>
          <w:bCs/>
          <w:sz w:val="24"/>
          <w:szCs w:val="24"/>
          <w:lang w:eastAsia="pl-PL"/>
        </w:rPr>
        <w:t xml:space="preserve"> przechowywania dokumentów przez dostawców usług finansowania społecznościowego</w:t>
      </w:r>
      <w:r>
        <w:rPr>
          <w:rFonts w:ascii="Times New Roman" w:eastAsia="Times New Roman" w:hAnsi="Times New Roman" w:cs="Times New Roman"/>
          <w:bCs/>
          <w:sz w:val="24"/>
          <w:szCs w:val="24"/>
          <w:lang w:eastAsia="pl-PL"/>
        </w:rPr>
        <w:t xml:space="preserve">, uzupełniająco w stosunku do </w:t>
      </w:r>
      <w:r w:rsidRPr="004E768F">
        <w:rPr>
          <w:rFonts w:ascii="Times New Roman" w:eastAsia="Times New Roman" w:hAnsi="Times New Roman" w:cs="Times New Roman"/>
          <w:bCs/>
          <w:sz w:val="24"/>
          <w:szCs w:val="24"/>
          <w:lang w:eastAsia="pl-PL"/>
        </w:rPr>
        <w:t xml:space="preserve">art. 26 rozporządzenia 2020/1503, który </w:t>
      </w:r>
      <w:r>
        <w:rPr>
          <w:rFonts w:ascii="Times New Roman" w:eastAsia="Times New Roman" w:hAnsi="Times New Roman" w:cs="Times New Roman"/>
          <w:bCs/>
          <w:sz w:val="24"/>
          <w:szCs w:val="24"/>
          <w:lang w:eastAsia="pl-PL"/>
        </w:rPr>
        <w:t xml:space="preserve">nakłada na </w:t>
      </w:r>
      <w:r w:rsidRPr="004E768F">
        <w:rPr>
          <w:rFonts w:ascii="Times New Roman" w:eastAsia="Times New Roman" w:hAnsi="Times New Roman" w:cs="Times New Roman"/>
          <w:bCs/>
          <w:sz w:val="24"/>
          <w:szCs w:val="24"/>
          <w:lang w:eastAsia="pl-PL"/>
        </w:rPr>
        <w:t xml:space="preserve">dostawców usług finansowania społecznościowego </w:t>
      </w:r>
      <w:r>
        <w:rPr>
          <w:rFonts w:ascii="Times New Roman" w:eastAsia="Times New Roman" w:hAnsi="Times New Roman" w:cs="Times New Roman"/>
          <w:bCs/>
          <w:sz w:val="24"/>
          <w:szCs w:val="24"/>
          <w:lang w:eastAsia="pl-PL"/>
        </w:rPr>
        <w:t xml:space="preserve">obowiązek </w:t>
      </w:r>
      <w:r w:rsidRPr="004E768F">
        <w:rPr>
          <w:rFonts w:ascii="Times New Roman" w:eastAsia="Times New Roman" w:hAnsi="Times New Roman" w:cs="Times New Roman"/>
          <w:bCs/>
          <w:sz w:val="24"/>
          <w:szCs w:val="24"/>
          <w:lang w:eastAsia="pl-PL"/>
        </w:rPr>
        <w:t xml:space="preserve">przechowywania dokumentacji związanej ze świadczonymi przez nich usługami przez co najmniej 5 lat oraz do udostępniania </w:t>
      </w:r>
      <w:r>
        <w:rPr>
          <w:rFonts w:ascii="Times New Roman" w:eastAsia="Times New Roman" w:hAnsi="Times New Roman" w:cs="Times New Roman"/>
          <w:bCs/>
          <w:sz w:val="24"/>
          <w:szCs w:val="24"/>
          <w:lang w:eastAsia="pl-PL"/>
        </w:rPr>
        <w:t xml:space="preserve">klientom </w:t>
      </w:r>
      <w:r w:rsidRPr="004E768F">
        <w:rPr>
          <w:rFonts w:ascii="Times New Roman" w:eastAsia="Times New Roman" w:hAnsi="Times New Roman" w:cs="Times New Roman"/>
          <w:bCs/>
          <w:sz w:val="24"/>
          <w:szCs w:val="24"/>
          <w:lang w:eastAsia="pl-PL"/>
        </w:rPr>
        <w:t xml:space="preserve">dokumentacji dotyczącej świadczonych im usług. </w:t>
      </w:r>
      <w:r>
        <w:rPr>
          <w:rFonts w:ascii="Times New Roman" w:eastAsia="Times New Roman" w:hAnsi="Times New Roman" w:cs="Times New Roman"/>
          <w:bCs/>
          <w:sz w:val="24"/>
          <w:szCs w:val="24"/>
          <w:lang w:eastAsia="pl-PL"/>
        </w:rPr>
        <w:t xml:space="preserve">Przepis ten przyznaje również Komisji uprawnienia, o których mowa w art. 30 ust. 1 lit. c rozporządzenia 2020/1503. </w:t>
      </w:r>
    </w:p>
    <w:p w14:paraId="75EB4361" w14:textId="4BEF1524" w:rsidR="002E1278" w:rsidRDefault="00FC32D5" w:rsidP="002E1278">
      <w:pPr>
        <w:suppressAutoHyphens/>
        <w:autoSpaceDE w:val="0"/>
        <w:autoSpaceDN w:val="0"/>
        <w:adjustRightInd w:val="0"/>
        <w:ind w:firstLine="510"/>
        <w:rPr>
          <w:rFonts w:ascii="Times New Roman" w:eastAsia="Times New Roman" w:hAnsi="Times New Roman" w:cs="Times New Roman"/>
          <w:bCs/>
          <w:sz w:val="24"/>
          <w:szCs w:val="24"/>
          <w:lang w:eastAsia="pl-PL"/>
        </w:rPr>
      </w:pPr>
      <w:r w:rsidRPr="00ED2BA4">
        <w:rPr>
          <w:rFonts w:ascii="Times New Roman" w:eastAsia="Times New Roman" w:hAnsi="Times New Roman" w:cs="Times New Roman"/>
          <w:b/>
          <w:bCs/>
          <w:sz w:val="24"/>
          <w:szCs w:val="24"/>
          <w:lang w:eastAsia="pl-PL"/>
        </w:rPr>
        <w:t>Art. 1</w:t>
      </w:r>
      <w:r w:rsidR="0023266E">
        <w:rPr>
          <w:rFonts w:ascii="Times New Roman" w:eastAsia="Times New Roman" w:hAnsi="Times New Roman" w:cs="Times New Roman"/>
          <w:b/>
          <w:bCs/>
          <w:sz w:val="24"/>
          <w:szCs w:val="24"/>
          <w:lang w:eastAsia="pl-PL"/>
        </w:rPr>
        <w:t>1</w:t>
      </w:r>
      <w:r w:rsidRPr="00ED2BA4">
        <w:rPr>
          <w:rFonts w:ascii="Times New Roman" w:eastAsia="Times New Roman" w:hAnsi="Times New Roman" w:cs="Times New Roman"/>
          <w:b/>
          <w:bCs/>
          <w:sz w:val="24"/>
          <w:szCs w:val="24"/>
          <w:lang w:eastAsia="pl-PL"/>
        </w:rPr>
        <w:t xml:space="preserve"> ust. 1</w:t>
      </w:r>
      <w:r w:rsidRPr="004E768F">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rozszerza obowiązek </w:t>
      </w:r>
      <w:r w:rsidRPr="004E768F">
        <w:rPr>
          <w:rFonts w:ascii="Times New Roman" w:eastAsia="Times New Roman" w:hAnsi="Times New Roman" w:cs="Times New Roman"/>
          <w:bCs/>
          <w:sz w:val="24"/>
          <w:szCs w:val="24"/>
          <w:lang w:eastAsia="pl-PL"/>
        </w:rPr>
        <w:t>archiwizowania i przechowywania</w:t>
      </w:r>
      <w:r>
        <w:rPr>
          <w:rFonts w:ascii="Times New Roman" w:eastAsia="Times New Roman" w:hAnsi="Times New Roman" w:cs="Times New Roman"/>
          <w:bCs/>
          <w:sz w:val="24"/>
          <w:szCs w:val="24"/>
          <w:lang w:eastAsia="pl-PL"/>
        </w:rPr>
        <w:t xml:space="preserve"> dokumentacji na </w:t>
      </w:r>
      <w:r w:rsidRPr="004E768F">
        <w:rPr>
          <w:rFonts w:ascii="Times New Roman" w:eastAsia="Times New Roman" w:hAnsi="Times New Roman" w:cs="Times New Roman"/>
          <w:bCs/>
          <w:sz w:val="24"/>
          <w:szCs w:val="24"/>
          <w:lang w:eastAsia="pl-PL"/>
        </w:rPr>
        <w:t>dostawców usług finansowania społecznościowego, którzy zaprzestali prowadzenia działalności</w:t>
      </w:r>
      <w:r>
        <w:rPr>
          <w:rFonts w:ascii="Times New Roman" w:eastAsia="Times New Roman" w:hAnsi="Times New Roman" w:cs="Times New Roman"/>
          <w:bCs/>
          <w:sz w:val="24"/>
          <w:szCs w:val="24"/>
          <w:lang w:eastAsia="pl-PL"/>
        </w:rPr>
        <w:t xml:space="preserve"> </w:t>
      </w:r>
      <w:r w:rsidR="00AC703D">
        <w:rPr>
          <w:rFonts w:ascii="Times New Roman" w:eastAsia="Times New Roman" w:hAnsi="Times New Roman" w:cs="Times New Roman"/>
          <w:bCs/>
          <w:sz w:val="24"/>
          <w:szCs w:val="24"/>
          <w:lang w:eastAsia="pl-PL"/>
        </w:rPr>
        <w:t xml:space="preserve">przez </w:t>
      </w:r>
      <w:r w:rsidRPr="004E768F">
        <w:rPr>
          <w:rFonts w:ascii="Times New Roman" w:eastAsia="Times New Roman" w:hAnsi="Times New Roman" w:cs="Times New Roman"/>
          <w:bCs/>
          <w:sz w:val="24"/>
          <w:szCs w:val="24"/>
          <w:lang w:eastAsia="pl-PL"/>
        </w:rPr>
        <w:t xml:space="preserve">okres 5 lat od dnia </w:t>
      </w:r>
      <w:r>
        <w:rPr>
          <w:rFonts w:ascii="Times New Roman" w:eastAsia="Times New Roman" w:hAnsi="Times New Roman" w:cs="Times New Roman"/>
          <w:bCs/>
          <w:sz w:val="24"/>
          <w:szCs w:val="24"/>
          <w:lang w:eastAsia="pl-PL"/>
        </w:rPr>
        <w:t xml:space="preserve">jej </w:t>
      </w:r>
      <w:r w:rsidRPr="004E768F">
        <w:rPr>
          <w:rFonts w:ascii="Times New Roman" w:eastAsia="Times New Roman" w:hAnsi="Times New Roman" w:cs="Times New Roman"/>
          <w:bCs/>
          <w:sz w:val="24"/>
          <w:szCs w:val="24"/>
          <w:lang w:eastAsia="pl-PL"/>
        </w:rPr>
        <w:t>zaprzestania</w:t>
      </w:r>
      <w:r>
        <w:rPr>
          <w:rFonts w:ascii="Times New Roman" w:eastAsia="Times New Roman" w:hAnsi="Times New Roman" w:cs="Times New Roman"/>
          <w:bCs/>
          <w:sz w:val="24"/>
          <w:szCs w:val="24"/>
          <w:lang w:eastAsia="pl-PL"/>
        </w:rPr>
        <w:t>.</w:t>
      </w:r>
      <w:r w:rsidRPr="004E768F">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 xml:space="preserve">Dostawca </w:t>
      </w:r>
      <w:r w:rsidRPr="00A710E1">
        <w:rPr>
          <w:rFonts w:ascii="Times New Roman" w:eastAsia="Times New Roman" w:hAnsi="Times New Roman" w:cs="Times New Roman"/>
          <w:sz w:val="24"/>
          <w:szCs w:val="24"/>
          <w:lang w:eastAsia="pl-PL"/>
        </w:rPr>
        <w:t xml:space="preserve">może </w:t>
      </w:r>
      <w:r>
        <w:rPr>
          <w:rFonts w:ascii="Times New Roman" w:eastAsia="Times New Roman" w:hAnsi="Times New Roman" w:cs="Times New Roman"/>
          <w:sz w:val="24"/>
          <w:szCs w:val="24"/>
          <w:lang w:eastAsia="pl-PL"/>
        </w:rPr>
        <w:t>z</w:t>
      </w:r>
      <w:r w:rsidRPr="00A710E1">
        <w:rPr>
          <w:rFonts w:ascii="Times New Roman" w:eastAsia="Times New Roman" w:hAnsi="Times New Roman" w:cs="Times New Roman"/>
          <w:sz w:val="24"/>
          <w:szCs w:val="24"/>
          <w:lang w:eastAsia="pl-PL"/>
        </w:rPr>
        <w:t xml:space="preserve">realizować </w:t>
      </w:r>
      <w:r>
        <w:rPr>
          <w:rFonts w:ascii="Times New Roman" w:eastAsia="Times New Roman" w:hAnsi="Times New Roman" w:cs="Times New Roman"/>
          <w:sz w:val="24"/>
          <w:szCs w:val="24"/>
          <w:lang w:eastAsia="pl-PL"/>
        </w:rPr>
        <w:t xml:space="preserve">ten </w:t>
      </w:r>
      <w:r w:rsidRPr="00A710E1">
        <w:rPr>
          <w:rFonts w:ascii="Times New Roman" w:eastAsia="Times New Roman" w:hAnsi="Times New Roman" w:cs="Times New Roman"/>
          <w:sz w:val="24"/>
          <w:szCs w:val="24"/>
          <w:lang w:eastAsia="pl-PL"/>
        </w:rPr>
        <w:t xml:space="preserve">obowiązek </w:t>
      </w:r>
      <w:r w:rsidRPr="00A710E1">
        <w:rPr>
          <w:rFonts w:ascii="Times New Roman" w:eastAsia="Times New Roman" w:hAnsi="Times New Roman" w:cs="Times New Roman"/>
          <w:bCs/>
          <w:sz w:val="24"/>
          <w:szCs w:val="24"/>
          <w:lang w:eastAsia="pl-PL"/>
        </w:rPr>
        <w:t>samodzielnie</w:t>
      </w:r>
      <w:r w:rsidRPr="00A710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przypadku gdy </w:t>
      </w:r>
      <w:r w:rsidRPr="00A710E1">
        <w:rPr>
          <w:rFonts w:ascii="Times New Roman" w:eastAsia="Times New Roman" w:hAnsi="Times New Roman" w:cs="Times New Roman"/>
          <w:sz w:val="24"/>
          <w:szCs w:val="24"/>
          <w:lang w:eastAsia="pl-PL"/>
        </w:rPr>
        <w:t>zaprzestanie prowadzenia działalności nie będzie jednoznaczne z rozwiązaniem spółki)</w:t>
      </w:r>
      <w:r>
        <w:rPr>
          <w:rFonts w:ascii="Times New Roman" w:eastAsia="Times New Roman" w:hAnsi="Times New Roman" w:cs="Times New Roman"/>
          <w:sz w:val="24"/>
          <w:szCs w:val="24"/>
          <w:lang w:eastAsia="pl-PL"/>
        </w:rPr>
        <w:t xml:space="preserve"> lub </w:t>
      </w:r>
      <w:r w:rsidRPr="00A710E1">
        <w:rPr>
          <w:rFonts w:ascii="Times New Roman" w:eastAsia="Times New Roman" w:hAnsi="Times New Roman" w:cs="Times New Roman"/>
          <w:bCs/>
          <w:sz w:val="24"/>
          <w:szCs w:val="24"/>
          <w:lang w:eastAsia="pl-PL"/>
        </w:rPr>
        <w:t>za pośrednictwem wyspecjalizowanych podmiotów trzecich</w:t>
      </w:r>
      <w:r w:rsidRPr="00A710E1">
        <w:rPr>
          <w:rFonts w:ascii="Times New Roman" w:eastAsia="Times New Roman" w:hAnsi="Times New Roman" w:cs="Times New Roman"/>
          <w:sz w:val="24"/>
          <w:szCs w:val="24"/>
          <w:lang w:eastAsia="pl-PL"/>
        </w:rPr>
        <w:t xml:space="preserve"> (w przypadku rozwiązania spółki). </w:t>
      </w:r>
      <w:r>
        <w:rPr>
          <w:rFonts w:ascii="Times New Roman" w:eastAsia="Times New Roman" w:hAnsi="Times New Roman" w:cs="Times New Roman"/>
          <w:bCs/>
          <w:sz w:val="24"/>
          <w:szCs w:val="24"/>
          <w:lang w:eastAsia="pl-PL"/>
        </w:rPr>
        <w:t>Proponowane r</w:t>
      </w:r>
      <w:r w:rsidRPr="004E768F">
        <w:rPr>
          <w:rFonts w:ascii="Times New Roman" w:eastAsia="Times New Roman" w:hAnsi="Times New Roman" w:cs="Times New Roman"/>
          <w:bCs/>
          <w:sz w:val="24"/>
          <w:szCs w:val="24"/>
          <w:lang w:eastAsia="pl-PL"/>
        </w:rPr>
        <w:t>ozwiąz</w:t>
      </w:r>
      <w:r>
        <w:rPr>
          <w:rFonts w:ascii="Times New Roman" w:eastAsia="Times New Roman" w:hAnsi="Times New Roman" w:cs="Times New Roman"/>
          <w:bCs/>
          <w:sz w:val="24"/>
          <w:szCs w:val="24"/>
          <w:lang w:eastAsia="pl-PL"/>
        </w:rPr>
        <w:t xml:space="preserve">anie jest </w:t>
      </w:r>
      <w:r w:rsidRPr="004E768F">
        <w:rPr>
          <w:rFonts w:ascii="Times New Roman" w:eastAsia="Times New Roman" w:hAnsi="Times New Roman" w:cs="Times New Roman"/>
          <w:bCs/>
          <w:sz w:val="24"/>
          <w:szCs w:val="24"/>
          <w:lang w:eastAsia="pl-PL"/>
        </w:rPr>
        <w:t>analogiczne</w:t>
      </w:r>
      <w:r>
        <w:rPr>
          <w:rFonts w:ascii="Times New Roman" w:eastAsia="Times New Roman" w:hAnsi="Times New Roman" w:cs="Times New Roman"/>
          <w:bCs/>
          <w:sz w:val="24"/>
          <w:szCs w:val="24"/>
          <w:lang w:eastAsia="pl-PL"/>
        </w:rPr>
        <w:t xml:space="preserve"> do </w:t>
      </w:r>
      <w:r w:rsidRPr="004E768F">
        <w:rPr>
          <w:rFonts w:ascii="Times New Roman" w:eastAsia="Times New Roman" w:hAnsi="Times New Roman" w:cs="Times New Roman"/>
          <w:bCs/>
          <w:sz w:val="24"/>
          <w:szCs w:val="24"/>
          <w:lang w:eastAsia="pl-PL"/>
        </w:rPr>
        <w:t>art. 90 ustawy o obrocie instrumentami finansowymi</w:t>
      </w:r>
      <w:r>
        <w:rPr>
          <w:rFonts w:ascii="Times New Roman" w:eastAsia="Times New Roman" w:hAnsi="Times New Roman" w:cs="Times New Roman"/>
          <w:bCs/>
          <w:sz w:val="24"/>
          <w:szCs w:val="24"/>
          <w:lang w:eastAsia="pl-PL"/>
        </w:rPr>
        <w:t>.</w:t>
      </w:r>
      <w:r w:rsidR="00F84A5D">
        <w:rPr>
          <w:rFonts w:ascii="Times New Roman" w:eastAsia="Times New Roman" w:hAnsi="Times New Roman" w:cs="Times New Roman"/>
          <w:bCs/>
          <w:sz w:val="24"/>
          <w:szCs w:val="24"/>
          <w:lang w:eastAsia="pl-PL"/>
        </w:rPr>
        <w:t xml:space="preserve"> </w:t>
      </w:r>
    </w:p>
    <w:p w14:paraId="4DB73FF7" w14:textId="77777777" w:rsidR="002E1278" w:rsidRDefault="00FC32D5" w:rsidP="002E1278">
      <w:pPr>
        <w:suppressAutoHyphens/>
        <w:autoSpaceDE w:val="0"/>
        <w:autoSpaceDN w:val="0"/>
        <w:adjustRightInd w:val="0"/>
        <w:ind w:firstLine="510"/>
        <w:rPr>
          <w:rFonts w:ascii="Times New Roman" w:eastAsia="Times New Roman" w:hAnsi="Times New Roman" w:cs="Times New Roman"/>
          <w:bCs/>
          <w:sz w:val="24"/>
          <w:szCs w:val="24"/>
          <w:lang w:eastAsia="pl-PL"/>
        </w:rPr>
      </w:pPr>
      <w:r w:rsidRPr="00E96455">
        <w:rPr>
          <w:rFonts w:ascii="Times New Roman" w:eastAsia="Times New Roman" w:hAnsi="Times New Roman" w:cs="Times New Roman"/>
          <w:b/>
          <w:bCs/>
          <w:sz w:val="24"/>
          <w:szCs w:val="24"/>
          <w:lang w:eastAsia="pl-PL"/>
        </w:rPr>
        <w:t>Art. 1</w:t>
      </w:r>
      <w:r w:rsidR="0023266E">
        <w:rPr>
          <w:rFonts w:ascii="Times New Roman" w:eastAsia="Times New Roman" w:hAnsi="Times New Roman" w:cs="Times New Roman"/>
          <w:b/>
          <w:bCs/>
          <w:sz w:val="24"/>
          <w:szCs w:val="24"/>
          <w:lang w:eastAsia="pl-PL"/>
        </w:rPr>
        <w:t>1</w:t>
      </w:r>
      <w:r w:rsidRPr="00E96455">
        <w:rPr>
          <w:rFonts w:ascii="Times New Roman" w:eastAsia="Times New Roman" w:hAnsi="Times New Roman" w:cs="Times New Roman"/>
          <w:b/>
          <w:bCs/>
          <w:sz w:val="24"/>
          <w:szCs w:val="24"/>
          <w:lang w:eastAsia="pl-PL"/>
        </w:rPr>
        <w:t xml:space="preserve"> ust. 2 i 3 </w:t>
      </w:r>
      <w:r>
        <w:rPr>
          <w:rFonts w:ascii="Times New Roman" w:eastAsia="Times New Roman" w:hAnsi="Times New Roman" w:cs="Times New Roman"/>
          <w:bCs/>
          <w:sz w:val="24"/>
          <w:szCs w:val="24"/>
          <w:lang w:eastAsia="pl-PL"/>
        </w:rPr>
        <w:t xml:space="preserve">wskazują Komisję jako organ właściwy do </w:t>
      </w:r>
      <w:r w:rsidRPr="004E768F">
        <w:rPr>
          <w:rFonts w:ascii="Times New Roman" w:eastAsia="Times New Roman" w:hAnsi="Times New Roman" w:cs="Times New Roman"/>
          <w:bCs/>
          <w:sz w:val="24"/>
          <w:szCs w:val="24"/>
          <w:lang w:eastAsia="pl-PL"/>
        </w:rPr>
        <w:t xml:space="preserve">przeprowadzania kontroli dostawców usług finansowania społecznościowego </w:t>
      </w:r>
      <w:r>
        <w:rPr>
          <w:rFonts w:ascii="Times New Roman" w:eastAsia="Times New Roman" w:hAnsi="Times New Roman" w:cs="Times New Roman"/>
          <w:bCs/>
          <w:sz w:val="24"/>
          <w:szCs w:val="24"/>
          <w:lang w:eastAsia="pl-PL"/>
        </w:rPr>
        <w:t>(</w:t>
      </w:r>
      <w:r w:rsidRPr="004E768F">
        <w:rPr>
          <w:rFonts w:ascii="Times New Roman" w:eastAsia="Times New Roman" w:hAnsi="Times New Roman" w:cs="Times New Roman"/>
          <w:bCs/>
          <w:sz w:val="24"/>
          <w:szCs w:val="24"/>
          <w:lang w:eastAsia="pl-PL"/>
        </w:rPr>
        <w:t>art. 30 ust. 1 lit. c rozporządzenia 2020/1503</w:t>
      </w:r>
      <w:r>
        <w:rPr>
          <w:rFonts w:ascii="Times New Roman" w:eastAsia="Times New Roman" w:hAnsi="Times New Roman" w:cs="Times New Roman"/>
          <w:bCs/>
          <w:sz w:val="24"/>
          <w:szCs w:val="24"/>
          <w:lang w:eastAsia="pl-PL"/>
        </w:rPr>
        <w:t xml:space="preserve">) oraz </w:t>
      </w:r>
      <w:r w:rsidRPr="004E768F">
        <w:rPr>
          <w:rFonts w:ascii="Times New Roman" w:eastAsia="Times New Roman" w:hAnsi="Times New Roman" w:cs="Times New Roman"/>
          <w:bCs/>
          <w:sz w:val="24"/>
          <w:szCs w:val="24"/>
          <w:lang w:eastAsia="pl-PL"/>
        </w:rPr>
        <w:t xml:space="preserve">do nakładania </w:t>
      </w:r>
      <w:r>
        <w:rPr>
          <w:rFonts w:ascii="Times New Roman" w:eastAsia="Times New Roman" w:hAnsi="Times New Roman" w:cs="Times New Roman"/>
          <w:bCs/>
          <w:sz w:val="24"/>
          <w:szCs w:val="24"/>
          <w:lang w:eastAsia="pl-PL"/>
        </w:rPr>
        <w:t xml:space="preserve">na tych dostawców </w:t>
      </w:r>
      <w:r w:rsidRPr="004E768F">
        <w:rPr>
          <w:rFonts w:ascii="Times New Roman" w:eastAsia="Times New Roman" w:hAnsi="Times New Roman" w:cs="Times New Roman"/>
          <w:bCs/>
          <w:sz w:val="24"/>
          <w:szCs w:val="24"/>
          <w:lang w:eastAsia="pl-PL"/>
        </w:rPr>
        <w:t>obowiązku przekazywania informacji i dokumentów, o którym mowa w art. 30 ust. 1 lit. a rozporządzenia 2020/1503</w:t>
      </w:r>
      <w:r>
        <w:rPr>
          <w:rFonts w:ascii="Times New Roman" w:eastAsia="Times New Roman" w:hAnsi="Times New Roman" w:cs="Times New Roman"/>
          <w:bCs/>
          <w:sz w:val="24"/>
          <w:szCs w:val="24"/>
          <w:lang w:eastAsia="pl-PL"/>
        </w:rPr>
        <w:t>.</w:t>
      </w:r>
      <w:r w:rsidR="00F84A5D">
        <w:rPr>
          <w:rFonts w:ascii="Times New Roman" w:eastAsia="Times New Roman" w:hAnsi="Times New Roman" w:cs="Times New Roman"/>
          <w:bCs/>
          <w:sz w:val="24"/>
          <w:szCs w:val="24"/>
          <w:lang w:eastAsia="pl-PL"/>
        </w:rPr>
        <w:t xml:space="preserve"> </w:t>
      </w:r>
    </w:p>
    <w:p w14:paraId="35E3EB02" w14:textId="2E0AD355" w:rsidR="002E1278" w:rsidRDefault="00FC32D5" w:rsidP="002E1278">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45F87">
        <w:rPr>
          <w:rFonts w:ascii="Times New Roman" w:eastAsia="Times New Roman" w:hAnsi="Times New Roman" w:cs="Times New Roman"/>
          <w:bCs/>
          <w:sz w:val="24"/>
          <w:szCs w:val="24"/>
          <w:lang w:eastAsia="pl-PL"/>
        </w:rPr>
        <w:t xml:space="preserve">Zgodnie z </w:t>
      </w:r>
      <w:r w:rsidRPr="00E96455">
        <w:rPr>
          <w:rFonts w:ascii="Times New Roman" w:eastAsia="Times New Roman" w:hAnsi="Times New Roman" w:cs="Times New Roman"/>
          <w:b/>
          <w:bCs/>
          <w:sz w:val="24"/>
          <w:szCs w:val="24"/>
          <w:lang w:eastAsia="pl-PL"/>
        </w:rPr>
        <w:t>art. 1</w:t>
      </w:r>
      <w:r w:rsidR="0023266E">
        <w:rPr>
          <w:rFonts w:ascii="Times New Roman" w:eastAsia="Times New Roman" w:hAnsi="Times New Roman" w:cs="Times New Roman"/>
          <w:b/>
          <w:bCs/>
          <w:sz w:val="24"/>
          <w:szCs w:val="24"/>
          <w:lang w:eastAsia="pl-PL"/>
        </w:rPr>
        <w:t>1</w:t>
      </w:r>
      <w:r w:rsidRPr="00E96455">
        <w:rPr>
          <w:rFonts w:ascii="Times New Roman" w:eastAsia="Times New Roman" w:hAnsi="Times New Roman" w:cs="Times New Roman"/>
          <w:b/>
          <w:bCs/>
          <w:sz w:val="24"/>
          <w:szCs w:val="24"/>
          <w:lang w:eastAsia="pl-PL"/>
        </w:rPr>
        <w:t xml:space="preserve"> ust. 4</w:t>
      </w:r>
      <w:r w:rsidRPr="00445F87">
        <w:rPr>
          <w:rFonts w:ascii="Times New Roman" w:eastAsia="Times New Roman" w:hAnsi="Times New Roman" w:cs="Times New Roman"/>
          <w:bCs/>
          <w:sz w:val="24"/>
          <w:szCs w:val="24"/>
          <w:lang w:eastAsia="pl-PL"/>
        </w:rPr>
        <w:t xml:space="preserve"> </w:t>
      </w:r>
      <w:r w:rsidRPr="00445F87">
        <w:rPr>
          <w:rFonts w:ascii="Times New Roman" w:hAnsi="Times New Roman" w:cs="Times New Roman"/>
          <w:sz w:val="24"/>
          <w:szCs w:val="24"/>
        </w:rPr>
        <w:t>dostawcy usług finansowania społecznościowego z siedzibą w państwi</w:t>
      </w:r>
      <w:r>
        <w:rPr>
          <w:rFonts w:ascii="Times New Roman" w:hAnsi="Times New Roman" w:cs="Times New Roman"/>
          <w:sz w:val="24"/>
          <w:szCs w:val="24"/>
        </w:rPr>
        <w:t xml:space="preserve">e członkowskim </w:t>
      </w:r>
      <w:r w:rsidR="00AC703D" w:rsidRPr="00445F87">
        <w:rPr>
          <w:rFonts w:ascii="Times New Roman" w:hAnsi="Times New Roman" w:cs="Times New Roman"/>
          <w:sz w:val="24"/>
          <w:szCs w:val="24"/>
        </w:rPr>
        <w:t xml:space="preserve">innym niż Polska </w:t>
      </w:r>
      <w:r>
        <w:rPr>
          <w:rFonts w:ascii="Times New Roman" w:hAnsi="Times New Roman" w:cs="Times New Roman"/>
          <w:sz w:val="24"/>
          <w:szCs w:val="24"/>
        </w:rPr>
        <w:t>będą wykonywali</w:t>
      </w:r>
      <w:r w:rsidRPr="00445F87">
        <w:rPr>
          <w:rFonts w:ascii="Times New Roman" w:eastAsia="Times New Roman" w:hAnsi="Times New Roman" w:cs="Times New Roman"/>
          <w:bCs/>
          <w:sz w:val="24"/>
          <w:szCs w:val="24"/>
          <w:lang w:eastAsia="pl-PL"/>
        </w:rPr>
        <w:t xml:space="preserve"> obowiązki w zakresie przechowywania dokumentacji zgodnie z prawem państwa ich siedziby</w:t>
      </w:r>
      <w:r w:rsidRPr="004E768F">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Wyjątkiem będzie sytuacja, w której dostawca z siedzibą na terytorium innego państwa, świadczący usługi na terytorium Polski, nie zaprzestaje naruszania przepisów rozporządzenia 2020/1503, pomimo działań podjętych przez organ </w:t>
      </w:r>
      <w:r w:rsidR="00AC703D">
        <w:rPr>
          <w:rFonts w:ascii="Times New Roman" w:eastAsia="Times New Roman" w:hAnsi="Times New Roman" w:cs="Times New Roman"/>
          <w:bCs/>
          <w:sz w:val="24"/>
          <w:szCs w:val="24"/>
          <w:lang w:eastAsia="pl-PL"/>
        </w:rPr>
        <w:t xml:space="preserve">nadzoru </w:t>
      </w:r>
      <w:r>
        <w:rPr>
          <w:rFonts w:ascii="Times New Roman" w:eastAsia="Times New Roman" w:hAnsi="Times New Roman" w:cs="Times New Roman"/>
          <w:bCs/>
          <w:sz w:val="24"/>
          <w:szCs w:val="24"/>
          <w:lang w:eastAsia="pl-PL"/>
        </w:rPr>
        <w:t>właściwy według państwa jego siedziby.</w:t>
      </w:r>
      <w:r w:rsidR="00F84A5D">
        <w:rPr>
          <w:rFonts w:ascii="Times New Roman" w:eastAsia="Times New Roman" w:hAnsi="Times New Roman" w:cs="Times New Roman"/>
          <w:bCs/>
          <w:sz w:val="24"/>
          <w:szCs w:val="24"/>
          <w:lang w:eastAsia="pl-PL"/>
        </w:rPr>
        <w:t xml:space="preserve"> </w:t>
      </w:r>
    </w:p>
    <w:p w14:paraId="5CEDC2CB" w14:textId="03BB85F2" w:rsidR="00ED2BA4" w:rsidRDefault="0023266E" w:rsidP="002E1278">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11</w:t>
      </w:r>
      <w:r w:rsidR="00ED2BA4" w:rsidRPr="00ED2BA4">
        <w:rPr>
          <w:rFonts w:ascii="Times New Roman" w:eastAsia="Times New Roman" w:hAnsi="Times New Roman" w:cs="Times New Roman"/>
          <w:b/>
          <w:bCs/>
          <w:sz w:val="24"/>
          <w:szCs w:val="24"/>
          <w:lang w:eastAsia="pl-PL"/>
        </w:rPr>
        <w:t xml:space="preserve"> ust. 5</w:t>
      </w:r>
      <w:r w:rsidR="00ED2BA4">
        <w:rPr>
          <w:rFonts w:ascii="Times New Roman" w:eastAsia="Times New Roman" w:hAnsi="Times New Roman" w:cs="Times New Roman"/>
          <w:bCs/>
          <w:sz w:val="24"/>
          <w:szCs w:val="24"/>
          <w:lang w:eastAsia="pl-PL"/>
        </w:rPr>
        <w:t xml:space="preserve"> precyzuje, że w przypadku przeniesienia praw i obowiązków wynikających z umów zawartych przez dostawcę usług finansowania społecznościowego na innego dostawcę, przepisy dotyczące przechowywania dokumentacji nie znajdą zastosowania.</w:t>
      </w:r>
    </w:p>
    <w:p w14:paraId="534065E5" w14:textId="5B6C1F19" w:rsidR="00E96455" w:rsidRPr="004E768F" w:rsidRDefault="00FC32D5" w:rsidP="00E96455">
      <w:pPr>
        <w:spacing w:before="120" w:after="120"/>
        <w:ind w:firstLine="510"/>
        <w:rPr>
          <w:rFonts w:ascii="Times New Roman" w:eastAsia="Times New Roman" w:hAnsi="Times New Roman" w:cs="Times New Roman"/>
          <w:bCs/>
          <w:sz w:val="24"/>
          <w:szCs w:val="24"/>
          <w:lang w:eastAsia="pl-PL"/>
        </w:rPr>
      </w:pPr>
      <w:r w:rsidRPr="00FC32D5">
        <w:rPr>
          <w:rFonts w:ascii="Times New Roman" w:eastAsia="Times New Roman" w:hAnsi="Times New Roman" w:cs="Times New Roman"/>
          <w:bCs/>
          <w:sz w:val="24"/>
          <w:szCs w:val="24"/>
          <w:lang w:eastAsia="pl-PL"/>
        </w:rPr>
        <w:t>Przepisy</w:t>
      </w:r>
      <w:r w:rsidRPr="00E96455">
        <w:rPr>
          <w:rFonts w:ascii="Times New Roman" w:eastAsia="Times New Roman" w:hAnsi="Times New Roman" w:cs="Times New Roman"/>
          <w:bCs/>
          <w:sz w:val="24"/>
          <w:szCs w:val="24"/>
          <w:lang w:eastAsia="pl-PL"/>
        </w:rPr>
        <w:t xml:space="preserve"> </w:t>
      </w:r>
      <w:r w:rsidR="00ED2BA4">
        <w:rPr>
          <w:rFonts w:ascii="Times New Roman" w:eastAsia="Times New Roman" w:hAnsi="Times New Roman" w:cs="Times New Roman"/>
          <w:bCs/>
          <w:sz w:val="24"/>
          <w:szCs w:val="24"/>
          <w:lang w:eastAsia="pl-PL"/>
        </w:rPr>
        <w:t>art. 12–28</w:t>
      </w:r>
      <w:r w:rsidRPr="00ED2BA4">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nakładają na </w:t>
      </w:r>
      <w:r w:rsidRPr="004E768F">
        <w:rPr>
          <w:rFonts w:ascii="Times New Roman" w:eastAsia="Times New Roman" w:hAnsi="Times New Roman" w:cs="Times New Roman"/>
          <w:bCs/>
          <w:sz w:val="24"/>
          <w:szCs w:val="24"/>
          <w:lang w:eastAsia="pl-PL"/>
        </w:rPr>
        <w:t xml:space="preserve">dostawców usług finansowania społecznościowego obowiązki </w:t>
      </w:r>
      <w:r>
        <w:rPr>
          <w:rFonts w:ascii="Times New Roman" w:eastAsia="Times New Roman" w:hAnsi="Times New Roman" w:cs="Times New Roman"/>
          <w:bCs/>
          <w:sz w:val="24"/>
          <w:szCs w:val="24"/>
          <w:lang w:eastAsia="pl-PL"/>
        </w:rPr>
        <w:t>związane z przekazywaniem Komisji określonych informacji</w:t>
      </w:r>
      <w:r w:rsidRPr="004E768F">
        <w:rPr>
          <w:rFonts w:ascii="Times New Roman" w:eastAsia="Times New Roman" w:hAnsi="Times New Roman" w:cs="Times New Roman"/>
          <w:bCs/>
          <w:sz w:val="24"/>
          <w:szCs w:val="24"/>
          <w:lang w:eastAsia="pl-PL"/>
        </w:rPr>
        <w:t xml:space="preserve"> i </w:t>
      </w:r>
      <w:r w:rsidR="00ED2BA4">
        <w:rPr>
          <w:rFonts w:ascii="Times New Roman" w:eastAsia="Times New Roman" w:hAnsi="Times New Roman" w:cs="Times New Roman"/>
          <w:bCs/>
          <w:sz w:val="24"/>
          <w:szCs w:val="24"/>
          <w:lang w:eastAsia="pl-PL"/>
        </w:rPr>
        <w:t xml:space="preserve">regulują </w:t>
      </w:r>
      <w:r w:rsidRPr="004E768F">
        <w:rPr>
          <w:rFonts w:ascii="Times New Roman" w:eastAsia="Times New Roman" w:hAnsi="Times New Roman" w:cs="Times New Roman"/>
          <w:bCs/>
          <w:sz w:val="24"/>
          <w:szCs w:val="24"/>
          <w:lang w:eastAsia="pl-PL"/>
        </w:rPr>
        <w:t>związane z tym uprawnienia nadzorcze Komisji</w:t>
      </w:r>
      <w:r>
        <w:rPr>
          <w:rFonts w:ascii="Times New Roman" w:eastAsia="Times New Roman" w:hAnsi="Times New Roman" w:cs="Times New Roman"/>
          <w:bCs/>
          <w:sz w:val="24"/>
          <w:szCs w:val="24"/>
          <w:lang w:eastAsia="pl-PL"/>
        </w:rPr>
        <w:t xml:space="preserve">, zgodnie z </w:t>
      </w:r>
      <w:r w:rsidRPr="004E768F">
        <w:rPr>
          <w:rFonts w:ascii="Times New Roman" w:eastAsia="Times New Roman" w:hAnsi="Times New Roman" w:cs="Times New Roman"/>
          <w:bCs/>
          <w:sz w:val="24"/>
          <w:szCs w:val="24"/>
          <w:lang w:eastAsia="pl-PL"/>
        </w:rPr>
        <w:t>art. 30 rozporządzenia 2020/1503.</w:t>
      </w:r>
    </w:p>
    <w:p w14:paraId="4C0E3CB3" w14:textId="77777777" w:rsidR="002E1278" w:rsidRDefault="00220E58" w:rsidP="002E1278">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xml:space="preserve">Na podstawie </w:t>
      </w:r>
      <w:r w:rsidRPr="00FC32D5">
        <w:rPr>
          <w:rFonts w:ascii="Times New Roman" w:eastAsia="Times New Roman" w:hAnsi="Times New Roman" w:cs="Times New Roman"/>
          <w:b/>
          <w:bCs/>
          <w:sz w:val="24"/>
          <w:szCs w:val="24"/>
          <w:lang w:eastAsia="pl-PL"/>
        </w:rPr>
        <w:t xml:space="preserve">art. </w:t>
      </w:r>
      <w:r w:rsidR="00ED2BA4">
        <w:rPr>
          <w:rFonts w:ascii="Times New Roman" w:eastAsia="Times New Roman" w:hAnsi="Times New Roman" w:cs="Times New Roman"/>
          <w:b/>
          <w:bCs/>
          <w:sz w:val="24"/>
          <w:szCs w:val="24"/>
          <w:lang w:eastAsia="pl-PL"/>
        </w:rPr>
        <w:t>12</w:t>
      </w:r>
      <w:r w:rsidRPr="00ED2BA4">
        <w:rPr>
          <w:rFonts w:ascii="Times New Roman" w:eastAsia="Times New Roman" w:hAnsi="Times New Roman" w:cs="Times New Roman"/>
          <w:b/>
          <w:bCs/>
          <w:sz w:val="24"/>
          <w:szCs w:val="24"/>
          <w:lang w:eastAsia="pl-PL"/>
        </w:rPr>
        <w:t xml:space="preserve"> ust. 1</w:t>
      </w:r>
      <w:r w:rsidRPr="004E768F">
        <w:rPr>
          <w:rFonts w:ascii="Times New Roman" w:eastAsia="Times New Roman" w:hAnsi="Times New Roman" w:cs="Times New Roman"/>
          <w:bCs/>
          <w:sz w:val="24"/>
          <w:szCs w:val="24"/>
          <w:lang w:eastAsia="pl-PL"/>
        </w:rPr>
        <w:t xml:space="preserve"> dostawca usług finansowania społecznościowego będzie przekazywać Komisji informacje dotyczące m.in. jego działalności i sytuacji finansowej. </w:t>
      </w:r>
      <w:r w:rsidR="00CE0ABA">
        <w:rPr>
          <w:rFonts w:ascii="Times New Roman" w:eastAsia="Times New Roman" w:hAnsi="Times New Roman" w:cs="Times New Roman"/>
          <w:bCs/>
          <w:sz w:val="24"/>
          <w:szCs w:val="24"/>
          <w:lang w:eastAsia="pl-PL"/>
        </w:rPr>
        <w:t xml:space="preserve">Przepis </w:t>
      </w:r>
      <w:r w:rsidRPr="004E768F">
        <w:rPr>
          <w:rFonts w:ascii="Times New Roman" w:eastAsia="Times New Roman" w:hAnsi="Times New Roman" w:cs="Times New Roman"/>
          <w:bCs/>
          <w:sz w:val="24"/>
          <w:szCs w:val="24"/>
          <w:lang w:eastAsia="pl-PL"/>
        </w:rPr>
        <w:t>art. 12 ust. 11 rozporządzenia 2020/1503 stanowi, że dostawca usług finansowania społecznościowego musi stale spełniać warunki udzielenia zezwolenia</w:t>
      </w:r>
      <w:r w:rsidR="00CE0ABA">
        <w:rPr>
          <w:rFonts w:ascii="Times New Roman" w:eastAsia="Times New Roman" w:hAnsi="Times New Roman" w:cs="Times New Roman"/>
          <w:bCs/>
          <w:sz w:val="24"/>
          <w:szCs w:val="24"/>
          <w:lang w:eastAsia="pl-PL"/>
        </w:rPr>
        <w:t xml:space="preserve">, co wiąże się z nakazem </w:t>
      </w:r>
      <w:r w:rsidRPr="004E768F">
        <w:rPr>
          <w:rFonts w:ascii="Times New Roman" w:eastAsia="Times New Roman" w:hAnsi="Times New Roman" w:cs="Times New Roman"/>
          <w:bCs/>
          <w:sz w:val="24"/>
          <w:szCs w:val="24"/>
          <w:lang w:eastAsia="pl-PL"/>
        </w:rPr>
        <w:t>niezwłoczne</w:t>
      </w:r>
      <w:r w:rsidR="00CE0ABA">
        <w:rPr>
          <w:rFonts w:ascii="Times New Roman" w:eastAsia="Times New Roman" w:hAnsi="Times New Roman" w:cs="Times New Roman"/>
          <w:bCs/>
          <w:sz w:val="24"/>
          <w:szCs w:val="24"/>
          <w:lang w:eastAsia="pl-PL"/>
        </w:rPr>
        <w:t xml:space="preserve">go </w:t>
      </w:r>
      <w:r w:rsidRPr="004E768F">
        <w:rPr>
          <w:rFonts w:ascii="Times New Roman" w:eastAsia="Times New Roman" w:hAnsi="Times New Roman" w:cs="Times New Roman"/>
          <w:bCs/>
          <w:sz w:val="24"/>
          <w:szCs w:val="24"/>
          <w:lang w:eastAsia="pl-PL"/>
        </w:rPr>
        <w:t xml:space="preserve">informowanie Komisji o zmianie </w:t>
      </w:r>
      <w:r w:rsidR="00486276">
        <w:rPr>
          <w:rFonts w:ascii="Times New Roman" w:eastAsia="Times New Roman" w:hAnsi="Times New Roman" w:cs="Times New Roman"/>
          <w:bCs/>
          <w:sz w:val="24"/>
          <w:szCs w:val="24"/>
          <w:lang w:eastAsia="pl-PL"/>
        </w:rPr>
        <w:t>zasad prowadzenia działalności.</w:t>
      </w:r>
      <w:r w:rsidR="00CE0ABA" w:rsidRPr="00CE0ABA">
        <w:rPr>
          <w:rFonts w:ascii="Times New Roman" w:eastAsia="Times New Roman" w:hAnsi="Times New Roman" w:cs="Times New Roman"/>
          <w:i/>
          <w:iCs/>
          <w:sz w:val="24"/>
          <w:szCs w:val="24"/>
          <w:lang w:eastAsia="pl-PL"/>
        </w:rPr>
        <w:t xml:space="preserve"> </w:t>
      </w:r>
      <w:r w:rsidR="00CE0ABA">
        <w:rPr>
          <w:rFonts w:ascii="Times New Roman" w:eastAsia="Times New Roman" w:hAnsi="Times New Roman" w:cs="Times New Roman"/>
          <w:iCs/>
          <w:sz w:val="24"/>
          <w:szCs w:val="24"/>
          <w:lang w:eastAsia="pl-PL"/>
        </w:rPr>
        <w:t>P</w:t>
      </w:r>
      <w:r w:rsidR="00CE0ABA" w:rsidRPr="00CE0ABA">
        <w:rPr>
          <w:rFonts w:ascii="Times New Roman" w:eastAsia="Times New Roman" w:hAnsi="Times New Roman" w:cs="Times New Roman"/>
          <w:sz w:val="24"/>
          <w:szCs w:val="24"/>
          <w:lang w:eastAsia="pl-PL"/>
        </w:rPr>
        <w:t>owyższe</w:t>
      </w:r>
      <w:r w:rsidR="00CE0ABA">
        <w:rPr>
          <w:rFonts w:ascii="Times New Roman" w:eastAsia="Times New Roman" w:hAnsi="Times New Roman" w:cs="Times New Roman"/>
          <w:sz w:val="24"/>
          <w:szCs w:val="24"/>
          <w:lang w:eastAsia="pl-PL"/>
        </w:rPr>
        <w:t xml:space="preserve"> rozwiązanie umożliwi Komisji </w:t>
      </w:r>
      <w:r w:rsidR="00CE0ABA" w:rsidRPr="00CE0ABA">
        <w:rPr>
          <w:rFonts w:ascii="Times New Roman" w:eastAsia="Times New Roman" w:hAnsi="Times New Roman" w:cs="Times New Roman"/>
          <w:sz w:val="24"/>
          <w:szCs w:val="24"/>
          <w:lang w:eastAsia="pl-PL"/>
        </w:rPr>
        <w:t>sprawowani</w:t>
      </w:r>
      <w:r w:rsidR="00CE0ABA">
        <w:rPr>
          <w:rFonts w:ascii="Times New Roman" w:eastAsia="Times New Roman" w:hAnsi="Times New Roman" w:cs="Times New Roman"/>
          <w:sz w:val="24"/>
          <w:szCs w:val="24"/>
          <w:lang w:eastAsia="pl-PL"/>
        </w:rPr>
        <w:t xml:space="preserve">e </w:t>
      </w:r>
      <w:r w:rsidR="00CE0ABA" w:rsidRPr="00CE0ABA">
        <w:rPr>
          <w:rFonts w:ascii="Times New Roman" w:eastAsia="Times New Roman" w:hAnsi="Times New Roman" w:cs="Times New Roman"/>
          <w:sz w:val="24"/>
          <w:szCs w:val="24"/>
          <w:lang w:eastAsia="pl-PL"/>
        </w:rPr>
        <w:t>bieżącego nadzoru nad działalnością</w:t>
      </w:r>
      <w:r w:rsidR="00CE0ABA">
        <w:rPr>
          <w:rFonts w:ascii="Times New Roman" w:eastAsia="Times New Roman" w:hAnsi="Times New Roman" w:cs="Times New Roman"/>
          <w:sz w:val="24"/>
          <w:szCs w:val="24"/>
          <w:lang w:eastAsia="pl-PL"/>
        </w:rPr>
        <w:t xml:space="preserve"> dostawców </w:t>
      </w:r>
      <w:r w:rsidR="009D5DBB">
        <w:rPr>
          <w:rFonts w:ascii="Times New Roman" w:eastAsia="Times New Roman" w:hAnsi="Times New Roman" w:cs="Times New Roman"/>
          <w:sz w:val="24"/>
          <w:szCs w:val="24"/>
          <w:lang w:eastAsia="pl-PL"/>
        </w:rPr>
        <w:t xml:space="preserve">i odpowiednie </w:t>
      </w:r>
      <w:r w:rsidR="00CE0ABA" w:rsidRPr="00CE0ABA">
        <w:rPr>
          <w:rFonts w:ascii="Times New Roman" w:eastAsia="Times New Roman" w:hAnsi="Times New Roman" w:cs="Times New Roman"/>
          <w:sz w:val="24"/>
          <w:szCs w:val="24"/>
          <w:lang w:eastAsia="pl-PL"/>
        </w:rPr>
        <w:t>wykorzystywa</w:t>
      </w:r>
      <w:r w:rsidR="009D5DBB">
        <w:rPr>
          <w:rFonts w:ascii="Times New Roman" w:eastAsia="Times New Roman" w:hAnsi="Times New Roman" w:cs="Times New Roman"/>
          <w:sz w:val="24"/>
          <w:szCs w:val="24"/>
          <w:lang w:eastAsia="pl-PL"/>
        </w:rPr>
        <w:t xml:space="preserve">nie </w:t>
      </w:r>
      <w:r w:rsidR="00CE0ABA" w:rsidRPr="00CE0ABA">
        <w:rPr>
          <w:rFonts w:ascii="Times New Roman" w:eastAsia="Times New Roman" w:hAnsi="Times New Roman" w:cs="Times New Roman"/>
          <w:sz w:val="24"/>
          <w:szCs w:val="24"/>
          <w:lang w:eastAsia="pl-PL"/>
        </w:rPr>
        <w:t>instrument</w:t>
      </w:r>
      <w:r w:rsidR="009D5DBB">
        <w:rPr>
          <w:rFonts w:ascii="Times New Roman" w:eastAsia="Times New Roman" w:hAnsi="Times New Roman" w:cs="Times New Roman"/>
          <w:sz w:val="24"/>
          <w:szCs w:val="24"/>
          <w:lang w:eastAsia="pl-PL"/>
        </w:rPr>
        <w:t xml:space="preserve">ów </w:t>
      </w:r>
      <w:r w:rsidR="00CE0ABA" w:rsidRPr="00CE0ABA">
        <w:rPr>
          <w:rFonts w:ascii="Times New Roman" w:eastAsia="Times New Roman" w:hAnsi="Times New Roman" w:cs="Times New Roman"/>
          <w:sz w:val="24"/>
          <w:szCs w:val="24"/>
          <w:lang w:eastAsia="pl-PL"/>
        </w:rPr>
        <w:t>nadzoru.</w:t>
      </w:r>
      <w:r w:rsidR="009D5DBB">
        <w:rPr>
          <w:rFonts w:ascii="Times New Roman" w:eastAsia="Times New Roman" w:hAnsi="Times New Roman" w:cs="Times New Roman"/>
          <w:sz w:val="24"/>
          <w:szCs w:val="24"/>
          <w:lang w:eastAsia="pl-PL"/>
        </w:rPr>
        <w:t xml:space="preserve"> </w:t>
      </w:r>
      <w:r w:rsidR="00CE0ABA">
        <w:rPr>
          <w:rFonts w:ascii="Times New Roman" w:eastAsia="Times New Roman" w:hAnsi="Times New Roman" w:cs="Times New Roman"/>
          <w:bCs/>
          <w:sz w:val="24"/>
          <w:szCs w:val="24"/>
          <w:lang w:eastAsia="pl-PL"/>
        </w:rPr>
        <w:t>A</w:t>
      </w:r>
      <w:r w:rsidRPr="004E768F">
        <w:rPr>
          <w:rFonts w:ascii="Times New Roman" w:eastAsia="Times New Roman" w:hAnsi="Times New Roman" w:cs="Times New Roman"/>
          <w:bCs/>
          <w:sz w:val="24"/>
          <w:szCs w:val="24"/>
          <w:lang w:eastAsia="pl-PL"/>
        </w:rPr>
        <w:t xml:space="preserve">nalogiczna </w:t>
      </w:r>
      <w:r w:rsidR="00CE0ABA">
        <w:rPr>
          <w:rFonts w:ascii="Times New Roman" w:eastAsia="Times New Roman" w:hAnsi="Times New Roman" w:cs="Times New Roman"/>
          <w:bCs/>
          <w:sz w:val="24"/>
          <w:szCs w:val="24"/>
          <w:lang w:eastAsia="pl-PL"/>
        </w:rPr>
        <w:t xml:space="preserve">regulacja jest zawarta w </w:t>
      </w:r>
      <w:r w:rsidRPr="004E768F">
        <w:rPr>
          <w:rFonts w:ascii="Times New Roman" w:eastAsia="Times New Roman" w:hAnsi="Times New Roman" w:cs="Times New Roman"/>
          <w:bCs/>
          <w:sz w:val="24"/>
          <w:szCs w:val="24"/>
          <w:lang w:eastAsia="pl-PL"/>
        </w:rPr>
        <w:t>art. 86 ust. 2 ustawy o obrocie instrumentami finansowymi, dotycząc</w:t>
      </w:r>
      <w:r w:rsidR="00CE0ABA">
        <w:rPr>
          <w:rFonts w:ascii="Times New Roman" w:eastAsia="Times New Roman" w:hAnsi="Times New Roman" w:cs="Times New Roman"/>
          <w:bCs/>
          <w:sz w:val="24"/>
          <w:szCs w:val="24"/>
          <w:lang w:eastAsia="pl-PL"/>
        </w:rPr>
        <w:t xml:space="preserve">ym </w:t>
      </w:r>
      <w:r w:rsidRPr="004E768F">
        <w:rPr>
          <w:rFonts w:ascii="Times New Roman" w:eastAsia="Times New Roman" w:hAnsi="Times New Roman" w:cs="Times New Roman"/>
          <w:bCs/>
          <w:sz w:val="24"/>
          <w:szCs w:val="24"/>
          <w:lang w:eastAsia="pl-PL"/>
        </w:rPr>
        <w:t>firm inwestycyjnych</w:t>
      </w:r>
      <w:r w:rsidR="00E96455">
        <w:rPr>
          <w:rFonts w:ascii="Times New Roman" w:eastAsia="Times New Roman" w:hAnsi="Times New Roman" w:cs="Times New Roman"/>
          <w:bCs/>
          <w:sz w:val="24"/>
          <w:szCs w:val="24"/>
          <w:lang w:eastAsia="pl-PL"/>
        </w:rPr>
        <w:t>.</w:t>
      </w:r>
      <w:r w:rsidR="00792D08">
        <w:rPr>
          <w:rFonts w:ascii="Times New Roman" w:eastAsia="Times New Roman" w:hAnsi="Times New Roman" w:cs="Times New Roman"/>
          <w:bCs/>
          <w:sz w:val="24"/>
          <w:szCs w:val="24"/>
          <w:lang w:eastAsia="pl-PL"/>
        </w:rPr>
        <w:t xml:space="preserve"> </w:t>
      </w:r>
    </w:p>
    <w:p w14:paraId="5C30B072" w14:textId="77777777" w:rsidR="002E1278" w:rsidRDefault="002E3F95" w:rsidP="002E1278">
      <w:pPr>
        <w:suppressAutoHyphens/>
        <w:autoSpaceDE w:val="0"/>
        <w:autoSpaceDN w:val="0"/>
        <w:adjustRightInd w:val="0"/>
        <w:ind w:firstLine="510"/>
        <w:rPr>
          <w:rFonts w:ascii="Times New Roman" w:eastAsia="Times New Roman" w:hAnsi="Times New Roman" w:cs="Times New Roman"/>
          <w:bCs/>
          <w:sz w:val="24"/>
          <w:szCs w:val="24"/>
          <w:lang w:eastAsia="pl-PL"/>
        </w:rPr>
      </w:pPr>
      <w:r w:rsidRPr="002E3F95">
        <w:rPr>
          <w:rFonts w:ascii="Times New Roman" w:eastAsia="Times New Roman" w:hAnsi="Times New Roman" w:cs="Times New Roman"/>
          <w:b/>
          <w:bCs/>
          <w:sz w:val="24"/>
          <w:szCs w:val="24"/>
          <w:lang w:eastAsia="pl-PL"/>
        </w:rPr>
        <w:t>Art. 12 ust. 2</w:t>
      </w:r>
      <w:r>
        <w:rPr>
          <w:rFonts w:ascii="Times New Roman" w:eastAsia="Times New Roman" w:hAnsi="Times New Roman" w:cs="Times New Roman"/>
          <w:bCs/>
          <w:sz w:val="24"/>
          <w:szCs w:val="24"/>
          <w:lang w:eastAsia="pl-PL"/>
        </w:rPr>
        <w:t xml:space="preserve"> precyzuje tryb przekazywania informacji przez dostawcę usług finansowania społecznościowego. Będzie się to odbywać za pomocą tzw. systemu ESPI, </w:t>
      </w:r>
      <w:r>
        <w:rPr>
          <w:rFonts w:ascii="Times New Roman" w:eastAsia="Times New Roman" w:hAnsi="Times New Roman" w:cs="Times New Roman"/>
          <w:bCs/>
          <w:sz w:val="24"/>
          <w:szCs w:val="24"/>
          <w:lang w:eastAsia="pl-PL"/>
        </w:rPr>
        <w:lastRenderedPageBreak/>
        <w:t xml:space="preserve">uregulowanego w przepisach wykonawczych wydanych na podstawie art. 55 ust. 1 ustawy </w:t>
      </w:r>
      <w:r w:rsidRPr="004E768F">
        <w:rPr>
          <w:rFonts w:ascii="Times New Roman" w:eastAsia="Times New Roman" w:hAnsi="Times New Roman" w:cs="Times New Roman"/>
          <w:bCs/>
          <w:sz w:val="24"/>
          <w:szCs w:val="24"/>
          <w:lang w:eastAsia="pl-PL"/>
        </w:rPr>
        <w:t xml:space="preserve">z dnia 29 lipca 2005 r. </w:t>
      </w:r>
      <w:r>
        <w:rPr>
          <w:rFonts w:ascii="Times New Roman" w:eastAsia="Times New Roman" w:hAnsi="Times New Roman" w:cs="Times New Roman"/>
          <w:bCs/>
          <w:sz w:val="24"/>
          <w:szCs w:val="24"/>
          <w:lang w:eastAsia="pl-PL"/>
        </w:rPr>
        <w:t xml:space="preserve">o nadzorze nad rynkiem kapitałowym. </w:t>
      </w:r>
    </w:p>
    <w:p w14:paraId="2D2E5234" w14:textId="7819A2E3" w:rsidR="002E1278" w:rsidRPr="004E768F" w:rsidRDefault="00ED2BA4" w:rsidP="002E1278">
      <w:pPr>
        <w:suppressAutoHyphens/>
        <w:autoSpaceDE w:val="0"/>
        <w:autoSpaceDN w:val="0"/>
        <w:adjustRightInd w:val="0"/>
        <w:spacing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12</w:t>
      </w:r>
      <w:r w:rsidR="002E3F95">
        <w:rPr>
          <w:rFonts w:ascii="Times New Roman" w:eastAsia="Times New Roman" w:hAnsi="Times New Roman" w:cs="Times New Roman"/>
          <w:b/>
          <w:bCs/>
          <w:sz w:val="24"/>
          <w:szCs w:val="24"/>
          <w:lang w:eastAsia="pl-PL"/>
        </w:rPr>
        <w:t xml:space="preserve"> ust. 3</w:t>
      </w:r>
      <w:r w:rsidR="00486276">
        <w:rPr>
          <w:rFonts w:ascii="Times New Roman" w:eastAsia="Times New Roman" w:hAnsi="Times New Roman" w:cs="Times New Roman"/>
          <w:bCs/>
          <w:sz w:val="24"/>
          <w:szCs w:val="24"/>
          <w:lang w:eastAsia="pl-PL"/>
        </w:rPr>
        <w:t xml:space="preserve"> </w:t>
      </w:r>
      <w:r w:rsidR="00220E58" w:rsidRPr="004E768F">
        <w:rPr>
          <w:rFonts w:ascii="Times New Roman" w:eastAsia="Times New Roman" w:hAnsi="Times New Roman" w:cs="Times New Roman"/>
          <w:bCs/>
          <w:sz w:val="24"/>
          <w:szCs w:val="24"/>
          <w:lang w:eastAsia="pl-PL"/>
        </w:rPr>
        <w:t>upoważni</w:t>
      </w:r>
      <w:r w:rsidR="00CE0ABA">
        <w:rPr>
          <w:rFonts w:ascii="Times New Roman" w:eastAsia="Times New Roman" w:hAnsi="Times New Roman" w:cs="Times New Roman"/>
          <w:bCs/>
          <w:sz w:val="24"/>
          <w:szCs w:val="24"/>
          <w:lang w:eastAsia="pl-PL"/>
        </w:rPr>
        <w:t>a</w:t>
      </w:r>
      <w:r w:rsidR="00486276">
        <w:rPr>
          <w:rFonts w:ascii="Times New Roman" w:eastAsia="Times New Roman" w:hAnsi="Times New Roman" w:cs="Times New Roman"/>
          <w:bCs/>
          <w:sz w:val="24"/>
          <w:szCs w:val="24"/>
          <w:lang w:eastAsia="pl-PL"/>
        </w:rPr>
        <w:t xml:space="preserve"> </w:t>
      </w:r>
      <w:r w:rsidR="00220E58" w:rsidRPr="004E768F">
        <w:rPr>
          <w:rFonts w:ascii="Times New Roman" w:eastAsia="Times New Roman" w:hAnsi="Times New Roman" w:cs="Times New Roman"/>
          <w:bCs/>
          <w:sz w:val="24"/>
          <w:szCs w:val="24"/>
          <w:lang w:eastAsia="pl-PL"/>
        </w:rPr>
        <w:t>ministra właściwego do spraw instytucji finansowych do określenia, w drodze rozporządzenia, szczegółowego zakresu oraz terminów przekazywania informacji</w:t>
      </w:r>
      <w:r w:rsidR="00CE0ABA">
        <w:rPr>
          <w:rFonts w:ascii="Times New Roman" w:eastAsia="Times New Roman" w:hAnsi="Times New Roman" w:cs="Times New Roman"/>
          <w:bCs/>
          <w:sz w:val="24"/>
          <w:szCs w:val="24"/>
          <w:lang w:eastAsia="pl-PL"/>
        </w:rPr>
        <w:t xml:space="preserve"> określonych </w:t>
      </w:r>
      <w:r w:rsidR="00220E58" w:rsidRPr="004E768F">
        <w:rPr>
          <w:rFonts w:ascii="Times New Roman" w:eastAsia="Times New Roman" w:hAnsi="Times New Roman" w:cs="Times New Roman"/>
          <w:bCs/>
          <w:sz w:val="24"/>
          <w:szCs w:val="24"/>
          <w:lang w:eastAsia="pl-PL"/>
        </w:rPr>
        <w:t>w ust. 1</w:t>
      </w:r>
      <w:r w:rsidR="002E1278">
        <w:rPr>
          <w:rFonts w:ascii="Times New Roman" w:eastAsia="Times New Roman" w:hAnsi="Times New Roman" w:cs="Times New Roman"/>
          <w:bCs/>
          <w:sz w:val="24"/>
          <w:szCs w:val="24"/>
          <w:lang w:eastAsia="pl-PL"/>
        </w:rPr>
        <w:t xml:space="preserve">. </w:t>
      </w:r>
    </w:p>
    <w:p w14:paraId="0B9A66C7" w14:textId="332D125E" w:rsidR="002E1278" w:rsidRDefault="002E3F95" w:rsidP="002E1278">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13</w:t>
      </w:r>
      <w:r w:rsidR="00220E58" w:rsidRPr="00922D36">
        <w:rPr>
          <w:rFonts w:ascii="Times New Roman" w:eastAsia="Times New Roman" w:hAnsi="Times New Roman" w:cs="Times New Roman"/>
          <w:b/>
          <w:bCs/>
          <w:sz w:val="24"/>
          <w:szCs w:val="24"/>
          <w:lang w:eastAsia="pl-PL"/>
        </w:rPr>
        <w:t xml:space="preserve"> ust. 1</w:t>
      </w:r>
      <w:r w:rsidR="00220E58" w:rsidRPr="004E768F">
        <w:rPr>
          <w:rFonts w:ascii="Times New Roman" w:eastAsia="Times New Roman" w:hAnsi="Times New Roman" w:cs="Times New Roman"/>
          <w:bCs/>
          <w:sz w:val="24"/>
          <w:szCs w:val="24"/>
          <w:lang w:eastAsia="pl-PL"/>
        </w:rPr>
        <w:t xml:space="preserve"> zobowiązuje dostawcę usług finansowania społecznościowego świadczącego usługę ułatwiania udzielania pożyczek do informowania Komisji</w:t>
      </w:r>
      <w:r w:rsidR="009D5DBB">
        <w:rPr>
          <w:rFonts w:ascii="Times New Roman" w:eastAsia="Times New Roman" w:hAnsi="Times New Roman" w:cs="Times New Roman"/>
          <w:bCs/>
          <w:sz w:val="24"/>
          <w:szCs w:val="24"/>
          <w:lang w:eastAsia="pl-PL"/>
        </w:rPr>
        <w:t xml:space="preserve">, </w:t>
      </w:r>
      <w:r w:rsidR="00220E58" w:rsidRPr="004E768F">
        <w:rPr>
          <w:rFonts w:ascii="Times New Roman" w:eastAsia="Times New Roman" w:hAnsi="Times New Roman" w:cs="Times New Roman"/>
          <w:bCs/>
          <w:sz w:val="24"/>
          <w:szCs w:val="24"/>
          <w:lang w:eastAsia="pl-PL"/>
        </w:rPr>
        <w:t>z wyprzedzeniem</w:t>
      </w:r>
      <w:r w:rsidR="009D5DBB">
        <w:rPr>
          <w:rFonts w:ascii="Times New Roman" w:eastAsia="Times New Roman" w:hAnsi="Times New Roman" w:cs="Times New Roman"/>
          <w:bCs/>
          <w:sz w:val="24"/>
          <w:szCs w:val="24"/>
          <w:lang w:eastAsia="pl-PL"/>
        </w:rPr>
        <w:t xml:space="preserve">, </w:t>
      </w:r>
      <w:r w:rsidR="00220E58" w:rsidRPr="004E768F">
        <w:rPr>
          <w:rFonts w:ascii="Times New Roman" w:eastAsia="Times New Roman" w:hAnsi="Times New Roman" w:cs="Times New Roman"/>
          <w:bCs/>
          <w:sz w:val="24"/>
          <w:szCs w:val="24"/>
          <w:lang w:eastAsia="pl-PL"/>
        </w:rPr>
        <w:t xml:space="preserve">o zamiarze rozpoczęcia świadczenia usługi indywidualnego zarządzania portfelem pożyczek. </w:t>
      </w:r>
      <w:r w:rsidR="009D5DBB">
        <w:rPr>
          <w:rFonts w:ascii="Times New Roman" w:eastAsia="Times New Roman" w:hAnsi="Times New Roman" w:cs="Times New Roman"/>
          <w:bCs/>
          <w:sz w:val="24"/>
          <w:szCs w:val="24"/>
          <w:lang w:eastAsia="pl-PL"/>
        </w:rPr>
        <w:t>Z</w:t>
      </w:r>
      <w:r w:rsidR="00220E58" w:rsidRPr="004E768F">
        <w:rPr>
          <w:rFonts w:ascii="Times New Roman" w:eastAsia="Times New Roman" w:hAnsi="Times New Roman" w:cs="Times New Roman"/>
          <w:bCs/>
          <w:sz w:val="24"/>
          <w:szCs w:val="24"/>
          <w:lang w:eastAsia="pl-PL"/>
        </w:rPr>
        <w:t>apewni</w:t>
      </w:r>
      <w:r w:rsidR="009D5DBB">
        <w:rPr>
          <w:rFonts w:ascii="Times New Roman" w:eastAsia="Times New Roman" w:hAnsi="Times New Roman" w:cs="Times New Roman"/>
          <w:bCs/>
          <w:sz w:val="24"/>
          <w:szCs w:val="24"/>
          <w:lang w:eastAsia="pl-PL"/>
        </w:rPr>
        <w:t xml:space="preserve"> to </w:t>
      </w:r>
      <w:r w:rsidR="00220E58" w:rsidRPr="004E768F">
        <w:rPr>
          <w:rFonts w:ascii="Times New Roman" w:eastAsia="Times New Roman" w:hAnsi="Times New Roman" w:cs="Times New Roman"/>
          <w:bCs/>
          <w:sz w:val="24"/>
          <w:szCs w:val="24"/>
          <w:lang w:eastAsia="pl-PL"/>
        </w:rPr>
        <w:t>Komisji pełną informację co do zakresu usług świadczonych prz</w:t>
      </w:r>
      <w:r w:rsidR="00486276">
        <w:rPr>
          <w:rFonts w:ascii="Times New Roman" w:eastAsia="Times New Roman" w:hAnsi="Times New Roman" w:cs="Times New Roman"/>
          <w:bCs/>
          <w:sz w:val="24"/>
          <w:szCs w:val="24"/>
          <w:lang w:eastAsia="pl-PL"/>
        </w:rPr>
        <w:t>e</w:t>
      </w:r>
      <w:r w:rsidR="00220E58" w:rsidRPr="004E768F">
        <w:rPr>
          <w:rFonts w:ascii="Times New Roman" w:eastAsia="Times New Roman" w:hAnsi="Times New Roman" w:cs="Times New Roman"/>
          <w:bCs/>
          <w:sz w:val="24"/>
          <w:szCs w:val="24"/>
          <w:lang w:eastAsia="pl-PL"/>
        </w:rPr>
        <w:t>z danego dostawcę</w:t>
      </w:r>
      <w:r w:rsidR="00AC703D">
        <w:rPr>
          <w:rFonts w:ascii="Times New Roman" w:eastAsia="Times New Roman" w:hAnsi="Times New Roman" w:cs="Times New Roman"/>
          <w:bCs/>
          <w:sz w:val="24"/>
          <w:szCs w:val="24"/>
          <w:lang w:eastAsia="pl-PL"/>
        </w:rPr>
        <w:t>.</w:t>
      </w:r>
      <w:r w:rsidR="00220E58" w:rsidRPr="004E768F">
        <w:rPr>
          <w:rFonts w:ascii="Times New Roman" w:eastAsia="Times New Roman" w:hAnsi="Times New Roman" w:cs="Times New Roman"/>
          <w:bCs/>
          <w:sz w:val="24"/>
          <w:szCs w:val="24"/>
          <w:lang w:eastAsia="pl-PL"/>
        </w:rPr>
        <w:t xml:space="preserve"> </w:t>
      </w:r>
      <w:r w:rsidR="009D5DBB">
        <w:rPr>
          <w:rFonts w:ascii="Times New Roman" w:eastAsia="Times New Roman" w:hAnsi="Times New Roman" w:cs="Times New Roman"/>
          <w:bCs/>
          <w:sz w:val="24"/>
          <w:szCs w:val="24"/>
          <w:lang w:eastAsia="pl-PL"/>
        </w:rPr>
        <w:t>Z</w:t>
      </w:r>
      <w:r w:rsidR="00220E58" w:rsidRPr="004E768F">
        <w:rPr>
          <w:rFonts w:ascii="Times New Roman" w:eastAsia="Times New Roman" w:hAnsi="Times New Roman" w:cs="Times New Roman"/>
          <w:bCs/>
          <w:sz w:val="24"/>
          <w:szCs w:val="24"/>
          <w:lang w:eastAsia="pl-PL"/>
        </w:rPr>
        <w:t xml:space="preserve">godnie </w:t>
      </w:r>
      <w:r w:rsidR="009D5DBB">
        <w:rPr>
          <w:rFonts w:ascii="Times New Roman" w:eastAsia="Times New Roman" w:hAnsi="Times New Roman" w:cs="Times New Roman"/>
          <w:bCs/>
          <w:sz w:val="24"/>
          <w:szCs w:val="24"/>
          <w:lang w:eastAsia="pl-PL"/>
        </w:rPr>
        <w:t xml:space="preserve">bowiem </w:t>
      </w:r>
      <w:r w:rsidR="00220E58" w:rsidRPr="004E768F">
        <w:rPr>
          <w:rFonts w:ascii="Times New Roman" w:eastAsia="Times New Roman" w:hAnsi="Times New Roman" w:cs="Times New Roman"/>
          <w:bCs/>
          <w:sz w:val="24"/>
          <w:szCs w:val="24"/>
          <w:lang w:eastAsia="pl-PL"/>
        </w:rPr>
        <w:t>z art. 12 ust. 2 lit. d rozporządzenia 2020/1503 dostawca usług finansowania społecznościowego we wniosku o udzielenie zezwolenia na prowadzenie działalności określa rodzaj usług finansowania społecznościowego, które zamierza świadczyć. Art. 2 ust. 1 lit. a rozporządzenia 2020/1503 wyróżnia natomiast dwa rodzaje usług finansowania społecznościowego: ułatwianie udzielania pożyczek i subemisję bez gwarancji przejęcia emisji oraz przyjmowanie i przekazywanie zleceń klientów. Świadczenie usług indywidualnego zarządzania portfelem pożyczek nie jest zatem odrębnym rodzajem działalności, ale usługą związaną z ułatwianiem udzielania pożyczek.</w:t>
      </w:r>
      <w:r w:rsidR="00220E58" w:rsidRPr="00FC32D5">
        <w:rPr>
          <w:rFonts w:ascii="Times New Roman" w:eastAsia="Times New Roman" w:hAnsi="Times New Roman" w:cs="Times New Roman"/>
          <w:bCs/>
          <w:sz w:val="24"/>
          <w:szCs w:val="24"/>
          <w:lang w:eastAsia="pl-PL"/>
        </w:rPr>
        <w:t xml:space="preserve"> Istnieje</w:t>
      </w:r>
      <w:r w:rsidR="00220E58" w:rsidRPr="004E768F">
        <w:rPr>
          <w:rFonts w:ascii="Times New Roman" w:eastAsia="Times New Roman" w:hAnsi="Times New Roman" w:cs="Times New Roman"/>
          <w:bCs/>
          <w:sz w:val="24"/>
          <w:szCs w:val="24"/>
          <w:lang w:eastAsia="pl-PL"/>
        </w:rPr>
        <w:t xml:space="preserve"> zatem możliwość, że dostawca usług finansowania społecznościowego, który składa do Komisji wniosek o udzielenie zezwolenia na prowadzenie działalności polegającej na ułatwianiu udzielania pożyczek</w:t>
      </w:r>
      <w:r w:rsidR="009D5DBB">
        <w:rPr>
          <w:rFonts w:ascii="Times New Roman" w:eastAsia="Times New Roman" w:hAnsi="Times New Roman" w:cs="Times New Roman"/>
          <w:bCs/>
          <w:sz w:val="24"/>
          <w:szCs w:val="24"/>
          <w:lang w:eastAsia="pl-PL"/>
        </w:rPr>
        <w:t>,</w:t>
      </w:r>
      <w:r w:rsidR="00220E58" w:rsidRPr="004E768F">
        <w:rPr>
          <w:rFonts w:ascii="Times New Roman" w:eastAsia="Times New Roman" w:hAnsi="Times New Roman" w:cs="Times New Roman"/>
          <w:bCs/>
          <w:sz w:val="24"/>
          <w:szCs w:val="24"/>
          <w:lang w:eastAsia="pl-PL"/>
        </w:rPr>
        <w:t xml:space="preserve"> w momencie składania tego wniosku nie będzie planował uruchomienia usługi indywidualnego zarządzania portfelem pożyczek, ale w trakcie wykonywania tej działalności zdecyduje się na rozszerzenie swoich usług w tym zakresie. </w:t>
      </w:r>
      <w:r w:rsidR="00486276">
        <w:rPr>
          <w:rFonts w:ascii="Times New Roman" w:eastAsia="Times New Roman" w:hAnsi="Times New Roman" w:cs="Times New Roman"/>
          <w:bCs/>
          <w:sz w:val="24"/>
          <w:szCs w:val="24"/>
          <w:lang w:eastAsia="pl-PL"/>
        </w:rPr>
        <w:t>N</w:t>
      </w:r>
      <w:r w:rsidR="009D5DBB">
        <w:rPr>
          <w:rFonts w:ascii="Times New Roman" w:eastAsia="Times New Roman" w:hAnsi="Times New Roman" w:cs="Times New Roman"/>
          <w:bCs/>
          <w:sz w:val="24"/>
          <w:szCs w:val="24"/>
          <w:lang w:eastAsia="pl-PL"/>
        </w:rPr>
        <w:t xml:space="preserve">ałożenie obowiązku informacyjnego w tym zakresie jest zatem </w:t>
      </w:r>
      <w:r w:rsidR="00486276">
        <w:rPr>
          <w:rFonts w:ascii="Times New Roman" w:eastAsia="Times New Roman" w:hAnsi="Times New Roman" w:cs="Times New Roman"/>
          <w:bCs/>
          <w:sz w:val="24"/>
          <w:szCs w:val="24"/>
          <w:lang w:eastAsia="pl-PL"/>
        </w:rPr>
        <w:t>niezbędne</w:t>
      </w:r>
      <w:r w:rsidR="00220E58" w:rsidRPr="004E768F">
        <w:rPr>
          <w:rFonts w:ascii="Times New Roman" w:eastAsia="Times New Roman" w:hAnsi="Times New Roman" w:cs="Times New Roman"/>
          <w:bCs/>
          <w:sz w:val="24"/>
          <w:szCs w:val="24"/>
          <w:lang w:eastAsia="pl-PL"/>
        </w:rPr>
        <w:t>, zwłaszcza że rozpoczęcie świadczenia usługi indywidualnego zarządzania portfelem pożyczek wiąże się z dodatkowymi wymaganiami związanymi przede wszystkim z zapewnieniem bezpieczeństwa inwestorów.</w:t>
      </w:r>
      <w:r w:rsidR="00FC32D5">
        <w:rPr>
          <w:rFonts w:ascii="Times New Roman" w:eastAsia="Times New Roman" w:hAnsi="Times New Roman" w:cs="Times New Roman"/>
          <w:bCs/>
          <w:sz w:val="24"/>
          <w:szCs w:val="24"/>
          <w:lang w:eastAsia="pl-PL"/>
        </w:rPr>
        <w:t xml:space="preserve"> </w:t>
      </w:r>
    </w:p>
    <w:p w14:paraId="6BCACE3C" w14:textId="3D65A42E" w:rsidR="00FC32D5" w:rsidRPr="004E768F" w:rsidRDefault="002E3F95" w:rsidP="002E1278">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13</w:t>
      </w:r>
      <w:r w:rsidR="00220E58" w:rsidRPr="00E96455">
        <w:rPr>
          <w:rFonts w:ascii="Times New Roman" w:eastAsia="Times New Roman" w:hAnsi="Times New Roman" w:cs="Times New Roman"/>
          <w:b/>
          <w:bCs/>
          <w:sz w:val="24"/>
          <w:szCs w:val="24"/>
          <w:lang w:eastAsia="pl-PL"/>
        </w:rPr>
        <w:t xml:space="preserve"> ust. 2</w:t>
      </w:r>
      <w:r w:rsidR="00220E58" w:rsidRPr="00FC32D5">
        <w:rPr>
          <w:rFonts w:ascii="Times New Roman" w:eastAsia="Times New Roman" w:hAnsi="Times New Roman" w:cs="Times New Roman"/>
          <w:bCs/>
          <w:sz w:val="24"/>
          <w:szCs w:val="24"/>
          <w:lang w:eastAsia="pl-PL"/>
        </w:rPr>
        <w:t xml:space="preserve"> </w:t>
      </w:r>
      <w:r w:rsidR="00220E58" w:rsidRPr="004E768F">
        <w:rPr>
          <w:rFonts w:ascii="Times New Roman" w:eastAsia="Times New Roman" w:hAnsi="Times New Roman" w:cs="Times New Roman"/>
          <w:bCs/>
          <w:sz w:val="24"/>
          <w:szCs w:val="24"/>
          <w:lang w:eastAsia="pl-PL"/>
        </w:rPr>
        <w:t>nakłada na dostawcę usług finansowania społecznościowego, który zamierza rozpocząć świadczenie usług indywidualnego zarządzania portfelem pożyczek, obowiązek dołączenia do informacji, o której mowa w ust. 1, określonych dokumentów i informacji. Jest to związane z dodatkowymi wymaganiami, które rozporządzenie 2020/1503 nakłada w związku z prowadzeniem takiej działalności – przede wszystkim z koniecznością opracowania dodatkowych procedur wewnętrznych mających na celu zabez</w:t>
      </w:r>
      <w:r w:rsidR="00486276">
        <w:rPr>
          <w:rFonts w:ascii="Times New Roman" w:eastAsia="Times New Roman" w:hAnsi="Times New Roman" w:cs="Times New Roman"/>
          <w:bCs/>
          <w:sz w:val="24"/>
          <w:szCs w:val="24"/>
          <w:lang w:eastAsia="pl-PL"/>
        </w:rPr>
        <w:t>pieczenie interesów inwestorów.</w:t>
      </w:r>
    </w:p>
    <w:p w14:paraId="77E5999A" w14:textId="77777777" w:rsidR="002E1278" w:rsidRDefault="00220E58" w:rsidP="002E1278">
      <w:pPr>
        <w:suppressAutoHyphens/>
        <w:autoSpaceDE w:val="0"/>
        <w:autoSpaceDN w:val="0"/>
        <w:adjustRightInd w:val="0"/>
        <w:ind w:firstLine="510"/>
        <w:rPr>
          <w:rFonts w:ascii="Times New Roman" w:eastAsia="Times New Roman" w:hAnsi="Times New Roman" w:cs="Times New Roman"/>
          <w:bCs/>
          <w:sz w:val="24"/>
          <w:szCs w:val="24"/>
          <w:lang w:eastAsia="pl-PL"/>
        </w:rPr>
      </w:pPr>
      <w:r w:rsidRPr="00FC32D5">
        <w:rPr>
          <w:rFonts w:ascii="Times New Roman" w:eastAsia="Times New Roman" w:hAnsi="Times New Roman" w:cs="Times New Roman"/>
          <w:b/>
          <w:bCs/>
          <w:sz w:val="24"/>
          <w:szCs w:val="24"/>
          <w:lang w:eastAsia="pl-PL"/>
        </w:rPr>
        <w:t xml:space="preserve">Art. </w:t>
      </w:r>
      <w:r w:rsidR="002E3F95">
        <w:rPr>
          <w:rFonts w:ascii="Times New Roman" w:eastAsia="Times New Roman" w:hAnsi="Times New Roman" w:cs="Times New Roman"/>
          <w:b/>
          <w:bCs/>
          <w:sz w:val="24"/>
          <w:szCs w:val="24"/>
          <w:lang w:eastAsia="pl-PL"/>
        </w:rPr>
        <w:t>14</w:t>
      </w:r>
      <w:r w:rsidRPr="00922D36">
        <w:rPr>
          <w:rFonts w:ascii="Times New Roman" w:eastAsia="Times New Roman" w:hAnsi="Times New Roman" w:cs="Times New Roman"/>
          <w:b/>
          <w:bCs/>
          <w:sz w:val="24"/>
          <w:szCs w:val="24"/>
          <w:lang w:eastAsia="pl-PL"/>
        </w:rPr>
        <w:t xml:space="preserve"> ust. 1</w:t>
      </w:r>
      <w:r w:rsidRPr="004E768F">
        <w:rPr>
          <w:rFonts w:ascii="Times New Roman" w:eastAsia="Times New Roman" w:hAnsi="Times New Roman" w:cs="Times New Roman"/>
          <w:bCs/>
          <w:sz w:val="24"/>
          <w:szCs w:val="24"/>
          <w:lang w:eastAsia="pl-PL"/>
        </w:rPr>
        <w:t xml:space="preserve"> </w:t>
      </w:r>
      <w:r w:rsidR="009D5DBB">
        <w:rPr>
          <w:rFonts w:ascii="Times New Roman" w:eastAsia="Times New Roman" w:hAnsi="Times New Roman" w:cs="Times New Roman"/>
          <w:bCs/>
          <w:sz w:val="24"/>
          <w:szCs w:val="24"/>
          <w:lang w:eastAsia="pl-PL"/>
        </w:rPr>
        <w:t xml:space="preserve">określa </w:t>
      </w:r>
      <w:r w:rsidRPr="004E768F">
        <w:rPr>
          <w:rFonts w:ascii="Times New Roman" w:eastAsia="Times New Roman" w:hAnsi="Times New Roman" w:cs="Times New Roman"/>
          <w:bCs/>
          <w:sz w:val="24"/>
          <w:szCs w:val="24"/>
          <w:lang w:eastAsia="pl-PL"/>
        </w:rPr>
        <w:t>obowiązek przekazywania Komisji</w:t>
      </w:r>
      <w:r w:rsidR="009D5DBB">
        <w:rPr>
          <w:rFonts w:ascii="Times New Roman" w:eastAsia="Times New Roman" w:hAnsi="Times New Roman" w:cs="Times New Roman"/>
          <w:bCs/>
          <w:sz w:val="24"/>
          <w:szCs w:val="24"/>
          <w:lang w:eastAsia="pl-PL"/>
        </w:rPr>
        <w:t xml:space="preserve">, </w:t>
      </w:r>
      <w:r w:rsidRPr="004E768F">
        <w:rPr>
          <w:rFonts w:ascii="Times New Roman" w:eastAsia="Times New Roman" w:hAnsi="Times New Roman" w:cs="Times New Roman"/>
          <w:bCs/>
          <w:sz w:val="24"/>
          <w:szCs w:val="24"/>
          <w:lang w:eastAsia="pl-PL"/>
        </w:rPr>
        <w:t>z 7-dniowym wyprzedzeniem</w:t>
      </w:r>
      <w:r w:rsidR="009D5DBB">
        <w:rPr>
          <w:rFonts w:ascii="Times New Roman" w:eastAsia="Times New Roman" w:hAnsi="Times New Roman" w:cs="Times New Roman"/>
          <w:bCs/>
          <w:sz w:val="24"/>
          <w:szCs w:val="24"/>
          <w:lang w:eastAsia="pl-PL"/>
        </w:rPr>
        <w:t xml:space="preserve">, </w:t>
      </w:r>
      <w:r w:rsidRPr="004E768F">
        <w:rPr>
          <w:rFonts w:ascii="Times New Roman" w:eastAsia="Times New Roman" w:hAnsi="Times New Roman" w:cs="Times New Roman"/>
          <w:bCs/>
          <w:sz w:val="24"/>
          <w:szCs w:val="24"/>
          <w:lang w:eastAsia="pl-PL"/>
        </w:rPr>
        <w:t xml:space="preserve">arkusza kluczowych informacji inwestycyjnych sporządzanego przez właściciela projektu w związku z ofertą finansowania społecznościowego. Jest to wykonanie tzw. opcji krajowej, przewidzianej w art. 23 ust. 14 rozporządzenia 2020/1503. </w:t>
      </w:r>
      <w:r w:rsidR="009D5DBB">
        <w:rPr>
          <w:rFonts w:ascii="Times New Roman" w:eastAsia="Times New Roman" w:hAnsi="Times New Roman" w:cs="Times New Roman"/>
          <w:bCs/>
          <w:sz w:val="24"/>
          <w:szCs w:val="24"/>
          <w:lang w:eastAsia="pl-PL"/>
        </w:rPr>
        <w:t>A</w:t>
      </w:r>
      <w:r w:rsidRPr="004E768F">
        <w:rPr>
          <w:rFonts w:ascii="Times New Roman" w:eastAsia="Times New Roman" w:hAnsi="Times New Roman" w:cs="Times New Roman"/>
          <w:bCs/>
          <w:sz w:val="24"/>
          <w:szCs w:val="24"/>
          <w:lang w:eastAsia="pl-PL"/>
        </w:rPr>
        <w:t xml:space="preserve">rkusz kluczowych informacji inwestycyjnych nie podlega zatwierdzeniu przez Komisję. Wprowadzenie obowiązku przekazania arkusza pozwoli jednak Komisji sprawdzić, czy zawiera wszystkie wymagane informacje, a także pozwoli </w:t>
      </w:r>
      <w:r w:rsidR="009D5DBB">
        <w:rPr>
          <w:rFonts w:ascii="Times New Roman" w:eastAsia="Times New Roman" w:hAnsi="Times New Roman" w:cs="Times New Roman"/>
          <w:bCs/>
          <w:sz w:val="24"/>
          <w:szCs w:val="24"/>
          <w:lang w:eastAsia="pl-PL"/>
        </w:rPr>
        <w:t xml:space="preserve">Komisji </w:t>
      </w:r>
      <w:r w:rsidRPr="004E768F">
        <w:rPr>
          <w:rFonts w:ascii="Times New Roman" w:eastAsia="Times New Roman" w:hAnsi="Times New Roman" w:cs="Times New Roman"/>
          <w:bCs/>
          <w:sz w:val="24"/>
          <w:szCs w:val="24"/>
          <w:lang w:eastAsia="pl-PL"/>
        </w:rPr>
        <w:t xml:space="preserve">na pozyskanie informacji o ofertach finansowania społecznościowego i ich parametrach jeszcze przed ich rozpoczęciem. W przypadku </w:t>
      </w:r>
      <w:r w:rsidR="00166DD4">
        <w:rPr>
          <w:rFonts w:ascii="Times New Roman" w:eastAsia="Times New Roman" w:hAnsi="Times New Roman" w:cs="Times New Roman"/>
          <w:bCs/>
          <w:sz w:val="24"/>
          <w:szCs w:val="24"/>
          <w:lang w:eastAsia="pl-PL"/>
        </w:rPr>
        <w:t>wątpliwości</w:t>
      </w:r>
      <w:r w:rsidRPr="004E768F">
        <w:rPr>
          <w:rFonts w:ascii="Times New Roman" w:eastAsia="Times New Roman" w:hAnsi="Times New Roman" w:cs="Times New Roman"/>
          <w:bCs/>
          <w:sz w:val="24"/>
          <w:szCs w:val="24"/>
          <w:lang w:eastAsia="pl-PL"/>
        </w:rPr>
        <w:t xml:space="preserve"> Komisja będzie mogła skorzystać ze środków nadzorczych przed rozpoczęciem </w:t>
      </w:r>
      <w:r w:rsidR="009D5DBB" w:rsidRPr="004E768F">
        <w:rPr>
          <w:rFonts w:ascii="Times New Roman" w:eastAsia="Times New Roman" w:hAnsi="Times New Roman" w:cs="Times New Roman"/>
          <w:bCs/>
          <w:sz w:val="24"/>
          <w:szCs w:val="24"/>
          <w:lang w:eastAsia="pl-PL"/>
        </w:rPr>
        <w:t>ofert</w:t>
      </w:r>
      <w:r w:rsidR="002E3F95">
        <w:rPr>
          <w:rFonts w:ascii="Times New Roman" w:eastAsia="Times New Roman" w:hAnsi="Times New Roman" w:cs="Times New Roman"/>
          <w:bCs/>
          <w:sz w:val="24"/>
          <w:szCs w:val="24"/>
          <w:lang w:eastAsia="pl-PL"/>
        </w:rPr>
        <w:t>y</w:t>
      </w:r>
      <w:r w:rsidR="009D5DBB" w:rsidRPr="004E768F">
        <w:rPr>
          <w:rFonts w:ascii="Times New Roman" w:eastAsia="Times New Roman" w:hAnsi="Times New Roman" w:cs="Times New Roman"/>
          <w:bCs/>
          <w:sz w:val="24"/>
          <w:szCs w:val="24"/>
          <w:lang w:eastAsia="pl-PL"/>
        </w:rPr>
        <w:t xml:space="preserve"> finansowania społecznościowego</w:t>
      </w:r>
      <w:r w:rsidRPr="004E768F">
        <w:rPr>
          <w:rFonts w:ascii="Times New Roman" w:eastAsia="Times New Roman" w:hAnsi="Times New Roman" w:cs="Times New Roman"/>
          <w:bCs/>
          <w:sz w:val="24"/>
          <w:szCs w:val="24"/>
          <w:lang w:eastAsia="pl-PL"/>
        </w:rPr>
        <w:t>.</w:t>
      </w:r>
      <w:r w:rsidR="0023266E">
        <w:rPr>
          <w:rFonts w:ascii="Times New Roman" w:eastAsia="Times New Roman" w:hAnsi="Times New Roman" w:cs="Times New Roman"/>
          <w:bCs/>
          <w:sz w:val="24"/>
          <w:szCs w:val="24"/>
          <w:lang w:eastAsia="pl-PL"/>
        </w:rPr>
        <w:t xml:space="preserve"> </w:t>
      </w:r>
    </w:p>
    <w:p w14:paraId="1D6E736B" w14:textId="77777777" w:rsidR="002E1278" w:rsidRDefault="002E3F95" w:rsidP="002E1278">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14</w:t>
      </w:r>
      <w:r w:rsidR="00220E58" w:rsidRPr="00E96455">
        <w:rPr>
          <w:rFonts w:ascii="Times New Roman" w:eastAsia="Times New Roman" w:hAnsi="Times New Roman" w:cs="Times New Roman"/>
          <w:b/>
          <w:bCs/>
          <w:sz w:val="24"/>
          <w:szCs w:val="24"/>
          <w:lang w:eastAsia="pl-PL"/>
        </w:rPr>
        <w:t xml:space="preserve"> ust. 2</w:t>
      </w:r>
      <w:r w:rsidR="00220E58" w:rsidRPr="00FC32D5">
        <w:rPr>
          <w:rFonts w:ascii="Times New Roman" w:eastAsia="Times New Roman" w:hAnsi="Times New Roman" w:cs="Times New Roman"/>
          <w:bCs/>
          <w:sz w:val="24"/>
          <w:szCs w:val="24"/>
          <w:lang w:eastAsia="pl-PL"/>
        </w:rPr>
        <w:t xml:space="preserve"> </w:t>
      </w:r>
      <w:r w:rsidR="00220E58" w:rsidRPr="004E768F">
        <w:rPr>
          <w:rFonts w:ascii="Times New Roman" w:eastAsia="Times New Roman" w:hAnsi="Times New Roman" w:cs="Times New Roman"/>
          <w:bCs/>
          <w:sz w:val="24"/>
          <w:szCs w:val="24"/>
          <w:lang w:eastAsia="pl-PL"/>
        </w:rPr>
        <w:t xml:space="preserve">ustanawia analogiczny </w:t>
      </w:r>
      <w:r w:rsidR="009D5DBB">
        <w:rPr>
          <w:rFonts w:ascii="Times New Roman" w:eastAsia="Times New Roman" w:hAnsi="Times New Roman" w:cs="Times New Roman"/>
          <w:bCs/>
          <w:sz w:val="24"/>
          <w:szCs w:val="24"/>
          <w:lang w:eastAsia="pl-PL"/>
        </w:rPr>
        <w:t xml:space="preserve">jak w ust. 1 </w:t>
      </w:r>
      <w:r w:rsidR="00220E58" w:rsidRPr="004E768F">
        <w:rPr>
          <w:rFonts w:ascii="Times New Roman" w:eastAsia="Times New Roman" w:hAnsi="Times New Roman" w:cs="Times New Roman"/>
          <w:bCs/>
          <w:sz w:val="24"/>
          <w:szCs w:val="24"/>
          <w:lang w:eastAsia="pl-PL"/>
        </w:rPr>
        <w:t>obowiązek dotyczący arkuszy kluczowych informacji inwestycyjnych na poziomie platformy, sporządzanych przez dostawców usług finansowania społecznościowego świadczących usługi indywidualnego zarządzania portfelem pożyczek.</w:t>
      </w:r>
      <w:r w:rsidR="002E1278">
        <w:rPr>
          <w:rFonts w:ascii="Times New Roman" w:eastAsia="Times New Roman" w:hAnsi="Times New Roman" w:cs="Times New Roman"/>
          <w:bCs/>
          <w:sz w:val="24"/>
          <w:szCs w:val="24"/>
          <w:lang w:eastAsia="pl-PL"/>
        </w:rPr>
        <w:t xml:space="preserve"> </w:t>
      </w:r>
    </w:p>
    <w:p w14:paraId="75F75330" w14:textId="314E8AC4" w:rsidR="0023266E" w:rsidRDefault="002E3F95" w:rsidP="002E1278">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14</w:t>
      </w:r>
      <w:r w:rsidR="00220E58" w:rsidRPr="00E96455">
        <w:rPr>
          <w:rFonts w:ascii="Times New Roman" w:eastAsia="Times New Roman" w:hAnsi="Times New Roman" w:cs="Times New Roman"/>
          <w:b/>
          <w:bCs/>
          <w:sz w:val="24"/>
          <w:szCs w:val="24"/>
          <w:lang w:eastAsia="pl-PL"/>
        </w:rPr>
        <w:t xml:space="preserve"> ust. 3</w:t>
      </w:r>
      <w:r w:rsidR="00220E58" w:rsidRPr="004E768F">
        <w:rPr>
          <w:rFonts w:ascii="Times New Roman" w:eastAsia="Times New Roman" w:hAnsi="Times New Roman" w:cs="Times New Roman"/>
          <w:bCs/>
          <w:sz w:val="24"/>
          <w:szCs w:val="24"/>
          <w:lang w:eastAsia="pl-PL"/>
        </w:rPr>
        <w:t xml:space="preserve"> przewiduje, że arkusz sporządzony przez właściciela projektu</w:t>
      </w:r>
      <w:r w:rsidR="009D5DBB">
        <w:rPr>
          <w:rFonts w:ascii="Times New Roman" w:eastAsia="Times New Roman" w:hAnsi="Times New Roman" w:cs="Times New Roman"/>
          <w:bCs/>
          <w:sz w:val="24"/>
          <w:szCs w:val="24"/>
          <w:lang w:eastAsia="pl-PL"/>
        </w:rPr>
        <w:t xml:space="preserve"> i </w:t>
      </w:r>
      <w:r w:rsidR="00220E58" w:rsidRPr="004E768F">
        <w:rPr>
          <w:rFonts w:ascii="Times New Roman" w:eastAsia="Times New Roman" w:hAnsi="Times New Roman" w:cs="Times New Roman"/>
          <w:bCs/>
          <w:sz w:val="24"/>
          <w:szCs w:val="24"/>
          <w:lang w:eastAsia="pl-PL"/>
        </w:rPr>
        <w:t>arkusz sporządzony przez dostawcę usług finansowania społecznościowego</w:t>
      </w:r>
      <w:r w:rsidR="009D5DBB">
        <w:rPr>
          <w:rFonts w:ascii="Times New Roman" w:eastAsia="Times New Roman" w:hAnsi="Times New Roman" w:cs="Times New Roman"/>
          <w:bCs/>
          <w:sz w:val="24"/>
          <w:szCs w:val="24"/>
          <w:lang w:eastAsia="pl-PL"/>
        </w:rPr>
        <w:t xml:space="preserve"> mogą być przekazane </w:t>
      </w:r>
      <w:r w:rsidR="00220E58" w:rsidRPr="004E768F">
        <w:rPr>
          <w:rFonts w:ascii="Times New Roman" w:eastAsia="Times New Roman" w:hAnsi="Times New Roman" w:cs="Times New Roman"/>
          <w:bCs/>
          <w:sz w:val="24"/>
          <w:szCs w:val="24"/>
          <w:lang w:eastAsia="pl-PL"/>
        </w:rPr>
        <w:t>w postaci jednego dokumentu</w:t>
      </w:r>
      <w:r w:rsidR="00166DD4">
        <w:rPr>
          <w:rFonts w:ascii="Times New Roman" w:eastAsia="Times New Roman" w:hAnsi="Times New Roman" w:cs="Times New Roman"/>
          <w:bCs/>
          <w:sz w:val="24"/>
          <w:szCs w:val="24"/>
          <w:lang w:eastAsia="pl-PL"/>
        </w:rPr>
        <w:t>, jeżeli ob</w:t>
      </w:r>
      <w:r w:rsidR="009D5DBB">
        <w:rPr>
          <w:rFonts w:ascii="Times New Roman" w:eastAsia="Times New Roman" w:hAnsi="Times New Roman" w:cs="Times New Roman"/>
          <w:bCs/>
          <w:sz w:val="24"/>
          <w:szCs w:val="24"/>
          <w:lang w:eastAsia="pl-PL"/>
        </w:rPr>
        <w:t>a te podmioty są zobowiązane do sporządzenia arkusza</w:t>
      </w:r>
      <w:r w:rsidR="00166DD4">
        <w:rPr>
          <w:rFonts w:ascii="Times New Roman" w:eastAsia="Times New Roman" w:hAnsi="Times New Roman" w:cs="Times New Roman"/>
          <w:bCs/>
          <w:sz w:val="24"/>
          <w:szCs w:val="24"/>
          <w:lang w:eastAsia="pl-PL"/>
        </w:rPr>
        <w:t>.</w:t>
      </w:r>
    </w:p>
    <w:p w14:paraId="544892C5" w14:textId="3E33D0D8" w:rsidR="00166DD4" w:rsidRDefault="002E3F95" w:rsidP="00E96455">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lastRenderedPageBreak/>
        <w:t>Art. 15</w:t>
      </w:r>
      <w:r w:rsidR="006B4BDA" w:rsidRPr="004E768F">
        <w:rPr>
          <w:rFonts w:ascii="Times New Roman" w:eastAsia="Times New Roman" w:hAnsi="Times New Roman" w:cs="Times New Roman"/>
          <w:b/>
          <w:bCs/>
          <w:sz w:val="24"/>
          <w:szCs w:val="24"/>
          <w:lang w:eastAsia="pl-PL"/>
        </w:rPr>
        <w:t xml:space="preserve"> </w:t>
      </w:r>
      <w:r w:rsidR="006B4BDA" w:rsidRPr="004E768F">
        <w:rPr>
          <w:rFonts w:ascii="Times New Roman" w:eastAsia="Times New Roman" w:hAnsi="Times New Roman" w:cs="Times New Roman"/>
          <w:bCs/>
          <w:sz w:val="24"/>
          <w:szCs w:val="24"/>
          <w:lang w:eastAsia="pl-PL"/>
        </w:rPr>
        <w:t>przyznaje Komisji prawo określenia innego niż język polski języka, w którym może być sporządzony arkusz kluczowych informacji inwestycyjnych</w:t>
      </w:r>
      <w:r w:rsidR="006B4BDA">
        <w:rPr>
          <w:rFonts w:ascii="Times New Roman" w:eastAsia="Times New Roman" w:hAnsi="Times New Roman" w:cs="Times New Roman"/>
          <w:bCs/>
          <w:sz w:val="24"/>
          <w:szCs w:val="24"/>
          <w:lang w:eastAsia="pl-PL"/>
        </w:rPr>
        <w:t>, z</w:t>
      </w:r>
      <w:r w:rsidR="006B4BDA" w:rsidRPr="004E768F">
        <w:rPr>
          <w:rFonts w:ascii="Times New Roman" w:eastAsia="Times New Roman" w:hAnsi="Times New Roman" w:cs="Times New Roman"/>
          <w:bCs/>
          <w:sz w:val="24"/>
          <w:szCs w:val="24"/>
          <w:lang w:eastAsia="pl-PL"/>
        </w:rPr>
        <w:t>godnie z art. 23 ust. 2</w:t>
      </w:r>
      <w:r w:rsidR="006B4BDA">
        <w:rPr>
          <w:rFonts w:ascii="Times New Roman" w:eastAsia="Times New Roman" w:hAnsi="Times New Roman" w:cs="Times New Roman"/>
          <w:bCs/>
          <w:sz w:val="24"/>
          <w:szCs w:val="24"/>
          <w:lang w:eastAsia="pl-PL"/>
        </w:rPr>
        <w:t xml:space="preserve"> </w:t>
      </w:r>
      <w:r w:rsidR="006B4BDA" w:rsidRPr="004E768F">
        <w:rPr>
          <w:rFonts w:ascii="Times New Roman" w:eastAsia="Times New Roman" w:hAnsi="Times New Roman" w:cs="Times New Roman"/>
          <w:bCs/>
          <w:sz w:val="24"/>
          <w:szCs w:val="24"/>
          <w:lang w:eastAsia="pl-PL"/>
        </w:rPr>
        <w:t xml:space="preserve">zdanie drugie </w:t>
      </w:r>
      <w:r w:rsidR="006B4BDA">
        <w:rPr>
          <w:rFonts w:ascii="Times New Roman" w:eastAsia="Times New Roman" w:hAnsi="Times New Roman" w:cs="Times New Roman"/>
          <w:bCs/>
          <w:sz w:val="24"/>
          <w:szCs w:val="24"/>
          <w:lang w:eastAsia="pl-PL"/>
        </w:rPr>
        <w:t xml:space="preserve">oraz ust. 3 i 5 </w:t>
      </w:r>
      <w:r w:rsidR="006B4BDA" w:rsidRPr="004E768F">
        <w:rPr>
          <w:rFonts w:ascii="Times New Roman" w:eastAsia="Times New Roman" w:hAnsi="Times New Roman" w:cs="Times New Roman"/>
          <w:bCs/>
          <w:sz w:val="24"/>
          <w:szCs w:val="24"/>
          <w:lang w:eastAsia="pl-PL"/>
        </w:rPr>
        <w:t>rozporządzenia 2020/1503</w:t>
      </w:r>
      <w:r w:rsidR="006B4BDA">
        <w:rPr>
          <w:rFonts w:ascii="Times New Roman" w:eastAsia="Times New Roman" w:hAnsi="Times New Roman" w:cs="Times New Roman"/>
          <w:bCs/>
          <w:sz w:val="24"/>
          <w:szCs w:val="24"/>
          <w:lang w:eastAsia="pl-PL"/>
        </w:rPr>
        <w:t xml:space="preserve">. </w:t>
      </w:r>
      <w:r w:rsidR="006B4BDA" w:rsidRPr="004E768F">
        <w:rPr>
          <w:rFonts w:ascii="Times New Roman" w:eastAsia="Times New Roman" w:hAnsi="Times New Roman" w:cs="Times New Roman"/>
          <w:bCs/>
          <w:sz w:val="24"/>
          <w:szCs w:val="24"/>
          <w:lang w:eastAsia="pl-PL"/>
        </w:rPr>
        <w:t>Proponuje się przyjęcie w tym zakresie analogicznego rozwiązania</w:t>
      </w:r>
      <w:r w:rsidR="006B4BDA">
        <w:rPr>
          <w:rFonts w:ascii="Times New Roman" w:eastAsia="Times New Roman" w:hAnsi="Times New Roman" w:cs="Times New Roman"/>
          <w:bCs/>
          <w:sz w:val="24"/>
          <w:szCs w:val="24"/>
          <w:lang w:eastAsia="pl-PL"/>
        </w:rPr>
        <w:t xml:space="preserve"> jak </w:t>
      </w:r>
      <w:r w:rsidR="006B4BDA" w:rsidRPr="004E768F">
        <w:rPr>
          <w:rFonts w:ascii="Times New Roman" w:eastAsia="Times New Roman" w:hAnsi="Times New Roman" w:cs="Times New Roman"/>
          <w:bCs/>
          <w:sz w:val="24"/>
          <w:szCs w:val="24"/>
          <w:lang w:eastAsia="pl-PL"/>
        </w:rPr>
        <w:t>w przypadku kompetencji do akceptacji języków obcych na potrzeby sporządzania dokumentów zawierających kluczowe informacje</w:t>
      </w:r>
      <w:r w:rsidR="006B4BDA">
        <w:rPr>
          <w:rFonts w:ascii="Times New Roman" w:eastAsia="Times New Roman" w:hAnsi="Times New Roman" w:cs="Times New Roman"/>
          <w:bCs/>
          <w:sz w:val="24"/>
          <w:szCs w:val="24"/>
          <w:lang w:eastAsia="pl-PL"/>
        </w:rPr>
        <w:t xml:space="preserve"> (</w:t>
      </w:r>
      <w:r w:rsidR="006B4BDA" w:rsidRPr="004E768F">
        <w:rPr>
          <w:rFonts w:ascii="Times New Roman" w:eastAsia="Times New Roman" w:hAnsi="Times New Roman" w:cs="Times New Roman"/>
          <w:bCs/>
          <w:sz w:val="24"/>
          <w:szCs w:val="24"/>
          <w:lang w:eastAsia="pl-PL"/>
        </w:rPr>
        <w:t>„KID”</w:t>
      </w:r>
      <w:r w:rsidR="006B4BDA">
        <w:rPr>
          <w:rFonts w:ascii="Times New Roman" w:eastAsia="Times New Roman" w:hAnsi="Times New Roman" w:cs="Times New Roman"/>
          <w:bCs/>
          <w:sz w:val="24"/>
          <w:szCs w:val="24"/>
          <w:lang w:eastAsia="pl-PL"/>
        </w:rPr>
        <w:t xml:space="preserve">), </w:t>
      </w:r>
      <w:r w:rsidR="006B4BDA" w:rsidRPr="004E768F">
        <w:rPr>
          <w:rFonts w:ascii="Times New Roman" w:eastAsia="Times New Roman" w:hAnsi="Times New Roman" w:cs="Times New Roman"/>
          <w:bCs/>
          <w:sz w:val="24"/>
          <w:szCs w:val="24"/>
          <w:lang w:eastAsia="pl-PL"/>
        </w:rPr>
        <w:t>o których mowa w rozporządzeniu Parlamentu Europejskiego i Rady (UE) nr 1286/2014 z dnia 26 listopada 2014 r. w sprawie dokumentów zawierających kluczowe informacje, dotyczących detalicznych produktów zbiorowego inwestowania i ubezpieczeniowych produktów inwestycyjnych (PRIIP) (Dz. Urz. UE L 352 z 09.12.2014, str. 1, z późn. zm.)</w:t>
      </w:r>
      <w:r w:rsidR="006B4BDA">
        <w:rPr>
          <w:rFonts w:ascii="Times New Roman" w:eastAsia="Times New Roman" w:hAnsi="Times New Roman" w:cs="Times New Roman"/>
          <w:bCs/>
          <w:sz w:val="24"/>
          <w:szCs w:val="24"/>
          <w:lang w:eastAsia="pl-PL"/>
        </w:rPr>
        <w:t>.</w:t>
      </w:r>
      <w:r w:rsidR="006B4BDA" w:rsidRPr="004E7BEB">
        <w:rPr>
          <w:rFonts w:ascii="Times New Roman" w:eastAsia="Times New Roman" w:hAnsi="Times New Roman" w:cs="Times New Roman"/>
          <w:bCs/>
          <w:sz w:val="24"/>
          <w:szCs w:val="24"/>
          <w:lang w:eastAsia="pl-PL"/>
        </w:rPr>
        <w:t xml:space="preserve"> </w:t>
      </w:r>
      <w:r w:rsidR="006B4BDA">
        <w:rPr>
          <w:rFonts w:ascii="Times New Roman" w:eastAsia="Times New Roman" w:hAnsi="Times New Roman" w:cs="Times New Roman"/>
          <w:bCs/>
          <w:sz w:val="24"/>
          <w:szCs w:val="24"/>
          <w:lang w:eastAsia="pl-PL"/>
        </w:rPr>
        <w:t xml:space="preserve">Przyjęcie takiego rozwiązania jest </w:t>
      </w:r>
      <w:r w:rsidR="006B4BDA" w:rsidRPr="004E768F">
        <w:rPr>
          <w:rFonts w:ascii="Times New Roman" w:eastAsia="Times New Roman" w:hAnsi="Times New Roman" w:cs="Times New Roman"/>
          <w:bCs/>
          <w:sz w:val="24"/>
          <w:szCs w:val="24"/>
          <w:lang w:eastAsia="pl-PL"/>
        </w:rPr>
        <w:t xml:space="preserve">zasadne m. in. z uwagi na </w:t>
      </w:r>
      <w:r w:rsidR="006B4BDA">
        <w:rPr>
          <w:rFonts w:ascii="Times New Roman" w:eastAsia="Times New Roman" w:hAnsi="Times New Roman" w:cs="Times New Roman"/>
          <w:bCs/>
          <w:sz w:val="24"/>
          <w:szCs w:val="24"/>
          <w:lang w:eastAsia="pl-PL"/>
        </w:rPr>
        <w:t xml:space="preserve">to, że </w:t>
      </w:r>
      <w:r w:rsidR="006B4BDA" w:rsidRPr="004E768F">
        <w:rPr>
          <w:rFonts w:ascii="Times New Roman" w:eastAsia="Times New Roman" w:hAnsi="Times New Roman" w:cs="Times New Roman"/>
          <w:bCs/>
          <w:sz w:val="24"/>
          <w:szCs w:val="24"/>
          <w:lang w:eastAsia="pl-PL"/>
        </w:rPr>
        <w:t>zgodnie z art. 23 ust. 16 rozporządzenia 2020/1503, w przypadku gdy potencjalni inwestorzy otrzymują arkusz kluczowych informacji inwestycyjnych, uznaje się, że dostawcy usług finansowania społecznościowego i właściciele projektów wypełnili obowiązek sporządzenia KID</w:t>
      </w:r>
      <w:r w:rsidR="006B4BDA">
        <w:rPr>
          <w:rFonts w:ascii="Times New Roman" w:eastAsia="Times New Roman" w:hAnsi="Times New Roman" w:cs="Times New Roman"/>
          <w:bCs/>
          <w:sz w:val="24"/>
          <w:szCs w:val="24"/>
          <w:lang w:eastAsia="pl-PL"/>
        </w:rPr>
        <w:t xml:space="preserve">. </w:t>
      </w:r>
      <w:r w:rsidR="006B4BDA" w:rsidRPr="004E768F">
        <w:rPr>
          <w:rFonts w:ascii="Times New Roman" w:eastAsia="Times New Roman" w:hAnsi="Times New Roman" w:cs="Times New Roman"/>
          <w:bCs/>
          <w:sz w:val="24"/>
          <w:szCs w:val="24"/>
          <w:lang w:eastAsia="pl-PL"/>
        </w:rPr>
        <w:t>Komisj</w:t>
      </w:r>
      <w:r w:rsidR="006B4BDA">
        <w:rPr>
          <w:rFonts w:ascii="Times New Roman" w:eastAsia="Times New Roman" w:hAnsi="Times New Roman" w:cs="Times New Roman"/>
          <w:bCs/>
          <w:sz w:val="24"/>
          <w:szCs w:val="24"/>
          <w:lang w:eastAsia="pl-PL"/>
        </w:rPr>
        <w:t xml:space="preserve">a będzie uprawniona </w:t>
      </w:r>
      <w:r w:rsidR="006B4BDA" w:rsidRPr="004E768F">
        <w:rPr>
          <w:rFonts w:ascii="Times New Roman" w:eastAsia="Times New Roman" w:hAnsi="Times New Roman" w:cs="Times New Roman"/>
          <w:bCs/>
          <w:sz w:val="24"/>
          <w:szCs w:val="24"/>
          <w:lang w:eastAsia="pl-PL"/>
        </w:rPr>
        <w:t xml:space="preserve">do wydania decyzji generalnej wskazującej język obcy, w którym może być sporządzony arkusz kluczowych informacji inwestycyjnych. </w:t>
      </w:r>
      <w:r w:rsidR="006B4BDA">
        <w:rPr>
          <w:rFonts w:ascii="Times New Roman" w:eastAsia="Times New Roman" w:hAnsi="Times New Roman" w:cs="Times New Roman"/>
          <w:bCs/>
          <w:sz w:val="24"/>
          <w:szCs w:val="24"/>
          <w:lang w:eastAsia="pl-PL"/>
        </w:rPr>
        <w:t xml:space="preserve">Komisja będzie mogła także uchylić </w:t>
      </w:r>
      <w:r w:rsidR="006B4BDA" w:rsidRPr="004E768F">
        <w:rPr>
          <w:rFonts w:ascii="Times New Roman" w:eastAsia="Times New Roman" w:hAnsi="Times New Roman" w:cs="Times New Roman"/>
          <w:bCs/>
          <w:sz w:val="24"/>
          <w:szCs w:val="24"/>
          <w:lang w:eastAsia="pl-PL"/>
        </w:rPr>
        <w:t>decyzj</w:t>
      </w:r>
      <w:r w:rsidR="006B4BDA">
        <w:rPr>
          <w:rFonts w:ascii="Times New Roman" w:eastAsia="Times New Roman" w:hAnsi="Times New Roman" w:cs="Times New Roman"/>
          <w:bCs/>
          <w:sz w:val="24"/>
          <w:szCs w:val="24"/>
          <w:lang w:eastAsia="pl-PL"/>
        </w:rPr>
        <w:t>ę</w:t>
      </w:r>
      <w:r w:rsidR="006B4BDA" w:rsidRPr="004E768F">
        <w:rPr>
          <w:rFonts w:ascii="Times New Roman" w:eastAsia="Times New Roman" w:hAnsi="Times New Roman" w:cs="Times New Roman"/>
          <w:bCs/>
          <w:sz w:val="24"/>
          <w:szCs w:val="24"/>
          <w:lang w:eastAsia="pl-PL"/>
        </w:rPr>
        <w:t xml:space="preserve"> akceptując</w:t>
      </w:r>
      <w:r w:rsidR="006B4BDA">
        <w:rPr>
          <w:rFonts w:ascii="Times New Roman" w:eastAsia="Times New Roman" w:hAnsi="Times New Roman" w:cs="Times New Roman"/>
          <w:bCs/>
          <w:sz w:val="24"/>
          <w:szCs w:val="24"/>
          <w:lang w:eastAsia="pl-PL"/>
        </w:rPr>
        <w:t>ą</w:t>
      </w:r>
      <w:r w:rsidR="006B4BDA" w:rsidRPr="004E768F">
        <w:rPr>
          <w:rFonts w:ascii="Times New Roman" w:eastAsia="Times New Roman" w:hAnsi="Times New Roman" w:cs="Times New Roman"/>
          <w:bCs/>
          <w:sz w:val="24"/>
          <w:szCs w:val="24"/>
          <w:lang w:eastAsia="pl-PL"/>
        </w:rPr>
        <w:t xml:space="preserve"> określony język obcy na potrzeby sporządzenia arkusza kluczowych informacji inwestycyjnych</w:t>
      </w:r>
      <w:r w:rsidR="006B4BDA">
        <w:rPr>
          <w:rFonts w:ascii="Times New Roman" w:eastAsia="Times New Roman" w:hAnsi="Times New Roman" w:cs="Times New Roman"/>
          <w:bCs/>
          <w:sz w:val="24"/>
          <w:szCs w:val="24"/>
          <w:lang w:eastAsia="pl-PL"/>
        </w:rPr>
        <w:t xml:space="preserve"> ze względu na </w:t>
      </w:r>
      <w:r w:rsidR="006B4BDA" w:rsidRPr="004E768F">
        <w:rPr>
          <w:rFonts w:ascii="Times New Roman" w:eastAsia="Times New Roman" w:hAnsi="Times New Roman" w:cs="Times New Roman"/>
          <w:bCs/>
          <w:sz w:val="24"/>
          <w:szCs w:val="24"/>
          <w:lang w:eastAsia="pl-PL"/>
        </w:rPr>
        <w:t>ochron</w:t>
      </w:r>
      <w:r w:rsidR="006B4BDA">
        <w:rPr>
          <w:rFonts w:ascii="Times New Roman" w:eastAsia="Times New Roman" w:hAnsi="Times New Roman" w:cs="Times New Roman"/>
          <w:bCs/>
          <w:sz w:val="24"/>
          <w:szCs w:val="24"/>
          <w:lang w:eastAsia="pl-PL"/>
        </w:rPr>
        <w:t>ę</w:t>
      </w:r>
      <w:r w:rsidR="006B4BDA" w:rsidRPr="004E768F">
        <w:rPr>
          <w:rFonts w:ascii="Times New Roman" w:eastAsia="Times New Roman" w:hAnsi="Times New Roman" w:cs="Times New Roman"/>
          <w:bCs/>
          <w:sz w:val="24"/>
          <w:szCs w:val="24"/>
          <w:lang w:eastAsia="pl-PL"/>
        </w:rPr>
        <w:t xml:space="preserve"> uzasadnionych interesów inwestorów lub konieczność zapobieżenia zagroże</w:t>
      </w:r>
      <w:r w:rsidR="006B4BDA">
        <w:rPr>
          <w:rFonts w:ascii="Times New Roman" w:eastAsia="Times New Roman" w:hAnsi="Times New Roman" w:cs="Times New Roman"/>
          <w:bCs/>
          <w:sz w:val="24"/>
          <w:szCs w:val="24"/>
          <w:lang w:eastAsia="pl-PL"/>
        </w:rPr>
        <w:t>niu prawidłowego funkcjonowania</w:t>
      </w:r>
      <w:r w:rsidR="006B4BDA" w:rsidRPr="004E768F">
        <w:rPr>
          <w:rFonts w:ascii="Times New Roman" w:eastAsia="Times New Roman" w:hAnsi="Times New Roman" w:cs="Times New Roman"/>
          <w:bCs/>
          <w:sz w:val="24"/>
          <w:szCs w:val="24"/>
          <w:lang w:eastAsia="pl-PL"/>
        </w:rPr>
        <w:t xml:space="preserve"> rynku</w:t>
      </w:r>
      <w:r w:rsidR="006B4BDA" w:rsidRPr="004E7BEB">
        <w:rPr>
          <w:rFonts w:ascii="Times New Roman" w:eastAsia="Times New Roman" w:hAnsi="Times New Roman" w:cs="Times New Roman"/>
          <w:bCs/>
          <w:sz w:val="24"/>
          <w:szCs w:val="24"/>
          <w:lang w:eastAsia="pl-PL"/>
        </w:rPr>
        <w:t xml:space="preserve"> </w:t>
      </w:r>
      <w:r w:rsidR="006B4BDA" w:rsidRPr="004E768F">
        <w:rPr>
          <w:rFonts w:ascii="Times New Roman" w:eastAsia="Times New Roman" w:hAnsi="Times New Roman" w:cs="Times New Roman"/>
          <w:bCs/>
          <w:sz w:val="24"/>
          <w:szCs w:val="24"/>
          <w:lang w:eastAsia="pl-PL"/>
        </w:rPr>
        <w:t>usług finansowania społecznościowego</w:t>
      </w:r>
      <w:r w:rsidR="006B4BDA">
        <w:rPr>
          <w:rFonts w:ascii="Times New Roman" w:eastAsia="Times New Roman" w:hAnsi="Times New Roman" w:cs="Times New Roman"/>
          <w:bCs/>
          <w:sz w:val="24"/>
          <w:szCs w:val="24"/>
          <w:lang w:eastAsia="pl-PL"/>
        </w:rPr>
        <w:t>.</w:t>
      </w:r>
    </w:p>
    <w:p w14:paraId="2799D670" w14:textId="77777777" w:rsidR="008D07D8" w:rsidRDefault="002E3F95" w:rsidP="008D07D8">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16</w:t>
      </w:r>
      <w:r w:rsidR="009B38B0">
        <w:rPr>
          <w:rFonts w:ascii="Times New Roman" w:eastAsia="Times New Roman" w:hAnsi="Times New Roman" w:cs="Times New Roman"/>
          <w:b/>
          <w:bCs/>
          <w:sz w:val="24"/>
          <w:szCs w:val="24"/>
          <w:lang w:eastAsia="pl-PL"/>
        </w:rPr>
        <w:t xml:space="preserve"> ust. 1</w:t>
      </w:r>
      <w:r w:rsidR="006B4BDA">
        <w:rPr>
          <w:rFonts w:ascii="Times New Roman" w:eastAsia="Times New Roman" w:hAnsi="Times New Roman" w:cs="Times New Roman"/>
          <w:bCs/>
          <w:sz w:val="24"/>
          <w:szCs w:val="24"/>
          <w:lang w:eastAsia="pl-PL"/>
        </w:rPr>
        <w:t xml:space="preserve"> zobowiązuje dostawcę usług finansowania społecznościowego do uzyskania od inwestora, przed przyjęciem pierwszego zlecenia, oświadczenia o posługiwaniu się językiem, w którym został sporządzony arkusz kluczowych informacji inwestycyjnych, co przyczyni się do zwiększenia poziomu ochrony inwestorów.</w:t>
      </w:r>
      <w:r w:rsidR="009B38B0">
        <w:rPr>
          <w:rFonts w:ascii="Times New Roman" w:eastAsia="Times New Roman" w:hAnsi="Times New Roman" w:cs="Times New Roman"/>
          <w:bCs/>
          <w:sz w:val="24"/>
          <w:szCs w:val="24"/>
          <w:lang w:eastAsia="pl-PL"/>
        </w:rPr>
        <w:t xml:space="preserve"> </w:t>
      </w:r>
    </w:p>
    <w:p w14:paraId="45F6CE5B" w14:textId="53C45C1B" w:rsidR="006B4BDA" w:rsidRPr="004E768F" w:rsidRDefault="009B38B0" w:rsidP="008D07D8">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Celem </w:t>
      </w:r>
      <w:r w:rsidR="0023266E" w:rsidRPr="0023266E">
        <w:rPr>
          <w:rFonts w:ascii="Times New Roman" w:eastAsia="Times New Roman" w:hAnsi="Times New Roman" w:cs="Times New Roman"/>
          <w:b/>
          <w:bCs/>
          <w:sz w:val="24"/>
          <w:szCs w:val="24"/>
          <w:lang w:eastAsia="pl-PL"/>
        </w:rPr>
        <w:t>art. 16</w:t>
      </w:r>
      <w:r w:rsidR="0023266E">
        <w:rPr>
          <w:rFonts w:ascii="Times New Roman" w:eastAsia="Times New Roman" w:hAnsi="Times New Roman" w:cs="Times New Roman"/>
          <w:bCs/>
          <w:sz w:val="24"/>
          <w:szCs w:val="24"/>
          <w:lang w:eastAsia="pl-PL"/>
        </w:rPr>
        <w:t xml:space="preserve"> </w:t>
      </w:r>
      <w:r w:rsidRPr="009B38B0">
        <w:rPr>
          <w:rFonts w:ascii="Times New Roman" w:eastAsia="Times New Roman" w:hAnsi="Times New Roman" w:cs="Times New Roman"/>
          <w:b/>
          <w:bCs/>
          <w:sz w:val="24"/>
          <w:szCs w:val="24"/>
          <w:lang w:eastAsia="pl-PL"/>
        </w:rPr>
        <w:t>ust. 2</w:t>
      </w:r>
      <w:r>
        <w:rPr>
          <w:rFonts w:ascii="Times New Roman" w:eastAsia="Times New Roman" w:hAnsi="Times New Roman" w:cs="Times New Roman"/>
          <w:bCs/>
          <w:sz w:val="24"/>
          <w:szCs w:val="24"/>
          <w:lang w:eastAsia="pl-PL"/>
        </w:rPr>
        <w:t xml:space="preserve"> jest wskazanie, że oświadczenie inwestora w odniesieniu do danego języka będzie skuteczne w odniesieniu do wszystkich arkuszy przekazywanych mu w tym języku przez dostawcę usług finansowania społecznościowego, któremu ten inwestor złożył oświadczenie.</w:t>
      </w:r>
    </w:p>
    <w:p w14:paraId="3A31BDC3" w14:textId="787E6DA1" w:rsidR="007A194B" w:rsidRDefault="00166DD4" w:rsidP="002E3F95">
      <w:pPr>
        <w:suppressAutoHyphens/>
        <w:autoSpaceDE w:val="0"/>
        <w:autoSpaceDN w:val="0"/>
        <w:adjustRightInd w:val="0"/>
        <w:spacing w:before="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xml:space="preserve">Art. </w:t>
      </w:r>
      <w:r w:rsidR="002E3F95">
        <w:rPr>
          <w:rFonts w:ascii="Times New Roman" w:eastAsia="Times New Roman" w:hAnsi="Times New Roman" w:cs="Times New Roman"/>
          <w:b/>
          <w:bCs/>
          <w:sz w:val="24"/>
          <w:szCs w:val="24"/>
          <w:lang w:eastAsia="pl-PL"/>
        </w:rPr>
        <w:t>17</w:t>
      </w:r>
      <w:r w:rsidR="00220E58" w:rsidRPr="00E96455">
        <w:rPr>
          <w:rFonts w:ascii="Times New Roman" w:eastAsia="Times New Roman" w:hAnsi="Times New Roman" w:cs="Times New Roman"/>
          <w:b/>
          <w:bCs/>
          <w:sz w:val="24"/>
          <w:szCs w:val="24"/>
          <w:lang w:eastAsia="pl-PL"/>
        </w:rPr>
        <w:t xml:space="preserve"> </w:t>
      </w:r>
      <w:r w:rsidR="00220E58" w:rsidRPr="004E768F">
        <w:rPr>
          <w:rFonts w:ascii="Times New Roman" w:eastAsia="Times New Roman" w:hAnsi="Times New Roman" w:cs="Times New Roman"/>
          <w:bCs/>
          <w:sz w:val="24"/>
          <w:szCs w:val="24"/>
          <w:lang w:eastAsia="pl-PL"/>
        </w:rPr>
        <w:t>przewiduje, że właściciel projektu będzie mógł udostępnić arkusz kluczowych informacji inwestycyjnych na swojej stronie internetowej, nie wcześniej</w:t>
      </w:r>
      <w:r w:rsidR="00C2596A">
        <w:rPr>
          <w:rFonts w:ascii="Times New Roman" w:eastAsia="Times New Roman" w:hAnsi="Times New Roman" w:cs="Times New Roman"/>
          <w:bCs/>
          <w:sz w:val="24"/>
          <w:szCs w:val="24"/>
          <w:lang w:eastAsia="pl-PL"/>
        </w:rPr>
        <w:t xml:space="preserve"> jednak </w:t>
      </w:r>
      <w:r>
        <w:rPr>
          <w:rFonts w:ascii="Times New Roman" w:eastAsia="Times New Roman" w:hAnsi="Times New Roman" w:cs="Times New Roman"/>
          <w:bCs/>
          <w:sz w:val="24"/>
          <w:szCs w:val="24"/>
          <w:lang w:eastAsia="pl-PL"/>
        </w:rPr>
        <w:t>niż</w:t>
      </w:r>
      <w:r w:rsidR="008D07D8">
        <w:rPr>
          <w:rFonts w:ascii="Times New Roman" w:eastAsia="Times New Roman" w:hAnsi="Times New Roman" w:cs="Times New Roman"/>
          <w:bCs/>
          <w:sz w:val="24"/>
          <w:szCs w:val="24"/>
          <w:lang w:eastAsia="pl-PL"/>
        </w:rPr>
        <w:t xml:space="preserve"> przed</w:t>
      </w:r>
      <w:r w:rsidR="00220E58" w:rsidRPr="004E768F">
        <w:rPr>
          <w:rFonts w:ascii="Times New Roman" w:eastAsia="Times New Roman" w:hAnsi="Times New Roman" w:cs="Times New Roman"/>
          <w:bCs/>
          <w:sz w:val="24"/>
          <w:szCs w:val="24"/>
          <w:lang w:eastAsia="pl-PL"/>
        </w:rPr>
        <w:t xml:space="preserve"> </w:t>
      </w:r>
      <w:r w:rsidR="00C2596A">
        <w:rPr>
          <w:rFonts w:ascii="Times New Roman" w:eastAsia="Times New Roman" w:hAnsi="Times New Roman" w:cs="Times New Roman"/>
          <w:bCs/>
          <w:sz w:val="24"/>
          <w:szCs w:val="24"/>
          <w:lang w:eastAsia="pl-PL"/>
        </w:rPr>
        <w:t xml:space="preserve">jego udostępnieniem przez </w:t>
      </w:r>
      <w:r w:rsidR="00220E58" w:rsidRPr="004E768F">
        <w:rPr>
          <w:rFonts w:ascii="Times New Roman" w:eastAsia="Times New Roman" w:hAnsi="Times New Roman" w:cs="Times New Roman"/>
          <w:bCs/>
          <w:sz w:val="24"/>
          <w:szCs w:val="24"/>
          <w:lang w:eastAsia="pl-PL"/>
        </w:rPr>
        <w:t xml:space="preserve">dostawcę usług </w:t>
      </w:r>
      <w:r w:rsidR="00E96455">
        <w:rPr>
          <w:rFonts w:ascii="Times New Roman" w:eastAsia="Times New Roman" w:hAnsi="Times New Roman" w:cs="Times New Roman"/>
          <w:bCs/>
          <w:sz w:val="24"/>
          <w:szCs w:val="24"/>
          <w:lang w:eastAsia="pl-PL"/>
        </w:rPr>
        <w:t>finansowania społecznościowego.</w:t>
      </w:r>
      <w:r w:rsidR="002E3F95">
        <w:rPr>
          <w:rFonts w:ascii="Times New Roman" w:eastAsia="Times New Roman" w:hAnsi="Times New Roman" w:cs="Times New Roman"/>
          <w:bCs/>
          <w:sz w:val="24"/>
          <w:szCs w:val="24"/>
          <w:lang w:eastAsia="pl-PL"/>
        </w:rPr>
        <w:t xml:space="preserve"> J</w:t>
      </w:r>
      <w:r w:rsidR="00220E58" w:rsidRPr="004E768F">
        <w:rPr>
          <w:rFonts w:ascii="Times New Roman" w:eastAsia="Times New Roman" w:hAnsi="Times New Roman" w:cs="Times New Roman"/>
          <w:bCs/>
          <w:sz w:val="24"/>
          <w:szCs w:val="24"/>
          <w:lang w:eastAsia="pl-PL"/>
        </w:rPr>
        <w:t xml:space="preserve">ednocześnie z publikacją arkusza, właściciel projektu będzie obowiązany poinformować, że udział w ofercie jest możliwy jedynie za pośrednictwem dostawcy usług finansowania społecznościowego. Dzięki temu właściciel projektu będzie mógł dodatkowo </w:t>
      </w:r>
      <w:r w:rsidR="00C2596A">
        <w:rPr>
          <w:rFonts w:ascii="Times New Roman" w:eastAsia="Times New Roman" w:hAnsi="Times New Roman" w:cs="Times New Roman"/>
          <w:bCs/>
          <w:sz w:val="24"/>
          <w:szCs w:val="24"/>
          <w:lang w:eastAsia="pl-PL"/>
        </w:rPr>
        <w:t xml:space="preserve">samodzielnie </w:t>
      </w:r>
      <w:r w:rsidR="00220E58" w:rsidRPr="004E768F">
        <w:rPr>
          <w:rFonts w:ascii="Times New Roman" w:eastAsia="Times New Roman" w:hAnsi="Times New Roman" w:cs="Times New Roman"/>
          <w:bCs/>
          <w:sz w:val="24"/>
          <w:szCs w:val="24"/>
          <w:lang w:eastAsia="pl-PL"/>
        </w:rPr>
        <w:t>promować prowadzoną przez siebie ofertę, przy jednoczesnym zapewnieniu wysokiego poziomu bezpieczeństwa inwestorów, którzy będą mogli dokonać inwestycji jedynie na platformie finansowania społecznościowego.</w:t>
      </w:r>
    </w:p>
    <w:p w14:paraId="6DD7EA0F" w14:textId="708F069F" w:rsidR="00B32FE7" w:rsidRPr="004E768F" w:rsidRDefault="00C2596A"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Przepisy </w:t>
      </w:r>
      <w:r w:rsidR="002E3F95">
        <w:rPr>
          <w:rFonts w:ascii="Times New Roman" w:eastAsia="Times New Roman" w:hAnsi="Times New Roman" w:cs="Times New Roman"/>
          <w:b/>
          <w:bCs/>
          <w:sz w:val="24"/>
          <w:szCs w:val="24"/>
          <w:lang w:eastAsia="pl-PL"/>
        </w:rPr>
        <w:t>art. 18</w:t>
      </w:r>
      <w:r w:rsidRPr="00C2596A">
        <w:rPr>
          <w:rFonts w:ascii="Times New Roman" w:eastAsia="Times New Roman" w:hAnsi="Times New Roman" w:cs="Times New Roman"/>
          <w:b/>
          <w:bCs/>
          <w:sz w:val="24"/>
          <w:szCs w:val="24"/>
          <w:lang w:eastAsia="pl-PL"/>
        </w:rPr>
        <w:t xml:space="preserve"> </w:t>
      </w:r>
      <w:r w:rsidRPr="00C2596A">
        <w:rPr>
          <w:rFonts w:ascii="Times New Roman" w:eastAsia="Times New Roman" w:hAnsi="Times New Roman" w:cs="Times New Roman"/>
          <w:bCs/>
          <w:sz w:val="24"/>
          <w:szCs w:val="24"/>
          <w:lang w:eastAsia="pl-PL"/>
        </w:rPr>
        <w:t xml:space="preserve">i </w:t>
      </w:r>
      <w:r w:rsidR="002E3F95">
        <w:rPr>
          <w:rFonts w:ascii="Times New Roman" w:eastAsia="Times New Roman" w:hAnsi="Times New Roman" w:cs="Times New Roman"/>
          <w:b/>
          <w:bCs/>
          <w:sz w:val="24"/>
          <w:szCs w:val="24"/>
          <w:lang w:eastAsia="pl-PL"/>
        </w:rPr>
        <w:t>art. 19</w:t>
      </w:r>
      <w:r>
        <w:rPr>
          <w:rFonts w:ascii="Times New Roman" w:eastAsia="Times New Roman" w:hAnsi="Times New Roman" w:cs="Times New Roman"/>
          <w:bCs/>
          <w:sz w:val="24"/>
          <w:szCs w:val="24"/>
          <w:lang w:eastAsia="pl-PL"/>
        </w:rPr>
        <w:t xml:space="preserve"> stanowią konsekwencję rozwiązań zawartych w </w:t>
      </w:r>
      <w:r w:rsidR="004002CE" w:rsidRPr="004E768F">
        <w:rPr>
          <w:rFonts w:ascii="Times New Roman" w:eastAsia="Times New Roman" w:hAnsi="Times New Roman" w:cs="Times New Roman"/>
          <w:bCs/>
          <w:sz w:val="24"/>
          <w:szCs w:val="24"/>
          <w:lang w:eastAsia="pl-PL"/>
        </w:rPr>
        <w:t xml:space="preserve">art. </w:t>
      </w:r>
      <w:r w:rsidR="004002CE" w:rsidRPr="00C2596A">
        <w:rPr>
          <w:rFonts w:ascii="Times New Roman" w:eastAsia="Times New Roman" w:hAnsi="Times New Roman" w:cs="Times New Roman"/>
          <w:bCs/>
          <w:sz w:val="24"/>
          <w:szCs w:val="24"/>
          <w:lang w:eastAsia="pl-PL"/>
        </w:rPr>
        <w:t>30 ust. 1 lit. a–c rozporządzenia 2020/1503</w:t>
      </w:r>
      <w:r>
        <w:rPr>
          <w:rFonts w:ascii="Times New Roman" w:eastAsia="Times New Roman" w:hAnsi="Times New Roman" w:cs="Times New Roman"/>
          <w:bCs/>
          <w:sz w:val="24"/>
          <w:szCs w:val="24"/>
          <w:lang w:eastAsia="pl-PL"/>
        </w:rPr>
        <w:t xml:space="preserve">, które przewidują uprawnienie dla </w:t>
      </w:r>
      <w:r w:rsidR="004002CE" w:rsidRPr="00C2596A">
        <w:rPr>
          <w:rFonts w:ascii="Times New Roman" w:eastAsia="Times New Roman" w:hAnsi="Times New Roman" w:cs="Times New Roman"/>
          <w:bCs/>
          <w:sz w:val="24"/>
          <w:szCs w:val="24"/>
          <w:lang w:eastAsia="pl-PL"/>
        </w:rPr>
        <w:t>właściw</w:t>
      </w:r>
      <w:r>
        <w:rPr>
          <w:rFonts w:ascii="Times New Roman" w:eastAsia="Times New Roman" w:hAnsi="Times New Roman" w:cs="Times New Roman"/>
          <w:bCs/>
          <w:sz w:val="24"/>
          <w:szCs w:val="24"/>
          <w:lang w:eastAsia="pl-PL"/>
        </w:rPr>
        <w:t xml:space="preserve">ego </w:t>
      </w:r>
      <w:r w:rsidR="004002CE" w:rsidRPr="00C2596A">
        <w:rPr>
          <w:rFonts w:ascii="Times New Roman" w:eastAsia="Times New Roman" w:hAnsi="Times New Roman" w:cs="Times New Roman"/>
          <w:bCs/>
          <w:sz w:val="24"/>
          <w:szCs w:val="24"/>
          <w:lang w:eastAsia="pl-PL"/>
        </w:rPr>
        <w:t>organ</w:t>
      </w:r>
      <w:r>
        <w:rPr>
          <w:rFonts w:ascii="Times New Roman" w:eastAsia="Times New Roman" w:hAnsi="Times New Roman" w:cs="Times New Roman"/>
          <w:bCs/>
          <w:sz w:val="24"/>
          <w:szCs w:val="24"/>
          <w:lang w:eastAsia="pl-PL"/>
        </w:rPr>
        <w:t xml:space="preserve">u (Komisji) </w:t>
      </w:r>
      <w:r w:rsidR="004002CE" w:rsidRPr="004E768F">
        <w:rPr>
          <w:rFonts w:ascii="Times New Roman" w:eastAsia="Times New Roman" w:hAnsi="Times New Roman" w:cs="Times New Roman"/>
          <w:bCs/>
          <w:sz w:val="24"/>
          <w:szCs w:val="24"/>
          <w:lang w:eastAsia="pl-PL"/>
        </w:rPr>
        <w:t>do nakładania obowiązku przekazywania informacji i dokumentów na dostawców usług finansowania społecznościowego i osoby trzecie wyznaczone do pełnienia funkcji związanych ze świadczeniem usług finansowania społecznościowego oraz osoby fizyczne lub prawne sprawujące nad nimi kontrolę lub podlegające ich kontroli</w:t>
      </w:r>
      <w:r w:rsidR="00166DD4">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a także </w:t>
      </w:r>
      <w:r w:rsidR="00B32FE7" w:rsidRPr="004E768F">
        <w:rPr>
          <w:rFonts w:ascii="Times New Roman" w:eastAsia="Times New Roman" w:hAnsi="Times New Roman" w:cs="Times New Roman"/>
          <w:bCs/>
          <w:sz w:val="24"/>
          <w:szCs w:val="24"/>
          <w:lang w:eastAsia="pl-PL"/>
        </w:rPr>
        <w:t>kadr</w:t>
      </w:r>
      <w:r w:rsidR="00166DD4">
        <w:rPr>
          <w:rFonts w:ascii="Times New Roman" w:eastAsia="Times New Roman" w:hAnsi="Times New Roman" w:cs="Times New Roman"/>
          <w:bCs/>
          <w:sz w:val="24"/>
          <w:szCs w:val="24"/>
          <w:lang w:eastAsia="pl-PL"/>
        </w:rPr>
        <w:t>ę</w:t>
      </w:r>
      <w:r w:rsidR="00B32FE7" w:rsidRPr="004E768F">
        <w:rPr>
          <w:rFonts w:ascii="Times New Roman" w:eastAsia="Times New Roman" w:hAnsi="Times New Roman" w:cs="Times New Roman"/>
          <w:bCs/>
          <w:sz w:val="24"/>
          <w:szCs w:val="24"/>
          <w:lang w:eastAsia="pl-PL"/>
        </w:rPr>
        <w:t xml:space="preserve"> </w:t>
      </w:r>
      <w:r w:rsidR="00166DD4">
        <w:rPr>
          <w:rFonts w:ascii="Times New Roman" w:eastAsia="Times New Roman" w:hAnsi="Times New Roman" w:cs="Times New Roman"/>
          <w:bCs/>
          <w:sz w:val="24"/>
          <w:szCs w:val="24"/>
          <w:lang w:eastAsia="pl-PL"/>
        </w:rPr>
        <w:t>kierowniczą</w:t>
      </w:r>
      <w:r w:rsidR="00B32FE7" w:rsidRPr="004E768F">
        <w:rPr>
          <w:rFonts w:ascii="Times New Roman" w:eastAsia="Times New Roman" w:hAnsi="Times New Roman" w:cs="Times New Roman"/>
          <w:bCs/>
          <w:sz w:val="24"/>
          <w:szCs w:val="24"/>
          <w:lang w:eastAsia="pl-PL"/>
        </w:rPr>
        <w:t xml:space="preserve"> dostawców usług finansowania społecznościowego</w:t>
      </w:r>
      <w:r>
        <w:rPr>
          <w:rFonts w:ascii="Times New Roman" w:eastAsia="Times New Roman" w:hAnsi="Times New Roman" w:cs="Times New Roman"/>
          <w:bCs/>
          <w:sz w:val="24"/>
          <w:szCs w:val="24"/>
          <w:lang w:eastAsia="pl-PL"/>
        </w:rPr>
        <w:t xml:space="preserve"> oraz bie</w:t>
      </w:r>
      <w:r w:rsidR="007A194B">
        <w:rPr>
          <w:rFonts w:ascii="Times New Roman" w:eastAsia="Times New Roman" w:hAnsi="Times New Roman" w:cs="Times New Roman"/>
          <w:bCs/>
          <w:sz w:val="24"/>
          <w:szCs w:val="24"/>
          <w:lang w:eastAsia="pl-PL"/>
        </w:rPr>
        <w:t>g</w:t>
      </w:r>
      <w:r>
        <w:rPr>
          <w:rFonts w:ascii="Times New Roman" w:eastAsia="Times New Roman" w:hAnsi="Times New Roman" w:cs="Times New Roman"/>
          <w:bCs/>
          <w:sz w:val="24"/>
          <w:szCs w:val="24"/>
          <w:lang w:eastAsia="pl-PL"/>
        </w:rPr>
        <w:t>łych rewidentów</w:t>
      </w:r>
      <w:r w:rsidR="00B32FE7" w:rsidRPr="004E768F">
        <w:rPr>
          <w:rFonts w:ascii="Times New Roman" w:eastAsia="Times New Roman" w:hAnsi="Times New Roman" w:cs="Times New Roman"/>
          <w:bCs/>
          <w:sz w:val="24"/>
          <w:szCs w:val="24"/>
          <w:lang w:eastAsia="pl-PL"/>
        </w:rPr>
        <w:t xml:space="preserve">. </w:t>
      </w:r>
      <w:r w:rsidR="007A194B" w:rsidRPr="007A194B">
        <w:rPr>
          <w:rFonts w:ascii="Times New Roman" w:eastAsia="Times New Roman" w:hAnsi="Times New Roman" w:cs="Times New Roman"/>
          <w:sz w:val="24"/>
          <w:szCs w:val="24"/>
          <w:lang w:eastAsia="pl-PL"/>
        </w:rPr>
        <w:t xml:space="preserve">Dostęp Komisji do informacji nie jest sformalizowany ani </w:t>
      </w:r>
      <w:r w:rsidR="007A194B" w:rsidRPr="007A194B">
        <w:rPr>
          <w:rFonts w:ascii="Times New Roman" w:eastAsia="Times New Roman" w:hAnsi="Times New Roman" w:cs="Times New Roman"/>
          <w:bCs/>
          <w:sz w:val="24"/>
          <w:szCs w:val="24"/>
          <w:lang w:eastAsia="pl-PL"/>
        </w:rPr>
        <w:t>ograniczony, jest jednak r</w:t>
      </w:r>
      <w:r w:rsidR="007A194B" w:rsidRPr="007A194B">
        <w:rPr>
          <w:rFonts w:ascii="Times New Roman" w:eastAsia="Times New Roman" w:hAnsi="Times New Roman" w:cs="Times New Roman"/>
          <w:sz w:val="24"/>
          <w:szCs w:val="24"/>
          <w:lang w:eastAsia="pl-PL"/>
        </w:rPr>
        <w:t xml:space="preserve">ealizowany z zachowaniem przepisów o ochronie </w:t>
      </w:r>
      <w:r w:rsidR="007A194B" w:rsidRPr="007A194B">
        <w:rPr>
          <w:rFonts w:ascii="Times New Roman" w:eastAsia="Times New Roman" w:hAnsi="Times New Roman" w:cs="Times New Roman"/>
          <w:bCs/>
          <w:sz w:val="24"/>
          <w:szCs w:val="24"/>
          <w:lang w:eastAsia="pl-PL"/>
        </w:rPr>
        <w:t xml:space="preserve">informacji i tajemnic prawnie chronionych. </w:t>
      </w:r>
      <w:r w:rsidR="007A194B" w:rsidRPr="007A194B">
        <w:rPr>
          <w:rFonts w:ascii="Times New Roman" w:eastAsia="Times New Roman" w:hAnsi="Times New Roman" w:cs="Times New Roman"/>
          <w:sz w:val="24"/>
          <w:szCs w:val="24"/>
          <w:lang w:eastAsia="pl-PL"/>
        </w:rPr>
        <w:t xml:space="preserve">Korelatem uprawnienia Komisji jest </w:t>
      </w:r>
      <w:r w:rsidR="007A194B" w:rsidRPr="00792294">
        <w:rPr>
          <w:rFonts w:ascii="Times New Roman" w:eastAsia="Times New Roman" w:hAnsi="Times New Roman" w:cs="Times New Roman"/>
          <w:sz w:val="24"/>
          <w:szCs w:val="24"/>
          <w:lang w:eastAsia="pl-PL"/>
        </w:rPr>
        <w:t>obowiązek po stronie osób wymieniony</w:t>
      </w:r>
      <w:r w:rsidR="007A194B" w:rsidRPr="000F29BE">
        <w:rPr>
          <w:rFonts w:ascii="Times New Roman" w:eastAsia="Times New Roman" w:hAnsi="Times New Roman" w:cs="Times New Roman"/>
          <w:sz w:val="24"/>
          <w:szCs w:val="24"/>
          <w:lang w:eastAsia="pl-PL"/>
        </w:rPr>
        <w:t xml:space="preserve">ch w art. </w:t>
      </w:r>
      <w:r w:rsidR="00166DD4">
        <w:rPr>
          <w:rFonts w:ascii="Times New Roman" w:eastAsia="Times New Roman" w:hAnsi="Times New Roman" w:cs="Times New Roman"/>
          <w:sz w:val="24"/>
          <w:szCs w:val="24"/>
          <w:lang w:eastAsia="pl-PL"/>
        </w:rPr>
        <w:t>18</w:t>
      </w:r>
      <w:r w:rsidR="007A194B" w:rsidRPr="000F29BE">
        <w:rPr>
          <w:rFonts w:ascii="Times New Roman" w:eastAsia="Times New Roman" w:hAnsi="Times New Roman" w:cs="Times New Roman"/>
          <w:sz w:val="24"/>
          <w:szCs w:val="24"/>
          <w:lang w:eastAsia="pl-PL"/>
        </w:rPr>
        <w:t xml:space="preserve">. </w:t>
      </w:r>
      <w:r w:rsidR="007A194B" w:rsidRPr="007A194B">
        <w:rPr>
          <w:rFonts w:ascii="Times New Roman" w:eastAsia="Times New Roman" w:hAnsi="Times New Roman" w:cs="Times New Roman"/>
          <w:sz w:val="24"/>
          <w:szCs w:val="24"/>
          <w:lang w:eastAsia="pl-PL"/>
        </w:rPr>
        <w:t xml:space="preserve">Rozwiązania te </w:t>
      </w:r>
      <w:r w:rsidR="007A194B" w:rsidRPr="007A194B">
        <w:rPr>
          <w:rFonts w:ascii="Times New Roman" w:eastAsia="Times New Roman" w:hAnsi="Times New Roman" w:cs="Times New Roman"/>
          <w:bCs/>
          <w:sz w:val="24"/>
          <w:szCs w:val="24"/>
          <w:lang w:eastAsia="pl-PL"/>
        </w:rPr>
        <w:t xml:space="preserve">pozwalają na realizacją istotnej funkcji prewencyjnej nadzoru – </w:t>
      </w:r>
      <w:r w:rsidR="007A194B" w:rsidRPr="007A194B">
        <w:rPr>
          <w:rFonts w:ascii="Times New Roman" w:eastAsia="Times New Roman" w:hAnsi="Times New Roman" w:cs="Times New Roman"/>
          <w:sz w:val="24"/>
          <w:szCs w:val="24"/>
          <w:lang w:eastAsia="pl-PL"/>
        </w:rPr>
        <w:t>w przypadku stwierdzenia przez Komisję jakichkolwiek nieprawidłowości będzie to stanowić podstawę do wszczęcia sformalizowanego postępowania nadzorczego. Istotnym uprawnieniem jest możliwość z</w:t>
      </w:r>
      <w:r w:rsidR="007A194B" w:rsidRPr="007A194B">
        <w:rPr>
          <w:rFonts w:ascii="Times New Roman" w:hAnsi="Times New Roman" w:cs="Times New Roman"/>
          <w:sz w:val="24"/>
          <w:szCs w:val="24"/>
        </w:rPr>
        <w:t xml:space="preserve">lecenia firmie </w:t>
      </w:r>
      <w:r w:rsidR="007A194B" w:rsidRPr="007A194B">
        <w:rPr>
          <w:rFonts w:ascii="Times New Roman" w:hAnsi="Times New Roman" w:cs="Times New Roman"/>
          <w:sz w:val="24"/>
          <w:szCs w:val="24"/>
        </w:rPr>
        <w:lastRenderedPageBreak/>
        <w:t xml:space="preserve">audytorskiej kontroli sprawozdań, informacji i ksiąg rachunkowych. </w:t>
      </w:r>
      <w:r w:rsidR="007A194B">
        <w:rPr>
          <w:rFonts w:ascii="Times New Roman" w:eastAsia="Times New Roman" w:hAnsi="Times New Roman" w:cs="Times New Roman"/>
          <w:bCs/>
          <w:sz w:val="24"/>
          <w:szCs w:val="24"/>
          <w:lang w:eastAsia="pl-PL"/>
        </w:rPr>
        <w:t>P</w:t>
      </w:r>
      <w:r>
        <w:rPr>
          <w:rFonts w:ascii="Times New Roman" w:eastAsia="Times New Roman" w:hAnsi="Times New Roman" w:cs="Times New Roman"/>
          <w:bCs/>
          <w:sz w:val="24"/>
          <w:szCs w:val="24"/>
          <w:lang w:eastAsia="pl-PL"/>
        </w:rPr>
        <w:t xml:space="preserve">roponowane rozwiązania są </w:t>
      </w:r>
      <w:r w:rsidR="00B32FE7" w:rsidRPr="004E768F">
        <w:rPr>
          <w:rFonts w:ascii="Times New Roman" w:eastAsia="Times New Roman" w:hAnsi="Times New Roman" w:cs="Times New Roman"/>
          <w:bCs/>
          <w:sz w:val="24"/>
          <w:szCs w:val="24"/>
          <w:lang w:eastAsia="pl-PL"/>
        </w:rPr>
        <w:t>wzorowan</w:t>
      </w:r>
      <w:r>
        <w:rPr>
          <w:rFonts w:ascii="Times New Roman" w:eastAsia="Times New Roman" w:hAnsi="Times New Roman" w:cs="Times New Roman"/>
          <w:bCs/>
          <w:sz w:val="24"/>
          <w:szCs w:val="24"/>
          <w:lang w:eastAsia="pl-PL"/>
        </w:rPr>
        <w:t xml:space="preserve">e na art. 88 i </w:t>
      </w:r>
      <w:r w:rsidR="00B32FE7" w:rsidRPr="004E768F">
        <w:rPr>
          <w:rFonts w:ascii="Times New Roman" w:eastAsia="Times New Roman" w:hAnsi="Times New Roman" w:cs="Times New Roman"/>
          <w:bCs/>
          <w:sz w:val="24"/>
          <w:szCs w:val="24"/>
          <w:lang w:eastAsia="pl-PL"/>
        </w:rPr>
        <w:t>art. 100 ustawy o obrocie instrumentami finansowymi.</w:t>
      </w:r>
    </w:p>
    <w:p w14:paraId="0A8ACA24" w14:textId="77777777" w:rsidR="002E1278" w:rsidRDefault="009B38B0" w:rsidP="0023266E">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20</w:t>
      </w:r>
      <w:r w:rsidR="000A2B96" w:rsidRPr="004E768F">
        <w:rPr>
          <w:rFonts w:ascii="Times New Roman" w:eastAsia="Times New Roman" w:hAnsi="Times New Roman" w:cs="Times New Roman"/>
          <w:b/>
          <w:bCs/>
          <w:sz w:val="24"/>
          <w:szCs w:val="24"/>
          <w:lang w:eastAsia="pl-PL"/>
        </w:rPr>
        <w:t xml:space="preserve"> </w:t>
      </w:r>
      <w:r w:rsidR="000A2B96" w:rsidRPr="00922D36">
        <w:rPr>
          <w:rFonts w:ascii="Times New Roman" w:eastAsia="Times New Roman" w:hAnsi="Times New Roman" w:cs="Times New Roman"/>
          <w:b/>
          <w:bCs/>
          <w:sz w:val="24"/>
          <w:szCs w:val="24"/>
          <w:lang w:eastAsia="pl-PL"/>
        </w:rPr>
        <w:t>ust. 1–3</w:t>
      </w:r>
      <w:r w:rsidR="000A2B96" w:rsidRPr="004E768F">
        <w:rPr>
          <w:rFonts w:ascii="Times New Roman" w:eastAsia="Times New Roman" w:hAnsi="Times New Roman" w:cs="Times New Roman"/>
          <w:bCs/>
          <w:sz w:val="24"/>
          <w:szCs w:val="24"/>
          <w:lang w:eastAsia="pl-PL"/>
        </w:rPr>
        <w:t xml:space="preserve"> </w:t>
      </w:r>
      <w:r w:rsidR="00F248E5" w:rsidRPr="004E768F">
        <w:rPr>
          <w:rFonts w:ascii="Times New Roman" w:eastAsia="Times New Roman" w:hAnsi="Times New Roman" w:cs="Times New Roman"/>
          <w:bCs/>
          <w:sz w:val="24"/>
          <w:szCs w:val="24"/>
          <w:lang w:eastAsia="pl-PL"/>
        </w:rPr>
        <w:t xml:space="preserve">stanowi doprecyzowanie przepisów </w:t>
      </w:r>
      <w:r w:rsidR="00166DD4">
        <w:rPr>
          <w:rFonts w:ascii="Times New Roman" w:eastAsia="Times New Roman" w:hAnsi="Times New Roman" w:cs="Times New Roman"/>
          <w:bCs/>
          <w:sz w:val="24"/>
          <w:szCs w:val="24"/>
          <w:lang w:eastAsia="pl-PL"/>
        </w:rPr>
        <w:t>art. 17</w:t>
      </w:r>
      <w:r w:rsidR="007A194B">
        <w:rPr>
          <w:rFonts w:ascii="Times New Roman" w:eastAsia="Times New Roman" w:hAnsi="Times New Roman" w:cs="Times New Roman"/>
          <w:bCs/>
          <w:sz w:val="24"/>
          <w:szCs w:val="24"/>
          <w:lang w:eastAsia="pl-PL"/>
        </w:rPr>
        <w:t xml:space="preserve"> </w:t>
      </w:r>
      <w:r w:rsidR="00F248E5" w:rsidRPr="004E768F">
        <w:rPr>
          <w:rFonts w:ascii="Times New Roman" w:eastAsia="Times New Roman" w:hAnsi="Times New Roman" w:cs="Times New Roman"/>
          <w:bCs/>
          <w:sz w:val="24"/>
          <w:szCs w:val="24"/>
          <w:lang w:eastAsia="pl-PL"/>
        </w:rPr>
        <w:t xml:space="preserve">rozporządzenia 2020/1503 w zakresie </w:t>
      </w:r>
      <w:r w:rsidR="007A194B">
        <w:rPr>
          <w:rFonts w:ascii="Times New Roman" w:eastAsia="Times New Roman" w:hAnsi="Times New Roman" w:cs="Times New Roman"/>
          <w:bCs/>
          <w:sz w:val="24"/>
          <w:szCs w:val="24"/>
          <w:lang w:eastAsia="pl-PL"/>
        </w:rPr>
        <w:t xml:space="preserve">określenia </w:t>
      </w:r>
      <w:r w:rsidR="00F248E5" w:rsidRPr="004E768F">
        <w:rPr>
          <w:rFonts w:ascii="Times New Roman" w:eastAsia="Times New Roman" w:hAnsi="Times New Roman" w:cs="Times New Roman"/>
          <w:bCs/>
          <w:sz w:val="24"/>
          <w:szCs w:val="24"/>
          <w:lang w:eastAsia="pl-PL"/>
        </w:rPr>
        <w:t xml:space="preserve">przypadków </w:t>
      </w:r>
      <w:r w:rsidR="000F29BE">
        <w:rPr>
          <w:rFonts w:ascii="Times New Roman" w:eastAsia="Times New Roman" w:hAnsi="Times New Roman" w:cs="Times New Roman"/>
          <w:bCs/>
          <w:sz w:val="24"/>
          <w:szCs w:val="24"/>
          <w:lang w:eastAsia="pl-PL"/>
        </w:rPr>
        <w:t xml:space="preserve">i skutków </w:t>
      </w:r>
      <w:r w:rsidR="00F248E5" w:rsidRPr="004E768F">
        <w:rPr>
          <w:rFonts w:ascii="Times New Roman" w:eastAsia="Times New Roman" w:hAnsi="Times New Roman" w:cs="Times New Roman"/>
          <w:bCs/>
          <w:sz w:val="24"/>
          <w:szCs w:val="24"/>
          <w:lang w:eastAsia="pl-PL"/>
        </w:rPr>
        <w:t xml:space="preserve">wygaśnięcia zezwolenia na prowadzenie działalności jako dostawca usług finansowania społecznościowego. </w:t>
      </w:r>
      <w:r w:rsidR="007A194B">
        <w:rPr>
          <w:rFonts w:ascii="Times New Roman" w:eastAsia="Times New Roman" w:hAnsi="Times New Roman" w:cs="Times New Roman"/>
          <w:bCs/>
          <w:sz w:val="24"/>
          <w:szCs w:val="24"/>
          <w:lang w:eastAsia="pl-PL"/>
        </w:rPr>
        <w:t>Z</w:t>
      </w:r>
      <w:r w:rsidR="00F248E5" w:rsidRPr="004E768F">
        <w:rPr>
          <w:rFonts w:ascii="Times New Roman" w:eastAsia="Times New Roman" w:hAnsi="Times New Roman" w:cs="Times New Roman"/>
          <w:bCs/>
          <w:sz w:val="24"/>
          <w:szCs w:val="24"/>
          <w:lang w:eastAsia="pl-PL"/>
        </w:rPr>
        <w:t>ezwolenie wyga</w:t>
      </w:r>
      <w:r w:rsidR="007A194B">
        <w:rPr>
          <w:rFonts w:ascii="Times New Roman" w:eastAsia="Times New Roman" w:hAnsi="Times New Roman" w:cs="Times New Roman"/>
          <w:bCs/>
          <w:sz w:val="24"/>
          <w:szCs w:val="24"/>
          <w:lang w:eastAsia="pl-PL"/>
        </w:rPr>
        <w:t xml:space="preserve">śnie </w:t>
      </w:r>
      <w:r w:rsidR="00F248E5" w:rsidRPr="004E768F">
        <w:rPr>
          <w:rFonts w:ascii="Times New Roman" w:eastAsia="Times New Roman" w:hAnsi="Times New Roman" w:cs="Times New Roman"/>
          <w:bCs/>
          <w:sz w:val="24"/>
          <w:szCs w:val="24"/>
          <w:lang w:eastAsia="pl-PL"/>
        </w:rPr>
        <w:t>z chwilą ogłoszenia upadłości lub otwarcia likwidacji dostawcy usług finansowania społeczno</w:t>
      </w:r>
      <w:r w:rsidR="00166DD4">
        <w:rPr>
          <w:rFonts w:ascii="Times New Roman" w:eastAsia="Times New Roman" w:hAnsi="Times New Roman" w:cs="Times New Roman"/>
          <w:bCs/>
          <w:sz w:val="24"/>
          <w:szCs w:val="24"/>
          <w:lang w:eastAsia="pl-PL"/>
        </w:rPr>
        <w:t>ściowego.</w:t>
      </w:r>
      <w:r w:rsidR="0023266E">
        <w:rPr>
          <w:rFonts w:ascii="Times New Roman" w:eastAsia="Times New Roman" w:hAnsi="Times New Roman" w:cs="Times New Roman"/>
          <w:bCs/>
          <w:sz w:val="24"/>
          <w:szCs w:val="24"/>
          <w:lang w:eastAsia="pl-PL"/>
        </w:rPr>
        <w:t xml:space="preserve"> </w:t>
      </w:r>
    </w:p>
    <w:p w14:paraId="6676CD8C" w14:textId="7A62BF45" w:rsidR="0023266E" w:rsidRPr="004E768F" w:rsidRDefault="009B38B0" w:rsidP="002E1278">
      <w:pPr>
        <w:suppressAutoHyphens/>
        <w:autoSpaceDE w:val="0"/>
        <w:autoSpaceDN w:val="0"/>
        <w:adjustRightInd w:val="0"/>
        <w:spacing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20</w:t>
      </w:r>
      <w:r w:rsidR="00F248E5" w:rsidRPr="00922D36">
        <w:rPr>
          <w:rFonts w:ascii="Times New Roman" w:eastAsia="Times New Roman" w:hAnsi="Times New Roman" w:cs="Times New Roman"/>
          <w:b/>
          <w:bCs/>
          <w:sz w:val="24"/>
          <w:szCs w:val="24"/>
          <w:lang w:eastAsia="pl-PL"/>
        </w:rPr>
        <w:t xml:space="preserve"> ust. 4–</w:t>
      </w:r>
      <w:r>
        <w:rPr>
          <w:rFonts w:ascii="Times New Roman" w:eastAsia="Times New Roman" w:hAnsi="Times New Roman" w:cs="Times New Roman"/>
          <w:b/>
          <w:bCs/>
          <w:sz w:val="24"/>
          <w:szCs w:val="24"/>
          <w:lang w:eastAsia="pl-PL"/>
        </w:rPr>
        <w:t>6</w:t>
      </w:r>
      <w:r w:rsidR="00F248E5" w:rsidRPr="004E768F">
        <w:rPr>
          <w:rFonts w:ascii="Times New Roman" w:eastAsia="Times New Roman" w:hAnsi="Times New Roman" w:cs="Times New Roman"/>
          <w:bCs/>
          <w:sz w:val="24"/>
          <w:szCs w:val="24"/>
          <w:lang w:eastAsia="pl-PL"/>
        </w:rPr>
        <w:t xml:space="preserve"> </w:t>
      </w:r>
      <w:r w:rsidR="000F29BE">
        <w:rPr>
          <w:rFonts w:ascii="Times New Roman" w:eastAsia="Times New Roman" w:hAnsi="Times New Roman" w:cs="Times New Roman"/>
          <w:bCs/>
          <w:sz w:val="24"/>
          <w:szCs w:val="24"/>
          <w:lang w:eastAsia="pl-PL"/>
        </w:rPr>
        <w:t xml:space="preserve">dotyczą – zgodnie z </w:t>
      </w:r>
      <w:r w:rsidR="000F29BE" w:rsidRPr="004E768F">
        <w:rPr>
          <w:rFonts w:ascii="Times New Roman" w:eastAsia="Times New Roman" w:hAnsi="Times New Roman" w:cs="Times New Roman"/>
          <w:bCs/>
          <w:sz w:val="24"/>
          <w:szCs w:val="24"/>
          <w:lang w:eastAsia="pl-PL"/>
        </w:rPr>
        <w:t>art. 30 ust. 2 lit. i rozporządzenia 2020/1503</w:t>
      </w:r>
      <w:r w:rsidR="000F29BE">
        <w:rPr>
          <w:rFonts w:ascii="Times New Roman" w:eastAsia="Times New Roman" w:hAnsi="Times New Roman" w:cs="Times New Roman"/>
          <w:bCs/>
          <w:sz w:val="24"/>
          <w:szCs w:val="24"/>
          <w:lang w:eastAsia="pl-PL"/>
        </w:rPr>
        <w:t xml:space="preserve"> – </w:t>
      </w:r>
      <w:r w:rsidR="00F248E5" w:rsidRPr="004E768F">
        <w:rPr>
          <w:rFonts w:ascii="Times New Roman" w:eastAsia="Times New Roman" w:hAnsi="Times New Roman" w:cs="Times New Roman"/>
          <w:bCs/>
          <w:sz w:val="24"/>
          <w:szCs w:val="24"/>
          <w:lang w:eastAsia="pl-PL"/>
        </w:rPr>
        <w:t xml:space="preserve">przeniesienia praw i obowiązków wynikających z umów </w:t>
      </w:r>
      <w:r w:rsidR="00F07643" w:rsidRPr="004E768F">
        <w:rPr>
          <w:rFonts w:ascii="Times New Roman" w:eastAsia="Times New Roman" w:hAnsi="Times New Roman" w:cs="Times New Roman"/>
          <w:bCs/>
          <w:sz w:val="24"/>
          <w:szCs w:val="24"/>
          <w:lang w:eastAsia="pl-PL"/>
        </w:rPr>
        <w:t xml:space="preserve">związanych ze świadczeniem usług finansowania społecznościowego na innego dostawcę usług finansowania społecznościowego w przypadku wygaśnięcia lub cofnięcia zezwolenia na prowadzenie działalności w zakresie świadczenia usług finansowania społecznościowego. </w:t>
      </w:r>
      <w:r w:rsidR="000F29BE">
        <w:rPr>
          <w:rFonts w:ascii="Times New Roman" w:eastAsia="Times New Roman" w:hAnsi="Times New Roman" w:cs="Times New Roman"/>
          <w:bCs/>
          <w:sz w:val="24"/>
          <w:szCs w:val="24"/>
          <w:lang w:eastAsia="pl-PL"/>
        </w:rPr>
        <w:t xml:space="preserve">W takim przypadku Komisja może, w drodze decyzji, nakazać dokonanie takiego przeniesienia, pod warunkiem wyrażenia </w:t>
      </w:r>
      <w:r w:rsidR="006F254C" w:rsidRPr="004E768F">
        <w:rPr>
          <w:rFonts w:ascii="Times New Roman" w:eastAsia="Times New Roman" w:hAnsi="Times New Roman" w:cs="Times New Roman"/>
          <w:bCs/>
          <w:sz w:val="24"/>
          <w:szCs w:val="24"/>
          <w:lang w:eastAsia="pl-PL"/>
        </w:rPr>
        <w:t xml:space="preserve">zgody </w:t>
      </w:r>
      <w:r w:rsidR="000F29BE">
        <w:rPr>
          <w:rFonts w:ascii="Times New Roman" w:eastAsia="Times New Roman" w:hAnsi="Times New Roman" w:cs="Times New Roman"/>
          <w:bCs/>
          <w:sz w:val="24"/>
          <w:szCs w:val="24"/>
          <w:lang w:eastAsia="pl-PL"/>
        </w:rPr>
        <w:t xml:space="preserve">przez </w:t>
      </w:r>
      <w:r w:rsidR="006F254C" w:rsidRPr="004E768F">
        <w:rPr>
          <w:rFonts w:ascii="Times New Roman" w:eastAsia="Times New Roman" w:hAnsi="Times New Roman" w:cs="Times New Roman"/>
          <w:bCs/>
          <w:sz w:val="24"/>
          <w:szCs w:val="24"/>
          <w:lang w:eastAsia="pl-PL"/>
        </w:rPr>
        <w:t>dostawc</w:t>
      </w:r>
      <w:r w:rsidR="000F29BE">
        <w:rPr>
          <w:rFonts w:ascii="Times New Roman" w:eastAsia="Times New Roman" w:hAnsi="Times New Roman" w:cs="Times New Roman"/>
          <w:bCs/>
          <w:sz w:val="24"/>
          <w:szCs w:val="24"/>
          <w:lang w:eastAsia="pl-PL"/>
        </w:rPr>
        <w:t>ę</w:t>
      </w:r>
      <w:r w:rsidR="006F254C" w:rsidRPr="004E768F">
        <w:rPr>
          <w:rFonts w:ascii="Times New Roman" w:eastAsia="Times New Roman" w:hAnsi="Times New Roman" w:cs="Times New Roman"/>
          <w:bCs/>
          <w:sz w:val="24"/>
          <w:szCs w:val="24"/>
          <w:lang w:eastAsia="pl-PL"/>
        </w:rPr>
        <w:t xml:space="preserve"> usług finansowania społecznościowego przejmującego umowy oraz klientów, którzy te umowy zawarli. W przypadku nieuzyskania takich zgód dokument</w:t>
      </w:r>
      <w:r w:rsidR="000F29BE">
        <w:rPr>
          <w:rFonts w:ascii="Times New Roman" w:eastAsia="Times New Roman" w:hAnsi="Times New Roman" w:cs="Times New Roman"/>
          <w:bCs/>
          <w:sz w:val="24"/>
          <w:szCs w:val="24"/>
          <w:lang w:eastAsia="pl-PL"/>
        </w:rPr>
        <w:t>y</w:t>
      </w:r>
      <w:r w:rsidR="006F254C" w:rsidRPr="004E768F">
        <w:rPr>
          <w:rFonts w:ascii="Times New Roman" w:eastAsia="Times New Roman" w:hAnsi="Times New Roman" w:cs="Times New Roman"/>
          <w:bCs/>
          <w:sz w:val="24"/>
          <w:szCs w:val="24"/>
          <w:lang w:eastAsia="pl-PL"/>
        </w:rPr>
        <w:t xml:space="preserve"> związan</w:t>
      </w:r>
      <w:r w:rsidR="000F29BE">
        <w:rPr>
          <w:rFonts w:ascii="Times New Roman" w:eastAsia="Times New Roman" w:hAnsi="Times New Roman" w:cs="Times New Roman"/>
          <w:bCs/>
          <w:sz w:val="24"/>
          <w:szCs w:val="24"/>
          <w:lang w:eastAsia="pl-PL"/>
        </w:rPr>
        <w:t>e</w:t>
      </w:r>
      <w:r w:rsidR="006F254C" w:rsidRPr="004E768F">
        <w:rPr>
          <w:rFonts w:ascii="Times New Roman" w:eastAsia="Times New Roman" w:hAnsi="Times New Roman" w:cs="Times New Roman"/>
          <w:bCs/>
          <w:sz w:val="24"/>
          <w:szCs w:val="24"/>
          <w:lang w:eastAsia="pl-PL"/>
        </w:rPr>
        <w:t xml:space="preserve"> z działalnością dostawcy usług finansowania społecznościowego, który utracił zezwolenie na prowadzenie działalności</w:t>
      </w:r>
      <w:r w:rsidR="000F29BE">
        <w:rPr>
          <w:rFonts w:ascii="Times New Roman" w:eastAsia="Times New Roman" w:hAnsi="Times New Roman" w:cs="Times New Roman"/>
          <w:bCs/>
          <w:sz w:val="24"/>
          <w:szCs w:val="24"/>
          <w:lang w:eastAsia="pl-PL"/>
        </w:rPr>
        <w:t xml:space="preserve">, będą </w:t>
      </w:r>
      <w:r w:rsidR="000F29BE" w:rsidRPr="004E768F">
        <w:rPr>
          <w:rFonts w:ascii="Times New Roman" w:eastAsia="Times New Roman" w:hAnsi="Times New Roman" w:cs="Times New Roman"/>
          <w:bCs/>
          <w:sz w:val="24"/>
          <w:szCs w:val="24"/>
          <w:lang w:eastAsia="pl-PL"/>
        </w:rPr>
        <w:t>oddane na przechowanie osobie wskazanej w statucie lub uchwale walnego zgromadzenia</w:t>
      </w:r>
      <w:r w:rsidR="000F29BE">
        <w:rPr>
          <w:rFonts w:ascii="Times New Roman" w:eastAsia="Times New Roman" w:hAnsi="Times New Roman" w:cs="Times New Roman"/>
          <w:bCs/>
          <w:sz w:val="24"/>
          <w:szCs w:val="24"/>
          <w:lang w:eastAsia="pl-PL"/>
        </w:rPr>
        <w:t xml:space="preserve"> albo przechowawcy </w:t>
      </w:r>
      <w:r w:rsidR="000F29BE" w:rsidRPr="004E768F">
        <w:rPr>
          <w:rFonts w:ascii="Times New Roman" w:eastAsia="Times New Roman" w:hAnsi="Times New Roman" w:cs="Times New Roman"/>
          <w:bCs/>
          <w:sz w:val="24"/>
          <w:szCs w:val="24"/>
          <w:lang w:eastAsia="pl-PL"/>
        </w:rPr>
        <w:t>wyznacz</w:t>
      </w:r>
      <w:r w:rsidR="000F29BE">
        <w:rPr>
          <w:rFonts w:ascii="Times New Roman" w:eastAsia="Times New Roman" w:hAnsi="Times New Roman" w:cs="Times New Roman"/>
          <w:bCs/>
          <w:sz w:val="24"/>
          <w:szCs w:val="24"/>
          <w:lang w:eastAsia="pl-PL"/>
        </w:rPr>
        <w:t xml:space="preserve">onemu przez </w:t>
      </w:r>
      <w:r w:rsidR="000F29BE" w:rsidRPr="004E768F">
        <w:rPr>
          <w:rFonts w:ascii="Times New Roman" w:eastAsia="Times New Roman" w:hAnsi="Times New Roman" w:cs="Times New Roman"/>
          <w:bCs/>
          <w:sz w:val="24"/>
          <w:szCs w:val="24"/>
          <w:lang w:eastAsia="pl-PL"/>
        </w:rPr>
        <w:t>sąd rejestrowy.</w:t>
      </w:r>
    </w:p>
    <w:p w14:paraId="76B852A4" w14:textId="147C29F8" w:rsidR="0023266E" w:rsidRDefault="009B38B0" w:rsidP="002E1278">
      <w:pPr>
        <w:suppressAutoHyphens/>
        <w:autoSpaceDE w:val="0"/>
        <w:autoSpaceDN w:val="0"/>
        <w:adjustRightInd w:val="0"/>
        <w:spacing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21–23</w:t>
      </w:r>
      <w:r w:rsidR="006F254C" w:rsidRPr="004E768F">
        <w:rPr>
          <w:rFonts w:ascii="Times New Roman" w:eastAsia="Times New Roman" w:hAnsi="Times New Roman" w:cs="Times New Roman"/>
          <w:b/>
          <w:bCs/>
          <w:sz w:val="24"/>
          <w:szCs w:val="24"/>
          <w:lang w:eastAsia="pl-PL"/>
        </w:rPr>
        <w:t xml:space="preserve"> </w:t>
      </w:r>
      <w:r w:rsidR="005234AD">
        <w:rPr>
          <w:rFonts w:ascii="Times New Roman" w:eastAsia="Times New Roman" w:hAnsi="Times New Roman" w:cs="Times New Roman"/>
          <w:bCs/>
          <w:sz w:val="24"/>
          <w:szCs w:val="24"/>
          <w:lang w:eastAsia="pl-PL"/>
        </w:rPr>
        <w:t>nadają</w:t>
      </w:r>
      <w:r w:rsidR="006F254C" w:rsidRPr="004E768F">
        <w:rPr>
          <w:rFonts w:ascii="Times New Roman" w:eastAsia="Times New Roman" w:hAnsi="Times New Roman" w:cs="Times New Roman"/>
          <w:bCs/>
          <w:sz w:val="24"/>
          <w:szCs w:val="24"/>
          <w:lang w:eastAsia="pl-PL"/>
        </w:rPr>
        <w:t xml:space="preserve"> Komisji uprawnienia, o których mowa w art. 30 ust. 2 lit. a–d rozporządzenia 2020/1503. </w:t>
      </w:r>
      <w:r w:rsidR="000F29BE">
        <w:rPr>
          <w:rFonts w:ascii="Times New Roman" w:eastAsia="Times New Roman" w:hAnsi="Times New Roman" w:cs="Times New Roman"/>
          <w:bCs/>
          <w:sz w:val="24"/>
          <w:szCs w:val="24"/>
          <w:lang w:eastAsia="pl-PL"/>
        </w:rPr>
        <w:t>U</w:t>
      </w:r>
      <w:r w:rsidR="006F254C" w:rsidRPr="004E768F">
        <w:rPr>
          <w:rFonts w:ascii="Times New Roman" w:eastAsia="Times New Roman" w:hAnsi="Times New Roman" w:cs="Times New Roman"/>
          <w:bCs/>
          <w:sz w:val="24"/>
          <w:szCs w:val="24"/>
          <w:lang w:eastAsia="pl-PL"/>
        </w:rPr>
        <w:t>prawnienia</w:t>
      </w:r>
      <w:r w:rsidR="000F29BE">
        <w:rPr>
          <w:rFonts w:ascii="Times New Roman" w:eastAsia="Times New Roman" w:hAnsi="Times New Roman" w:cs="Times New Roman"/>
          <w:bCs/>
          <w:sz w:val="24"/>
          <w:szCs w:val="24"/>
          <w:lang w:eastAsia="pl-PL"/>
        </w:rPr>
        <w:t xml:space="preserve"> Komisji obejmują </w:t>
      </w:r>
      <w:r w:rsidR="004A5540" w:rsidRPr="004E768F">
        <w:rPr>
          <w:rFonts w:ascii="Times New Roman" w:eastAsia="Times New Roman" w:hAnsi="Times New Roman" w:cs="Times New Roman"/>
          <w:bCs/>
          <w:sz w:val="24"/>
          <w:szCs w:val="24"/>
          <w:lang w:eastAsia="pl-PL"/>
        </w:rPr>
        <w:t>nakaz wstrzymania rozpoczęcia lub zakaz rozpoczęcia oferty finansowania społecznościowego, nakaz wstrzymania rozpoczęcia lub zakaz przekazywania komunikatów marketingowych oraz nakaz wstrzymania świadczenia usług finansowania społecznościowego</w:t>
      </w:r>
      <w:r w:rsidR="000F29BE">
        <w:rPr>
          <w:rFonts w:ascii="Times New Roman" w:eastAsia="Times New Roman" w:hAnsi="Times New Roman" w:cs="Times New Roman"/>
          <w:bCs/>
          <w:sz w:val="24"/>
          <w:szCs w:val="24"/>
          <w:lang w:eastAsia="pl-PL"/>
        </w:rPr>
        <w:t>. B</w:t>
      </w:r>
      <w:r w:rsidR="004A5540" w:rsidRPr="004E768F">
        <w:rPr>
          <w:rFonts w:ascii="Times New Roman" w:eastAsia="Times New Roman" w:hAnsi="Times New Roman" w:cs="Times New Roman"/>
          <w:bCs/>
          <w:sz w:val="24"/>
          <w:szCs w:val="24"/>
          <w:lang w:eastAsia="pl-PL"/>
        </w:rPr>
        <w:t xml:space="preserve">ędą miały zastosowanie w przypadku powzięcia przez Komisję </w:t>
      </w:r>
      <w:r w:rsidR="005234AD">
        <w:rPr>
          <w:rFonts w:ascii="Times New Roman" w:eastAsia="Times New Roman" w:hAnsi="Times New Roman" w:cs="Times New Roman"/>
          <w:bCs/>
          <w:sz w:val="24"/>
          <w:szCs w:val="24"/>
          <w:lang w:eastAsia="pl-PL"/>
        </w:rPr>
        <w:t>informacji o naruszeniu lub uzasadnionym</w:t>
      </w:r>
      <w:r w:rsidR="004A5540" w:rsidRPr="004E768F">
        <w:rPr>
          <w:rFonts w:ascii="Times New Roman" w:eastAsia="Times New Roman" w:hAnsi="Times New Roman" w:cs="Times New Roman"/>
          <w:bCs/>
          <w:sz w:val="24"/>
          <w:szCs w:val="24"/>
          <w:lang w:eastAsia="pl-PL"/>
        </w:rPr>
        <w:t xml:space="preserve"> podejrz</w:t>
      </w:r>
      <w:r w:rsidR="005234AD">
        <w:rPr>
          <w:rFonts w:ascii="Times New Roman" w:eastAsia="Times New Roman" w:hAnsi="Times New Roman" w:cs="Times New Roman"/>
          <w:bCs/>
          <w:sz w:val="24"/>
          <w:szCs w:val="24"/>
          <w:lang w:eastAsia="pl-PL"/>
        </w:rPr>
        <w:t>eniu</w:t>
      </w:r>
      <w:r w:rsidR="004A5540" w:rsidRPr="004E768F">
        <w:rPr>
          <w:rFonts w:ascii="Times New Roman" w:eastAsia="Times New Roman" w:hAnsi="Times New Roman" w:cs="Times New Roman"/>
          <w:bCs/>
          <w:sz w:val="24"/>
          <w:szCs w:val="24"/>
          <w:lang w:eastAsia="pl-PL"/>
        </w:rPr>
        <w:t xml:space="preserve"> naruszenia przepisów </w:t>
      </w:r>
      <w:r w:rsidR="00CC59FA">
        <w:rPr>
          <w:rFonts w:ascii="Times New Roman" w:eastAsia="Times New Roman" w:hAnsi="Times New Roman" w:cs="Times New Roman"/>
          <w:bCs/>
          <w:sz w:val="24"/>
          <w:szCs w:val="24"/>
          <w:lang w:eastAsia="pl-PL"/>
        </w:rPr>
        <w:t xml:space="preserve">dotyczących </w:t>
      </w:r>
      <w:r w:rsidR="005234AD">
        <w:rPr>
          <w:rFonts w:ascii="Times New Roman" w:eastAsia="Times New Roman" w:hAnsi="Times New Roman" w:cs="Times New Roman"/>
          <w:bCs/>
          <w:sz w:val="24"/>
          <w:szCs w:val="24"/>
          <w:lang w:eastAsia="pl-PL"/>
        </w:rPr>
        <w:t>dokumentów związanych z ofertami finansowania społecznościowego (art. 20), reklamowania swoich usług (art. 21) oraz działalności naruszającej interesy inwestorów (art. 22)</w:t>
      </w:r>
      <w:r w:rsidR="004A5540" w:rsidRPr="004E768F">
        <w:rPr>
          <w:rFonts w:ascii="Times New Roman" w:eastAsia="Times New Roman" w:hAnsi="Times New Roman" w:cs="Times New Roman"/>
          <w:bCs/>
          <w:sz w:val="24"/>
          <w:szCs w:val="24"/>
          <w:lang w:eastAsia="pl-PL"/>
        </w:rPr>
        <w:t>.</w:t>
      </w:r>
      <w:r w:rsidR="005234AD">
        <w:rPr>
          <w:rFonts w:ascii="Times New Roman" w:eastAsia="Times New Roman" w:hAnsi="Times New Roman" w:cs="Times New Roman"/>
          <w:bCs/>
          <w:sz w:val="24"/>
          <w:szCs w:val="24"/>
          <w:lang w:eastAsia="pl-PL"/>
        </w:rPr>
        <w:t xml:space="preserve"> </w:t>
      </w:r>
      <w:r w:rsidR="000E5BF2">
        <w:rPr>
          <w:rFonts w:ascii="Times New Roman" w:eastAsia="Times New Roman" w:hAnsi="Times New Roman" w:cs="Times New Roman"/>
          <w:bCs/>
          <w:sz w:val="24"/>
          <w:szCs w:val="24"/>
          <w:lang w:eastAsia="pl-PL"/>
        </w:rPr>
        <w:t>W przypadku uzasadnionego podejrzenia naruszenia Komisja będzie mogła zastosować środek nadzorczy o charakterze tymczasowym, tj. wstrzymanie określonych działań na okres nie dłuższy niż 10 dni roboczych. W przypadku potwierdzenia zaistnienia naruszenia Komisja będzie mogła nałożyć bardziej dolegliwy środek w postaci zakazu podejmowania określonych działań.</w:t>
      </w:r>
    </w:p>
    <w:p w14:paraId="14FA438C" w14:textId="77777777" w:rsidR="000E5BF2" w:rsidRDefault="000E5BF2" w:rsidP="00922D36">
      <w:pPr>
        <w:suppressAutoHyphens/>
        <w:autoSpaceDE w:val="0"/>
        <w:autoSpaceDN w:val="0"/>
        <w:adjustRightInd w:val="0"/>
        <w:spacing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Zgodnie z </w:t>
      </w:r>
      <w:r w:rsidRPr="000E5BF2">
        <w:rPr>
          <w:rFonts w:ascii="Times New Roman" w:eastAsia="Times New Roman" w:hAnsi="Times New Roman" w:cs="Times New Roman"/>
          <w:b/>
          <w:bCs/>
          <w:sz w:val="24"/>
          <w:szCs w:val="24"/>
          <w:lang w:eastAsia="pl-PL"/>
        </w:rPr>
        <w:t>art. 24</w:t>
      </w:r>
      <w:r>
        <w:rPr>
          <w:rFonts w:ascii="Times New Roman" w:eastAsia="Times New Roman" w:hAnsi="Times New Roman" w:cs="Times New Roman"/>
          <w:bCs/>
          <w:sz w:val="24"/>
          <w:szCs w:val="24"/>
          <w:lang w:eastAsia="pl-PL"/>
        </w:rPr>
        <w:t xml:space="preserve"> </w:t>
      </w:r>
      <w:r w:rsidR="005234AD">
        <w:rPr>
          <w:rFonts w:ascii="Times New Roman" w:eastAsia="Times New Roman" w:hAnsi="Times New Roman" w:cs="Times New Roman"/>
          <w:bCs/>
          <w:sz w:val="24"/>
          <w:szCs w:val="24"/>
          <w:lang w:eastAsia="pl-PL"/>
        </w:rPr>
        <w:t xml:space="preserve">Komisja będzie mogła stosować środki </w:t>
      </w:r>
      <w:r>
        <w:rPr>
          <w:rFonts w:ascii="Times New Roman" w:eastAsia="Times New Roman" w:hAnsi="Times New Roman" w:cs="Times New Roman"/>
          <w:bCs/>
          <w:sz w:val="24"/>
          <w:szCs w:val="24"/>
          <w:lang w:eastAsia="pl-PL"/>
        </w:rPr>
        <w:t xml:space="preserve">nadzorcze </w:t>
      </w:r>
      <w:r w:rsidR="005234AD">
        <w:rPr>
          <w:rFonts w:ascii="Times New Roman" w:eastAsia="Times New Roman" w:hAnsi="Times New Roman" w:cs="Times New Roman"/>
          <w:bCs/>
          <w:sz w:val="24"/>
          <w:szCs w:val="24"/>
          <w:lang w:eastAsia="pl-PL"/>
        </w:rPr>
        <w:t>wielokrotnie, co zapewni skuteczność sprawowanego nadzoru.</w:t>
      </w:r>
    </w:p>
    <w:p w14:paraId="209CD005" w14:textId="27E2A6B9" w:rsidR="00424E07" w:rsidRPr="004E768F" w:rsidRDefault="000E5BF2" w:rsidP="00922D36">
      <w:pPr>
        <w:suppressAutoHyphens/>
        <w:autoSpaceDE w:val="0"/>
        <w:autoSpaceDN w:val="0"/>
        <w:adjustRightInd w:val="0"/>
        <w:spacing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25</w:t>
      </w:r>
      <w:r w:rsidR="005234AD" w:rsidRPr="00922D36">
        <w:rPr>
          <w:rFonts w:ascii="Times New Roman" w:eastAsia="Times New Roman" w:hAnsi="Times New Roman" w:cs="Times New Roman"/>
          <w:b/>
          <w:bCs/>
          <w:sz w:val="24"/>
          <w:szCs w:val="24"/>
          <w:lang w:eastAsia="pl-PL"/>
        </w:rPr>
        <w:t xml:space="preserve"> </w:t>
      </w:r>
      <w:r w:rsidR="00CC59FA">
        <w:rPr>
          <w:rFonts w:ascii="Times New Roman" w:eastAsia="Times New Roman" w:hAnsi="Times New Roman" w:cs="Times New Roman"/>
          <w:bCs/>
          <w:sz w:val="24"/>
          <w:szCs w:val="24"/>
          <w:lang w:eastAsia="pl-PL"/>
        </w:rPr>
        <w:t xml:space="preserve">wskazuje </w:t>
      </w:r>
      <w:r w:rsidR="000B5514" w:rsidRPr="004E768F">
        <w:rPr>
          <w:rFonts w:ascii="Times New Roman" w:eastAsia="Times New Roman" w:hAnsi="Times New Roman" w:cs="Times New Roman"/>
          <w:bCs/>
          <w:sz w:val="24"/>
          <w:szCs w:val="24"/>
          <w:lang w:eastAsia="pl-PL"/>
        </w:rPr>
        <w:t>Komisj</w:t>
      </w:r>
      <w:r w:rsidR="00CC59FA">
        <w:rPr>
          <w:rFonts w:ascii="Times New Roman" w:eastAsia="Times New Roman" w:hAnsi="Times New Roman" w:cs="Times New Roman"/>
          <w:bCs/>
          <w:sz w:val="24"/>
          <w:szCs w:val="24"/>
          <w:lang w:eastAsia="pl-PL"/>
        </w:rPr>
        <w:t>ę</w:t>
      </w:r>
      <w:r w:rsidR="000B5514" w:rsidRPr="004E768F">
        <w:rPr>
          <w:rFonts w:ascii="Times New Roman" w:eastAsia="Times New Roman" w:hAnsi="Times New Roman" w:cs="Times New Roman"/>
          <w:bCs/>
          <w:sz w:val="24"/>
          <w:szCs w:val="24"/>
          <w:lang w:eastAsia="pl-PL"/>
        </w:rPr>
        <w:t xml:space="preserve"> </w:t>
      </w:r>
      <w:r w:rsidR="00CC59FA">
        <w:rPr>
          <w:rFonts w:ascii="Times New Roman" w:eastAsia="Times New Roman" w:hAnsi="Times New Roman" w:cs="Times New Roman"/>
          <w:bCs/>
          <w:sz w:val="24"/>
          <w:szCs w:val="24"/>
          <w:lang w:eastAsia="pl-PL"/>
        </w:rPr>
        <w:t xml:space="preserve">jako organ </w:t>
      </w:r>
      <w:r w:rsidR="000B5514" w:rsidRPr="004E768F">
        <w:rPr>
          <w:rFonts w:ascii="Times New Roman" w:eastAsia="Times New Roman" w:hAnsi="Times New Roman" w:cs="Times New Roman"/>
          <w:bCs/>
          <w:sz w:val="24"/>
          <w:szCs w:val="24"/>
          <w:lang w:eastAsia="pl-PL"/>
        </w:rPr>
        <w:t>uprawni</w:t>
      </w:r>
      <w:r w:rsidR="00CC59FA">
        <w:rPr>
          <w:rFonts w:ascii="Times New Roman" w:eastAsia="Times New Roman" w:hAnsi="Times New Roman" w:cs="Times New Roman"/>
          <w:bCs/>
          <w:sz w:val="24"/>
          <w:szCs w:val="24"/>
          <w:lang w:eastAsia="pl-PL"/>
        </w:rPr>
        <w:t xml:space="preserve">ony </w:t>
      </w:r>
      <w:r w:rsidR="005234AD">
        <w:rPr>
          <w:rFonts w:ascii="Times New Roman" w:eastAsia="Times New Roman" w:hAnsi="Times New Roman" w:cs="Times New Roman"/>
          <w:bCs/>
          <w:sz w:val="24"/>
          <w:szCs w:val="24"/>
          <w:lang w:eastAsia="pl-PL"/>
        </w:rPr>
        <w:t>d</w:t>
      </w:r>
      <w:r w:rsidR="000B5514" w:rsidRPr="004E768F">
        <w:rPr>
          <w:rFonts w:ascii="Times New Roman" w:eastAsia="Times New Roman" w:hAnsi="Times New Roman" w:cs="Times New Roman"/>
          <w:bCs/>
          <w:sz w:val="24"/>
          <w:szCs w:val="24"/>
          <w:lang w:eastAsia="pl-PL"/>
        </w:rPr>
        <w:t>o przekazania do publicznej wiadomości informacji o niewypełnianiu obowiązków przez dostawcę usług finansowania społecznościowego lub przez osobę trzecią, której podmiot ten zlecił wykonywanie czynności związanych ze świadczonymi przez siebie usługam</w:t>
      </w:r>
      <w:r w:rsidR="00CC59FA">
        <w:rPr>
          <w:rFonts w:ascii="Times New Roman" w:eastAsia="Times New Roman" w:hAnsi="Times New Roman" w:cs="Times New Roman"/>
          <w:bCs/>
          <w:sz w:val="24"/>
          <w:szCs w:val="24"/>
          <w:lang w:eastAsia="pl-PL"/>
        </w:rPr>
        <w:t xml:space="preserve">i, </w:t>
      </w:r>
      <w:r w:rsidR="000B5514" w:rsidRPr="004E768F">
        <w:rPr>
          <w:rFonts w:ascii="Times New Roman" w:eastAsia="Times New Roman" w:hAnsi="Times New Roman" w:cs="Times New Roman"/>
          <w:bCs/>
          <w:sz w:val="24"/>
          <w:szCs w:val="24"/>
          <w:lang w:eastAsia="pl-PL"/>
        </w:rPr>
        <w:t xml:space="preserve">w przypadku stwierdzenia naruszenia przepisów </w:t>
      </w:r>
      <w:r w:rsidR="00CC59FA">
        <w:rPr>
          <w:rFonts w:ascii="Times New Roman" w:eastAsia="Times New Roman" w:hAnsi="Times New Roman" w:cs="Times New Roman"/>
          <w:bCs/>
          <w:sz w:val="24"/>
          <w:szCs w:val="24"/>
          <w:lang w:eastAsia="pl-PL"/>
        </w:rPr>
        <w:t xml:space="preserve">dotyczących </w:t>
      </w:r>
      <w:r w:rsidR="000B5514" w:rsidRPr="004E768F">
        <w:rPr>
          <w:rFonts w:ascii="Times New Roman" w:eastAsia="Times New Roman" w:hAnsi="Times New Roman" w:cs="Times New Roman"/>
          <w:bCs/>
          <w:sz w:val="24"/>
          <w:szCs w:val="24"/>
          <w:lang w:eastAsia="pl-PL"/>
        </w:rPr>
        <w:t>świadczenia usług finansowania społecznościowego</w:t>
      </w:r>
      <w:r w:rsidR="00CC59FA">
        <w:rPr>
          <w:rFonts w:ascii="Times New Roman" w:eastAsia="Times New Roman" w:hAnsi="Times New Roman" w:cs="Times New Roman"/>
          <w:bCs/>
          <w:sz w:val="24"/>
          <w:szCs w:val="24"/>
          <w:lang w:eastAsia="pl-PL"/>
        </w:rPr>
        <w:t xml:space="preserve"> (</w:t>
      </w:r>
      <w:r w:rsidR="000B5514" w:rsidRPr="004E768F">
        <w:rPr>
          <w:rFonts w:ascii="Times New Roman" w:eastAsia="Times New Roman" w:hAnsi="Times New Roman" w:cs="Times New Roman"/>
          <w:bCs/>
          <w:sz w:val="24"/>
          <w:szCs w:val="24"/>
          <w:lang w:eastAsia="pl-PL"/>
        </w:rPr>
        <w:t>art. 30 ust. 2 lit. f rozporządzenia 2020/1503</w:t>
      </w:r>
      <w:r w:rsidR="00CC59FA">
        <w:rPr>
          <w:rFonts w:ascii="Times New Roman" w:eastAsia="Times New Roman" w:hAnsi="Times New Roman" w:cs="Times New Roman"/>
          <w:bCs/>
          <w:sz w:val="24"/>
          <w:szCs w:val="24"/>
          <w:lang w:eastAsia="pl-PL"/>
        </w:rPr>
        <w:t>)</w:t>
      </w:r>
      <w:r w:rsidR="000B5514" w:rsidRPr="004E768F">
        <w:rPr>
          <w:rFonts w:ascii="Times New Roman" w:eastAsia="Times New Roman" w:hAnsi="Times New Roman" w:cs="Times New Roman"/>
          <w:bCs/>
          <w:sz w:val="24"/>
          <w:szCs w:val="24"/>
          <w:lang w:eastAsia="pl-PL"/>
        </w:rPr>
        <w:t>.</w:t>
      </w:r>
    </w:p>
    <w:p w14:paraId="3950B267" w14:textId="77777777" w:rsidR="002E1278" w:rsidRDefault="00CC59FA" w:rsidP="0023266E">
      <w:pPr>
        <w:suppressAutoHyphens/>
        <w:autoSpaceDE w:val="0"/>
        <w:autoSpaceDN w:val="0"/>
        <w:adjustRightInd w:val="0"/>
        <w:ind w:firstLine="510"/>
        <w:rPr>
          <w:rFonts w:ascii="Times New Roman" w:eastAsia="Times New Roman" w:hAnsi="Times New Roman" w:cs="Times New Roman"/>
          <w:bCs/>
          <w:sz w:val="24"/>
          <w:szCs w:val="24"/>
          <w:lang w:eastAsia="pl-PL"/>
        </w:rPr>
      </w:pPr>
      <w:r w:rsidRPr="00CC59FA">
        <w:rPr>
          <w:rFonts w:ascii="Times New Roman" w:eastAsia="Times New Roman" w:hAnsi="Times New Roman" w:cs="Times New Roman"/>
          <w:bCs/>
          <w:sz w:val="24"/>
          <w:szCs w:val="24"/>
          <w:lang w:eastAsia="pl-PL"/>
        </w:rPr>
        <w:t>Na podstawie</w:t>
      </w:r>
      <w:r>
        <w:rPr>
          <w:rFonts w:ascii="Times New Roman" w:eastAsia="Times New Roman" w:hAnsi="Times New Roman" w:cs="Times New Roman"/>
          <w:b/>
          <w:bCs/>
          <w:sz w:val="24"/>
          <w:szCs w:val="24"/>
          <w:lang w:eastAsia="pl-PL"/>
        </w:rPr>
        <w:t xml:space="preserve"> a</w:t>
      </w:r>
      <w:r w:rsidR="005234AD">
        <w:rPr>
          <w:rFonts w:ascii="Times New Roman" w:eastAsia="Times New Roman" w:hAnsi="Times New Roman" w:cs="Times New Roman"/>
          <w:b/>
          <w:bCs/>
          <w:sz w:val="24"/>
          <w:szCs w:val="24"/>
          <w:lang w:eastAsia="pl-PL"/>
        </w:rPr>
        <w:t xml:space="preserve">rt. </w:t>
      </w:r>
      <w:r w:rsidR="000E5BF2">
        <w:rPr>
          <w:rFonts w:ascii="Times New Roman" w:eastAsia="Times New Roman" w:hAnsi="Times New Roman" w:cs="Times New Roman"/>
          <w:b/>
          <w:bCs/>
          <w:sz w:val="24"/>
          <w:szCs w:val="24"/>
          <w:lang w:eastAsia="pl-PL"/>
        </w:rPr>
        <w:t>26</w:t>
      </w:r>
      <w:r w:rsidR="005234AD" w:rsidRPr="00922D36">
        <w:rPr>
          <w:rFonts w:ascii="Times New Roman" w:eastAsia="Times New Roman" w:hAnsi="Times New Roman" w:cs="Times New Roman"/>
          <w:b/>
          <w:bCs/>
          <w:sz w:val="24"/>
          <w:szCs w:val="24"/>
          <w:lang w:eastAsia="pl-PL"/>
        </w:rPr>
        <w:t xml:space="preserve"> ust. 1</w:t>
      </w:r>
      <w:r w:rsidR="00F9423E" w:rsidRPr="004E768F">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Komisja będzie mogła</w:t>
      </w:r>
      <w:r w:rsidR="005234A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sidR="00C373DC" w:rsidRPr="004E768F">
        <w:rPr>
          <w:rFonts w:ascii="Times New Roman" w:eastAsia="Times New Roman" w:hAnsi="Times New Roman" w:cs="Times New Roman"/>
          <w:bCs/>
          <w:sz w:val="24"/>
          <w:szCs w:val="24"/>
          <w:lang w:eastAsia="pl-PL"/>
        </w:rPr>
        <w:t>na wniosek dostawcy usług finansowania społecznościowego</w:t>
      </w:r>
      <w:r w:rsidR="00C373DC">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uchylić </w:t>
      </w:r>
      <w:r w:rsidR="00F9423E" w:rsidRPr="004E768F">
        <w:rPr>
          <w:rFonts w:ascii="Times New Roman" w:eastAsia="Times New Roman" w:hAnsi="Times New Roman" w:cs="Times New Roman"/>
          <w:bCs/>
          <w:sz w:val="24"/>
          <w:szCs w:val="24"/>
          <w:lang w:eastAsia="pl-PL"/>
        </w:rPr>
        <w:t>decyzj</w:t>
      </w:r>
      <w:r>
        <w:rPr>
          <w:rFonts w:ascii="Times New Roman" w:eastAsia="Times New Roman" w:hAnsi="Times New Roman" w:cs="Times New Roman"/>
          <w:bCs/>
          <w:sz w:val="24"/>
          <w:szCs w:val="24"/>
          <w:lang w:eastAsia="pl-PL"/>
        </w:rPr>
        <w:t xml:space="preserve">e wydane w związku z naruszeniami </w:t>
      </w:r>
      <w:r w:rsidR="000E5BF2">
        <w:rPr>
          <w:rFonts w:ascii="Times New Roman" w:eastAsia="Times New Roman" w:hAnsi="Times New Roman" w:cs="Times New Roman"/>
          <w:bCs/>
          <w:sz w:val="24"/>
          <w:szCs w:val="24"/>
          <w:lang w:eastAsia="pl-PL"/>
        </w:rPr>
        <w:t>określonymi w art. 21–23</w:t>
      </w:r>
      <w:r>
        <w:rPr>
          <w:rFonts w:ascii="Times New Roman" w:eastAsia="Times New Roman" w:hAnsi="Times New Roman" w:cs="Times New Roman"/>
          <w:bCs/>
          <w:sz w:val="24"/>
          <w:szCs w:val="24"/>
          <w:lang w:eastAsia="pl-PL"/>
        </w:rPr>
        <w:t xml:space="preserve"> </w:t>
      </w:r>
      <w:r w:rsidR="00F9423E" w:rsidRPr="004E768F">
        <w:rPr>
          <w:rFonts w:ascii="Times New Roman" w:eastAsia="Times New Roman" w:hAnsi="Times New Roman" w:cs="Times New Roman"/>
          <w:bCs/>
          <w:sz w:val="24"/>
          <w:szCs w:val="24"/>
          <w:lang w:eastAsia="pl-PL"/>
        </w:rPr>
        <w:t xml:space="preserve">w przypadku ustania przyczyn uzasadniających </w:t>
      </w:r>
      <w:r w:rsidR="005234AD">
        <w:rPr>
          <w:rFonts w:ascii="Times New Roman" w:eastAsia="Times New Roman" w:hAnsi="Times New Roman" w:cs="Times New Roman"/>
          <w:bCs/>
          <w:sz w:val="24"/>
          <w:szCs w:val="24"/>
          <w:lang w:eastAsia="pl-PL"/>
        </w:rPr>
        <w:t>ich</w:t>
      </w:r>
      <w:r w:rsidR="00F9423E" w:rsidRPr="004E768F">
        <w:rPr>
          <w:rFonts w:ascii="Times New Roman" w:eastAsia="Times New Roman" w:hAnsi="Times New Roman" w:cs="Times New Roman"/>
          <w:bCs/>
          <w:sz w:val="24"/>
          <w:szCs w:val="24"/>
          <w:lang w:eastAsia="pl-PL"/>
        </w:rPr>
        <w:t xml:space="preserve"> wydanie.</w:t>
      </w:r>
      <w:r w:rsidR="0023266E">
        <w:rPr>
          <w:rFonts w:ascii="Times New Roman" w:eastAsia="Times New Roman" w:hAnsi="Times New Roman" w:cs="Times New Roman"/>
          <w:bCs/>
          <w:sz w:val="24"/>
          <w:szCs w:val="24"/>
          <w:lang w:eastAsia="pl-PL"/>
        </w:rPr>
        <w:t xml:space="preserve"> </w:t>
      </w:r>
    </w:p>
    <w:p w14:paraId="075B0F46" w14:textId="0A168F70" w:rsidR="002E1278" w:rsidRDefault="000E5BF2" w:rsidP="0023266E">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26</w:t>
      </w:r>
      <w:r w:rsidR="00AE7634" w:rsidRPr="00922D36">
        <w:rPr>
          <w:rFonts w:ascii="Times New Roman" w:eastAsia="Times New Roman" w:hAnsi="Times New Roman" w:cs="Times New Roman"/>
          <w:b/>
          <w:bCs/>
          <w:sz w:val="24"/>
          <w:szCs w:val="24"/>
          <w:lang w:eastAsia="pl-PL"/>
        </w:rPr>
        <w:t xml:space="preserve"> ust. 2</w:t>
      </w:r>
      <w:r w:rsidR="00AE7634" w:rsidRPr="004E768F">
        <w:rPr>
          <w:rFonts w:ascii="Times New Roman" w:eastAsia="Times New Roman" w:hAnsi="Times New Roman" w:cs="Times New Roman"/>
          <w:bCs/>
          <w:sz w:val="24"/>
          <w:szCs w:val="24"/>
          <w:lang w:eastAsia="pl-PL"/>
        </w:rPr>
        <w:t xml:space="preserve"> przewiduje, że decyzje będą podlegać natychmiastowemu wykonaniu, </w:t>
      </w:r>
      <w:r w:rsidR="00AE7634">
        <w:rPr>
          <w:rFonts w:ascii="Times New Roman" w:eastAsia="Times New Roman" w:hAnsi="Times New Roman" w:cs="Times New Roman"/>
          <w:bCs/>
          <w:sz w:val="24"/>
          <w:szCs w:val="24"/>
          <w:lang w:eastAsia="pl-PL"/>
        </w:rPr>
        <w:t>co pozwoli na niezwłoczn</w:t>
      </w:r>
      <w:r w:rsidR="00AE7634" w:rsidRPr="004E768F">
        <w:rPr>
          <w:rFonts w:ascii="Times New Roman" w:eastAsia="Times New Roman" w:hAnsi="Times New Roman" w:cs="Times New Roman"/>
          <w:bCs/>
          <w:sz w:val="24"/>
          <w:szCs w:val="24"/>
          <w:lang w:eastAsia="pl-PL"/>
        </w:rPr>
        <w:t>e wyeliminowa</w:t>
      </w:r>
      <w:r w:rsidR="00AE7634">
        <w:rPr>
          <w:rFonts w:ascii="Times New Roman" w:eastAsia="Times New Roman" w:hAnsi="Times New Roman" w:cs="Times New Roman"/>
          <w:bCs/>
          <w:sz w:val="24"/>
          <w:szCs w:val="24"/>
          <w:lang w:eastAsia="pl-PL"/>
        </w:rPr>
        <w:t xml:space="preserve">nie zagrażających </w:t>
      </w:r>
      <w:r w:rsidR="00AE7634" w:rsidRPr="004E768F">
        <w:rPr>
          <w:rFonts w:ascii="Times New Roman" w:eastAsia="Times New Roman" w:hAnsi="Times New Roman" w:cs="Times New Roman"/>
          <w:bCs/>
          <w:sz w:val="24"/>
          <w:szCs w:val="24"/>
          <w:lang w:eastAsia="pl-PL"/>
        </w:rPr>
        <w:t>bezpieczeństwu obrotu skutk</w:t>
      </w:r>
      <w:r w:rsidR="00AE7634">
        <w:rPr>
          <w:rFonts w:ascii="Times New Roman" w:eastAsia="Times New Roman" w:hAnsi="Times New Roman" w:cs="Times New Roman"/>
          <w:bCs/>
          <w:sz w:val="24"/>
          <w:szCs w:val="24"/>
          <w:lang w:eastAsia="pl-PL"/>
        </w:rPr>
        <w:t xml:space="preserve">ów stwierdzonych </w:t>
      </w:r>
      <w:r w:rsidR="00AE7634" w:rsidRPr="004E768F">
        <w:rPr>
          <w:rFonts w:ascii="Times New Roman" w:eastAsia="Times New Roman" w:hAnsi="Times New Roman" w:cs="Times New Roman"/>
          <w:bCs/>
          <w:sz w:val="24"/>
          <w:szCs w:val="24"/>
          <w:lang w:eastAsia="pl-PL"/>
        </w:rPr>
        <w:t>nieprawidłowości</w:t>
      </w:r>
      <w:r w:rsidR="00AE7634">
        <w:rPr>
          <w:rFonts w:ascii="Times New Roman" w:eastAsia="Times New Roman" w:hAnsi="Times New Roman" w:cs="Times New Roman"/>
          <w:bCs/>
          <w:sz w:val="24"/>
          <w:szCs w:val="24"/>
          <w:lang w:eastAsia="pl-PL"/>
        </w:rPr>
        <w:t xml:space="preserve">. Rozwiązania takie funkcjonują w przepisach </w:t>
      </w:r>
      <w:r w:rsidR="00AE7634" w:rsidRPr="004E768F">
        <w:rPr>
          <w:rFonts w:ascii="Times New Roman" w:eastAsia="Times New Roman" w:hAnsi="Times New Roman" w:cs="Times New Roman"/>
          <w:bCs/>
          <w:sz w:val="24"/>
          <w:szCs w:val="24"/>
          <w:lang w:eastAsia="pl-PL"/>
        </w:rPr>
        <w:t xml:space="preserve">z zakresu rynku finansowego </w:t>
      </w:r>
      <w:r w:rsidR="00AE7634">
        <w:rPr>
          <w:rFonts w:ascii="Times New Roman" w:eastAsia="Times New Roman" w:hAnsi="Times New Roman" w:cs="Times New Roman"/>
          <w:bCs/>
          <w:sz w:val="24"/>
          <w:szCs w:val="24"/>
          <w:lang w:eastAsia="pl-PL"/>
        </w:rPr>
        <w:t>– np.</w:t>
      </w:r>
      <w:r w:rsidR="00AE7634" w:rsidRPr="004E768F">
        <w:rPr>
          <w:rFonts w:ascii="Times New Roman" w:eastAsia="Times New Roman" w:hAnsi="Times New Roman" w:cs="Times New Roman"/>
          <w:bCs/>
          <w:sz w:val="24"/>
          <w:szCs w:val="24"/>
          <w:lang w:eastAsia="pl-PL"/>
        </w:rPr>
        <w:t xml:space="preserve"> art. 11 ust. 2 ustawy</w:t>
      </w:r>
      <w:r w:rsidR="00F139E8">
        <w:rPr>
          <w:rFonts w:ascii="Times New Roman" w:eastAsia="Times New Roman" w:hAnsi="Times New Roman" w:cs="Times New Roman"/>
          <w:bCs/>
          <w:sz w:val="24"/>
          <w:szCs w:val="24"/>
          <w:lang w:eastAsia="pl-PL"/>
        </w:rPr>
        <w:t xml:space="preserve"> </w:t>
      </w:r>
      <w:r w:rsidR="00AE7634" w:rsidRPr="004E768F">
        <w:rPr>
          <w:rFonts w:ascii="Times New Roman" w:eastAsia="Times New Roman" w:hAnsi="Times New Roman" w:cs="Times New Roman"/>
          <w:bCs/>
          <w:sz w:val="24"/>
          <w:szCs w:val="24"/>
          <w:lang w:eastAsia="pl-PL"/>
        </w:rPr>
        <w:t>– Prawo bankowe, art. 54l ust. 8, art. 56 ust. 2 i art. 70r ust. 4 ustawy z dnia 27 maja 2004 r. o funduszach inwestycyjnych i zarządzaniu alternatywnymi funduszami inwestycyjnymi (Dz. U. z 202</w:t>
      </w:r>
      <w:r w:rsidR="008D07D8">
        <w:rPr>
          <w:rFonts w:ascii="Times New Roman" w:eastAsia="Times New Roman" w:hAnsi="Times New Roman" w:cs="Times New Roman"/>
          <w:bCs/>
          <w:sz w:val="24"/>
          <w:szCs w:val="24"/>
          <w:lang w:eastAsia="pl-PL"/>
        </w:rPr>
        <w:t>1</w:t>
      </w:r>
      <w:r w:rsidR="00AE7634" w:rsidRPr="004E768F">
        <w:rPr>
          <w:rFonts w:ascii="Times New Roman" w:eastAsia="Times New Roman" w:hAnsi="Times New Roman" w:cs="Times New Roman"/>
          <w:bCs/>
          <w:sz w:val="24"/>
          <w:szCs w:val="24"/>
          <w:lang w:eastAsia="pl-PL"/>
        </w:rPr>
        <w:t xml:space="preserve"> r. poz. </w:t>
      </w:r>
      <w:r w:rsidR="008D07D8">
        <w:rPr>
          <w:rFonts w:ascii="Times New Roman" w:eastAsia="Times New Roman" w:hAnsi="Times New Roman" w:cs="Times New Roman"/>
          <w:bCs/>
          <w:sz w:val="24"/>
          <w:szCs w:val="24"/>
          <w:lang w:eastAsia="pl-PL"/>
        </w:rPr>
        <w:t>60</w:t>
      </w:r>
      <w:r w:rsidR="00AE7634" w:rsidRPr="004E768F">
        <w:rPr>
          <w:rFonts w:ascii="Times New Roman" w:eastAsia="Times New Roman" w:hAnsi="Times New Roman" w:cs="Times New Roman"/>
          <w:bCs/>
          <w:sz w:val="24"/>
          <w:szCs w:val="24"/>
          <w:lang w:eastAsia="pl-PL"/>
        </w:rPr>
        <w:t xml:space="preserve">5), </w:t>
      </w:r>
      <w:r>
        <w:rPr>
          <w:rFonts w:ascii="Times New Roman" w:eastAsia="Times New Roman" w:hAnsi="Times New Roman" w:cs="Times New Roman"/>
          <w:bCs/>
          <w:sz w:val="24"/>
          <w:szCs w:val="24"/>
          <w:lang w:eastAsia="pl-PL"/>
        </w:rPr>
        <w:t xml:space="preserve">art. </w:t>
      </w:r>
      <w:r w:rsidR="00AE7634" w:rsidRPr="004E768F">
        <w:rPr>
          <w:rFonts w:ascii="Times New Roman" w:eastAsia="Times New Roman" w:hAnsi="Times New Roman" w:cs="Times New Roman"/>
          <w:bCs/>
          <w:sz w:val="24"/>
          <w:szCs w:val="24"/>
          <w:lang w:eastAsia="pl-PL"/>
        </w:rPr>
        <w:t xml:space="preserve">106l ust. 8 ustawy o obrocie </w:t>
      </w:r>
      <w:r w:rsidR="00AE7634" w:rsidRPr="004E768F">
        <w:rPr>
          <w:rFonts w:ascii="Times New Roman" w:eastAsia="Times New Roman" w:hAnsi="Times New Roman" w:cs="Times New Roman"/>
          <w:bCs/>
          <w:sz w:val="24"/>
          <w:szCs w:val="24"/>
          <w:lang w:eastAsia="pl-PL"/>
        </w:rPr>
        <w:lastRenderedPageBreak/>
        <w:t>instrumentami finansowymi, art. 18a ust. 1 ustawy o ofercie publicznej, czy art. 94 ust. 9, art. 98 ust. 2 i art. 172 ust. 12 ustawy z dnia 11 września 2015 r. o działalności ubezpieczeniowej i reasekuracyjnej (Dz. U. z 2020 r. poz. 895, z późn. zm.).</w:t>
      </w:r>
      <w:r w:rsidR="0023266E">
        <w:rPr>
          <w:rFonts w:ascii="Times New Roman" w:eastAsia="Times New Roman" w:hAnsi="Times New Roman" w:cs="Times New Roman"/>
          <w:bCs/>
          <w:sz w:val="24"/>
          <w:szCs w:val="24"/>
          <w:lang w:eastAsia="pl-PL"/>
        </w:rPr>
        <w:t xml:space="preserve"> </w:t>
      </w:r>
    </w:p>
    <w:p w14:paraId="0643F066" w14:textId="4B65B570" w:rsidR="00AE7634" w:rsidRPr="004E768F" w:rsidRDefault="000E5BF2" w:rsidP="002E1278">
      <w:pPr>
        <w:suppressAutoHyphens/>
        <w:autoSpaceDE w:val="0"/>
        <w:autoSpaceDN w:val="0"/>
        <w:adjustRightInd w:val="0"/>
        <w:spacing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26</w:t>
      </w:r>
      <w:r w:rsidR="00AE7634" w:rsidRPr="00922D36">
        <w:rPr>
          <w:rFonts w:ascii="Times New Roman" w:eastAsia="Times New Roman" w:hAnsi="Times New Roman" w:cs="Times New Roman"/>
          <w:b/>
          <w:bCs/>
          <w:sz w:val="24"/>
          <w:szCs w:val="24"/>
          <w:lang w:eastAsia="pl-PL"/>
        </w:rPr>
        <w:t xml:space="preserve"> ust. 3 i 4</w:t>
      </w:r>
      <w:r w:rsidR="00AE7634" w:rsidRPr="00CD3E8E">
        <w:rPr>
          <w:rFonts w:ascii="Times New Roman" w:eastAsia="Times New Roman" w:hAnsi="Times New Roman" w:cs="Times New Roman"/>
          <w:bCs/>
          <w:sz w:val="24"/>
          <w:szCs w:val="24"/>
          <w:lang w:eastAsia="pl-PL"/>
        </w:rPr>
        <w:t xml:space="preserve"> </w:t>
      </w:r>
      <w:r w:rsidR="00AE7634">
        <w:rPr>
          <w:rFonts w:ascii="Times New Roman" w:eastAsia="Times New Roman" w:hAnsi="Times New Roman" w:cs="Times New Roman"/>
          <w:bCs/>
          <w:sz w:val="24"/>
          <w:szCs w:val="24"/>
          <w:lang w:eastAsia="pl-PL"/>
        </w:rPr>
        <w:t xml:space="preserve">nakłada na Komisję obowiązek publikacji komunikatów o wszczęciu postępowania w sprawie zastosowania środków nadzorczych oraz o zastosowaniu tych środków. </w:t>
      </w:r>
      <w:r w:rsidR="00AE7634" w:rsidRPr="004E768F">
        <w:rPr>
          <w:rFonts w:ascii="Times New Roman" w:eastAsia="Times New Roman" w:hAnsi="Times New Roman" w:cs="Times New Roman"/>
          <w:bCs/>
          <w:sz w:val="24"/>
          <w:szCs w:val="24"/>
          <w:lang w:eastAsia="pl-PL"/>
        </w:rPr>
        <w:t xml:space="preserve">Zapewni to przejrzystość działań Komisji, a także </w:t>
      </w:r>
      <w:r w:rsidR="00AE7634">
        <w:rPr>
          <w:rFonts w:ascii="Times New Roman" w:eastAsia="Times New Roman" w:hAnsi="Times New Roman" w:cs="Times New Roman"/>
          <w:bCs/>
          <w:sz w:val="24"/>
          <w:szCs w:val="24"/>
          <w:lang w:eastAsia="pl-PL"/>
        </w:rPr>
        <w:t xml:space="preserve">będzie </w:t>
      </w:r>
      <w:r w:rsidR="00AE7634" w:rsidRPr="004E768F">
        <w:rPr>
          <w:rFonts w:ascii="Times New Roman" w:eastAsia="Times New Roman" w:hAnsi="Times New Roman" w:cs="Times New Roman"/>
          <w:bCs/>
          <w:sz w:val="24"/>
          <w:szCs w:val="24"/>
          <w:lang w:eastAsia="pl-PL"/>
        </w:rPr>
        <w:t>stanowić ostrzeżenie dla inwestorów i potencjalnych inwestorów.</w:t>
      </w:r>
    </w:p>
    <w:p w14:paraId="5BAC657F" w14:textId="03BC3544" w:rsidR="00CD3E8E" w:rsidRDefault="000E5BF2" w:rsidP="002E1278">
      <w:pPr>
        <w:suppressAutoHyphens/>
        <w:autoSpaceDE w:val="0"/>
        <w:autoSpaceDN w:val="0"/>
        <w:adjustRightInd w:val="0"/>
        <w:spacing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27</w:t>
      </w:r>
      <w:r w:rsidR="00F9423E" w:rsidRPr="004E768F">
        <w:rPr>
          <w:rFonts w:ascii="Times New Roman" w:eastAsia="Times New Roman" w:hAnsi="Times New Roman" w:cs="Times New Roman"/>
          <w:bCs/>
          <w:sz w:val="24"/>
          <w:szCs w:val="24"/>
          <w:lang w:eastAsia="pl-PL"/>
        </w:rPr>
        <w:t xml:space="preserve"> stanowi wykonanie przepisu art. 30 ust. 2 lit. g rozporządzenia 2020/1503</w:t>
      </w:r>
      <w:r w:rsidR="00922D36">
        <w:rPr>
          <w:rFonts w:ascii="Times New Roman" w:eastAsia="Times New Roman" w:hAnsi="Times New Roman" w:cs="Times New Roman"/>
          <w:bCs/>
          <w:sz w:val="24"/>
          <w:szCs w:val="24"/>
          <w:lang w:eastAsia="pl-PL"/>
        </w:rPr>
        <w:t xml:space="preserve"> –</w:t>
      </w:r>
      <w:r w:rsidR="00F9423E" w:rsidRPr="004E768F">
        <w:rPr>
          <w:rFonts w:ascii="Times New Roman" w:eastAsia="Times New Roman" w:hAnsi="Times New Roman" w:cs="Times New Roman"/>
          <w:bCs/>
          <w:sz w:val="24"/>
          <w:szCs w:val="24"/>
          <w:lang w:eastAsia="pl-PL"/>
        </w:rPr>
        <w:t xml:space="preserve"> Komisja będzie przekazywać do publicznej wiadomości </w:t>
      </w:r>
      <w:r w:rsidR="008F580C" w:rsidRPr="004E768F">
        <w:rPr>
          <w:rFonts w:ascii="Times New Roman" w:eastAsia="Times New Roman" w:hAnsi="Times New Roman" w:cs="Times New Roman"/>
          <w:bCs/>
          <w:sz w:val="24"/>
          <w:szCs w:val="24"/>
          <w:lang w:eastAsia="pl-PL"/>
        </w:rPr>
        <w:t xml:space="preserve">informacje mogące mieć wpływ na świadczenie usług finansowania społecznościowego w celu zapewnienia ochrony inwestorów lub </w:t>
      </w:r>
      <w:r>
        <w:rPr>
          <w:rFonts w:ascii="Times New Roman" w:eastAsia="Times New Roman" w:hAnsi="Times New Roman" w:cs="Times New Roman"/>
          <w:bCs/>
          <w:sz w:val="24"/>
          <w:szCs w:val="24"/>
          <w:lang w:eastAsia="pl-PL"/>
        </w:rPr>
        <w:t>prawidłowego</w:t>
      </w:r>
      <w:r w:rsidR="008F580C" w:rsidRPr="004E768F">
        <w:rPr>
          <w:rFonts w:ascii="Times New Roman" w:eastAsia="Times New Roman" w:hAnsi="Times New Roman" w:cs="Times New Roman"/>
          <w:bCs/>
          <w:sz w:val="24"/>
          <w:szCs w:val="24"/>
          <w:lang w:eastAsia="pl-PL"/>
        </w:rPr>
        <w:t xml:space="preserve"> funkcjonowania rynku</w:t>
      </w:r>
      <w:r>
        <w:rPr>
          <w:rFonts w:ascii="Times New Roman" w:eastAsia="Times New Roman" w:hAnsi="Times New Roman" w:cs="Times New Roman"/>
          <w:bCs/>
          <w:sz w:val="24"/>
          <w:szCs w:val="24"/>
          <w:lang w:eastAsia="pl-PL"/>
        </w:rPr>
        <w:t>.</w:t>
      </w:r>
      <w:r w:rsidR="00547DCC">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Komisja będzie też mogła</w:t>
      </w:r>
      <w:r w:rsidR="00547DCC">
        <w:rPr>
          <w:rFonts w:ascii="Times New Roman" w:eastAsia="Times New Roman" w:hAnsi="Times New Roman" w:cs="Times New Roman"/>
          <w:bCs/>
          <w:sz w:val="24"/>
          <w:szCs w:val="24"/>
          <w:lang w:eastAsia="pl-PL"/>
        </w:rPr>
        <w:t xml:space="preserve"> </w:t>
      </w:r>
      <w:r w:rsidR="008F580C" w:rsidRPr="004E768F">
        <w:rPr>
          <w:rFonts w:ascii="Times New Roman" w:eastAsia="Times New Roman" w:hAnsi="Times New Roman" w:cs="Times New Roman"/>
          <w:bCs/>
          <w:sz w:val="24"/>
          <w:szCs w:val="24"/>
          <w:lang w:eastAsia="pl-PL"/>
        </w:rPr>
        <w:t>zalecić dostawcy usług finansowania społecznościowego przekazanie przez niego takich informacji do wiadomości publicznej.</w:t>
      </w:r>
    </w:p>
    <w:p w14:paraId="66541F42" w14:textId="49F6B4E9" w:rsidR="000E5BF2" w:rsidRPr="004E768F" w:rsidRDefault="000E5BF2" w:rsidP="00CD3E8E">
      <w:pPr>
        <w:suppressAutoHyphens/>
        <w:autoSpaceDE w:val="0"/>
        <w:autoSpaceDN w:val="0"/>
        <w:adjustRightInd w:val="0"/>
        <w:ind w:firstLine="510"/>
        <w:rPr>
          <w:rFonts w:ascii="Times New Roman" w:eastAsia="Times New Roman" w:hAnsi="Times New Roman" w:cs="Times New Roman"/>
          <w:bCs/>
          <w:sz w:val="24"/>
          <w:szCs w:val="24"/>
          <w:lang w:eastAsia="pl-PL"/>
        </w:rPr>
      </w:pPr>
      <w:r w:rsidRPr="000E5BF2">
        <w:rPr>
          <w:rFonts w:ascii="Times New Roman" w:eastAsia="Times New Roman" w:hAnsi="Times New Roman" w:cs="Times New Roman"/>
          <w:b/>
          <w:bCs/>
          <w:sz w:val="24"/>
          <w:szCs w:val="24"/>
          <w:lang w:eastAsia="pl-PL"/>
        </w:rPr>
        <w:t>Art. 28</w:t>
      </w:r>
      <w:r>
        <w:rPr>
          <w:rFonts w:ascii="Times New Roman" w:eastAsia="Times New Roman" w:hAnsi="Times New Roman" w:cs="Times New Roman"/>
          <w:bCs/>
          <w:sz w:val="24"/>
          <w:szCs w:val="24"/>
          <w:lang w:eastAsia="pl-PL"/>
        </w:rPr>
        <w:t xml:space="preserve"> precyzuje sposób podawania przez Komisję do publicznej wiadomości informacji o naruszeniach przepisów oraz o czynnikach mogących mieć wpływ na świadczenie usług finansowania społecznościowego. Przekazanie tych informacji będzie następować przez ich zamieszczenie na stronie internetowej Komisji.</w:t>
      </w:r>
    </w:p>
    <w:p w14:paraId="31195072" w14:textId="332FFE94" w:rsidR="002E1278" w:rsidRPr="00EF67C8" w:rsidRDefault="00CE7BC1" w:rsidP="002E1278">
      <w:pPr>
        <w:suppressAutoHyphens/>
        <w:autoSpaceDE w:val="0"/>
        <w:autoSpaceDN w:val="0"/>
        <w:adjustRightInd w:val="0"/>
        <w:spacing w:after="120"/>
        <w:ind w:firstLine="510"/>
        <w:rPr>
          <w:rFonts w:ascii="Times New Roman" w:eastAsia="Times New Roman" w:hAnsi="Times New Roman" w:cs="Times New Roman"/>
          <w:bCs/>
          <w:sz w:val="24"/>
          <w:szCs w:val="24"/>
          <w:lang w:eastAsia="pl-PL"/>
        </w:rPr>
      </w:pPr>
      <w:r w:rsidRPr="00B85717">
        <w:rPr>
          <w:rFonts w:ascii="Times New Roman" w:eastAsia="Times New Roman" w:hAnsi="Times New Roman" w:cs="Times New Roman"/>
          <w:bCs/>
          <w:sz w:val="24"/>
          <w:szCs w:val="24"/>
          <w:lang w:eastAsia="pl-PL"/>
        </w:rPr>
        <w:t xml:space="preserve">Przepisy </w:t>
      </w:r>
      <w:r w:rsidRPr="00C7149C">
        <w:rPr>
          <w:rFonts w:ascii="Times New Roman" w:eastAsia="Times New Roman" w:hAnsi="Times New Roman" w:cs="Times New Roman"/>
          <w:bCs/>
          <w:sz w:val="24"/>
          <w:szCs w:val="24"/>
          <w:lang w:eastAsia="pl-PL"/>
        </w:rPr>
        <w:t xml:space="preserve">art. </w:t>
      </w:r>
      <w:r w:rsidR="000E5BF2" w:rsidRPr="00C7149C">
        <w:rPr>
          <w:rFonts w:ascii="Times New Roman" w:eastAsia="Times New Roman" w:hAnsi="Times New Roman" w:cs="Times New Roman"/>
          <w:bCs/>
          <w:sz w:val="24"/>
          <w:szCs w:val="24"/>
          <w:lang w:eastAsia="pl-PL"/>
        </w:rPr>
        <w:t>29</w:t>
      </w:r>
      <w:r w:rsidR="0032452D" w:rsidRPr="00C7149C">
        <w:rPr>
          <w:rFonts w:ascii="Times New Roman" w:eastAsia="Times New Roman" w:hAnsi="Times New Roman" w:cs="Times New Roman"/>
          <w:bCs/>
          <w:sz w:val="24"/>
          <w:szCs w:val="24"/>
          <w:lang w:eastAsia="pl-PL"/>
        </w:rPr>
        <w:t xml:space="preserve"> i</w:t>
      </w:r>
      <w:r w:rsidR="000E5BF2" w:rsidRPr="00C7149C">
        <w:rPr>
          <w:rFonts w:ascii="Times New Roman" w:eastAsia="Times New Roman" w:hAnsi="Times New Roman" w:cs="Times New Roman"/>
          <w:bCs/>
          <w:sz w:val="24"/>
          <w:szCs w:val="24"/>
          <w:lang w:eastAsia="pl-PL"/>
        </w:rPr>
        <w:t xml:space="preserve"> art. 30</w:t>
      </w:r>
      <w:r w:rsidR="00EF67C8">
        <w:rPr>
          <w:rFonts w:ascii="Times New Roman" w:eastAsia="Times New Roman" w:hAnsi="Times New Roman" w:cs="Times New Roman"/>
          <w:b/>
          <w:bCs/>
          <w:sz w:val="24"/>
          <w:szCs w:val="24"/>
          <w:lang w:eastAsia="pl-PL"/>
        </w:rPr>
        <w:t xml:space="preserve"> </w:t>
      </w:r>
      <w:r w:rsidR="00AD622D" w:rsidRPr="004E768F">
        <w:rPr>
          <w:rFonts w:ascii="Times New Roman" w:eastAsia="Times New Roman" w:hAnsi="Times New Roman" w:cs="Times New Roman"/>
          <w:bCs/>
          <w:sz w:val="24"/>
          <w:szCs w:val="24"/>
          <w:lang w:eastAsia="pl-PL"/>
        </w:rPr>
        <w:t>dotyczą opłat za nadzór nad dostawcami usług finansowania społecznościowego</w:t>
      </w:r>
      <w:r w:rsidR="00EF67C8">
        <w:rPr>
          <w:rFonts w:ascii="Times New Roman" w:eastAsia="Times New Roman" w:hAnsi="Times New Roman" w:cs="Times New Roman"/>
          <w:bCs/>
          <w:sz w:val="24"/>
          <w:szCs w:val="24"/>
          <w:lang w:eastAsia="pl-PL"/>
        </w:rPr>
        <w:t xml:space="preserve"> sprawowany przez </w:t>
      </w:r>
      <w:r w:rsidR="00D31A5C" w:rsidRPr="004E768F">
        <w:rPr>
          <w:rFonts w:ascii="Times New Roman" w:eastAsia="Times New Roman" w:hAnsi="Times New Roman" w:cs="Times New Roman"/>
          <w:bCs/>
          <w:sz w:val="24"/>
          <w:szCs w:val="24"/>
          <w:lang w:eastAsia="pl-PL"/>
        </w:rPr>
        <w:t>Komisj</w:t>
      </w:r>
      <w:r w:rsidR="00EF67C8">
        <w:rPr>
          <w:rFonts w:ascii="Times New Roman" w:eastAsia="Times New Roman" w:hAnsi="Times New Roman" w:cs="Times New Roman"/>
          <w:bCs/>
          <w:sz w:val="24"/>
          <w:szCs w:val="24"/>
          <w:lang w:eastAsia="pl-PL"/>
        </w:rPr>
        <w:t>ę</w:t>
      </w:r>
      <w:r w:rsidR="00D31A5C" w:rsidRPr="004E768F">
        <w:rPr>
          <w:rFonts w:ascii="Times New Roman" w:eastAsia="Times New Roman" w:hAnsi="Times New Roman" w:cs="Times New Roman"/>
          <w:bCs/>
          <w:sz w:val="24"/>
          <w:szCs w:val="24"/>
          <w:lang w:eastAsia="pl-PL"/>
        </w:rPr>
        <w:t xml:space="preserve">. </w:t>
      </w:r>
      <w:r w:rsidR="00AE7634">
        <w:rPr>
          <w:rFonts w:ascii="Times New Roman" w:eastAsia="Times New Roman" w:hAnsi="Times New Roman" w:cs="Times New Roman"/>
          <w:bCs/>
          <w:sz w:val="24"/>
          <w:szCs w:val="24"/>
          <w:lang w:eastAsia="pl-PL"/>
        </w:rPr>
        <w:t>Zgodnie z art. 17 ustawy</w:t>
      </w:r>
      <w:r w:rsidR="00AE7634" w:rsidRPr="00AE7634">
        <w:rPr>
          <w:rFonts w:ascii="Times New Roman" w:eastAsia="Times New Roman" w:hAnsi="Times New Roman" w:cs="Times New Roman"/>
          <w:bCs/>
          <w:sz w:val="24"/>
          <w:szCs w:val="24"/>
          <w:lang w:eastAsia="pl-PL"/>
        </w:rPr>
        <w:t xml:space="preserve"> </w:t>
      </w:r>
      <w:r w:rsidR="00AE7634">
        <w:rPr>
          <w:rFonts w:ascii="Times New Roman" w:eastAsia="Times New Roman" w:hAnsi="Times New Roman" w:cs="Times New Roman"/>
          <w:bCs/>
          <w:sz w:val="24"/>
          <w:szCs w:val="24"/>
          <w:lang w:eastAsia="pl-PL"/>
        </w:rPr>
        <w:t xml:space="preserve">z dnia 29 lipca 2005 r. o nadzorze nad rynkiem kapitałowym </w:t>
      </w:r>
      <w:r w:rsidR="0032452D">
        <w:rPr>
          <w:rFonts w:ascii="Times New Roman" w:eastAsia="Times New Roman" w:hAnsi="Times New Roman" w:cs="Times New Roman"/>
          <w:bCs/>
          <w:sz w:val="24"/>
          <w:szCs w:val="24"/>
          <w:lang w:eastAsia="pl-PL"/>
        </w:rPr>
        <w:t xml:space="preserve">koszty Urzędu Komisji Nadzoru Finansowego w zakresie nadzoru nad rynkiem kapitałowym pokrywane są m.in. z opłat uiszczanych przez podmioty działające na tym rynku. Są to zarówno opłaty jednorazowe za dokonanie poszczególnych czynności, jak i opłaty roczne. Opłaty takie przewidziane są m.in. w </w:t>
      </w:r>
      <w:r w:rsidR="0032452D" w:rsidRPr="004E768F">
        <w:rPr>
          <w:rFonts w:ascii="Times New Roman" w:eastAsia="Times New Roman" w:hAnsi="Times New Roman" w:cs="Times New Roman"/>
          <w:bCs/>
          <w:sz w:val="24"/>
          <w:szCs w:val="24"/>
          <w:lang w:eastAsia="pl-PL"/>
        </w:rPr>
        <w:t>ustaw</w:t>
      </w:r>
      <w:r w:rsidR="0032452D">
        <w:rPr>
          <w:rFonts w:ascii="Times New Roman" w:eastAsia="Times New Roman" w:hAnsi="Times New Roman" w:cs="Times New Roman"/>
          <w:bCs/>
          <w:sz w:val="24"/>
          <w:szCs w:val="24"/>
          <w:lang w:eastAsia="pl-PL"/>
        </w:rPr>
        <w:t>ie</w:t>
      </w:r>
      <w:r w:rsidR="0032452D" w:rsidRPr="004E768F">
        <w:rPr>
          <w:rFonts w:ascii="Times New Roman" w:eastAsia="Times New Roman" w:hAnsi="Times New Roman" w:cs="Times New Roman"/>
          <w:bCs/>
          <w:sz w:val="24"/>
          <w:szCs w:val="24"/>
          <w:lang w:eastAsia="pl-PL"/>
        </w:rPr>
        <w:t xml:space="preserve"> z dnia 26 października 2000 r. o giełdach towarowych</w:t>
      </w:r>
      <w:r w:rsidR="0032452D">
        <w:rPr>
          <w:rFonts w:ascii="Times New Roman" w:eastAsia="Times New Roman" w:hAnsi="Times New Roman" w:cs="Times New Roman"/>
          <w:bCs/>
          <w:sz w:val="24"/>
          <w:szCs w:val="24"/>
          <w:lang w:eastAsia="pl-PL"/>
        </w:rPr>
        <w:t>,</w:t>
      </w:r>
      <w:r w:rsidR="0032452D" w:rsidRPr="004E768F">
        <w:rPr>
          <w:rFonts w:ascii="Times New Roman" w:eastAsia="Times New Roman" w:hAnsi="Times New Roman" w:cs="Times New Roman"/>
          <w:bCs/>
          <w:sz w:val="24"/>
          <w:szCs w:val="24"/>
          <w:lang w:eastAsia="pl-PL"/>
        </w:rPr>
        <w:t xml:space="preserve"> </w:t>
      </w:r>
      <w:r w:rsidR="0032452D">
        <w:rPr>
          <w:rFonts w:ascii="Times New Roman" w:eastAsia="Times New Roman" w:hAnsi="Times New Roman" w:cs="Times New Roman"/>
          <w:bCs/>
          <w:sz w:val="24"/>
          <w:szCs w:val="24"/>
          <w:lang w:eastAsia="pl-PL"/>
        </w:rPr>
        <w:t xml:space="preserve">ustawie </w:t>
      </w:r>
      <w:r w:rsidR="0032452D" w:rsidRPr="004E768F">
        <w:rPr>
          <w:rFonts w:ascii="Times New Roman" w:eastAsia="Times New Roman" w:hAnsi="Times New Roman" w:cs="Times New Roman"/>
          <w:bCs/>
          <w:sz w:val="24"/>
          <w:szCs w:val="24"/>
          <w:lang w:eastAsia="pl-PL"/>
        </w:rPr>
        <w:t>z dnia 27 maja 2004 r. o funduszach inwestycyjnych i zarządzaniu alternatywnymi funduszami inwestycyjnymi</w:t>
      </w:r>
      <w:r w:rsidR="0032452D">
        <w:rPr>
          <w:rFonts w:ascii="Times New Roman" w:eastAsia="Times New Roman" w:hAnsi="Times New Roman" w:cs="Times New Roman"/>
          <w:bCs/>
          <w:sz w:val="24"/>
          <w:szCs w:val="24"/>
          <w:lang w:eastAsia="pl-PL"/>
        </w:rPr>
        <w:t xml:space="preserve">, czy w ustawie o obrocie instrumentami finansowymi. </w:t>
      </w:r>
      <w:r w:rsidR="00D31A5C" w:rsidRPr="004E768F">
        <w:rPr>
          <w:rFonts w:ascii="Times New Roman" w:eastAsia="Times New Roman" w:hAnsi="Times New Roman" w:cs="Times New Roman"/>
          <w:bCs/>
          <w:sz w:val="24"/>
          <w:szCs w:val="24"/>
          <w:lang w:eastAsia="pl-PL"/>
        </w:rPr>
        <w:t>P</w:t>
      </w:r>
      <w:r w:rsidR="0032452D">
        <w:rPr>
          <w:rFonts w:ascii="Times New Roman" w:eastAsia="Times New Roman" w:hAnsi="Times New Roman" w:cs="Times New Roman"/>
          <w:bCs/>
          <w:sz w:val="24"/>
          <w:szCs w:val="24"/>
          <w:lang w:eastAsia="pl-PL"/>
        </w:rPr>
        <w:t>rojektowane p</w:t>
      </w:r>
      <w:r w:rsidR="00D31A5C" w:rsidRPr="004E768F">
        <w:rPr>
          <w:rFonts w:ascii="Times New Roman" w:eastAsia="Times New Roman" w:hAnsi="Times New Roman" w:cs="Times New Roman"/>
          <w:bCs/>
          <w:sz w:val="24"/>
          <w:szCs w:val="24"/>
          <w:lang w:eastAsia="pl-PL"/>
        </w:rPr>
        <w:t xml:space="preserve">rzepisy </w:t>
      </w:r>
      <w:r w:rsidR="00EF67C8">
        <w:rPr>
          <w:rFonts w:ascii="Times New Roman" w:eastAsia="Times New Roman" w:hAnsi="Times New Roman" w:cs="Times New Roman"/>
          <w:bCs/>
          <w:sz w:val="24"/>
          <w:szCs w:val="24"/>
          <w:lang w:eastAsia="pl-PL"/>
        </w:rPr>
        <w:t xml:space="preserve">są </w:t>
      </w:r>
      <w:r w:rsidR="00D31A5C" w:rsidRPr="004E768F">
        <w:rPr>
          <w:rFonts w:ascii="Times New Roman" w:eastAsia="Times New Roman" w:hAnsi="Times New Roman" w:cs="Times New Roman"/>
          <w:bCs/>
          <w:sz w:val="24"/>
          <w:szCs w:val="24"/>
          <w:lang w:eastAsia="pl-PL"/>
        </w:rPr>
        <w:t>wzorowane na art. 162</w:t>
      </w:r>
      <w:r w:rsidR="00AE7634">
        <w:rPr>
          <w:rFonts w:ascii="Times New Roman" w:eastAsia="Times New Roman" w:hAnsi="Times New Roman" w:cs="Times New Roman"/>
          <w:bCs/>
          <w:sz w:val="24"/>
          <w:szCs w:val="24"/>
          <w:lang w:eastAsia="pl-PL"/>
        </w:rPr>
        <w:t>–164</w:t>
      </w:r>
      <w:r w:rsidR="00D31A5C" w:rsidRPr="004E768F">
        <w:rPr>
          <w:rFonts w:ascii="Times New Roman" w:eastAsia="Times New Roman" w:hAnsi="Times New Roman" w:cs="Times New Roman"/>
          <w:bCs/>
          <w:sz w:val="24"/>
          <w:szCs w:val="24"/>
          <w:lang w:eastAsia="pl-PL"/>
        </w:rPr>
        <w:t xml:space="preserve"> ustawy o obrocie instrumentami finansowymi.</w:t>
      </w:r>
    </w:p>
    <w:p w14:paraId="404F78CB" w14:textId="53465373" w:rsidR="0023266E" w:rsidRPr="004E768F" w:rsidRDefault="00D31A5C" w:rsidP="002E1278">
      <w:pPr>
        <w:suppressAutoHyphens/>
        <w:autoSpaceDE w:val="0"/>
        <w:autoSpaceDN w:val="0"/>
        <w:adjustRightInd w:val="0"/>
        <w:spacing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xml:space="preserve">W </w:t>
      </w:r>
      <w:r w:rsidR="000E5BF2" w:rsidRPr="000E5BF2">
        <w:rPr>
          <w:rFonts w:ascii="Times New Roman" w:eastAsia="Times New Roman" w:hAnsi="Times New Roman" w:cs="Times New Roman"/>
          <w:b/>
          <w:bCs/>
          <w:sz w:val="24"/>
          <w:szCs w:val="24"/>
          <w:lang w:eastAsia="pl-PL"/>
        </w:rPr>
        <w:t>art. 29</w:t>
      </w:r>
      <w:r w:rsidRPr="004E768F">
        <w:rPr>
          <w:rFonts w:ascii="Times New Roman" w:eastAsia="Times New Roman" w:hAnsi="Times New Roman" w:cs="Times New Roman"/>
          <w:bCs/>
          <w:sz w:val="24"/>
          <w:szCs w:val="24"/>
          <w:lang w:eastAsia="pl-PL"/>
        </w:rPr>
        <w:t xml:space="preserve"> przyjęto rozwiązanie, że udzielenie zezwolenia na podstawie rozporządzenia 2020/1503</w:t>
      </w:r>
      <w:r w:rsidR="0032452D">
        <w:rPr>
          <w:rFonts w:ascii="Times New Roman" w:eastAsia="Times New Roman" w:hAnsi="Times New Roman" w:cs="Times New Roman"/>
          <w:bCs/>
          <w:sz w:val="24"/>
          <w:szCs w:val="24"/>
          <w:lang w:eastAsia="pl-PL"/>
        </w:rPr>
        <w:t>, w</w:t>
      </w:r>
      <w:r w:rsidRPr="004E768F">
        <w:rPr>
          <w:rFonts w:ascii="Times New Roman" w:eastAsia="Times New Roman" w:hAnsi="Times New Roman" w:cs="Times New Roman"/>
          <w:bCs/>
          <w:sz w:val="24"/>
          <w:szCs w:val="24"/>
          <w:lang w:eastAsia="pl-PL"/>
        </w:rPr>
        <w:t xml:space="preserve"> </w:t>
      </w:r>
      <w:r w:rsidR="00EF67C8" w:rsidRPr="004E768F">
        <w:rPr>
          <w:rFonts w:ascii="Times New Roman" w:eastAsia="Times New Roman" w:hAnsi="Times New Roman" w:cs="Times New Roman"/>
          <w:bCs/>
          <w:sz w:val="24"/>
          <w:szCs w:val="24"/>
          <w:lang w:eastAsia="pl-PL"/>
        </w:rPr>
        <w:t>pełn</w:t>
      </w:r>
      <w:r w:rsidR="00EF67C8">
        <w:rPr>
          <w:rFonts w:ascii="Times New Roman" w:eastAsia="Times New Roman" w:hAnsi="Times New Roman" w:cs="Times New Roman"/>
          <w:bCs/>
          <w:sz w:val="24"/>
          <w:szCs w:val="24"/>
          <w:lang w:eastAsia="pl-PL"/>
        </w:rPr>
        <w:t>ym</w:t>
      </w:r>
      <w:r w:rsidR="00EF67C8" w:rsidRPr="004E768F">
        <w:rPr>
          <w:rFonts w:ascii="Times New Roman" w:eastAsia="Times New Roman" w:hAnsi="Times New Roman" w:cs="Times New Roman"/>
          <w:bCs/>
          <w:sz w:val="24"/>
          <w:szCs w:val="24"/>
          <w:lang w:eastAsia="pl-PL"/>
        </w:rPr>
        <w:t xml:space="preserve"> zakres</w:t>
      </w:r>
      <w:r w:rsidR="00EF67C8">
        <w:rPr>
          <w:rFonts w:ascii="Times New Roman" w:eastAsia="Times New Roman" w:hAnsi="Times New Roman" w:cs="Times New Roman"/>
          <w:bCs/>
          <w:sz w:val="24"/>
          <w:szCs w:val="24"/>
          <w:lang w:eastAsia="pl-PL"/>
        </w:rPr>
        <w:t>ie</w:t>
      </w:r>
      <w:r w:rsidR="00EF67C8" w:rsidRPr="004E768F">
        <w:rPr>
          <w:rFonts w:ascii="Times New Roman" w:eastAsia="Times New Roman" w:hAnsi="Times New Roman" w:cs="Times New Roman"/>
          <w:bCs/>
          <w:sz w:val="24"/>
          <w:szCs w:val="24"/>
          <w:lang w:eastAsia="pl-PL"/>
        </w:rPr>
        <w:t xml:space="preserve"> świadczenia usług finansowania społecznościowego</w:t>
      </w:r>
      <w:r w:rsidR="00EF67C8">
        <w:rPr>
          <w:rFonts w:ascii="Times New Roman" w:eastAsia="Times New Roman" w:hAnsi="Times New Roman" w:cs="Times New Roman"/>
          <w:bCs/>
          <w:sz w:val="24"/>
          <w:szCs w:val="24"/>
          <w:lang w:eastAsia="pl-PL"/>
        </w:rPr>
        <w:t xml:space="preserve">, </w:t>
      </w:r>
      <w:r w:rsidRPr="004E768F">
        <w:rPr>
          <w:rFonts w:ascii="Times New Roman" w:eastAsia="Times New Roman" w:hAnsi="Times New Roman" w:cs="Times New Roman"/>
          <w:bCs/>
          <w:sz w:val="24"/>
          <w:szCs w:val="24"/>
          <w:lang w:eastAsia="pl-PL"/>
        </w:rPr>
        <w:t xml:space="preserve">podlega opłacie nie większej niż 4500 euro. </w:t>
      </w:r>
      <w:r w:rsidR="00EF67C8">
        <w:rPr>
          <w:rFonts w:ascii="Times New Roman" w:eastAsia="Times New Roman" w:hAnsi="Times New Roman" w:cs="Times New Roman"/>
          <w:bCs/>
          <w:sz w:val="24"/>
          <w:szCs w:val="24"/>
          <w:lang w:eastAsia="pl-PL"/>
        </w:rPr>
        <w:t>W</w:t>
      </w:r>
      <w:r w:rsidRPr="004E768F">
        <w:rPr>
          <w:rFonts w:ascii="Times New Roman" w:eastAsia="Times New Roman" w:hAnsi="Times New Roman" w:cs="Times New Roman"/>
          <w:bCs/>
          <w:sz w:val="24"/>
          <w:szCs w:val="24"/>
          <w:lang w:eastAsia="pl-PL"/>
        </w:rPr>
        <w:t xml:space="preserve">ysokości opłaty za zezwolenie cząstkowe, tj. dotyczące czynności z art. 2 ust. 1 lit. a pkt (i) lub (ii) rozporządzenia 2020/1503, jak również sposób i terminy uiszczania opłat zostaną </w:t>
      </w:r>
      <w:r w:rsidR="00EF67C8">
        <w:rPr>
          <w:rFonts w:ascii="Times New Roman" w:eastAsia="Times New Roman" w:hAnsi="Times New Roman" w:cs="Times New Roman"/>
          <w:bCs/>
          <w:sz w:val="24"/>
          <w:szCs w:val="24"/>
          <w:lang w:eastAsia="pl-PL"/>
        </w:rPr>
        <w:t xml:space="preserve">określone </w:t>
      </w:r>
      <w:r w:rsidRPr="004E768F">
        <w:rPr>
          <w:rFonts w:ascii="Times New Roman" w:eastAsia="Times New Roman" w:hAnsi="Times New Roman" w:cs="Times New Roman"/>
          <w:bCs/>
          <w:sz w:val="24"/>
          <w:szCs w:val="24"/>
          <w:lang w:eastAsia="pl-PL"/>
        </w:rPr>
        <w:t>w rozporządzeniu wydanym na podstawie art. 17 ust. 14 ustawy z dnia 29 lipca 2005 r. o na</w:t>
      </w:r>
      <w:r w:rsidR="00E77760" w:rsidRPr="004E768F">
        <w:rPr>
          <w:rFonts w:ascii="Times New Roman" w:eastAsia="Times New Roman" w:hAnsi="Times New Roman" w:cs="Times New Roman"/>
          <w:bCs/>
          <w:sz w:val="24"/>
          <w:szCs w:val="24"/>
          <w:lang w:eastAsia="pl-PL"/>
        </w:rPr>
        <w:t>dzorze nad rynkiem kapitałowym</w:t>
      </w:r>
      <w:r w:rsidRPr="004E768F">
        <w:rPr>
          <w:rFonts w:ascii="Times New Roman" w:eastAsia="Times New Roman" w:hAnsi="Times New Roman" w:cs="Times New Roman"/>
          <w:bCs/>
          <w:sz w:val="24"/>
          <w:szCs w:val="24"/>
          <w:lang w:eastAsia="pl-PL"/>
        </w:rPr>
        <w:t>.</w:t>
      </w:r>
    </w:p>
    <w:p w14:paraId="3CCE9163" w14:textId="28194587" w:rsidR="00CD3E8E" w:rsidRPr="004E768F" w:rsidRDefault="0032452D" w:rsidP="002E1278">
      <w:pPr>
        <w:suppressAutoHyphens/>
        <w:autoSpaceDE w:val="0"/>
        <w:autoSpaceDN w:val="0"/>
        <w:adjustRightInd w:val="0"/>
        <w:spacing w:after="120"/>
        <w:ind w:firstLine="510"/>
        <w:rPr>
          <w:rFonts w:ascii="Times New Roman" w:eastAsia="Times New Roman" w:hAnsi="Times New Roman" w:cs="Times New Roman"/>
          <w:bCs/>
          <w:sz w:val="24"/>
          <w:szCs w:val="24"/>
          <w:lang w:eastAsia="pl-PL"/>
        </w:rPr>
      </w:pPr>
      <w:r w:rsidRPr="000E5BF2">
        <w:rPr>
          <w:rFonts w:ascii="Times New Roman" w:eastAsia="Times New Roman" w:hAnsi="Times New Roman" w:cs="Times New Roman"/>
          <w:b/>
          <w:bCs/>
          <w:sz w:val="24"/>
          <w:szCs w:val="24"/>
          <w:lang w:eastAsia="pl-PL"/>
        </w:rPr>
        <w:t>A</w:t>
      </w:r>
      <w:r w:rsidR="00220E58" w:rsidRPr="000E5BF2">
        <w:rPr>
          <w:rFonts w:ascii="Times New Roman" w:eastAsia="Times New Roman" w:hAnsi="Times New Roman" w:cs="Times New Roman"/>
          <w:b/>
          <w:bCs/>
          <w:sz w:val="24"/>
          <w:szCs w:val="24"/>
          <w:lang w:eastAsia="pl-PL"/>
        </w:rPr>
        <w:t>rt.</w:t>
      </w:r>
      <w:r w:rsidR="000E5BF2">
        <w:rPr>
          <w:rFonts w:ascii="Times New Roman" w:eastAsia="Times New Roman" w:hAnsi="Times New Roman" w:cs="Times New Roman"/>
          <w:b/>
          <w:bCs/>
          <w:sz w:val="24"/>
          <w:szCs w:val="24"/>
          <w:lang w:eastAsia="pl-PL"/>
        </w:rPr>
        <w:t xml:space="preserve"> 30</w:t>
      </w:r>
      <w:r w:rsidR="00D31A5C" w:rsidRPr="004E768F">
        <w:rPr>
          <w:rFonts w:ascii="Times New Roman" w:eastAsia="Times New Roman" w:hAnsi="Times New Roman" w:cs="Times New Roman"/>
          <w:bCs/>
          <w:sz w:val="24"/>
          <w:szCs w:val="24"/>
          <w:lang w:eastAsia="pl-PL"/>
        </w:rPr>
        <w:t xml:space="preserve"> </w:t>
      </w:r>
      <w:r w:rsidR="00EF67C8">
        <w:rPr>
          <w:rFonts w:ascii="Times New Roman" w:eastAsia="Times New Roman" w:hAnsi="Times New Roman" w:cs="Times New Roman"/>
          <w:bCs/>
          <w:sz w:val="24"/>
          <w:szCs w:val="24"/>
          <w:lang w:eastAsia="pl-PL"/>
        </w:rPr>
        <w:t xml:space="preserve">dotyczy </w:t>
      </w:r>
      <w:r w:rsidR="00D31A5C" w:rsidRPr="004E768F">
        <w:rPr>
          <w:rFonts w:ascii="Times New Roman" w:eastAsia="Times New Roman" w:hAnsi="Times New Roman" w:cs="Times New Roman"/>
          <w:bCs/>
          <w:sz w:val="24"/>
          <w:szCs w:val="24"/>
          <w:lang w:eastAsia="pl-PL"/>
        </w:rPr>
        <w:t>opłaty rocznej z tytułu nadzoru pobieranej od dostawców usług finansowania społecznościowego</w:t>
      </w:r>
      <w:r w:rsidR="0071326C">
        <w:rPr>
          <w:rFonts w:ascii="Times New Roman" w:eastAsia="Times New Roman" w:hAnsi="Times New Roman" w:cs="Times New Roman"/>
          <w:bCs/>
          <w:sz w:val="24"/>
          <w:szCs w:val="24"/>
          <w:lang w:eastAsia="pl-PL"/>
        </w:rPr>
        <w:t>. Będzie ona pobierana tak</w:t>
      </w:r>
      <w:r>
        <w:rPr>
          <w:rFonts w:ascii="Times New Roman" w:eastAsia="Times New Roman" w:hAnsi="Times New Roman" w:cs="Times New Roman"/>
          <w:bCs/>
          <w:sz w:val="24"/>
          <w:szCs w:val="24"/>
          <w:lang w:eastAsia="pl-PL"/>
        </w:rPr>
        <w:t>, jak</w:t>
      </w:r>
      <w:r w:rsidR="0071326C">
        <w:rPr>
          <w:rFonts w:ascii="Times New Roman" w:eastAsia="Times New Roman" w:hAnsi="Times New Roman" w:cs="Times New Roman"/>
          <w:bCs/>
          <w:sz w:val="24"/>
          <w:szCs w:val="24"/>
          <w:lang w:eastAsia="pl-PL"/>
        </w:rPr>
        <w:t xml:space="preserve"> </w:t>
      </w:r>
      <w:r w:rsidR="00D31A5C" w:rsidRPr="004E768F">
        <w:rPr>
          <w:rFonts w:ascii="Times New Roman" w:eastAsia="Times New Roman" w:hAnsi="Times New Roman" w:cs="Times New Roman"/>
          <w:bCs/>
          <w:sz w:val="24"/>
          <w:szCs w:val="24"/>
          <w:lang w:eastAsia="pl-PL"/>
        </w:rPr>
        <w:t>opłat</w:t>
      </w:r>
      <w:r>
        <w:rPr>
          <w:rFonts w:ascii="Times New Roman" w:eastAsia="Times New Roman" w:hAnsi="Times New Roman" w:cs="Times New Roman"/>
          <w:bCs/>
          <w:sz w:val="24"/>
          <w:szCs w:val="24"/>
          <w:lang w:eastAsia="pl-PL"/>
        </w:rPr>
        <w:t>a</w:t>
      </w:r>
      <w:r w:rsidR="006432C5" w:rsidRPr="004E768F">
        <w:rPr>
          <w:rFonts w:ascii="Times New Roman" w:eastAsia="Times New Roman" w:hAnsi="Times New Roman" w:cs="Times New Roman"/>
          <w:bCs/>
          <w:sz w:val="24"/>
          <w:szCs w:val="24"/>
          <w:lang w:eastAsia="pl-PL"/>
        </w:rPr>
        <w:t xml:space="preserve"> pobieran</w:t>
      </w:r>
      <w:r>
        <w:rPr>
          <w:rFonts w:ascii="Times New Roman" w:eastAsia="Times New Roman" w:hAnsi="Times New Roman" w:cs="Times New Roman"/>
          <w:bCs/>
          <w:sz w:val="24"/>
          <w:szCs w:val="24"/>
          <w:lang w:eastAsia="pl-PL"/>
        </w:rPr>
        <w:t>a</w:t>
      </w:r>
      <w:r w:rsidR="00D31A5C" w:rsidRPr="004E768F">
        <w:rPr>
          <w:rFonts w:ascii="Times New Roman" w:eastAsia="Times New Roman" w:hAnsi="Times New Roman" w:cs="Times New Roman"/>
          <w:bCs/>
          <w:sz w:val="24"/>
          <w:szCs w:val="24"/>
          <w:lang w:eastAsia="pl-PL"/>
        </w:rPr>
        <w:t xml:space="preserve"> od domów maklerskich, tj.</w:t>
      </w:r>
      <w:r w:rsidR="0071326C">
        <w:rPr>
          <w:rFonts w:ascii="Times New Roman" w:eastAsia="Times New Roman" w:hAnsi="Times New Roman" w:cs="Times New Roman"/>
          <w:bCs/>
          <w:sz w:val="24"/>
          <w:szCs w:val="24"/>
          <w:lang w:eastAsia="pl-PL"/>
        </w:rPr>
        <w:t xml:space="preserve"> będzie </w:t>
      </w:r>
      <w:r w:rsidR="006432C5" w:rsidRPr="004E768F">
        <w:rPr>
          <w:rFonts w:ascii="Times New Roman" w:eastAsia="Times New Roman" w:hAnsi="Times New Roman" w:cs="Times New Roman"/>
          <w:bCs/>
          <w:sz w:val="24"/>
          <w:szCs w:val="24"/>
          <w:lang w:eastAsia="pl-PL"/>
        </w:rPr>
        <w:t>obliczan</w:t>
      </w:r>
      <w:r w:rsidR="0071326C">
        <w:rPr>
          <w:rFonts w:ascii="Times New Roman" w:eastAsia="Times New Roman" w:hAnsi="Times New Roman" w:cs="Times New Roman"/>
          <w:bCs/>
          <w:sz w:val="24"/>
          <w:szCs w:val="24"/>
          <w:lang w:eastAsia="pl-PL"/>
        </w:rPr>
        <w:t xml:space="preserve">a </w:t>
      </w:r>
      <w:r w:rsidR="006432C5" w:rsidRPr="004E768F">
        <w:rPr>
          <w:rFonts w:ascii="Times New Roman" w:eastAsia="Times New Roman" w:hAnsi="Times New Roman" w:cs="Times New Roman"/>
          <w:bCs/>
          <w:sz w:val="24"/>
          <w:szCs w:val="24"/>
          <w:lang w:eastAsia="pl-PL"/>
        </w:rPr>
        <w:t xml:space="preserve">na podstawie średniej wartości przychodów w okresie trzech lat poprzedzających rok, za który należna jest opłata. </w:t>
      </w:r>
      <w:r w:rsidR="0071326C">
        <w:rPr>
          <w:rFonts w:ascii="Times New Roman" w:eastAsia="Times New Roman" w:hAnsi="Times New Roman" w:cs="Times New Roman"/>
          <w:bCs/>
          <w:sz w:val="24"/>
          <w:szCs w:val="24"/>
          <w:lang w:eastAsia="pl-PL"/>
        </w:rPr>
        <w:t>S</w:t>
      </w:r>
      <w:r w:rsidR="000E5BF2">
        <w:rPr>
          <w:rFonts w:ascii="Times New Roman" w:eastAsia="Times New Roman" w:hAnsi="Times New Roman" w:cs="Times New Roman"/>
          <w:bCs/>
          <w:sz w:val="24"/>
          <w:szCs w:val="24"/>
          <w:lang w:eastAsia="pl-PL"/>
        </w:rPr>
        <w:t>zczegółowy s</w:t>
      </w:r>
      <w:r w:rsidR="006432C5" w:rsidRPr="004E768F">
        <w:rPr>
          <w:rFonts w:ascii="Times New Roman" w:eastAsia="Times New Roman" w:hAnsi="Times New Roman" w:cs="Times New Roman"/>
          <w:bCs/>
          <w:sz w:val="24"/>
          <w:szCs w:val="24"/>
          <w:lang w:eastAsia="pl-PL"/>
        </w:rPr>
        <w:t>posób obliczania oraz sposób i t</w:t>
      </w:r>
      <w:r>
        <w:rPr>
          <w:rFonts w:ascii="Times New Roman" w:eastAsia="Times New Roman" w:hAnsi="Times New Roman" w:cs="Times New Roman"/>
          <w:bCs/>
          <w:sz w:val="24"/>
          <w:szCs w:val="24"/>
          <w:lang w:eastAsia="pl-PL"/>
        </w:rPr>
        <w:t>ermin uiszczania opłaty rocznej</w:t>
      </w:r>
      <w:r w:rsidR="0071326C">
        <w:rPr>
          <w:rFonts w:ascii="Times New Roman" w:eastAsia="Times New Roman" w:hAnsi="Times New Roman" w:cs="Times New Roman"/>
          <w:bCs/>
          <w:sz w:val="24"/>
          <w:szCs w:val="24"/>
          <w:lang w:eastAsia="pl-PL"/>
        </w:rPr>
        <w:t xml:space="preserve"> określi </w:t>
      </w:r>
      <w:r w:rsidR="006432C5" w:rsidRPr="004E768F">
        <w:rPr>
          <w:rFonts w:ascii="Times New Roman" w:eastAsia="Times New Roman" w:hAnsi="Times New Roman" w:cs="Times New Roman"/>
          <w:bCs/>
          <w:sz w:val="24"/>
          <w:szCs w:val="24"/>
          <w:lang w:eastAsia="pl-PL"/>
        </w:rPr>
        <w:t>rozporządze</w:t>
      </w:r>
      <w:r w:rsidR="0071326C">
        <w:rPr>
          <w:rFonts w:ascii="Times New Roman" w:eastAsia="Times New Roman" w:hAnsi="Times New Roman" w:cs="Times New Roman"/>
          <w:bCs/>
          <w:sz w:val="24"/>
          <w:szCs w:val="24"/>
          <w:lang w:eastAsia="pl-PL"/>
        </w:rPr>
        <w:t>nie</w:t>
      </w:r>
      <w:r w:rsidR="006432C5" w:rsidRPr="004E768F">
        <w:rPr>
          <w:rFonts w:ascii="Times New Roman" w:eastAsia="Times New Roman" w:hAnsi="Times New Roman" w:cs="Times New Roman"/>
          <w:bCs/>
          <w:sz w:val="24"/>
          <w:szCs w:val="24"/>
          <w:lang w:eastAsia="pl-PL"/>
        </w:rPr>
        <w:t xml:space="preserve"> wydan</w:t>
      </w:r>
      <w:r w:rsidR="0071326C">
        <w:rPr>
          <w:rFonts w:ascii="Times New Roman" w:eastAsia="Times New Roman" w:hAnsi="Times New Roman" w:cs="Times New Roman"/>
          <w:bCs/>
          <w:sz w:val="24"/>
          <w:szCs w:val="24"/>
          <w:lang w:eastAsia="pl-PL"/>
        </w:rPr>
        <w:t>e</w:t>
      </w:r>
      <w:r>
        <w:rPr>
          <w:rFonts w:ascii="Times New Roman" w:eastAsia="Times New Roman" w:hAnsi="Times New Roman" w:cs="Times New Roman"/>
          <w:bCs/>
          <w:sz w:val="24"/>
          <w:szCs w:val="24"/>
          <w:lang w:eastAsia="pl-PL"/>
        </w:rPr>
        <w:t xml:space="preserve"> </w:t>
      </w:r>
      <w:r w:rsidR="006432C5" w:rsidRPr="004E768F">
        <w:rPr>
          <w:rFonts w:ascii="Times New Roman" w:eastAsia="Times New Roman" w:hAnsi="Times New Roman" w:cs="Times New Roman"/>
          <w:bCs/>
          <w:sz w:val="24"/>
          <w:szCs w:val="24"/>
          <w:lang w:eastAsia="pl-PL"/>
        </w:rPr>
        <w:t>na podstawie art. 17 ust. 14 ustawy z dnia 29 lipca 2005 r. o nadzorze nad rynkiem kapitałowym.</w:t>
      </w:r>
    </w:p>
    <w:p w14:paraId="03E9C3EF" w14:textId="30C9DB42" w:rsidR="00780769" w:rsidRPr="004E768F" w:rsidRDefault="0071326C" w:rsidP="00922D36">
      <w:pPr>
        <w:suppressAutoHyphens/>
        <w:autoSpaceDE w:val="0"/>
        <w:autoSpaceDN w:val="0"/>
        <w:adjustRightInd w:val="0"/>
        <w:spacing w:before="120"/>
        <w:ind w:firstLine="510"/>
        <w:rPr>
          <w:rFonts w:ascii="Times New Roman" w:eastAsia="Times New Roman" w:hAnsi="Times New Roman" w:cs="Times New Roman"/>
          <w:bCs/>
          <w:sz w:val="24"/>
          <w:szCs w:val="24"/>
          <w:lang w:eastAsia="pl-PL"/>
        </w:rPr>
      </w:pPr>
      <w:r w:rsidRPr="00B85717">
        <w:rPr>
          <w:rFonts w:ascii="Times New Roman" w:eastAsia="Times New Roman" w:hAnsi="Times New Roman" w:cs="Times New Roman"/>
          <w:bCs/>
          <w:sz w:val="24"/>
          <w:szCs w:val="24"/>
          <w:lang w:eastAsia="pl-PL"/>
        </w:rPr>
        <w:t>Przepisy</w:t>
      </w:r>
      <w:r w:rsidR="000E5BF2">
        <w:rPr>
          <w:rFonts w:ascii="Times New Roman" w:eastAsia="Times New Roman" w:hAnsi="Times New Roman" w:cs="Times New Roman"/>
          <w:b/>
          <w:bCs/>
          <w:sz w:val="24"/>
          <w:szCs w:val="24"/>
          <w:lang w:eastAsia="pl-PL"/>
        </w:rPr>
        <w:t xml:space="preserve"> art. 31</w:t>
      </w:r>
      <w:r w:rsidR="0032452D">
        <w:rPr>
          <w:rFonts w:ascii="Times New Roman" w:eastAsia="Times New Roman" w:hAnsi="Times New Roman" w:cs="Times New Roman"/>
          <w:b/>
          <w:bCs/>
          <w:sz w:val="24"/>
          <w:szCs w:val="24"/>
          <w:lang w:eastAsia="pl-PL"/>
        </w:rPr>
        <w:t xml:space="preserve"> </w:t>
      </w:r>
      <w:r w:rsidR="0032452D" w:rsidRPr="00E904E8">
        <w:rPr>
          <w:rFonts w:ascii="Times New Roman" w:eastAsia="Times New Roman" w:hAnsi="Times New Roman" w:cs="Times New Roman"/>
          <w:bCs/>
          <w:sz w:val="24"/>
          <w:szCs w:val="24"/>
          <w:lang w:eastAsia="pl-PL"/>
        </w:rPr>
        <w:t>i</w:t>
      </w:r>
      <w:r w:rsidR="000E5BF2">
        <w:rPr>
          <w:rFonts w:ascii="Times New Roman" w:eastAsia="Times New Roman" w:hAnsi="Times New Roman" w:cs="Times New Roman"/>
          <w:b/>
          <w:bCs/>
          <w:sz w:val="24"/>
          <w:szCs w:val="24"/>
          <w:lang w:eastAsia="pl-PL"/>
        </w:rPr>
        <w:t xml:space="preserve"> art. 32</w:t>
      </w:r>
      <w:r>
        <w:rPr>
          <w:rFonts w:ascii="Times New Roman" w:eastAsia="Times New Roman" w:hAnsi="Times New Roman" w:cs="Times New Roman"/>
          <w:b/>
          <w:bCs/>
          <w:sz w:val="24"/>
          <w:szCs w:val="24"/>
          <w:lang w:eastAsia="pl-PL"/>
        </w:rPr>
        <w:t xml:space="preserve"> </w:t>
      </w:r>
      <w:r w:rsidR="0032452D">
        <w:rPr>
          <w:rFonts w:ascii="Times New Roman" w:eastAsia="Times New Roman" w:hAnsi="Times New Roman" w:cs="Times New Roman"/>
          <w:bCs/>
          <w:sz w:val="24"/>
          <w:szCs w:val="24"/>
          <w:lang w:eastAsia="pl-PL"/>
        </w:rPr>
        <w:t>określają</w:t>
      </w:r>
      <w:r w:rsidR="00F2604B" w:rsidRPr="0071326C">
        <w:rPr>
          <w:rFonts w:ascii="Times New Roman" w:eastAsia="Times New Roman" w:hAnsi="Times New Roman" w:cs="Times New Roman"/>
          <w:bCs/>
          <w:sz w:val="24"/>
          <w:szCs w:val="24"/>
          <w:lang w:eastAsia="pl-PL"/>
        </w:rPr>
        <w:t xml:space="preserve"> </w:t>
      </w:r>
      <w:r w:rsidR="00F2604B" w:rsidRPr="004E768F">
        <w:rPr>
          <w:rFonts w:ascii="Times New Roman" w:eastAsia="Times New Roman" w:hAnsi="Times New Roman" w:cs="Times New Roman"/>
          <w:bCs/>
          <w:sz w:val="24"/>
          <w:szCs w:val="24"/>
          <w:lang w:eastAsia="pl-PL"/>
        </w:rPr>
        <w:t>sankcje administracyjne za naruszenie przepisów ustawy</w:t>
      </w:r>
      <w:r w:rsidR="0032452D">
        <w:rPr>
          <w:rFonts w:ascii="Times New Roman" w:eastAsia="Times New Roman" w:hAnsi="Times New Roman" w:cs="Times New Roman"/>
          <w:bCs/>
          <w:sz w:val="24"/>
          <w:szCs w:val="24"/>
          <w:lang w:eastAsia="pl-PL"/>
        </w:rPr>
        <w:t xml:space="preserve"> i rozporządzenia</w:t>
      </w:r>
      <w:r w:rsidR="00F2604B" w:rsidRPr="004E768F">
        <w:rPr>
          <w:rFonts w:ascii="Times New Roman" w:eastAsia="Times New Roman" w:hAnsi="Times New Roman" w:cs="Times New Roman"/>
          <w:bCs/>
          <w:sz w:val="24"/>
          <w:szCs w:val="24"/>
          <w:lang w:eastAsia="pl-PL"/>
        </w:rPr>
        <w:t xml:space="preserve"> </w:t>
      </w:r>
      <w:r w:rsidR="0032452D">
        <w:rPr>
          <w:rFonts w:ascii="Times New Roman" w:eastAsia="Times New Roman" w:hAnsi="Times New Roman" w:cs="Times New Roman"/>
          <w:bCs/>
          <w:sz w:val="24"/>
          <w:szCs w:val="24"/>
          <w:lang w:eastAsia="pl-PL"/>
        </w:rPr>
        <w:t xml:space="preserve">2020/1503 </w:t>
      </w:r>
      <w:r w:rsidR="00F2604B" w:rsidRPr="004E768F">
        <w:rPr>
          <w:rFonts w:ascii="Times New Roman" w:eastAsia="Times New Roman" w:hAnsi="Times New Roman" w:cs="Times New Roman"/>
          <w:bCs/>
          <w:sz w:val="24"/>
          <w:szCs w:val="24"/>
          <w:lang w:eastAsia="pl-PL"/>
        </w:rPr>
        <w:t xml:space="preserve">oraz środki naprawcze. </w:t>
      </w:r>
      <w:r w:rsidR="00780769" w:rsidRPr="004E768F">
        <w:rPr>
          <w:rFonts w:ascii="Times New Roman" w:eastAsia="Times New Roman" w:hAnsi="Times New Roman" w:cs="Times New Roman"/>
          <w:bCs/>
          <w:sz w:val="24"/>
          <w:szCs w:val="24"/>
          <w:lang w:eastAsia="pl-PL"/>
        </w:rPr>
        <w:t xml:space="preserve">Stosownie do art. 39 ust. 1 rozporządzenia 2020/1503, państwa członkowskie przyznają właściwym organom – zgodnie z prawem krajowym – uprawnienia do nakładania kar administracyjnych i podejmowania innych odpowiednich środków administracyjnych, które muszą być skuteczne, proporcjonalne i odstraszające. </w:t>
      </w:r>
      <w:r w:rsidR="00376268" w:rsidRPr="004E768F">
        <w:rPr>
          <w:rFonts w:ascii="Times New Roman" w:eastAsia="Times New Roman" w:hAnsi="Times New Roman" w:cs="Times New Roman"/>
          <w:bCs/>
          <w:sz w:val="24"/>
          <w:szCs w:val="24"/>
          <w:lang w:eastAsia="pl-PL"/>
        </w:rPr>
        <w:t xml:space="preserve">W art. 39 ust. 2 rozporządzenia 2020/1503 ustanowiono katalog sankcji administracyjnych, które powinny znaleźć odzwierciedlenie w przepisach krajowych. </w:t>
      </w:r>
      <w:r w:rsidR="00780769" w:rsidRPr="004E768F">
        <w:rPr>
          <w:rFonts w:ascii="Times New Roman" w:eastAsia="Times New Roman" w:hAnsi="Times New Roman" w:cs="Times New Roman"/>
          <w:bCs/>
          <w:sz w:val="24"/>
          <w:szCs w:val="24"/>
          <w:lang w:eastAsia="pl-PL"/>
        </w:rPr>
        <w:t>Propon</w:t>
      </w:r>
      <w:r w:rsidR="00376268">
        <w:rPr>
          <w:rFonts w:ascii="Times New Roman" w:eastAsia="Times New Roman" w:hAnsi="Times New Roman" w:cs="Times New Roman"/>
          <w:bCs/>
          <w:sz w:val="24"/>
          <w:szCs w:val="24"/>
          <w:lang w:eastAsia="pl-PL"/>
        </w:rPr>
        <w:t xml:space="preserve">owane </w:t>
      </w:r>
      <w:r w:rsidR="00780769" w:rsidRPr="004E768F">
        <w:rPr>
          <w:rFonts w:ascii="Times New Roman" w:eastAsia="Times New Roman" w:hAnsi="Times New Roman" w:cs="Times New Roman"/>
          <w:bCs/>
          <w:sz w:val="24"/>
          <w:szCs w:val="24"/>
          <w:lang w:eastAsia="pl-PL"/>
        </w:rPr>
        <w:t>kar</w:t>
      </w:r>
      <w:r w:rsidR="00376268">
        <w:rPr>
          <w:rFonts w:ascii="Times New Roman" w:eastAsia="Times New Roman" w:hAnsi="Times New Roman" w:cs="Times New Roman"/>
          <w:bCs/>
          <w:sz w:val="24"/>
          <w:szCs w:val="24"/>
          <w:lang w:eastAsia="pl-PL"/>
        </w:rPr>
        <w:t>y</w:t>
      </w:r>
      <w:r w:rsidR="00780769" w:rsidRPr="004E768F">
        <w:rPr>
          <w:rFonts w:ascii="Times New Roman" w:eastAsia="Times New Roman" w:hAnsi="Times New Roman" w:cs="Times New Roman"/>
          <w:bCs/>
          <w:sz w:val="24"/>
          <w:szCs w:val="24"/>
          <w:lang w:eastAsia="pl-PL"/>
        </w:rPr>
        <w:t xml:space="preserve"> administracyjn</w:t>
      </w:r>
      <w:r w:rsidR="00376268">
        <w:rPr>
          <w:rFonts w:ascii="Times New Roman" w:eastAsia="Times New Roman" w:hAnsi="Times New Roman" w:cs="Times New Roman"/>
          <w:bCs/>
          <w:sz w:val="24"/>
          <w:szCs w:val="24"/>
          <w:lang w:eastAsia="pl-PL"/>
        </w:rPr>
        <w:t xml:space="preserve">e będą </w:t>
      </w:r>
      <w:r w:rsidR="00780769" w:rsidRPr="004E768F">
        <w:rPr>
          <w:rFonts w:ascii="Times New Roman" w:eastAsia="Times New Roman" w:hAnsi="Times New Roman" w:cs="Times New Roman"/>
          <w:bCs/>
          <w:sz w:val="24"/>
          <w:szCs w:val="24"/>
          <w:lang w:eastAsia="pl-PL"/>
        </w:rPr>
        <w:t>zbliżon</w:t>
      </w:r>
      <w:r w:rsidR="00376268">
        <w:rPr>
          <w:rFonts w:ascii="Times New Roman" w:eastAsia="Times New Roman" w:hAnsi="Times New Roman" w:cs="Times New Roman"/>
          <w:bCs/>
          <w:sz w:val="24"/>
          <w:szCs w:val="24"/>
          <w:lang w:eastAsia="pl-PL"/>
        </w:rPr>
        <w:t>e</w:t>
      </w:r>
      <w:r w:rsidR="00780769" w:rsidRPr="004E768F">
        <w:rPr>
          <w:rFonts w:ascii="Times New Roman" w:eastAsia="Times New Roman" w:hAnsi="Times New Roman" w:cs="Times New Roman"/>
          <w:bCs/>
          <w:sz w:val="24"/>
          <w:szCs w:val="24"/>
          <w:lang w:eastAsia="pl-PL"/>
        </w:rPr>
        <w:t xml:space="preserve"> do kar</w:t>
      </w:r>
      <w:r w:rsidR="00376268">
        <w:rPr>
          <w:rFonts w:ascii="Times New Roman" w:eastAsia="Times New Roman" w:hAnsi="Times New Roman" w:cs="Times New Roman"/>
          <w:bCs/>
          <w:sz w:val="24"/>
          <w:szCs w:val="24"/>
          <w:lang w:eastAsia="pl-PL"/>
        </w:rPr>
        <w:t xml:space="preserve"> stosowanych przez Komisję wobe</w:t>
      </w:r>
      <w:r w:rsidR="0032452D">
        <w:rPr>
          <w:rFonts w:ascii="Times New Roman" w:eastAsia="Times New Roman" w:hAnsi="Times New Roman" w:cs="Times New Roman"/>
          <w:bCs/>
          <w:sz w:val="24"/>
          <w:szCs w:val="24"/>
          <w:lang w:eastAsia="pl-PL"/>
        </w:rPr>
        <w:t>c</w:t>
      </w:r>
      <w:r w:rsidR="00780769" w:rsidRPr="004E768F">
        <w:rPr>
          <w:rFonts w:ascii="Times New Roman" w:eastAsia="Times New Roman" w:hAnsi="Times New Roman" w:cs="Times New Roman"/>
          <w:bCs/>
          <w:sz w:val="24"/>
          <w:szCs w:val="24"/>
          <w:lang w:eastAsia="pl-PL"/>
        </w:rPr>
        <w:t xml:space="preserve"> </w:t>
      </w:r>
      <w:r w:rsidR="00780769" w:rsidRPr="004E768F">
        <w:rPr>
          <w:rFonts w:ascii="Times New Roman" w:eastAsia="Times New Roman" w:hAnsi="Times New Roman" w:cs="Times New Roman"/>
          <w:bCs/>
          <w:sz w:val="24"/>
          <w:szCs w:val="24"/>
          <w:lang w:eastAsia="pl-PL"/>
        </w:rPr>
        <w:lastRenderedPageBreak/>
        <w:t>firm inwestycyjnych oraz osób odpowiedzialnych za naruszenia popełnione przez firmę inwestycyjną (art. 169a ustawy o obrocie instrumentami finansowymi).</w:t>
      </w:r>
    </w:p>
    <w:p w14:paraId="3A0E47E5" w14:textId="1156D423" w:rsidR="00780769" w:rsidRPr="004E768F" w:rsidRDefault="00780769" w:rsidP="00CD3E8E">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xml:space="preserve">Maksymalna wysokość kary pieniężnej, którą Komisja będzie mogła nałożyć na podmioty odpowiedzialne za naruszenia przepisów, została wyznaczona na 2 250 000 zł. Zgodnie z art. 39 ust. 2 lit. e oraz f rozporządzenia 2020/1503 maksymalna wysokość administracyjnej kary pieniężnej wynosi 500 000 euro, a w państwach członkowskich, których walutą nie jest euro – równowartość 500 000 euro w walucie krajowej na dzień 9 listopada 2020 r. Zgodnie z </w:t>
      </w:r>
      <w:r w:rsidR="00220E58" w:rsidRPr="004E768F">
        <w:rPr>
          <w:rFonts w:ascii="Times New Roman" w:eastAsia="Times New Roman" w:hAnsi="Times New Roman" w:cs="Times New Roman"/>
          <w:bCs/>
          <w:sz w:val="24"/>
          <w:szCs w:val="24"/>
          <w:lang w:eastAsia="pl-PL"/>
        </w:rPr>
        <w:t>informacją o kursie wymiany euro</w:t>
      </w:r>
      <w:r w:rsidR="00472531" w:rsidRPr="004E768F">
        <w:rPr>
          <w:rFonts w:ascii="Times New Roman" w:eastAsia="Times New Roman" w:hAnsi="Times New Roman" w:cs="Times New Roman"/>
          <w:bCs/>
          <w:sz w:val="24"/>
          <w:szCs w:val="24"/>
          <w:lang w:eastAsia="pl-PL"/>
        </w:rPr>
        <w:t xml:space="preserve">, opracowaną przez </w:t>
      </w:r>
      <w:r w:rsidR="00220E58" w:rsidRPr="004E768F">
        <w:rPr>
          <w:rFonts w:ascii="Times New Roman" w:eastAsia="Times New Roman" w:hAnsi="Times New Roman" w:cs="Times New Roman"/>
          <w:bCs/>
          <w:sz w:val="24"/>
          <w:szCs w:val="24"/>
          <w:lang w:eastAsia="pl-PL"/>
        </w:rPr>
        <w:t>Europejski Bank Centralny</w:t>
      </w:r>
      <w:r w:rsidR="00472531" w:rsidRPr="004E768F">
        <w:rPr>
          <w:rFonts w:ascii="Times New Roman" w:eastAsia="Times New Roman" w:hAnsi="Times New Roman" w:cs="Times New Roman"/>
          <w:bCs/>
          <w:sz w:val="24"/>
          <w:szCs w:val="24"/>
          <w:lang w:eastAsia="pl-PL"/>
        </w:rPr>
        <w:t xml:space="preserve"> (</w:t>
      </w:r>
      <w:r w:rsidR="00220E58" w:rsidRPr="004E768F">
        <w:rPr>
          <w:rFonts w:ascii="Times New Roman" w:eastAsia="Times New Roman" w:hAnsi="Times New Roman" w:cs="Times New Roman"/>
          <w:bCs/>
          <w:i/>
          <w:sz w:val="24"/>
          <w:szCs w:val="24"/>
          <w:lang w:eastAsia="pl-PL"/>
        </w:rPr>
        <w:t>Euro Foreign Exchange Reference Rates, 09 November 2020</w:t>
      </w:r>
      <w:r w:rsidR="00220E58" w:rsidRPr="004E768F">
        <w:rPr>
          <w:rFonts w:ascii="Times New Roman" w:eastAsia="Times New Roman" w:hAnsi="Times New Roman" w:cs="Times New Roman"/>
          <w:bCs/>
          <w:sz w:val="24"/>
          <w:szCs w:val="24"/>
          <w:lang w:eastAsia="pl-PL"/>
        </w:rPr>
        <w:t xml:space="preserve">, dostępna na stronie internetowej </w:t>
      </w:r>
      <w:hyperlink r:id="rId6" w:history="1">
        <w:r w:rsidR="00220E58" w:rsidRPr="00B85717">
          <w:rPr>
            <w:rStyle w:val="Hipercze"/>
            <w:rFonts w:ascii="Times New Roman" w:eastAsia="Times New Roman" w:hAnsi="Times New Roman" w:cs="Times New Roman"/>
            <w:bCs/>
            <w:color w:val="auto"/>
            <w:sz w:val="24"/>
            <w:szCs w:val="24"/>
            <w:lang w:eastAsia="pl-PL"/>
          </w:rPr>
          <w:t>https://www.ecb.europa.eu/stats/exchange/eurofxref/shared/pdf/2020/11/20201109.pdf</w:t>
        </w:r>
      </w:hyperlink>
      <w:r w:rsidR="00220E58" w:rsidRPr="00B85717">
        <w:rPr>
          <w:rFonts w:ascii="Times New Roman" w:eastAsia="Times New Roman" w:hAnsi="Times New Roman" w:cs="Times New Roman"/>
          <w:bCs/>
          <w:sz w:val="24"/>
          <w:szCs w:val="24"/>
          <w:lang w:eastAsia="pl-PL"/>
        </w:rPr>
        <w:t xml:space="preserve">), </w:t>
      </w:r>
      <w:r w:rsidR="00220E58" w:rsidRPr="004E768F">
        <w:rPr>
          <w:rFonts w:ascii="Times New Roman" w:eastAsia="Times New Roman" w:hAnsi="Times New Roman" w:cs="Times New Roman"/>
          <w:bCs/>
          <w:sz w:val="24"/>
          <w:szCs w:val="24"/>
          <w:lang w:eastAsia="pl-PL"/>
        </w:rPr>
        <w:t>kurs euro wynosił 4,46</w:t>
      </w:r>
      <w:r w:rsidR="00472531" w:rsidRPr="004E768F">
        <w:rPr>
          <w:rFonts w:ascii="Times New Roman" w:eastAsia="Times New Roman" w:hAnsi="Times New Roman" w:cs="Times New Roman"/>
          <w:bCs/>
          <w:sz w:val="24"/>
          <w:szCs w:val="24"/>
          <w:lang w:eastAsia="pl-PL"/>
        </w:rPr>
        <w:t xml:space="preserve">7 zł. Po przeliczeniu kwoty 500 000 euro na </w:t>
      </w:r>
      <w:r w:rsidR="00220E58" w:rsidRPr="004E768F">
        <w:rPr>
          <w:rFonts w:ascii="Times New Roman" w:eastAsia="Times New Roman" w:hAnsi="Times New Roman" w:cs="Times New Roman"/>
          <w:bCs/>
          <w:sz w:val="24"/>
          <w:szCs w:val="24"/>
          <w:lang w:eastAsia="pl-PL"/>
        </w:rPr>
        <w:t>złote polskie daje to kwotę 2 23</w:t>
      </w:r>
      <w:r w:rsidR="00472531" w:rsidRPr="004E768F">
        <w:rPr>
          <w:rFonts w:ascii="Times New Roman" w:eastAsia="Times New Roman" w:hAnsi="Times New Roman" w:cs="Times New Roman"/>
          <w:bCs/>
          <w:sz w:val="24"/>
          <w:szCs w:val="24"/>
          <w:lang w:eastAsia="pl-PL"/>
        </w:rPr>
        <w:t>3 500 zł. Kwota ta została nieznacznie zaokrąglona w górę – do 2 250 000 zł.</w:t>
      </w:r>
    </w:p>
    <w:p w14:paraId="03935687" w14:textId="3693BB68" w:rsidR="00220E58" w:rsidRPr="004E768F" w:rsidRDefault="00B85717"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B25305">
        <w:rPr>
          <w:rFonts w:ascii="Times New Roman" w:eastAsia="Times New Roman" w:hAnsi="Times New Roman" w:cs="Times New Roman"/>
          <w:bCs/>
          <w:sz w:val="24"/>
          <w:szCs w:val="24"/>
          <w:lang w:eastAsia="pl-PL"/>
        </w:rPr>
        <w:t>Przepisy</w:t>
      </w:r>
      <w:r>
        <w:rPr>
          <w:rFonts w:ascii="Times New Roman" w:eastAsia="Times New Roman" w:hAnsi="Times New Roman" w:cs="Times New Roman"/>
          <w:b/>
          <w:bCs/>
          <w:sz w:val="24"/>
          <w:szCs w:val="24"/>
          <w:lang w:eastAsia="pl-PL"/>
        </w:rPr>
        <w:t xml:space="preserve"> </w:t>
      </w:r>
      <w:r w:rsidR="00C7149C">
        <w:rPr>
          <w:rFonts w:ascii="Times New Roman" w:eastAsia="Times New Roman" w:hAnsi="Times New Roman" w:cs="Times New Roman"/>
          <w:bCs/>
          <w:sz w:val="24"/>
          <w:szCs w:val="24"/>
          <w:lang w:eastAsia="pl-PL"/>
        </w:rPr>
        <w:t>art. 33 i art. 34</w:t>
      </w:r>
      <w:r w:rsidR="00B25305" w:rsidRPr="00C7149C">
        <w:rPr>
          <w:rFonts w:ascii="Times New Roman" w:eastAsia="Times New Roman" w:hAnsi="Times New Roman" w:cs="Times New Roman"/>
          <w:bCs/>
          <w:sz w:val="24"/>
          <w:szCs w:val="24"/>
          <w:lang w:eastAsia="pl-PL"/>
        </w:rPr>
        <w:t xml:space="preserve"> </w:t>
      </w:r>
      <w:r w:rsidR="00220E58" w:rsidRPr="004E768F">
        <w:rPr>
          <w:rFonts w:ascii="Times New Roman" w:eastAsia="Times New Roman" w:hAnsi="Times New Roman" w:cs="Times New Roman"/>
          <w:bCs/>
          <w:sz w:val="24"/>
          <w:szCs w:val="24"/>
          <w:lang w:eastAsia="pl-PL"/>
        </w:rPr>
        <w:t>reguluj</w:t>
      </w:r>
      <w:r w:rsidR="00B25305">
        <w:rPr>
          <w:rFonts w:ascii="Times New Roman" w:eastAsia="Times New Roman" w:hAnsi="Times New Roman" w:cs="Times New Roman"/>
          <w:bCs/>
          <w:sz w:val="24"/>
          <w:szCs w:val="24"/>
          <w:lang w:eastAsia="pl-PL"/>
        </w:rPr>
        <w:t>ą</w:t>
      </w:r>
      <w:r w:rsidR="00220E58" w:rsidRPr="004E768F">
        <w:rPr>
          <w:rFonts w:ascii="Times New Roman" w:eastAsia="Times New Roman" w:hAnsi="Times New Roman" w:cs="Times New Roman"/>
          <w:bCs/>
          <w:sz w:val="24"/>
          <w:szCs w:val="24"/>
          <w:lang w:eastAsia="pl-PL"/>
        </w:rPr>
        <w:t xml:space="preserve"> odpowiedzialność cywilnoprawną za treść arkusza kluczowych informacji inwestycyjnych</w:t>
      </w:r>
      <w:r w:rsidR="00B25305">
        <w:rPr>
          <w:rFonts w:ascii="Times New Roman" w:eastAsia="Times New Roman" w:hAnsi="Times New Roman" w:cs="Times New Roman"/>
          <w:bCs/>
          <w:sz w:val="24"/>
          <w:szCs w:val="24"/>
          <w:lang w:eastAsia="pl-PL"/>
        </w:rPr>
        <w:t xml:space="preserve">, tj. </w:t>
      </w:r>
      <w:r w:rsidR="0032452D">
        <w:rPr>
          <w:rFonts w:ascii="Times New Roman" w:eastAsia="Times New Roman" w:hAnsi="Times New Roman" w:cs="Times New Roman"/>
          <w:bCs/>
          <w:sz w:val="24"/>
          <w:szCs w:val="24"/>
          <w:lang w:eastAsia="pl-PL"/>
        </w:rPr>
        <w:t xml:space="preserve">odpowiedzialność </w:t>
      </w:r>
      <w:r w:rsidR="00220E58" w:rsidRPr="004E768F">
        <w:rPr>
          <w:rFonts w:ascii="Times New Roman" w:eastAsia="Times New Roman" w:hAnsi="Times New Roman" w:cs="Times New Roman"/>
          <w:bCs/>
          <w:sz w:val="24"/>
          <w:szCs w:val="24"/>
          <w:lang w:eastAsia="pl-PL"/>
        </w:rPr>
        <w:t>właściciela projektu lub dostawc</w:t>
      </w:r>
      <w:r w:rsidR="0032452D">
        <w:rPr>
          <w:rFonts w:ascii="Times New Roman" w:eastAsia="Times New Roman" w:hAnsi="Times New Roman" w:cs="Times New Roman"/>
          <w:bCs/>
          <w:sz w:val="24"/>
          <w:szCs w:val="24"/>
          <w:lang w:eastAsia="pl-PL"/>
        </w:rPr>
        <w:t>y</w:t>
      </w:r>
      <w:r w:rsidR="00220E58" w:rsidRPr="004E768F">
        <w:rPr>
          <w:rFonts w:ascii="Times New Roman" w:eastAsia="Times New Roman" w:hAnsi="Times New Roman" w:cs="Times New Roman"/>
          <w:bCs/>
          <w:sz w:val="24"/>
          <w:szCs w:val="24"/>
          <w:lang w:eastAsia="pl-PL"/>
        </w:rPr>
        <w:t xml:space="preserve"> usług finansowania społecznościowego</w:t>
      </w:r>
      <w:r w:rsidR="00B25305">
        <w:rPr>
          <w:rFonts w:ascii="Times New Roman" w:eastAsia="Times New Roman" w:hAnsi="Times New Roman" w:cs="Times New Roman"/>
          <w:bCs/>
          <w:sz w:val="24"/>
          <w:szCs w:val="24"/>
          <w:lang w:eastAsia="pl-PL"/>
        </w:rPr>
        <w:t xml:space="preserve">, zgodnie z wymogami określonymi w </w:t>
      </w:r>
      <w:r w:rsidR="00220E58" w:rsidRPr="004E768F">
        <w:rPr>
          <w:rFonts w:ascii="Times New Roman" w:eastAsia="Times New Roman" w:hAnsi="Times New Roman" w:cs="Times New Roman"/>
          <w:bCs/>
          <w:sz w:val="24"/>
          <w:szCs w:val="24"/>
          <w:lang w:eastAsia="pl-PL"/>
        </w:rPr>
        <w:t>art. 23 ust. 9 i 10 oraz art. 24 ust. 4 i 5 rozporządzenia 2020/1503</w:t>
      </w:r>
      <w:r w:rsidR="00B25305">
        <w:rPr>
          <w:rFonts w:ascii="Times New Roman" w:eastAsia="Times New Roman" w:hAnsi="Times New Roman" w:cs="Times New Roman"/>
          <w:bCs/>
          <w:sz w:val="24"/>
          <w:szCs w:val="24"/>
          <w:lang w:eastAsia="pl-PL"/>
        </w:rPr>
        <w:t xml:space="preserve">. </w:t>
      </w:r>
      <w:r w:rsidR="00220E58" w:rsidRPr="004E768F">
        <w:rPr>
          <w:rFonts w:ascii="Times New Roman" w:eastAsia="Times New Roman" w:hAnsi="Times New Roman" w:cs="Times New Roman"/>
          <w:bCs/>
          <w:sz w:val="24"/>
          <w:szCs w:val="24"/>
          <w:lang w:eastAsia="pl-PL"/>
        </w:rPr>
        <w:t>Proponuje się uregulowanie odpowiedzialności cywilnoprawnej za treść arkusza kluczowych informacji inwestycyjnych oraz arkusza kluczowych informacji inwestycyjnych na poziomie platformy poprzez wprowadzenie przepisów zbieżnych z przepisami art. 22 ust. 4 i 5 oraz art. 98 ustawy o ofercie publicznej. Arkusz kluczowych informacji inwestycyjnych oraz arkusz kluczowych informacji inwestycyjnych na poziomie platformy pełnią podobną rolę, jaką obecnie w zależności od wielkości oferty publicznej pełnią prospekt, memorandum informacyjne oraz dokument informacyjny. Niezależnie od zakresu informacji, jaki należy podać w poszczególnych dokumentach, rodzaj odpowiedzialności oraz konsekwencje nierzetelnego sporządzenia dokumentu powinny być jednakowe.</w:t>
      </w:r>
    </w:p>
    <w:p w14:paraId="466B1AC3" w14:textId="6E189F31" w:rsidR="00220E58" w:rsidRPr="00CD3E8E" w:rsidRDefault="00B25305"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w:t>
      </w:r>
      <w:r w:rsidR="00C7149C">
        <w:rPr>
          <w:rFonts w:ascii="Times New Roman" w:eastAsia="Times New Roman" w:hAnsi="Times New Roman" w:cs="Times New Roman"/>
          <w:b/>
          <w:bCs/>
          <w:sz w:val="24"/>
          <w:szCs w:val="24"/>
          <w:lang w:eastAsia="pl-PL"/>
        </w:rPr>
        <w:t>rt. 33</w:t>
      </w:r>
      <w:r w:rsidR="00220E58" w:rsidRPr="004E768F">
        <w:rPr>
          <w:rFonts w:ascii="Times New Roman" w:eastAsia="Times New Roman" w:hAnsi="Times New Roman" w:cs="Times New Roman"/>
          <w:bCs/>
          <w:sz w:val="24"/>
          <w:szCs w:val="24"/>
          <w:lang w:eastAsia="pl-PL"/>
        </w:rPr>
        <w:t xml:space="preserve"> wskazuje osoby odpowiedzialne za treść arkuszy kluczowych informacji inwestycyjnych i ich tłumaczeń oraz zakres tej odpowiedzialności </w:t>
      </w:r>
      <w:r w:rsidR="00220E58" w:rsidRPr="00CD3E8E">
        <w:rPr>
          <w:rFonts w:ascii="Times New Roman" w:eastAsia="Times New Roman" w:hAnsi="Times New Roman" w:cs="Times New Roman"/>
          <w:bCs/>
          <w:sz w:val="24"/>
          <w:szCs w:val="24"/>
          <w:lang w:eastAsia="pl-PL"/>
        </w:rPr>
        <w:t>(</w:t>
      </w:r>
      <w:r w:rsidR="00220E58" w:rsidRPr="008D07D8">
        <w:rPr>
          <w:rFonts w:ascii="Times New Roman" w:eastAsia="Times New Roman" w:hAnsi="Times New Roman" w:cs="Times New Roman"/>
          <w:b/>
          <w:bCs/>
          <w:sz w:val="24"/>
          <w:szCs w:val="24"/>
          <w:lang w:eastAsia="pl-PL"/>
        </w:rPr>
        <w:t>ust. 1–3</w:t>
      </w:r>
      <w:r w:rsidR="00220E58" w:rsidRPr="00CD3E8E">
        <w:rPr>
          <w:rFonts w:ascii="Times New Roman" w:eastAsia="Times New Roman" w:hAnsi="Times New Roman" w:cs="Times New Roman"/>
          <w:bCs/>
          <w:sz w:val="24"/>
          <w:szCs w:val="24"/>
          <w:lang w:eastAsia="pl-PL"/>
        </w:rPr>
        <w:t>) oraz zakres informacji o osobach odpowiedzialnych, które należy wskazać w tych dokumentach (</w:t>
      </w:r>
      <w:r w:rsidR="00220E58" w:rsidRPr="008D07D8">
        <w:rPr>
          <w:rFonts w:ascii="Times New Roman" w:eastAsia="Times New Roman" w:hAnsi="Times New Roman" w:cs="Times New Roman"/>
          <w:b/>
          <w:bCs/>
          <w:sz w:val="24"/>
          <w:szCs w:val="24"/>
          <w:lang w:eastAsia="pl-PL"/>
        </w:rPr>
        <w:t xml:space="preserve">ust. 4 </w:t>
      </w:r>
      <w:r w:rsidR="00220E58" w:rsidRPr="008D07D8">
        <w:rPr>
          <w:rFonts w:ascii="Times New Roman" w:eastAsia="Times New Roman" w:hAnsi="Times New Roman" w:cs="Times New Roman"/>
          <w:bCs/>
          <w:sz w:val="24"/>
          <w:szCs w:val="24"/>
          <w:lang w:eastAsia="pl-PL"/>
        </w:rPr>
        <w:t xml:space="preserve">i </w:t>
      </w:r>
      <w:r w:rsidR="00220E58" w:rsidRPr="008D07D8">
        <w:rPr>
          <w:rFonts w:ascii="Times New Roman" w:eastAsia="Times New Roman" w:hAnsi="Times New Roman" w:cs="Times New Roman"/>
          <w:b/>
          <w:bCs/>
          <w:sz w:val="24"/>
          <w:szCs w:val="24"/>
          <w:lang w:eastAsia="pl-PL"/>
        </w:rPr>
        <w:t>5</w:t>
      </w:r>
      <w:r w:rsidR="00220E58" w:rsidRPr="00CD3E8E">
        <w:rPr>
          <w:rFonts w:ascii="Times New Roman" w:eastAsia="Times New Roman" w:hAnsi="Times New Roman" w:cs="Times New Roman"/>
          <w:bCs/>
          <w:sz w:val="24"/>
          <w:szCs w:val="24"/>
          <w:lang w:eastAsia="pl-PL"/>
        </w:rPr>
        <w:t>).</w:t>
      </w:r>
    </w:p>
    <w:p w14:paraId="15EE7AA4" w14:textId="1D9544B6" w:rsidR="00220E58" w:rsidRPr="00CD3E8E" w:rsidRDefault="00220E58"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
          <w:bCs/>
          <w:sz w:val="24"/>
          <w:szCs w:val="24"/>
          <w:lang w:eastAsia="pl-PL"/>
        </w:rPr>
        <w:t>Art</w:t>
      </w:r>
      <w:r w:rsidR="00C7149C">
        <w:rPr>
          <w:rFonts w:ascii="Times New Roman" w:eastAsia="Times New Roman" w:hAnsi="Times New Roman" w:cs="Times New Roman"/>
          <w:b/>
          <w:bCs/>
          <w:sz w:val="24"/>
          <w:szCs w:val="24"/>
          <w:lang w:eastAsia="pl-PL"/>
        </w:rPr>
        <w:t>. 34</w:t>
      </w:r>
      <w:r w:rsidRPr="004E768F">
        <w:rPr>
          <w:rFonts w:ascii="Times New Roman" w:eastAsia="Times New Roman" w:hAnsi="Times New Roman" w:cs="Times New Roman"/>
          <w:bCs/>
          <w:sz w:val="24"/>
          <w:szCs w:val="24"/>
          <w:lang w:eastAsia="pl-PL"/>
        </w:rPr>
        <w:t xml:space="preserve"> zobowiązuje do naprawienia szkody wyrządzonej przez zamieszczenie nierzetelnych informacji w arkuszu kluczowych informacji </w:t>
      </w:r>
      <w:r w:rsidRPr="00CD3E8E">
        <w:rPr>
          <w:rFonts w:ascii="Times New Roman" w:eastAsia="Times New Roman" w:hAnsi="Times New Roman" w:cs="Times New Roman"/>
          <w:bCs/>
          <w:sz w:val="24"/>
          <w:szCs w:val="24"/>
          <w:lang w:eastAsia="pl-PL"/>
        </w:rPr>
        <w:t>inwestycyjnych (</w:t>
      </w:r>
      <w:r w:rsidRPr="008D07D8">
        <w:rPr>
          <w:rFonts w:ascii="Times New Roman" w:eastAsia="Times New Roman" w:hAnsi="Times New Roman" w:cs="Times New Roman"/>
          <w:b/>
          <w:bCs/>
          <w:sz w:val="24"/>
          <w:szCs w:val="24"/>
          <w:lang w:eastAsia="pl-PL"/>
        </w:rPr>
        <w:t>ust. 1</w:t>
      </w:r>
      <w:r w:rsidRPr="00CD3E8E">
        <w:rPr>
          <w:rFonts w:ascii="Times New Roman" w:eastAsia="Times New Roman" w:hAnsi="Times New Roman" w:cs="Times New Roman"/>
          <w:bCs/>
          <w:sz w:val="24"/>
          <w:szCs w:val="24"/>
          <w:lang w:eastAsia="pl-PL"/>
        </w:rPr>
        <w:t>), arkuszu kluczowych informacji inwestycyjnych na poziomie platformy (</w:t>
      </w:r>
      <w:r w:rsidRPr="008D07D8">
        <w:rPr>
          <w:rFonts w:ascii="Times New Roman" w:eastAsia="Times New Roman" w:hAnsi="Times New Roman" w:cs="Times New Roman"/>
          <w:b/>
          <w:bCs/>
          <w:sz w:val="24"/>
          <w:szCs w:val="24"/>
          <w:lang w:eastAsia="pl-PL"/>
        </w:rPr>
        <w:t>ust. 2</w:t>
      </w:r>
      <w:r w:rsidRPr="00CD3E8E">
        <w:rPr>
          <w:rFonts w:ascii="Times New Roman" w:eastAsia="Times New Roman" w:hAnsi="Times New Roman" w:cs="Times New Roman"/>
          <w:bCs/>
          <w:sz w:val="24"/>
          <w:szCs w:val="24"/>
          <w:lang w:eastAsia="pl-PL"/>
        </w:rPr>
        <w:t>) oraz w tłumaczeniach tych dokumentów (</w:t>
      </w:r>
      <w:r w:rsidRPr="008D07D8">
        <w:rPr>
          <w:rFonts w:ascii="Times New Roman" w:eastAsia="Times New Roman" w:hAnsi="Times New Roman" w:cs="Times New Roman"/>
          <w:b/>
          <w:bCs/>
          <w:sz w:val="24"/>
          <w:szCs w:val="24"/>
          <w:lang w:eastAsia="pl-PL"/>
        </w:rPr>
        <w:t>ust. 3</w:t>
      </w:r>
      <w:r w:rsidRPr="00CD3E8E">
        <w:rPr>
          <w:rFonts w:ascii="Times New Roman" w:eastAsia="Times New Roman" w:hAnsi="Times New Roman" w:cs="Times New Roman"/>
          <w:bCs/>
          <w:sz w:val="24"/>
          <w:szCs w:val="24"/>
          <w:lang w:eastAsia="pl-PL"/>
        </w:rPr>
        <w:t>).</w:t>
      </w:r>
    </w:p>
    <w:p w14:paraId="78E3AA36" w14:textId="4DDD0057" w:rsidR="00472531" w:rsidRPr="00B25305" w:rsidRDefault="00B25305" w:rsidP="005E7A4C">
      <w:pPr>
        <w:suppressAutoHyphens/>
        <w:autoSpaceDE w:val="0"/>
        <w:autoSpaceDN w:val="0"/>
        <w:adjustRightInd w:val="0"/>
        <w:spacing w:before="120" w:after="120"/>
        <w:ind w:firstLine="510"/>
        <w:rPr>
          <w:rFonts w:ascii="Times New Roman" w:eastAsia="Times New Roman" w:hAnsi="Times New Roman" w:cs="Times New Roman"/>
          <w:b/>
          <w:bCs/>
          <w:sz w:val="24"/>
          <w:szCs w:val="24"/>
          <w:lang w:eastAsia="pl-PL"/>
        </w:rPr>
      </w:pPr>
      <w:r w:rsidRPr="00B25305">
        <w:rPr>
          <w:rFonts w:ascii="Times New Roman" w:eastAsia="Times New Roman" w:hAnsi="Times New Roman" w:cs="Times New Roman"/>
          <w:bCs/>
          <w:sz w:val="24"/>
          <w:szCs w:val="24"/>
          <w:lang w:eastAsia="pl-PL"/>
        </w:rPr>
        <w:t>Przepisy art.</w:t>
      </w:r>
      <w:r w:rsidR="006E61E0" w:rsidRPr="00922D36">
        <w:rPr>
          <w:rFonts w:ascii="Times New Roman" w:eastAsia="Times New Roman" w:hAnsi="Times New Roman" w:cs="Times New Roman"/>
          <w:bCs/>
          <w:sz w:val="24"/>
          <w:szCs w:val="24"/>
          <w:lang w:eastAsia="pl-PL"/>
        </w:rPr>
        <w:t xml:space="preserve"> </w:t>
      </w:r>
      <w:r w:rsidR="00C7149C">
        <w:rPr>
          <w:rFonts w:ascii="Times New Roman" w:eastAsia="Times New Roman" w:hAnsi="Times New Roman" w:cs="Times New Roman"/>
          <w:bCs/>
          <w:sz w:val="24"/>
          <w:szCs w:val="24"/>
          <w:lang w:eastAsia="pl-PL"/>
        </w:rPr>
        <w:t>35–40</w:t>
      </w:r>
      <w:r w:rsidRPr="00C7149C">
        <w:rPr>
          <w:rFonts w:ascii="Times New Roman" w:eastAsia="Times New Roman" w:hAnsi="Times New Roman" w:cs="Times New Roman"/>
          <w:bCs/>
          <w:sz w:val="24"/>
          <w:szCs w:val="24"/>
          <w:lang w:eastAsia="pl-PL"/>
        </w:rPr>
        <w:t xml:space="preserve"> </w:t>
      </w:r>
      <w:r w:rsidR="00A80363" w:rsidRPr="004E768F">
        <w:rPr>
          <w:rFonts w:ascii="Times New Roman" w:eastAsia="Times New Roman" w:hAnsi="Times New Roman" w:cs="Times New Roman"/>
          <w:bCs/>
          <w:sz w:val="24"/>
          <w:szCs w:val="24"/>
          <w:lang w:eastAsia="pl-PL"/>
        </w:rPr>
        <w:t>wprowadza</w:t>
      </w:r>
      <w:r w:rsidR="006E61E0">
        <w:rPr>
          <w:rFonts w:ascii="Times New Roman" w:eastAsia="Times New Roman" w:hAnsi="Times New Roman" w:cs="Times New Roman"/>
          <w:bCs/>
          <w:sz w:val="24"/>
          <w:szCs w:val="24"/>
          <w:lang w:eastAsia="pl-PL"/>
        </w:rPr>
        <w:t>ją</w:t>
      </w:r>
      <w:r w:rsidR="00A80363" w:rsidRPr="004E768F">
        <w:rPr>
          <w:rFonts w:ascii="Times New Roman" w:eastAsia="Times New Roman" w:hAnsi="Times New Roman" w:cs="Times New Roman"/>
          <w:bCs/>
          <w:sz w:val="24"/>
          <w:szCs w:val="24"/>
          <w:lang w:eastAsia="pl-PL"/>
        </w:rPr>
        <w:t xml:space="preserve"> przepisy karne za naruszenie ustawy lub rozporządzenia 2020/1503. Art. 39 ust. 1 rozporządzenia 2020/1503 podkreśla prawo państw członkowskich do wprowadzenia i nakładania sankcji karnych za naruszenie prze</w:t>
      </w:r>
      <w:r w:rsidR="006E61E0">
        <w:rPr>
          <w:rFonts w:ascii="Times New Roman" w:eastAsia="Times New Roman" w:hAnsi="Times New Roman" w:cs="Times New Roman"/>
          <w:bCs/>
          <w:sz w:val="24"/>
          <w:szCs w:val="24"/>
          <w:lang w:eastAsia="pl-PL"/>
        </w:rPr>
        <w:t>pisów rozporządzenia 2020/1503.</w:t>
      </w:r>
    </w:p>
    <w:p w14:paraId="5105C224" w14:textId="19881DE3" w:rsidR="00E86B03" w:rsidRPr="004E768F" w:rsidRDefault="00C7149C"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35</w:t>
      </w:r>
      <w:r w:rsidR="00A80363" w:rsidRPr="004E768F">
        <w:rPr>
          <w:rFonts w:ascii="Times New Roman" w:eastAsia="Times New Roman" w:hAnsi="Times New Roman" w:cs="Times New Roman"/>
          <w:bCs/>
          <w:sz w:val="24"/>
          <w:szCs w:val="24"/>
          <w:lang w:eastAsia="pl-PL"/>
        </w:rPr>
        <w:t xml:space="preserve"> wprowadza sankcję za świadczenie usług finansowania społecznościowego bez zezwolenia, o którym mowa w art. 12 rozporządzenia 2020/1503. Czyn ten będzie zagrożony grzywną do 5 mln zł. </w:t>
      </w:r>
      <w:r w:rsidR="00E86B03" w:rsidRPr="004E768F">
        <w:rPr>
          <w:rFonts w:ascii="Times New Roman" w:eastAsia="Times New Roman" w:hAnsi="Times New Roman" w:cs="Times New Roman"/>
          <w:bCs/>
          <w:sz w:val="24"/>
          <w:szCs w:val="24"/>
          <w:lang w:eastAsia="pl-PL"/>
        </w:rPr>
        <w:t xml:space="preserve">Wysokość grzywny jest </w:t>
      </w:r>
      <w:r w:rsidR="00564C92">
        <w:rPr>
          <w:rFonts w:ascii="Times New Roman" w:eastAsia="Times New Roman" w:hAnsi="Times New Roman" w:cs="Times New Roman"/>
          <w:bCs/>
          <w:sz w:val="24"/>
          <w:szCs w:val="24"/>
          <w:lang w:eastAsia="pl-PL"/>
        </w:rPr>
        <w:t xml:space="preserve">taka sama </w:t>
      </w:r>
      <w:r w:rsidR="00E86B03" w:rsidRPr="004E768F">
        <w:rPr>
          <w:rFonts w:ascii="Times New Roman" w:eastAsia="Times New Roman" w:hAnsi="Times New Roman" w:cs="Times New Roman"/>
          <w:bCs/>
          <w:sz w:val="24"/>
          <w:szCs w:val="24"/>
          <w:lang w:eastAsia="pl-PL"/>
        </w:rPr>
        <w:t xml:space="preserve">jak w przypadku prowadzenia </w:t>
      </w:r>
      <w:r w:rsidR="00564C92" w:rsidRPr="004E768F">
        <w:rPr>
          <w:rFonts w:ascii="Times New Roman" w:eastAsia="Times New Roman" w:hAnsi="Times New Roman" w:cs="Times New Roman"/>
          <w:bCs/>
          <w:sz w:val="24"/>
          <w:szCs w:val="24"/>
          <w:lang w:eastAsia="pl-PL"/>
        </w:rPr>
        <w:t>bez wymaganego zezwolenia</w:t>
      </w:r>
      <w:r w:rsidR="00564C92">
        <w:rPr>
          <w:rFonts w:ascii="Times New Roman" w:eastAsia="Times New Roman" w:hAnsi="Times New Roman" w:cs="Times New Roman"/>
          <w:bCs/>
          <w:sz w:val="24"/>
          <w:szCs w:val="24"/>
          <w:lang w:eastAsia="pl-PL"/>
        </w:rPr>
        <w:t xml:space="preserve"> </w:t>
      </w:r>
      <w:r w:rsidR="00E86B03" w:rsidRPr="004E768F">
        <w:rPr>
          <w:rFonts w:ascii="Times New Roman" w:eastAsia="Times New Roman" w:hAnsi="Times New Roman" w:cs="Times New Roman"/>
          <w:bCs/>
          <w:sz w:val="24"/>
          <w:szCs w:val="24"/>
          <w:lang w:eastAsia="pl-PL"/>
        </w:rPr>
        <w:t xml:space="preserve">działalności w zakresie obrotu instrumentami finansowymi </w:t>
      </w:r>
      <w:r w:rsidR="00564C92">
        <w:rPr>
          <w:rFonts w:ascii="Times New Roman" w:eastAsia="Times New Roman" w:hAnsi="Times New Roman" w:cs="Times New Roman"/>
          <w:bCs/>
          <w:sz w:val="24"/>
          <w:szCs w:val="24"/>
          <w:lang w:eastAsia="pl-PL"/>
        </w:rPr>
        <w:t>(</w:t>
      </w:r>
      <w:r w:rsidR="00E86B03" w:rsidRPr="004E768F">
        <w:rPr>
          <w:rFonts w:ascii="Times New Roman" w:eastAsia="Times New Roman" w:hAnsi="Times New Roman" w:cs="Times New Roman"/>
          <w:bCs/>
          <w:sz w:val="24"/>
          <w:szCs w:val="24"/>
          <w:lang w:eastAsia="pl-PL"/>
        </w:rPr>
        <w:t>art. 178 ustawy o obrocie instrumentami finansowymi</w:t>
      </w:r>
      <w:r w:rsidR="00564C92">
        <w:rPr>
          <w:rFonts w:ascii="Times New Roman" w:eastAsia="Times New Roman" w:hAnsi="Times New Roman" w:cs="Times New Roman"/>
          <w:bCs/>
          <w:sz w:val="24"/>
          <w:szCs w:val="24"/>
          <w:lang w:eastAsia="pl-PL"/>
        </w:rPr>
        <w:t>)</w:t>
      </w:r>
      <w:r w:rsidR="00E86B03" w:rsidRPr="004E768F">
        <w:rPr>
          <w:rFonts w:ascii="Times New Roman" w:eastAsia="Times New Roman" w:hAnsi="Times New Roman" w:cs="Times New Roman"/>
          <w:bCs/>
          <w:sz w:val="24"/>
          <w:szCs w:val="24"/>
          <w:lang w:eastAsia="pl-PL"/>
        </w:rPr>
        <w:t>.</w:t>
      </w:r>
    </w:p>
    <w:p w14:paraId="64F5C7E7" w14:textId="17FCBF51" w:rsidR="00E86B03" w:rsidRPr="004E768F" w:rsidRDefault="00E86B03"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xml:space="preserve">Grzywną tej samej wysokości, na podstawie </w:t>
      </w:r>
      <w:r w:rsidR="00C7149C">
        <w:rPr>
          <w:rFonts w:ascii="Times New Roman" w:eastAsia="Times New Roman" w:hAnsi="Times New Roman" w:cs="Times New Roman"/>
          <w:b/>
          <w:bCs/>
          <w:sz w:val="24"/>
          <w:szCs w:val="24"/>
          <w:lang w:eastAsia="pl-PL"/>
        </w:rPr>
        <w:t>art. 36</w:t>
      </w:r>
      <w:r w:rsidRPr="004E768F">
        <w:rPr>
          <w:rFonts w:ascii="Times New Roman" w:eastAsia="Times New Roman" w:hAnsi="Times New Roman" w:cs="Times New Roman"/>
          <w:bCs/>
          <w:sz w:val="24"/>
          <w:szCs w:val="24"/>
          <w:lang w:eastAsia="pl-PL"/>
        </w:rPr>
        <w:t xml:space="preserve">, będzie zagrożone prowadzenie działalności identycznej co do celu ze świadczeniem usług finansowania społecznościowego, ale w sposób niezgodny z rozporządzeniem 2020/1503. </w:t>
      </w:r>
      <w:r w:rsidR="00564C92">
        <w:rPr>
          <w:rFonts w:ascii="Times New Roman" w:eastAsia="Times New Roman" w:hAnsi="Times New Roman" w:cs="Times New Roman"/>
          <w:bCs/>
          <w:sz w:val="24"/>
          <w:szCs w:val="24"/>
          <w:lang w:eastAsia="pl-PL"/>
        </w:rPr>
        <w:t xml:space="preserve">Będzie to dotyczyło przypadków gdy </w:t>
      </w:r>
      <w:r w:rsidRPr="004E768F">
        <w:rPr>
          <w:rFonts w:ascii="Times New Roman" w:eastAsia="Times New Roman" w:hAnsi="Times New Roman" w:cs="Times New Roman"/>
          <w:bCs/>
          <w:sz w:val="24"/>
          <w:szCs w:val="24"/>
          <w:lang w:eastAsia="pl-PL"/>
        </w:rPr>
        <w:t xml:space="preserve">przedsiębiorca </w:t>
      </w:r>
      <w:r w:rsidR="00DC3285" w:rsidRPr="004E768F">
        <w:rPr>
          <w:rFonts w:ascii="Times New Roman" w:eastAsia="Times New Roman" w:hAnsi="Times New Roman" w:cs="Times New Roman"/>
          <w:bCs/>
          <w:sz w:val="24"/>
          <w:szCs w:val="24"/>
          <w:lang w:eastAsia="pl-PL"/>
        </w:rPr>
        <w:t xml:space="preserve">będzie prowadził działalność zmierzającą do kojarzenia właścicieli projektów z inwestorami lub pożyczkodawcami przy pomocy prowadzonej przez siebie strony internetowej. Należy przy tym zauważyć, że celem rozporządzenia 2020/1503 jest objęcie jego zakresem </w:t>
      </w:r>
      <w:r w:rsidR="00DC3285" w:rsidRPr="004E768F">
        <w:rPr>
          <w:rFonts w:ascii="Times New Roman" w:eastAsia="Times New Roman" w:hAnsi="Times New Roman" w:cs="Times New Roman"/>
          <w:bCs/>
          <w:sz w:val="24"/>
          <w:szCs w:val="24"/>
          <w:lang w:eastAsia="pl-PL"/>
        </w:rPr>
        <w:lastRenderedPageBreak/>
        <w:t>wszystkich platform finansowania społecznościowego dla przedsięwzięć gospodarczych działających w Unii Europejskiej. Należy zatem wprowadzić odpowiednią sankcję, aby skutecznie zniechęcić przedsiębiorców do obchodzenia przepisów rozporządzenia 2020/1503.</w:t>
      </w:r>
    </w:p>
    <w:p w14:paraId="4402C72E" w14:textId="63267A49" w:rsidR="00DC3285" w:rsidRPr="004E768F" w:rsidRDefault="00C7149C"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37</w:t>
      </w:r>
      <w:r w:rsidR="00DC3285" w:rsidRPr="004E768F">
        <w:rPr>
          <w:rFonts w:ascii="Times New Roman" w:eastAsia="Times New Roman" w:hAnsi="Times New Roman" w:cs="Times New Roman"/>
          <w:bCs/>
          <w:sz w:val="24"/>
          <w:szCs w:val="24"/>
          <w:lang w:eastAsia="pl-PL"/>
        </w:rPr>
        <w:t xml:space="preserve"> wprowadza sankcj</w:t>
      </w:r>
      <w:r w:rsidR="00564C92">
        <w:rPr>
          <w:rFonts w:ascii="Times New Roman" w:eastAsia="Times New Roman" w:hAnsi="Times New Roman" w:cs="Times New Roman"/>
          <w:bCs/>
          <w:sz w:val="24"/>
          <w:szCs w:val="24"/>
          <w:lang w:eastAsia="pl-PL"/>
        </w:rPr>
        <w:t>e</w:t>
      </w:r>
      <w:r w:rsidR="00DC3285" w:rsidRPr="004E768F">
        <w:rPr>
          <w:rFonts w:ascii="Times New Roman" w:eastAsia="Times New Roman" w:hAnsi="Times New Roman" w:cs="Times New Roman"/>
          <w:bCs/>
          <w:sz w:val="24"/>
          <w:szCs w:val="24"/>
          <w:lang w:eastAsia="pl-PL"/>
        </w:rPr>
        <w:t xml:space="preserve"> wobec osób odpowiedzialnych za informacje zawarte w arkuszu kluczowych informacji inwestycyjnych</w:t>
      </w:r>
      <w:r w:rsidR="00EE20BC">
        <w:rPr>
          <w:rFonts w:ascii="Times New Roman" w:eastAsia="Times New Roman" w:hAnsi="Times New Roman" w:cs="Times New Roman"/>
          <w:bCs/>
          <w:sz w:val="24"/>
          <w:szCs w:val="24"/>
          <w:lang w:eastAsia="pl-PL"/>
        </w:rPr>
        <w:t xml:space="preserve"> </w:t>
      </w:r>
      <w:r w:rsidR="006E61E0">
        <w:rPr>
          <w:rFonts w:ascii="Times New Roman" w:eastAsia="Times New Roman" w:hAnsi="Times New Roman" w:cs="Times New Roman"/>
          <w:bCs/>
          <w:sz w:val="24"/>
          <w:szCs w:val="24"/>
          <w:lang w:eastAsia="pl-PL"/>
        </w:rPr>
        <w:t xml:space="preserve">w postaci </w:t>
      </w:r>
      <w:r w:rsidR="00564C92">
        <w:rPr>
          <w:rFonts w:ascii="Times New Roman" w:eastAsia="Times New Roman" w:hAnsi="Times New Roman" w:cs="Times New Roman"/>
          <w:bCs/>
          <w:sz w:val="24"/>
          <w:szCs w:val="24"/>
          <w:lang w:eastAsia="pl-PL"/>
        </w:rPr>
        <w:t>g</w:t>
      </w:r>
      <w:r w:rsidR="006E61E0">
        <w:rPr>
          <w:rFonts w:ascii="Times New Roman" w:eastAsia="Times New Roman" w:hAnsi="Times New Roman" w:cs="Times New Roman"/>
          <w:bCs/>
          <w:sz w:val="24"/>
          <w:szCs w:val="24"/>
          <w:lang w:eastAsia="pl-PL"/>
        </w:rPr>
        <w:t>r</w:t>
      </w:r>
      <w:r w:rsidR="002818BB" w:rsidRPr="004E768F">
        <w:rPr>
          <w:rFonts w:ascii="Times New Roman" w:eastAsia="Times New Roman" w:hAnsi="Times New Roman" w:cs="Times New Roman"/>
          <w:bCs/>
          <w:sz w:val="24"/>
          <w:szCs w:val="24"/>
          <w:lang w:eastAsia="pl-PL"/>
        </w:rPr>
        <w:t>zywn</w:t>
      </w:r>
      <w:r w:rsidR="006E61E0">
        <w:rPr>
          <w:rFonts w:ascii="Times New Roman" w:eastAsia="Times New Roman" w:hAnsi="Times New Roman" w:cs="Times New Roman"/>
          <w:bCs/>
          <w:sz w:val="24"/>
          <w:szCs w:val="24"/>
          <w:lang w:eastAsia="pl-PL"/>
        </w:rPr>
        <w:t xml:space="preserve">y </w:t>
      </w:r>
      <w:r w:rsidR="002818BB" w:rsidRPr="004E768F">
        <w:rPr>
          <w:rFonts w:ascii="Times New Roman" w:eastAsia="Times New Roman" w:hAnsi="Times New Roman" w:cs="Times New Roman"/>
          <w:bCs/>
          <w:sz w:val="24"/>
          <w:szCs w:val="24"/>
          <w:lang w:eastAsia="pl-PL"/>
        </w:rPr>
        <w:t>do 5 mln zł</w:t>
      </w:r>
      <w:r w:rsidR="006E61E0">
        <w:rPr>
          <w:rFonts w:ascii="Times New Roman" w:eastAsia="Times New Roman" w:hAnsi="Times New Roman" w:cs="Times New Roman"/>
          <w:bCs/>
          <w:sz w:val="24"/>
          <w:szCs w:val="24"/>
          <w:lang w:eastAsia="pl-PL"/>
        </w:rPr>
        <w:t xml:space="preserve"> lub</w:t>
      </w:r>
      <w:r w:rsidR="00564C92">
        <w:rPr>
          <w:rFonts w:ascii="Times New Roman" w:eastAsia="Times New Roman" w:hAnsi="Times New Roman" w:cs="Times New Roman"/>
          <w:bCs/>
          <w:sz w:val="24"/>
          <w:szCs w:val="24"/>
          <w:lang w:eastAsia="pl-PL"/>
        </w:rPr>
        <w:t xml:space="preserve"> </w:t>
      </w:r>
      <w:r w:rsidR="002818BB" w:rsidRPr="004E768F">
        <w:rPr>
          <w:rFonts w:ascii="Times New Roman" w:eastAsia="Times New Roman" w:hAnsi="Times New Roman" w:cs="Times New Roman"/>
          <w:bCs/>
          <w:sz w:val="24"/>
          <w:szCs w:val="24"/>
          <w:lang w:eastAsia="pl-PL"/>
        </w:rPr>
        <w:t>pozbawieni</w:t>
      </w:r>
      <w:r w:rsidR="00564C92">
        <w:rPr>
          <w:rFonts w:ascii="Times New Roman" w:eastAsia="Times New Roman" w:hAnsi="Times New Roman" w:cs="Times New Roman"/>
          <w:bCs/>
          <w:sz w:val="24"/>
          <w:szCs w:val="24"/>
          <w:lang w:eastAsia="pl-PL"/>
        </w:rPr>
        <w:t xml:space="preserve">a </w:t>
      </w:r>
      <w:r w:rsidR="002818BB" w:rsidRPr="004E768F">
        <w:rPr>
          <w:rFonts w:ascii="Times New Roman" w:eastAsia="Times New Roman" w:hAnsi="Times New Roman" w:cs="Times New Roman"/>
          <w:bCs/>
          <w:sz w:val="24"/>
          <w:szCs w:val="24"/>
          <w:lang w:eastAsia="pl-PL"/>
        </w:rPr>
        <w:t>wolności od 6 miesięcy do lat 5</w:t>
      </w:r>
      <w:r w:rsidR="00AC703D">
        <w:rPr>
          <w:rFonts w:ascii="Times New Roman" w:eastAsia="Times New Roman" w:hAnsi="Times New Roman" w:cs="Times New Roman"/>
          <w:bCs/>
          <w:sz w:val="24"/>
          <w:szCs w:val="24"/>
          <w:lang w:eastAsia="pl-PL"/>
        </w:rPr>
        <w:t>.</w:t>
      </w:r>
      <w:r w:rsidR="002818BB" w:rsidRPr="004E768F">
        <w:rPr>
          <w:rFonts w:ascii="Times New Roman" w:eastAsia="Times New Roman" w:hAnsi="Times New Roman" w:cs="Times New Roman"/>
          <w:bCs/>
          <w:sz w:val="24"/>
          <w:szCs w:val="24"/>
          <w:lang w:eastAsia="pl-PL"/>
        </w:rPr>
        <w:t xml:space="preserve"> Sankcją tą zagrożone będą najpoważniejsze manipulacje informacjami zawartymi w arkuszu kluczowych informacji inwestycyjnych, które mogą mieć istotny wpływ na oczekiwaną przez inwestorów stopę zwrotu z inwestycji</w:t>
      </w:r>
      <w:r w:rsidR="00EE20BC">
        <w:rPr>
          <w:rFonts w:ascii="Times New Roman" w:eastAsia="Times New Roman" w:hAnsi="Times New Roman" w:cs="Times New Roman"/>
          <w:bCs/>
          <w:sz w:val="24"/>
          <w:szCs w:val="24"/>
          <w:lang w:eastAsia="pl-PL"/>
        </w:rPr>
        <w:t xml:space="preserve"> lub </w:t>
      </w:r>
      <w:r w:rsidR="002818BB" w:rsidRPr="004E768F">
        <w:rPr>
          <w:rFonts w:ascii="Times New Roman" w:eastAsia="Times New Roman" w:hAnsi="Times New Roman" w:cs="Times New Roman"/>
          <w:bCs/>
          <w:sz w:val="24"/>
          <w:szCs w:val="24"/>
          <w:lang w:eastAsia="pl-PL"/>
        </w:rPr>
        <w:t xml:space="preserve">decyzję </w:t>
      </w:r>
      <w:r w:rsidR="00EE20BC">
        <w:rPr>
          <w:rFonts w:ascii="Times New Roman" w:eastAsia="Times New Roman" w:hAnsi="Times New Roman" w:cs="Times New Roman"/>
          <w:bCs/>
          <w:sz w:val="24"/>
          <w:szCs w:val="24"/>
          <w:lang w:eastAsia="pl-PL"/>
        </w:rPr>
        <w:t xml:space="preserve">o </w:t>
      </w:r>
      <w:r w:rsidR="002818BB" w:rsidRPr="004E768F">
        <w:rPr>
          <w:rFonts w:ascii="Times New Roman" w:eastAsia="Times New Roman" w:hAnsi="Times New Roman" w:cs="Times New Roman"/>
          <w:bCs/>
          <w:sz w:val="24"/>
          <w:szCs w:val="24"/>
          <w:lang w:eastAsia="pl-PL"/>
        </w:rPr>
        <w:t>dokonani</w:t>
      </w:r>
      <w:r w:rsidR="00EE20BC">
        <w:rPr>
          <w:rFonts w:ascii="Times New Roman" w:eastAsia="Times New Roman" w:hAnsi="Times New Roman" w:cs="Times New Roman"/>
          <w:bCs/>
          <w:sz w:val="24"/>
          <w:szCs w:val="24"/>
          <w:lang w:eastAsia="pl-PL"/>
        </w:rPr>
        <w:t>u</w:t>
      </w:r>
      <w:r w:rsidR="002818BB" w:rsidRPr="004E768F">
        <w:rPr>
          <w:rFonts w:ascii="Times New Roman" w:eastAsia="Times New Roman" w:hAnsi="Times New Roman" w:cs="Times New Roman"/>
          <w:bCs/>
          <w:sz w:val="24"/>
          <w:szCs w:val="24"/>
          <w:lang w:eastAsia="pl-PL"/>
        </w:rPr>
        <w:t xml:space="preserve"> inwestycji. Rodzaj i wysokość kary jest </w:t>
      </w:r>
      <w:r w:rsidR="00564C92">
        <w:rPr>
          <w:rFonts w:ascii="Times New Roman" w:eastAsia="Times New Roman" w:hAnsi="Times New Roman" w:cs="Times New Roman"/>
          <w:bCs/>
          <w:sz w:val="24"/>
          <w:szCs w:val="24"/>
          <w:lang w:eastAsia="pl-PL"/>
        </w:rPr>
        <w:t xml:space="preserve">taka sama </w:t>
      </w:r>
      <w:r w:rsidR="002818BB" w:rsidRPr="004E768F">
        <w:rPr>
          <w:rFonts w:ascii="Times New Roman" w:eastAsia="Times New Roman" w:hAnsi="Times New Roman" w:cs="Times New Roman"/>
          <w:bCs/>
          <w:sz w:val="24"/>
          <w:szCs w:val="24"/>
          <w:lang w:eastAsia="pl-PL"/>
        </w:rPr>
        <w:t xml:space="preserve">jak w art. 100 ustawy o ofercie publicznej za analogiczne naruszenia </w:t>
      </w:r>
      <w:r w:rsidR="00564C92">
        <w:rPr>
          <w:rFonts w:ascii="Times New Roman" w:eastAsia="Times New Roman" w:hAnsi="Times New Roman" w:cs="Times New Roman"/>
          <w:bCs/>
          <w:sz w:val="24"/>
          <w:szCs w:val="24"/>
          <w:lang w:eastAsia="pl-PL"/>
        </w:rPr>
        <w:t xml:space="preserve">dotyczące innych </w:t>
      </w:r>
      <w:r w:rsidR="002818BB" w:rsidRPr="004E768F">
        <w:rPr>
          <w:rFonts w:ascii="Times New Roman" w:eastAsia="Times New Roman" w:hAnsi="Times New Roman" w:cs="Times New Roman"/>
          <w:bCs/>
          <w:sz w:val="24"/>
          <w:szCs w:val="24"/>
          <w:lang w:eastAsia="pl-PL"/>
        </w:rPr>
        <w:t>dokument</w:t>
      </w:r>
      <w:r w:rsidR="00564C92">
        <w:rPr>
          <w:rFonts w:ascii="Times New Roman" w:eastAsia="Times New Roman" w:hAnsi="Times New Roman" w:cs="Times New Roman"/>
          <w:bCs/>
          <w:sz w:val="24"/>
          <w:szCs w:val="24"/>
          <w:lang w:eastAsia="pl-PL"/>
        </w:rPr>
        <w:t xml:space="preserve">ów </w:t>
      </w:r>
      <w:r w:rsidR="002818BB" w:rsidRPr="004E768F">
        <w:rPr>
          <w:rFonts w:ascii="Times New Roman" w:eastAsia="Times New Roman" w:hAnsi="Times New Roman" w:cs="Times New Roman"/>
          <w:bCs/>
          <w:sz w:val="24"/>
          <w:szCs w:val="24"/>
          <w:lang w:eastAsia="pl-PL"/>
        </w:rPr>
        <w:t>związanych z ofert</w:t>
      </w:r>
      <w:r w:rsidR="00564C92">
        <w:rPr>
          <w:rFonts w:ascii="Times New Roman" w:eastAsia="Times New Roman" w:hAnsi="Times New Roman" w:cs="Times New Roman"/>
          <w:bCs/>
          <w:sz w:val="24"/>
          <w:szCs w:val="24"/>
          <w:lang w:eastAsia="pl-PL"/>
        </w:rPr>
        <w:t xml:space="preserve">ą </w:t>
      </w:r>
      <w:r w:rsidR="002818BB" w:rsidRPr="004E768F">
        <w:rPr>
          <w:rFonts w:ascii="Times New Roman" w:eastAsia="Times New Roman" w:hAnsi="Times New Roman" w:cs="Times New Roman"/>
          <w:bCs/>
          <w:sz w:val="24"/>
          <w:szCs w:val="24"/>
          <w:lang w:eastAsia="pl-PL"/>
        </w:rPr>
        <w:t>publiczn</w:t>
      </w:r>
      <w:r w:rsidR="00564C92">
        <w:rPr>
          <w:rFonts w:ascii="Times New Roman" w:eastAsia="Times New Roman" w:hAnsi="Times New Roman" w:cs="Times New Roman"/>
          <w:bCs/>
          <w:sz w:val="24"/>
          <w:szCs w:val="24"/>
          <w:lang w:eastAsia="pl-PL"/>
        </w:rPr>
        <w:t>ą</w:t>
      </w:r>
      <w:r w:rsidR="002818BB" w:rsidRPr="004E768F">
        <w:rPr>
          <w:rFonts w:ascii="Times New Roman" w:eastAsia="Times New Roman" w:hAnsi="Times New Roman" w:cs="Times New Roman"/>
          <w:bCs/>
          <w:sz w:val="24"/>
          <w:szCs w:val="24"/>
          <w:lang w:eastAsia="pl-PL"/>
        </w:rPr>
        <w:t>.</w:t>
      </w:r>
    </w:p>
    <w:p w14:paraId="399FF685" w14:textId="7D7C359B" w:rsidR="002818BB" w:rsidRPr="004E768F" w:rsidRDefault="00C7149C"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38</w:t>
      </w:r>
      <w:r w:rsidR="007547DF" w:rsidRPr="004E768F">
        <w:rPr>
          <w:rFonts w:ascii="Times New Roman" w:eastAsia="Times New Roman" w:hAnsi="Times New Roman" w:cs="Times New Roman"/>
          <w:bCs/>
          <w:sz w:val="24"/>
          <w:szCs w:val="24"/>
          <w:lang w:eastAsia="pl-PL"/>
        </w:rPr>
        <w:t xml:space="preserve"> </w:t>
      </w:r>
      <w:r w:rsidR="00E45EBF">
        <w:rPr>
          <w:rFonts w:ascii="Times New Roman" w:eastAsia="Times New Roman" w:hAnsi="Times New Roman" w:cs="Times New Roman"/>
          <w:bCs/>
          <w:sz w:val="24"/>
          <w:szCs w:val="24"/>
          <w:lang w:eastAsia="pl-PL"/>
        </w:rPr>
        <w:t xml:space="preserve">wprowadza </w:t>
      </w:r>
      <w:r w:rsidR="007547DF" w:rsidRPr="004E768F">
        <w:rPr>
          <w:rFonts w:ascii="Times New Roman" w:eastAsia="Times New Roman" w:hAnsi="Times New Roman" w:cs="Times New Roman"/>
          <w:bCs/>
          <w:sz w:val="24"/>
          <w:szCs w:val="24"/>
          <w:lang w:eastAsia="pl-PL"/>
        </w:rPr>
        <w:t>sankcję za prowadzenie oferty finansowania społecznościowego związanej z udzielaniem pożyczek, bez udostępnienia arkusza kluczowych informacji inwestycyjnych. Przepis ten dotyczy jedynie pożyczek społecznościowych, ponieważ sankcja za analogiczny czyn w odniesieniu do oferowania papierów wartościowych zostanie wprowadzona w ustawie o ofercie publicznej. Kara przewidziana za ten</w:t>
      </w:r>
      <w:r w:rsidR="006E61E0">
        <w:rPr>
          <w:rFonts w:ascii="Times New Roman" w:eastAsia="Times New Roman" w:hAnsi="Times New Roman" w:cs="Times New Roman"/>
          <w:bCs/>
          <w:sz w:val="24"/>
          <w:szCs w:val="24"/>
          <w:lang w:eastAsia="pl-PL"/>
        </w:rPr>
        <w:t xml:space="preserve"> czyn, tj. grzywna do 10 mln zł lub</w:t>
      </w:r>
      <w:r w:rsidR="007547DF" w:rsidRPr="004E768F">
        <w:rPr>
          <w:rFonts w:ascii="Times New Roman" w:eastAsia="Times New Roman" w:hAnsi="Times New Roman" w:cs="Times New Roman"/>
          <w:bCs/>
          <w:sz w:val="24"/>
          <w:szCs w:val="24"/>
          <w:lang w:eastAsia="pl-PL"/>
        </w:rPr>
        <w:t xml:space="preserve"> pozbawienie wolności do lat 2 jest </w:t>
      </w:r>
      <w:r w:rsidR="006E61E0">
        <w:rPr>
          <w:rFonts w:ascii="Times New Roman" w:eastAsia="Times New Roman" w:hAnsi="Times New Roman" w:cs="Times New Roman"/>
          <w:bCs/>
          <w:sz w:val="24"/>
          <w:szCs w:val="24"/>
          <w:lang w:eastAsia="pl-PL"/>
        </w:rPr>
        <w:t>taka sama</w:t>
      </w:r>
      <w:r w:rsidR="007547DF" w:rsidRPr="004E768F">
        <w:rPr>
          <w:rFonts w:ascii="Times New Roman" w:eastAsia="Times New Roman" w:hAnsi="Times New Roman" w:cs="Times New Roman"/>
          <w:bCs/>
          <w:sz w:val="24"/>
          <w:szCs w:val="24"/>
          <w:lang w:eastAsia="pl-PL"/>
        </w:rPr>
        <w:t xml:space="preserve"> jak kara za prowadzenie oferty publicznej bez wymaganych dokumentów, przewidziana w art. 99 ustawy o ofercie publicznej.</w:t>
      </w:r>
    </w:p>
    <w:p w14:paraId="48C118BE" w14:textId="1DA2F5B8" w:rsidR="007547DF" w:rsidRPr="004E768F" w:rsidRDefault="00C7149C"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39</w:t>
      </w:r>
      <w:r w:rsidR="007547DF" w:rsidRPr="004E768F">
        <w:rPr>
          <w:rFonts w:ascii="Times New Roman" w:eastAsia="Times New Roman" w:hAnsi="Times New Roman" w:cs="Times New Roman"/>
          <w:bCs/>
          <w:sz w:val="24"/>
          <w:szCs w:val="24"/>
          <w:lang w:eastAsia="pl-PL"/>
        </w:rPr>
        <w:t xml:space="preserve"> wprowadza sankcję za </w:t>
      </w:r>
      <w:r w:rsidR="003E34DF" w:rsidRPr="004E768F">
        <w:rPr>
          <w:rFonts w:ascii="Times New Roman" w:eastAsia="Times New Roman" w:hAnsi="Times New Roman" w:cs="Times New Roman"/>
          <w:bCs/>
          <w:sz w:val="24"/>
          <w:szCs w:val="24"/>
          <w:lang w:eastAsia="pl-PL"/>
        </w:rPr>
        <w:t>bezprawne ujawnienie lub wykorzystanie informacji stanowiących tajemnicę zawodową związaną ze świadczeniem usług finansowania społecznościowego</w:t>
      </w:r>
      <w:r w:rsidR="0035180F">
        <w:rPr>
          <w:rFonts w:ascii="Times New Roman" w:eastAsia="Times New Roman" w:hAnsi="Times New Roman" w:cs="Times New Roman"/>
          <w:bCs/>
          <w:sz w:val="24"/>
          <w:szCs w:val="24"/>
          <w:lang w:eastAsia="pl-PL"/>
        </w:rPr>
        <w:t xml:space="preserve"> w postaci k</w:t>
      </w:r>
      <w:r w:rsidR="003E34DF" w:rsidRPr="004E768F">
        <w:rPr>
          <w:rFonts w:ascii="Times New Roman" w:eastAsia="Times New Roman" w:hAnsi="Times New Roman" w:cs="Times New Roman"/>
          <w:bCs/>
          <w:sz w:val="24"/>
          <w:szCs w:val="24"/>
          <w:lang w:eastAsia="pl-PL"/>
        </w:rPr>
        <w:t>ar</w:t>
      </w:r>
      <w:r w:rsidR="0035180F">
        <w:rPr>
          <w:rFonts w:ascii="Times New Roman" w:eastAsia="Times New Roman" w:hAnsi="Times New Roman" w:cs="Times New Roman"/>
          <w:bCs/>
          <w:sz w:val="24"/>
          <w:szCs w:val="24"/>
          <w:lang w:eastAsia="pl-PL"/>
        </w:rPr>
        <w:t xml:space="preserve">y </w:t>
      </w:r>
      <w:r w:rsidR="003E34DF" w:rsidRPr="004E768F">
        <w:rPr>
          <w:rFonts w:ascii="Times New Roman" w:eastAsia="Times New Roman" w:hAnsi="Times New Roman" w:cs="Times New Roman"/>
          <w:bCs/>
          <w:sz w:val="24"/>
          <w:szCs w:val="24"/>
          <w:lang w:eastAsia="pl-PL"/>
        </w:rPr>
        <w:t>grzywny do 1 mln zł</w:t>
      </w:r>
      <w:r w:rsidR="0035180F">
        <w:rPr>
          <w:rFonts w:ascii="Times New Roman" w:eastAsia="Times New Roman" w:hAnsi="Times New Roman" w:cs="Times New Roman"/>
          <w:bCs/>
          <w:sz w:val="24"/>
          <w:szCs w:val="24"/>
          <w:lang w:eastAsia="pl-PL"/>
        </w:rPr>
        <w:t xml:space="preserve"> lub </w:t>
      </w:r>
      <w:r w:rsidR="003E34DF" w:rsidRPr="004E768F">
        <w:rPr>
          <w:rFonts w:ascii="Times New Roman" w:eastAsia="Times New Roman" w:hAnsi="Times New Roman" w:cs="Times New Roman"/>
          <w:bCs/>
          <w:sz w:val="24"/>
          <w:szCs w:val="24"/>
          <w:lang w:eastAsia="pl-PL"/>
        </w:rPr>
        <w:t>pozbawienia wolności do lat 3</w:t>
      </w:r>
      <w:r w:rsidR="0035180F">
        <w:rPr>
          <w:rFonts w:ascii="Times New Roman" w:eastAsia="Times New Roman" w:hAnsi="Times New Roman" w:cs="Times New Roman"/>
          <w:bCs/>
          <w:sz w:val="24"/>
          <w:szCs w:val="24"/>
          <w:lang w:eastAsia="pl-PL"/>
        </w:rPr>
        <w:t xml:space="preserve">, </w:t>
      </w:r>
      <w:r w:rsidR="003E34DF" w:rsidRPr="004E768F">
        <w:rPr>
          <w:rFonts w:ascii="Times New Roman" w:eastAsia="Times New Roman" w:hAnsi="Times New Roman" w:cs="Times New Roman"/>
          <w:bCs/>
          <w:sz w:val="24"/>
          <w:szCs w:val="24"/>
          <w:lang w:eastAsia="pl-PL"/>
        </w:rPr>
        <w:t>analogiczn</w:t>
      </w:r>
      <w:r w:rsidR="0035180F">
        <w:rPr>
          <w:rFonts w:ascii="Times New Roman" w:eastAsia="Times New Roman" w:hAnsi="Times New Roman" w:cs="Times New Roman"/>
          <w:bCs/>
          <w:sz w:val="24"/>
          <w:szCs w:val="24"/>
          <w:lang w:eastAsia="pl-PL"/>
        </w:rPr>
        <w:t xml:space="preserve">ie </w:t>
      </w:r>
      <w:r w:rsidR="006E61E0">
        <w:rPr>
          <w:rFonts w:ascii="Times New Roman" w:eastAsia="Times New Roman" w:hAnsi="Times New Roman" w:cs="Times New Roman"/>
          <w:bCs/>
          <w:sz w:val="24"/>
          <w:szCs w:val="24"/>
          <w:lang w:eastAsia="pl-PL"/>
        </w:rPr>
        <w:t>jak w</w:t>
      </w:r>
      <w:r w:rsidR="003E34DF" w:rsidRPr="004E768F">
        <w:rPr>
          <w:rFonts w:ascii="Times New Roman" w:eastAsia="Times New Roman" w:hAnsi="Times New Roman" w:cs="Times New Roman"/>
          <w:bCs/>
          <w:sz w:val="24"/>
          <w:szCs w:val="24"/>
          <w:lang w:eastAsia="pl-PL"/>
        </w:rPr>
        <w:t xml:space="preserve"> art. 179 ustawy o obrocie instrumentami finansowymi.</w:t>
      </w:r>
    </w:p>
    <w:p w14:paraId="2FEFDA57" w14:textId="222D7471" w:rsidR="00EE20BC" w:rsidRPr="004E768F" w:rsidRDefault="00C7149C" w:rsidP="006E61E0">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40</w:t>
      </w:r>
      <w:r w:rsidR="003E34DF" w:rsidRPr="004E768F">
        <w:rPr>
          <w:rFonts w:ascii="Times New Roman" w:eastAsia="Times New Roman" w:hAnsi="Times New Roman" w:cs="Times New Roman"/>
          <w:bCs/>
          <w:sz w:val="24"/>
          <w:szCs w:val="24"/>
          <w:lang w:eastAsia="pl-PL"/>
        </w:rPr>
        <w:t xml:space="preserve"> dotyczy sankcji za utrudnianie przeprowadzania przez Komisję czynności nadzorczych lub kontrolnych, niewykonanie wydanego przez Komisję nakazu przeniesienia umów do innego dostawcy usług finansowania społecznościowego w przypadku cofnięcia zezwolenia oraz niewykonania obowiązków związanych z przechowywaniem i archiwizacją dokumentacji. Ze względu na mniejszą szkodliwość </w:t>
      </w:r>
      <w:r w:rsidR="0035180F">
        <w:rPr>
          <w:rFonts w:ascii="Times New Roman" w:eastAsia="Times New Roman" w:hAnsi="Times New Roman" w:cs="Times New Roman"/>
          <w:bCs/>
          <w:sz w:val="24"/>
          <w:szCs w:val="24"/>
          <w:lang w:eastAsia="pl-PL"/>
        </w:rPr>
        <w:t xml:space="preserve">tych </w:t>
      </w:r>
      <w:r w:rsidR="003E34DF" w:rsidRPr="004E768F">
        <w:rPr>
          <w:rFonts w:ascii="Times New Roman" w:eastAsia="Times New Roman" w:hAnsi="Times New Roman" w:cs="Times New Roman"/>
          <w:bCs/>
          <w:sz w:val="24"/>
          <w:szCs w:val="24"/>
          <w:lang w:eastAsia="pl-PL"/>
        </w:rPr>
        <w:t>czynów będą one zagrożone karą aresztu, ograniczenia wolności albo grzywny, a orzekanie w tych sprawach będzie odbywać się w postępowaniu w sprawach o wykroczenia. Rozwiązania te są zbieżne z art. 184 ustawy o obrocie instrumentami finansowymi.</w:t>
      </w:r>
    </w:p>
    <w:p w14:paraId="3342FFDA" w14:textId="6EF6E5C1" w:rsidR="00472531" w:rsidRPr="00357484" w:rsidRDefault="00935722" w:rsidP="005E7A4C">
      <w:pPr>
        <w:suppressAutoHyphens/>
        <w:autoSpaceDE w:val="0"/>
        <w:autoSpaceDN w:val="0"/>
        <w:adjustRightInd w:val="0"/>
        <w:spacing w:before="120" w:after="120"/>
        <w:ind w:firstLine="510"/>
        <w:rPr>
          <w:rFonts w:ascii="Times New Roman" w:eastAsia="Times New Roman" w:hAnsi="Times New Roman" w:cs="Times New Roman"/>
          <w:b/>
          <w:bCs/>
          <w:sz w:val="24"/>
          <w:szCs w:val="24"/>
          <w:lang w:eastAsia="pl-PL"/>
        </w:rPr>
      </w:pPr>
      <w:r w:rsidRPr="00CD3E8E">
        <w:rPr>
          <w:rFonts w:ascii="Times New Roman" w:eastAsia="Times New Roman" w:hAnsi="Times New Roman" w:cs="Times New Roman"/>
          <w:bCs/>
          <w:sz w:val="24"/>
          <w:szCs w:val="24"/>
          <w:lang w:eastAsia="pl-PL"/>
        </w:rPr>
        <w:t>Przepisy art.</w:t>
      </w:r>
      <w:r w:rsidR="00C7149C">
        <w:rPr>
          <w:rFonts w:ascii="Times New Roman" w:eastAsia="Times New Roman" w:hAnsi="Times New Roman" w:cs="Times New Roman"/>
          <w:bCs/>
          <w:sz w:val="24"/>
          <w:szCs w:val="24"/>
          <w:lang w:eastAsia="pl-PL"/>
        </w:rPr>
        <w:t xml:space="preserve"> 41–48</w:t>
      </w:r>
      <w:r w:rsidR="00A54993" w:rsidRPr="00C7149C">
        <w:rPr>
          <w:rFonts w:ascii="Times New Roman" w:eastAsia="Times New Roman" w:hAnsi="Times New Roman" w:cs="Times New Roman"/>
          <w:bCs/>
          <w:sz w:val="24"/>
          <w:szCs w:val="24"/>
          <w:lang w:eastAsia="pl-PL"/>
        </w:rPr>
        <w:t xml:space="preserve"> </w:t>
      </w:r>
      <w:r w:rsidR="000B7AED" w:rsidRPr="004E768F">
        <w:rPr>
          <w:rFonts w:ascii="Times New Roman" w:eastAsia="Times New Roman" w:hAnsi="Times New Roman" w:cs="Times New Roman"/>
          <w:bCs/>
          <w:sz w:val="24"/>
          <w:szCs w:val="24"/>
          <w:lang w:eastAsia="pl-PL"/>
        </w:rPr>
        <w:t>zawiera</w:t>
      </w:r>
      <w:r>
        <w:rPr>
          <w:rFonts w:ascii="Times New Roman" w:eastAsia="Times New Roman" w:hAnsi="Times New Roman" w:cs="Times New Roman"/>
          <w:bCs/>
          <w:sz w:val="24"/>
          <w:szCs w:val="24"/>
          <w:lang w:eastAsia="pl-PL"/>
        </w:rPr>
        <w:t xml:space="preserve">ją </w:t>
      </w:r>
      <w:r w:rsidR="000B7AED" w:rsidRPr="004E768F">
        <w:rPr>
          <w:rFonts w:ascii="Times New Roman" w:eastAsia="Times New Roman" w:hAnsi="Times New Roman" w:cs="Times New Roman"/>
          <w:bCs/>
          <w:sz w:val="24"/>
          <w:szCs w:val="24"/>
          <w:lang w:eastAsia="pl-PL"/>
        </w:rPr>
        <w:t>zmiany w przepisach obowiązujących.</w:t>
      </w:r>
    </w:p>
    <w:p w14:paraId="2C5E2616" w14:textId="34684E00" w:rsidR="000B7AED" w:rsidRPr="004E768F" w:rsidRDefault="00C7149C"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41</w:t>
      </w:r>
      <w:r w:rsidR="000B7AED" w:rsidRPr="004E768F">
        <w:rPr>
          <w:rFonts w:ascii="Times New Roman" w:eastAsia="Times New Roman" w:hAnsi="Times New Roman" w:cs="Times New Roman"/>
          <w:bCs/>
          <w:sz w:val="24"/>
          <w:szCs w:val="24"/>
          <w:lang w:eastAsia="pl-PL"/>
        </w:rPr>
        <w:t xml:space="preserve"> zawiera zmianę do art. 64 ust. 1 pkt 2 </w:t>
      </w:r>
      <w:r w:rsidR="000B7AED" w:rsidRPr="00A944EF">
        <w:rPr>
          <w:rFonts w:ascii="Times New Roman" w:eastAsia="Times New Roman" w:hAnsi="Times New Roman" w:cs="Times New Roman"/>
          <w:b/>
          <w:bCs/>
          <w:sz w:val="24"/>
          <w:szCs w:val="24"/>
          <w:lang w:eastAsia="pl-PL"/>
        </w:rPr>
        <w:t>ustawy z dnia 29 wr</w:t>
      </w:r>
      <w:r w:rsidR="00E77760" w:rsidRPr="00A944EF">
        <w:rPr>
          <w:rFonts w:ascii="Times New Roman" w:eastAsia="Times New Roman" w:hAnsi="Times New Roman" w:cs="Times New Roman"/>
          <w:b/>
          <w:bCs/>
          <w:sz w:val="24"/>
          <w:szCs w:val="24"/>
          <w:lang w:eastAsia="pl-PL"/>
        </w:rPr>
        <w:t>ześnia 1994 r. o rachunkowości</w:t>
      </w:r>
      <w:r w:rsidR="000B7AED" w:rsidRPr="004E768F">
        <w:rPr>
          <w:rFonts w:ascii="Times New Roman" w:eastAsia="Times New Roman" w:hAnsi="Times New Roman" w:cs="Times New Roman"/>
          <w:bCs/>
          <w:sz w:val="24"/>
          <w:szCs w:val="24"/>
          <w:lang w:eastAsia="pl-PL"/>
        </w:rPr>
        <w:t xml:space="preserve">, która polega na wprowadzeniu obowiązku badania rocznych skonsolidowanych sprawozdań finansowych </w:t>
      </w:r>
      <w:r w:rsidR="00B35F5A">
        <w:rPr>
          <w:rFonts w:ascii="Times New Roman" w:eastAsia="Times New Roman" w:hAnsi="Times New Roman" w:cs="Times New Roman"/>
          <w:bCs/>
          <w:sz w:val="24"/>
          <w:szCs w:val="24"/>
          <w:lang w:eastAsia="pl-PL"/>
        </w:rPr>
        <w:t xml:space="preserve">grup kapitałowych oraz </w:t>
      </w:r>
      <w:r w:rsidR="00B35F5A" w:rsidRPr="004E768F">
        <w:rPr>
          <w:rFonts w:ascii="Times New Roman" w:eastAsia="Times New Roman" w:hAnsi="Times New Roman" w:cs="Times New Roman"/>
          <w:bCs/>
          <w:sz w:val="24"/>
          <w:szCs w:val="24"/>
          <w:lang w:eastAsia="pl-PL"/>
        </w:rPr>
        <w:t xml:space="preserve">rocznych sprawozdań finansowych </w:t>
      </w:r>
      <w:r w:rsidR="00B35F5A">
        <w:rPr>
          <w:rFonts w:ascii="Times New Roman" w:eastAsia="Times New Roman" w:hAnsi="Times New Roman" w:cs="Times New Roman"/>
          <w:bCs/>
          <w:sz w:val="24"/>
          <w:szCs w:val="24"/>
          <w:lang w:eastAsia="pl-PL"/>
        </w:rPr>
        <w:t xml:space="preserve">kontynuujących działalność </w:t>
      </w:r>
      <w:r w:rsidR="000B7AED" w:rsidRPr="004E768F">
        <w:rPr>
          <w:rFonts w:ascii="Times New Roman" w:eastAsia="Times New Roman" w:hAnsi="Times New Roman" w:cs="Times New Roman"/>
          <w:bCs/>
          <w:sz w:val="24"/>
          <w:szCs w:val="24"/>
          <w:lang w:eastAsia="pl-PL"/>
        </w:rPr>
        <w:t>dostawców usług finansowania społecznościowego</w:t>
      </w:r>
      <w:r w:rsidR="00B35F5A">
        <w:rPr>
          <w:rFonts w:ascii="Times New Roman" w:eastAsia="Times New Roman" w:hAnsi="Times New Roman" w:cs="Times New Roman"/>
          <w:bCs/>
          <w:sz w:val="24"/>
          <w:szCs w:val="24"/>
          <w:lang w:eastAsia="pl-PL"/>
        </w:rPr>
        <w:t>,</w:t>
      </w:r>
      <w:r w:rsidR="00357484">
        <w:rPr>
          <w:rFonts w:ascii="Times New Roman" w:eastAsia="Times New Roman" w:hAnsi="Times New Roman" w:cs="Times New Roman"/>
          <w:bCs/>
          <w:sz w:val="24"/>
          <w:szCs w:val="24"/>
          <w:lang w:eastAsia="pl-PL"/>
        </w:rPr>
        <w:t xml:space="preserve"> tak jak w przypadku </w:t>
      </w:r>
      <w:r w:rsidR="000B7AED" w:rsidRPr="004E768F">
        <w:rPr>
          <w:rFonts w:ascii="Times New Roman" w:eastAsia="Times New Roman" w:hAnsi="Times New Roman" w:cs="Times New Roman"/>
          <w:bCs/>
          <w:sz w:val="24"/>
          <w:szCs w:val="24"/>
          <w:lang w:eastAsia="pl-PL"/>
        </w:rPr>
        <w:t>jednostek działających na podstawie przepisów o obrocie papierami wartości</w:t>
      </w:r>
      <w:r w:rsidR="006E61E0">
        <w:rPr>
          <w:rFonts w:ascii="Times New Roman" w:eastAsia="Times New Roman" w:hAnsi="Times New Roman" w:cs="Times New Roman"/>
          <w:bCs/>
          <w:sz w:val="24"/>
          <w:szCs w:val="24"/>
          <w:lang w:eastAsia="pl-PL"/>
        </w:rPr>
        <w:t>owymi.</w:t>
      </w:r>
    </w:p>
    <w:p w14:paraId="1E896679" w14:textId="77777777" w:rsidR="008D07D8" w:rsidRDefault="000B7AED" w:rsidP="00E904E8">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xml:space="preserve">W </w:t>
      </w:r>
      <w:r w:rsidR="00C7149C">
        <w:rPr>
          <w:rFonts w:ascii="Times New Roman" w:eastAsia="Times New Roman" w:hAnsi="Times New Roman" w:cs="Times New Roman"/>
          <w:b/>
          <w:bCs/>
          <w:sz w:val="24"/>
          <w:szCs w:val="24"/>
          <w:lang w:eastAsia="pl-PL"/>
        </w:rPr>
        <w:t>art. 42</w:t>
      </w:r>
      <w:r w:rsidRPr="004E768F">
        <w:rPr>
          <w:rFonts w:ascii="Times New Roman" w:eastAsia="Times New Roman" w:hAnsi="Times New Roman" w:cs="Times New Roman"/>
          <w:bCs/>
          <w:sz w:val="24"/>
          <w:szCs w:val="24"/>
          <w:lang w:eastAsia="pl-PL"/>
        </w:rPr>
        <w:t xml:space="preserve"> wprowadza się zmiany do </w:t>
      </w:r>
      <w:r w:rsidRPr="00A944EF">
        <w:rPr>
          <w:rFonts w:ascii="Times New Roman" w:eastAsia="Times New Roman" w:hAnsi="Times New Roman" w:cs="Times New Roman"/>
          <w:b/>
          <w:bCs/>
          <w:sz w:val="24"/>
          <w:szCs w:val="24"/>
          <w:lang w:eastAsia="pl-PL"/>
        </w:rPr>
        <w:t>ustawy</w:t>
      </w:r>
      <w:r w:rsidR="00F139E8">
        <w:rPr>
          <w:rFonts w:ascii="Times New Roman" w:eastAsia="Times New Roman" w:hAnsi="Times New Roman" w:cs="Times New Roman"/>
          <w:b/>
          <w:bCs/>
          <w:sz w:val="24"/>
          <w:szCs w:val="24"/>
          <w:lang w:eastAsia="pl-PL"/>
        </w:rPr>
        <w:t xml:space="preserve"> </w:t>
      </w:r>
      <w:r w:rsidR="00E77760" w:rsidRPr="00A944EF">
        <w:rPr>
          <w:rFonts w:ascii="Times New Roman" w:eastAsia="Times New Roman" w:hAnsi="Times New Roman" w:cs="Times New Roman"/>
          <w:b/>
          <w:bCs/>
          <w:sz w:val="24"/>
          <w:szCs w:val="24"/>
          <w:lang w:eastAsia="pl-PL"/>
        </w:rPr>
        <w:t>– Prawo bankowe</w:t>
      </w:r>
      <w:r w:rsidRPr="00E904E8">
        <w:rPr>
          <w:rFonts w:ascii="Times New Roman" w:eastAsia="Times New Roman" w:hAnsi="Times New Roman" w:cs="Times New Roman"/>
          <w:bCs/>
          <w:sz w:val="24"/>
          <w:szCs w:val="24"/>
          <w:lang w:eastAsia="pl-PL"/>
        </w:rPr>
        <w:t xml:space="preserve">. </w:t>
      </w:r>
    </w:p>
    <w:p w14:paraId="4BFC3AE5" w14:textId="182CFEEF" w:rsidR="002E1278" w:rsidRDefault="006E61E0" w:rsidP="00E904E8">
      <w:pPr>
        <w:suppressAutoHyphens/>
        <w:autoSpaceDE w:val="0"/>
        <w:autoSpaceDN w:val="0"/>
        <w:adjustRightInd w:val="0"/>
        <w:ind w:firstLine="510"/>
        <w:rPr>
          <w:rFonts w:ascii="Times New Roman" w:eastAsia="Times New Roman" w:hAnsi="Times New Roman" w:cs="Times New Roman"/>
          <w:bCs/>
          <w:sz w:val="24"/>
          <w:szCs w:val="24"/>
          <w:lang w:eastAsia="pl-PL"/>
        </w:rPr>
      </w:pPr>
      <w:r w:rsidRPr="00922D36">
        <w:rPr>
          <w:rFonts w:ascii="Times New Roman" w:eastAsia="Times New Roman" w:hAnsi="Times New Roman" w:cs="Times New Roman"/>
          <w:b/>
          <w:bCs/>
          <w:sz w:val="24"/>
          <w:szCs w:val="24"/>
          <w:lang w:eastAsia="pl-PL"/>
        </w:rPr>
        <w:t>A</w:t>
      </w:r>
      <w:r w:rsidR="00C7149C">
        <w:rPr>
          <w:rFonts w:ascii="Times New Roman" w:eastAsia="Times New Roman" w:hAnsi="Times New Roman" w:cs="Times New Roman"/>
          <w:b/>
          <w:bCs/>
          <w:sz w:val="24"/>
          <w:szCs w:val="24"/>
          <w:lang w:eastAsia="pl-PL"/>
        </w:rPr>
        <w:t>rt. 42</w:t>
      </w:r>
      <w:r w:rsidR="00357484" w:rsidRPr="00922D36">
        <w:rPr>
          <w:rFonts w:ascii="Times New Roman" w:eastAsia="Times New Roman" w:hAnsi="Times New Roman" w:cs="Times New Roman"/>
          <w:b/>
          <w:bCs/>
          <w:sz w:val="24"/>
          <w:szCs w:val="24"/>
          <w:lang w:eastAsia="pl-PL"/>
        </w:rPr>
        <w:t xml:space="preserve"> p</w:t>
      </w:r>
      <w:r w:rsidR="000B7AED" w:rsidRPr="00922D36">
        <w:rPr>
          <w:rFonts w:ascii="Times New Roman" w:eastAsia="Times New Roman" w:hAnsi="Times New Roman" w:cs="Times New Roman"/>
          <w:b/>
          <w:bCs/>
          <w:sz w:val="24"/>
          <w:szCs w:val="24"/>
          <w:lang w:eastAsia="pl-PL"/>
        </w:rPr>
        <w:t>kt 1</w:t>
      </w:r>
      <w:r w:rsidR="000B7AED" w:rsidRPr="004E768F">
        <w:rPr>
          <w:rFonts w:ascii="Times New Roman" w:eastAsia="Times New Roman" w:hAnsi="Times New Roman" w:cs="Times New Roman"/>
          <w:bCs/>
          <w:sz w:val="24"/>
          <w:szCs w:val="24"/>
          <w:lang w:eastAsia="pl-PL"/>
        </w:rPr>
        <w:t xml:space="preserve"> wprowadza do słowniczka zawartego w art. 4 ust. 1 tej ustawy skrótowe oznaczenie rozporządzenia 2020/1503.</w:t>
      </w:r>
      <w:r w:rsidR="0023266E">
        <w:rPr>
          <w:rFonts w:ascii="Times New Roman" w:eastAsia="Times New Roman" w:hAnsi="Times New Roman" w:cs="Times New Roman"/>
          <w:bCs/>
          <w:sz w:val="24"/>
          <w:szCs w:val="24"/>
          <w:lang w:eastAsia="pl-PL"/>
        </w:rPr>
        <w:t xml:space="preserve"> </w:t>
      </w:r>
    </w:p>
    <w:p w14:paraId="1F2F4772" w14:textId="77777777" w:rsidR="002E1278" w:rsidRDefault="00C7149C" w:rsidP="00E904E8">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42</w:t>
      </w:r>
      <w:r w:rsidR="002A509C" w:rsidRPr="00922D36">
        <w:rPr>
          <w:rFonts w:ascii="Times New Roman" w:eastAsia="Times New Roman" w:hAnsi="Times New Roman" w:cs="Times New Roman"/>
          <w:b/>
          <w:bCs/>
          <w:sz w:val="24"/>
          <w:szCs w:val="24"/>
          <w:lang w:eastAsia="pl-PL"/>
        </w:rPr>
        <w:t xml:space="preserve"> pkt 2</w:t>
      </w:r>
      <w:r w:rsidR="002A509C" w:rsidRPr="004E768F">
        <w:rPr>
          <w:rFonts w:ascii="Times New Roman" w:eastAsia="Times New Roman" w:hAnsi="Times New Roman" w:cs="Times New Roman"/>
          <w:bCs/>
          <w:sz w:val="24"/>
          <w:szCs w:val="24"/>
          <w:lang w:eastAsia="pl-PL"/>
        </w:rPr>
        <w:t xml:space="preserve"> rozszerza katalog </w:t>
      </w:r>
      <w:r w:rsidR="006E61E0">
        <w:rPr>
          <w:rFonts w:ascii="Times New Roman" w:eastAsia="Times New Roman" w:hAnsi="Times New Roman" w:cs="Times New Roman"/>
          <w:bCs/>
          <w:sz w:val="24"/>
          <w:szCs w:val="24"/>
          <w:lang w:eastAsia="pl-PL"/>
        </w:rPr>
        <w:t>czynności bankowych, określony w art. 5 ust. 2 nowelizowanej ustawy,</w:t>
      </w:r>
      <w:r w:rsidR="009C4446">
        <w:rPr>
          <w:rFonts w:ascii="Times New Roman" w:eastAsia="Times New Roman" w:hAnsi="Times New Roman" w:cs="Times New Roman"/>
          <w:bCs/>
          <w:sz w:val="24"/>
          <w:szCs w:val="24"/>
          <w:lang w:eastAsia="pl-PL"/>
        </w:rPr>
        <w:t xml:space="preserve"> o </w:t>
      </w:r>
      <w:r w:rsidR="002A509C" w:rsidRPr="004E768F">
        <w:rPr>
          <w:rFonts w:ascii="Times New Roman" w:eastAsia="Times New Roman" w:hAnsi="Times New Roman" w:cs="Times New Roman"/>
          <w:bCs/>
          <w:sz w:val="24"/>
          <w:szCs w:val="24"/>
          <w:lang w:eastAsia="pl-PL"/>
        </w:rPr>
        <w:t xml:space="preserve">świadczenie usług finansowania społecznościowego dla przedsięwzięć gospodarczych. Zgodnie </w:t>
      </w:r>
      <w:r w:rsidR="00004084">
        <w:rPr>
          <w:rFonts w:ascii="Times New Roman" w:eastAsia="Times New Roman" w:hAnsi="Times New Roman" w:cs="Times New Roman"/>
          <w:bCs/>
          <w:sz w:val="24"/>
          <w:szCs w:val="24"/>
          <w:lang w:eastAsia="pl-PL"/>
        </w:rPr>
        <w:t xml:space="preserve">bowiem </w:t>
      </w:r>
      <w:r w:rsidR="002A509C" w:rsidRPr="004E768F">
        <w:rPr>
          <w:rFonts w:ascii="Times New Roman" w:eastAsia="Times New Roman" w:hAnsi="Times New Roman" w:cs="Times New Roman"/>
          <w:bCs/>
          <w:sz w:val="24"/>
          <w:szCs w:val="24"/>
          <w:lang w:eastAsia="pl-PL"/>
        </w:rPr>
        <w:t xml:space="preserve">z art. 12 ust. 13 </w:t>
      </w:r>
      <w:r w:rsidR="009C4446">
        <w:rPr>
          <w:rFonts w:ascii="Times New Roman" w:eastAsia="Times New Roman" w:hAnsi="Times New Roman" w:cs="Times New Roman"/>
          <w:bCs/>
          <w:sz w:val="24"/>
          <w:szCs w:val="24"/>
          <w:lang w:eastAsia="pl-PL"/>
        </w:rPr>
        <w:t xml:space="preserve">i 14 </w:t>
      </w:r>
      <w:r w:rsidR="002A509C" w:rsidRPr="004E768F">
        <w:rPr>
          <w:rFonts w:ascii="Times New Roman" w:eastAsia="Times New Roman" w:hAnsi="Times New Roman" w:cs="Times New Roman"/>
          <w:bCs/>
          <w:sz w:val="24"/>
          <w:szCs w:val="24"/>
          <w:lang w:eastAsia="pl-PL"/>
        </w:rPr>
        <w:t>rozporządzenia 2020/1503</w:t>
      </w:r>
      <w:r w:rsidR="009C4446">
        <w:rPr>
          <w:rFonts w:ascii="Times New Roman" w:eastAsia="Times New Roman" w:hAnsi="Times New Roman" w:cs="Times New Roman"/>
          <w:bCs/>
          <w:sz w:val="24"/>
          <w:szCs w:val="24"/>
          <w:lang w:eastAsia="pl-PL"/>
        </w:rPr>
        <w:t xml:space="preserve"> </w:t>
      </w:r>
      <w:r w:rsidR="002A509C" w:rsidRPr="004E768F">
        <w:rPr>
          <w:rFonts w:ascii="Times New Roman" w:eastAsia="Times New Roman" w:hAnsi="Times New Roman" w:cs="Times New Roman"/>
          <w:bCs/>
          <w:sz w:val="24"/>
          <w:szCs w:val="24"/>
          <w:lang w:eastAsia="pl-PL"/>
        </w:rPr>
        <w:t xml:space="preserve">dostawcy usług finansowania społecznościowego mogą prowadzić jednocześnie inną działalność gospodarczą. </w:t>
      </w:r>
      <w:r w:rsidR="009C4446">
        <w:rPr>
          <w:rFonts w:ascii="Times New Roman" w:eastAsia="Times New Roman" w:hAnsi="Times New Roman" w:cs="Times New Roman"/>
          <w:bCs/>
          <w:sz w:val="24"/>
          <w:szCs w:val="24"/>
          <w:lang w:eastAsia="pl-PL"/>
        </w:rPr>
        <w:t>P</w:t>
      </w:r>
      <w:r w:rsidR="002A509C" w:rsidRPr="004E768F">
        <w:rPr>
          <w:rFonts w:ascii="Times New Roman" w:eastAsia="Times New Roman" w:hAnsi="Times New Roman" w:cs="Times New Roman"/>
          <w:bCs/>
          <w:sz w:val="24"/>
          <w:szCs w:val="24"/>
          <w:lang w:eastAsia="pl-PL"/>
        </w:rPr>
        <w:t xml:space="preserve">odmioty, które uzyskały zezwolenia na podstawie </w:t>
      </w:r>
      <w:r w:rsidR="009C4446">
        <w:rPr>
          <w:rFonts w:ascii="Times New Roman" w:eastAsia="Times New Roman" w:hAnsi="Times New Roman" w:cs="Times New Roman"/>
          <w:bCs/>
          <w:sz w:val="24"/>
          <w:szCs w:val="24"/>
          <w:lang w:eastAsia="pl-PL"/>
        </w:rPr>
        <w:t>przepisów odrębnych</w:t>
      </w:r>
      <w:r w:rsidR="002A509C" w:rsidRPr="004E768F">
        <w:rPr>
          <w:rFonts w:ascii="Times New Roman" w:eastAsia="Times New Roman" w:hAnsi="Times New Roman" w:cs="Times New Roman"/>
          <w:bCs/>
          <w:sz w:val="24"/>
          <w:szCs w:val="24"/>
          <w:lang w:eastAsia="pl-PL"/>
        </w:rPr>
        <w:t xml:space="preserve">, w tym banki, mogą świadczyć usługi finansowania społecznościowego, po uzyskaniu zezwolenia na podstawie rozporządzenia 2020/1503. Zezwolenie takie wydaje się z </w:t>
      </w:r>
      <w:r w:rsidR="002A509C" w:rsidRPr="004E768F">
        <w:rPr>
          <w:rFonts w:ascii="Times New Roman" w:eastAsia="Times New Roman" w:hAnsi="Times New Roman" w:cs="Times New Roman"/>
          <w:bCs/>
          <w:sz w:val="24"/>
          <w:szCs w:val="24"/>
          <w:lang w:eastAsia="pl-PL"/>
        </w:rPr>
        <w:lastRenderedPageBreak/>
        <w:t>uwzględnieniem złagodzonych wymogów w zakresie wymaganych informacji oraz dokumentów</w:t>
      </w:r>
      <w:r w:rsidR="009C4446">
        <w:rPr>
          <w:rFonts w:ascii="Times New Roman" w:eastAsia="Times New Roman" w:hAnsi="Times New Roman" w:cs="Times New Roman"/>
          <w:bCs/>
          <w:sz w:val="24"/>
          <w:szCs w:val="24"/>
          <w:lang w:eastAsia="pl-PL"/>
        </w:rPr>
        <w:t>.</w:t>
      </w:r>
    </w:p>
    <w:p w14:paraId="3FF20434" w14:textId="77777777" w:rsidR="002E1278" w:rsidRDefault="00004084" w:rsidP="00E904E8">
      <w:pPr>
        <w:suppressAutoHyphens/>
        <w:autoSpaceDE w:val="0"/>
        <w:autoSpaceDN w:val="0"/>
        <w:adjustRightInd w:val="0"/>
        <w:ind w:firstLine="510"/>
        <w:rPr>
          <w:rFonts w:ascii="Times New Roman" w:eastAsia="Times New Roman" w:hAnsi="Times New Roman" w:cs="Times New Roman"/>
          <w:bCs/>
          <w:sz w:val="24"/>
          <w:szCs w:val="24"/>
          <w:lang w:eastAsia="pl-PL"/>
        </w:rPr>
      </w:pPr>
      <w:r w:rsidRPr="00922D36">
        <w:rPr>
          <w:rFonts w:ascii="Times New Roman" w:eastAsia="Times New Roman" w:hAnsi="Times New Roman" w:cs="Times New Roman"/>
          <w:b/>
          <w:bCs/>
          <w:sz w:val="24"/>
          <w:szCs w:val="24"/>
          <w:lang w:eastAsia="pl-PL"/>
        </w:rPr>
        <w:t>A</w:t>
      </w:r>
      <w:r w:rsidR="00C7149C">
        <w:rPr>
          <w:rFonts w:ascii="Times New Roman" w:eastAsia="Times New Roman" w:hAnsi="Times New Roman" w:cs="Times New Roman"/>
          <w:b/>
          <w:bCs/>
          <w:sz w:val="24"/>
          <w:szCs w:val="24"/>
          <w:lang w:eastAsia="pl-PL"/>
        </w:rPr>
        <w:t>rt. 42</w:t>
      </w:r>
      <w:r w:rsidR="00764713" w:rsidRPr="00922D36">
        <w:rPr>
          <w:rFonts w:ascii="Times New Roman" w:eastAsia="Times New Roman" w:hAnsi="Times New Roman" w:cs="Times New Roman"/>
          <w:b/>
          <w:bCs/>
          <w:sz w:val="24"/>
          <w:szCs w:val="24"/>
          <w:lang w:eastAsia="pl-PL"/>
        </w:rPr>
        <w:t xml:space="preserve"> pkt 3</w:t>
      </w:r>
      <w:r w:rsidR="00764713" w:rsidRPr="004E768F">
        <w:rPr>
          <w:rFonts w:ascii="Times New Roman" w:eastAsia="Times New Roman" w:hAnsi="Times New Roman" w:cs="Times New Roman"/>
          <w:bCs/>
          <w:sz w:val="24"/>
          <w:szCs w:val="24"/>
          <w:lang w:eastAsia="pl-PL"/>
        </w:rPr>
        <w:t xml:space="preserve"> </w:t>
      </w:r>
      <w:r w:rsidR="00F139E8">
        <w:rPr>
          <w:rFonts w:ascii="Times New Roman" w:eastAsia="Times New Roman" w:hAnsi="Times New Roman" w:cs="Times New Roman"/>
          <w:bCs/>
          <w:sz w:val="24"/>
          <w:szCs w:val="24"/>
          <w:lang w:eastAsia="pl-PL"/>
        </w:rPr>
        <w:t xml:space="preserve">nowelizuje art. 10a ust. 4 pkt 1a </w:t>
      </w:r>
      <w:r w:rsidR="00F139E8" w:rsidRPr="00F139E8">
        <w:rPr>
          <w:rFonts w:ascii="Times New Roman" w:eastAsia="Times New Roman" w:hAnsi="Times New Roman" w:cs="Times New Roman"/>
          <w:bCs/>
          <w:sz w:val="24"/>
          <w:szCs w:val="24"/>
          <w:lang w:eastAsia="pl-PL"/>
        </w:rPr>
        <w:t>ustawy</w:t>
      </w:r>
      <w:r w:rsidR="00F139E8">
        <w:rPr>
          <w:rFonts w:ascii="Times New Roman" w:eastAsia="Times New Roman" w:hAnsi="Times New Roman" w:cs="Times New Roman"/>
          <w:bCs/>
          <w:sz w:val="24"/>
          <w:szCs w:val="24"/>
          <w:lang w:eastAsia="pl-PL"/>
        </w:rPr>
        <w:t xml:space="preserve"> </w:t>
      </w:r>
      <w:r w:rsidR="00F139E8" w:rsidRPr="00F139E8">
        <w:rPr>
          <w:rFonts w:ascii="Times New Roman" w:eastAsia="Times New Roman" w:hAnsi="Times New Roman" w:cs="Times New Roman"/>
          <w:bCs/>
          <w:sz w:val="24"/>
          <w:szCs w:val="24"/>
          <w:lang w:eastAsia="pl-PL"/>
        </w:rPr>
        <w:t>– Prawo bankowe</w:t>
      </w:r>
      <w:r w:rsidR="00C7149C">
        <w:rPr>
          <w:rFonts w:ascii="Times New Roman" w:eastAsia="Times New Roman" w:hAnsi="Times New Roman" w:cs="Times New Roman"/>
          <w:bCs/>
          <w:sz w:val="24"/>
          <w:szCs w:val="24"/>
          <w:lang w:eastAsia="pl-PL"/>
        </w:rPr>
        <w:t>,</w:t>
      </w:r>
      <w:r w:rsidR="00F139E8" w:rsidRPr="00F139E8">
        <w:rPr>
          <w:rFonts w:ascii="Times New Roman" w:eastAsia="Times New Roman" w:hAnsi="Times New Roman" w:cs="Times New Roman"/>
          <w:bCs/>
          <w:sz w:val="24"/>
          <w:szCs w:val="24"/>
          <w:lang w:eastAsia="pl-PL"/>
        </w:rPr>
        <w:t xml:space="preserve"> </w:t>
      </w:r>
      <w:r w:rsidR="00C7149C">
        <w:rPr>
          <w:rFonts w:ascii="Times New Roman" w:eastAsia="Times New Roman" w:hAnsi="Times New Roman" w:cs="Times New Roman"/>
          <w:bCs/>
          <w:sz w:val="24"/>
          <w:szCs w:val="24"/>
          <w:lang w:eastAsia="pl-PL"/>
        </w:rPr>
        <w:t xml:space="preserve">co </w:t>
      </w:r>
      <w:r w:rsidR="00692926">
        <w:rPr>
          <w:rFonts w:ascii="Times New Roman" w:eastAsia="Times New Roman" w:hAnsi="Times New Roman" w:cs="Times New Roman"/>
          <w:bCs/>
          <w:sz w:val="24"/>
          <w:szCs w:val="24"/>
          <w:lang w:eastAsia="pl-PL"/>
        </w:rPr>
        <w:t xml:space="preserve">umożliwi, bez naruszenia </w:t>
      </w:r>
      <w:r w:rsidR="00692926" w:rsidRPr="004E768F">
        <w:rPr>
          <w:rFonts w:ascii="Times New Roman" w:eastAsia="Times New Roman" w:hAnsi="Times New Roman" w:cs="Times New Roman"/>
          <w:bCs/>
          <w:sz w:val="24"/>
          <w:szCs w:val="24"/>
          <w:lang w:eastAsia="pl-PL"/>
        </w:rPr>
        <w:t>obowiązku zachowania tajemnicy zawodowej</w:t>
      </w:r>
      <w:r w:rsidR="00C7149C">
        <w:rPr>
          <w:rFonts w:ascii="Times New Roman" w:eastAsia="Times New Roman" w:hAnsi="Times New Roman" w:cs="Times New Roman"/>
          <w:bCs/>
          <w:sz w:val="24"/>
          <w:szCs w:val="24"/>
          <w:lang w:eastAsia="pl-PL"/>
        </w:rPr>
        <w:t>,</w:t>
      </w:r>
      <w:r w:rsidR="00692926" w:rsidRPr="004E768F" w:rsidDel="00692926">
        <w:rPr>
          <w:rFonts w:ascii="Times New Roman" w:eastAsia="Times New Roman" w:hAnsi="Times New Roman" w:cs="Times New Roman"/>
          <w:bCs/>
          <w:sz w:val="24"/>
          <w:szCs w:val="24"/>
          <w:lang w:eastAsia="pl-PL"/>
        </w:rPr>
        <w:t xml:space="preserve"> </w:t>
      </w:r>
      <w:r w:rsidR="00764713" w:rsidRPr="004E768F">
        <w:rPr>
          <w:rFonts w:ascii="Times New Roman" w:eastAsia="Times New Roman" w:hAnsi="Times New Roman" w:cs="Times New Roman"/>
          <w:bCs/>
          <w:sz w:val="24"/>
          <w:szCs w:val="24"/>
          <w:lang w:eastAsia="pl-PL"/>
        </w:rPr>
        <w:t xml:space="preserve">udzielenie </w:t>
      </w:r>
      <w:r w:rsidR="00692926">
        <w:rPr>
          <w:rFonts w:ascii="Times New Roman" w:eastAsia="Times New Roman" w:hAnsi="Times New Roman" w:cs="Times New Roman"/>
          <w:bCs/>
          <w:sz w:val="24"/>
          <w:szCs w:val="24"/>
          <w:lang w:eastAsia="pl-PL"/>
        </w:rPr>
        <w:t xml:space="preserve">przez bank </w:t>
      </w:r>
      <w:r w:rsidR="00764713" w:rsidRPr="004E768F">
        <w:rPr>
          <w:rFonts w:ascii="Times New Roman" w:eastAsia="Times New Roman" w:hAnsi="Times New Roman" w:cs="Times New Roman"/>
          <w:bCs/>
          <w:sz w:val="24"/>
          <w:szCs w:val="24"/>
          <w:lang w:eastAsia="pl-PL"/>
        </w:rPr>
        <w:t>informacji właściwym organom nadzoru dla celów nadzoru nad dostawcami usług finansowania społecznościowego. Przepis ten jest konsekwencją umożliwienia bankom świadczenia usług finansowania społecznościowego, a jednocześnie przyczyni się do wzmocnienia nadzoru Komisji nad dostawcami usług finansowania społecznościowego.</w:t>
      </w:r>
      <w:r w:rsidR="002E1278">
        <w:rPr>
          <w:rFonts w:ascii="Times New Roman" w:eastAsia="Times New Roman" w:hAnsi="Times New Roman" w:cs="Times New Roman"/>
          <w:bCs/>
          <w:sz w:val="24"/>
          <w:szCs w:val="24"/>
          <w:lang w:eastAsia="pl-PL"/>
        </w:rPr>
        <w:t xml:space="preserve"> </w:t>
      </w:r>
    </w:p>
    <w:p w14:paraId="113CDB89" w14:textId="66BEDFE6" w:rsidR="008D07D8" w:rsidRPr="004E768F" w:rsidRDefault="00764713" w:rsidP="008D07D8">
      <w:pPr>
        <w:suppressAutoHyphens/>
        <w:autoSpaceDE w:val="0"/>
        <w:autoSpaceDN w:val="0"/>
        <w:adjustRightInd w:val="0"/>
        <w:spacing w:after="12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xml:space="preserve">W tym samym celu </w:t>
      </w:r>
      <w:r w:rsidR="00C7149C">
        <w:rPr>
          <w:rFonts w:ascii="Times New Roman" w:eastAsia="Times New Roman" w:hAnsi="Times New Roman" w:cs="Times New Roman"/>
          <w:b/>
          <w:bCs/>
          <w:sz w:val="24"/>
          <w:szCs w:val="24"/>
          <w:lang w:eastAsia="pl-PL"/>
        </w:rPr>
        <w:t>art. 42</w:t>
      </w:r>
      <w:r w:rsidRPr="00922D36">
        <w:rPr>
          <w:rFonts w:ascii="Times New Roman" w:eastAsia="Times New Roman" w:hAnsi="Times New Roman" w:cs="Times New Roman"/>
          <w:b/>
          <w:bCs/>
          <w:sz w:val="24"/>
          <w:szCs w:val="24"/>
          <w:lang w:eastAsia="pl-PL"/>
        </w:rPr>
        <w:t xml:space="preserve"> pkt 4</w:t>
      </w:r>
      <w:r w:rsidRPr="004E768F">
        <w:rPr>
          <w:rFonts w:ascii="Times New Roman" w:eastAsia="Times New Roman" w:hAnsi="Times New Roman" w:cs="Times New Roman"/>
          <w:bCs/>
          <w:sz w:val="24"/>
          <w:szCs w:val="24"/>
          <w:lang w:eastAsia="pl-PL"/>
        </w:rPr>
        <w:t xml:space="preserve"> nowelizuje art. 105 ust. 1 pkt 2 lit. x ustawy</w:t>
      </w:r>
      <w:r w:rsidR="00F139E8">
        <w:rPr>
          <w:rFonts w:ascii="Times New Roman" w:eastAsia="Times New Roman" w:hAnsi="Times New Roman" w:cs="Times New Roman"/>
          <w:bCs/>
          <w:sz w:val="24"/>
          <w:szCs w:val="24"/>
          <w:lang w:eastAsia="pl-PL"/>
        </w:rPr>
        <w:t xml:space="preserve"> </w:t>
      </w:r>
      <w:r w:rsidRPr="004E768F">
        <w:rPr>
          <w:rFonts w:ascii="Times New Roman" w:eastAsia="Times New Roman" w:hAnsi="Times New Roman" w:cs="Times New Roman"/>
          <w:bCs/>
          <w:sz w:val="24"/>
          <w:szCs w:val="24"/>
          <w:lang w:eastAsia="pl-PL"/>
        </w:rPr>
        <w:t xml:space="preserve">– Prawo bankowe. </w:t>
      </w:r>
      <w:r w:rsidR="00F139E8">
        <w:rPr>
          <w:rFonts w:ascii="Times New Roman" w:eastAsia="Times New Roman" w:hAnsi="Times New Roman" w:cs="Times New Roman"/>
          <w:bCs/>
          <w:sz w:val="24"/>
          <w:szCs w:val="24"/>
          <w:lang w:eastAsia="pl-PL"/>
        </w:rPr>
        <w:t xml:space="preserve">Przepis ten wprowadza </w:t>
      </w:r>
      <w:r w:rsidR="00560AAA" w:rsidRPr="004E768F">
        <w:rPr>
          <w:rFonts w:ascii="Times New Roman" w:eastAsia="Times New Roman" w:hAnsi="Times New Roman" w:cs="Times New Roman"/>
          <w:bCs/>
          <w:sz w:val="24"/>
          <w:szCs w:val="24"/>
          <w:lang w:eastAsia="pl-PL"/>
        </w:rPr>
        <w:t>obowiązek przekazywania przez bank informacji stanowiących tajemnicę bankową na żądanie Komisji, jeżeli jest to niezbędne Komisji do prawidłowego wykonywania zadań w zakresie nadzoru nad dostawcami usług finansowania społecznościowego.</w:t>
      </w:r>
    </w:p>
    <w:p w14:paraId="5FEE101F" w14:textId="186D8A8E" w:rsidR="002E1278" w:rsidRDefault="00C7149C" w:rsidP="008D07D8">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43</w:t>
      </w:r>
      <w:r w:rsidR="00560AAA" w:rsidRPr="004E768F">
        <w:rPr>
          <w:rFonts w:ascii="Times New Roman" w:eastAsia="Times New Roman" w:hAnsi="Times New Roman" w:cs="Times New Roman"/>
          <w:bCs/>
          <w:sz w:val="24"/>
          <w:szCs w:val="24"/>
          <w:lang w:eastAsia="pl-PL"/>
        </w:rPr>
        <w:t xml:space="preserve"> zawiera zmiany do </w:t>
      </w:r>
      <w:r w:rsidR="00E77760" w:rsidRPr="00424E07">
        <w:rPr>
          <w:rFonts w:ascii="Times New Roman" w:eastAsia="Times New Roman" w:hAnsi="Times New Roman" w:cs="Times New Roman"/>
          <w:b/>
          <w:bCs/>
          <w:sz w:val="24"/>
          <w:szCs w:val="24"/>
          <w:lang w:eastAsia="pl-PL"/>
        </w:rPr>
        <w:t>KSH</w:t>
      </w:r>
      <w:r w:rsidR="00560AAA" w:rsidRPr="004E768F">
        <w:rPr>
          <w:rFonts w:ascii="Times New Roman" w:eastAsia="Times New Roman" w:hAnsi="Times New Roman" w:cs="Times New Roman"/>
          <w:bCs/>
          <w:sz w:val="24"/>
          <w:szCs w:val="24"/>
          <w:lang w:eastAsia="pl-PL"/>
        </w:rPr>
        <w:t>. W art. 2 ust. 2 rozporządzenia 2020/1503 przewidziana jest opcja narodowa upoważniająca państwo członkowskie do zezwolenia</w:t>
      </w:r>
      <w:r w:rsidR="00A944EF">
        <w:rPr>
          <w:rFonts w:ascii="Times New Roman" w:eastAsia="Times New Roman" w:hAnsi="Times New Roman" w:cs="Times New Roman"/>
          <w:bCs/>
          <w:sz w:val="24"/>
          <w:szCs w:val="24"/>
          <w:lang w:eastAsia="pl-PL"/>
        </w:rPr>
        <w:t xml:space="preserve">, </w:t>
      </w:r>
      <w:r w:rsidR="00560AAA" w:rsidRPr="004E768F">
        <w:rPr>
          <w:rFonts w:ascii="Times New Roman" w:eastAsia="Times New Roman" w:hAnsi="Times New Roman" w:cs="Times New Roman"/>
          <w:bCs/>
          <w:sz w:val="24"/>
          <w:szCs w:val="24"/>
          <w:lang w:eastAsia="pl-PL"/>
        </w:rPr>
        <w:t>aby</w:t>
      </w:r>
      <w:r w:rsidR="00311101">
        <w:rPr>
          <w:rFonts w:ascii="Times New Roman" w:eastAsia="Times New Roman" w:hAnsi="Times New Roman" w:cs="Times New Roman"/>
          <w:bCs/>
          <w:sz w:val="24"/>
          <w:szCs w:val="24"/>
          <w:lang w:eastAsia="pl-PL"/>
        </w:rPr>
        <w:t xml:space="preserve"> </w:t>
      </w:r>
      <w:r w:rsidR="00560AAA" w:rsidRPr="004E768F">
        <w:rPr>
          <w:rFonts w:ascii="Times New Roman" w:eastAsia="Times New Roman" w:hAnsi="Times New Roman" w:cs="Times New Roman"/>
          <w:bCs/>
          <w:sz w:val="24"/>
          <w:szCs w:val="24"/>
          <w:lang w:eastAsia="pl-PL"/>
        </w:rPr>
        <w:t xml:space="preserve">udziały w spółkach z ograniczoną odpowiedzialnością były wykorzystywane do celów rozporządzenia 2020/1503. Możliwość skorzystania z tej opcji jest uwarunkowana brakiem ograniczeń uniemożliwiających zbycie udziałów w spółkach z ograniczoną odpowiedzialnością, w tym ograniczeń w jaki udziały te są oferowane lub reklamowane publicznie. Udziały w spółkach z ograniczoną odpowiedzialnością w polskim systemie spółek handlowych nie są </w:t>
      </w:r>
      <w:r w:rsidR="008D07D8">
        <w:rPr>
          <w:rFonts w:ascii="Times New Roman" w:eastAsia="Times New Roman" w:hAnsi="Times New Roman" w:cs="Times New Roman"/>
          <w:bCs/>
          <w:sz w:val="24"/>
          <w:szCs w:val="24"/>
          <w:lang w:eastAsia="pl-PL"/>
        </w:rPr>
        <w:t>przeznaczone d</w:t>
      </w:r>
      <w:r w:rsidR="00560AAA" w:rsidRPr="004E768F">
        <w:rPr>
          <w:rFonts w:ascii="Times New Roman" w:eastAsia="Times New Roman" w:hAnsi="Times New Roman" w:cs="Times New Roman"/>
          <w:bCs/>
          <w:sz w:val="24"/>
          <w:szCs w:val="24"/>
          <w:lang w:eastAsia="pl-PL"/>
        </w:rPr>
        <w:t>o publicznego obrotu. Świadczą o tym m.in. wymóg formalny związany ze zbyciem udziału, tj. poświadczenie podpisów zbywcy oraz nabywcy przez notariusza, zawarty w art. 180 § 1 KSH, oraz zakaz wystawiania dokumentów na okaziciela na udziały lub prawa do zysku w spółce z ograniczoną odpowiedzialnością, zawarty w art. 174 § 6 KSH. W zakresie możliwości pozyskania kapitału na rozwój, spółka z ograniczoną odpowiedzialnością będzie miała możliwość emisji obligacji lub zaciągnięcia pożyczki przy wykorzystaniu crowdfundingu jako właściciel projektu w myśl rozporządzenia 2020/1503. Udziały w spółkach z ograniczoną odpowiedzialnością nie są instrumentami finansowymi w rozumieniu ustawy o obrocie instrumentami finansowymi</w:t>
      </w:r>
      <w:r w:rsidR="005F16A4">
        <w:rPr>
          <w:rFonts w:ascii="Times New Roman" w:eastAsia="Times New Roman" w:hAnsi="Times New Roman" w:cs="Times New Roman"/>
          <w:bCs/>
          <w:sz w:val="24"/>
          <w:szCs w:val="24"/>
          <w:lang w:eastAsia="pl-PL"/>
        </w:rPr>
        <w:t xml:space="preserve"> i </w:t>
      </w:r>
      <w:r w:rsidR="00560AAA" w:rsidRPr="004E768F">
        <w:rPr>
          <w:rFonts w:ascii="Times New Roman" w:eastAsia="Times New Roman" w:hAnsi="Times New Roman" w:cs="Times New Roman"/>
          <w:bCs/>
          <w:sz w:val="24"/>
          <w:szCs w:val="24"/>
          <w:lang w:eastAsia="pl-PL"/>
        </w:rPr>
        <w:t xml:space="preserve">nie podlegają nadzorowi Komisji. W przypadku dopuszczenia tych udziałów </w:t>
      </w:r>
      <w:r w:rsidR="00E558D5">
        <w:rPr>
          <w:rFonts w:ascii="Times New Roman" w:eastAsia="Times New Roman" w:hAnsi="Times New Roman" w:cs="Times New Roman"/>
          <w:bCs/>
          <w:sz w:val="24"/>
          <w:szCs w:val="24"/>
          <w:lang w:eastAsia="pl-PL"/>
        </w:rPr>
        <w:t xml:space="preserve">do obrotu </w:t>
      </w:r>
      <w:r w:rsidR="00560AAA" w:rsidRPr="004E768F">
        <w:rPr>
          <w:rFonts w:ascii="Times New Roman" w:eastAsia="Times New Roman" w:hAnsi="Times New Roman" w:cs="Times New Roman"/>
          <w:bCs/>
          <w:sz w:val="24"/>
          <w:szCs w:val="24"/>
          <w:lang w:eastAsia="pl-PL"/>
        </w:rPr>
        <w:t xml:space="preserve">na potrzeby usług finansowania społecznościowego nadzór nad obrotem nimi byłby ograniczony jedynie do tworzących rynek pierwotny ofert odbywających się z udziałem platformy. </w:t>
      </w:r>
    </w:p>
    <w:p w14:paraId="0F678E72" w14:textId="77777777" w:rsidR="002E1278" w:rsidRDefault="00560AAA" w:rsidP="008D07D8">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E768F">
        <w:rPr>
          <w:rFonts w:ascii="Times New Roman" w:eastAsia="Times New Roman" w:hAnsi="Times New Roman" w:cs="Times New Roman"/>
          <w:bCs/>
          <w:sz w:val="24"/>
          <w:szCs w:val="24"/>
          <w:lang w:eastAsia="pl-PL"/>
        </w:rPr>
        <w:t xml:space="preserve">W związku z powyższym proponuje się </w:t>
      </w:r>
      <w:r w:rsidR="00311101">
        <w:rPr>
          <w:rFonts w:ascii="Times New Roman" w:eastAsia="Times New Roman" w:hAnsi="Times New Roman" w:cs="Times New Roman"/>
          <w:bCs/>
          <w:sz w:val="24"/>
          <w:szCs w:val="24"/>
          <w:lang w:eastAsia="pl-PL"/>
        </w:rPr>
        <w:t xml:space="preserve">nie korzystać z opcji narodowej, </w:t>
      </w:r>
      <w:r w:rsidR="00E558D5">
        <w:rPr>
          <w:rFonts w:ascii="Times New Roman" w:eastAsia="Times New Roman" w:hAnsi="Times New Roman" w:cs="Times New Roman"/>
          <w:bCs/>
          <w:sz w:val="24"/>
          <w:szCs w:val="24"/>
          <w:lang w:eastAsia="pl-PL"/>
        </w:rPr>
        <w:t xml:space="preserve">natomiast </w:t>
      </w:r>
      <w:r w:rsidR="005F16A4">
        <w:rPr>
          <w:rFonts w:ascii="Times New Roman" w:eastAsia="Times New Roman" w:hAnsi="Times New Roman" w:cs="Times New Roman"/>
          <w:bCs/>
          <w:sz w:val="24"/>
          <w:szCs w:val="24"/>
          <w:lang w:eastAsia="pl-PL"/>
        </w:rPr>
        <w:t xml:space="preserve">w celu </w:t>
      </w:r>
      <w:r w:rsidRPr="004E768F">
        <w:rPr>
          <w:rFonts w:ascii="Times New Roman" w:eastAsia="Times New Roman" w:hAnsi="Times New Roman" w:cs="Times New Roman"/>
          <w:bCs/>
          <w:sz w:val="24"/>
          <w:szCs w:val="24"/>
          <w:lang w:eastAsia="pl-PL"/>
        </w:rPr>
        <w:t>zapewnienia równych i sprawiedliwych zasad pozyskiwania kapitału przez spółki o różnych formach prawnych</w:t>
      </w:r>
      <w:r w:rsidR="007066C9">
        <w:rPr>
          <w:rFonts w:ascii="Times New Roman" w:eastAsia="Times New Roman" w:hAnsi="Times New Roman" w:cs="Times New Roman"/>
          <w:bCs/>
          <w:sz w:val="24"/>
          <w:szCs w:val="24"/>
          <w:lang w:eastAsia="pl-PL"/>
        </w:rPr>
        <w:t xml:space="preserve"> </w:t>
      </w:r>
      <w:r w:rsidRPr="004E768F">
        <w:rPr>
          <w:rFonts w:ascii="Times New Roman" w:eastAsia="Times New Roman" w:hAnsi="Times New Roman" w:cs="Times New Roman"/>
          <w:bCs/>
          <w:sz w:val="24"/>
          <w:szCs w:val="24"/>
          <w:lang w:eastAsia="pl-PL"/>
        </w:rPr>
        <w:t>proponuje się wprowadzenie do KSH zakazu publicznego promowania nabycia</w:t>
      </w:r>
      <w:r w:rsidR="007066C9">
        <w:rPr>
          <w:rFonts w:ascii="Times New Roman" w:eastAsia="Times New Roman" w:hAnsi="Times New Roman" w:cs="Times New Roman"/>
          <w:bCs/>
          <w:sz w:val="24"/>
          <w:szCs w:val="24"/>
          <w:lang w:eastAsia="pl-PL"/>
        </w:rPr>
        <w:t xml:space="preserve"> (</w:t>
      </w:r>
      <w:r w:rsidR="007066C9" w:rsidRPr="007066C9">
        <w:rPr>
          <w:rFonts w:ascii="Times New Roman" w:eastAsia="Times New Roman" w:hAnsi="Times New Roman" w:cs="Times New Roman"/>
          <w:b/>
          <w:bCs/>
          <w:sz w:val="24"/>
          <w:szCs w:val="24"/>
          <w:lang w:eastAsia="pl-PL"/>
        </w:rPr>
        <w:t>art. 43 pkt 1</w:t>
      </w:r>
      <w:r w:rsidR="007066C9">
        <w:rPr>
          <w:rFonts w:ascii="Times New Roman" w:eastAsia="Times New Roman" w:hAnsi="Times New Roman" w:cs="Times New Roman"/>
          <w:bCs/>
          <w:sz w:val="24"/>
          <w:szCs w:val="24"/>
          <w:lang w:eastAsia="pl-PL"/>
        </w:rPr>
        <w:t>)</w:t>
      </w:r>
      <w:r w:rsidRPr="004E768F">
        <w:rPr>
          <w:rFonts w:ascii="Times New Roman" w:eastAsia="Times New Roman" w:hAnsi="Times New Roman" w:cs="Times New Roman"/>
          <w:bCs/>
          <w:sz w:val="24"/>
          <w:szCs w:val="24"/>
          <w:lang w:eastAsia="pl-PL"/>
        </w:rPr>
        <w:t xml:space="preserve"> </w:t>
      </w:r>
      <w:r w:rsidR="007066C9">
        <w:rPr>
          <w:rFonts w:ascii="Times New Roman" w:eastAsia="Times New Roman" w:hAnsi="Times New Roman" w:cs="Times New Roman"/>
          <w:bCs/>
          <w:sz w:val="24"/>
          <w:szCs w:val="24"/>
          <w:lang w:eastAsia="pl-PL"/>
        </w:rPr>
        <w:t>i objęcia (</w:t>
      </w:r>
      <w:r w:rsidR="007066C9" w:rsidRPr="007066C9">
        <w:rPr>
          <w:rFonts w:ascii="Times New Roman" w:eastAsia="Times New Roman" w:hAnsi="Times New Roman" w:cs="Times New Roman"/>
          <w:b/>
          <w:bCs/>
          <w:sz w:val="24"/>
          <w:szCs w:val="24"/>
          <w:lang w:eastAsia="pl-PL"/>
        </w:rPr>
        <w:t>art. 43 pkt 2</w:t>
      </w:r>
      <w:r w:rsidR="007066C9">
        <w:rPr>
          <w:rFonts w:ascii="Times New Roman" w:eastAsia="Times New Roman" w:hAnsi="Times New Roman" w:cs="Times New Roman"/>
          <w:bCs/>
          <w:sz w:val="24"/>
          <w:szCs w:val="24"/>
          <w:lang w:eastAsia="pl-PL"/>
        </w:rPr>
        <w:t xml:space="preserve">) </w:t>
      </w:r>
      <w:r w:rsidRPr="004E768F">
        <w:rPr>
          <w:rFonts w:ascii="Times New Roman" w:eastAsia="Times New Roman" w:hAnsi="Times New Roman" w:cs="Times New Roman"/>
          <w:bCs/>
          <w:sz w:val="24"/>
          <w:szCs w:val="24"/>
          <w:lang w:eastAsia="pl-PL"/>
        </w:rPr>
        <w:t xml:space="preserve">udziałów w spółkach z ograniczoną odpowiedzialnością. </w:t>
      </w:r>
      <w:r w:rsidR="00313532">
        <w:rPr>
          <w:rFonts w:ascii="Times New Roman" w:eastAsia="Times New Roman" w:hAnsi="Times New Roman" w:cs="Times New Roman"/>
          <w:bCs/>
          <w:sz w:val="24"/>
          <w:szCs w:val="24"/>
          <w:lang w:eastAsia="pl-PL"/>
        </w:rPr>
        <w:t>W</w:t>
      </w:r>
      <w:r w:rsidRPr="004E768F">
        <w:rPr>
          <w:rFonts w:ascii="Times New Roman" w:eastAsia="Times New Roman" w:hAnsi="Times New Roman" w:cs="Times New Roman"/>
          <w:bCs/>
          <w:sz w:val="24"/>
          <w:szCs w:val="24"/>
          <w:lang w:eastAsia="pl-PL"/>
        </w:rPr>
        <w:t>yłącz</w:t>
      </w:r>
      <w:r w:rsidR="00313532">
        <w:rPr>
          <w:rFonts w:ascii="Times New Roman" w:eastAsia="Times New Roman" w:hAnsi="Times New Roman" w:cs="Times New Roman"/>
          <w:bCs/>
          <w:sz w:val="24"/>
          <w:szCs w:val="24"/>
          <w:lang w:eastAsia="pl-PL"/>
        </w:rPr>
        <w:t xml:space="preserve">y to </w:t>
      </w:r>
      <w:r w:rsidRPr="004E768F">
        <w:rPr>
          <w:rFonts w:ascii="Times New Roman" w:eastAsia="Times New Roman" w:hAnsi="Times New Roman" w:cs="Times New Roman"/>
          <w:bCs/>
          <w:sz w:val="24"/>
          <w:szCs w:val="24"/>
          <w:lang w:eastAsia="pl-PL"/>
        </w:rPr>
        <w:t>możliwoś</w:t>
      </w:r>
      <w:r w:rsidR="00313532">
        <w:rPr>
          <w:rFonts w:ascii="Times New Roman" w:eastAsia="Times New Roman" w:hAnsi="Times New Roman" w:cs="Times New Roman"/>
          <w:bCs/>
          <w:sz w:val="24"/>
          <w:szCs w:val="24"/>
          <w:lang w:eastAsia="pl-PL"/>
        </w:rPr>
        <w:t>ć</w:t>
      </w:r>
      <w:r w:rsidRPr="004E768F">
        <w:rPr>
          <w:rFonts w:ascii="Times New Roman" w:eastAsia="Times New Roman" w:hAnsi="Times New Roman" w:cs="Times New Roman"/>
          <w:bCs/>
          <w:sz w:val="24"/>
          <w:szCs w:val="24"/>
          <w:lang w:eastAsia="pl-PL"/>
        </w:rPr>
        <w:t xml:space="preserve"> zbywania udziałów w spółkach z ograniczoną odpowiedzialnością przy wykorzystaniu usług podmiotów nienadzorowanych, które mogłyby, działając w ramach swobody działalności gospodarczej, publicznie promować nabycie takich udziałów za pomocą portali internetowych, pełniących analogiczną funkcję do platform prow</w:t>
      </w:r>
      <w:r w:rsidR="00A75651" w:rsidRPr="004E768F">
        <w:rPr>
          <w:rFonts w:ascii="Times New Roman" w:eastAsia="Times New Roman" w:hAnsi="Times New Roman" w:cs="Times New Roman"/>
          <w:bCs/>
          <w:sz w:val="24"/>
          <w:szCs w:val="24"/>
          <w:lang w:eastAsia="pl-PL"/>
        </w:rPr>
        <w:t>adzonych przez d</w:t>
      </w:r>
      <w:r w:rsidRPr="004E768F">
        <w:rPr>
          <w:rFonts w:ascii="Times New Roman" w:eastAsia="Times New Roman" w:hAnsi="Times New Roman" w:cs="Times New Roman"/>
          <w:bCs/>
          <w:sz w:val="24"/>
          <w:szCs w:val="24"/>
          <w:lang w:eastAsia="pl-PL"/>
        </w:rPr>
        <w:t>ostawców usług</w:t>
      </w:r>
      <w:r w:rsidR="00A75651" w:rsidRPr="004E768F">
        <w:rPr>
          <w:rFonts w:ascii="Times New Roman" w:eastAsia="Times New Roman" w:hAnsi="Times New Roman" w:cs="Times New Roman"/>
          <w:bCs/>
          <w:sz w:val="24"/>
          <w:szCs w:val="24"/>
          <w:lang w:eastAsia="pl-PL"/>
        </w:rPr>
        <w:t xml:space="preserve"> finansowania społecznościowego</w:t>
      </w:r>
      <w:r w:rsidRPr="004E768F">
        <w:rPr>
          <w:rFonts w:ascii="Times New Roman" w:eastAsia="Times New Roman" w:hAnsi="Times New Roman" w:cs="Times New Roman"/>
          <w:bCs/>
          <w:sz w:val="24"/>
          <w:szCs w:val="24"/>
          <w:lang w:eastAsia="pl-PL"/>
        </w:rPr>
        <w:t>.</w:t>
      </w:r>
      <w:r w:rsidR="002E1278">
        <w:rPr>
          <w:rFonts w:ascii="Times New Roman" w:eastAsia="Times New Roman" w:hAnsi="Times New Roman" w:cs="Times New Roman"/>
          <w:bCs/>
          <w:sz w:val="24"/>
          <w:szCs w:val="24"/>
          <w:lang w:eastAsia="pl-PL"/>
        </w:rPr>
        <w:t xml:space="preserve"> </w:t>
      </w:r>
    </w:p>
    <w:p w14:paraId="4D2CC89C" w14:textId="12D05EE5" w:rsidR="00D30B41" w:rsidRPr="004E768F" w:rsidRDefault="007066C9" w:rsidP="002E1278">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43</w:t>
      </w:r>
      <w:r w:rsidR="00311101" w:rsidRPr="00922D36">
        <w:rPr>
          <w:rFonts w:ascii="Times New Roman" w:eastAsia="Times New Roman" w:hAnsi="Times New Roman" w:cs="Times New Roman"/>
          <w:b/>
          <w:bCs/>
          <w:sz w:val="24"/>
          <w:szCs w:val="24"/>
          <w:lang w:eastAsia="pl-PL"/>
        </w:rPr>
        <w:t xml:space="preserve"> pkt 3</w:t>
      </w:r>
      <w:r w:rsidR="00A75651" w:rsidRPr="004E768F">
        <w:rPr>
          <w:rFonts w:ascii="Times New Roman" w:eastAsia="Times New Roman" w:hAnsi="Times New Roman" w:cs="Times New Roman"/>
          <w:bCs/>
          <w:sz w:val="24"/>
          <w:szCs w:val="24"/>
          <w:lang w:eastAsia="pl-PL"/>
        </w:rPr>
        <w:t xml:space="preserve"> wprowadza sankcję karną za </w:t>
      </w:r>
      <w:r w:rsidR="00D30B41">
        <w:rPr>
          <w:rFonts w:ascii="Times New Roman" w:eastAsia="Times New Roman" w:hAnsi="Times New Roman" w:cs="Times New Roman"/>
          <w:bCs/>
          <w:sz w:val="24"/>
          <w:szCs w:val="24"/>
          <w:lang w:eastAsia="pl-PL"/>
        </w:rPr>
        <w:t xml:space="preserve">naruszenie </w:t>
      </w:r>
      <w:r w:rsidR="00A75651" w:rsidRPr="004E768F">
        <w:rPr>
          <w:rFonts w:ascii="Times New Roman" w:eastAsia="Times New Roman" w:hAnsi="Times New Roman" w:cs="Times New Roman"/>
          <w:bCs/>
          <w:sz w:val="24"/>
          <w:szCs w:val="24"/>
          <w:lang w:eastAsia="pl-PL"/>
        </w:rPr>
        <w:t>zakazu promowania objęcia lub nabycia udziałów albo zakazu proponowania nabycia udziałów nieoznaczonemu adresatowi. Rodzaj i wysokość kary, tj. grzywna, kara ograniczenia wolności lub albo kara pozbawienia wolności do 6 miesięcy jest tożsama z karą za niestosowanie się do zakazu wystawiania dokumentów na okaziciela na udziały lub prawa do zysku</w:t>
      </w:r>
      <w:r w:rsidR="00311101">
        <w:rPr>
          <w:rFonts w:ascii="Times New Roman" w:eastAsia="Times New Roman" w:hAnsi="Times New Roman" w:cs="Times New Roman"/>
          <w:bCs/>
          <w:sz w:val="24"/>
          <w:szCs w:val="24"/>
          <w:lang w:eastAsia="pl-PL"/>
        </w:rPr>
        <w:t xml:space="preserve"> (art. 589 KSH</w:t>
      </w:r>
      <w:r w:rsidR="00D30B41">
        <w:rPr>
          <w:rFonts w:ascii="Times New Roman" w:eastAsia="Times New Roman" w:hAnsi="Times New Roman" w:cs="Times New Roman"/>
          <w:bCs/>
          <w:sz w:val="24"/>
          <w:szCs w:val="24"/>
          <w:lang w:eastAsia="pl-PL"/>
        </w:rPr>
        <w:t>)</w:t>
      </w:r>
      <w:r w:rsidR="00A75651" w:rsidRPr="004E768F">
        <w:rPr>
          <w:rFonts w:ascii="Times New Roman" w:eastAsia="Times New Roman" w:hAnsi="Times New Roman" w:cs="Times New Roman"/>
          <w:bCs/>
          <w:sz w:val="24"/>
          <w:szCs w:val="24"/>
          <w:lang w:eastAsia="pl-PL"/>
        </w:rPr>
        <w:t>.</w:t>
      </w:r>
    </w:p>
    <w:p w14:paraId="4A18D5FF" w14:textId="2F81CCBE" w:rsidR="00D30B41" w:rsidRPr="004E768F" w:rsidRDefault="007066C9"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44</w:t>
      </w:r>
      <w:r w:rsidR="00A75651" w:rsidRPr="004E768F">
        <w:rPr>
          <w:rFonts w:ascii="Times New Roman" w:eastAsia="Times New Roman" w:hAnsi="Times New Roman" w:cs="Times New Roman"/>
          <w:b/>
          <w:bCs/>
          <w:sz w:val="24"/>
          <w:szCs w:val="24"/>
          <w:lang w:eastAsia="pl-PL"/>
        </w:rPr>
        <w:t xml:space="preserve"> </w:t>
      </w:r>
      <w:r w:rsidR="00311101">
        <w:rPr>
          <w:rFonts w:ascii="Times New Roman" w:eastAsia="Times New Roman" w:hAnsi="Times New Roman" w:cs="Times New Roman"/>
          <w:bCs/>
          <w:sz w:val="24"/>
          <w:szCs w:val="24"/>
          <w:lang w:eastAsia="pl-PL"/>
        </w:rPr>
        <w:t>wprowadza</w:t>
      </w:r>
      <w:r w:rsidR="00A75651" w:rsidRPr="004E768F">
        <w:rPr>
          <w:rFonts w:ascii="Times New Roman" w:eastAsia="Times New Roman" w:hAnsi="Times New Roman" w:cs="Times New Roman"/>
          <w:bCs/>
          <w:sz w:val="24"/>
          <w:szCs w:val="24"/>
          <w:lang w:eastAsia="pl-PL"/>
        </w:rPr>
        <w:t xml:space="preserve"> zmiany w art. 5 </w:t>
      </w:r>
      <w:r w:rsidR="00A75651" w:rsidRPr="00D30B41">
        <w:rPr>
          <w:rFonts w:ascii="Times New Roman" w:eastAsia="Times New Roman" w:hAnsi="Times New Roman" w:cs="Times New Roman"/>
          <w:b/>
          <w:bCs/>
          <w:sz w:val="24"/>
          <w:szCs w:val="24"/>
          <w:lang w:eastAsia="pl-PL"/>
        </w:rPr>
        <w:t>ustawy z dnia 26 października</w:t>
      </w:r>
      <w:r w:rsidR="00E77760" w:rsidRPr="00D30B41">
        <w:rPr>
          <w:rFonts w:ascii="Times New Roman" w:eastAsia="Times New Roman" w:hAnsi="Times New Roman" w:cs="Times New Roman"/>
          <w:b/>
          <w:bCs/>
          <w:sz w:val="24"/>
          <w:szCs w:val="24"/>
          <w:lang w:eastAsia="pl-PL"/>
        </w:rPr>
        <w:t xml:space="preserve"> 2000 r. o giełdach towarowych</w:t>
      </w:r>
      <w:r w:rsidR="00A75651" w:rsidRPr="00D30B41">
        <w:rPr>
          <w:rFonts w:ascii="Times New Roman" w:eastAsia="Times New Roman" w:hAnsi="Times New Roman" w:cs="Times New Roman"/>
          <w:b/>
          <w:bCs/>
          <w:sz w:val="24"/>
          <w:szCs w:val="24"/>
          <w:lang w:eastAsia="pl-PL"/>
        </w:rPr>
        <w:t>.</w:t>
      </w:r>
      <w:r w:rsidR="00A75651" w:rsidRPr="004E768F">
        <w:rPr>
          <w:rFonts w:ascii="Times New Roman" w:eastAsia="Times New Roman" w:hAnsi="Times New Roman" w:cs="Times New Roman"/>
          <w:bCs/>
          <w:sz w:val="24"/>
          <w:szCs w:val="24"/>
          <w:lang w:eastAsia="pl-PL"/>
        </w:rPr>
        <w:t xml:space="preserve"> Zmiana zawarta w </w:t>
      </w:r>
      <w:r w:rsidR="00A75651" w:rsidRPr="00882864">
        <w:rPr>
          <w:rFonts w:ascii="Times New Roman" w:eastAsia="Times New Roman" w:hAnsi="Times New Roman" w:cs="Times New Roman"/>
          <w:b/>
          <w:bCs/>
          <w:sz w:val="24"/>
          <w:szCs w:val="24"/>
          <w:lang w:eastAsia="pl-PL"/>
        </w:rPr>
        <w:t>pkt 1</w:t>
      </w:r>
      <w:r w:rsidR="00A75651" w:rsidRPr="00424E07">
        <w:rPr>
          <w:rFonts w:ascii="Times New Roman" w:eastAsia="Times New Roman" w:hAnsi="Times New Roman" w:cs="Times New Roman"/>
          <w:bCs/>
          <w:sz w:val="24"/>
          <w:szCs w:val="24"/>
          <w:lang w:eastAsia="pl-PL"/>
        </w:rPr>
        <w:t xml:space="preserve"> ma charakter legislacyjny i je</w:t>
      </w:r>
      <w:r w:rsidR="00BB726D" w:rsidRPr="00424E07">
        <w:rPr>
          <w:rFonts w:ascii="Times New Roman" w:eastAsia="Times New Roman" w:hAnsi="Times New Roman" w:cs="Times New Roman"/>
          <w:bCs/>
          <w:sz w:val="24"/>
          <w:szCs w:val="24"/>
          <w:lang w:eastAsia="pl-PL"/>
        </w:rPr>
        <w:t>st konsekwencją dodania ust. 2k</w:t>
      </w:r>
      <w:r w:rsidR="00D30B41" w:rsidRPr="00424E07">
        <w:rPr>
          <w:rFonts w:ascii="Times New Roman" w:eastAsia="Times New Roman" w:hAnsi="Times New Roman" w:cs="Times New Roman"/>
          <w:bCs/>
          <w:sz w:val="24"/>
          <w:szCs w:val="24"/>
          <w:lang w:eastAsia="pl-PL"/>
        </w:rPr>
        <w:t xml:space="preserve"> przez a</w:t>
      </w:r>
      <w:r w:rsidR="00E175BA" w:rsidRPr="00424E07">
        <w:rPr>
          <w:rFonts w:ascii="Times New Roman" w:eastAsia="Times New Roman" w:hAnsi="Times New Roman" w:cs="Times New Roman"/>
          <w:bCs/>
          <w:sz w:val="24"/>
          <w:szCs w:val="24"/>
          <w:lang w:eastAsia="pl-PL"/>
        </w:rPr>
        <w:t>rt. 40</w:t>
      </w:r>
      <w:r w:rsidR="00BB726D" w:rsidRPr="00424E07">
        <w:rPr>
          <w:rFonts w:ascii="Times New Roman" w:eastAsia="Times New Roman" w:hAnsi="Times New Roman" w:cs="Times New Roman"/>
          <w:bCs/>
          <w:sz w:val="24"/>
          <w:szCs w:val="24"/>
          <w:lang w:eastAsia="pl-PL"/>
        </w:rPr>
        <w:t xml:space="preserve"> pkt 2</w:t>
      </w:r>
      <w:r w:rsidR="00D30B41" w:rsidRPr="00424E07">
        <w:rPr>
          <w:rFonts w:ascii="Times New Roman" w:eastAsia="Times New Roman" w:hAnsi="Times New Roman" w:cs="Times New Roman"/>
          <w:bCs/>
          <w:sz w:val="24"/>
          <w:szCs w:val="24"/>
          <w:lang w:eastAsia="pl-PL"/>
        </w:rPr>
        <w:t>. Zgodnie</w:t>
      </w:r>
      <w:r w:rsidR="00D30B41">
        <w:rPr>
          <w:rFonts w:ascii="Times New Roman" w:eastAsia="Times New Roman" w:hAnsi="Times New Roman" w:cs="Times New Roman"/>
          <w:bCs/>
          <w:sz w:val="24"/>
          <w:szCs w:val="24"/>
          <w:lang w:eastAsia="pl-PL"/>
        </w:rPr>
        <w:t xml:space="preserve"> z </w:t>
      </w:r>
      <w:r w:rsidR="00BB726D" w:rsidRPr="004E768F">
        <w:rPr>
          <w:rFonts w:ascii="Times New Roman" w:eastAsia="Times New Roman" w:hAnsi="Times New Roman" w:cs="Times New Roman"/>
          <w:bCs/>
          <w:sz w:val="24"/>
          <w:szCs w:val="24"/>
          <w:lang w:eastAsia="pl-PL"/>
        </w:rPr>
        <w:t>art. 5 ust. 2k</w:t>
      </w:r>
      <w:r w:rsidR="00311101">
        <w:rPr>
          <w:rFonts w:ascii="Times New Roman" w:eastAsia="Times New Roman" w:hAnsi="Times New Roman" w:cs="Times New Roman"/>
          <w:bCs/>
          <w:sz w:val="24"/>
          <w:szCs w:val="24"/>
          <w:lang w:eastAsia="pl-PL"/>
        </w:rPr>
        <w:t xml:space="preserve"> </w:t>
      </w:r>
      <w:r w:rsidR="00D30B41" w:rsidRPr="00D30B41">
        <w:rPr>
          <w:rFonts w:ascii="Times New Roman" w:eastAsia="Times New Roman" w:hAnsi="Times New Roman" w:cs="Times New Roman"/>
          <w:bCs/>
          <w:sz w:val="24"/>
          <w:szCs w:val="24"/>
          <w:lang w:eastAsia="pl-PL"/>
        </w:rPr>
        <w:t>ustawy o giełdach towarowych</w:t>
      </w:r>
      <w:r w:rsidR="00D30B41">
        <w:rPr>
          <w:rFonts w:ascii="Times New Roman" w:eastAsia="Times New Roman" w:hAnsi="Times New Roman" w:cs="Times New Roman"/>
          <w:bCs/>
          <w:sz w:val="24"/>
          <w:szCs w:val="24"/>
          <w:lang w:eastAsia="pl-PL"/>
        </w:rPr>
        <w:t xml:space="preserve"> </w:t>
      </w:r>
      <w:r w:rsidR="00BB726D" w:rsidRPr="00D30B41">
        <w:rPr>
          <w:rFonts w:ascii="Times New Roman" w:eastAsia="Times New Roman" w:hAnsi="Times New Roman" w:cs="Times New Roman"/>
          <w:bCs/>
          <w:sz w:val="24"/>
          <w:szCs w:val="24"/>
          <w:lang w:eastAsia="pl-PL"/>
        </w:rPr>
        <w:t xml:space="preserve">spółka </w:t>
      </w:r>
      <w:r w:rsidR="00BB726D" w:rsidRPr="00D30B41">
        <w:rPr>
          <w:rFonts w:ascii="Times New Roman" w:eastAsia="Times New Roman" w:hAnsi="Times New Roman" w:cs="Times New Roman"/>
          <w:bCs/>
          <w:sz w:val="24"/>
          <w:szCs w:val="24"/>
          <w:lang w:eastAsia="pl-PL"/>
        </w:rPr>
        <w:lastRenderedPageBreak/>
        <w:t>p</w:t>
      </w:r>
      <w:r w:rsidR="00BB726D" w:rsidRPr="004E768F">
        <w:rPr>
          <w:rFonts w:ascii="Times New Roman" w:eastAsia="Times New Roman" w:hAnsi="Times New Roman" w:cs="Times New Roman"/>
          <w:bCs/>
          <w:sz w:val="24"/>
          <w:szCs w:val="24"/>
          <w:lang w:eastAsia="pl-PL"/>
        </w:rPr>
        <w:t xml:space="preserve">rowadząca giełdę towarową </w:t>
      </w:r>
      <w:r w:rsidR="00311101">
        <w:rPr>
          <w:rFonts w:ascii="Times New Roman" w:eastAsia="Times New Roman" w:hAnsi="Times New Roman" w:cs="Times New Roman"/>
          <w:bCs/>
          <w:sz w:val="24"/>
          <w:szCs w:val="24"/>
          <w:lang w:eastAsia="pl-PL"/>
        </w:rPr>
        <w:t>będzie mogła</w:t>
      </w:r>
      <w:r w:rsidR="00BB726D" w:rsidRPr="004E768F">
        <w:rPr>
          <w:rFonts w:ascii="Times New Roman" w:eastAsia="Times New Roman" w:hAnsi="Times New Roman" w:cs="Times New Roman"/>
          <w:bCs/>
          <w:sz w:val="24"/>
          <w:szCs w:val="24"/>
          <w:lang w:eastAsia="pl-PL"/>
        </w:rPr>
        <w:t xml:space="preserve"> również świadczyć usługi finansowania społecznościowego</w:t>
      </w:r>
      <w:r w:rsidR="00753BB3" w:rsidRPr="004E768F">
        <w:rPr>
          <w:rFonts w:ascii="Times New Roman" w:eastAsia="Times New Roman" w:hAnsi="Times New Roman" w:cs="Times New Roman"/>
          <w:bCs/>
          <w:sz w:val="24"/>
          <w:szCs w:val="24"/>
          <w:lang w:eastAsia="pl-PL"/>
        </w:rPr>
        <w:t xml:space="preserve"> po uzyskaniu odpowiedniego zezwolenia</w:t>
      </w:r>
      <w:r w:rsidR="00882864">
        <w:rPr>
          <w:rFonts w:ascii="Times New Roman" w:eastAsia="Times New Roman" w:hAnsi="Times New Roman" w:cs="Times New Roman"/>
          <w:bCs/>
          <w:sz w:val="24"/>
          <w:szCs w:val="24"/>
          <w:lang w:eastAsia="pl-PL"/>
        </w:rPr>
        <w:t xml:space="preserve"> (</w:t>
      </w:r>
      <w:r w:rsidR="00882864" w:rsidRPr="00882864">
        <w:rPr>
          <w:rFonts w:ascii="Times New Roman" w:eastAsia="Times New Roman" w:hAnsi="Times New Roman" w:cs="Times New Roman"/>
          <w:b/>
          <w:bCs/>
          <w:sz w:val="24"/>
          <w:szCs w:val="24"/>
          <w:lang w:eastAsia="pl-PL"/>
        </w:rPr>
        <w:t>pkt 2</w:t>
      </w:r>
      <w:r w:rsidR="00882864">
        <w:rPr>
          <w:rFonts w:ascii="Times New Roman" w:eastAsia="Times New Roman" w:hAnsi="Times New Roman" w:cs="Times New Roman"/>
          <w:bCs/>
          <w:sz w:val="24"/>
          <w:szCs w:val="24"/>
          <w:lang w:eastAsia="pl-PL"/>
        </w:rPr>
        <w:t>)</w:t>
      </w:r>
      <w:r w:rsidR="00311101">
        <w:rPr>
          <w:rFonts w:ascii="Times New Roman" w:eastAsia="Times New Roman" w:hAnsi="Times New Roman" w:cs="Times New Roman"/>
          <w:bCs/>
          <w:sz w:val="24"/>
          <w:szCs w:val="24"/>
          <w:lang w:eastAsia="pl-PL"/>
        </w:rPr>
        <w:t>.</w:t>
      </w:r>
    </w:p>
    <w:p w14:paraId="5ED52280" w14:textId="77777777" w:rsidR="002E1278"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45</w:t>
      </w:r>
      <w:r w:rsidR="00E77760" w:rsidRPr="00424E07">
        <w:rPr>
          <w:rFonts w:ascii="Times New Roman" w:eastAsia="Times New Roman" w:hAnsi="Times New Roman" w:cs="Times New Roman"/>
          <w:bCs/>
          <w:sz w:val="24"/>
          <w:szCs w:val="24"/>
          <w:lang w:eastAsia="pl-PL"/>
        </w:rPr>
        <w:t xml:space="preserve"> wprowadza zmiany do </w:t>
      </w:r>
      <w:r w:rsidR="00E77760" w:rsidRPr="00922D36">
        <w:rPr>
          <w:rFonts w:ascii="Times New Roman" w:eastAsia="Times New Roman" w:hAnsi="Times New Roman" w:cs="Times New Roman"/>
          <w:b/>
          <w:bCs/>
          <w:sz w:val="24"/>
          <w:szCs w:val="24"/>
          <w:lang w:eastAsia="pl-PL"/>
        </w:rPr>
        <w:t>ustawy z dnia 29 lipca 2005 r. o nadzorze nad rynkiem kapitałowym</w:t>
      </w:r>
      <w:r w:rsidR="00311101" w:rsidRPr="00424E07">
        <w:rPr>
          <w:rFonts w:ascii="Times New Roman" w:eastAsia="Times New Roman" w:hAnsi="Times New Roman" w:cs="Times New Roman"/>
          <w:bCs/>
          <w:sz w:val="24"/>
          <w:szCs w:val="24"/>
          <w:lang w:eastAsia="pl-PL"/>
        </w:rPr>
        <w:t>.</w:t>
      </w:r>
      <w:r w:rsidR="002E1278">
        <w:rPr>
          <w:rFonts w:ascii="Times New Roman" w:eastAsia="Times New Roman" w:hAnsi="Times New Roman" w:cs="Times New Roman"/>
          <w:bCs/>
          <w:sz w:val="24"/>
          <w:szCs w:val="24"/>
          <w:lang w:eastAsia="pl-PL"/>
        </w:rPr>
        <w:t xml:space="preserve"> </w:t>
      </w:r>
    </w:p>
    <w:p w14:paraId="644D360D" w14:textId="77777777" w:rsidR="002E1278" w:rsidRDefault="00D30B41"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922D36">
        <w:rPr>
          <w:rFonts w:ascii="Times New Roman" w:eastAsia="Times New Roman" w:hAnsi="Times New Roman" w:cs="Times New Roman"/>
          <w:b/>
          <w:bCs/>
          <w:sz w:val="24"/>
          <w:szCs w:val="24"/>
          <w:lang w:eastAsia="pl-PL"/>
        </w:rPr>
        <w:t xml:space="preserve">Art. </w:t>
      </w:r>
      <w:r w:rsidR="007066C9">
        <w:rPr>
          <w:rFonts w:ascii="Times New Roman" w:eastAsia="Times New Roman" w:hAnsi="Times New Roman" w:cs="Times New Roman"/>
          <w:b/>
          <w:bCs/>
          <w:sz w:val="24"/>
          <w:szCs w:val="24"/>
          <w:lang w:eastAsia="pl-PL"/>
        </w:rPr>
        <w:t>45</w:t>
      </w:r>
      <w:r w:rsidRPr="00922D36">
        <w:rPr>
          <w:rFonts w:ascii="Times New Roman" w:eastAsia="Times New Roman" w:hAnsi="Times New Roman" w:cs="Times New Roman"/>
          <w:b/>
          <w:bCs/>
          <w:sz w:val="24"/>
          <w:szCs w:val="24"/>
          <w:lang w:eastAsia="pl-PL"/>
        </w:rPr>
        <w:t xml:space="preserve"> p</w:t>
      </w:r>
      <w:r w:rsidR="00E77760" w:rsidRPr="00922D36">
        <w:rPr>
          <w:rFonts w:ascii="Times New Roman" w:eastAsia="Times New Roman" w:hAnsi="Times New Roman" w:cs="Times New Roman"/>
          <w:b/>
          <w:bCs/>
          <w:sz w:val="24"/>
          <w:szCs w:val="24"/>
          <w:lang w:eastAsia="pl-PL"/>
        </w:rPr>
        <w:t>kt 1</w:t>
      </w:r>
      <w:r w:rsidR="00E77760" w:rsidRPr="00424E07">
        <w:rPr>
          <w:rFonts w:ascii="Times New Roman" w:eastAsia="Times New Roman" w:hAnsi="Times New Roman" w:cs="Times New Roman"/>
          <w:bCs/>
          <w:sz w:val="24"/>
          <w:szCs w:val="24"/>
          <w:lang w:eastAsia="pl-PL"/>
        </w:rPr>
        <w:t xml:space="preserve"> zawiera zmiany w słowniczku ustawowym</w:t>
      </w:r>
      <w:r w:rsidRPr="00424E07">
        <w:rPr>
          <w:rFonts w:ascii="Times New Roman" w:eastAsia="Times New Roman" w:hAnsi="Times New Roman" w:cs="Times New Roman"/>
          <w:bCs/>
          <w:sz w:val="24"/>
          <w:szCs w:val="24"/>
          <w:lang w:eastAsia="pl-PL"/>
        </w:rPr>
        <w:t xml:space="preserve"> – </w:t>
      </w:r>
      <w:r w:rsidR="00E77760" w:rsidRPr="00424E07">
        <w:rPr>
          <w:rFonts w:ascii="Times New Roman" w:eastAsia="Times New Roman" w:hAnsi="Times New Roman" w:cs="Times New Roman"/>
          <w:bCs/>
          <w:sz w:val="24"/>
          <w:szCs w:val="24"/>
          <w:lang w:eastAsia="pl-PL"/>
        </w:rPr>
        <w:t>dodaj</w:t>
      </w:r>
      <w:r w:rsidRPr="00424E07">
        <w:rPr>
          <w:rFonts w:ascii="Times New Roman" w:eastAsia="Times New Roman" w:hAnsi="Times New Roman" w:cs="Times New Roman"/>
          <w:bCs/>
          <w:sz w:val="24"/>
          <w:szCs w:val="24"/>
          <w:lang w:eastAsia="pl-PL"/>
        </w:rPr>
        <w:t>e</w:t>
      </w:r>
      <w:r w:rsidR="00E77760" w:rsidRPr="00424E07">
        <w:rPr>
          <w:rFonts w:ascii="Times New Roman" w:eastAsia="Times New Roman" w:hAnsi="Times New Roman" w:cs="Times New Roman"/>
          <w:bCs/>
          <w:sz w:val="24"/>
          <w:szCs w:val="24"/>
          <w:lang w:eastAsia="pl-PL"/>
        </w:rPr>
        <w:t xml:space="preserve"> skrótowe określeni</w:t>
      </w:r>
      <w:r w:rsidRPr="00424E07">
        <w:rPr>
          <w:rFonts w:ascii="Times New Roman" w:eastAsia="Times New Roman" w:hAnsi="Times New Roman" w:cs="Times New Roman"/>
          <w:bCs/>
          <w:sz w:val="24"/>
          <w:szCs w:val="24"/>
          <w:lang w:eastAsia="pl-PL"/>
        </w:rPr>
        <w:t>e</w:t>
      </w:r>
      <w:r w:rsidR="00E77760" w:rsidRPr="00424E07">
        <w:rPr>
          <w:rFonts w:ascii="Times New Roman" w:eastAsia="Times New Roman" w:hAnsi="Times New Roman" w:cs="Times New Roman"/>
          <w:bCs/>
          <w:sz w:val="24"/>
          <w:szCs w:val="24"/>
          <w:lang w:eastAsia="pl-PL"/>
        </w:rPr>
        <w:t xml:space="preserve"> ustawy o </w:t>
      </w:r>
      <w:r w:rsidR="00D50DC9">
        <w:rPr>
          <w:rFonts w:ascii="Times New Roman" w:eastAsia="Times New Roman" w:hAnsi="Times New Roman" w:cs="Times New Roman"/>
          <w:bCs/>
          <w:sz w:val="24"/>
          <w:szCs w:val="24"/>
          <w:lang w:eastAsia="pl-PL"/>
        </w:rPr>
        <w:t>finansowaniu</w:t>
      </w:r>
      <w:r w:rsidR="00E77760" w:rsidRPr="00424E07">
        <w:rPr>
          <w:rFonts w:ascii="Times New Roman" w:eastAsia="Times New Roman" w:hAnsi="Times New Roman" w:cs="Times New Roman"/>
          <w:bCs/>
          <w:sz w:val="24"/>
          <w:szCs w:val="24"/>
          <w:lang w:eastAsia="pl-PL"/>
        </w:rPr>
        <w:t xml:space="preserve"> społecznościow</w:t>
      </w:r>
      <w:r w:rsidR="00D50DC9">
        <w:rPr>
          <w:rFonts w:ascii="Times New Roman" w:eastAsia="Times New Roman" w:hAnsi="Times New Roman" w:cs="Times New Roman"/>
          <w:bCs/>
          <w:sz w:val="24"/>
          <w:szCs w:val="24"/>
          <w:lang w:eastAsia="pl-PL"/>
        </w:rPr>
        <w:t>ym</w:t>
      </w:r>
      <w:r w:rsidR="00E77760" w:rsidRPr="00424E07">
        <w:rPr>
          <w:rFonts w:ascii="Times New Roman" w:eastAsia="Times New Roman" w:hAnsi="Times New Roman" w:cs="Times New Roman"/>
          <w:bCs/>
          <w:sz w:val="24"/>
          <w:szCs w:val="24"/>
          <w:lang w:eastAsia="pl-PL"/>
        </w:rPr>
        <w:t xml:space="preserve"> dla przedsięwzięć gospodarczych (lit. a) oraz rozporządzenia 2020/1503 (lit. b), a także rozszerza zakres pojęcia rynku kapitałowego o rynek usług finansowania społecznościowego (lit. c).</w:t>
      </w:r>
      <w:r w:rsidR="002E1278">
        <w:rPr>
          <w:rFonts w:ascii="Times New Roman" w:eastAsia="Times New Roman" w:hAnsi="Times New Roman" w:cs="Times New Roman"/>
          <w:bCs/>
          <w:sz w:val="24"/>
          <w:szCs w:val="24"/>
          <w:lang w:eastAsia="pl-PL"/>
        </w:rPr>
        <w:t xml:space="preserve"> </w:t>
      </w:r>
    </w:p>
    <w:p w14:paraId="30EB3E16" w14:textId="77777777" w:rsidR="002E1278"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45</w:t>
      </w:r>
      <w:r w:rsidR="00A03AF8" w:rsidRPr="00922D36">
        <w:rPr>
          <w:rFonts w:ascii="Times New Roman" w:eastAsia="Times New Roman" w:hAnsi="Times New Roman" w:cs="Times New Roman"/>
          <w:b/>
          <w:bCs/>
          <w:sz w:val="24"/>
          <w:szCs w:val="24"/>
          <w:lang w:eastAsia="pl-PL"/>
        </w:rPr>
        <w:t xml:space="preserve"> pkt 2</w:t>
      </w:r>
      <w:r w:rsidR="00A03AF8" w:rsidRPr="00424E07">
        <w:rPr>
          <w:rFonts w:ascii="Times New Roman" w:eastAsia="Times New Roman" w:hAnsi="Times New Roman" w:cs="Times New Roman"/>
          <w:bCs/>
          <w:sz w:val="24"/>
          <w:szCs w:val="24"/>
          <w:lang w:eastAsia="pl-PL"/>
        </w:rPr>
        <w:t xml:space="preserve"> wskazuje Komisję jako organ właściwy w rozumieniu rozporządzenia 2020/1503</w:t>
      </w:r>
      <w:r w:rsidR="00D30B41" w:rsidRPr="00424E07">
        <w:rPr>
          <w:rFonts w:ascii="Times New Roman" w:eastAsia="Times New Roman" w:hAnsi="Times New Roman" w:cs="Times New Roman"/>
          <w:bCs/>
          <w:sz w:val="24"/>
          <w:szCs w:val="24"/>
          <w:lang w:eastAsia="pl-PL"/>
        </w:rPr>
        <w:t xml:space="preserve">, zgodnie z </w:t>
      </w:r>
      <w:r w:rsidR="00A03AF8" w:rsidRPr="00424E07">
        <w:rPr>
          <w:rFonts w:ascii="Times New Roman" w:eastAsia="Times New Roman" w:hAnsi="Times New Roman" w:cs="Times New Roman"/>
          <w:bCs/>
          <w:sz w:val="24"/>
          <w:szCs w:val="24"/>
          <w:lang w:eastAsia="pl-PL"/>
        </w:rPr>
        <w:t xml:space="preserve">art. 29 ust. 1 </w:t>
      </w:r>
      <w:r w:rsidR="00D30B41" w:rsidRPr="00424E07">
        <w:rPr>
          <w:rFonts w:ascii="Times New Roman" w:eastAsia="Times New Roman" w:hAnsi="Times New Roman" w:cs="Times New Roman"/>
          <w:bCs/>
          <w:sz w:val="24"/>
          <w:szCs w:val="24"/>
          <w:lang w:eastAsia="pl-PL"/>
        </w:rPr>
        <w:t xml:space="preserve">tego </w:t>
      </w:r>
      <w:r w:rsidR="00A03AF8" w:rsidRPr="00424E07">
        <w:rPr>
          <w:rFonts w:ascii="Times New Roman" w:eastAsia="Times New Roman" w:hAnsi="Times New Roman" w:cs="Times New Roman"/>
          <w:bCs/>
          <w:sz w:val="24"/>
          <w:szCs w:val="24"/>
          <w:lang w:eastAsia="pl-PL"/>
        </w:rPr>
        <w:t>rozporządzenia</w:t>
      </w:r>
      <w:r w:rsidR="00311101" w:rsidRPr="00424E07">
        <w:rPr>
          <w:rFonts w:ascii="Times New Roman" w:eastAsia="Times New Roman" w:hAnsi="Times New Roman" w:cs="Times New Roman"/>
          <w:bCs/>
          <w:sz w:val="24"/>
          <w:szCs w:val="24"/>
          <w:lang w:eastAsia="pl-PL"/>
        </w:rPr>
        <w:t>.</w:t>
      </w:r>
      <w:r w:rsidR="002E1278">
        <w:rPr>
          <w:rFonts w:ascii="Times New Roman" w:eastAsia="Times New Roman" w:hAnsi="Times New Roman" w:cs="Times New Roman"/>
          <w:bCs/>
          <w:sz w:val="24"/>
          <w:szCs w:val="24"/>
          <w:lang w:eastAsia="pl-PL"/>
        </w:rPr>
        <w:t xml:space="preserve"> </w:t>
      </w:r>
    </w:p>
    <w:p w14:paraId="28505D9D" w14:textId="77777777" w:rsidR="002E1278"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45</w:t>
      </w:r>
      <w:r w:rsidR="00A03AF8" w:rsidRPr="00922D36">
        <w:rPr>
          <w:rFonts w:ascii="Times New Roman" w:eastAsia="Times New Roman" w:hAnsi="Times New Roman" w:cs="Times New Roman"/>
          <w:b/>
          <w:bCs/>
          <w:sz w:val="24"/>
          <w:szCs w:val="24"/>
          <w:lang w:eastAsia="pl-PL"/>
        </w:rPr>
        <w:t xml:space="preserve"> pkt 3</w:t>
      </w:r>
      <w:r w:rsidR="00A03AF8" w:rsidRPr="00424E07">
        <w:rPr>
          <w:rFonts w:ascii="Times New Roman" w:eastAsia="Times New Roman" w:hAnsi="Times New Roman" w:cs="Times New Roman"/>
          <w:bCs/>
          <w:sz w:val="24"/>
          <w:szCs w:val="24"/>
          <w:lang w:eastAsia="pl-PL"/>
        </w:rPr>
        <w:t xml:space="preserve"> dodaje dostawców usług finansowania społecznościowego do katalogu podmiotów nadzorowanych przez Komisję. Jest to konsekwencją uznania Komisji za organ właściwy do nadzoru nad rynkiem usług finansowania społecznościowego</w:t>
      </w:r>
      <w:r w:rsidR="00311101" w:rsidRPr="00424E07">
        <w:rPr>
          <w:rFonts w:ascii="Times New Roman" w:eastAsia="Times New Roman" w:hAnsi="Times New Roman" w:cs="Times New Roman"/>
          <w:bCs/>
          <w:sz w:val="24"/>
          <w:szCs w:val="24"/>
          <w:lang w:eastAsia="pl-PL"/>
        </w:rPr>
        <w:t>.</w:t>
      </w:r>
      <w:r w:rsidR="002E1278">
        <w:rPr>
          <w:rFonts w:ascii="Times New Roman" w:eastAsia="Times New Roman" w:hAnsi="Times New Roman" w:cs="Times New Roman"/>
          <w:bCs/>
          <w:sz w:val="24"/>
          <w:szCs w:val="24"/>
          <w:lang w:eastAsia="pl-PL"/>
        </w:rPr>
        <w:t xml:space="preserve"> </w:t>
      </w:r>
    </w:p>
    <w:p w14:paraId="1FB347E4" w14:textId="2E240DED" w:rsidR="00A03AF8" w:rsidRPr="00424E07" w:rsidRDefault="00D30B41"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24E07">
        <w:rPr>
          <w:rFonts w:ascii="Times New Roman" w:eastAsia="Times New Roman" w:hAnsi="Times New Roman" w:cs="Times New Roman"/>
          <w:bCs/>
          <w:sz w:val="24"/>
          <w:szCs w:val="24"/>
          <w:lang w:eastAsia="pl-PL"/>
        </w:rPr>
        <w:t xml:space="preserve">Zgodnie z </w:t>
      </w:r>
      <w:r w:rsidRPr="00922D36">
        <w:rPr>
          <w:rFonts w:ascii="Times New Roman" w:eastAsia="Times New Roman" w:hAnsi="Times New Roman" w:cs="Times New Roman"/>
          <w:b/>
          <w:bCs/>
          <w:sz w:val="24"/>
          <w:szCs w:val="24"/>
          <w:lang w:eastAsia="pl-PL"/>
        </w:rPr>
        <w:t>a</w:t>
      </w:r>
      <w:r w:rsidR="007066C9">
        <w:rPr>
          <w:rFonts w:ascii="Times New Roman" w:eastAsia="Times New Roman" w:hAnsi="Times New Roman" w:cs="Times New Roman"/>
          <w:b/>
          <w:bCs/>
          <w:sz w:val="24"/>
          <w:szCs w:val="24"/>
          <w:lang w:eastAsia="pl-PL"/>
        </w:rPr>
        <w:t>rt. 45</w:t>
      </w:r>
      <w:r w:rsidR="00A03AF8" w:rsidRPr="00922D36">
        <w:rPr>
          <w:rFonts w:ascii="Times New Roman" w:eastAsia="Times New Roman" w:hAnsi="Times New Roman" w:cs="Times New Roman"/>
          <w:b/>
          <w:bCs/>
          <w:sz w:val="24"/>
          <w:szCs w:val="24"/>
          <w:lang w:eastAsia="pl-PL"/>
        </w:rPr>
        <w:t xml:space="preserve"> pkt 4</w:t>
      </w:r>
      <w:r w:rsidR="00A03AF8" w:rsidRPr="00424E07">
        <w:rPr>
          <w:rFonts w:ascii="Times New Roman" w:eastAsia="Times New Roman" w:hAnsi="Times New Roman" w:cs="Times New Roman"/>
          <w:bCs/>
          <w:sz w:val="24"/>
          <w:szCs w:val="24"/>
          <w:lang w:eastAsia="pl-PL"/>
        </w:rPr>
        <w:t xml:space="preserve"> czynnoś</w:t>
      </w:r>
      <w:r w:rsidRPr="00424E07">
        <w:rPr>
          <w:rFonts w:ascii="Times New Roman" w:eastAsia="Times New Roman" w:hAnsi="Times New Roman" w:cs="Times New Roman"/>
          <w:bCs/>
          <w:sz w:val="24"/>
          <w:szCs w:val="24"/>
          <w:lang w:eastAsia="pl-PL"/>
        </w:rPr>
        <w:t xml:space="preserve">ć </w:t>
      </w:r>
      <w:r w:rsidR="00A03AF8" w:rsidRPr="00424E07">
        <w:rPr>
          <w:rFonts w:ascii="Times New Roman" w:eastAsia="Times New Roman" w:hAnsi="Times New Roman" w:cs="Times New Roman"/>
          <w:bCs/>
          <w:sz w:val="24"/>
          <w:szCs w:val="24"/>
          <w:lang w:eastAsia="pl-PL"/>
        </w:rPr>
        <w:t>prawn</w:t>
      </w:r>
      <w:r w:rsidRPr="00424E07">
        <w:rPr>
          <w:rFonts w:ascii="Times New Roman" w:eastAsia="Times New Roman" w:hAnsi="Times New Roman" w:cs="Times New Roman"/>
          <w:bCs/>
          <w:sz w:val="24"/>
          <w:szCs w:val="24"/>
          <w:lang w:eastAsia="pl-PL"/>
        </w:rPr>
        <w:t>a</w:t>
      </w:r>
      <w:r w:rsidR="00A03AF8" w:rsidRPr="00424E07">
        <w:rPr>
          <w:rFonts w:ascii="Times New Roman" w:eastAsia="Times New Roman" w:hAnsi="Times New Roman" w:cs="Times New Roman"/>
          <w:bCs/>
          <w:sz w:val="24"/>
          <w:szCs w:val="24"/>
          <w:lang w:eastAsia="pl-PL"/>
        </w:rPr>
        <w:t xml:space="preserve">, której przedmiotem jest przedsiębiorstwo, nie </w:t>
      </w:r>
      <w:r w:rsidR="00311101" w:rsidRPr="00424E07">
        <w:rPr>
          <w:rFonts w:ascii="Times New Roman" w:eastAsia="Times New Roman" w:hAnsi="Times New Roman" w:cs="Times New Roman"/>
          <w:bCs/>
          <w:sz w:val="24"/>
          <w:szCs w:val="24"/>
          <w:lang w:eastAsia="pl-PL"/>
        </w:rPr>
        <w:t>będzie obejmować</w:t>
      </w:r>
      <w:r w:rsidR="00A03AF8" w:rsidRPr="00424E07">
        <w:rPr>
          <w:rFonts w:ascii="Times New Roman" w:eastAsia="Times New Roman" w:hAnsi="Times New Roman" w:cs="Times New Roman"/>
          <w:bCs/>
          <w:sz w:val="24"/>
          <w:szCs w:val="24"/>
          <w:lang w:eastAsia="pl-PL"/>
        </w:rPr>
        <w:t xml:space="preserve"> wchodzących w skład tego przedsiębiorstwa wpisów do rejestrów uzyskanych na podstawie rozporządzenia 2020/1503. </w:t>
      </w:r>
      <w:r w:rsidR="00311101" w:rsidRPr="00424E07">
        <w:rPr>
          <w:rFonts w:ascii="Times New Roman" w:eastAsia="Times New Roman" w:hAnsi="Times New Roman" w:cs="Times New Roman"/>
          <w:bCs/>
          <w:sz w:val="24"/>
          <w:szCs w:val="24"/>
          <w:lang w:eastAsia="pl-PL"/>
        </w:rPr>
        <w:t>T</w:t>
      </w:r>
      <w:r w:rsidRPr="00424E07">
        <w:rPr>
          <w:rFonts w:ascii="Times New Roman" w:eastAsia="Times New Roman" w:hAnsi="Times New Roman" w:cs="Times New Roman"/>
          <w:bCs/>
          <w:sz w:val="24"/>
          <w:szCs w:val="24"/>
          <w:lang w:eastAsia="pl-PL"/>
        </w:rPr>
        <w:t xml:space="preserve">aka </w:t>
      </w:r>
      <w:r w:rsidR="00A03AF8" w:rsidRPr="00424E07">
        <w:rPr>
          <w:rFonts w:ascii="Times New Roman" w:eastAsia="Times New Roman" w:hAnsi="Times New Roman" w:cs="Times New Roman"/>
          <w:bCs/>
          <w:sz w:val="24"/>
          <w:szCs w:val="24"/>
          <w:lang w:eastAsia="pl-PL"/>
        </w:rPr>
        <w:t xml:space="preserve">sama zasada dotyczy wszystkich zezwoleń i zgód udzielonych przez Komisję (co obejmie również zezwolenia na prowadzenie działalności jako dostawca usług finansowania społecznościowego) oraz wpisów do rejestrów uzyskanych na podstawie ustaw regulujących działalność podmiotów rynku kapitałowego. Zmiana ta ma na celu wzmocnienie nadzoru Komisji nad rynkiem usług finansowania społecznościowego, tak aby zbycie przedsiębiorstwa posiadającego zezwolenie </w:t>
      </w:r>
      <w:r w:rsidR="005C41C5" w:rsidRPr="00424E07">
        <w:rPr>
          <w:rFonts w:ascii="Times New Roman" w:eastAsia="Times New Roman" w:hAnsi="Times New Roman" w:cs="Times New Roman"/>
          <w:bCs/>
          <w:sz w:val="24"/>
          <w:szCs w:val="24"/>
          <w:lang w:eastAsia="pl-PL"/>
        </w:rPr>
        <w:t>na świadczenie usług finansowania społecznościowego nie powodowało automatycznego przejścia tego zezwolenia oraz wpisu do rejestru, o którym mowa w art. 14 rozporządzenia 2020/1503, na nowy podmiot, o którym Komisja może n</w:t>
      </w:r>
      <w:r w:rsidR="00E175BA" w:rsidRPr="00424E07">
        <w:rPr>
          <w:rFonts w:ascii="Times New Roman" w:eastAsia="Times New Roman" w:hAnsi="Times New Roman" w:cs="Times New Roman"/>
          <w:bCs/>
          <w:sz w:val="24"/>
          <w:szCs w:val="24"/>
          <w:lang w:eastAsia="pl-PL"/>
        </w:rPr>
        <w:t>ie posiadać żadnych informacji.</w:t>
      </w:r>
    </w:p>
    <w:p w14:paraId="3BD9A8F8" w14:textId="15F4813B" w:rsidR="005C41C5" w:rsidRPr="00424E07"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45</w:t>
      </w:r>
      <w:r w:rsidR="005C41C5" w:rsidRPr="00922D36">
        <w:rPr>
          <w:rFonts w:ascii="Times New Roman" w:eastAsia="Times New Roman" w:hAnsi="Times New Roman" w:cs="Times New Roman"/>
          <w:b/>
          <w:bCs/>
          <w:sz w:val="24"/>
          <w:szCs w:val="24"/>
          <w:lang w:eastAsia="pl-PL"/>
        </w:rPr>
        <w:t xml:space="preserve"> pkt 5 lit. a</w:t>
      </w:r>
      <w:r w:rsidR="005C41C5" w:rsidRPr="00424E07">
        <w:rPr>
          <w:rFonts w:ascii="Times New Roman" w:eastAsia="Times New Roman" w:hAnsi="Times New Roman" w:cs="Times New Roman"/>
          <w:bCs/>
          <w:sz w:val="24"/>
          <w:szCs w:val="24"/>
          <w:lang w:eastAsia="pl-PL"/>
        </w:rPr>
        <w:t xml:space="preserve"> </w:t>
      </w:r>
      <w:r w:rsidR="00D30B41" w:rsidRPr="00424E07">
        <w:rPr>
          <w:rFonts w:ascii="Times New Roman" w:eastAsia="Times New Roman" w:hAnsi="Times New Roman" w:cs="Times New Roman"/>
          <w:bCs/>
          <w:sz w:val="24"/>
          <w:szCs w:val="24"/>
          <w:lang w:eastAsia="pl-PL"/>
        </w:rPr>
        <w:t xml:space="preserve">dotyczy </w:t>
      </w:r>
      <w:r w:rsidR="005C41C5" w:rsidRPr="00424E07">
        <w:rPr>
          <w:rFonts w:ascii="Times New Roman" w:eastAsia="Times New Roman" w:hAnsi="Times New Roman" w:cs="Times New Roman"/>
          <w:bCs/>
          <w:sz w:val="24"/>
          <w:szCs w:val="24"/>
          <w:lang w:eastAsia="pl-PL"/>
        </w:rPr>
        <w:t>pokrywania kosztów Urzędu Komisji Nadzoru Finansowego wynikających z nadzoru nad rynkiem kapitałowym również z opłat</w:t>
      </w:r>
      <w:r w:rsidR="00902CA6" w:rsidRPr="00424E07">
        <w:rPr>
          <w:rFonts w:ascii="Times New Roman" w:eastAsia="Times New Roman" w:hAnsi="Times New Roman" w:cs="Times New Roman"/>
          <w:bCs/>
          <w:sz w:val="24"/>
          <w:szCs w:val="24"/>
          <w:lang w:eastAsia="pl-PL"/>
        </w:rPr>
        <w:t xml:space="preserve">, o których mowa w </w:t>
      </w:r>
      <w:r w:rsidR="00902CA6" w:rsidRPr="00424E07">
        <w:rPr>
          <w:rFonts w:ascii="Times New Roman" w:hAnsi="Times New Roman" w:cs="Times New Roman"/>
          <w:sz w:val="24"/>
          <w:szCs w:val="24"/>
        </w:rPr>
        <w:t xml:space="preserve">ustawie o </w:t>
      </w:r>
      <w:r w:rsidR="00D50DC9">
        <w:rPr>
          <w:rFonts w:ascii="Times New Roman" w:hAnsi="Times New Roman" w:cs="Times New Roman"/>
          <w:sz w:val="24"/>
          <w:szCs w:val="24"/>
        </w:rPr>
        <w:t>finansowaniu</w:t>
      </w:r>
      <w:r w:rsidR="00902CA6" w:rsidRPr="00424E07">
        <w:rPr>
          <w:rFonts w:ascii="Times New Roman" w:hAnsi="Times New Roman" w:cs="Times New Roman"/>
          <w:sz w:val="24"/>
          <w:szCs w:val="24"/>
        </w:rPr>
        <w:t xml:space="preserve"> społecznościow</w:t>
      </w:r>
      <w:r w:rsidR="00D50DC9">
        <w:rPr>
          <w:rFonts w:ascii="Times New Roman" w:hAnsi="Times New Roman" w:cs="Times New Roman"/>
          <w:sz w:val="24"/>
          <w:szCs w:val="24"/>
        </w:rPr>
        <w:t>ym</w:t>
      </w:r>
      <w:r w:rsidR="00902CA6" w:rsidRPr="00424E07">
        <w:rPr>
          <w:rFonts w:ascii="Times New Roman" w:hAnsi="Times New Roman" w:cs="Times New Roman"/>
          <w:sz w:val="24"/>
          <w:szCs w:val="24"/>
        </w:rPr>
        <w:t xml:space="preserve"> dla przedsięwzięć gospodarczych</w:t>
      </w:r>
      <w:r w:rsidR="005C41C5" w:rsidRPr="00424E07">
        <w:rPr>
          <w:rFonts w:ascii="Times New Roman" w:eastAsia="Times New Roman" w:hAnsi="Times New Roman" w:cs="Times New Roman"/>
          <w:bCs/>
          <w:sz w:val="24"/>
          <w:szCs w:val="24"/>
          <w:lang w:eastAsia="pl-PL"/>
        </w:rPr>
        <w:t>.</w:t>
      </w:r>
    </w:p>
    <w:p w14:paraId="2833F797" w14:textId="26390A59" w:rsidR="005C41C5" w:rsidRPr="00424E07"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45</w:t>
      </w:r>
      <w:r w:rsidR="005C41C5" w:rsidRPr="00922D36">
        <w:rPr>
          <w:rFonts w:ascii="Times New Roman" w:eastAsia="Times New Roman" w:hAnsi="Times New Roman" w:cs="Times New Roman"/>
          <w:b/>
          <w:bCs/>
          <w:sz w:val="24"/>
          <w:szCs w:val="24"/>
          <w:lang w:eastAsia="pl-PL"/>
        </w:rPr>
        <w:t xml:space="preserve"> pkt 5 lit. b</w:t>
      </w:r>
      <w:r w:rsidR="005C41C5" w:rsidRPr="00424E07">
        <w:rPr>
          <w:rFonts w:ascii="Times New Roman" w:eastAsia="Times New Roman" w:hAnsi="Times New Roman" w:cs="Times New Roman"/>
          <w:bCs/>
          <w:sz w:val="24"/>
          <w:szCs w:val="24"/>
          <w:lang w:eastAsia="pl-PL"/>
        </w:rPr>
        <w:t xml:space="preserve"> wprowadza wobec dostawców usług finansowania społecznościowego zasadę że opłata roczna należna za rok kalendarzowy, w którym podmiot rozpoczął działalność, ma być wnoszona za ten rok w pełnej wysokości</w:t>
      </w:r>
      <w:r w:rsidR="00902CA6" w:rsidRPr="00424E07">
        <w:rPr>
          <w:rFonts w:ascii="Times New Roman" w:eastAsia="Times New Roman" w:hAnsi="Times New Roman" w:cs="Times New Roman"/>
          <w:bCs/>
          <w:sz w:val="24"/>
          <w:szCs w:val="24"/>
          <w:lang w:eastAsia="pl-PL"/>
        </w:rPr>
        <w:t xml:space="preserve">, tak jak ma to miejsce </w:t>
      </w:r>
      <w:r w:rsidR="00D30B41" w:rsidRPr="00424E07">
        <w:rPr>
          <w:rFonts w:ascii="Times New Roman" w:eastAsia="Times New Roman" w:hAnsi="Times New Roman" w:cs="Times New Roman"/>
          <w:bCs/>
          <w:sz w:val="24"/>
          <w:szCs w:val="24"/>
          <w:lang w:eastAsia="pl-PL"/>
        </w:rPr>
        <w:t>w przypadku giełd towarowych, funduszy inwestycyjnych i firm inwestycyjnych</w:t>
      </w:r>
      <w:r w:rsidR="00E175BA" w:rsidRPr="00424E07">
        <w:rPr>
          <w:rFonts w:ascii="Times New Roman" w:eastAsia="Times New Roman" w:hAnsi="Times New Roman" w:cs="Times New Roman"/>
          <w:bCs/>
          <w:sz w:val="24"/>
          <w:szCs w:val="24"/>
          <w:lang w:eastAsia="pl-PL"/>
        </w:rPr>
        <w:t>.</w:t>
      </w:r>
    </w:p>
    <w:p w14:paraId="6CAE3491" w14:textId="5BC2524B" w:rsidR="005C41C5" w:rsidRPr="00424E07"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45</w:t>
      </w:r>
      <w:r w:rsidR="005C41C5" w:rsidRPr="00922D36">
        <w:rPr>
          <w:rFonts w:ascii="Times New Roman" w:eastAsia="Times New Roman" w:hAnsi="Times New Roman" w:cs="Times New Roman"/>
          <w:b/>
          <w:bCs/>
          <w:sz w:val="24"/>
          <w:szCs w:val="24"/>
          <w:lang w:eastAsia="pl-PL"/>
        </w:rPr>
        <w:t xml:space="preserve"> pkt 6</w:t>
      </w:r>
      <w:r w:rsidR="005C41C5" w:rsidRPr="00424E07">
        <w:rPr>
          <w:rFonts w:ascii="Times New Roman" w:eastAsia="Times New Roman" w:hAnsi="Times New Roman" w:cs="Times New Roman"/>
          <w:bCs/>
          <w:sz w:val="24"/>
          <w:szCs w:val="24"/>
          <w:lang w:eastAsia="pl-PL"/>
        </w:rPr>
        <w:t xml:space="preserve"> nakłada na członków Komisji oraz osoby zatrudnione w Urzędzie Komisji Nadzoru Finansowego</w:t>
      </w:r>
      <w:r w:rsidR="00E241CD" w:rsidRPr="00424E07">
        <w:rPr>
          <w:rFonts w:ascii="Times New Roman" w:eastAsia="Times New Roman" w:hAnsi="Times New Roman" w:cs="Times New Roman"/>
          <w:bCs/>
          <w:sz w:val="24"/>
          <w:szCs w:val="24"/>
          <w:lang w:eastAsia="pl-PL"/>
        </w:rPr>
        <w:t xml:space="preserve"> obowiązek zachowania tajemnicy zawodowej w zakresie wynikającym z</w:t>
      </w:r>
      <w:r w:rsidR="00902CA6" w:rsidRPr="00424E07">
        <w:rPr>
          <w:rFonts w:ascii="Times New Roman" w:hAnsi="Times New Roman" w:cs="Times New Roman"/>
          <w:sz w:val="24"/>
          <w:szCs w:val="24"/>
        </w:rPr>
        <w:t xml:space="preserve"> ustawy o finansowani</w:t>
      </w:r>
      <w:r w:rsidR="00D50DC9">
        <w:rPr>
          <w:rFonts w:ascii="Times New Roman" w:hAnsi="Times New Roman" w:cs="Times New Roman"/>
          <w:sz w:val="24"/>
          <w:szCs w:val="24"/>
        </w:rPr>
        <w:t>u</w:t>
      </w:r>
      <w:r w:rsidR="00902CA6" w:rsidRPr="00424E07">
        <w:rPr>
          <w:rFonts w:ascii="Times New Roman" w:hAnsi="Times New Roman" w:cs="Times New Roman"/>
          <w:sz w:val="24"/>
          <w:szCs w:val="24"/>
        </w:rPr>
        <w:t xml:space="preserve"> społecznościow</w:t>
      </w:r>
      <w:r w:rsidR="00D50DC9">
        <w:rPr>
          <w:rFonts w:ascii="Times New Roman" w:hAnsi="Times New Roman" w:cs="Times New Roman"/>
          <w:sz w:val="24"/>
          <w:szCs w:val="24"/>
        </w:rPr>
        <w:t>ym</w:t>
      </w:r>
      <w:r w:rsidR="00902CA6" w:rsidRPr="00424E07">
        <w:rPr>
          <w:rFonts w:ascii="Times New Roman" w:hAnsi="Times New Roman" w:cs="Times New Roman"/>
          <w:sz w:val="24"/>
          <w:szCs w:val="24"/>
        </w:rPr>
        <w:t xml:space="preserve"> dla przedsięwzięć gospodarczych</w:t>
      </w:r>
      <w:r w:rsidR="00E175BA" w:rsidRPr="00424E07">
        <w:rPr>
          <w:rFonts w:ascii="Times New Roman" w:eastAsia="Times New Roman" w:hAnsi="Times New Roman" w:cs="Times New Roman"/>
          <w:bCs/>
          <w:sz w:val="24"/>
          <w:szCs w:val="24"/>
          <w:lang w:eastAsia="pl-PL"/>
        </w:rPr>
        <w:t>.</w:t>
      </w:r>
    </w:p>
    <w:p w14:paraId="7223A146" w14:textId="396A773B" w:rsidR="00E241CD" w:rsidRPr="00424E07"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45</w:t>
      </w:r>
      <w:r w:rsidR="00E241CD" w:rsidRPr="00922D36">
        <w:rPr>
          <w:rFonts w:ascii="Times New Roman" w:eastAsia="Times New Roman" w:hAnsi="Times New Roman" w:cs="Times New Roman"/>
          <w:b/>
          <w:bCs/>
          <w:sz w:val="24"/>
          <w:szCs w:val="24"/>
          <w:lang w:eastAsia="pl-PL"/>
        </w:rPr>
        <w:t xml:space="preserve"> pkt 7</w:t>
      </w:r>
      <w:r w:rsidR="00E241CD" w:rsidRPr="00424E07">
        <w:rPr>
          <w:rFonts w:ascii="Times New Roman" w:eastAsia="Times New Roman" w:hAnsi="Times New Roman" w:cs="Times New Roman"/>
          <w:bCs/>
          <w:sz w:val="24"/>
          <w:szCs w:val="24"/>
          <w:lang w:eastAsia="pl-PL"/>
        </w:rPr>
        <w:t xml:space="preserve"> umożliwi Komisji współpracę z organami nadzoru z innych państw członkowskich Unii Europejskiej również w zakresie nadzoru nad rynkiem finansowania społecznościowego, w celu prawidłowego wykonywania zadań</w:t>
      </w:r>
      <w:r w:rsidR="00E175BA" w:rsidRPr="00424E07">
        <w:rPr>
          <w:rFonts w:ascii="Times New Roman" w:eastAsia="Times New Roman" w:hAnsi="Times New Roman" w:cs="Times New Roman"/>
          <w:bCs/>
          <w:sz w:val="24"/>
          <w:szCs w:val="24"/>
          <w:lang w:eastAsia="pl-PL"/>
        </w:rPr>
        <w:t xml:space="preserve"> o charakterze transgranicznym.</w:t>
      </w:r>
    </w:p>
    <w:p w14:paraId="3C456E3F" w14:textId="5A9F1ABC" w:rsidR="00E77A2F" w:rsidRPr="00424E07"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45</w:t>
      </w:r>
      <w:r w:rsidR="00E77A2F" w:rsidRPr="00922D36">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pkt 8</w:t>
      </w:r>
      <w:r w:rsidR="00E77A2F" w:rsidRPr="00922D36">
        <w:rPr>
          <w:rFonts w:ascii="Times New Roman" w:eastAsia="Times New Roman" w:hAnsi="Times New Roman" w:cs="Times New Roman"/>
          <w:b/>
          <w:bCs/>
          <w:sz w:val="24"/>
          <w:szCs w:val="24"/>
          <w:lang w:eastAsia="pl-PL"/>
        </w:rPr>
        <w:t xml:space="preserve"> </w:t>
      </w:r>
      <w:r w:rsidR="00E77A2F" w:rsidRPr="00424E07">
        <w:rPr>
          <w:rFonts w:ascii="Times New Roman" w:eastAsia="Times New Roman" w:hAnsi="Times New Roman" w:cs="Times New Roman"/>
          <w:bCs/>
          <w:sz w:val="24"/>
          <w:szCs w:val="24"/>
          <w:lang w:eastAsia="pl-PL"/>
        </w:rPr>
        <w:t>rozszerza prawo dostępu Komisji do informacji poufnych i informacji stanowiących tajemnicę zawodową będących w posiadaniu innych podmiotów, o informacje, którymi dysponu</w:t>
      </w:r>
      <w:r w:rsidR="00676CB1" w:rsidRPr="00424E07">
        <w:rPr>
          <w:rFonts w:ascii="Times New Roman" w:eastAsia="Times New Roman" w:hAnsi="Times New Roman" w:cs="Times New Roman"/>
          <w:bCs/>
          <w:sz w:val="24"/>
          <w:szCs w:val="24"/>
          <w:lang w:eastAsia="pl-PL"/>
        </w:rPr>
        <w:t>ją podmioty wymienione w art. 6</w:t>
      </w:r>
      <w:r w:rsidR="00E77A2F" w:rsidRPr="00424E07">
        <w:rPr>
          <w:rFonts w:ascii="Times New Roman" w:eastAsia="Times New Roman" w:hAnsi="Times New Roman" w:cs="Times New Roman"/>
          <w:bCs/>
          <w:sz w:val="24"/>
          <w:szCs w:val="24"/>
          <w:lang w:eastAsia="pl-PL"/>
        </w:rPr>
        <w:t xml:space="preserve"> ustawy</w:t>
      </w:r>
      <w:r w:rsidR="0085560C" w:rsidRPr="00424E07">
        <w:rPr>
          <w:rFonts w:ascii="Times New Roman" w:hAnsi="Times New Roman" w:cs="Times New Roman"/>
          <w:sz w:val="24"/>
          <w:szCs w:val="24"/>
        </w:rPr>
        <w:t xml:space="preserve"> o </w:t>
      </w:r>
      <w:r w:rsidR="00D50DC9">
        <w:rPr>
          <w:rFonts w:ascii="Times New Roman" w:hAnsi="Times New Roman" w:cs="Times New Roman"/>
          <w:sz w:val="24"/>
          <w:szCs w:val="24"/>
        </w:rPr>
        <w:t>finansowaniu</w:t>
      </w:r>
      <w:r w:rsidR="0085560C" w:rsidRPr="00424E07">
        <w:rPr>
          <w:rFonts w:ascii="Times New Roman" w:hAnsi="Times New Roman" w:cs="Times New Roman"/>
          <w:sz w:val="24"/>
          <w:szCs w:val="24"/>
        </w:rPr>
        <w:t xml:space="preserve"> społecznościow</w:t>
      </w:r>
      <w:r w:rsidR="00D50DC9">
        <w:rPr>
          <w:rFonts w:ascii="Times New Roman" w:hAnsi="Times New Roman" w:cs="Times New Roman"/>
          <w:sz w:val="24"/>
          <w:szCs w:val="24"/>
        </w:rPr>
        <w:t>ym</w:t>
      </w:r>
      <w:r w:rsidR="0085560C" w:rsidRPr="00424E07">
        <w:rPr>
          <w:rFonts w:ascii="Times New Roman" w:hAnsi="Times New Roman" w:cs="Times New Roman"/>
          <w:sz w:val="24"/>
          <w:szCs w:val="24"/>
        </w:rPr>
        <w:t xml:space="preserve"> dla przedsięwzięć gospodarczych</w:t>
      </w:r>
      <w:r w:rsidR="00E175BA" w:rsidRPr="00424E07">
        <w:rPr>
          <w:rFonts w:ascii="Times New Roman" w:eastAsia="Times New Roman" w:hAnsi="Times New Roman" w:cs="Times New Roman"/>
          <w:bCs/>
          <w:sz w:val="24"/>
          <w:szCs w:val="24"/>
          <w:lang w:eastAsia="pl-PL"/>
        </w:rPr>
        <w:t>.</w:t>
      </w:r>
    </w:p>
    <w:p w14:paraId="4EA33171" w14:textId="12D326AF" w:rsidR="00E77A2F" w:rsidRPr="00424E07"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45 pkt 9</w:t>
      </w:r>
      <w:r w:rsidR="00E77A2F" w:rsidRPr="00424E07">
        <w:rPr>
          <w:rFonts w:ascii="Times New Roman" w:eastAsia="Times New Roman" w:hAnsi="Times New Roman" w:cs="Times New Roman"/>
          <w:bCs/>
          <w:sz w:val="24"/>
          <w:szCs w:val="24"/>
          <w:lang w:eastAsia="pl-PL"/>
        </w:rPr>
        <w:t xml:space="preserve"> rozszerza uprawnienie Komisji do przeprowadzania kontroli działalności lub sytuacji finansowej dostawców usług finansowania społecznościowego.</w:t>
      </w:r>
    </w:p>
    <w:p w14:paraId="65AC8B9F" w14:textId="3CD26036" w:rsidR="00E77A2F" w:rsidRPr="00424E07"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xml:space="preserve">Art. 45 pkt 10 </w:t>
      </w:r>
      <w:r w:rsidR="00986107" w:rsidRPr="00424E07">
        <w:rPr>
          <w:rFonts w:ascii="Times New Roman" w:eastAsia="Times New Roman" w:hAnsi="Times New Roman" w:cs="Times New Roman"/>
          <w:bCs/>
          <w:sz w:val="24"/>
          <w:szCs w:val="24"/>
          <w:lang w:eastAsia="pl-PL"/>
        </w:rPr>
        <w:t>odsyła do właściwych przepisów rozporządzenia 2020/1503 regulujących zakres pomocy udzielanej przez właściwe organy nadzoru innych państw członkowskich Unii Europejskiej oraz rolę koordynacyjną E</w:t>
      </w:r>
      <w:r w:rsidR="00E175BA" w:rsidRPr="00424E07">
        <w:rPr>
          <w:rFonts w:ascii="Times New Roman" w:eastAsia="Times New Roman" w:hAnsi="Times New Roman" w:cs="Times New Roman"/>
          <w:bCs/>
          <w:sz w:val="24"/>
          <w:szCs w:val="24"/>
          <w:lang w:eastAsia="pl-PL"/>
        </w:rPr>
        <w:t xml:space="preserve">uropejskiego </w:t>
      </w:r>
      <w:r w:rsidR="00986107" w:rsidRPr="00424E07">
        <w:rPr>
          <w:rFonts w:ascii="Times New Roman" w:eastAsia="Times New Roman" w:hAnsi="Times New Roman" w:cs="Times New Roman"/>
          <w:bCs/>
          <w:sz w:val="24"/>
          <w:szCs w:val="24"/>
          <w:lang w:eastAsia="pl-PL"/>
        </w:rPr>
        <w:t>U</w:t>
      </w:r>
      <w:r w:rsidR="00E175BA" w:rsidRPr="00424E07">
        <w:rPr>
          <w:rFonts w:ascii="Times New Roman" w:eastAsia="Times New Roman" w:hAnsi="Times New Roman" w:cs="Times New Roman"/>
          <w:bCs/>
          <w:sz w:val="24"/>
          <w:szCs w:val="24"/>
          <w:lang w:eastAsia="pl-PL"/>
        </w:rPr>
        <w:t xml:space="preserve">rzędu </w:t>
      </w:r>
      <w:r w:rsidR="00986107" w:rsidRPr="00424E07">
        <w:rPr>
          <w:rFonts w:ascii="Times New Roman" w:eastAsia="Times New Roman" w:hAnsi="Times New Roman" w:cs="Times New Roman"/>
          <w:bCs/>
          <w:sz w:val="24"/>
          <w:szCs w:val="24"/>
          <w:lang w:eastAsia="pl-PL"/>
        </w:rPr>
        <w:t>N</w:t>
      </w:r>
      <w:r w:rsidR="00E175BA" w:rsidRPr="00424E07">
        <w:rPr>
          <w:rFonts w:ascii="Times New Roman" w:eastAsia="Times New Roman" w:hAnsi="Times New Roman" w:cs="Times New Roman"/>
          <w:bCs/>
          <w:sz w:val="24"/>
          <w:szCs w:val="24"/>
          <w:lang w:eastAsia="pl-PL"/>
        </w:rPr>
        <w:t xml:space="preserve">adzoru </w:t>
      </w:r>
      <w:r w:rsidR="00986107" w:rsidRPr="00424E07">
        <w:rPr>
          <w:rFonts w:ascii="Times New Roman" w:eastAsia="Times New Roman" w:hAnsi="Times New Roman" w:cs="Times New Roman"/>
          <w:bCs/>
          <w:sz w:val="24"/>
          <w:szCs w:val="24"/>
          <w:lang w:eastAsia="pl-PL"/>
        </w:rPr>
        <w:t>G</w:t>
      </w:r>
      <w:r w:rsidR="00E175BA" w:rsidRPr="00424E07">
        <w:rPr>
          <w:rFonts w:ascii="Times New Roman" w:eastAsia="Times New Roman" w:hAnsi="Times New Roman" w:cs="Times New Roman"/>
          <w:bCs/>
          <w:sz w:val="24"/>
          <w:szCs w:val="24"/>
          <w:lang w:eastAsia="pl-PL"/>
        </w:rPr>
        <w:t xml:space="preserve">iełd </w:t>
      </w:r>
      <w:r w:rsidR="00986107" w:rsidRPr="00424E07">
        <w:rPr>
          <w:rFonts w:ascii="Times New Roman" w:eastAsia="Times New Roman" w:hAnsi="Times New Roman" w:cs="Times New Roman"/>
          <w:bCs/>
          <w:sz w:val="24"/>
          <w:szCs w:val="24"/>
          <w:lang w:eastAsia="pl-PL"/>
        </w:rPr>
        <w:t>i</w:t>
      </w:r>
      <w:r w:rsidR="00E175BA" w:rsidRPr="00424E07">
        <w:rPr>
          <w:rFonts w:ascii="Times New Roman" w:eastAsia="Times New Roman" w:hAnsi="Times New Roman" w:cs="Times New Roman"/>
          <w:bCs/>
          <w:sz w:val="24"/>
          <w:szCs w:val="24"/>
          <w:lang w:eastAsia="pl-PL"/>
        </w:rPr>
        <w:t xml:space="preserve"> </w:t>
      </w:r>
      <w:r w:rsidR="00986107" w:rsidRPr="00424E07">
        <w:rPr>
          <w:rFonts w:ascii="Times New Roman" w:eastAsia="Times New Roman" w:hAnsi="Times New Roman" w:cs="Times New Roman"/>
          <w:bCs/>
          <w:sz w:val="24"/>
          <w:szCs w:val="24"/>
          <w:lang w:eastAsia="pl-PL"/>
        </w:rPr>
        <w:t>P</w:t>
      </w:r>
      <w:r w:rsidR="00E175BA" w:rsidRPr="00424E07">
        <w:rPr>
          <w:rFonts w:ascii="Times New Roman" w:eastAsia="Times New Roman" w:hAnsi="Times New Roman" w:cs="Times New Roman"/>
          <w:bCs/>
          <w:sz w:val="24"/>
          <w:szCs w:val="24"/>
          <w:lang w:eastAsia="pl-PL"/>
        </w:rPr>
        <w:t xml:space="preserve">apierów </w:t>
      </w:r>
      <w:r w:rsidR="00986107" w:rsidRPr="00424E07">
        <w:rPr>
          <w:rFonts w:ascii="Times New Roman" w:eastAsia="Times New Roman" w:hAnsi="Times New Roman" w:cs="Times New Roman"/>
          <w:bCs/>
          <w:sz w:val="24"/>
          <w:szCs w:val="24"/>
          <w:lang w:eastAsia="pl-PL"/>
        </w:rPr>
        <w:t>W</w:t>
      </w:r>
      <w:r w:rsidR="00E175BA" w:rsidRPr="00424E07">
        <w:rPr>
          <w:rFonts w:ascii="Times New Roman" w:eastAsia="Times New Roman" w:hAnsi="Times New Roman" w:cs="Times New Roman"/>
          <w:bCs/>
          <w:sz w:val="24"/>
          <w:szCs w:val="24"/>
          <w:lang w:eastAsia="pl-PL"/>
        </w:rPr>
        <w:t>artościowych</w:t>
      </w:r>
      <w:r w:rsidR="00986107" w:rsidRPr="009B65CD">
        <w:rPr>
          <w:rFonts w:ascii="Times New Roman" w:eastAsia="Times New Roman" w:hAnsi="Times New Roman" w:cs="Times New Roman"/>
          <w:bCs/>
          <w:sz w:val="24"/>
          <w:szCs w:val="24"/>
          <w:lang w:eastAsia="pl-PL"/>
        </w:rPr>
        <w:t xml:space="preserve"> w przypadku pomocy przy dokonywaniu transgranicznych kontroli na miejscu lub postępowań wyjaśniających.</w:t>
      </w:r>
    </w:p>
    <w:p w14:paraId="27754F38" w14:textId="0C040342" w:rsidR="00986107" w:rsidRPr="00424E07"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45 pkt 11</w:t>
      </w:r>
      <w:r w:rsidR="00986107" w:rsidRPr="00424E07">
        <w:rPr>
          <w:rFonts w:ascii="Times New Roman" w:eastAsia="Times New Roman" w:hAnsi="Times New Roman" w:cs="Times New Roman"/>
          <w:bCs/>
          <w:sz w:val="24"/>
          <w:szCs w:val="24"/>
          <w:lang w:eastAsia="pl-PL"/>
        </w:rPr>
        <w:t xml:space="preserve"> </w:t>
      </w:r>
      <w:r w:rsidR="0085560C" w:rsidRPr="00424E07">
        <w:rPr>
          <w:rFonts w:ascii="Times New Roman" w:eastAsia="Times New Roman" w:hAnsi="Times New Roman" w:cs="Times New Roman"/>
          <w:bCs/>
          <w:sz w:val="24"/>
          <w:szCs w:val="24"/>
          <w:lang w:eastAsia="pl-PL"/>
        </w:rPr>
        <w:t xml:space="preserve">stanowi, </w:t>
      </w:r>
      <w:r w:rsidR="00986107" w:rsidRPr="00424E07">
        <w:rPr>
          <w:rFonts w:ascii="Times New Roman" w:eastAsia="Times New Roman" w:hAnsi="Times New Roman" w:cs="Times New Roman"/>
          <w:bCs/>
          <w:sz w:val="24"/>
          <w:szCs w:val="24"/>
          <w:lang w:eastAsia="pl-PL"/>
        </w:rPr>
        <w:t xml:space="preserve">że </w:t>
      </w:r>
      <w:r w:rsidR="00A64DB1" w:rsidRPr="00424E07">
        <w:rPr>
          <w:rFonts w:ascii="Times New Roman" w:eastAsia="Times New Roman" w:hAnsi="Times New Roman" w:cs="Times New Roman"/>
          <w:bCs/>
          <w:sz w:val="24"/>
          <w:szCs w:val="24"/>
          <w:lang w:eastAsia="pl-PL"/>
        </w:rPr>
        <w:t xml:space="preserve">klienci dostawców usług finansowania społecznościowego, tj. inwestorzy oraz właściciele projektów, będą uważani za zleceniodawców dostawców usług </w:t>
      </w:r>
      <w:r w:rsidR="00A64DB1" w:rsidRPr="00424E07">
        <w:rPr>
          <w:rFonts w:ascii="Times New Roman" w:eastAsia="Times New Roman" w:hAnsi="Times New Roman" w:cs="Times New Roman"/>
          <w:bCs/>
          <w:sz w:val="24"/>
          <w:szCs w:val="24"/>
          <w:lang w:eastAsia="pl-PL"/>
        </w:rPr>
        <w:lastRenderedPageBreak/>
        <w:t>finansowania społecznościowego w zakresie przestrzegania interesów zleceniodawców</w:t>
      </w:r>
      <w:r w:rsidR="00E175BA" w:rsidRPr="00424E07">
        <w:rPr>
          <w:rFonts w:ascii="Times New Roman" w:eastAsia="Times New Roman" w:hAnsi="Times New Roman" w:cs="Times New Roman"/>
          <w:bCs/>
          <w:sz w:val="24"/>
          <w:szCs w:val="24"/>
          <w:lang w:eastAsia="pl-PL"/>
        </w:rPr>
        <w:t xml:space="preserve"> przez tych dostawców.</w:t>
      </w:r>
    </w:p>
    <w:p w14:paraId="5A6CE5DE" w14:textId="111BBBD5" w:rsidR="00986107" w:rsidRPr="00424E07"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45 pkt 12</w:t>
      </w:r>
      <w:r w:rsidR="00986107" w:rsidRPr="00424E07">
        <w:rPr>
          <w:rFonts w:ascii="Times New Roman" w:eastAsia="Times New Roman" w:hAnsi="Times New Roman" w:cs="Times New Roman"/>
          <w:bCs/>
          <w:sz w:val="24"/>
          <w:szCs w:val="24"/>
          <w:lang w:eastAsia="pl-PL"/>
        </w:rPr>
        <w:t xml:space="preserve"> precyzuje zakres uprawnień, jakie przysługują Komisji w odniesieniu do przeprowadzania kontroli dostawców usług finansowania społecznościowego w toku postępowania likwidacyjnego lub upadłościowego oraz w przypadku cofnięcia zezwolen</w:t>
      </w:r>
      <w:r w:rsidR="00E175BA" w:rsidRPr="00424E07">
        <w:rPr>
          <w:rFonts w:ascii="Times New Roman" w:eastAsia="Times New Roman" w:hAnsi="Times New Roman" w:cs="Times New Roman"/>
          <w:bCs/>
          <w:sz w:val="24"/>
          <w:szCs w:val="24"/>
          <w:lang w:eastAsia="pl-PL"/>
        </w:rPr>
        <w:t>ia na prowadzenie działalności.</w:t>
      </w:r>
    </w:p>
    <w:p w14:paraId="1EBB5D47" w14:textId="21C5FB3D" w:rsidR="00986107" w:rsidRPr="00424E07"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45 pkt 13</w:t>
      </w:r>
      <w:r w:rsidR="00986107" w:rsidRPr="00922D36">
        <w:rPr>
          <w:rFonts w:ascii="Times New Roman" w:eastAsia="Times New Roman" w:hAnsi="Times New Roman" w:cs="Times New Roman"/>
          <w:b/>
          <w:bCs/>
          <w:sz w:val="24"/>
          <w:szCs w:val="24"/>
          <w:lang w:eastAsia="pl-PL"/>
        </w:rPr>
        <w:t xml:space="preserve"> </w:t>
      </w:r>
      <w:r w:rsidR="007B0AFD" w:rsidRPr="00424E07">
        <w:rPr>
          <w:rFonts w:ascii="Times New Roman" w:eastAsia="Times New Roman" w:hAnsi="Times New Roman" w:cs="Times New Roman"/>
          <w:bCs/>
          <w:sz w:val="24"/>
          <w:szCs w:val="24"/>
          <w:lang w:eastAsia="pl-PL"/>
        </w:rPr>
        <w:t>rozszerza możliwość zażądania informacji stanowiących tajemnicę telekomunikacyjną przez Przewodniczącego Komisji w postępowaniu mającym na celu ustalenie, czy istnieją podstawy do złożenia zawiadomienia o podejrzeniu popełnienia przestępstwa</w:t>
      </w:r>
      <w:r w:rsidR="00A64DB1" w:rsidRPr="00424E07">
        <w:rPr>
          <w:rFonts w:ascii="Times New Roman" w:eastAsia="Times New Roman" w:hAnsi="Times New Roman" w:cs="Times New Roman"/>
          <w:bCs/>
          <w:sz w:val="24"/>
          <w:szCs w:val="24"/>
          <w:lang w:eastAsia="pl-PL"/>
        </w:rPr>
        <w:t xml:space="preserve">, o przypadek </w:t>
      </w:r>
      <w:r w:rsidR="007B0AFD" w:rsidRPr="00424E07">
        <w:rPr>
          <w:rFonts w:ascii="Times New Roman" w:eastAsia="Times New Roman" w:hAnsi="Times New Roman" w:cs="Times New Roman"/>
          <w:bCs/>
          <w:sz w:val="24"/>
          <w:szCs w:val="24"/>
          <w:lang w:eastAsia="pl-PL"/>
        </w:rPr>
        <w:t>podejrzenia popełnienia przestępstwa określonego w ustawie</w:t>
      </w:r>
      <w:r w:rsidR="00A64DB1" w:rsidRPr="00424E07">
        <w:rPr>
          <w:rFonts w:ascii="Times New Roman" w:hAnsi="Times New Roman" w:cs="Times New Roman"/>
          <w:sz w:val="24"/>
          <w:szCs w:val="24"/>
        </w:rPr>
        <w:t xml:space="preserve"> o </w:t>
      </w:r>
      <w:r w:rsidR="00D50DC9">
        <w:rPr>
          <w:rFonts w:ascii="Times New Roman" w:hAnsi="Times New Roman" w:cs="Times New Roman"/>
          <w:sz w:val="24"/>
          <w:szCs w:val="24"/>
        </w:rPr>
        <w:t>finansowaniu</w:t>
      </w:r>
      <w:r w:rsidR="00A64DB1" w:rsidRPr="00424E07">
        <w:rPr>
          <w:rFonts w:ascii="Times New Roman" w:hAnsi="Times New Roman" w:cs="Times New Roman"/>
          <w:sz w:val="24"/>
          <w:szCs w:val="24"/>
        </w:rPr>
        <w:t xml:space="preserve"> społecznościow</w:t>
      </w:r>
      <w:r w:rsidR="00D50DC9">
        <w:rPr>
          <w:rFonts w:ascii="Times New Roman" w:hAnsi="Times New Roman" w:cs="Times New Roman"/>
          <w:sz w:val="24"/>
          <w:szCs w:val="24"/>
        </w:rPr>
        <w:t>ym</w:t>
      </w:r>
      <w:r w:rsidR="00A64DB1" w:rsidRPr="00424E07">
        <w:rPr>
          <w:rFonts w:ascii="Times New Roman" w:hAnsi="Times New Roman" w:cs="Times New Roman"/>
          <w:sz w:val="24"/>
          <w:szCs w:val="24"/>
        </w:rPr>
        <w:t xml:space="preserve"> dla przedsięwzięć gospodarczych</w:t>
      </w:r>
      <w:r w:rsidR="007B0AFD" w:rsidRPr="00424E07">
        <w:rPr>
          <w:rFonts w:ascii="Times New Roman" w:eastAsia="Times New Roman" w:hAnsi="Times New Roman" w:cs="Times New Roman"/>
          <w:bCs/>
          <w:sz w:val="24"/>
          <w:szCs w:val="24"/>
          <w:lang w:eastAsia="pl-PL"/>
        </w:rPr>
        <w:t>.</w:t>
      </w:r>
    </w:p>
    <w:p w14:paraId="58DAE503" w14:textId="4FFCDA21" w:rsidR="00424E07" w:rsidRPr="00424E07" w:rsidRDefault="007066C9"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45 pkt 14</w:t>
      </w:r>
      <w:r w:rsidR="007B0AFD" w:rsidRPr="00424E07">
        <w:rPr>
          <w:rFonts w:ascii="Times New Roman" w:eastAsia="Times New Roman" w:hAnsi="Times New Roman" w:cs="Times New Roman"/>
          <w:bCs/>
          <w:sz w:val="24"/>
          <w:szCs w:val="24"/>
          <w:lang w:eastAsia="pl-PL"/>
        </w:rPr>
        <w:t xml:space="preserve"> zmienia upoważnienie w celu zobowiązania ministra właściwego do spraw instytucji finansowych do określenia w rozporządzeniu środków technicznych służących do przekazywania przez podmioty nadzorowane informacji do Komisji, w ramach wykonywania obowiązków informacyjnych i sprawozdawczych określonych również w ustawie</w:t>
      </w:r>
      <w:r w:rsidR="00A64DB1" w:rsidRPr="00424E07">
        <w:rPr>
          <w:rFonts w:ascii="Times New Roman" w:eastAsia="Times New Roman" w:hAnsi="Times New Roman" w:cs="Times New Roman"/>
          <w:bCs/>
          <w:sz w:val="24"/>
          <w:szCs w:val="24"/>
          <w:lang w:eastAsia="pl-PL"/>
        </w:rPr>
        <w:t xml:space="preserve"> </w:t>
      </w:r>
      <w:r w:rsidR="00A64DB1" w:rsidRPr="00424E07">
        <w:rPr>
          <w:rFonts w:ascii="Times New Roman" w:hAnsi="Times New Roman" w:cs="Times New Roman"/>
          <w:sz w:val="24"/>
          <w:szCs w:val="24"/>
        </w:rPr>
        <w:t>o finansowani</w:t>
      </w:r>
      <w:r w:rsidR="00D50DC9">
        <w:rPr>
          <w:rFonts w:ascii="Times New Roman" w:hAnsi="Times New Roman" w:cs="Times New Roman"/>
          <w:sz w:val="24"/>
          <w:szCs w:val="24"/>
        </w:rPr>
        <w:t>u</w:t>
      </w:r>
      <w:r w:rsidR="00A64DB1" w:rsidRPr="00424E07">
        <w:rPr>
          <w:rFonts w:ascii="Times New Roman" w:hAnsi="Times New Roman" w:cs="Times New Roman"/>
          <w:sz w:val="24"/>
          <w:szCs w:val="24"/>
        </w:rPr>
        <w:t xml:space="preserve"> społecznościow</w:t>
      </w:r>
      <w:r w:rsidR="00D50DC9">
        <w:rPr>
          <w:rFonts w:ascii="Times New Roman" w:hAnsi="Times New Roman" w:cs="Times New Roman"/>
          <w:sz w:val="24"/>
          <w:szCs w:val="24"/>
        </w:rPr>
        <w:t>ym</w:t>
      </w:r>
      <w:r w:rsidR="00A64DB1" w:rsidRPr="00424E07">
        <w:rPr>
          <w:rFonts w:ascii="Times New Roman" w:hAnsi="Times New Roman" w:cs="Times New Roman"/>
          <w:sz w:val="24"/>
          <w:szCs w:val="24"/>
        </w:rPr>
        <w:t xml:space="preserve"> dla przedsięwzięć gospodarczych</w:t>
      </w:r>
      <w:r w:rsidR="007B0AFD" w:rsidRPr="00424E07">
        <w:rPr>
          <w:rFonts w:ascii="Times New Roman" w:eastAsia="Times New Roman" w:hAnsi="Times New Roman" w:cs="Times New Roman"/>
          <w:bCs/>
          <w:sz w:val="24"/>
          <w:szCs w:val="24"/>
          <w:lang w:eastAsia="pl-PL"/>
        </w:rPr>
        <w:t>.</w:t>
      </w:r>
    </w:p>
    <w:p w14:paraId="6E3C00BF" w14:textId="369D2FE9" w:rsidR="00A64DB1" w:rsidRDefault="007066C9" w:rsidP="00922D36">
      <w:pPr>
        <w:suppressAutoHyphens/>
        <w:autoSpaceDE w:val="0"/>
        <w:autoSpaceDN w:val="0"/>
        <w:adjustRightInd w:val="0"/>
        <w:spacing w:before="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46</w:t>
      </w:r>
      <w:r w:rsidR="00BA51DF" w:rsidRPr="004E768F">
        <w:rPr>
          <w:rFonts w:ascii="Times New Roman" w:eastAsia="Times New Roman" w:hAnsi="Times New Roman" w:cs="Times New Roman"/>
          <w:bCs/>
          <w:sz w:val="24"/>
          <w:szCs w:val="24"/>
          <w:lang w:eastAsia="pl-PL"/>
        </w:rPr>
        <w:t xml:space="preserve"> </w:t>
      </w:r>
      <w:r w:rsidR="00E175BA">
        <w:rPr>
          <w:rFonts w:ascii="Times New Roman" w:eastAsia="Times New Roman" w:hAnsi="Times New Roman" w:cs="Times New Roman"/>
          <w:bCs/>
          <w:sz w:val="24"/>
          <w:szCs w:val="24"/>
          <w:lang w:eastAsia="pl-PL"/>
        </w:rPr>
        <w:t>zmienia</w:t>
      </w:r>
      <w:r w:rsidR="00BA51DF" w:rsidRPr="004E768F">
        <w:rPr>
          <w:rFonts w:ascii="Times New Roman" w:eastAsia="Times New Roman" w:hAnsi="Times New Roman" w:cs="Times New Roman"/>
          <w:bCs/>
          <w:sz w:val="24"/>
          <w:szCs w:val="24"/>
          <w:lang w:eastAsia="pl-PL"/>
        </w:rPr>
        <w:t xml:space="preserve"> </w:t>
      </w:r>
      <w:r w:rsidR="00BA51DF" w:rsidRPr="00A64DB1">
        <w:rPr>
          <w:rFonts w:ascii="Times New Roman" w:eastAsia="Times New Roman" w:hAnsi="Times New Roman" w:cs="Times New Roman"/>
          <w:b/>
          <w:bCs/>
          <w:sz w:val="24"/>
          <w:szCs w:val="24"/>
          <w:lang w:eastAsia="pl-PL"/>
        </w:rPr>
        <w:t>ustawę o obrocie instrumentami finansowymi</w:t>
      </w:r>
      <w:r w:rsidR="00E175BA">
        <w:rPr>
          <w:rFonts w:ascii="Times New Roman" w:eastAsia="Times New Roman" w:hAnsi="Times New Roman" w:cs="Times New Roman"/>
          <w:bCs/>
          <w:sz w:val="24"/>
          <w:szCs w:val="24"/>
          <w:lang w:eastAsia="pl-PL"/>
        </w:rPr>
        <w:t>.</w:t>
      </w:r>
    </w:p>
    <w:p w14:paraId="42745AE7" w14:textId="48B1E059" w:rsidR="00905F00" w:rsidRPr="00424E07" w:rsidRDefault="00BA51DF"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24E07">
        <w:rPr>
          <w:rFonts w:ascii="Times New Roman" w:eastAsia="Times New Roman" w:hAnsi="Times New Roman" w:cs="Times New Roman"/>
          <w:bCs/>
          <w:sz w:val="24"/>
          <w:szCs w:val="24"/>
          <w:lang w:eastAsia="pl-PL"/>
        </w:rPr>
        <w:t xml:space="preserve">W </w:t>
      </w:r>
      <w:r w:rsidR="007066C9">
        <w:rPr>
          <w:rFonts w:ascii="Times New Roman" w:eastAsia="Times New Roman" w:hAnsi="Times New Roman" w:cs="Times New Roman"/>
          <w:b/>
          <w:bCs/>
          <w:sz w:val="24"/>
          <w:szCs w:val="24"/>
          <w:lang w:eastAsia="pl-PL"/>
        </w:rPr>
        <w:t>art. 46</w:t>
      </w:r>
      <w:r w:rsidR="00A64DB1" w:rsidRPr="00922D36">
        <w:rPr>
          <w:rFonts w:ascii="Times New Roman" w:eastAsia="Times New Roman" w:hAnsi="Times New Roman" w:cs="Times New Roman"/>
          <w:b/>
          <w:bCs/>
          <w:sz w:val="24"/>
          <w:szCs w:val="24"/>
          <w:lang w:eastAsia="pl-PL"/>
        </w:rPr>
        <w:t xml:space="preserve"> </w:t>
      </w:r>
      <w:r w:rsidRPr="00922D36">
        <w:rPr>
          <w:rFonts w:ascii="Times New Roman" w:eastAsia="Times New Roman" w:hAnsi="Times New Roman" w:cs="Times New Roman"/>
          <w:b/>
          <w:bCs/>
          <w:sz w:val="24"/>
          <w:szCs w:val="24"/>
          <w:lang w:eastAsia="pl-PL"/>
        </w:rPr>
        <w:t>pkt 1</w:t>
      </w:r>
      <w:r w:rsidRPr="00424E07">
        <w:rPr>
          <w:rFonts w:ascii="Times New Roman" w:eastAsia="Times New Roman" w:hAnsi="Times New Roman" w:cs="Times New Roman"/>
          <w:bCs/>
          <w:sz w:val="24"/>
          <w:szCs w:val="24"/>
          <w:lang w:eastAsia="pl-PL"/>
        </w:rPr>
        <w:t xml:space="preserve"> do słowniczka ustawowego dodaje się skrótowe oznaczenie rozporządzenia 2020/1503</w:t>
      </w:r>
      <w:r w:rsidR="009F5D7A">
        <w:rPr>
          <w:rFonts w:ascii="Times New Roman" w:eastAsia="Times New Roman" w:hAnsi="Times New Roman" w:cs="Times New Roman"/>
          <w:bCs/>
          <w:sz w:val="24"/>
          <w:szCs w:val="24"/>
          <w:lang w:eastAsia="pl-PL"/>
        </w:rPr>
        <w:t xml:space="preserve"> oraz definicję arkusza kluczowych informacji inwestycyjnych</w:t>
      </w:r>
      <w:r w:rsidRPr="00424E07">
        <w:rPr>
          <w:rFonts w:ascii="Times New Roman" w:eastAsia="Times New Roman" w:hAnsi="Times New Roman" w:cs="Times New Roman"/>
          <w:bCs/>
          <w:sz w:val="24"/>
          <w:szCs w:val="24"/>
          <w:lang w:eastAsia="pl-PL"/>
        </w:rPr>
        <w:t>.</w:t>
      </w:r>
    </w:p>
    <w:p w14:paraId="01AB555B" w14:textId="37F55D74" w:rsidR="009F5D7A" w:rsidRDefault="009F5D7A"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46</w:t>
      </w:r>
      <w:r w:rsidR="00BA51DF" w:rsidRPr="00922D36">
        <w:rPr>
          <w:rFonts w:ascii="Times New Roman" w:eastAsia="Times New Roman" w:hAnsi="Times New Roman" w:cs="Times New Roman"/>
          <w:b/>
          <w:bCs/>
          <w:sz w:val="24"/>
          <w:szCs w:val="24"/>
          <w:lang w:eastAsia="pl-PL"/>
        </w:rPr>
        <w:t xml:space="preserve"> pkt 2</w:t>
      </w:r>
      <w:r>
        <w:rPr>
          <w:rFonts w:ascii="Times New Roman" w:eastAsia="Times New Roman" w:hAnsi="Times New Roman" w:cs="Times New Roman"/>
          <w:b/>
          <w:bCs/>
          <w:sz w:val="24"/>
          <w:szCs w:val="24"/>
          <w:lang w:eastAsia="pl-PL"/>
        </w:rPr>
        <w:t xml:space="preserve"> lit. a </w:t>
      </w:r>
      <w:r>
        <w:rPr>
          <w:rFonts w:ascii="Times New Roman" w:eastAsia="Times New Roman" w:hAnsi="Times New Roman" w:cs="Times New Roman"/>
          <w:bCs/>
          <w:sz w:val="24"/>
          <w:szCs w:val="24"/>
          <w:lang w:eastAsia="pl-PL"/>
        </w:rPr>
        <w:t>wprowadza zmianę o charakterze legislacyjnym. Na podstawie ustawy z dnia 16 października 2019 r. o zmianie ustawy o ofercie publicznej i warunkach wprowadzania instrumentów finansowych do zorganizowanego systemu obrotu oraz o spółkach publicznych (Dz. U. poz. 2217, z późn. zm.) pojęcie „prospektu emisyjnego” zostało zastąpione pojęciem „prospektu”. Tymczasem art. 19 ust. 1 pkt 1 ustawy o obrocie instrumentami finansowymi wciąż posługuje się wyrażeniem „prospekt emisyjny”. Proponowana zmiana ma na celu wyeliminowanie tego błędu.</w:t>
      </w:r>
    </w:p>
    <w:p w14:paraId="04D0165B" w14:textId="382A399C" w:rsidR="00BA51DF" w:rsidRPr="00424E07" w:rsidRDefault="009F5D7A"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9F5D7A">
        <w:rPr>
          <w:rFonts w:ascii="Times New Roman" w:eastAsia="Times New Roman" w:hAnsi="Times New Roman" w:cs="Times New Roman"/>
          <w:b/>
          <w:bCs/>
          <w:sz w:val="24"/>
          <w:szCs w:val="24"/>
          <w:lang w:eastAsia="pl-PL"/>
        </w:rPr>
        <w:t>Art. 46 pkt 2 lit. b</w:t>
      </w:r>
      <w:r>
        <w:rPr>
          <w:rFonts w:ascii="Times New Roman" w:eastAsia="Times New Roman" w:hAnsi="Times New Roman" w:cs="Times New Roman"/>
          <w:bCs/>
          <w:sz w:val="24"/>
          <w:szCs w:val="24"/>
          <w:lang w:eastAsia="pl-PL"/>
        </w:rPr>
        <w:t xml:space="preserve"> </w:t>
      </w:r>
      <w:r w:rsidR="00BA51DF" w:rsidRPr="00424E07">
        <w:rPr>
          <w:rFonts w:ascii="Times New Roman" w:eastAsia="Times New Roman" w:hAnsi="Times New Roman" w:cs="Times New Roman"/>
          <w:bCs/>
          <w:sz w:val="24"/>
          <w:szCs w:val="24"/>
          <w:lang w:eastAsia="pl-PL"/>
        </w:rPr>
        <w:t xml:space="preserve">wprowadza zasadę, że do ofert publicznych </w:t>
      </w:r>
      <w:r w:rsidR="00205874" w:rsidRPr="00424E07">
        <w:rPr>
          <w:rFonts w:ascii="Times New Roman" w:eastAsia="Times New Roman" w:hAnsi="Times New Roman" w:cs="Times New Roman"/>
          <w:bCs/>
          <w:sz w:val="24"/>
          <w:szCs w:val="24"/>
          <w:lang w:eastAsia="pl-PL"/>
        </w:rPr>
        <w:t>prowadzonych</w:t>
      </w:r>
      <w:r w:rsidR="00BA51DF" w:rsidRPr="00424E07">
        <w:rPr>
          <w:rFonts w:ascii="Times New Roman" w:eastAsia="Times New Roman" w:hAnsi="Times New Roman" w:cs="Times New Roman"/>
          <w:bCs/>
          <w:sz w:val="24"/>
          <w:szCs w:val="24"/>
          <w:lang w:eastAsia="pl-PL"/>
        </w:rPr>
        <w:t xml:space="preserve"> na platformach finansowania społecznościowego nie ma zastosowania </w:t>
      </w:r>
      <w:r w:rsidR="00205874" w:rsidRPr="00424E07">
        <w:rPr>
          <w:rFonts w:ascii="Times New Roman" w:eastAsia="Times New Roman" w:hAnsi="Times New Roman" w:cs="Times New Roman"/>
          <w:bCs/>
          <w:sz w:val="24"/>
          <w:szCs w:val="24"/>
          <w:lang w:eastAsia="pl-PL"/>
        </w:rPr>
        <w:t xml:space="preserve">wymóg pośrednictwa firmy inwestycyjnej. </w:t>
      </w:r>
      <w:r w:rsidR="00F428D8" w:rsidRPr="00424E07">
        <w:rPr>
          <w:rFonts w:ascii="Times New Roman" w:eastAsia="Times New Roman" w:hAnsi="Times New Roman" w:cs="Times New Roman"/>
          <w:bCs/>
          <w:sz w:val="24"/>
          <w:szCs w:val="24"/>
          <w:lang w:eastAsia="pl-PL"/>
        </w:rPr>
        <w:t>O</w:t>
      </w:r>
      <w:r w:rsidR="00753BB3" w:rsidRPr="00424E07">
        <w:rPr>
          <w:rFonts w:ascii="Times New Roman" w:eastAsia="Times New Roman" w:hAnsi="Times New Roman" w:cs="Times New Roman"/>
          <w:bCs/>
          <w:sz w:val="24"/>
          <w:szCs w:val="24"/>
          <w:lang w:eastAsia="pl-PL"/>
        </w:rPr>
        <w:t xml:space="preserve">ferty </w:t>
      </w:r>
      <w:r w:rsidR="00F428D8" w:rsidRPr="00424E07">
        <w:rPr>
          <w:rFonts w:ascii="Times New Roman" w:eastAsia="Times New Roman" w:hAnsi="Times New Roman" w:cs="Times New Roman"/>
          <w:bCs/>
          <w:sz w:val="24"/>
          <w:szCs w:val="24"/>
          <w:lang w:eastAsia="pl-PL"/>
        </w:rPr>
        <w:t xml:space="preserve">tego rodzaju </w:t>
      </w:r>
      <w:r w:rsidR="00753BB3" w:rsidRPr="00424E07">
        <w:rPr>
          <w:rFonts w:ascii="Times New Roman" w:eastAsia="Times New Roman" w:hAnsi="Times New Roman" w:cs="Times New Roman"/>
          <w:bCs/>
          <w:sz w:val="24"/>
          <w:szCs w:val="24"/>
          <w:lang w:eastAsia="pl-PL"/>
        </w:rPr>
        <w:t>będą prowadzone za pośrednictwem dostawców usług finansowania społecznościowego</w:t>
      </w:r>
      <w:r w:rsidR="00F428D8" w:rsidRPr="00424E07">
        <w:rPr>
          <w:rFonts w:ascii="Times New Roman" w:eastAsia="Times New Roman" w:hAnsi="Times New Roman" w:cs="Times New Roman"/>
          <w:bCs/>
          <w:sz w:val="24"/>
          <w:szCs w:val="24"/>
          <w:lang w:eastAsia="pl-PL"/>
        </w:rPr>
        <w:t xml:space="preserve"> podlegających </w:t>
      </w:r>
      <w:r w:rsidR="00753BB3" w:rsidRPr="00424E07">
        <w:rPr>
          <w:rFonts w:ascii="Times New Roman" w:eastAsia="Times New Roman" w:hAnsi="Times New Roman" w:cs="Times New Roman"/>
          <w:bCs/>
          <w:sz w:val="24"/>
          <w:szCs w:val="24"/>
          <w:lang w:eastAsia="pl-PL"/>
        </w:rPr>
        <w:t>nadzorow</w:t>
      </w:r>
      <w:r w:rsidR="00F428D8" w:rsidRPr="00424E07">
        <w:rPr>
          <w:rFonts w:ascii="Times New Roman" w:eastAsia="Times New Roman" w:hAnsi="Times New Roman" w:cs="Times New Roman"/>
          <w:bCs/>
          <w:sz w:val="24"/>
          <w:szCs w:val="24"/>
          <w:lang w:eastAsia="pl-PL"/>
        </w:rPr>
        <w:t xml:space="preserve">i </w:t>
      </w:r>
      <w:r w:rsidR="00753BB3" w:rsidRPr="00424E07">
        <w:rPr>
          <w:rFonts w:ascii="Times New Roman" w:eastAsia="Times New Roman" w:hAnsi="Times New Roman" w:cs="Times New Roman"/>
          <w:bCs/>
          <w:sz w:val="24"/>
          <w:szCs w:val="24"/>
          <w:lang w:eastAsia="pl-PL"/>
        </w:rPr>
        <w:t>Komisj</w:t>
      </w:r>
      <w:r w:rsidR="00F428D8" w:rsidRPr="00424E07">
        <w:rPr>
          <w:rFonts w:ascii="Times New Roman" w:eastAsia="Times New Roman" w:hAnsi="Times New Roman" w:cs="Times New Roman"/>
          <w:bCs/>
          <w:sz w:val="24"/>
          <w:szCs w:val="24"/>
          <w:lang w:eastAsia="pl-PL"/>
        </w:rPr>
        <w:t xml:space="preserve">i, </w:t>
      </w:r>
      <w:r w:rsidR="00753BB3" w:rsidRPr="00424E07">
        <w:rPr>
          <w:rFonts w:ascii="Times New Roman" w:eastAsia="Times New Roman" w:hAnsi="Times New Roman" w:cs="Times New Roman"/>
          <w:bCs/>
          <w:sz w:val="24"/>
          <w:szCs w:val="24"/>
          <w:lang w:eastAsia="pl-PL"/>
        </w:rPr>
        <w:t>zapewniającymi profesjonal</w:t>
      </w:r>
      <w:r w:rsidR="00F428D8" w:rsidRPr="00424E07">
        <w:rPr>
          <w:rFonts w:ascii="Times New Roman" w:eastAsia="Times New Roman" w:hAnsi="Times New Roman" w:cs="Times New Roman"/>
          <w:bCs/>
          <w:sz w:val="24"/>
          <w:szCs w:val="24"/>
          <w:lang w:eastAsia="pl-PL"/>
        </w:rPr>
        <w:t xml:space="preserve">ne </w:t>
      </w:r>
      <w:r w:rsidR="00753BB3" w:rsidRPr="00424E07">
        <w:rPr>
          <w:rFonts w:ascii="Times New Roman" w:eastAsia="Times New Roman" w:hAnsi="Times New Roman" w:cs="Times New Roman"/>
          <w:bCs/>
          <w:sz w:val="24"/>
          <w:szCs w:val="24"/>
          <w:lang w:eastAsia="pl-PL"/>
        </w:rPr>
        <w:t>świadcz</w:t>
      </w:r>
      <w:r w:rsidR="00F428D8" w:rsidRPr="00424E07">
        <w:rPr>
          <w:rFonts w:ascii="Times New Roman" w:eastAsia="Times New Roman" w:hAnsi="Times New Roman" w:cs="Times New Roman"/>
          <w:bCs/>
          <w:sz w:val="24"/>
          <w:szCs w:val="24"/>
          <w:lang w:eastAsia="pl-PL"/>
        </w:rPr>
        <w:t xml:space="preserve">enie </w:t>
      </w:r>
      <w:r w:rsidR="00E175BA" w:rsidRPr="00424E07">
        <w:rPr>
          <w:rFonts w:ascii="Times New Roman" w:eastAsia="Times New Roman" w:hAnsi="Times New Roman" w:cs="Times New Roman"/>
          <w:bCs/>
          <w:sz w:val="24"/>
          <w:szCs w:val="24"/>
          <w:lang w:eastAsia="pl-PL"/>
        </w:rPr>
        <w:t>usług.</w:t>
      </w:r>
    </w:p>
    <w:p w14:paraId="2C9A6E84" w14:textId="7B0FBDE3" w:rsidR="00753BB3" w:rsidRPr="00424E07" w:rsidRDefault="00753BB3"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24E07">
        <w:rPr>
          <w:rFonts w:ascii="Times New Roman" w:eastAsia="Times New Roman" w:hAnsi="Times New Roman" w:cs="Times New Roman"/>
          <w:bCs/>
          <w:sz w:val="24"/>
          <w:szCs w:val="24"/>
          <w:lang w:eastAsia="pl-PL"/>
        </w:rPr>
        <w:t xml:space="preserve">Zmiana proponowana w </w:t>
      </w:r>
      <w:r w:rsidR="009F5D7A">
        <w:rPr>
          <w:rFonts w:ascii="Times New Roman" w:eastAsia="Times New Roman" w:hAnsi="Times New Roman" w:cs="Times New Roman"/>
          <w:b/>
          <w:bCs/>
          <w:sz w:val="24"/>
          <w:szCs w:val="24"/>
          <w:lang w:eastAsia="pl-PL"/>
        </w:rPr>
        <w:t>art. 46</w:t>
      </w:r>
      <w:r w:rsidRPr="00922D36">
        <w:rPr>
          <w:rFonts w:ascii="Times New Roman" w:eastAsia="Times New Roman" w:hAnsi="Times New Roman" w:cs="Times New Roman"/>
          <w:b/>
          <w:bCs/>
          <w:sz w:val="24"/>
          <w:szCs w:val="24"/>
          <w:lang w:eastAsia="pl-PL"/>
        </w:rPr>
        <w:t xml:space="preserve"> pkt 3 lit. a</w:t>
      </w:r>
      <w:r w:rsidRPr="00424E07">
        <w:rPr>
          <w:rFonts w:ascii="Times New Roman" w:eastAsia="Times New Roman" w:hAnsi="Times New Roman" w:cs="Times New Roman"/>
          <w:bCs/>
          <w:sz w:val="24"/>
          <w:szCs w:val="24"/>
          <w:lang w:eastAsia="pl-PL"/>
        </w:rPr>
        <w:t xml:space="preserve"> ma charakter legislacyjny</w:t>
      </w:r>
      <w:r w:rsidR="009F5D7A">
        <w:rPr>
          <w:rFonts w:ascii="Times New Roman" w:eastAsia="Times New Roman" w:hAnsi="Times New Roman" w:cs="Times New Roman"/>
          <w:bCs/>
          <w:sz w:val="24"/>
          <w:szCs w:val="24"/>
          <w:lang w:eastAsia="pl-PL"/>
        </w:rPr>
        <w:t>. Zgodnie z zasadami techniki prawodawczej nie wprowadza się zastrzeżeń w obrębie jednego przepisu.</w:t>
      </w:r>
      <w:r w:rsidRPr="00424E07">
        <w:rPr>
          <w:rFonts w:ascii="Times New Roman" w:eastAsia="Times New Roman" w:hAnsi="Times New Roman" w:cs="Times New Roman"/>
          <w:bCs/>
          <w:sz w:val="24"/>
          <w:szCs w:val="24"/>
          <w:lang w:eastAsia="pl-PL"/>
        </w:rPr>
        <w:t xml:space="preserve"> </w:t>
      </w:r>
      <w:r w:rsidR="009F5D7A">
        <w:rPr>
          <w:rFonts w:ascii="Times New Roman" w:eastAsia="Times New Roman" w:hAnsi="Times New Roman" w:cs="Times New Roman"/>
          <w:b/>
          <w:bCs/>
          <w:sz w:val="24"/>
          <w:szCs w:val="24"/>
          <w:lang w:eastAsia="pl-PL"/>
        </w:rPr>
        <w:t>Art. 46</w:t>
      </w:r>
      <w:r w:rsidR="00E175BA" w:rsidRPr="00922D36">
        <w:rPr>
          <w:rFonts w:ascii="Times New Roman" w:eastAsia="Times New Roman" w:hAnsi="Times New Roman" w:cs="Times New Roman"/>
          <w:b/>
          <w:bCs/>
          <w:sz w:val="24"/>
          <w:szCs w:val="24"/>
          <w:lang w:eastAsia="pl-PL"/>
        </w:rPr>
        <w:t xml:space="preserve"> </w:t>
      </w:r>
      <w:r w:rsidRPr="00922D36">
        <w:rPr>
          <w:rFonts w:ascii="Times New Roman" w:eastAsia="Times New Roman" w:hAnsi="Times New Roman" w:cs="Times New Roman"/>
          <w:b/>
          <w:bCs/>
          <w:sz w:val="24"/>
          <w:szCs w:val="24"/>
          <w:lang w:eastAsia="pl-PL"/>
        </w:rPr>
        <w:t>pkt 3 lit. b</w:t>
      </w:r>
      <w:r w:rsidR="009F5D7A">
        <w:rPr>
          <w:rFonts w:ascii="Times New Roman" w:eastAsia="Times New Roman" w:hAnsi="Times New Roman" w:cs="Times New Roman"/>
          <w:bCs/>
          <w:sz w:val="24"/>
          <w:szCs w:val="24"/>
          <w:lang w:eastAsia="pl-PL"/>
        </w:rPr>
        <w:t xml:space="preserve"> przewiduje, że s</w:t>
      </w:r>
      <w:r w:rsidRPr="00424E07">
        <w:rPr>
          <w:rFonts w:ascii="Times New Roman" w:eastAsia="Times New Roman" w:hAnsi="Times New Roman" w:cs="Times New Roman"/>
          <w:bCs/>
          <w:sz w:val="24"/>
          <w:szCs w:val="24"/>
          <w:lang w:eastAsia="pl-PL"/>
        </w:rPr>
        <w:t xml:space="preserve">półka prowadząca rynek regulowany </w:t>
      </w:r>
      <w:r w:rsidR="00F428D8" w:rsidRPr="00424E07">
        <w:rPr>
          <w:rFonts w:ascii="Times New Roman" w:eastAsia="Times New Roman" w:hAnsi="Times New Roman" w:cs="Times New Roman"/>
          <w:bCs/>
          <w:sz w:val="24"/>
          <w:szCs w:val="24"/>
          <w:lang w:eastAsia="pl-PL"/>
        </w:rPr>
        <w:t xml:space="preserve">będzie mogła </w:t>
      </w:r>
      <w:r w:rsidRPr="00424E07">
        <w:rPr>
          <w:rFonts w:ascii="Times New Roman" w:eastAsia="Times New Roman" w:hAnsi="Times New Roman" w:cs="Times New Roman"/>
          <w:bCs/>
          <w:sz w:val="24"/>
          <w:szCs w:val="24"/>
          <w:lang w:eastAsia="pl-PL"/>
        </w:rPr>
        <w:t>świadczyć usługi finansowania społecznościowego po uzyskaniu odpowiedniego zezwolenia</w:t>
      </w:r>
      <w:r w:rsidR="00F428D8" w:rsidRPr="00424E07">
        <w:rPr>
          <w:rFonts w:ascii="Times New Roman" w:eastAsia="Times New Roman" w:hAnsi="Times New Roman" w:cs="Times New Roman"/>
          <w:bCs/>
          <w:sz w:val="24"/>
          <w:szCs w:val="24"/>
          <w:lang w:eastAsia="pl-PL"/>
        </w:rPr>
        <w:t xml:space="preserve">, zgodnie z </w:t>
      </w:r>
      <w:r w:rsidRPr="00424E07">
        <w:rPr>
          <w:rFonts w:ascii="Times New Roman" w:eastAsia="Times New Roman" w:hAnsi="Times New Roman" w:cs="Times New Roman"/>
          <w:bCs/>
          <w:sz w:val="24"/>
          <w:szCs w:val="24"/>
          <w:lang w:eastAsia="pl-PL"/>
        </w:rPr>
        <w:t>art. 12 ust. 14 rozporządzenia 2020/1503</w:t>
      </w:r>
      <w:r w:rsidR="00E175BA" w:rsidRPr="00424E07">
        <w:rPr>
          <w:rFonts w:ascii="Times New Roman" w:eastAsia="Times New Roman" w:hAnsi="Times New Roman" w:cs="Times New Roman"/>
          <w:bCs/>
          <w:sz w:val="24"/>
          <w:szCs w:val="24"/>
          <w:lang w:eastAsia="pl-PL"/>
        </w:rPr>
        <w:t>.</w:t>
      </w:r>
    </w:p>
    <w:p w14:paraId="3B8E77E0" w14:textId="33BD8D37" w:rsidR="00753BB3" w:rsidRPr="00424E07" w:rsidRDefault="009F5D7A"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46</w:t>
      </w:r>
      <w:r w:rsidR="00753BB3" w:rsidRPr="00922D36">
        <w:rPr>
          <w:rFonts w:ascii="Times New Roman" w:eastAsia="Times New Roman" w:hAnsi="Times New Roman" w:cs="Times New Roman"/>
          <w:b/>
          <w:bCs/>
          <w:sz w:val="24"/>
          <w:szCs w:val="24"/>
          <w:lang w:eastAsia="pl-PL"/>
        </w:rPr>
        <w:t xml:space="preserve"> pkt 4</w:t>
      </w:r>
      <w:r w:rsidR="00753BB3" w:rsidRPr="00424E07">
        <w:rPr>
          <w:rFonts w:ascii="Times New Roman" w:eastAsia="Times New Roman" w:hAnsi="Times New Roman" w:cs="Times New Roman"/>
          <w:bCs/>
          <w:sz w:val="24"/>
          <w:szCs w:val="24"/>
          <w:lang w:eastAsia="pl-PL"/>
        </w:rPr>
        <w:t xml:space="preserve"> stanowi implementację dyrektywy 2020/1504. Dyrektywa 2020/1504 wprowadza zmianę w </w:t>
      </w:r>
      <w:r w:rsidR="001F02E2" w:rsidRPr="00424E07">
        <w:rPr>
          <w:rFonts w:ascii="Times New Roman" w:eastAsia="Times New Roman" w:hAnsi="Times New Roman" w:cs="Times New Roman"/>
          <w:bCs/>
          <w:sz w:val="24"/>
          <w:szCs w:val="24"/>
          <w:lang w:eastAsia="pl-PL"/>
        </w:rPr>
        <w:t xml:space="preserve">tzw. </w:t>
      </w:r>
      <w:r w:rsidR="00753BB3" w:rsidRPr="00424E07">
        <w:rPr>
          <w:rFonts w:ascii="Times New Roman" w:eastAsia="Times New Roman" w:hAnsi="Times New Roman" w:cs="Times New Roman"/>
          <w:bCs/>
          <w:sz w:val="24"/>
          <w:szCs w:val="24"/>
          <w:lang w:eastAsia="pl-PL"/>
        </w:rPr>
        <w:t xml:space="preserve">dyrektywie </w:t>
      </w:r>
      <w:r w:rsidR="001F02E2" w:rsidRPr="00424E07">
        <w:rPr>
          <w:rFonts w:ascii="Times New Roman" w:eastAsia="Times New Roman" w:hAnsi="Times New Roman" w:cs="Times New Roman"/>
          <w:bCs/>
          <w:sz w:val="24"/>
          <w:szCs w:val="24"/>
          <w:lang w:eastAsia="pl-PL"/>
        </w:rPr>
        <w:t>MiFID II</w:t>
      </w:r>
      <w:r w:rsidR="00753BB3" w:rsidRPr="00424E07">
        <w:rPr>
          <w:rFonts w:ascii="Times New Roman" w:eastAsia="Times New Roman" w:hAnsi="Times New Roman" w:cs="Times New Roman"/>
          <w:bCs/>
          <w:sz w:val="24"/>
          <w:szCs w:val="24"/>
          <w:lang w:eastAsia="pl-PL"/>
        </w:rPr>
        <w:t xml:space="preserve">, </w:t>
      </w:r>
      <w:r w:rsidR="001F02E2" w:rsidRPr="00424E07">
        <w:rPr>
          <w:rFonts w:ascii="Times New Roman" w:eastAsia="Times New Roman" w:hAnsi="Times New Roman" w:cs="Times New Roman"/>
          <w:bCs/>
          <w:sz w:val="24"/>
          <w:szCs w:val="24"/>
          <w:lang w:eastAsia="pl-PL"/>
        </w:rPr>
        <w:t>przez dodanie d</w:t>
      </w:r>
      <w:r w:rsidR="00753BB3" w:rsidRPr="00424E07">
        <w:rPr>
          <w:rFonts w:ascii="Times New Roman" w:eastAsia="Times New Roman" w:hAnsi="Times New Roman" w:cs="Times New Roman"/>
          <w:bCs/>
          <w:sz w:val="24"/>
          <w:szCs w:val="24"/>
          <w:lang w:eastAsia="pl-PL"/>
        </w:rPr>
        <w:t xml:space="preserve">ostawców usług </w:t>
      </w:r>
      <w:r w:rsidR="001F02E2" w:rsidRPr="00424E07">
        <w:rPr>
          <w:rFonts w:ascii="Times New Roman" w:eastAsia="Times New Roman" w:hAnsi="Times New Roman" w:cs="Times New Roman"/>
          <w:bCs/>
          <w:sz w:val="24"/>
          <w:szCs w:val="24"/>
          <w:lang w:eastAsia="pl-PL"/>
        </w:rPr>
        <w:t xml:space="preserve">finansowania społecznościowego </w:t>
      </w:r>
      <w:r w:rsidR="00753BB3" w:rsidRPr="00424E07">
        <w:rPr>
          <w:rFonts w:ascii="Times New Roman" w:eastAsia="Times New Roman" w:hAnsi="Times New Roman" w:cs="Times New Roman"/>
          <w:bCs/>
          <w:sz w:val="24"/>
          <w:szCs w:val="24"/>
          <w:lang w:eastAsia="pl-PL"/>
        </w:rPr>
        <w:t xml:space="preserve">do art. 2 ust. 1 </w:t>
      </w:r>
      <w:r w:rsidR="001F02E2" w:rsidRPr="00424E07">
        <w:rPr>
          <w:rFonts w:ascii="Times New Roman" w:eastAsia="Times New Roman" w:hAnsi="Times New Roman" w:cs="Times New Roman"/>
          <w:bCs/>
          <w:sz w:val="24"/>
          <w:szCs w:val="24"/>
          <w:lang w:eastAsia="pl-PL"/>
        </w:rPr>
        <w:t xml:space="preserve">dyrektywy </w:t>
      </w:r>
      <w:r w:rsidR="00753BB3" w:rsidRPr="00424E07">
        <w:rPr>
          <w:rFonts w:ascii="Times New Roman" w:eastAsia="Times New Roman" w:hAnsi="Times New Roman" w:cs="Times New Roman"/>
          <w:bCs/>
          <w:sz w:val="24"/>
          <w:szCs w:val="24"/>
          <w:lang w:eastAsia="pl-PL"/>
        </w:rPr>
        <w:t xml:space="preserve">MiFID II, zawierającego listę podmiotów, których działalność jest wyłączona z zakresu stosowania </w:t>
      </w:r>
      <w:r w:rsidR="001F02E2" w:rsidRPr="00424E07">
        <w:rPr>
          <w:rFonts w:ascii="Times New Roman" w:eastAsia="Times New Roman" w:hAnsi="Times New Roman" w:cs="Times New Roman"/>
          <w:bCs/>
          <w:sz w:val="24"/>
          <w:szCs w:val="24"/>
          <w:lang w:eastAsia="pl-PL"/>
        </w:rPr>
        <w:t>tej dyrektywy</w:t>
      </w:r>
      <w:r w:rsidR="00753BB3" w:rsidRPr="00424E07">
        <w:rPr>
          <w:rFonts w:ascii="Times New Roman" w:eastAsia="Times New Roman" w:hAnsi="Times New Roman" w:cs="Times New Roman"/>
          <w:bCs/>
          <w:sz w:val="24"/>
          <w:szCs w:val="24"/>
          <w:lang w:eastAsia="pl-PL"/>
        </w:rPr>
        <w:t xml:space="preserve">. </w:t>
      </w:r>
      <w:r w:rsidR="00E175BA" w:rsidRPr="00424E07">
        <w:rPr>
          <w:rFonts w:ascii="Times New Roman" w:eastAsia="Times New Roman" w:hAnsi="Times New Roman" w:cs="Times New Roman"/>
          <w:bCs/>
          <w:sz w:val="24"/>
          <w:szCs w:val="24"/>
          <w:lang w:eastAsia="pl-PL"/>
        </w:rPr>
        <w:t xml:space="preserve">W </w:t>
      </w:r>
      <w:r w:rsidR="00D47D18" w:rsidRPr="00424E07">
        <w:rPr>
          <w:rFonts w:ascii="Times New Roman" w:eastAsia="Times New Roman" w:hAnsi="Times New Roman" w:cs="Times New Roman"/>
          <w:bCs/>
          <w:sz w:val="24"/>
          <w:szCs w:val="24"/>
          <w:lang w:eastAsia="pl-PL"/>
        </w:rPr>
        <w:t xml:space="preserve">związku z tym zmianie ulegnie </w:t>
      </w:r>
      <w:r w:rsidR="001F02E2" w:rsidRPr="00424E07">
        <w:rPr>
          <w:rFonts w:ascii="Times New Roman" w:eastAsia="Times New Roman" w:hAnsi="Times New Roman" w:cs="Times New Roman"/>
          <w:bCs/>
          <w:sz w:val="24"/>
          <w:szCs w:val="24"/>
          <w:lang w:eastAsia="pl-PL"/>
        </w:rPr>
        <w:t>art. 70 ustawy o obrocie instrumentami finansowymi</w:t>
      </w:r>
      <w:r w:rsidR="00D47D18" w:rsidRPr="00424E07">
        <w:rPr>
          <w:rFonts w:ascii="Times New Roman" w:eastAsia="Times New Roman" w:hAnsi="Times New Roman" w:cs="Times New Roman"/>
          <w:bCs/>
          <w:sz w:val="24"/>
          <w:szCs w:val="24"/>
          <w:lang w:eastAsia="pl-PL"/>
        </w:rPr>
        <w:t xml:space="preserve"> stanowiąc</w:t>
      </w:r>
      <w:r w:rsidR="00E175BA" w:rsidRPr="00424E07">
        <w:rPr>
          <w:rFonts w:ascii="Times New Roman" w:eastAsia="Times New Roman" w:hAnsi="Times New Roman" w:cs="Times New Roman"/>
          <w:bCs/>
          <w:sz w:val="24"/>
          <w:szCs w:val="24"/>
          <w:lang w:eastAsia="pl-PL"/>
        </w:rPr>
        <w:t>y wdrożenie art. 2 ust. 1 dyrektywy MIFID II.</w:t>
      </w:r>
    </w:p>
    <w:p w14:paraId="6090851F" w14:textId="5FF273F3" w:rsidR="00424E07" w:rsidRPr="00424E07" w:rsidRDefault="001F02E2"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24E07">
        <w:rPr>
          <w:rFonts w:ascii="Times New Roman" w:eastAsia="Times New Roman" w:hAnsi="Times New Roman" w:cs="Times New Roman"/>
          <w:bCs/>
          <w:sz w:val="24"/>
          <w:szCs w:val="24"/>
          <w:lang w:eastAsia="pl-PL"/>
        </w:rPr>
        <w:t xml:space="preserve">Zmiana proponowana w </w:t>
      </w:r>
      <w:r w:rsidR="001F056A">
        <w:rPr>
          <w:rFonts w:ascii="Times New Roman" w:eastAsia="Times New Roman" w:hAnsi="Times New Roman" w:cs="Times New Roman"/>
          <w:b/>
          <w:bCs/>
          <w:sz w:val="24"/>
          <w:szCs w:val="24"/>
          <w:lang w:eastAsia="pl-PL"/>
        </w:rPr>
        <w:t>art. 46</w:t>
      </w:r>
      <w:r w:rsidRPr="00922D36">
        <w:rPr>
          <w:rFonts w:ascii="Times New Roman" w:eastAsia="Times New Roman" w:hAnsi="Times New Roman" w:cs="Times New Roman"/>
          <w:b/>
          <w:bCs/>
          <w:sz w:val="24"/>
          <w:szCs w:val="24"/>
          <w:lang w:eastAsia="pl-PL"/>
        </w:rPr>
        <w:t xml:space="preserve"> pkt 5</w:t>
      </w:r>
      <w:r w:rsidRPr="00424E07">
        <w:rPr>
          <w:rFonts w:ascii="Times New Roman" w:eastAsia="Times New Roman" w:hAnsi="Times New Roman" w:cs="Times New Roman"/>
          <w:bCs/>
          <w:sz w:val="24"/>
          <w:szCs w:val="24"/>
          <w:lang w:eastAsia="pl-PL"/>
        </w:rPr>
        <w:t xml:space="preserve"> jest związana z</w:t>
      </w:r>
      <w:r w:rsidR="00D47D18" w:rsidRPr="00424E07">
        <w:rPr>
          <w:rFonts w:ascii="Times New Roman" w:eastAsia="Times New Roman" w:hAnsi="Times New Roman" w:cs="Times New Roman"/>
          <w:bCs/>
          <w:sz w:val="24"/>
          <w:szCs w:val="24"/>
          <w:lang w:eastAsia="pl-PL"/>
        </w:rPr>
        <w:t xml:space="preserve">e </w:t>
      </w:r>
      <w:r w:rsidRPr="00424E07">
        <w:rPr>
          <w:rFonts w:ascii="Times New Roman" w:eastAsia="Times New Roman" w:hAnsi="Times New Roman" w:cs="Times New Roman"/>
          <w:bCs/>
          <w:sz w:val="24"/>
          <w:szCs w:val="24"/>
          <w:lang w:eastAsia="pl-PL"/>
        </w:rPr>
        <w:t>zmian</w:t>
      </w:r>
      <w:r w:rsidR="00D47D18" w:rsidRPr="00424E07">
        <w:rPr>
          <w:rFonts w:ascii="Times New Roman" w:eastAsia="Times New Roman" w:hAnsi="Times New Roman" w:cs="Times New Roman"/>
          <w:bCs/>
          <w:sz w:val="24"/>
          <w:szCs w:val="24"/>
          <w:lang w:eastAsia="pl-PL"/>
        </w:rPr>
        <w:t xml:space="preserve">ami </w:t>
      </w:r>
      <w:r w:rsidRPr="00424E07">
        <w:rPr>
          <w:rFonts w:ascii="Times New Roman" w:eastAsia="Times New Roman" w:hAnsi="Times New Roman" w:cs="Times New Roman"/>
          <w:bCs/>
          <w:sz w:val="24"/>
          <w:szCs w:val="24"/>
          <w:lang w:eastAsia="pl-PL"/>
        </w:rPr>
        <w:t>w ustawie o ofercie publicznej, które mają na celu zastąpienie obowiązku udostępnienia memorandum informacyjnego oraz dokumentu informacyjnego, przez emitenta korzystającego przy prowadzonej ofercie publicznej z pośrednictwa firmy inwestycyjnej, obowiązkiem udostępnienia arkusza kluczowych informacji inwestycyjnych</w:t>
      </w:r>
      <w:r w:rsidR="00D47D18" w:rsidRPr="00424E07">
        <w:rPr>
          <w:rFonts w:ascii="Times New Roman" w:eastAsia="Times New Roman" w:hAnsi="Times New Roman" w:cs="Times New Roman"/>
          <w:bCs/>
          <w:sz w:val="24"/>
          <w:szCs w:val="24"/>
          <w:lang w:eastAsia="pl-PL"/>
        </w:rPr>
        <w:t xml:space="preserve"> tak ja</w:t>
      </w:r>
      <w:r w:rsidR="00CD0474" w:rsidRPr="00424E07">
        <w:rPr>
          <w:rFonts w:ascii="Times New Roman" w:eastAsia="Times New Roman" w:hAnsi="Times New Roman" w:cs="Times New Roman"/>
          <w:bCs/>
          <w:sz w:val="24"/>
          <w:szCs w:val="24"/>
          <w:lang w:eastAsia="pl-PL"/>
        </w:rPr>
        <w:t>k</w:t>
      </w:r>
      <w:r w:rsidR="00D47D18" w:rsidRPr="00424E07">
        <w:rPr>
          <w:rFonts w:ascii="Times New Roman" w:eastAsia="Times New Roman" w:hAnsi="Times New Roman" w:cs="Times New Roman"/>
          <w:bCs/>
          <w:sz w:val="24"/>
          <w:szCs w:val="24"/>
          <w:lang w:eastAsia="pl-PL"/>
        </w:rPr>
        <w:t xml:space="preserve"> w przypadku art. 23 rozporządzenia 2020/1503</w:t>
      </w:r>
      <w:r w:rsidR="00CD0474" w:rsidRPr="00424E07">
        <w:rPr>
          <w:rFonts w:ascii="Times New Roman" w:eastAsia="Times New Roman" w:hAnsi="Times New Roman" w:cs="Times New Roman"/>
          <w:bCs/>
          <w:sz w:val="24"/>
          <w:szCs w:val="24"/>
          <w:lang w:eastAsia="pl-PL"/>
        </w:rPr>
        <w:t>.</w:t>
      </w:r>
    </w:p>
    <w:p w14:paraId="152364D7" w14:textId="503C0291" w:rsidR="00E15595" w:rsidRPr="004E768F" w:rsidRDefault="001F056A" w:rsidP="00922D36">
      <w:pPr>
        <w:suppressAutoHyphens/>
        <w:autoSpaceDE w:val="0"/>
        <w:autoSpaceDN w:val="0"/>
        <w:adjustRightInd w:val="0"/>
        <w:spacing w:before="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lastRenderedPageBreak/>
        <w:t>Art. 47</w:t>
      </w:r>
      <w:r w:rsidR="00E15595" w:rsidRPr="004E768F">
        <w:rPr>
          <w:rFonts w:ascii="Times New Roman" w:eastAsia="Times New Roman" w:hAnsi="Times New Roman" w:cs="Times New Roman"/>
          <w:bCs/>
          <w:sz w:val="24"/>
          <w:szCs w:val="24"/>
          <w:lang w:eastAsia="pl-PL"/>
        </w:rPr>
        <w:t xml:space="preserve"> wprowadza zmiany do </w:t>
      </w:r>
      <w:r w:rsidR="00E15595" w:rsidRPr="00D47D18">
        <w:rPr>
          <w:rFonts w:ascii="Times New Roman" w:eastAsia="Times New Roman" w:hAnsi="Times New Roman" w:cs="Times New Roman"/>
          <w:b/>
          <w:bCs/>
          <w:sz w:val="24"/>
          <w:szCs w:val="24"/>
          <w:lang w:eastAsia="pl-PL"/>
        </w:rPr>
        <w:t>ustawy o ofercie publicznej</w:t>
      </w:r>
      <w:r w:rsidR="00E15595" w:rsidRPr="004E768F">
        <w:rPr>
          <w:rFonts w:ascii="Times New Roman" w:eastAsia="Times New Roman" w:hAnsi="Times New Roman" w:cs="Times New Roman"/>
          <w:bCs/>
          <w:sz w:val="24"/>
          <w:szCs w:val="24"/>
          <w:lang w:eastAsia="pl-PL"/>
        </w:rPr>
        <w:t xml:space="preserve">. Ze względu na to, że ustawa o ofercie publicznej reguluje liczne obowiązki emitentów papierów wartościowych, prowadzących na terytorium Rzeczypospolitej Polskiej oferty publiczne, część obowiązków emitentów korzystających z usług dostawców usług finansowania społecznościowego zdecydowano się uregulować w tej ustawie. Arkusz kluczowych informacji inwestycyjnych, </w:t>
      </w:r>
      <w:r w:rsidR="00497113">
        <w:rPr>
          <w:rFonts w:ascii="Times New Roman" w:eastAsia="Times New Roman" w:hAnsi="Times New Roman" w:cs="Times New Roman"/>
          <w:bCs/>
          <w:sz w:val="24"/>
          <w:szCs w:val="24"/>
          <w:lang w:eastAsia="pl-PL"/>
        </w:rPr>
        <w:t xml:space="preserve">o którym mowa w </w:t>
      </w:r>
      <w:r w:rsidR="00CD0474">
        <w:rPr>
          <w:rFonts w:ascii="Times New Roman" w:eastAsia="Times New Roman" w:hAnsi="Times New Roman" w:cs="Times New Roman"/>
          <w:bCs/>
          <w:sz w:val="24"/>
          <w:szCs w:val="24"/>
          <w:lang w:eastAsia="pl-PL"/>
        </w:rPr>
        <w:t>art. 23 rozporządzenia 2020/1503,</w:t>
      </w:r>
      <w:r w:rsidR="00E15595" w:rsidRPr="004E768F">
        <w:rPr>
          <w:rFonts w:ascii="Times New Roman" w:eastAsia="Times New Roman" w:hAnsi="Times New Roman" w:cs="Times New Roman"/>
          <w:bCs/>
          <w:sz w:val="24"/>
          <w:szCs w:val="24"/>
          <w:lang w:eastAsia="pl-PL"/>
        </w:rPr>
        <w:t xml:space="preserve"> stanie się bowiem</w:t>
      </w:r>
      <w:r w:rsidR="00497113">
        <w:rPr>
          <w:rFonts w:ascii="Times New Roman" w:eastAsia="Times New Roman" w:hAnsi="Times New Roman" w:cs="Times New Roman"/>
          <w:bCs/>
          <w:sz w:val="24"/>
          <w:szCs w:val="24"/>
          <w:lang w:eastAsia="pl-PL"/>
        </w:rPr>
        <w:t xml:space="preserve"> </w:t>
      </w:r>
      <w:r w:rsidR="00E15595" w:rsidRPr="004E768F">
        <w:rPr>
          <w:rFonts w:ascii="Times New Roman" w:eastAsia="Times New Roman" w:hAnsi="Times New Roman" w:cs="Times New Roman"/>
          <w:bCs/>
          <w:sz w:val="24"/>
          <w:szCs w:val="24"/>
          <w:lang w:eastAsia="pl-PL"/>
        </w:rPr>
        <w:t>jednym z dokumentów ofertowych, jakimi obecnie są prospekt, memorandum informacyjne, oraz dokument</w:t>
      </w:r>
      <w:r w:rsidR="00CD0474">
        <w:rPr>
          <w:rFonts w:ascii="Times New Roman" w:eastAsia="Times New Roman" w:hAnsi="Times New Roman" w:cs="Times New Roman"/>
          <w:bCs/>
          <w:sz w:val="24"/>
          <w:szCs w:val="24"/>
          <w:lang w:eastAsia="pl-PL"/>
        </w:rPr>
        <w:t xml:space="preserve"> informacyjny</w:t>
      </w:r>
      <w:r w:rsidR="00E15595" w:rsidRPr="004E768F">
        <w:rPr>
          <w:rFonts w:ascii="Times New Roman" w:eastAsia="Times New Roman" w:hAnsi="Times New Roman" w:cs="Times New Roman"/>
          <w:bCs/>
          <w:sz w:val="24"/>
          <w:szCs w:val="24"/>
          <w:lang w:eastAsia="pl-PL"/>
        </w:rPr>
        <w:t>, o którym mowa w art. 37 ustawy o ofercie publicznej.</w:t>
      </w:r>
    </w:p>
    <w:p w14:paraId="7E0A853C" w14:textId="5C612367" w:rsidR="00E15595" w:rsidRPr="00424E07" w:rsidRDefault="00E15595"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922D36">
        <w:rPr>
          <w:rFonts w:ascii="Times New Roman" w:eastAsia="Times New Roman" w:hAnsi="Times New Roman" w:cs="Times New Roman"/>
          <w:b/>
          <w:bCs/>
          <w:sz w:val="24"/>
          <w:szCs w:val="24"/>
          <w:lang w:eastAsia="pl-PL"/>
        </w:rPr>
        <w:t xml:space="preserve">Art. </w:t>
      </w:r>
      <w:r w:rsidR="001F056A">
        <w:rPr>
          <w:rFonts w:ascii="Times New Roman" w:eastAsia="Times New Roman" w:hAnsi="Times New Roman" w:cs="Times New Roman"/>
          <w:b/>
          <w:bCs/>
          <w:sz w:val="24"/>
          <w:szCs w:val="24"/>
          <w:lang w:eastAsia="pl-PL"/>
        </w:rPr>
        <w:t>47</w:t>
      </w:r>
      <w:r w:rsidR="00CD0474" w:rsidRPr="00922D36">
        <w:rPr>
          <w:rFonts w:ascii="Times New Roman" w:eastAsia="Times New Roman" w:hAnsi="Times New Roman" w:cs="Times New Roman"/>
          <w:b/>
          <w:bCs/>
          <w:sz w:val="24"/>
          <w:szCs w:val="24"/>
          <w:lang w:eastAsia="pl-PL"/>
        </w:rPr>
        <w:t xml:space="preserve"> pkt 1</w:t>
      </w:r>
      <w:r w:rsidRPr="00424E07">
        <w:rPr>
          <w:rFonts w:ascii="Times New Roman" w:eastAsia="Times New Roman" w:hAnsi="Times New Roman" w:cs="Times New Roman"/>
          <w:bCs/>
          <w:sz w:val="24"/>
          <w:szCs w:val="24"/>
          <w:lang w:eastAsia="pl-PL"/>
        </w:rPr>
        <w:t xml:space="preserve"> dodaje nowe pojęcia do słowniczka ustawowego</w:t>
      </w:r>
      <w:r w:rsidR="00CD0474" w:rsidRPr="00424E07">
        <w:rPr>
          <w:rFonts w:ascii="Times New Roman" w:eastAsia="Times New Roman" w:hAnsi="Times New Roman" w:cs="Times New Roman"/>
          <w:bCs/>
          <w:sz w:val="24"/>
          <w:szCs w:val="24"/>
          <w:lang w:eastAsia="pl-PL"/>
        </w:rPr>
        <w:t>, tj.</w:t>
      </w:r>
      <w:r w:rsidRPr="00424E07">
        <w:rPr>
          <w:rFonts w:ascii="Times New Roman" w:eastAsia="Times New Roman" w:hAnsi="Times New Roman" w:cs="Times New Roman"/>
          <w:bCs/>
          <w:sz w:val="24"/>
          <w:szCs w:val="24"/>
          <w:lang w:eastAsia="pl-PL"/>
        </w:rPr>
        <w:t xml:space="preserve"> skrótowe określenie rozporządzenia 2020/1503</w:t>
      </w:r>
      <w:r w:rsidR="00497113" w:rsidRPr="00424E07">
        <w:rPr>
          <w:rFonts w:ascii="Times New Roman" w:eastAsia="Times New Roman" w:hAnsi="Times New Roman" w:cs="Times New Roman"/>
          <w:bCs/>
          <w:sz w:val="24"/>
          <w:szCs w:val="24"/>
          <w:lang w:eastAsia="pl-PL"/>
        </w:rPr>
        <w:t xml:space="preserve"> (lit. a) oraz </w:t>
      </w:r>
      <w:r w:rsidRPr="00424E07">
        <w:rPr>
          <w:rFonts w:ascii="Times New Roman" w:eastAsia="Times New Roman" w:hAnsi="Times New Roman" w:cs="Times New Roman"/>
          <w:bCs/>
          <w:sz w:val="24"/>
          <w:szCs w:val="24"/>
          <w:lang w:eastAsia="pl-PL"/>
        </w:rPr>
        <w:t xml:space="preserve">definicje dostawcy usług finansowania społecznościowego </w:t>
      </w:r>
      <w:r w:rsidR="001F056A">
        <w:rPr>
          <w:rFonts w:ascii="Times New Roman" w:eastAsia="Times New Roman" w:hAnsi="Times New Roman" w:cs="Times New Roman"/>
          <w:bCs/>
          <w:sz w:val="24"/>
          <w:szCs w:val="24"/>
          <w:lang w:eastAsia="pl-PL"/>
        </w:rPr>
        <w:t>i</w:t>
      </w:r>
      <w:r w:rsidRPr="00424E07">
        <w:rPr>
          <w:rFonts w:ascii="Times New Roman" w:eastAsia="Times New Roman" w:hAnsi="Times New Roman" w:cs="Times New Roman"/>
          <w:bCs/>
          <w:sz w:val="24"/>
          <w:szCs w:val="24"/>
          <w:lang w:eastAsia="pl-PL"/>
        </w:rPr>
        <w:t xml:space="preserve"> arkusza kluczowych informacji inwestycyjnych</w:t>
      </w:r>
      <w:r w:rsidR="00497113" w:rsidRPr="00424E07">
        <w:rPr>
          <w:rFonts w:ascii="Times New Roman" w:eastAsia="Times New Roman" w:hAnsi="Times New Roman" w:cs="Times New Roman"/>
          <w:bCs/>
          <w:sz w:val="24"/>
          <w:szCs w:val="24"/>
          <w:lang w:eastAsia="pl-PL"/>
        </w:rPr>
        <w:t xml:space="preserve"> (lit. b)</w:t>
      </w:r>
      <w:r w:rsidRPr="00424E07">
        <w:rPr>
          <w:rFonts w:ascii="Times New Roman" w:eastAsia="Times New Roman" w:hAnsi="Times New Roman" w:cs="Times New Roman"/>
          <w:bCs/>
          <w:sz w:val="24"/>
          <w:szCs w:val="24"/>
          <w:lang w:eastAsia="pl-PL"/>
        </w:rPr>
        <w:t>.</w:t>
      </w:r>
    </w:p>
    <w:p w14:paraId="74A639CB" w14:textId="44055EB4" w:rsidR="00E15595" w:rsidRPr="00424E07" w:rsidRDefault="00497113" w:rsidP="00424E07">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24E07">
        <w:rPr>
          <w:rFonts w:ascii="Times New Roman" w:eastAsia="Times New Roman" w:hAnsi="Times New Roman" w:cs="Times New Roman"/>
          <w:bCs/>
          <w:sz w:val="24"/>
          <w:szCs w:val="24"/>
          <w:lang w:eastAsia="pl-PL"/>
        </w:rPr>
        <w:t xml:space="preserve">Na podstawie </w:t>
      </w:r>
      <w:r w:rsidRPr="00922D36">
        <w:rPr>
          <w:rFonts w:ascii="Times New Roman" w:eastAsia="Times New Roman" w:hAnsi="Times New Roman" w:cs="Times New Roman"/>
          <w:b/>
          <w:bCs/>
          <w:sz w:val="24"/>
          <w:szCs w:val="24"/>
          <w:lang w:eastAsia="pl-PL"/>
        </w:rPr>
        <w:t>a</w:t>
      </w:r>
      <w:r w:rsidR="001F056A">
        <w:rPr>
          <w:rFonts w:ascii="Times New Roman" w:eastAsia="Times New Roman" w:hAnsi="Times New Roman" w:cs="Times New Roman"/>
          <w:b/>
          <w:bCs/>
          <w:sz w:val="24"/>
          <w:szCs w:val="24"/>
          <w:lang w:eastAsia="pl-PL"/>
        </w:rPr>
        <w:t>rt. 47</w:t>
      </w:r>
      <w:r w:rsidR="00CD0474" w:rsidRPr="00922D36">
        <w:rPr>
          <w:rFonts w:ascii="Times New Roman" w:eastAsia="Times New Roman" w:hAnsi="Times New Roman" w:cs="Times New Roman"/>
          <w:b/>
          <w:bCs/>
          <w:sz w:val="24"/>
          <w:szCs w:val="24"/>
          <w:lang w:eastAsia="pl-PL"/>
        </w:rPr>
        <w:t xml:space="preserve"> pkt 2</w:t>
      </w:r>
      <w:r w:rsidR="00E15595" w:rsidRPr="00424E07">
        <w:rPr>
          <w:rFonts w:ascii="Times New Roman" w:eastAsia="Times New Roman" w:hAnsi="Times New Roman" w:cs="Times New Roman"/>
          <w:bCs/>
          <w:sz w:val="24"/>
          <w:szCs w:val="24"/>
          <w:lang w:eastAsia="pl-PL"/>
        </w:rPr>
        <w:t xml:space="preserve"> Komisja będzie mogła żądać informacji i wyjaśnień, a także dokumentów i nośników informacji, w przypadku gdy wymaga tego nadzór nad ofertą publiczną, również od dostawców usług </w:t>
      </w:r>
      <w:r w:rsidR="00CD0474" w:rsidRPr="00424E07">
        <w:rPr>
          <w:rFonts w:ascii="Times New Roman" w:eastAsia="Times New Roman" w:hAnsi="Times New Roman" w:cs="Times New Roman"/>
          <w:bCs/>
          <w:sz w:val="24"/>
          <w:szCs w:val="24"/>
          <w:lang w:eastAsia="pl-PL"/>
        </w:rPr>
        <w:t>finansowania społecznościowego.</w:t>
      </w:r>
    </w:p>
    <w:p w14:paraId="28040946" w14:textId="639E710B" w:rsidR="00F3518C" w:rsidRPr="00424E07" w:rsidRDefault="001F056A">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47</w:t>
      </w:r>
      <w:r w:rsidR="00CD0474" w:rsidRPr="00922D36">
        <w:rPr>
          <w:rFonts w:ascii="Times New Roman" w:eastAsia="Times New Roman" w:hAnsi="Times New Roman" w:cs="Times New Roman"/>
          <w:b/>
          <w:bCs/>
          <w:sz w:val="24"/>
          <w:szCs w:val="24"/>
          <w:lang w:eastAsia="pl-PL"/>
        </w:rPr>
        <w:t xml:space="preserve"> pkt 3</w:t>
      </w:r>
      <w:r w:rsidR="00F3518C" w:rsidRPr="00424E07">
        <w:rPr>
          <w:rFonts w:ascii="Times New Roman" w:eastAsia="Times New Roman" w:hAnsi="Times New Roman" w:cs="Times New Roman"/>
          <w:bCs/>
          <w:sz w:val="24"/>
          <w:szCs w:val="24"/>
          <w:lang w:eastAsia="pl-PL"/>
        </w:rPr>
        <w:t xml:space="preserve"> wprowadza wymóg poinformowania Komisji przez emitenta lub oferującego, z odpowiednim wyprzedzeniem, o zamiarze przeprowadzenia oferty publicznej w wyniku której zakładane wpływy brutto wyniosą powyżej 100 000 euro, ale poniżej 1 mln euro. Komisja będzie </w:t>
      </w:r>
      <w:r w:rsidR="00497113" w:rsidRPr="00424E07">
        <w:rPr>
          <w:rFonts w:ascii="Times New Roman" w:eastAsia="Times New Roman" w:hAnsi="Times New Roman" w:cs="Times New Roman"/>
          <w:bCs/>
          <w:sz w:val="24"/>
          <w:szCs w:val="24"/>
          <w:lang w:eastAsia="pl-PL"/>
        </w:rPr>
        <w:t xml:space="preserve">zatem </w:t>
      </w:r>
      <w:r w:rsidR="00F3518C" w:rsidRPr="00424E07">
        <w:rPr>
          <w:rFonts w:ascii="Times New Roman" w:eastAsia="Times New Roman" w:hAnsi="Times New Roman" w:cs="Times New Roman"/>
          <w:bCs/>
          <w:sz w:val="24"/>
          <w:szCs w:val="24"/>
          <w:lang w:eastAsia="pl-PL"/>
        </w:rPr>
        <w:t>posiadać aktualne informacje o ofertach publicznych prowadzonych w oparciu o dokumenty informacyjne, o których mowa w art. 37a ust. 1 ustawy o ofercie publicznej.</w:t>
      </w:r>
    </w:p>
    <w:p w14:paraId="3DE484E4" w14:textId="16EAD63C" w:rsidR="00E15595" w:rsidRPr="00424E07" w:rsidRDefault="00E15595">
      <w:pPr>
        <w:suppressAutoHyphens/>
        <w:autoSpaceDE w:val="0"/>
        <w:autoSpaceDN w:val="0"/>
        <w:adjustRightInd w:val="0"/>
        <w:ind w:firstLine="510"/>
        <w:rPr>
          <w:rFonts w:ascii="Times New Roman" w:eastAsia="Times New Roman" w:hAnsi="Times New Roman" w:cs="Times New Roman"/>
          <w:bCs/>
          <w:sz w:val="24"/>
          <w:szCs w:val="24"/>
          <w:lang w:eastAsia="pl-PL"/>
        </w:rPr>
      </w:pPr>
      <w:r w:rsidRPr="00424E07">
        <w:rPr>
          <w:rFonts w:ascii="Times New Roman" w:eastAsia="Times New Roman" w:hAnsi="Times New Roman" w:cs="Times New Roman"/>
          <w:bCs/>
          <w:sz w:val="24"/>
          <w:szCs w:val="24"/>
          <w:lang w:eastAsia="pl-PL"/>
        </w:rPr>
        <w:t xml:space="preserve">Zmiany proponowane w </w:t>
      </w:r>
      <w:r w:rsidR="001F056A">
        <w:rPr>
          <w:rFonts w:ascii="Times New Roman" w:eastAsia="Times New Roman" w:hAnsi="Times New Roman" w:cs="Times New Roman"/>
          <w:b/>
          <w:bCs/>
          <w:sz w:val="24"/>
          <w:szCs w:val="24"/>
          <w:lang w:eastAsia="pl-PL"/>
        </w:rPr>
        <w:t>art. 47</w:t>
      </w:r>
      <w:r w:rsidR="00CD0474" w:rsidRPr="00922D36">
        <w:rPr>
          <w:rFonts w:ascii="Times New Roman" w:eastAsia="Times New Roman" w:hAnsi="Times New Roman" w:cs="Times New Roman"/>
          <w:b/>
          <w:bCs/>
          <w:sz w:val="24"/>
          <w:szCs w:val="24"/>
          <w:lang w:eastAsia="pl-PL"/>
        </w:rPr>
        <w:t xml:space="preserve"> pkt 4 i 5</w:t>
      </w:r>
      <w:r w:rsidR="00497113" w:rsidRPr="00424E07">
        <w:rPr>
          <w:rFonts w:ascii="Times New Roman" w:eastAsia="Times New Roman" w:hAnsi="Times New Roman" w:cs="Times New Roman"/>
          <w:bCs/>
          <w:sz w:val="24"/>
          <w:szCs w:val="24"/>
          <w:lang w:eastAsia="pl-PL"/>
        </w:rPr>
        <w:t xml:space="preserve"> prowadzą do </w:t>
      </w:r>
      <w:r w:rsidRPr="00424E07">
        <w:rPr>
          <w:rFonts w:ascii="Times New Roman" w:eastAsia="Times New Roman" w:hAnsi="Times New Roman" w:cs="Times New Roman"/>
          <w:bCs/>
          <w:sz w:val="24"/>
          <w:szCs w:val="24"/>
          <w:lang w:eastAsia="pl-PL"/>
        </w:rPr>
        <w:t>zastąpieni</w:t>
      </w:r>
      <w:r w:rsidR="00497113" w:rsidRPr="00424E07">
        <w:rPr>
          <w:rFonts w:ascii="Times New Roman" w:eastAsia="Times New Roman" w:hAnsi="Times New Roman" w:cs="Times New Roman"/>
          <w:bCs/>
          <w:sz w:val="24"/>
          <w:szCs w:val="24"/>
          <w:lang w:eastAsia="pl-PL"/>
        </w:rPr>
        <w:t>a</w:t>
      </w:r>
      <w:r w:rsidRPr="00424E07">
        <w:rPr>
          <w:rFonts w:ascii="Times New Roman" w:eastAsia="Times New Roman" w:hAnsi="Times New Roman" w:cs="Times New Roman"/>
          <w:bCs/>
          <w:sz w:val="24"/>
          <w:szCs w:val="24"/>
          <w:lang w:eastAsia="pl-PL"/>
        </w:rPr>
        <w:t xml:space="preserve"> obowiązku udostępnienia memorandum informacyjnego oraz dokumentu informacyjnego, przez emitenta korzystającego przy prowadzonej ofercie publicznej z pośrednictwa firmy inwestycyjnej, obowiązkiem udostępnienia arkusza kluczowych informacji inwestycyjnych. </w:t>
      </w:r>
      <w:r w:rsidR="00497113" w:rsidRPr="00424E07">
        <w:rPr>
          <w:rFonts w:ascii="Times New Roman" w:eastAsia="Times New Roman" w:hAnsi="Times New Roman" w:cs="Times New Roman"/>
          <w:bCs/>
          <w:sz w:val="24"/>
          <w:szCs w:val="24"/>
          <w:lang w:eastAsia="pl-PL"/>
        </w:rPr>
        <w:t>Z</w:t>
      </w:r>
      <w:r w:rsidRPr="00424E07">
        <w:rPr>
          <w:rFonts w:ascii="Times New Roman" w:eastAsia="Times New Roman" w:hAnsi="Times New Roman" w:cs="Times New Roman"/>
          <w:bCs/>
          <w:sz w:val="24"/>
          <w:szCs w:val="24"/>
          <w:lang w:eastAsia="pl-PL"/>
        </w:rPr>
        <w:t>apewni</w:t>
      </w:r>
      <w:r w:rsidR="00497113" w:rsidRPr="00424E07">
        <w:rPr>
          <w:rFonts w:ascii="Times New Roman" w:eastAsia="Times New Roman" w:hAnsi="Times New Roman" w:cs="Times New Roman"/>
          <w:bCs/>
          <w:sz w:val="24"/>
          <w:szCs w:val="24"/>
          <w:lang w:eastAsia="pl-PL"/>
        </w:rPr>
        <w:t xml:space="preserve"> to </w:t>
      </w:r>
      <w:r w:rsidRPr="00424E07">
        <w:rPr>
          <w:rFonts w:ascii="Times New Roman" w:eastAsia="Times New Roman" w:hAnsi="Times New Roman" w:cs="Times New Roman"/>
          <w:bCs/>
          <w:sz w:val="24"/>
          <w:szCs w:val="24"/>
          <w:lang w:eastAsia="pl-PL"/>
        </w:rPr>
        <w:t>równ</w:t>
      </w:r>
      <w:r w:rsidR="00497113" w:rsidRPr="00424E07">
        <w:rPr>
          <w:rFonts w:ascii="Times New Roman" w:eastAsia="Times New Roman" w:hAnsi="Times New Roman" w:cs="Times New Roman"/>
          <w:bCs/>
          <w:sz w:val="24"/>
          <w:szCs w:val="24"/>
          <w:lang w:eastAsia="pl-PL"/>
        </w:rPr>
        <w:t>e</w:t>
      </w:r>
      <w:r w:rsidRPr="00424E07">
        <w:rPr>
          <w:rFonts w:ascii="Times New Roman" w:eastAsia="Times New Roman" w:hAnsi="Times New Roman" w:cs="Times New Roman"/>
          <w:bCs/>
          <w:sz w:val="24"/>
          <w:szCs w:val="24"/>
          <w:lang w:eastAsia="pl-PL"/>
        </w:rPr>
        <w:t xml:space="preserve"> zasad</w:t>
      </w:r>
      <w:r w:rsidR="00497113" w:rsidRPr="00424E07">
        <w:rPr>
          <w:rFonts w:ascii="Times New Roman" w:eastAsia="Times New Roman" w:hAnsi="Times New Roman" w:cs="Times New Roman"/>
          <w:bCs/>
          <w:sz w:val="24"/>
          <w:szCs w:val="24"/>
          <w:lang w:eastAsia="pl-PL"/>
        </w:rPr>
        <w:t>y</w:t>
      </w:r>
      <w:r w:rsidRPr="00424E07">
        <w:rPr>
          <w:rFonts w:ascii="Times New Roman" w:eastAsia="Times New Roman" w:hAnsi="Times New Roman" w:cs="Times New Roman"/>
          <w:bCs/>
          <w:sz w:val="24"/>
          <w:szCs w:val="24"/>
          <w:lang w:eastAsia="pl-PL"/>
        </w:rPr>
        <w:t xml:space="preserve"> konkurencji dla dostawców usług finansowania społecznościowego oraz firm inwestycyjnych, które mogłyby zostać zaburzone w przypadku </w:t>
      </w:r>
      <w:r w:rsidR="00497113" w:rsidRPr="00424E07">
        <w:rPr>
          <w:rFonts w:ascii="Times New Roman" w:eastAsia="Times New Roman" w:hAnsi="Times New Roman" w:cs="Times New Roman"/>
          <w:bCs/>
          <w:sz w:val="24"/>
          <w:szCs w:val="24"/>
          <w:lang w:eastAsia="pl-PL"/>
        </w:rPr>
        <w:t xml:space="preserve">zróżnicowania tych obowiązków </w:t>
      </w:r>
      <w:r w:rsidRPr="00424E07">
        <w:rPr>
          <w:rFonts w:ascii="Times New Roman" w:eastAsia="Times New Roman" w:hAnsi="Times New Roman" w:cs="Times New Roman"/>
          <w:bCs/>
          <w:sz w:val="24"/>
          <w:szCs w:val="24"/>
          <w:lang w:eastAsia="pl-PL"/>
        </w:rPr>
        <w:t>w zależności od rodzaju pośrednika, z którego usług korzysta</w:t>
      </w:r>
      <w:r w:rsidR="00CD0474" w:rsidRPr="00424E07">
        <w:rPr>
          <w:rFonts w:ascii="Times New Roman" w:eastAsia="Times New Roman" w:hAnsi="Times New Roman" w:cs="Times New Roman"/>
          <w:bCs/>
          <w:sz w:val="24"/>
          <w:szCs w:val="24"/>
          <w:lang w:eastAsia="pl-PL"/>
        </w:rPr>
        <w:t xml:space="preserve"> emitent</w:t>
      </w:r>
      <w:r w:rsidRPr="00424E07">
        <w:rPr>
          <w:rFonts w:ascii="Times New Roman" w:eastAsia="Times New Roman" w:hAnsi="Times New Roman" w:cs="Times New Roman"/>
          <w:bCs/>
          <w:sz w:val="24"/>
          <w:szCs w:val="24"/>
          <w:lang w:eastAsia="pl-PL"/>
        </w:rPr>
        <w:t>.</w:t>
      </w:r>
    </w:p>
    <w:p w14:paraId="219852EB" w14:textId="77777777" w:rsidR="00882864" w:rsidRDefault="00497113" w:rsidP="00922D36">
      <w:pPr>
        <w:suppressAutoHyphens/>
        <w:autoSpaceDE w:val="0"/>
        <w:autoSpaceDN w:val="0"/>
        <w:adjustRightInd w:val="0"/>
        <w:ind w:firstLine="510"/>
        <w:rPr>
          <w:rFonts w:ascii="Times New Roman" w:eastAsia="Times New Roman" w:hAnsi="Times New Roman" w:cs="Times New Roman"/>
          <w:bCs/>
          <w:sz w:val="24"/>
          <w:szCs w:val="24"/>
          <w:lang w:eastAsia="pl-PL"/>
        </w:rPr>
      </w:pPr>
      <w:r w:rsidRPr="009B65CD">
        <w:rPr>
          <w:rFonts w:ascii="Times New Roman" w:eastAsia="Times New Roman" w:hAnsi="Times New Roman" w:cs="Times New Roman"/>
          <w:bCs/>
          <w:sz w:val="24"/>
          <w:szCs w:val="24"/>
          <w:lang w:eastAsia="pl-PL"/>
        </w:rPr>
        <w:t xml:space="preserve">Jednocześnie ulega </w:t>
      </w:r>
      <w:r w:rsidR="00E15595" w:rsidRPr="009B65CD">
        <w:rPr>
          <w:rFonts w:ascii="Times New Roman" w:eastAsia="Times New Roman" w:hAnsi="Times New Roman" w:cs="Times New Roman"/>
          <w:bCs/>
          <w:sz w:val="24"/>
          <w:szCs w:val="24"/>
          <w:lang w:eastAsia="pl-PL"/>
        </w:rPr>
        <w:t>podwyższ</w:t>
      </w:r>
      <w:r w:rsidRPr="009B65CD">
        <w:rPr>
          <w:rFonts w:ascii="Times New Roman" w:eastAsia="Times New Roman" w:hAnsi="Times New Roman" w:cs="Times New Roman"/>
          <w:bCs/>
          <w:sz w:val="24"/>
          <w:szCs w:val="24"/>
          <w:lang w:eastAsia="pl-PL"/>
        </w:rPr>
        <w:t xml:space="preserve">eniu </w:t>
      </w:r>
      <w:r w:rsidR="00E15595" w:rsidRPr="009B65CD">
        <w:rPr>
          <w:rFonts w:ascii="Times New Roman" w:eastAsia="Times New Roman" w:hAnsi="Times New Roman" w:cs="Times New Roman"/>
          <w:bCs/>
          <w:sz w:val="24"/>
          <w:szCs w:val="24"/>
          <w:lang w:eastAsia="pl-PL"/>
        </w:rPr>
        <w:t>próg zwolnienia z obowiązki sporządzenia prospektu z 2,5 mln euro do 5 mln euro</w:t>
      </w:r>
      <w:r w:rsidR="009F154F" w:rsidRPr="009B65CD">
        <w:rPr>
          <w:rFonts w:ascii="Times New Roman" w:eastAsia="Times New Roman" w:hAnsi="Times New Roman" w:cs="Times New Roman"/>
          <w:bCs/>
          <w:sz w:val="24"/>
          <w:szCs w:val="24"/>
          <w:lang w:eastAsia="pl-PL"/>
        </w:rPr>
        <w:t>. Z</w:t>
      </w:r>
      <w:r w:rsidRPr="009B65CD">
        <w:rPr>
          <w:rFonts w:ascii="Times New Roman" w:eastAsia="Times New Roman" w:hAnsi="Times New Roman" w:cs="Times New Roman"/>
          <w:bCs/>
          <w:sz w:val="24"/>
          <w:szCs w:val="24"/>
          <w:lang w:eastAsia="pl-PL"/>
        </w:rPr>
        <w:t xml:space="preserve">godnie z </w:t>
      </w:r>
      <w:r w:rsidR="00E15595" w:rsidRPr="009B65CD">
        <w:rPr>
          <w:rFonts w:ascii="Times New Roman" w:eastAsia="Times New Roman" w:hAnsi="Times New Roman" w:cs="Times New Roman"/>
          <w:bCs/>
          <w:sz w:val="24"/>
          <w:szCs w:val="24"/>
          <w:lang w:eastAsia="pl-PL"/>
        </w:rPr>
        <w:t>art. 1 ust. 2 lit. c</w:t>
      </w:r>
      <w:r w:rsidR="009F154F" w:rsidRPr="009B65CD">
        <w:rPr>
          <w:rFonts w:ascii="Times New Roman" w:eastAsia="Times New Roman" w:hAnsi="Times New Roman" w:cs="Times New Roman"/>
          <w:bCs/>
          <w:sz w:val="24"/>
          <w:szCs w:val="24"/>
          <w:lang w:eastAsia="pl-PL"/>
        </w:rPr>
        <w:t>,</w:t>
      </w:r>
      <w:r w:rsidR="00E15595" w:rsidRPr="009B65CD">
        <w:rPr>
          <w:rFonts w:ascii="Times New Roman" w:eastAsia="Times New Roman" w:hAnsi="Times New Roman" w:cs="Times New Roman"/>
          <w:bCs/>
          <w:sz w:val="24"/>
          <w:szCs w:val="24"/>
          <w:lang w:eastAsia="pl-PL"/>
        </w:rPr>
        <w:t xml:space="preserve"> </w:t>
      </w:r>
      <w:r w:rsidRPr="009B65CD">
        <w:rPr>
          <w:rFonts w:ascii="Times New Roman" w:eastAsia="Times New Roman" w:hAnsi="Times New Roman" w:cs="Times New Roman"/>
          <w:bCs/>
          <w:sz w:val="24"/>
          <w:szCs w:val="24"/>
          <w:lang w:eastAsia="pl-PL"/>
        </w:rPr>
        <w:t xml:space="preserve">art. 46 </w:t>
      </w:r>
      <w:r w:rsidR="009F154F" w:rsidRPr="009B65CD">
        <w:rPr>
          <w:rFonts w:ascii="Times New Roman" w:eastAsia="Times New Roman" w:hAnsi="Times New Roman" w:cs="Times New Roman"/>
          <w:bCs/>
          <w:sz w:val="24"/>
          <w:szCs w:val="24"/>
          <w:lang w:eastAsia="pl-PL"/>
        </w:rPr>
        <w:t>i art.</w:t>
      </w:r>
      <w:r w:rsidR="00332A27" w:rsidRPr="009B65CD">
        <w:rPr>
          <w:rFonts w:ascii="Times New Roman" w:eastAsia="Times New Roman" w:hAnsi="Times New Roman" w:cs="Times New Roman"/>
          <w:bCs/>
          <w:sz w:val="24"/>
          <w:szCs w:val="24"/>
          <w:lang w:eastAsia="pl-PL"/>
        </w:rPr>
        <w:t xml:space="preserve"> 49 </w:t>
      </w:r>
      <w:r w:rsidR="00E15595" w:rsidRPr="009B65CD">
        <w:rPr>
          <w:rFonts w:ascii="Times New Roman" w:eastAsia="Times New Roman" w:hAnsi="Times New Roman" w:cs="Times New Roman"/>
          <w:bCs/>
          <w:sz w:val="24"/>
          <w:szCs w:val="24"/>
          <w:lang w:eastAsia="pl-PL"/>
        </w:rPr>
        <w:t xml:space="preserve">rozporządzenia 2020/1503 nie ma </w:t>
      </w:r>
      <w:r w:rsidR="009B65CD">
        <w:rPr>
          <w:rFonts w:ascii="Times New Roman" w:eastAsia="Times New Roman" w:hAnsi="Times New Roman" w:cs="Times New Roman"/>
          <w:bCs/>
          <w:sz w:val="24"/>
          <w:szCs w:val="24"/>
          <w:lang w:eastAsia="pl-PL"/>
        </w:rPr>
        <w:t xml:space="preserve">ono </w:t>
      </w:r>
      <w:r w:rsidR="00E15595" w:rsidRPr="009B65CD">
        <w:rPr>
          <w:rFonts w:ascii="Times New Roman" w:eastAsia="Times New Roman" w:hAnsi="Times New Roman" w:cs="Times New Roman"/>
          <w:bCs/>
          <w:sz w:val="24"/>
          <w:szCs w:val="24"/>
          <w:lang w:eastAsia="pl-PL"/>
        </w:rPr>
        <w:t>zastosowania do ofert finansowania społecznościowego o wartości przekraczającej 5 000 000 EUR</w:t>
      </w:r>
      <w:r w:rsidR="009F154F" w:rsidRPr="009B65CD">
        <w:rPr>
          <w:rFonts w:ascii="Times New Roman" w:eastAsia="Times New Roman" w:hAnsi="Times New Roman" w:cs="Times New Roman"/>
          <w:bCs/>
          <w:sz w:val="24"/>
          <w:szCs w:val="24"/>
          <w:lang w:eastAsia="pl-PL"/>
        </w:rPr>
        <w:t xml:space="preserve">. </w:t>
      </w:r>
    </w:p>
    <w:p w14:paraId="1BA7782E" w14:textId="77777777" w:rsidR="00882864" w:rsidRDefault="00E15595" w:rsidP="00922D36">
      <w:pPr>
        <w:suppressAutoHyphens/>
        <w:autoSpaceDE w:val="0"/>
        <w:autoSpaceDN w:val="0"/>
        <w:adjustRightInd w:val="0"/>
        <w:ind w:firstLine="510"/>
        <w:rPr>
          <w:rFonts w:ascii="Times New Roman" w:eastAsia="Times New Roman" w:hAnsi="Times New Roman" w:cs="Times New Roman"/>
          <w:bCs/>
          <w:sz w:val="24"/>
          <w:szCs w:val="24"/>
          <w:lang w:eastAsia="pl-PL"/>
        </w:rPr>
      </w:pPr>
      <w:r w:rsidRPr="009B65CD">
        <w:rPr>
          <w:rFonts w:ascii="Times New Roman" w:eastAsia="Times New Roman" w:hAnsi="Times New Roman" w:cs="Times New Roman"/>
          <w:bCs/>
          <w:sz w:val="24"/>
          <w:szCs w:val="24"/>
          <w:lang w:eastAsia="pl-PL"/>
        </w:rPr>
        <w:t xml:space="preserve">Obecnie obowiązujący art. 37b ust. 1 ustawy o ofercie publicznej stanowi, że udostępnienia do publicznej wiadomości prospektu, pod warunkiem udostępnienia memorandum informacyjnego, nie wymaga oferta publiczna papierów wartościowych, w wyniku której zakładane wpływy brutto emitenta lub oferującego na terytorium Unii Europejskiej, liczone według ich ceny emisyjnej lub ceny sprzedaży z dnia jej ustalenia, stanowią nie mniej niż 1 000 000 euro i mniej niż 2 500 000 euro, i wraz z wpływami, które emitent lub oferujący zamierzał uzyskać z tytułu ofert publicznych takich papierów wartościowych, dokonanych w okresie poprzednich 12 miesięcy, nie będą mniejsze niż 1 000 000 euro i będą mniejsze niż 2 500 000 euro. Przepis ten jest efektem skorzystania z opcji narodowej, pozwalającej na obniżenie progu kwotowego zwolnienia związanego z ofertą publiczną z obowiązku publikacji prospektu. </w:t>
      </w:r>
    </w:p>
    <w:p w14:paraId="0F7A3A60" w14:textId="02BA324A" w:rsidR="00E15595" w:rsidRPr="009B65CD" w:rsidRDefault="00E15595" w:rsidP="00922D36">
      <w:pPr>
        <w:suppressAutoHyphens/>
        <w:autoSpaceDE w:val="0"/>
        <w:autoSpaceDN w:val="0"/>
        <w:adjustRightInd w:val="0"/>
        <w:ind w:firstLine="510"/>
        <w:rPr>
          <w:rFonts w:ascii="Times New Roman" w:eastAsia="Times New Roman" w:hAnsi="Times New Roman" w:cs="Times New Roman"/>
          <w:bCs/>
          <w:sz w:val="24"/>
          <w:szCs w:val="24"/>
          <w:lang w:eastAsia="pl-PL"/>
        </w:rPr>
      </w:pPr>
      <w:r w:rsidRPr="009B65CD">
        <w:rPr>
          <w:rFonts w:ascii="Times New Roman" w:eastAsia="Times New Roman" w:hAnsi="Times New Roman" w:cs="Times New Roman"/>
          <w:bCs/>
          <w:sz w:val="24"/>
          <w:szCs w:val="24"/>
          <w:lang w:eastAsia="pl-PL"/>
        </w:rPr>
        <w:t xml:space="preserve">W związku z brzmieniem przepisu art. 46 rozporządzenia 2020/1503, traci zasadność utrzymywanie progu kwotowego zwolnienia na poziomie 2 500 000 euro. Skutkiem jego utrzymywania byłby arbitraż regulacyjny, związany z istotnym zróżnicowaniem wymogów informacyjnych w odniesieniu do ofert realizowanych z udziałem dostawców usług finansowania społecznościowego lub bez ich udziału. Zmiana w tym zakresie powinna obejmować podwyższenie wskazanego w przepisie przedziału warunkującego obowiązek sporządzenia memorandum informacyjnego </w:t>
      </w:r>
      <w:r w:rsidR="009B65CD">
        <w:rPr>
          <w:rFonts w:ascii="Times New Roman" w:eastAsia="Times New Roman" w:hAnsi="Times New Roman" w:cs="Times New Roman"/>
          <w:bCs/>
          <w:sz w:val="24"/>
          <w:szCs w:val="24"/>
          <w:lang w:eastAsia="pl-PL"/>
        </w:rPr>
        <w:t>– obecny przedział „</w:t>
      </w:r>
      <w:r w:rsidRPr="009B65CD">
        <w:rPr>
          <w:rFonts w:ascii="Times New Roman" w:eastAsia="Times New Roman" w:hAnsi="Times New Roman" w:cs="Times New Roman"/>
          <w:bCs/>
          <w:sz w:val="24"/>
          <w:szCs w:val="24"/>
          <w:lang w:eastAsia="pl-PL"/>
        </w:rPr>
        <w:t xml:space="preserve">nie mniej niż 1 000 000 euro </w:t>
      </w:r>
      <w:r w:rsidRPr="009B65CD">
        <w:rPr>
          <w:rFonts w:ascii="Times New Roman" w:eastAsia="Times New Roman" w:hAnsi="Times New Roman" w:cs="Times New Roman"/>
          <w:bCs/>
          <w:sz w:val="24"/>
          <w:szCs w:val="24"/>
          <w:lang w:eastAsia="pl-PL"/>
        </w:rPr>
        <w:lastRenderedPageBreak/>
        <w:t>i mniej niż 2 500 000 euro</w:t>
      </w:r>
      <w:r w:rsidR="009B65CD">
        <w:rPr>
          <w:rFonts w:ascii="Times New Roman" w:eastAsia="Times New Roman" w:hAnsi="Times New Roman" w:cs="Times New Roman"/>
          <w:bCs/>
          <w:sz w:val="24"/>
          <w:szCs w:val="24"/>
          <w:lang w:eastAsia="pl-PL"/>
        </w:rPr>
        <w:t xml:space="preserve">” zostanie zastąpiony </w:t>
      </w:r>
      <w:r w:rsidRPr="009B65CD">
        <w:rPr>
          <w:rFonts w:ascii="Times New Roman" w:eastAsia="Times New Roman" w:hAnsi="Times New Roman" w:cs="Times New Roman"/>
          <w:bCs/>
          <w:sz w:val="24"/>
          <w:szCs w:val="24"/>
          <w:lang w:eastAsia="pl-PL"/>
        </w:rPr>
        <w:t>przedział</w:t>
      </w:r>
      <w:r w:rsidR="009B65CD">
        <w:rPr>
          <w:rFonts w:ascii="Times New Roman" w:eastAsia="Times New Roman" w:hAnsi="Times New Roman" w:cs="Times New Roman"/>
          <w:bCs/>
          <w:sz w:val="24"/>
          <w:szCs w:val="24"/>
          <w:lang w:eastAsia="pl-PL"/>
        </w:rPr>
        <w:t>em</w:t>
      </w:r>
      <w:r w:rsidRPr="009B65CD">
        <w:rPr>
          <w:rFonts w:ascii="Times New Roman" w:eastAsia="Times New Roman" w:hAnsi="Times New Roman" w:cs="Times New Roman"/>
          <w:bCs/>
          <w:sz w:val="24"/>
          <w:szCs w:val="24"/>
          <w:lang w:eastAsia="pl-PL"/>
        </w:rPr>
        <w:t xml:space="preserve"> </w:t>
      </w:r>
      <w:r w:rsidR="00922D36">
        <w:rPr>
          <w:rFonts w:ascii="Times New Roman" w:eastAsia="Times New Roman" w:hAnsi="Times New Roman" w:cs="Times New Roman"/>
          <w:bCs/>
          <w:sz w:val="24"/>
          <w:szCs w:val="24"/>
          <w:lang w:eastAsia="pl-PL"/>
        </w:rPr>
        <w:t>„</w:t>
      </w:r>
      <w:r w:rsidRPr="009B65CD">
        <w:rPr>
          <w:rFonts w:ascii="Times New Roman" w:eastAsia="Times New Roman" w:hAnsi="Times New Roman" w:cs="Times New Roman"/>
          <w:bCs/>
          <w:sz w:val="24"/>
          <w:szCs w:val="24"/>
          <w:lang w:eastAsia="pl-PL"/>
        </w:rPr>
        <w:t>nie mniej niż 1 000 000 euro i mniej niż 5 000 000 euro</w:t>
      </w:r>
      <w:r w:rsidR="009B65CD">
        <w:rPr>
          <w:rFonts w:ascii="Times New Roman" w:eastAsia="Times New Roman" w:hAnsi="Times New Roman" w:cs="Times New Roman"/>
          <w:bCs/>
          <w:sz w:val="24"/>
          <w:szCs w:val="24"/>
          <w:lang w:eastAsia="pl-PL"/>
        </w:rPr>
        <w:t>”</w:t>
      </w:r>
      <w:r w:rsidRPr="009B65CD">
        <w:rPr>
          <w:rFonts w:ascii="Times New Roman" w:eastAsia="Times New Roman" w:hAnsi="Times New Roman" w:cs="Times New Roman"/>
          <w:bCs/>
          <w:sz w:val="24"/>
          <w:szCs w:val="24"/>
          <w:lang w:eastAsia="pl-PL"/>
        </w:rPr>
        <w:t>.</w:t>
      </w:r>
    </w:p>
    <w:p w14:paraId="2F52792E" w14:textId="34B26A2D" w:rsidR="00E15595" w:rsidRPr="009B65CD" w:rsidRDefault="00E15595" w:rsidP="009B65CD">
      <w:pPr>
        <w:suppressAutoHyphens/>
        <w:autoSpaceDE w:val="0"/>
        <w:autoSpaceDN w:val="0"/>
        <w:adjustRightInd w:val="0"/>
        <w:ind w:firstLine="510"/>
        <w:rPr>
          <w:rFonts w:ascii="Times New Roman" w:eastAsia="Times New Roman" w:hAnsi="Times New Roman" w:cs="Times New Roman"/>
          <w:bCs/>
          <w:sz w:val="24"/>
          <w:szCs w:val="24"/>
          <w:lang w:eastAsia="pl-PL"/>
        </w:rPr>
      </w:pPr>
      <w:r w:rsidRPr="00922D36">
        <w:rPr>
          <w:rFonts w:ascii="Times New Roman" w:eastAsia="Times New Roman" w:hAnsi="Times New Roman" w:cs="Times New Roman"/>
          <w:b/>
          <w:bCs/>
          <w:sz w:val="24"/>
          <w:szCs w:val="24"/>
          <w:lang w:eastAsia="pl-PL"/>
        </w:rPr>
        <w:t xml:space="preserve">Art. </w:t>
      </w:r>
      <w:r w:rsidR="001F056A">
        <w:rPr>
          <w:rFonts w:ascii="Times New Roman" w:eastAsia="Times New Roman" w:hAnsi="Times New Roman" w:cs="Times New Roman"/>
          <w:b/>
          <w:bCs/>
          <w:sz w:val="24"/>
          <w:szCs w:val="24"/>
          <w:lang w:eastAsia="pl-PL"/>
        </w:rPr>
        <w:t>47</w:t>
      </w:r>
      <w:r w:rsidR="009F154F" w:rsidRPr="00922D36">
        <w:rPr>
          <w:rFonts w:ascii="Times New Roman" w:eastAsia="Times New Roman" w:hAnsi="Times New Roman" w:cs="Times New Roman"/>
          <w:b/>
          <w:bCs/>
          <w:sz w:val="24"/>
          <w:szCs w:val="24"/>
          <w:lang w:eastAsia="pl-PL"/>
        </w:rPr>
        <w:t xml:space="preserve"> pkt 6</w:t>
      </w:r>
      <w:r w:rsidRPr="00424E07">
        <w:rPr>
          <w:rFonts w:ascii="Times New Roman" w:eastAsia="Times New Roman" w:hAnsi="Times New Roman" w:cs="Times New Roman"/>
          <w:bCs/>
          <w:sz w:val="24"/>
          <w:szCs w:val="24"/>
          <w:lang w:eastAsia="pl-PL"/>
        </w:rPr>
        <w:t xml:space="preserve"> przewiduje wzmocnienie nadzoru Komisji nad akcjami reklamowymi ofert publicznych papierów wartościowych</w:t>
      </w:r>
      <w:r w:rsidR="00332A27" w:rsidRPr="009B65CD">
        <w:rPr>
          <w:rFonts w:ascii="Times New Roman" w:eastAsia="Times New Roman" w:hAnsi="Times New Roman" w:cs="Times New Roman"/>
          <w:bCs/>
          <w:sz w:val="24"/>
          <w:szCs w:val="24"/>
          <w:lang w:eastAsia="pl-PL"/>
        </w:rPr>
        <w:t xml:space="preserve"> – </w:t>
      </w:r>
      <w:r w:rsidRPr="009B65CD">
        <w:rPr>
          <w:rFonts w:ascii="Times New Roman" w:eastAsia="Times New Roman" w:hAnsi="Times New Roman" w:cs="Times New Roman"/>
          <w:bCs/>
          <w:sz w:val="24"/>
          <w:szCs w:val="24"/>
          <w:lang w:eastAsia="pl-PL"/>
        </w:rPr>
        <w:t>emitent lub oferujący będzie składał do Komisji, z odpowiednim wyprzedzeniem, harmonogram przebiegu akcji reklamowej, informację o podmiotach zaangażowanych w jej prowadzenie oraz materiały reklamowe.</w:t>
      </w:r>
    </w:p>
    <w:p w14:paraId="09FFA252" w14:textId="08C30D7C" w:rsidR="00E15595" w:rsidRPr="009B65CD" w:rsidRDefault="00E15595" w:rsidP="009B65CD">
      <w:pPr>
        <w:suppressAutoHyphens/>
        <w:autoSpaceDE w:val="0"/>
        <w:autoSpaceDN w:val="0"/>
        <w:adjustRightInd w:val="0"/>
        <w:ind w:firstLine="510"/>
        <w:rPr>
          <w:rFonts w:ascii="Times New Roman" w:eastAsia="Times New Roman" w:hAnsi="Times New Roman" w:cs="Times New Roman"/>
          <w:bCs/>
          <w:sz w:val="24"/>
          <w:szCs w:val="24"/>
          <w:lang w:eastAsia="pl-PL"/>
        </w:rPr>
      </w:pPr>
      <w:r w:rsidRPr="009B65CD">
        <w:rPr>
          <w:rFonts w:ascii="Times New Roman" w:eastAsia="Times New Roman" w:hAnsi="Times New Roman" w:cs="Times New Roman"/>
          <w:bCs/>
          <w:sz w:val="24"/>
          <w:szCs w:val="24"/>
          <w:lang w:eastAsia="pl-PL"/>
        </w:rPr>
        <w:t xml:space="preserve">Dodawany przez </w:t>
      </w:r>
      <w:r w:rsidRPr="00922D36">
        <w:rPr>
          <w:rFonts w:ascii="Times New Roman" w:eastAsia="Times New Roman" w:hAnsi="Times New Roman" w:cs="Times New Roman"/>
          <w:b/>
          <w:bCs/>
          <w:sz w:val="24"/>
          <w:szCs w:val="24"/>
          <w:lang w:eastAsia="pl-PL"/>
        </w:rPr>
        <w:t>art.</w:t>
      </w:r>
      <w:r w:rsidR="001F056A">
        <w:rPr>
          <w:rFonts w:ascii="Times New Roman" w:eastAsia="Times New Roman" w:hAnsi="Times New Roman" w:cs="Times New Roman"/>
          <w:b/>
          <w:bCs/>
          <w:sz w:val="24"/>
          <w:szCs w:val="24"/>
          <w:lang w:eastAsia="pl-PL"/>
        </w:rPr>
        <w:t xml:space="preserve"> 47</w:t>
      </w:r>
      <w:r w:rsidR="009F154F" w:rsidRPr="00922D36">
        <w:rPr>
          <w:rFonts w:ascii="Times New Roman" w:eastAsia="Times New Roman" w:hAnsi="Times New Roman" w:cs="Times New Roman"/>
          <w:b/>
          <w:bCs/>
          <w:sz w:val="24"/>
          <w:szCs w:val="24"/>
          <w:lang w:eastAsia="pl-PL"/>
        </w:rPr>
        <w:t xml:space="preserve"> pkt 7</w:t>
      </w:r>
      <w:r w:rsidRPr="00424E07">
        <w:rPr>
          <w:rFonts w:ascii="Times New Roman" w:eastAsia="Times New Roman" w:hAnsi="Times New Roman" w:cs="Times New Roman"/>
          <w:bCs/>
          <w:sz w:val="24"/>
          <w:szCs w:val="24"/>
          <w:lang w:eastAsia="pl-PL"/>
        </w:rPr>
        <w:t xml:space="preserve"> </w:t>
      </w:r>
      <w:r w:rsidR="009F154F" w:rsidRPr="00424E07">
        <w:rPr>
          <w:rFonts w:ascii="Times New Roman" w:eastAsia="Times New Roman" w:hAnsi="Times New Roman" w:cs="Times New Roman"/>
          <w:bCs/>
          <w:sz w:val="24"/>
          <w:szCs w:val="24"/>
          <w:lang w:eastAsia="pl-PL"/>
        </w:rPr>
        <w:t>art. 96 ust. 1ba</w:t>
      </w:r>
      <w:r w:rsidRPr="00424E07">
        <w:rPr>
          <w:rFonts w:ascii="Times New Roman" w:eastAsia="Times New Roman" w:hAnsi="Times New Roman" w:cs="Times New Roman"/>
          <w:bCs/>
          <w:sz w:val="24"/>
          <w:szCs w:val="24"/>
          <w:lang w:eastAsia="pl-PL"/>
        </w:rPr>
        <w:t xml:space="preserve"> ustawy o ofercie publicznej przewiduje sankcję administracyjną za naruszenie obowiązków związanych ze sporządzaniem i udostępnianiem</w:t>
      </w:r>
      <w:r w:rsidRPr="009B65CD">
        <w:rPr>
          <w:rFonts w:ascii="Times New Roman" w:eastAsia="Times New Roman" w:hAnsi="Times New Roman" w:cs="Times New Roman"/>
          <w:bCs/>
          <w:sz w:val="24"/>
          <w:szCs w:val="24"/>
          <w:lang w:eastAsia="pl-PL"/>
        </w:rPr>
        <w:t xml:space="preserve"> arkuszy kluczowych informacji inwestycyjnych w związku z ofertami publicznymi papierów wartościowych prowadzonymi za pośrednictwem firmy inwestycyjnej</w:t>
      </w:r>
      <w:r w:rsidR="00332A27" w:rsidRPr="009B65CD">
        <w:rPr>
          <w:rFonts w:ascii="Times New Roman" w:eastAsia="Times New Roman" w:hAnsi="Times New Roman" w:cs="Times New Roman"/>
          <w:bCs/>
          <w:sz w:val="24"/>
          <w:szCs w:val="24"/>
          <w:lang w:eastAsia="pl-PL"/>
        </w:rPr>
        <w:t xml:space="preserve">, na poziomie analogicznym do </w:t>
      </w:r>
      <w:r w:rsidRPr="009B65CD">
        <w:rPr>
          <w:rFonts w:ascii="Times New Roman" w:eastAsia="Times New Roman" w:hAnsi="Times New Roman" w:cs="Times New Roman"/>
          <w:bCs/>
          <w:sz w:val="24"/>
          <w:szCs w:val="24"/>
          <w:lang w:eastAsia="pl-PL"/>
        </w:rPr>
        <w:t>kary za niewykonanie lub nienależyte wykonanie analogicznych obowiązków dotyczących prospektu lub memorandum informacyjnego</w:t>
      </w:r>
      <w:r w:rsidR="009F154F" w:rsidRPr="009B65CD">
        <w:rPr>
          <w:rFonts w:ascii="Times New Roman" w:eastAsia="Times New Roman" w:hAnsi="Times New Roman" w:cs="Times New Roman"/>
          <w:bCs/>
          <w:sz w:val="24"/>
          <w:szCs w:val="24"/>
          <w:lang w:eastAsia="pl-PL"/>
        </w:rPr>
        <w:t xml:space="preserve"> (art. 96 ust. 1 ustawy o ofercie publicznej</w:t>
      </w:r>
      <w:r w:rsidR="00332A27" w:rsidRPr="009B65CD">
        <w:rPr>
          <w:rFonts w:ascii="Times New Roman" w:eastAsia="Times New Roman" w:hAnsi="Times New Roman" w:cs="Times New Roman"/>
          <w:bCs/>
          <w:sz w:val="24"/>
          <w:szCs w:val="24"/>
          <w:lang w:eastAsia="pl-PL"/>
        </w:rPr>
        <w:t>).</w:t>
      </w:r>
    </w:p>
    <w:p w14:paraId="2BBD36D5" w14:textId="2CE9BA81" w:rsidR="009F154F" w:rsidRPr="00424E07" w:rsidRDefault="001F056A" w:rsidP="009B65CD">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47</w:t>
      </w:r>
      <w:r w:rsidR="009F154F" w:rsidRPr="00922D36">
        <w:rPr>
          <w:rFonts w:ascii="Times New Roman" w:eastAsia="Times New Roman" w:hAnsi="Times New Roman" w:cs="Times New Roman"/>
          <w:b/>
          <w:bCs/>
          <w:sz w:val="24"/>
          <w:szCs w:val="24"/>
          <w:lang w:eastAsia="pl-PL"/>
        </w:rPr>
        <w:t xml:space="preserve"> pkt 8</w:t>
      </w:r>
      <w:r w:rsidR="009F154F" w:rsidRPr="00424E07">
        <w:rPr>
          <w:rFonts w:ascii="Times New Roman" w:eastAsia="Times New Roman" w:hAnsi="Times New Roman" w:cs="Times New Roman"/>
          <w:bCs/>
          <w:sz w:val="24"/>
          <w:szCs w:val="24"/>
          <w:lang w:eastAsia="pl-PL"/>
        </w:rPr>
        <w:t xml:space="preserve"> wprowadza zasady odpowiedzialności cywilnej za treść arkusza kluczowych informacji inwestycyjnych sporządzanego w przypadku ofert publicznych prowadzonych za pośrednictwem firmy inwestycyjnej.</w:t>
      </w:r>
    </w:p>
    <w:p w14:paraId="5196D2C4" w14:textId="5000DEEC" w:rsidR="00174D57" w:rsidRPr="009B65CD" w:rsidRDefault="00E15595" w:rsidP="009B65CD">
      <w:pPr>
        <w:suppressAutoHyphens/>
        <w:autoSpaceDE w:val="0"/>
        <w:autoSpaceDN w:val="0"/>
        <w:adjustRightInd w:val="0"/>
        <w:ind w:firstLine="510"/>
        <w:rPr>
          <w:rFonts w:ascii="Times New Roman" w:eastAsia="Times New Roman" w:hAnsi="Times New Roman" w:cs="Times New Roman"/>
          <w:bCs/>
          <w:sz w:val="24"/>
          <w:szCs w:val="24"/>
          <w:lang w:eastAsia="pl-PL"/>
        </w:rPr>
      </w:pPr>
      <w:r w:rsidRPr="00922D36">
        <w:rPr>
          <w:rFonts w:ascii="Times New Roman" w:eastAsia="Times New Roman" w:hAnsi="Times New Roman" w:cs="Times New Roman"/>
          <w:b/>
          <w:bCs/>
          <w:sz w:val="24"/>
          <w:szCs w:val="24"/>
          <w:lang w:eastAsia="pl-PL"/>
        </w:rPr>
        <w:t>Art.</w:t>
      </w:r>
      <w:r w:rsidR="001F056A">
        <w:rPr>
          <w:rFonts w:ascii="Times New Roman" w:eastAsia="Times New Roman" w:hAnsi="Times New Roman" w:cs="Times New Roman"/>
          <w:b/>
          <w:bCs/>
          <w:sz w:val="24"/>
          <w:szCs w:val="24"/>
          <w:lang w:eastAsia="pl-PL"/>
        </w:rPr>
        <w:t xml:space="preserve"> 47</w:t>
      </w:r>
      <w:r w:rsidR="009F154F" w:rsidRPr="00922D36">
        <w:rPr>
          <w:rFonts w:ascii="Times New Roman" w:eastAsia="Times New Roman" w:hAnsi="Times New Roman" w:cs="Times New Roman"/>
          <w:b/>
          <w:bCs/>
          <w:sz w:val="24"/>
          <w:szCs w:val="24"/>
          <w:lang w:eastAsia="pl-PL"/>
        </w:rPr>
        <w:t xml:space="preserve"> pkt 9</w:t>
      </w:r>
      <w:r w:rsidRPr="00424E07">
        <w:rPr>
          <w:rFonts w:ascii="Times New Roman" w:eastAsia="Times New Roman" w:hAnsi="Times New Roman" w:cs="Times New Roman"/>
          <w:bCs/>
          <w:sz w:val="24"/>
          <w:szCs w:val="24"/>
          <w:lang w:eastAsia="pl-PL"/>
        </w:rPr>
        <w:t xml:space="preserve"> </w:t>
      </w:r>
      <w:r w:rsidR="00332A27" w:rsidRPr="00424E07">
        <w:rPr>
          <w:rFonts w:ascii="Times New Roman" w:eastAsia="Times New Roman" w:hAnsi="Times New Roman" w:cs="Times New Roman"/>
          <w:bCs/>
          <w:sz w:val="24"/>
          <w:szCs w:val="24"/>
          <w:lang w:eastAsia="pl-PL"/>
        </w:rPr>
        <w:t xml:space="preserve">zmienia </w:t>
      </w:r>
      <w:r w:rsidRPr="00424E07">
        <w:rPr>
          <w:rFonts w:ascii="Times New Roman" w:eastAsia="Times New Roman" w:hAnsi="Times New Roman" w:cs="Times New Roman"/>
          <w:bCs/>
          <w:sz w:val="24"/>
          <w:szCs w:val="24"/>
          <w:lang w:eastAsia="pl-PL"/>
        </w:rPr>
        <w:t>przepis karny dotyczący dokonywania oferty publicznej bez wymaganych dokumentów. Sankcja przewidziana w tym przepisie</w:t>
      </w:r>
      <w:r w:rsidR="00332A27" w:rsidRPr="009B65CD">
        <w:rPr>
          <w:rFonts w:ascii="Times New Roman" w:eastAsia="Times New Roman" w:hAnsi="Times New Roman" w:cs="Times New Roman"/>
          <w:bCs/>
          <w:sz w:val="24"/>
          <w:szCs w:val="24"/>
          <w:lang w:eastAsia="pl-PL"/>
        </w:rPr>
        <w:t xml:space="preserve"> </w:t>
      </w:r>
      <w:r w:rsidRPr="009B65CD">
        <w:rPr>
          <w:rFonts w:ascii="Times New Roman" w:eastAsia="Times New Roman" w:hAnsi="Times New Roman" w:cs="Times New Roman"/>
          <w:bCs/>
          <w:sz w:val="24"/>
          <w:szCs w:val="24"/>
          <w:lang w:eastAsia="pl-PL"/>
        </w:rPr>
        <w:t>zostanie rozszerzona na przypadki nieudostępnienia arkusza kluczowych informacji inwestycyjnych związanego z ofertą publiczną papierów wartościowych dokonywaną za poś</w:t>
      </w:r>
      <w:r w:rsidR="009F154F" w:rsidRPr="009B65CD">
        <w:rPr>
          <w:rFonts w:ascii="Times New Roman" w:eastAsia="Times New Roman" w:hAnsi="Times New Roman" w:cs="Times New Roman"/>
          <w:bCs/>
          <w:sz w:val="24"/>
          <w:szCs w:val="24"/>
          <w:lang w:eastAsia="pl-PL"/>
        </w:rPr>
        <w:t>rednictwem firmy inwestycyjnej.</w:t>
      </w:r>
    </w:p>
    <w:p w14:paraId="45310FEF" w14:textId="1792C534" w:rsidR="00174D57" w:rsidRPr="009B65CD" w:rsidRDefault="001F056A" w:rsidP="00922D36">
      <w:pPr>
        <w:suppressAutoHyphens/>
        <w:autoSpaceDE w:val="0"/>
        <w:autoSpaceDN w:val="0"/>
        <w:adjustRightInd w:val="0"/>
        <w:spacing w:before="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48</w:t>
      </w:r>
      <w:r w:rsidR="00BB2AC4" w:rsidRPr="009B65CD">
        <w:rPr>
          <w:rFonts w:ascii="Times New Roman" w:eastAsia="Times New Roman" w:hAnsi="Times New Roman" w:cs="Times New Roman"/>
          <w:bCs/>
          <w:sz w:val="24"/>
          <w:szCs w:val="24"/>
          <w:lang w:eastAsia="pl-PL"/>
        </w:rPr>
        <w:t xml:space="preserve"> wprowadza zmiany w </w:t>
      </w:r>
      <w:r w:rsidR="00BB2AC4" w:rsidRPr="00922D36">
        <w:rPr>
          <w:rFonts w:ascii="Times New Roman" w:eastAsia="Times New Roman" w:hAnsi="Times New Roman" w:cs="Times New Roman"/>
          <w:b/>
          <w:bCs/>
          <w:sz w:val="24"/>
          <w:szCs w:val="24"/>
          <w:lang w:eastAsia="pl-PL"/>
        </w:rPr>
        <w:t>ustawie z dnia 21 lipca 2006 r. o n</w:t>
      </w:r>
      <w:r w:rsidR="00E77760" w:rsidRPr="00922D36">
        <w:rPr>
          <w:rFonts w:ascii="Times New Roman" w:eastAsia="Times New Roman" w:hAnsi="Times New Roman" w:cs="Times New Roman"/>
          <w:b/>
          <w:bCs/>
          <w:sz w:val="24"/>
          <w:szCs w:val="24"/>
          <w:lang w:eastAsia="pl-PL"/>
        </w:rPr>
        <w:t>adzorze nad rynkiem finansowym</w:t>
      </w:r>
      <w:r w:rsidR="009F154F" w:rsidRPr="009B65CD">
        <w:rPr>
          <w:rFonts w:ascii="Times New Roman" w:eastAsia="Times New Roman" w:hAnsi="Times New Roman" w:cs="Times New Roman"/>
          <w:bCs/>
          <w:sz w:val="24"/>
          <w:szCs w:val="24"/>
          <w:lang w:eastAsia="pl-PL"/>
        </w:rPr>
        <w:t>.</w:t>
      </w:r>
    </w:p>
    <w:p w14:paraId="1B177CBB" w14:textId="355FD6ED" w:rsidR="00905F00" w:rsidRPr="009B65CD" w:rsidRDefault="00174D57" w:rsidP="009B65CD">
      <w:pPr>
        <w:suppressAutoHyphens/>
        <w:autoSpaceDE w:val="0"/>
        <w:autoSpaceDN w:val="0"/>
        <w:adjustRightInd w:val="0"/>
        <w:ind w:firstLine="510"/>
        <w:rPr>
          <w:rFonts w:ascii="Times New Roman" w:eastAsia="Times New Roman" w:hAnsi="Times New Roman" w:cs="Times New Roman"/>
          <w:bCs/>
          <w:sz w:val="24"/>
          <w:szCs w:val="24"/>
          <w:lang w:eastAsia="pl-PL"/>
        </w:rPr>
      </w:pPr>
      <w:r w:rsidRPr="00922D36">
        <w:rPr>
          <w:rFonts w:ascii="Times New Roman" w:eastAsia="Times New Roman" w:hAnsi="Times New Roman" w:cs="Times New Roman"/>
          <w:b/>
          <w:bCs/>
          <w:sz w:val="24"/>
          <w:szCs w:val="24"/>
          <w:lang w:eastAsia="pl-PL"/>
        </w:rPr>
        <w:t>Art.</w:t>
      </w:r>
      <w:r w:rsidR="001F056A">
        <w:rPr>
          <w:rFonts w:ascii="Times New Roman" w:eastAsia="Times New Roman" w:hAnsi="Times New Roman" w:cs="Times New Roman"/>
          <w:b/>
          <w:bCs/>
          <w:sz w:val="24"/>
          <w:szCs w:val="24"/>
          <w:lang w:eastAsia="pl-PL"/>
        </w:rPr>
        <w:t xml:space="preserve"> 48</w:t>
      </w:r>
      <w:r w:rsidR="009F154F" w:rsidRPr="00922D36">
        <w:rPr>
          <w:rFonts w:ascii="Times New Roman" w:eastAsia="Times New Roman" w:hAnsi="Times New Roman" w:cs="Times New Roman"/>
          <w:b/>
          <w:bCs/>
          <w:sz w:val="24"/>
          <w:szCs w:val="24"/>
          <w:lang w:eastAsia="pl-PL"/>
        </w:rPr>
        <w:t xml:space="preserve"> </w:t>
      </w:r>
      <w:r w:rsidRPr="00922D36">
        <w:rPr>
          <w:rFonts w:ascii="Times New Roman" w:eastAsia="Times New Roman" w:hAnsi="Times New Roman" w:cs="Times New Roman"/>
          <w:b/>
          <w:bCs/>
          <w:sz w:val="24"/>
          <w:szCs w:val="24"/>
          <w:lang w:eastAsia="pl-PL"/>
        </w:rPr>
        <w:t>p</w:t>
      </w:r>
      <w:r w:rsidR="00BB2AC4" w:rsidRPr="00922D36">
        <w:rPr>
          <w:rFonts w:ascii="Times New Roman" w:eastAsia="Times New Roman" w:hAnsi="Times New Roman" w:cs="Times New Roman"/>
          <w:b/>
          <w:bCs/>
          <w:sz w:val="24"/>
          <w:szCs w:val="24"/>
          <w:lang w:eastAsia="pl-PL"/>
        </w:rPr>
        <w:t>kt 1</w:t>
      </w:r>
      <w:r w:rsidR="00BB2AC4" w:rsidRPr="009B65CD">
        <w:rPr>
          <w:rFonts w:ascii="Times New Roman" w:eastAsia="Times New Roman" w:hAnsi="Times New Roman" w:cs="Times New Roman"/>
          <w:bCs/>
          <w:sz w:val="24"/>
          <w:szCs w:val="24"/>
          <w:lang w:eastAsia="pl-PL"/>
        </w:rPr>
        <w:t xml:space="preserve"> rozszerza zakres nadzoru nad rynkiem finansowym o nadzór w zakresie przewidzianym przepisami rozporządzenia 2020/1503 oraz przepisami ustawy</w:t>
      </w:r>
      <w:r w:rsidR="00956CC2" w:rsidRPr="009B65CD">
        <w:rPr>
          <w:rFonts w:ascii="Times New Roman" w:hAnsi="Times New Roman" w:cs="Times New Roman"/>
          <w:sz w:val="24"/>
          <w:szCs w:val="24"/>
        </w:rPr>
        <w:t xml:space="preserve"> </w:t>
      </w:r>
      <w:r w:rsidR="004920CA">
        <w:rPr>
          <w:rFonts w:ascii="Times New Roman" w:hAnsi="Times New Roman" w:cs="Times New Roman"/>
          <w:sz w:val="24"/>
          <w:szCs w:val="24"/>
        </w:rPr>
        <w:t xml:space="preserve">o </w:t>
      </w:r>
      <w:r w:rsidR="00D50DC9">
        <w:rPr>
          <w:rFonts w:ascii="Times New Roman" w:hAnsi="Times New Roman" w:cs="Times New Roman"/>
          <w:sz w:val="24"/>
          <w:szCs w:val="24"/>
        </w:rPr>
        <w:t>finansowaniu</w:t>
      </w:r>
      <w:r w:rsidR="00956CC2" w:rsidRPr="009B65CD">
        <w:rPr>
          <w:rFonts w:ascii="Times New Roman" w:hAnsi="Times New Roman" w:cs="Times New Roman"/>
          <w:sz w:val="24"/>
          <w:szCs w:val="24"/>
        </w:rPr>
        <w:t xml:space="preserve"> społecznościow</w:t>
      </w:r>
      <w:r w:rsidR="00D50DC9">
        <w:rPr>
          <w:rFonts w:ascii="Times New Roman" w:hAnsi="Times New Roman" w:cs="Times New Roman"/>
          <w:sz w:val="24"/>
          <w:szCs w:val="24"/>
        </w:rPr>
        <w:t>ym</w:t>
      </w:r>
      <w:r w:rsidR="00956CC2" w:rsidRPr="009B65CD">
        <w:rPr>
          <w:rFonts w:ascii="Times New Roman" w:hAnsi="Times New Roman" w:cs="Times New Roman"/>
          <w:sz w:val="24"/>
          <w:szCs w:val="24"/>
        </w:rPr>
        <w:t xml:space="preserve"> dla przedsięwzięć gospodarczych</w:t>
      </w:r>
      <w:r w:rsidR="00BB2AC4" w:rsidRPr="009B65CD">
        <w:rPr>
          <w:rFonts w:ascii="Times New Roman" w:eastAsia="Times New Roman" w:hAnsi="Times New Roman" w:cs="Times New Roman"/>
          <w:bCs/>
          <w:sz w:val="24"/>
          <w:szCs w:val="24"/>
          <w:lang w:eastAsia="pl-PL"/>
        </w:rPr>
        <w:t>.</w:t>
      </w:r>
    </w:p>
    <w:p w14:paraId="26F220F2" w14:textId="4A6E7DEE" w:rsidR="00556ADC" w:rsidRPr="009B65CD" w:rsidRDefault="001F056A" w:rsidP="009B65CD">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48</w:t>
      </w:r>
      <w:r w:rsidR="006B4BDA" w:rsidRPr="00922D36">
        <w:rPr>
          <w:rFonts w:ascii="Times New Roman" w:eastAsia="Times New Roman" w:hAnsi="Times New Roman" w:cs="Times New Roman"/>
          <w:b/>
          <w:bCs/>
          <w:sz w:val="24"/>
          <w:szCs w:val="24"/>
          <w:lang w:eastAsia="pl-PL"/>
        </w:rPr>
        <w:t xml:space="preserve"> pkt 2</w:t>
      </w:r>
      <w:r w:rsidR="00556ADC" w:rsidRPr="009B65CD">
        <w:rPr>
          <w:rFonts w:ascii="Times New Roman" w:eastAsia="Times New Roman" w:hAnsi="Times New Roman" w:cs="Times New Roman"/>
          <w:bCs/>
          <w:sz w:val="24"/>
          <w:szCs w:val="24"/>
          <w:lang w:eastAsia="pl-PL"/>
        </w:rPr>
        <w:t xml:space="preserve"> zmienia katalog spraw o przestępstwa</w:t>
      </w:r>
      <w:r w:rsidR="00C67D21" w:rsidRPr="009B65CD">
        <w:rPr>
          <w:rFonts w:ascii="Times New Roman" w:eastAsia="Times New Roman" w:hAnsi="Times New Roman" w:cs="Times New Roman"/>
          <w:bCs/>
          <w:sz w:val="24"/>
          <w:szCs w:val="24"/>
          <w:lang w:eastAsia="pl-PL"/>
        </w:rPr>
        <w:t xml:space="preserve"> w obszarach, nad którymi Komisja sprawuje nadzór</w:t>
      </w:r>
      <w:r w:rsidR="00556ADC" w:rsidRPr="009B65CD">
        <w:rPr>
          <w:rFonts w:ascii="Times New Roman" w:eastAsia="Times New Roman" w:hAnsi="Times New Roman" w:cs="Times New Roman"/>
          <w:bCs/>
          <w:sz w:val="24"/>
          <w:szCs w:val="24"/>
          <w:lang w:eastAsia="pl-PL"/>
        </w:rPr>
        <w:t>, w przypadku których Przewodniczącemu Komisji przysługuje status pokrzywdzonego</w:t>
      </w:r>
      <w:r w:rsidR="006B4BDA" w:rsidRPr="009B65CD">
        <w:rPr>
          <w:rFonts w:ascii="Times New Roman" w:eastAsia="Times New Roman" w:hAnsi="Times New Roman" w:cs="Times New Roman"/>
          <w:bCs/>
          <w:sz w:val="24"/>
          <w:szCs w:val="24"/>
          <w:lang w:eastAsia="pl-PL"/>
        </w:rPr>
        <w:t>,</w:t>
      </w:r>
      <w:r w:rsidR="00C67D21" w:rsidRPr="009B65CD">
        <w:rPr>
          <w:rFonts w:ascii="Times New Roman" w:eastAsia="Times New Roman" w:hAnsi="Times New Roman" w:cs="Times New Roman"/>
          <w:bCs/>
          <w:sz w:val="24"/>
          <w:szCs w:val="24"/>
          <w:lang w:eastAsia="pl-PL"/>
        </w:rPr>
        <w:t xml:space="preserve"> przez </w:t>
      </w:r>
      <w:r w:rsidR="00556ADC" w:rsidRPr="009B65CD">
        <w:rPr>
          <w:rFonts w:ascii="Times New Roman" w:eastAsia="Times New Roman" w:hAnsi="Times New Roman" w:cs="Times New Roman"/>
          <w:bCs/>
          <w:sz w:val="24"/>
          <w:szCs w:val="24"/>
          <w:lang w:eastAsia="pl-PL"/>
        </w:rPr>
        <w:t>dodanie przestępstw określonych w przepisach ustawy</w:t>
      </w:r>
      <w:r w:rsidR="00C67D21" w:rsidRPr="009B65CD">
        <w:rPr>
          <w:rFonts w:ascii="Times New Roman" w:hAnsi="Times New Roman" w:cs="Times New Roman"/>
          <w:sz w:val="24"/>
          <w:szCs w:val="24"/>
        </w:rPr>
        <w:t xml:space="preserve"> </w:t>
      </w:r>
      <w:r w:rsidR="006B4BDA" w:rsidRPr="009B65CD">
        <w:rPr>
          <w:rFonts w:ascii="Times New Roman" w:hAnsi="Times New Roman" w:cs="Times New Roman"/>
          <w:sz w:val="24"/>
          <w:szCs w:val="24"/>
        </w:rPr>
        <w:t xml:space="preserve">o </w:t>
      </w:r>
      <w:r w:rsidR="00C67D21" w:rsidRPr="009B65CD">
        <w:rPr>
          <w:rFonts w:ascii="Times New Roman" w:hAnsi="Times New Roman" w:cs="Times New Roman"/>
          <w:sz w:val="24"/>
          <w:szCs w:val="24"/>
        </w:rPr>
        <w:t>finansowani</w:t>
      </w:r>
      <w:r w:rsidR="00D50DC9">
        <w:rPr>
          <w:rFonts w:ascii="Times New Roman" w:hAnsi="Times New Roman" w:cs="Times New Roman"/>
          <w:sz w:val="24"/>
          <w:szCs w:val="24"/>
        </w:rPr>
        <w:t>u</w:t>
      </w:r>
      <w:r w:rsidR="00C67D21" w:rsidRPr="009B65CD">
        <w:rPr>
          <w:rFonts w:ascii="Times New Roman" w:hAnsi="Times New Roman" w:cs="Times New Roman"/>
          <w:sz w:val="24"/>
          <w:szCs w:val="24"/>
        </w:rPr>
        <w:t xml:space="preserve"> społecznościow</w:t>
      </w:r>
      <w:r w:rsidR="00D50DC9">
        <w:rPr>
          <w:rFonts w:ascii="Times New Roman" w:hAnsi="Times New Roman" w:cs="Times New Roman"/>
          <w:sz w:val="24"/>
          <w:szCs w:val="24"/>
        </w:rPr>
        <w:t>ym</w:t>
      </w:r>
      <w:r w:rsidR="00C67D21" w:rsidRPr="009B65CD">
        <w:rPr>
          <w:rFonts w:ascii="Times New Roman" w:hAnsi="Times New Roman" w:cs="Times New Roman"/>
          <w:sz w:val="24"/>
          <w:szCs w:val="24"/>
        </w:rPr>
        <w:t xml:space="preserve"> dla przedsięwzięć gospodarczych</w:t>
      </w:r>
      <w:r w:rsidR="006B4BDA" w:rsidRPr="009B65CD">
        <w:rPr>
          <w:rFonts w:ascii="Times New Roman" w:eastAsia="Times New Roman" w:hAnsi="Times New Roman" w:cs="Times New Roman"/>
          <w:bCs/>
          <w:sz w:val="24"/>
          <w:szCs w:val="24"/>
          <w:lang w:eastAsia="pl-PL"/>
        </w:rPr>
        <w:t>.</w:t>
      </w:r>
    </w:p>
    <w:p w14:paraId="31E69E22" w14:textId="60DF0B43" w:rsidR="009163F8" w:rsidRPr="009B65CD" w:rsidRDefault="001F056A" w:rsidP="009B65CD">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48</w:t>
      </w:r>
      <w:r w:rsidR="009163F8" w:rsidRPr="00922D36">
        <w:rPr>
          <w:rFonts w:ascii="Times New Roman" w:eastAsia="Times New Roman" w:hAnsi="Times New Roman" w:cs="Times New Roman"/>
          <w:b/>
          <w:bCs/>
          <w:sz w:val="24"/>
          <w:szCs w:val="24"/>
          <w:lang w:eastAsia="pl-PL"/>
        </w:rPr>
        <w:t xml:space="preserve"> pk</w:t>
      </w:r>
      <w:r w:rsidR="006B4BDA" w:rsidRPr="00922D36">
        <w:rPr>
          <w:rFonts w:ascii="Times New Roman" w:eastAsia="Times New Roman" w:hAnsi="Times New Roman" w:cs="Times New Roman"/>
          <w:b/>
          <w:bCs/>
          <w:sz w:val="24"/>
          <w:szCs w:val="24"/>
          <w:lang w:eastAsia="pl-PL"/>
        </w:rPr>
        <w:t>t 3</w:t>
      </w:r>
      <w:r w:rsidR="009163F8" w:rsidRPr="009B65CD">
        <w:rPr>
          <w:rFonts w:ascii="Times New Roman" w:eastAsia="Times New Roman" w:hAnsi="Times New Roman" w:cs="Times New Roman"/>
          <w:bCs/>
          <w:sz w:val="24"/>
          <w:szCs w:val="24"/>
          <w:lang w:eastAsia="pl-PL"/>
        </w:rPr>
        <w:t xml:space="preserve"> upoważnia Komisję do podania do publicznej wiadomości informacji o złożeniu zawiadomienia o podejrzeniu popełnienia przestępstwa</w:t>
      </w:r>
      <w:r>
        <w:rPr>
          <w:rFonts w:ascii="Times New Roman" w:eastAsia="Times New Roman" w:hAnsi="Times New Roman" w:cs="Times New Roman"/>
          <w:bCs/>
          <w:sz w:val="24"/>
          <w:szCs w:val="24"/>
          <w:lang w:eastAsia="pl-PL"/>
        </w:rPr>
        <w:t>, o którym mowa w art. 35 i art. 36</w:t>
      </w:r>
      <w:r w:rsidR="007128D3" w:rsidRPr="009B65CD">
        <w:rPr>
          <w:rFonts w:ascii="Times New Roman" w:eastAsia="Times New Roman" w:hAnsi="Times New Roman" w:cs="Times New Roman"/>
          <w:bCs/>
          <w:sz w:val="24"/>
          <w:szCs w:val="24"/>
          <w:lang w:eastAsia="pl-PL"/>
        </w:rPr>
        <w:t xml:space="preserve"> ustawy</w:t>
      </w:r>
      <w:r w:rsidR="007128D3" w:rsidRPr="009B65CD">
        <w:rPr>
          <w:rFonts w:ascii="Times New Roman" w:hAnsi="Times New Roman" w:cs="Times New Roman"/>
          <w:sz w:val="24"/>
          <w:szCs w:val="24"/>
        </w:rPr>
        <w:t xml:space="preserve"> </w:t>
      </w:r>
      <w:r>
        <w:rPr>
          <w:rFonts w:ascii="Times New Roman" w:hAnsi="Times New Roman" w:cs="Times New Roman"/>
          <w:sz w:val="24"/>
          <w:szCs w:val="24"/>
        </w:rPr>
        <w:t>o finansowaniu</w:t>
      </w:r>
      <w:r w:rsidR="007128D3" w:rsidRPr="009B65CD">
        <w:rPr>
          <w:rFonts w:ascii="Times New Roman" w:hAnsi="Times New Roman" w:cs="Times New Roman"/>
          <w:sz w:val="24"/>
          <w:szCs w:val="24"/>
        </w:rPr>
        <w:t xml:space="preserve"> społecznościow</w:t>
      </w:r>
      <w:r>
        <w:rPr>
          <w:rFonts w:ascii="Times New Roman" w:hAnsi="Times New Roman" w:cs="Times New Roman"/>
          <w:sz w:val="24"/>
          <w:szCs w:val="24"/>
        </w:rPr>
        <w:t>ym</w:t>
      </w:r>
      <w:r w:rsidR="007128D3" w:rsidRPr="009B65CD">
        <w:rPr>
          <w:rFonts w:ascii="Times New Roman" w:hAnsi="Times New Roman" w:cs="Times New Roman"/>
          <w:sz w:val="24"/>
          <w:szCs w:val="24"/>
        </w:rPr>
        <w:t xml:space="preserve"> dla przedsięwzięć gospodarczych</w:t>
      </w:r>
      <w:r w:rsidR="007128D3" w:rsidRPr="009702C3">
        <w:rPr>
          <w:rFonts w:ascii="Times New Roman" w:eastAsia="Times New Roman" w:hAnsi="Times New Roman" w:cs="Times New Roman"/>
          <w:bCs/>
          <w:sz w:val="24"/>
          <w:szCs w:val="24"/>
          <w:lang w:eastAsia="pl-PL"/>
        </w:rPr>
        <w:t xml:space="preserve">. </w:t>
      </w:r>
      <w:r w:rsidR="009163F8" w:rsidRPr="009702C3">
        <w:rPr>
          <w:rFonts w:ascii="Times New Roman" w:eastAsia="Times New Roman" w:hAnsi="Times New Roman" w:cs="Times New Roman"/>
          <w:bCs/>
          <w:sz w:val="24"/>
          <w:szCs w:val="24"/>
          <w:lang w:eastAsia="pl-PL"/>
        </w:rPr>
        <w:t>Przepis ten stanowi podstawę do prowadzenia przez Komisję tzw. listy ostrzeżeń publicznych i już obecnie umożliwia ujmowanie na tej liście podmiotów prowadzących d</w:t>
      </w:r>
      <w:r w:rsidR="009163F8" w:rsidRPr="009B65CD">
        <w:rPr>
          <w:rFonts w:ascii="Times New Roman" w:eastAsia="Times New Roman" w:hAnsi="Times New Roman" w:cs="Times New Roman"/>
          <w:bCs/>
          <w:sz w:val="24"/>
          <w:szCs w:val="24"/>
          <w:lang w:eastAsia="pl-PL"/>
        </w:rPr>
        <w:t>ziałalność bez zezwolenia wymaganego na podstawie przepisów innych ustaw regulujących działalność podmiotów rynku finansowego.</w:t>
      </w:r>
    </w:p>
    <w:p w14:paraId="06003A2F" w14:textId="472AB101" w:rsidR="0085560C" w:rsidRPr="009B65CD" w:rsidRDefault="001F056A" w:rsidP="009B65CD">
      <w:pPr>
        <w:suppressAutoHyphens/>
        <w:autoSpaceDE w:val="0"/>
        <w:autoSpaceDN w:val="0"/>
        <w:adjustRightInd w:val="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48</w:t>
      </w:r>
      <w:r w:rsidR="006B4BDA" w:rsidRPr="00922D36">
        <w:rPr>
          <w:rFonts w:ascii="Times New Roman" w:eastAsia="Times New Roman" w:hAnsi="Times New Roman" w:cs="Times New Roman"/>
          <w:b/>
          <w:bCs/>
          <w:sz w:val="24"/>
          <w:szCs w:val="24"/>
          <w:lang w:eastAsia="pl-PL"/>
        </w:rPr>
        <w:t xml:space="preserve"> pkt 4</w:t>
      </w:r>
      <w:r w:rsidR="00556ADC" w:rsidRPr="009B65CD">
        <w:rPr>
          <w:rFonts w:ascii="Times New Roman" w:eastAsia="Times New Roman" w:hAnsi="Times New Roman" w:cs="Times New Roman"/>
          <w:bCs/>
          <w:sz w:val="24"/>
          <w:szCs w:val="24"/>
          <w:lang w:eastAsia="pl-PL"/>
        </w:rPr>
        <w:t xml:space="preserve"> </w:t>
      </w:r>
      <w:r w:rsidR="00207BAA" w:rsidRPr="009B65CD">
        <w:rPr>
          <w:rFonts w:ascii="Times New Roman" w:eastAsia="Times New Roman" w:hAnsi="Times New Roman" w:cs="Times New Roman"/>
          <w:bCs/>
          <w:sz w:val="24"/>
          <w:szCs w:val="24"/>
          <w:lang w:eastAsia="pl-PL"/>
        </w:rPr>
        <w:t>uzupełnia zakres rozstrzygnięć</w:t>
      </w:r>
      <w:r w:rsidR="007128D3" w:rsidRPr="009B65CD">
        <w:rPr>
          <w:rFonts w:ascii="Times New Roman" w:eastAsia="Times New Roman" w:hAnsi="Times New Roman" w:cs="Times New Roman"/>
          <w:bCs/>
          <w:sz w:val="24"/>
          <w:szCs w:val="24"/>
          <w:lang w:eastAsia="pl-PL"/>
        </w:rPr>
        <w:t xml:space="preserve"> zastrzeżonych do </w:t>
      </w:r>
      <w:r w:rsidR="005927CD" w:rsidRPr="009B65CD">
        <w:rPr>
          <w:rFonts w:ascii="Times New Roman" w:eastAsia="Times New Roman" w:hAnsi="Times New Roman" w:cs="Times New Roman"/>
          <w:bCs/>
          <w:sz w:val="24"/>
          <w:szCs w:val="24"/>
          <w:lang w:eastAsia="pl-PL"/>
        </w:rPr>
        <w:t xml:space="preserve">wyłącznej </w:t>
      </w:r>
      <w:r w:rsidR="007128D3" w:rsidRPr="009B65CD">
        <w:rPr>
          <w:rFonts w:ascii="Times New Roman" w:eastAsia="Times New Roman" w:hAnsi="Times New Roman" w:cs="Times New Roman"/>
          <w:bCs/>
          <w:sz w:val="24"/>
          <w:szCs w:val="24"/>
          <w:lang w:eastAsia="pl-PL"/>
        </w:rPr>
        <w:t xml:space="preserve">kompetencji </w:t>
      </w:r>
      <w:r w:rsidR="00207BAA" w:rsidRPr="009B65CD">
        <w:rPr>
          <w:rFonts w:ascii="Times New Roman" w:eastAsia="Times New Roman" w:hAnsi="Times New Roman" w:cs="Times New Roman"/>
          <w:bCs/>
          <w:sz w:val="24"/>
          <w:szCs w:val="24"/>
          <w:lang w:eastAsia="pl-PL"/>
        </w:rPr>
        <w:t>Komisji</w:t>
      </w:r>
      <w:r w:rsidR="007128D3" w:rsidRPr="009B65CD">
        <w:rPr>
          <w:rFonts w:ascii="Times New Roman" w:eastAsia="Times New Roman" w:hAnsi="Times New Roman" w:cs="Times New Roman"/>
          <w:bCs/>
          <w:sz w:val="24"/>
          <w:szCs w:val="24"/>
          <w:lang w:eastAsia="pl-PL"/>
        </w:rPr>
        <w:t xml:space="preserve"> </w:t>
      </w:r>
      <w:r w:rsidR="00207BAA" w:rsidRPr="009B65CD">
        <w:rPr>
          <w:rFonts w:ascii="Times New Roman" w:eastAsia="Times New Roman" w:hAnsi="Times New Roman" w:cs="Times New Roman"/>
          <w:bCs/>
          <w:sz w:val="24"/>
          <w:szCs w:val="24"/>
          <w:lang w:eastAsia="pl-PL"/>
        </w:rPr>
        <w:t>o rozstrzygnięcie w sprawie udzielania zezwoleń na prowadzenie działalności dostawcy usług finansowania społecznościowego</w:t>
      </w:r>
      <w:r w:rsidR="007128D3" w:rsidRPr="009B65CD">
        <w:rPr>
          <w:rFonts w:ascii="Times New Roman" w:eastAsia="Times New Roman" w:hAnsi="Times New Roman" w:cs="Times New Roman"/>
          <w:bCs/>
          <w:sz w:val="24"/>
          <w:szCs w:val="24"/>
          <w:lang w:eastAsia="pl-PL"/>
        </w:rPr>
        <w:t xml:space="preserve">, tak jak ma to miejsce </w:t>
      </w:r>
      <w:r w:rsidR="00207BAA" w:rsidRPr="009B65CD">
        <w:rPr>
          <w:rFonts w:ascii="Times New Roman" w:eastAsia="Times New Roman" w:hAnsi="Times New Roman" w:cs="Times New Roman"/>
          <w:bCs/>
          <w:sz w:val="24"/>
          <w:szCs w:val="24"/>
          <w:lang w:eastAsia="pl-PL"/>
        </w:rPr>
        <w:t>w odniesieniu do podmiotów sektora bankowego, kapitałowego i ubezpieczeniowego</w:t>
      </w:r>
      <w:r w:rsidR="006B4BDA" w:rsidRPr="009B65CD">
        <w:rPr>
          <w:rFonts w:ascii="Times New Roman" w:eastAsia="Times New Roman" w:hAnsi="Times New Roman" w:cs="Times New Roman"/>
          <w:bCs/>
          <w:sz w:val="24"/>
          <w:szCs w:val="24"/>
          <w:lang w:eastAsia="pl-PL"/>
        </w:rPr>
        <w:t>.</w:t>
      </w:r>
    </w:p>
    <w:p w14:paraId="6E03788C" w14:textId="00EBBD37" w:rsidR="00472531" w:rsidRPr="00A54993" w:rsidRDefault="001F056A" w:rsidP="005E7A4C">
      <w:pPr>
        <w:suppressAutoHyphens/>
        <w:autoSpaceDE w:val="0"/>
        <w:autoSpaceDN w:val="0"/>
        <w:adjustRightInd w:val="0"/>
        <w:spacing w:before="120" w:after="120"/>
        <w:ind w:firstLine="510"/>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Przepisy art. 49–51</w:t>
      </w:r>
      <w:r w:rsidR="00A54993" w:rsidRPr="001F056A">
        <w:rPr>
          <w:rFonts w:ascii="Times New Roman" w:eastAsia="Times New Roman" w:hAnsi="Times New Roman" w:cs="Times New Roman"/>
          <w:bCs/>
          <w:sz w:val="24"/>
          <w:szCs w:val="24"/>
          <w:lang w:eastAsia="pl-PL"/>
        </w:rPr>
        <w:t xml:space="preserve"> </w:t>
      </w:r>
      <w:r w:rsidR="00472531" w:rsidRPr="004E768F">
        <w:rPr>
          <w:rFonts w:ascii="Times New Roman" w:eastAsia="Times New Roman" w:hAnsi="Times New Roman" w:cs="Times New Roman"/>
          <w:bCs/>
          <w:sz w:val="24"/>
          <w:szCs w:val="24"/>
          <w:lang w:eastAsia="pl-PL"/>
        </w:rPr>
        <w:t>zawiera</w:t>
      </w:r>
      <w:r w:rsidR="00A54993">
        <w:rPr>
          <w:rFonts w:ascii="Times New Roman" w:eastAsia="Times New Roman" w:hAnsi="Times New Roman" w:cs="Times New Roman"/>
          <w:bCs/>
          <w:sz w:val="24"/>
          <w:szCs w:val="24"/>
          <w:lang w:eastAsia="pl-PL"/>
        </w:rPr>
        <w:t>ją</w:t>
      </w:r>
      <w:r w:rsidR="00472531" w:rsidRPr="004E768F">
        <w:rPr>
          <w:rFonts w:ascii="Times New Roman" w:eastAsia="Times New Roman" w:hAnsi="Times New Roman" w:cs="Times New Roman"/>
          <w:bCs/>
          <w:sz w:val="24"/>
          <w:szCs w:val="24"/>
          <w:lang w:eastAsia="pl-PL"/>
        </w:rPr>
        <w:t xml:space="preserve"> przepisy przejściowe i końcowe.</w:t>
      </w:r>
    </w:p>
    <w:p w14:paraId="163482E1" w14:textId="53121855" w:rsidR="00472531" w:rsidRPr="004E768F" w:rsidRDefault="00174D57"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w:t>
      </w:r>
      <w:r w:rsidR="001F056A">
        <w:rPr>
          <w:rFonts w:ascii="Times New Roman" w:eastAsia="Times New Roman" w:hAnsi="Times New Roman" w:cs="Times New Roman"/>
          <w:b/>
          <w:bCs/>
          <w:sz w:val="24"/>
          <w:szCs w:val="24"/>
          <w:lang w:eastAsia="pl-PL"/>
        </w:rPr>
        <w:t>rt. 49</w:t>
      </w:r>
      <w:r w:rsidR="009004DF" w:rsidRPr="004E768F">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 xml:space="preserve">wynika ze </w:t>
      </w:r>
      <w:r w:rsidR="00472531" w:rsidRPr="004E768F">
        <w:rPr>
          <w:rFonts w:ascii="Times New Roman" w:eastAsia="Times New Roman" w:hAnsi="Times New Roman" w:cs="Times New Roman"/>
          <w:bCs/>
          <w:sz w:val="24"/>
          <w:szCs w:val="24"/>
          <w:lang w:eastAsia="pl-PL"/>
        </w:rPr>
        <w:t>skorzystani</w:t>
      </w:r>
      <w:r>
        <w:rPr>
          <w:rFonts w:ascii="Times New Roman" w:eastAsia="Times New Roman" w:hAnsi="Times New Roman" w:cs="Times New Roman"/>
          <w:bCs/>
          <w:sz w:val="24"/>
          <w:szCs w:val="24"/>
          <w:lang w:eastAsia="pl-PL"/>
        </w:rPr>
        <w:t>a</w:t>
      </w:r>
      <w:r w:rsidR="00472531" w:rsidRPr="004E768F">
        <w:rPr>
          <w:rFonts w:ascii="Times New Roman" w:eastAsia="Times New Roman" w:hAnsi="Times New Roman" w:cs="Times New Roman"/>
          <w:bCs/>
          <w:sz w:val="24"/>
          <w:szCs w:val="24"/>
          <w:lang w:eastAsia="pl-PL"/>
        </w:rPr>
        <w:t xml:space="preserve"> z opcji krajowej przewidzianej w art. 49 rozporządzenia 2020/1503</w:t>
      </w:r>
      <w:r>
        <w:rPr>
          <w:rFonts w:ascii="Times New Roman" w:eastAsia="Times New Roman" w:hAnsi="Times New Roman" w:cs="Times New Roman"/>
          <w:bCs/>
          <w:sz w:val="24"/>
          <w:szCs w:val="24"/>
          <w:lang w:eastAsia="pl-PL"/>
        </w:rPr>
        <w:t>. Z</w:t>
      </w:r>
      <w:r w:rsidR="00472531" w:rsidRPr="004E768F">
        <w:rPr>
          <w:rFonts w:ascii="Times New Roman" w:eastAsia="Times New Roman" w:hAnsi="Times New Roman" w:cs="Times New Roman"/>
          <w:bCs/>
          <w:sz w:val="24"/>
          <w:szCs w:val="24"/>
          <w:lang w:eastAsia="pl-PL"/>
        </w:rPr>
        <w:t xml:space="preserve">godnie z </w:t>
      </w:r>
      <w:r>
        <w:rPr>
          <w:rFonts w:ascii="Times New Roman" w:eastAsia="Times New Roman" w:hAnsi="Times New Roman" w:cs="Times New Roman"/>
          <w:bCs/>
          <w:sz w:val="24"/>
          <w:szCs w:val="24"/>
          <w:lang w:eastAsia="pl-PL"/>
        </w:rPr>
        <w:t xml:space="preserve">tym przepisem </w:t>
      </w:r>
      <w:r w:rsidR="00472531" w:rsidRPr="004E768F">
        <w:rPr>
          <w:rFonts w:ascii="Times New Roman" w:eastAsia="Times New Roman" w:hAnsi="Times New Roman" w:cs="Times New Roman"/>
          <w:bCs/>
          <w:sz w:val="24"/>
          <w:szCs w:val="24"/>
          <w:lang w:eastAsia="pl-PL"/>
        </w:rPr>
        <w:t>w przypadku gdy w danym państwie członkowskim próg łącznej wartości, powyżej którego należy publikować prospekt zgodnie z rozporządzeniem</w:t>
      </w:r>
      <w:r w:rsidR="00407B3C" w:rsidRPr="004E768F">
        <w:rPr>
          <w:rFonts w:ascii="Times New Roman" w:eastAsia="Times New Roman" w:hAnsi="Times New Roman" w:cs="Times New Roman"/>
          <w:bCs/>
          <w:sz w:val="24"/>
          <w:szCs w:val="24"/>
          <w:lang w:eastAsia="pl-PL"/>
        </w:rPr>
        <w:t xml:space="preserve"> 2017/1129, wynosi poniżej 5 mln euro, </w:t>
      </w:r>
      <w:r w:rsidRPr="004E768F">
        <w:rPr>
          <w:rFonts w:ascii="Times New Roman" w:eastAsia="Times New Roman" w:hAnsi="Times New Roman" w:cs="Times New Roman"/>
          <w:bCs/>
          <w:sz w:val="24"/>
          <w:szCs w:val="24"/>
          <w:lang w:eastAsia="pl-PL"/>
        </w:rPr>
        <w:t>przez okres dwóch lat od dnia 10 listopada 2021 r.,</w:t>
      </w:r>
      <w:r>
        <w:rPr>
          <w:rFonts w:ascii="Times New Roman" w:eastAsia="Times New Roman" w:hAnsi="Times New Roman" w:cs="Times New Roman"/>
          <w:bCs/>
          <w:sz w:val="24"/>
          <w:szCs w:val="24"/>
          <w:lang w:eastAsia="pl-PL"/>
        </w:rPr>
        <w:t xml:space="preserve"> </w:t>
      </w:r>
      <w:r w:rsidR="009004DF" w:rsidRPr="004E768F">
        <w:rPr>
          <w:rFonts w:ascii="Times New Roman" w:eastAsia="Times New Roman" w:hAnsi="Times New Roman" w:cs="Times New Roman"/>
          <w:bCs/>
          <w:sz w:val="24"/>
          <w:szCs w:val="24"/>
          <w:lang w:eastAsia="pl-PL"/>
        </w:rPr>
        <w:t>oferty finansowania społecznościowego w tym państwie mogą być prowadzone w oparciu o arkusz kluczowych informacji inwestycyjnych jedynie do wartości tego niższego progu.</w:t>
      </w:r>
    </w:p>
    <w:p w14:paraId="53030F3C" w14:textId="5B888D57" w:rsidR="00174D57" w:rsidRDefault="001F056A" w:rsidP="005E7A4C">
      <w:pPr>
        <w:suppressAutoHyphens/>
        <w:autoSpaceDE w:val="0"/>
        <w:autoSpaceDN w:val="0"/>
        <w:adjustRightInd w:val="0"/>
        <w:spacing w:before="120" w:after="120"/>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Art. 50</w:t>
      </w:r>
      <w:r w:rsidR="00E15595" w:rsidRPr="004E768F">
        <w:rPr>
          <w:rFonts w:ascii="Times New Roman" w:eastAsia="Times New Roman" w:hAnsi="Times New Roman" w:cs="Times New Roman"/>
          <w:bCs/>
          <w:sz w:val="24"/>
          <w:szCs w:val="24"/>
          <w:lang w:eastAsia="pl-PL"/>
        </w:rPr>
        <w:t xml:space="preserve"> utrzymuje w mocy dotychczasowe przepisy wykonawcze wydane na podstawie ustawy z dnia 29 lipca 2005 r. o na</w:t>
      </w:r>
      <w:r w:rsidR="006B4BDA">
        <w:rPr>
          <w:rFonts w:ascii="Times New Roman" w:eastAsia="Times New Roman" w:hAnsi="Times New Roman" w:cs="Times New Roman"/>
          <w:bCs/>
          <w:sz w:val="24"/>
          <w:szCs w:val="24"/>
          <w:lang w:eastAsia="pl-PL"/>
        </w:rPr>
        <w:t>dzorze nad rynkiem kapitałowym.</w:t>
      </w:r>
    </w:p>
    <w:p w14:paraId="38371849" w14:textId="3C27EF7D" w:rsidR="002E1278" w:rsidRPr="004E768F" w:rsidRDefault="001F056A" w:rsidP="00882864">
      <w:pPr>
        <w:suppressAutoHyphens/>
        <w:autoSpaceDE w:val="0"/>
        <w:autoSpaceDN w:val="0"/>
        <w:adjustRightInd w:val="0"/>
        <w:spacing w:after="100" w:afterAutospacing="1"/>
        <w:ind w:firstLine="51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lastRenderedPageBreak/>
        <w:t>Art. 51</w:t>
      </w:r>
      <w:r w:rsidR="006B4BDA">
        <w:rPr>
          <w:rFonts w:ascii="Times New Roman" w:eastAsia="Times New Roman" w:hAnsi="Times New Roman" w:cs="Times New Roman"/>
          <w:bCs/>
          <w:sz w:val="24"/>
          <w:szCs w:val="24"/>
          <w:lang w:eastAsia="pl-PL"/>
        </w:rPr>
        <w:t xml:space="preserve"> </w:t>
      </w:r>
      <w:r w:rsidR="005C7631" w:rsidRPr="004E768F">
        <w:rPr>
          <w:rFonts w:ascii="Times New Roman" w:eastAsia="Times New Roman" w:hAnsi="Times New Roman" w:cs="Times New Roman"/>
          <w:bCs/>
          <w:sz w:val="24"/>
          <w:szCs w:val="24"/>
          <w:lang w:eastAsia="pl-PL"/>
        </w:rPr>
        <w:t>określa</w:t>
      </w:r>
      <w:r w:rsidR="006B4BDA">
        <w:rPr>
          <w:rFonts w:ascii="Times New Roman" w:eastAsia="Times New Roman" w:hAnsi="Times New Roman" w:cs="Times New Roman"/>
          <w:bCs/>
          <w:sz w:val="24"/>
          <w:szCs w:val="24"/>
          <w:lang w:eastAsia="pl-PL"/>
        </w:rPr>
        <w:t xml:space="preserve"> </w:t>
      </w:r>
      <w:r w:rsidR="005C7631" w:rsidRPr="004E768F">
        <w:rPr>
          <w:rFonts w:ascii="Times New Roman" w:eastAsia="Times New Roman" w:hAnsi="Times New Roman" w:cs="Times New Roman"/>
          <w:bCs/>
          <w:sz w:val="24"/>
          <w:szCs w:val="24"/>
          <w:lang w:eastAsia="pl-PL"/>
        </w:rPr>
        <w:t>termi</w:t>
      </w:r>
      <w:r w:rsidR="006B4BDA">
        <w:rPr>
          <w:rFonts w:ascii="Times New Roman" w:eastAsia="Times New Roman" w:hAnsi="Times New Roman" w:cs="Times New Roman"/>
          <w:bCs/>
          <w:sz w:val="24"/>
          <w:szCs w:val="24"/>
          <w:lang w:eastAsia="pl-PL"/>
        </w:rPr>
        <w:t>n</w:t>
      </w:r>
      <w:r w:rsidR="005C7631" w:rsidRPr="004E768F">
        <w:rPr>
          <w:rFonts w:ascii="Times New Roman" w:eastAsia="Times New Roman" w:hAnsi="Times New Roman" w:cs="Times New Roman"/>
          <w:bCs/>
          <w:sz w:val="24"/>
          <w:szCs w:val="24"/>
          <w:lang w:eastAsia="pl-PL"/>
        </w:rPr>
        <w:t xml:space="preserve"> wejścia w życie ustawy. </w:t>
      </w:r>
      <w:r w:rsidR="0085560C">
        <w:rPr>
          <w:rFonts w:ascii="Times New Roman" w:eastAsia="Times New Roman" w:hAnsi="Times New Roman" w:cs="Times New Roman"/>
          <w:bCs/>
          <w:sz w:val="24"/>
          <w:szCs w:val="24"/>
          <w:lang w:eastAsia="pl-PL"/>
        </w:rPr>
        <w:t>U</w:t>
      </w:r>
      <w:r w:rsidR="005C7631" w:rsidRPr="004E768F">
        <w:rPr>
          <w:rFonts w:ascii="Times New Roman" w:eastAsia="Times New Roman" w:hAnsi="Times New Roman" w:cs="Times New Roman"/>
          <w:bCs/>
          <w:sz w:val="24"/>
          <w:szCs w:val="24"/>
          <w:lang w:eastAsia="pl-PL"/>
        </w:rPr>
        <w:t xml:space="preserve">stawa wejdzie w życie z dniem 10 listopada 2021 r., co jest zbieżne z terminem rozpoczęcia stosowania przepisów rozporządzenia 2020/1503. </w:t>
      </w:r>
      <w:r w:rsidR="009B65CD">
        <w:rPr>
          <w:rFonts w:ascii="Times New Roman" w:eastAsia="Times New Roman" w:hAnsi="Times New Roman" w:cs="Times New Roman"/>
          <w:bCs/>
          <w:sz w:val="24"/>
          <w:szCs w:val="24"/>
          <w:lang w:eastAsia="pl-PL"/>
        </w:rPr>
        <w:t>P</w:t>
      </w:r>
      <w:r w:rsidR="009B65CD" w:rsidRPr="004E768F">
        <w:rPr>
          <w:rFonts w:ascii="Times New Roman" w:eastAsia="Times New Roman" w:hAnsi="Times New Roman" w:cs="Times New Roman"/>
          <w:bCs/>
          <w:sz w:val="24"/>
          <w:szCs w:val="24"/>
          <w:lang w:eastAsia="pl-PL"/>
        </w:rPr>
        <w:t>rzepisy podwyższające próg łącznej wartości, powyżej którego należy publikować prospekt zgodnie z rozporządzeniem 2017/1129</w:t>
      </w:r>
      <w:r w:rsidR="009B65CD">
        <w:rPr>
          <w:rFonts w:ascii="Times New Roman" w:eastAsia="Times New Roman" w:hAnsi="Times New Roman" w:cs="Times New Roman"/>
          <w:bCs/>
          <w:sz w:val="24"/>
          <w:szCs w:val="24"/>
          <w:lang w:eastAsia="pl-PL"/>
        </w:rPr>
        <w:t xml:space="preserve">, </w:t>
      </w:r>
      <w:r w:rsidR="009B65CD" w:rsidRPr="004E768F">
        <w:rPr>
          <w:rFonts w:ascii="Times New Roman" w:eastAsia="Times New Roman" w:hAnsi="Times New Roman" w:cs="Times New Roman"/>
          <w:bCs/>
          <w:sz w:val="24"/>
          <w:szCs w:val="24"/>
          <w:lang w:eastAsia="pl-PL"/>
        </w:rPr>
        <w:t>wejdą w życie z dniem 10 listopada 2023 r., tj. po upływie okresu przejściowego przewidzianego w art. 49 rozporządzenia 2020/1503.</w:t>
      </w:r>
    </w:p>
    <w:p w14:paraId="742B5927" w14:textId="2563982E" w:rsidR="0004720E" w:rsidRPr="004E768F" w:rsidRDefault="0004720E" w:rsidP="00882864">
      <w:pPr>
        <w:pStyle w:val="NIEARTTEKSTtekstnieartykuowanynppodstprawnarozplubpreambua"/>
        <w:spacing w:before="0" w:after="120" w:line="240" w:lineRule="auto"/>
        <w:rPr>
          <w:rFonts w:ascii="Times New Roman" w:hAnsi="Times New Roman" w:cs="Times New Roman"/>
          <w:szCs w:val="24"/>
        </w:rPr>
      </w:pPr>
      <w:r w:rsidRPr="004E768F">
        <w:rPr>
          <w:rFonts w:ascii="Times New Roman" w:hAnsi="Times New Roman" w:cs="Times New Roman"/>
          <w:szCs w:val="24"/>
        </w:rPr>
        <w:t>Projekt</w:t>
      </w:r>
      <w:r w:rsidR="00A54993">
        <w:rPr>
          <w:rFonts w:ascii="Times New Roman" w:hAnsi="Times New Roman" w:cs="Times New Roman"/>
          <w:szCs w:val="24"/>
        </w:rPr>
        <w:t xml:space="preserve"> </w:t>
      </w:r>
      <w:r w:rsidRPr="004E768F">
        <w:rPr>
          <w:rFonts w:ascii="Times New Roman" w:hAnsi="Times New Roman" w:cs="Times New Roman"/>
          <w:szCs w:val="24"/>
        </w:rPr>
        <w:t>ustaw</w:t>
      </w:r>
      <w:r w:rsidR="00A54993">
        <w:rPr>
          <w:rFonts w:ascii="Times New Roman" w:hAnsi="Times New Roman" w:cs="Times New Roman"/>
          <w:szCs w:val="24"/>
        </w:rPr>
        <w:t>y</w:t>
      </w:r>
      <w:r w:rsidRPr="004E768F">
        <w:rPr>
          <w:rFonts w:ascii="Times New Roman" w:hAnsi="Times New Roman" w:cs="Times New Roman"/>
          <w:szCs w:val="24"/>
        </w:rPr>
        <w:t xml:space="preserve"> nie wymaga przedstawiania jej organom i instytucjom Unii Europejskiej w celu uzyskania opinii, dokonania powiadomienia, konsultacji albo uzgodnienia. W szczególności regulacja nie mieści się w zakresie przedmiotowym zagadnień podlegających konsultacjom z Europejskim Bankiem Centralnym, zgodnie z art. 2 ust. 1 decyzji Rady z dnia 29 czerwca 1998 r. (98/415/WE) w sprawie konsultacji Europejskiego Banku Centralnego udzielanych władzom krajowym w sprawie projektów przepisów prawnych (Dz. Urz. UE L 189 z 03.07.1998, s</w:t>
      </w:r>
      <w:r w:rsidR="008B55F0">
        <w:rPr>
          <w:rFonts w:ascii="Times New Roman" w:hAnsi="Times New Roman" w:cs="Times New Roman"/>
          <w:szCs w:val="24"/>
        </w:rPr>
        <w:t>tr</w:t>
      </w:r>
      <w:r w:rsidRPr="004E768F">
        <w:rPr>
          <w:rFonts w:ascii="Times New Roman" w:hAnsi="Times New Roman" w:cs="Times New Roman"/>
          <w:szCs w:val="24"/>
        </w:rPr>
        <w:t>. 42).</w:t>
      </w:r>
    </w:p>
    <w:p w14:paraId="3E082700" w14:textId="77777777" w:rsidR="0004720E" w:rsidRPr="004E768F" w:rsidRDefault="0004720E" w:rsidP="00882864">
      <w:pPr>
        <w:pStyle w:val="NIEARTTEKSTtekstnieartykuowanynppodstprawnarozplubpreambua"/>
        <w:spacing w:before="0" w:after="120" w:line="240" w:lineRule="auto"/>
        <w:rPr>
          <w:rFonts w:ascii="Times New Roman" w:hAnsi="Times New Roman" w:cs="Times New Roman"/>
          <w:szCs w:val="24"/>
        </w:rPr>
      </w:pPr>
      <w:r w:rsidRPr="004E768F">
        <w:rPr>
          <w:rFonts w:ascii="Times New Roman" w:hAnsi="Times New Roman" w:cs="Times New Roman"/>
          <w:szCs w:val="24"/>
        </w:rPr>
        <w:t>Zawarte w projekcie regulacje nie stanowią przepisów technicznych w rozumieniu rozporządzenia Rady Ministrów z dnia 23 grudnia 2002 r. w sprawie sposobu funkcjonowania krajowego systemu notyfikacji norm i aktów prawnych (Dz. U. poz. 2039, z późn. zm.), dlatego też projekt ustawy nie podlega procedurze notyfikacji.</w:t>
      </w:r>
    </w:p>
    <w:p w14:paraId="3F711A42" w14:textId="78D1E4B7" w:rsidR="008B55F0" w:rsidRPr="006B4BDA" w:rsidRDefault="0004720E" w:rsidP="002E1278">
      <w:pPr>
        <w:pStyle w:val="NIEARTTEKSTtekstnieartykuowanynppodstprawnarozplubpreambua"/>
        <w:spacing w:before="0" w:after="120" w:line="240" w:lineRule="auto"/>
        <w:rPr>
          <w:rFonts w:ascii="Times New Roman" w:hAnsi="Times New Roman" w:cs="Times New Roman"/>
          <w:szCs w:val="24"/>
        </w:rPr>
      </w:pPr>
      <w:r w:rsidRPr="004E768F">
        <w:rPr>
          <w:rFonts w:ascii="Times New Roman" w:hAnsi="Times New Roman" w:cs="Times New Roman"/>
          <w:szCs w:val="24"/>
        </w:rPr>
        <w:t>Stosownie do art. 4 ustawy z dnia 7 lipca 2005 r. o działalności lobbingowej w procesie stanowienia prawa (Dz. U. z 2017 r. poz. 248) projekt został zamieszczony w wykazie prac legislacyjnych i programowych Rady Ministrów.</w:t>
      </w:r>
    </w:p>
    <w:p w14:paraId="0F72902B" w14:textId="705A21C4" w:rsidR="006B4BDA" w:rsidRDefault="00357484" w:rsidP="002E1278">
      <w:pPr>
        <w:spacing w:after="120"/>
        <w:ind w:firstLine="510"/>
        <w:rPr>
          <w:rFonts w:ascii="Times New Roman" w:hAnsi="Times New Roman" w:cs="Times New Roman"/>
          <w:sz w:val="24"/>
          <w:szCs w:val="24"/>
        </w:rPr>
      </w:pPr>
      <w:r w:rsidRPr="00357484">
        <w:rPr>
          <w:rFonts w:ascii="Times New Roman" w:hAnsi="Times New Roman" w:cs="Times New Roman"/>
          <w:sz w:val="24"/>
          <w:szCs w:val="24"/>
        </w:rPr>
        <w:t>Zgodnie z art. 5 ustawy z dnia 7 lipca 2005 r. o działalności lobbingowej w procesie stanowienia prawa oraz § 52 uchwały nr 190 Rady Ministrów z dnia 29 października 2013 r. – Regulamin pracy Rady Ministrów (M.P. z 2016 r. poz. 1006, z późn. zm.) projekt ustawy został udostępniony w Biuletynie Informacji Publicznej na stronie podmiotowej Rządowego Centrum Legislacji, w serwisie Rządowy Proces Legislacyjny.</w:t>
      </w:r>
    </w:p>
    <w:p w14:paraId="2B44E680" w14:textId="3911776C" w:rsidR="0004720E" w:rsidRPr="00357484" w:rsidRDefault="005A2B58" w:rsidP="002E1278">
      <w:pPr>
        <w:spacing w:after="120"/>
        <w:ind w:firstLine="510"/>
        <w:rPr>
          <w:rFonts w:ascii="Times New Roman" w:hAnsi="Times New Roman" w:cs="Times New Roman"/>
          <w:sz w:val="24"/>
          <w:szCs w:val="24"/>
        </w:rPr>
      </w:pPr>
      <w:r w:rsidRPr="00357484">
        <w:rPr>
          <w:rFonts w:ascii="Times New Roman" w:hAnsi="Times New Roman" w:cs="Times New Roman"/>
          <w:sz w:val="24"/>
          <w:szCs w:val="24"/>
        </w:rPr>
        <w:t>Projektowana ustawa będzie miała pozytywny wpływ na mikro-, małych i średnich przedsiębiorców</w:t>
      </w:r>
      <w:r w:rsidR="00357484">
        <w:rPr>
          <w:rFonts w:ascii="Times New Roman" w:hAnsi="Times New Roman" w:cs="Times New Roman"/>
          <w:sz w:val="24"/>
          <w:szCs w:val="24"/>
        </w:rPr>
        <w:t xml:space="preserve">, </w:t>
      </w:r>
      <w:r w:rsidR="00357484" w:rsidRPr="00357484">
        <w:rPr>
          <w:rFonts w:ascii="Times New Roman" w:hAnsi="Times New Roman" w:cs="Times New Roman"/>
          <w:sz w:val="24"/>
          <w:szCs w:val="24"/>
        </w:rPr>
        <w:t xml:space="preserve">zgodnie z ustawą z dnia 6 marca </w:t>
      </w:r>
      <w:r w:rsidR="00A2550D">
        <w:rPr>
          <w:rFonts w:ascii="Times New Roman" w:hAnsi="Times New Roman" w:cs="Times New Roman"/>
          <w:sz w:val="24"/>
          <w:szCs w:val="24"/>
        </w:rPr>
        <w:t>2018 r. – Prawo przedsiębiorców.</w:t>
      </w:r>
      <w:r w:rsidR="00357484" w:rsidRPr="00357484">
        <w:rPr>
          <w:rFonts w:ascii="Times New Roman" w:hAnsi="Times New Roman" w:cs="Times New Roman"/>
          <w:sz w:val="24"/>
          <w:szCs w:val="24"/>
        </w:rPr>
        <w:t xml:space="preserve"> </w:t>
      </w:r>
      <w:r w:rsidRPr="00357484">
        <w:rPr>
          <w:rFonts w:ascii="Times New Roman" w:hAnsi="Times New Roman" w:cs="Times New Roman"/>
          <w:sz w:val="24"/>
          <w:szCs w:val="24"/>
        </w:rPr>
        <w:t xml:space="preserve">Przepisy ustawy przyczynią się do zwiększenia bezpieczeństwa inwestycji na platformach finansowania społecznościowego dla przedsięwzięć gospodarczych, a co za tym idzie do spopularyzowania tej formy inwestycji. Przełoży się to na zwiększenie możliwości pozyskiwania kapitału przez przedsiębiorców, zwłaszcza biorąc pod uwagę, że crowdfunding jest alternatywną metodą pozyskiwania kapitału w stosunku do np. kredytów bankowych, czy emisji dłużnych papierów wartościowych. Należy przy tym zauważyć, że crowdfunding udziałowy i pożyczki społecznościowe są formami pozyskiwania kapitału stworzonymi z myślą przede wszystkim o przedsiębiorstwach typu </w:t>
      </w:r>
      <w:r w:rsidRPr="00357484">
        <w:rPr>
          <w:rFonts w:ascii="Times New Roman" w:hAnsi="Times New Roman" w:cs="Times New Roman"/>
          <w:i/>
          <w:sz w:val="24"/>
          <w:szCs w:val="24"/>
        </w:rPr>
        <w:t>start-up</w:t>
      </w:r>
      <w:r w:rsidRPr="00357484">
        <w:rPr>
          <w:rFonts w:ascii="Times New Roman" w:hAnsi="Times New Roman" w:cs="Times New Roman"/>
          <w:sz w:val="24"/>
          <w:szCs w:val="24"/>
        </w:rPr>
        <w:t>, a więc o najmniejszych przedsiębiorstwach działających w innowacyjnych branżach, które mogą mieć trudności z uzyskaniem finansowania swojej działalności bardziej tradycyjnymi metodami.</w:t>
      </w:r>
    </w:p>
    <w:p w14:paraId="0D4B8901" w14:textId="77777777" w:rsidR="0004720E" w:rsidRPr="004E768F" w:rsidRDefault="0004720E" w:rsidP="002E1278">
      <w:pPr>
        <w:pStyle w:val="NIEARTTEKSTtekstnieartykuowanynppodstprawnarozplubpreambua"/>
        <w:spacing w:before="0" w:after="120" w:line="240" w:lineRule="auto"/>
        <w:rPr>
          <w:rFonts w:ascii="Times New Roman" w:hAnsi="Times New Roman" w:cs="Times New Roman"/>
          <w:szCs w:val="24"/>
        </w:rPr>
      </w:pPr>
      <w:r w:rsidRPr="004E768F">
        <w:rPr>
          <w:rFonts w:ascii="Times New Roman" w:hAnsi="Times New Roman" w:cs="Times New Roman"/>
          <w:szCs w:val="24"/>
        </w:rPr>
        <w:t>Projekt ustawy jest zgodny z prawem Unii Europejskiej.</w:t>
      </w:r>
    </w:p>
    <w:sectPr w:rsidR="0004720E" w:rsidRPr="004E768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CA18A" w14:textId="77777777" w:rsidR="00A25A41" w:rsidRDefault="00A25A41" w:rsidP="005A2B58">
      <w:r>
        <w:separator/>
      </w:r>
    </w:p>
  </w:endnote>
  <w:endnote w:type="continuationSeparator" w:id="0">
    <w:p w14:paraId="2EB73083" w14:textId="77777777" w:rsidR="00A25A41" w:rsidRDefault="00A25A41" w:rsidP="005A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861115"/>
      <w:docPartObj>
        <w:docPartGallery w:val="Page Numbers (Bottom of Page)"/>
        <w:docPartUnique/>
      </w:docPartObj>
    </w:sdtPr>
    <w:sdtEndPr/>
    <w:sdtContent>
      <w:p w14:paraId="2D3D0904" w14:textId="77777777" w:rsidR="005234AD" w:rsidRDefault="005234AD">
        <w:pPr>
          <w:pStyle w:val="Stopka"/>
          <w:jc w:val="center"/>
        </w:pPr>
        <w:r>
          <w:fldChar w:fldCharType="begin"/>
        </w:r>
        <w:r>
          <w:instrText>PAGE   \* MERGEFORMAT</w:instrText>
        </w:r>
        <w:r>
          <w:fldChar w:fldCharType="separate"/>
        </w:r>
        <w:r w:rsidR="00AA2EA4">
          <w:rPr>
            <w:noProof/>
          </w:rPr>
          <w:t>1</w:t>
        </w:r>
        <w:r>
          <w:fldChar w:fldCharType="end"/>
        </w:r>
      </w:p>
    </w:sdtContent>
  </w:sdt>
  <w:p w14:paraId="198FA9E9" w14:textId="77777777" w:rsidR="005234AD" w:rsidRDefault="00523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942A4" w14:textId="77777777" w:rsidR="00A25A41" w:rsidRDefault="00A25A41" w:rsidP="005A2B58">
      <w:r>
        <w:separator/>
      </w:r>
    </w:p>
  </w:footnote>
  <w:footnote w:type="continuationSeparator" w:id="0">
    <w:p w14:paraId="379468B8" w14:textId="77777777" w:rsidR="00A25A41" w:rsidRDefault="00A25A41" w:rsidP="005A2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7D"/>
    <w:rsid w:val="00004084"/>
    <w:rsid w:val="00035A83"/>
    <w:rsid w:val="0004720E"/>
    <w:rsid w:val="00067494"/>
    <w:rsid w:val="000723E6"/>
    <w:rsid w:val="000752EA"/>
    <w:rsid w:val="000A2B96"/>
    <w:rsid w:val="000B163D"/>
    <w:rsid w:val="000B5514"/>
    <w:rsid w:val="000B7AED"/>
    <w:rsid w:val="000E5BF2"/>
    <w:rsid w:val="000F29BE"/>
    <w:rsid w:val="000F5D8B"/>
    <w:rsid w:val="001011EF"/>
    <w:rsid w:val="00123D10"/>
    <w:rsid w:val="0012609E"/>
    <w:rsid w:val="001545EB"/>
    <w:rsid w:val="00166DD4"/>
    <w:rsid w:val="00174D57"/>
    <w:rsid w:val="0017707A"/>
    <w:rsid w:val="00184A4F"/>
    <w:rsid w:val="001853D9"/>
    <w:rsid w:val="001A1629"/>
    <w:rsid w:val="001F02E2"/>
    <w:rsid w:val="001F056A"/>
    <w:rsid w:val="001F0676"/>
    <w:rsid w:val="00205874"/>
    <w:rsid w:val="00207B4D"/>
    <w:rsid w:val="00207BAA"/>
    <w:rsid w:val="00220E58"/>
    <w:rsid w:val="0023266E"/>
    <w:rsid w:val="002703F9"/>
    <w:rsid w:val="00272404"/>
    <w:rsid w:val="002818BB"/>
    <w:rsid w:val="002828E3"/>
    <w:rsid w:val="00293D55"/>
    <w:rsid w:val="002A509C"/>
    <w:rsid w:val="002B326E"/>
    <w:rsid w:val="002B63CE"/>
    <w:rsid w:val="002C2278"/>
    <w:rsid w:val="002D668F"/>
    <w:rsid w:val="002E1278"/>
    <w:rsid w:val="002E221F"/>
    <w:rsid w:val="002E3F95"/>
    <w:rsid w:val="002E5F9B"/>
    <w:rsid w:val="00311101"/>
    <w:rsid w:val="00313532"/>
    <w:rsid w:val="0032452D"/>
    <w:rsid w:val="003251B9"/>
    <w:rsid w:val="00332A27"/>
    <w:rsid w:val="00341021"/>
    <w:rsid w:val="0035180F"/>
    <w:rsid w:val="00357484"/>
    <w:rsid w:val="00376268"/>
    <w:rsid w:val="0038259E"/>
    <w:rsid w:val="00397A93"/>
    <w:rsid w:val="003B7E07"/>
    <w:rsid w:val="003C2A70"/>
    <w:rsid w:val="003E34DF"/>
    <w:rsid w:val="004002CE"/>
    <w:rsid w:val="00407B3C"/>
    <w:rsid w:val="004236F3"/>
    <w:rsid w:val="00424E07"/>
    <w:rsid w:val="00445F87"/>
    <w:rsid w:val="0044616C"/>
    <w:rsid w:val="0045536D"/>
    <w:rsid w:val="00472531"/>
    <w:rsid w:val="00483784"/>
    <w:rsid w:val="00484A1C"/>
    <w:rsid w:val="00486276"/>
    <w:rsid w:val="0048712F"/>
    <w:rsid w:val="004920CA"/>
    <w:rsid w:val="00497113"/>
    <w:rsid w:val="004A5540"/>
    <w:rsid w:val="004C5C62"/>
    <w:rsid w:val="004D204D"/>
    <w:rsid w:val="004D36F4"/>
    <w:rsid w:val="004E768F"/>
    <w:rsid w:val="004E7BEB"/>
    <w:rsid w:val="00512CAC"/>
    <w:rsid w:val="00515A13"/>
    <w:rsid w:val="005234AD"/>
    <w:rsid w:val="00544816"/>
    <w:rsid w:val="00547DCC"/>
    <w:rsid w:val="00556ADC"/>
    <w:rsid w:val="00560AAA"/>
    <w:rsid w:val="00564C92"/>
    <w:rsid w:val="005758C9"/>
    <w:rsid w:val="005842F5"/>
    <w:rsid w:val="005927CD"/>
    <w:rsid w:val="005A2B58"/>
    <w:rsid w:val="005C41C5"/>
    <w:rsid w:val="005C7631"/>
    <w:rsid w:val="005E0F2C"/>
    <w:rsid w:val="005E1AB8"/>
    <w:rsid w:val="005E7A4C"/>
    <w:rsid w:val="005F16A4"/>
    <w:rsid w:val="00642465"/>
    <w:rsid w:val="006432C5"/>
    <w:rsid w:val="00676CB1"/>
    <w:rsid w:val="00692926"/>
    <w:rsid w:val="006B4BDA"/>
    <w:rsid w:val="006B5C08"/>
    <w:rsid w:val="006C2A66"/>
    <w:rsid w:val="006E61E0"/>
    <w:rsid w:val="006F254C"/>
    <w:rsid w:val="006F55D5"/>
    <w:rsid w:val="00700B59"/>
    <w:rsid w:val="00702705"/>
    <w:rsid w:val="007066C9"/>
    <w:rsid w:val="007072A5"/>
    <w:rsid w:val="007128D3"/>
    <w:rsid w:val="0071326C"/>
    <w:rsid w:val="00736C69"/>
    <w:rsid w:val="00740400"/>
    <w:rsid w:val="00742F91"/>
    <w:rsid w:val="00753BB3"/>
    <w:rsid w:val="007547DF"/>
    <w:rsid w:val="00764713"/>
    <w:rsid w:val="00780769"/>
    <w:rsid w:val="00792294"/>
    <w:rsid w:val="00792D08"/>
    <w:rsid w:val="00797383"/>
    <w:rsid w:val="007A194B"/>
    <w:rsid w:val="007B0AFD"/>
    <w:rsid w:val="008129F0"/>
    <w:rsid w:val="00813980"/>
    <w:rsid w:val="00843DFC"/>
    <w:rsid w:val="00846EF3"/>
    <w:rsid w:val="0085560C"/>
    <w:rsid w:val="00882864"/>
    <w:rsid w:val="00894061"/>
    <w:rsid w:val="008A4207"/>
    <w:rsid w:val="008B55F0"/>
    <w:rsid w:val="008D07D8"/>
    <w:rsid w:val="008F580C"/>
    <w:rsid w:val="009004DF"/>
    <w:rsid w:val="00902CA6"/>
    <w:rsid w:val="009057F8"/>
    <w:rsid w:val="00905F00"/>
    <w:rsid w:val="009163F8"/>
    <w:rsid w:val="00922D36"/>
    <w:rsid w:val="009275C4"/>
    <w:rsid w:val="009332AE"/>
    <w:rsid w:val="00935722"/>
    <w:rsid w:val="00936F35"/>
    <w:rsid w:val="0094617E"/>
    <w:rsid w:val="00956CC2"/>
    <w:rsid w:val="00967EDE"/>
    <w:rsid w:val="009702C3"/>
    <w:rsid w:val="00986107"/>
    <w:rsid w:val="00992E0A"/>
    <w:rsid w:val="009A410B"/>
    <w:rsid w:val="009B38B0"/>
    <w:rsid w:val="009B65CD"/>
    <w:rsid w:val="009C3F95"/>
    <w:rsid w:val="009C4446"/>
    <w:rsid w:val="009D5DBB"/>
    <w:rsid w:val="009F154F"/>
    <w:rsid w:val="009F5D7A"/>
    <w:rsid w:val="00A03AF8"/>
    <w:rsid w:val="00A03C1D"/>
    <w:rsid w:val="00A049A8"/>
    <w:rsid w:val="00A07226"/>
    <w:rsid w:val="00A07385"/>
    <w:rsid w:val="00A24F82"/>
    <w:rsid w:val="00A2550D"/>
    <w:rsid w:val="00A25A41"/>
    <w:rsid w:val="00A3487A"/>
    <w:rsid w:val="00A54993"/>
    <w:rsid w:val="00A62021"/>
    <w:rsid w:val="00A64DB1"/>
    <w:rsid w:val="00A672C3"/>
    <w:rsid w:val="00A710E1"/>
    <w:rsid w:val="00A75651"/>
    <w:rsid w:val="00A80363"/>
    <w:rsid w:val="00A8351C"/>
    <w:rsid w:val="00A86BAF"/>
    <w:rsid w:val="00A944EF"/>
    <w:rsid w:val="00AA2EA4"/>
    <w:rsid w:val="00AC703D"/>
    <w:rsid w:val="00AD02F4"/>
    <w:rsid w:val="00AD207D"/>
    <w:rsid w:val="00AD622D"/>
    <w:rsid w:val="00AE326E"/>
    <w:rsid w:val="00AE5149"/>
    <w:rsid w:val="00AE5C53"/>
    <w:rsid w:val="00AE7634"/>
    <w:rsid w:val="00B25305"/>
    <w:rsid w:val="00B26EE6"/>
    <w:rsid w:val="00B32FE7"/>
    <w:rsid w:val="00B35F5A"/>
    <w:rsid w:val="00B37DD2"/>
    <w:rsid w:val="00B431FC"/>
    <w:rsid w:val="00B85717"/>
    <w:rsid w:val="00BA51DF"/>
    <w:rsid w:val="00BB28F6"/>
    <w:rsid w:val="00BB2AC4"/>
    <w:rsid w:val="00BB726D"/>
    <w:rsid w:val="00BC2F65"/>
    <w:rsid w:val="00BC7322"/>
    <w:rsid w:val="00BC7D5C"/>
    <w:rsid w:val="00C057DD"/>
    <w:rsid w:val="00C2596A"/>
    <w:rsid w:val="00C36F24"/>
    <w:rsid w:val="00C373DC"/>
    <w:rsid w:val="00C6255C"/>
    <w:rsid w:val="00C67D21"/>
    <w:rsid w:val="00C7149C"/>
    <w:rsid w:val="00C77596"/>
    <w:rsid w:val="00CA5BE5"/>
    <w:rsid w:val="00CC3D94"/>
    <w:rsid w:val="00CC59FA"/>
    <w:rsid w:val="00CD0474"/>
    <w:rsid w:val="00CD3E8E"/>
    <w:rsid w:val="00CD6D32"/>
    <w:rsid w:val="00CE0ABA"/>
    <w:rsid w:val="00CE761A"/>
    <w:rsid w:val="00CE7BC1"/>
    <w:rsid w:val="00CF6DEC"/>
    <w:rsid w:val="00D30B41"/>
    <w:rsid w:val="00D31A5C"/>
    <w:rsid w:val="00D47D18"/>
    <w:rsid w:val="00D50DC9"/>
    <w:rsid w:val="00D54028"/>
    <w:rsid w:val="00D71798"/>
    <w:rsid w:val="00D727E8"/>
    <w:rsid w:val="00DC3285"/>
    <w:rsid w:val="00DD65A5"/>
    <w:rsid w:val="00DF1E8C"/>
    <w:rsid w:val="00E054F5"/>
    <w:rsid w:val="00E120F5"/>
    <w:rsid w:val="00E15595"/>
    <w:rsid w:val="00E155E9"/>
    <w:rsid w:val="00E175BA"/>
    <w:rsid w:val="00E178AD"/>
    <w:rsid w:val="00E241CD"/>
    <w:rsid w:val="00E45EBF"/>
    <w:rsid w:val="00E558D5"/>
    <w:rsid w:val="00E61F58"/>
    <w:rsid w:val="00E66E5C"/>
    <w:rsid w:val="00E77760"/>
    <w:rsid w:val="00E77A2F"/>
    <w:rsid w:val="00E86B03"/>
    <w:rsid w:val="00E86EDA"/>
    <w:rsid w:val="00E904E8"/>
    <w:rsid w:val="00E92088"/>
    <w:rsid w:val="00E96455"/>
    <w:rsid w:val="00ED2BA4"/>
    <w:rsid w:val="00EE20BC"/>
    <w:rsid w:val="00EF67C8"/>
    <w:rsid w:val="00F07643"/>
    <w:rsid w:val="00F139E8"/>
    <w:rsid w:val="00F248E5"/>
    <w:rsid w:val="00F2604B"/>
    <w:rsid w:val="00F308D4"/>
    <w:rsid w:val="00F32291"/>
    <w:rsid w:val="00F3518C"/>
    <w:rsid w:val="00F414B1"/>
    <w:rsid w:val="00F428D8"/>
    <w:rsid w:val="00F468DB"/>
    <w:rsid w:val="00F5208C"/>
    <w:rsid w:val="00F523F6"/>
    <w:rsid w:val="00F84A5D"/>
    <w:rsid w:val="00F86DA4"/>
    <w:rsid w:val="00F9423E"/>
    <w:rsid w:val="00FC32D5"/>
    <w:rsid w:val="00FC6BCB"/>
    <w:rsid w:val="00FD71BA"/>
    <w:rsid w:val="00FE6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BF53"/>
  <w15:chartTrackingRefBased/>
  <w15:docId w15:val="{EBD423C0-DFFE-47AA-AE7F-C42AAF9A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6EDA"/>
    <w:pPr>
      <w:spacing w:after="0" w:line="24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IEARTTEKSTtekstnieartykuowanynppodstprawnarozplubpreambua">
    <w:name w:val="NIEART_TEKST – tekst nieartykułowany (np. podst. prawna rozp. lub preambuła)"/>
    <w:basedOn w:val="Normalny"/>
    <w:next w:val="Normalny"/>
    <w:uiPriority w:val="7"/>
    <w:qFormat/>
    <w:rsid w:val="0004720E"/>
    <w:pPr>
      <w:suppressAutoHyphens/>
      <w:autoSpaceDE w:val="0"/>
      <w:autoSpaceDN w:val="0"/>
      <w:adjustRightInd w:val="0"/>
      <w:spacing w:before="120" w:line="360" w:lineRule="auto"/>
      <w:ind w:firstLine="510"/>
    </w:pPr>
    <w:rPr>
      <w:rFonts w:ascii="Times" w:eastAsiaTheme="minorEastAsia" w:hAnsi="Times" w:cs="Arial"/>
      <w:bCs/>
      <w:sz w:val="24"/>
      <w:szCs w:val="20"/>
      <w:lang w:eastAsia="pl-PL"/>
    </w:rPr>
  </w:style>
  <w:style w:type="paragraph" w:styleId="Nagwek">
    <w:name w:val="header"/>
    <w:basedOn w:val="Normalny"/>
    <w:link w:val="NagwekZnak"/>
    <w:uiPriority w:val="99"/>
    <w:unhideWhenUsed/>
    <w:rsid w:val="005A2B58"/>
    <w:pPr>
      <w:tabs>
        <w:tab w:val="center" w:pos="4536"/>
        <w:tab w:val="right" w:pos="9072"/>
      </w:tabs>
    </w:pPr>
  </w:style>
  <w:style w:type="character" w:customStyle="1" w:styleId="NagwekZnak">
    <w:name w:val="Nagłówek Znak"/>
    <w:basedOn w:val="Domylnaczcionkaakapitu"/>
    <w:link w:val="Nagwek"/>
    <w:uiPriority w:val="99"/>
    <w:rsid w:val="005A2B58"/>
  </w:style>
  <w:style w:type="paragraph" w:styleId="Stopka">
    <w:name w:val="footer"/>
    <w:basedOn w:val="Normalny"/>
    <w:link w:val="StopkaZnak"/>
    <w:uiPriority w:val="99"/>
    <w:unhideWhenUsed/>
    <w:rsid w:val="005A2B58"/>
    <w:pPr>
      <w:tabs>
        <w:tab w:val="center" w:pos="4536"/>
        <w:tab w:val="right" w:pos="9072"/>
      </w:tabs>
    </w:pPr>
  </w:style>
  <w:style w:type="character" w:customStyle="1" w:styleId="StopkaZnak">
    <w:name w:val="Stopka Znak"/>
    <w:basedOn w:val="Domylnaczcionkaakapitu"/>
    <w:link w:val="Stopka"/>
    <w:uiPriority w:val="99"/>
    <w:rsid w:val="005A2B58"/>
  </w:style>
  <w:style w:type="character" w:styleId="Hipercze">
    <w:name w:val="Hyperlink"/>
    <w:basedOn w:val="Domylnaczcionkaakapitu"/>
    <w:uiPriority w:val="99"/>
    <w:unhideWhenUsed/>
    <w:rsid w:val="00220E58"/>
    <w:rPr>
      <w:color w:val="0563C1" w:themeColor="hyperlink"/>
      <w:u w:val="single"/>
    </w:rPr>
  </w:style>
  <w:style w:type="paragraph" w:styleId="Tekstdymka">
    <w:name w:val="Balloon Text"/>
    <w:basedOn w:val="Normalny"/>
    <w:link w:val="TekstdymkaZnak"/>
    <w:uiPriority w:val="99"/>
    <w:semiHidden/>
    <w:unhideWhenUsed/>
    <w:rsid w:val="007072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2A5"/>
    <w:rPr>
      <w:rFonts w:ascii="Segoe UI" w:hAnsi="Segoe UI" w:cs="Segoe UI"/>
      <w:sz w:val="18"/>
      <w:szCs w:val="18"/>
    </w:rPr>
  </w:style>
  <w:style w:type="character" w:styleId="Odwoaniedokomentarza">
    <w:name w:val="annotation reference"/>
    <w:basedOn w:val="Domylnaczcionkaakapitu"/>
    <w:uiPriority w:val="99"/>
    <w:semiHidden/>
    <w:unhideWhenUsed/>
    <w:rsid w:val="007072A5"/>
    <w:rPr>
      <w:sz w:val="16"/>
      <w:szCs w:val="16"/>
    </w:rPr>
  </w:style>
  <w:style w:type="paragraph" w:styleId="Tekstkomentarza">
    <w:name w:val="annotation text"/>
    <w:basedOn w:val="Normalny"/>
    <w:link w:val="TekstkomentarzaZnak"/>
    <w:uiPriority w:val="99"/>
    <w:semiHidden/>
    <w:unhideWhenUsed/>
    <w:rsid w:val="007072A5"/>
    <w:rPr>
      <w:sz w:val="20"/>
      <w:szCs w:val="20"/>
    </w:rPr>
  </w:style>
  <w:style w:type="character" w:customStyle="1" w:styleId="TekstkomentarzaZnak">
    <w:name w:val="Tekst komentarza Znak"/>
    <w:basedOn w:val="Domylnaczcionkaakapitu"/>
    <w:link w:val="Tekstkomentarza"/>
    <w:uiPriority w:val="99"/>
    <w:semiHidden/>
    <w:rsid w:val="007072A5"/>
    <w:rPr>
      <w:sz w:val="20"/>
      <w:szCs w:val="20"/>
    </w:rPr>
  </w:style>
  <w:style w:type="paragraph" w:styleId="Tematkomentarza">
    <w:name w:val="annotation subject"/>
    <w:basedOn w:val="Tekstkomentarza"/>
    <w:next w:val="Tekstkomentarza"/>
    <w:link w:val="TematkomentarzaZnak"/>
    <w:uiPriority w:val="99"/>
    <w:semiHidden/>
    <w:unhideWhenUsed/>
    <w:rsid w:val="007072A5"/>
    <w:rPr>
      <w:b/>
      <w:bCs/>
    </w:rPr>
  </w:style>
  <w:style w:type="character" w:customStyle="1" w:styleId="TematkomentarzaZnak">
    <w:name w:val="Temat komentarza Znak"/>
    <w:basedOn w:val="TekstkomentarzaZnak"/>
    <w:link w:val="Tematkomentarza"/>
    <w:uiPriority w:val="99"/>
    <w:semiHidden/>
    <w:rsid w:val="007072A5"/>
    <w:rPr>
      <w:b/>
      <w:bCs/>
      <w:sz w:val="20"/>
      <w:szCs w:val="20"/>
    </w:rPr>
  </w:style>
  <w:style w:type="paragraph" w:styleId="Akapitzlist">
    <w:name w:val="List Paragraph"/>
    <w:basedOn w:val="Normalny"/>
    <w:uiPriority w:val="34"/>
    <w:qFormat/>
    <w:rsid w:val="00FC3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0934">
      <w:bodyDiv w:val="1"/>
      <w:marLeft w:val="0"/>
      <w:marRight w:val="0"/>
      <w:marTop w:val="0"/>
      <w:marBottom w:val="0"/>
      <w:divBdr>
        <w:top w:val="none" w:sz="0" w:space="0" w:color="auto"/>
        <w:left w:val="none" w:sz="0" w:space="0" w:color="auto"/>
        <w:bottom w:val="none" w:sz="0" w:space="0" w:color="auto"/>
        <w:right w:val="none" w:sz="0" w:space="0" w:color="auto"/>
      </w:divBdr>
    </w:div>
    <w:div w:id="219054076">
      <w:bodyDiv w:val="1"/>
      <w:marLeft w:val="0"/>
      <w:marRight w:val="0"/>
      <w:marTop w:val="0"/>
      <w:marBottom w:val="0"/>
      <w:divBdr>
        <w:top w:val="none" w:sz="0" w:space="0" w:color="auto"/>
        <w:left w:val="none" w:sz="0" w:space="0" w:color="auto"/>
        <w:bottom w:val="none" w:sz="0" w:space="0" w:color="auto"/>
        <w:right w:val="none" w:sz="0" w:space="0" w:color="auto"/>
      </w:divBdr>
    </w:div>
    <w:div w:id="222562963">
      <w:bodyDiv w:val="1"/>
      <w:marLeft w:val="0"/>
      <w:marRight w:val="0"/>
      <w:marTop w:val="0"/>
      <w:marBottom w:val="0"/>
      <w:divBdr>
        <w:top w:val="none" w:sz="0" w:space="0" w:color="auto"/>
        <w:left w:val="none" w:sz="0" w:space="0" w:color="auto"/>
        <w:bottom w:val="none" w:sz="0" w:space="0" w:color="auto"/>
        <w:right w:val="none" w:sz="0" w:space="0" w:color="auto"/>
      </w:divBdr>
      <w:divsChild>
        <w:div w:id="1302345559">
          <w:marLeft w:val="0"/>
          <w:marRight w:val="0"/>
          <w:marTop w:val="0"/>
          <w:marBottom w:val="0"/>
          <w:divBdr>
            <w:top w:val="none" w:sz="0" w:space="0" w:color="auto"/>
            <w:left w:val="none" w:sz="0" w:space="0" w:color="auto"/>
            <w:bottom w:val="none" w:sz="0" w:space="0" w:color="auto"/>
            <w:right w:val="none" w:sz="0" w:space="0" w:color="auto"/>
          </w:divBdr>
        </w:div>
      </w:divsChild>
    </w:div>
    <w:div w:id="587422265">
      <w:bodyDiv w:val="1"/>
      <w:marLeft w:val="0"/>
      <w:marRight w:val="0"/>
      <w:marTop w:val="0"/>
      <w:marBottom w:val="0"/>
      <w:divBdr>
        <w:top w:val="none" w:sz="0" w:space="0" w:color="auto"/>
        <w:left w:val="none" w:sz="0" w:space="0" w:color="auto"/>
        <w:bottom w:val="none" w:sz="0" w:space="0" w:color="auto"/>
        <w:right w:val="none" w:sz="0" w:space="0" w:color="auto"/>
      </w:divBdr>
    </w:div>
    <w:div w:id="1132476614">
      <w:bodyDiv w:val="1"/>
      <w:marLeft w:val="0"/>
      <w:marRight w:val="0"/>
      <w:marTop w:val="0"/>
      <w:marBottom w:val="0"/>
      <w:divBdr>
        <w:top w:val="none" w:sz="0" w:space="0" w:color="auto"/>
        <w:left w:val="none" w:sz="0" w:space="0" w:color="auto"/>
        <w:bottom w:val="none" w:sz="0" w:space="0" w:color="auto"/>
        <w:right w:val="none" w:sz="0" w:space="0" w:color="auto"/>
      </w:divBdr>
      <w:divsChild>
        <w:div w:id="200241787">
          <w:marLeft w:val="0"/>
          <w:marRight w:val="0"/>
          <w:marTop w:val="0"/>
          <w:marBottom w:val="0"/>
          <w:divBdr>
            <w:top w:val="none" w:sz="0" w:space="0" w:color="auto"/>
            <w:left w:val="none" w:sz="0" w:space="0" w:color="auto"/>
            <w:bottom w:val="none" w:sz="0" w:space="0" w:color="auto"/>
            <w:right w:val="none" w:sz="0" w:space="0" w:color="auto"/>
          </w:divBdr>
        </w:div>
        <w:div w:id="1936863370">
          <w:marLeft w:val="0"/>
          <w:marRight w:val="0"/>
          <w:marTop w:val="0"/>
          <w:marBottom w:val="0"/>
          <w:divBdr>
            <w:top w:val="none" w:sz="0" w:space="0" w:color="auto"/>
            <w:left w:val="none" w:sz="0" w:space="0" w:color="auto"/>
            <w:bottom w:val="none" w:sz="0" w:space="0" w:color="auto"/>
            <w:right w:val="none" w:sz="0" w:space="0" w:color="auto"/>
          </w:divBdr>
        </w:div>
      </w:divsChild>
    </w:div>
    <w:div w:id="1134446677">
      <w:bodyDiv w:val="1"/>
      <w:marLeft w:val="0"/>
      <w:marRight w:val="0"/>
      <w:marTop w:val="0"/>
      <w:marBottom w:val="0"/>
      <w:divBdr>
        <w:top w:val="none" w:sz="0" w:space="0" w:color="auto"/>
        <w:left w:val="none" w:sz="0" w:space="0" w:color="auto"/>
        <w:bottom w:val="none" w:sz="0" w:space="0" w:color="auto"/>
        <w:right w:val="none" w:sz="0" w:space="0" w:color="auto"/>
      </w:divBdr>
    </w:div>
    <w:div w:id="1276667672">
      <w:bodyDiv w:val="1"/>
      <w:marLeft w:val="0"/>
      <w:marRight w:val="0"/>
      <w:marTop w:val="0"/>
      <w:marBottom w:val="0"/>
      <w:divBdr>
        <w:top w:val="none" w:sz="0" w:space="0" w:color="auto"/>
        <w:left w:val="none" w:sz="0" w:space="0" w:color="auto"/>
        <w:bottom w:val="none" w:sz="0" w:space="0" w:color="auto"/>
        <w:right w:val="none" w:sz="0" w:space="0" w:color="auto"/>
      </w:divBdr>
    </w:div>
    <w:div w:id="1411854175">
      <w:bodyDiv w:val="1"/>
      <w:marLeft w:val="0"/>
      <w:marRight w:val="0"/>
      <w:marTop w:val="0"/>
      <w:marBottom w:val="0"/>
      <w:divBdr>
        <w:top w:val="none" w:sz="0" w:space="0" w:color="auto"/>
        <w:left w:val="none" w:sz="0" w:space="0" w:color="auto"/>
        <w:bottom w:val="none" w:sz="0" w:space="0" w:color="auto"/>
        <w:right w:val="none" w:sz="0" w:space="0" w:color="auto"/>
      </w:divBdr>
    </w:div>
    <w:div w:id="1643270179">
      <w:bodyDiv w:val="1"/>
      <w:marLeft w:val="0"/>
      <w:marRight w:val="0"/>
      <w:marTop w:val="0"/>
      <w:marBottom w:val="0"/>
      <w:divBdr>
        <w:top w:val="none" w:sz="0" w:space="0" w:color="auto"/>
        <w:left w:val="none" w:sz="0" w:space="0" w:color="auto"/>
        <w:bottom w:val="none" w:sz="0" w:space="0" w:color="auto"/>
        <w:right w:val="none" w:sz="0" w:space="0" w:color="auto"/>
      </w:divBdr>
    </w:div>
    <w:div w:id="1670210194">
      <w:bodyDiv w:val="1"/>
      <w:marLeft w:val="0"/>
      <w:marRight w:val="0"/>
      <w:marTop w:val="0"/>
      <w:marBottom w:val="0"/>
      <w:divBdr>
        <w:top w:val="none" w:sz="0" w:space="0" w:color="auto"/>
        <w:left w:val="none" w:sz="0" w:space="0" w:color="auto"/>
        <w:bottom w:val="none" w:sz="0" w:space="0" w:color="auto"/>
        <w:right w:val="none" w:sz="0" w:space="0" w:color="auto"/>
      </w:divBdr>
      <w:divsChild>
        <w:div w:id="293950790">
          <w:marLeft w:val="0"/>
          <w:marRight w:val="0"/>
          <w:marTop w:val="0"/>
          <w:marBottom w:val="0"/>
          <w:divBdr>
            <w:top w:val="none" w:sz="0" w:space="0" w:color="auto"/>
            <w:left w:val="none" w:sz="0" w:space="0" w:color="auto"/>
            <w:bottom w:val="none" w:sz="0" w:space="0" w:color="auto"/>
            <w:right w:val="none" w:sz="0" w:space="0" w:color="auto"/>
          </w:divBdr>
        </w:div>
        <w:div w:id="414282555">
          <w:marLeft w:val="0"/>
          <w:marRight w:val="0"/>
          <w:marTop w:val="0"/>
          <w:marBottom w:val="0"/>
          <w:divBdr>
            <w:top w:val="none" w:sz="0" w:space="0" w:color="auto"/>
            <w:left w:val="none" w:sz="0" w:space="0" w:color="auto"/>
            <w:bottom w:val="none" w:sz="0" w:space="0" w:color="auto"/>
            <w:right w:val="none" w:sz="0" w:space="0" w:color="auto"/>
          </w:divBdr>
          <w:divsChild>
            <w:div w:id="1924533516">
              <w:marLeft w:val="0"/>
              <w:marRight w:val="0"/>
              <w:marTop w:val="0"/>
              <w:marBottom w:val="0"/>
              <w:divBdr>
                <w:top w:val="none" w:sz="0" w:space="0" w:color="auto"/>
                <w:left w:val="none" w:sz="0" w:space="0" w:color="auto"/>
                <w:bottom w:val="none" w:sz="0" w:space="0" w:color="auto"/>
                <w:right w:val="none" w:sz="0" w:space="0" w:color="auto"/>
              </w:divBdr>
            </w:div>
          </w:divsChild>
        </w:div>
        <w:div w:id="208617335">
          <w:marLeft w:val="0"/>
          <w:marRight w:val="0"/>
          <w:marTop w:val="0"/>
          <w:marBottom w:val="0"/>
          <w:divBdr>
            <w:top w:val="none" w:sz="0" w:space="0" w:color="auto"/>
            <w:left w:val="none" w:sz="0" w:space="0" w:color="auto"/>
            <w:bottom w:val="none" w:sz="0" w:space="0" w:color="auto"/>
            <w:right w:val="none" w:sz="0" w:space="0" w:color="auto"/>
          </w:divBdr>
          <w:divsChild>
            <w:div w:id="1295986758">
              <w:marLeft w:val="0"/>
              <w:marRight w:val="0"/>
              <w:marTop w:val="0"/>
              <w:marBottom w:val="0"/>
              <w:divBdr>
                <w:top w:val="none" w:sz="0" w:space="0" w:color="auto"/>
                <w:left w:val="none" w:sz="0" w:space="0" w:color="auto"/>
                <w:bottom w:val="none" w:sz="0" w:space="0" w:color="auto"/>
                <w:right w:val="none" w:sz="0" w:space="0" w:color="auto"/>
              </w:divBdr>
            </w:div>
          </w:divsChild>
        </w:div>
        <w:div w:id="338822117">
          <w:marLeft w:val="0"/>
          <w:marRight w:val="0"/>
          <w:marTop w:val="0"/>
          <w:marBottom w:val="0"/>
          <w:divBdr>
            <w:top w:val="none" w:sz="0" w:space="0" w:color="auto"/>
            <w:left w:val="none" w:sz="0" w:space="0" w:color="auto"/>
            <w:bottom w:val="none" w:sz="0" w:space="0" w:color="auto"/>
            <w:right w:val="none" w:sz="0" w:space="0" w:color="auto"/>
          </w:divBdr>
          <w:divsChild>
            <w:div w:id="11185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6695">
      <w:bodyDiv w:val="1"/>
      <w:marLeft w:val="0"/>
      <w:marRight w:val="0"/>
      <w:marTop w:val="0"/>
      <w:marBottom w:val="0"/>
      <w:divBdr>
        <w:top w:val="none" w:sz="0" w:space="0" w:color="auto"/>
        <w:left w:val="none" w:sz="0" w:space="0" w:color="auto"/>
        <w:bottom w:val="none" w:sz="0" w:space="0" w:color="auto"/>
        <w:right w:val="none" w:sz="0" w:space="0" w:color="auto"/>
      </w:divBdr>
    </w:div>
    <w:div w:id="1900676580">
      <w:bodyDiv w:val="1"/>
      <w:marLeft w:val="0"/>
      <w:marRight w:val="0"/>
      <w:marTop w:val="0"/>
      <w:marBottom w:val="0"/>
      <w:divBdr>
        <w:top w:val="none" w:sz="0" w:space="0" w:color="auto"/>
        <w:left w:val="none" w:sz="0" w:space="0" w:color="auto"/>
        <w:bottom w:val="none" w:sz="0" w:space="0" w:color="auto"/>
        <w:right w:val="none" w:sz="0" w:space="0" w:color="auto"/>
      </w:divBdr>
      <w:divsChild>
        <w:div w:id="589317965">
          <w:marLeft w:val="0"/>
          <w:marRight w:val="0"/>
          <w:marTop w:val="0"/>
          <w:marBottom w:val="0"/>
          <w:divBdr>
            <w:top w:val="none" w:sz="0" w:space="0" w:color="auto"/>
            <w:left w:val="none" w:sz="0" w:space="0" w:color="auto"/>
            <w:bottom w:val="none" w:sz="0" w:space="0" w:color="auto"/>
            <w:right w:val="none" w:sz="0" w:space="0" w:color="auto"/>
          </w:divBdr>
        </w:div>
      </w:divsChild>
    </w:div>
    <w:div w:id="1911116094">
      <w:bodyDiv w:val="1"/>
      <w:marLeft w:val="0"/>
      <w:marRight w:val="0"/>
      <w:marTop w:val="0"/>
      <w:marBottom w:val="0"/>
      <w:divBdr>
        <w:top w:val="none" w:sz="0" w:space="0" w:color="auto"/>
        <w:left w:val="none" w:sz="0" w:space="0" w:color="auto"/>
        <w:bottom w:val="none" w:sz="0" w:space="0" w:color="auto"/>
        <w:right w:val="none" w:sz="0" w:space="0" w:color="auto"/>
      </w:divBdr>
    </w:div>
    <w:div w:id="1965766730">
      <w:bodyDiv w:val="1"/>
      <w:marLeft w:val="0"/>
      <w:marRight w:val="0"/>
      <w:marTop w:val="0"/>
      <w:marBottom w:val="0"/>
      <w:divBdr>
        <w:top w:val="none" w:sz="0" w:space="0" w:color="auto"/>
        <w:left w:val="none" w:sz="0" w:space="0" w:color="auto"/>
        <w:bottom w:val="none" w:sz="0" w:space="0" w:color="auto"/>
        <w:right w:val="none" w:sz="0" w:space="0" w:color="auto"/>
      </w:divBdr>
    </w:div>
    <w:div w:id="19799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b.europa.eu/stats/exchange/eurofxref/shared/pdf/2020/11/2020110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9134</Words>
  <Characters>54810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63817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Kącki Jakub</dc:creator>
  <cp:keywords/>
  <dc:description/>
  <cp:lastModifiedBy>KGHM</cp:lastModifiedBy>
  <cp:revision>2</cp:revision>
  <dcterms:created xsi:type="dcterms:W3CDTF">2021-05-05T19:55:00Z</dcterms:created>
  <dcterms:modified xsi:type="dcterms:W3CDTF">2021-05-05T19:55:00Z</dcterms:modified>
</cp:coreProperties>
</file>