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425"/>
        <w:gridCol w:w="465"/>
        <w:gridCol w:w="414"/>
        <w:gridCol w:w="168"/>
        <w:gridCol w:w="204"/>
        <w:gridCol w:w="366"/>
        <w:gridCol w:w="571"/>
        <w:gridCol w:w="134"/>
        <w:gridCol w:w="151"/>
        <w:gridCol w:w="284"/>
        <w:gridCol w:w="369"/>
        <w:gridCol w:w="201"/>
        <w:gridCol w:w="570"/>
        <w:gridCol w:w="332"/>
        <w:gridCol w:w="78"/>
        <w:gridCol w:w="298"/>
        <w:gridCol w:w="234"/>
        <w:gridCol w:w="405"/>
        <w:gridCol w:w="35"/>
        <w:gridCol w:w="282"/>
        <w:gridCol w:w="288"/>
        <w:gridCol w:w="333"/>
        <w:gridCol w:w="237"/>
        <w:gridCol w:w="570"/>
        <w:gridCol w:w="131"/>
        <w:gridCol w:w="1157"/>
      </w:tblGrid>
      <w:tr w:rsidR="006A701A" w:rsidRPr="008B4FE6" w14:paraId="41172EC2" w14:textId="77777777" w:rsidTr="006B4A4F">
        <w:trPr>
          <w:trHeight w:val="1611"/>
        </w:trPr>
        <w:tc>
          <w:tcPr>
            <w:tcW w:w="6896" w:type="dxa"/>
            <w:gridSpan w:val="16"/>
          </w:tcPr>
          <w:p w14:paraId="649D020B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6643D81" w14:textId="4A71DABF" w:rsidR="00FA7CA2" w:rsidRPr="00BB2F38" w:rsidRDefault="00FA7CA2" w:rsidP="00BB2F38">
            <w:pPr>
              <w:spacing w:before="120"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Ustawa </w:t>
            </w:r>
            <w:r w:rsidR="00932B5A">
              <w:rPr>
                <w:rFonts w:ascii="Times New Roman" w:hAnsi="Times New Roman"/>
                <w:bCs/>
                <w:color w:val="000000"/>
              </w:rPr>
              <w:t xml:space="preserve">o badaniach </w:t>
            </w:r>
            <w:bookmarkStart w:id="1" w:name="_Hlk69289901"/>
            <w:r w:rsidR="00932B5A">
              <w:rPr>
                <w:rFonts w:ascii="Times New Roman" w:hAnsi="Times New Roman"/>
                <w:bCs/>
                <w:color w:val="000000"/>
              </w:rPr>
              <w:t xml:space="preserve">klinicznych produktów leczniczych stosowanych </w:t>
            </w:r>
            <w:r w:rsidR="00C12757">
              <w:rPr>
                <w:rFonts w:ascii="Times New Roman" w:hAnsi="Times New Roman"/>
                <w:bCs/>
                <w:color w:val="000000"/>
              </w:rPr>
              <w:br/>
            </w:r>
            <w:r w:rsidR="00932B5A">
              <w:rPr>
                <w:rFonts w:ascii="Times New Roman" w:hAnsi="Times New Roman"/>
                <w:bCs/>
                <w:color w:val="000000"/>
              </w:rPr>
              <w:t>u ludzi</w:t>
            </w:r>
            <w:bookmarkEnd w:id="1"/>
            <w:r w:rsidR="00FB41EE">
              <w:rPr>
                <w:rFonts w:ascii="Times New Roman" w:hAnsi="Times New Roman"/>
                <w:bCs/>
                <w:color w:val="000000"/>
              </w:rPr>
              <w:t>.</w:t>
            </w:r>
          </w:p>
          <w:p w14:paraId="7E987213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95D389E" w14:textId="77777777" w:rsidR="006A701A" w:rsidRDefault="001B011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</w:t>
            </w:r>
            <w:r w:rsidR="00932B5A">
              <w:rPr>
                <w:rFonts w:ascii="Times New Roman" w:hAnsi="Times New Roman"/>
                <w:color w:val="000000"/>
              </w:rPr>
              <w:t>Zdrowia</w:t>
            </w:r>
          </w:p>
          <w:p w14:paraId="4851C6A9" w14:textId="77777777" w:rsidR="00794E91" w:rsidRDefault="00794E91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043F2341" w14:textId="77777777" w:rsidR="001B3460" w:rsidRPr="00642825" w:rsidRDefault="001B3460" w:rsidP="00794E9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53830A2" w14:textId="74C816E7" w:rsidR="003A07F5" w:rsidRPr="00C2546B" w:rsidRDefault="002558A3" w:rsidP="003A07F5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 w:rsidRPr="00C2546B">
              <w:rPr>
                <w:rFonts w:ascii="Times New Roman" w:hAnsi="Times New Roman"/>
              </w:rPr>
              <w:t>Pan</w:t>
            </w:r>
            <w:r w:rsidR="00B71F09" w:rsidRPr="00C2546B">
              <w:rPr>
                <w:rFonts w:ascii="Times New Roman" w:hAnsi="Times New Roman"/>
              </w:rPr>
              <w:t xml:space="preserve"> Maciej Miłkowski</w:t>
            </w:r>
            <w:r w:rsidR="007C23DA">
              <w:rPr>
                <w:rFonts w:ascii="Times New Roman" w:hAnsi="Times New Roman"/>
              </w:rPr>
              <w:t>,</w:t>
            </w:r>
          </w:p>
          <w:p w14:paraId="57AE7D48" w14:textId="2B1150B5" w:rsidR="001B011A" w:rsidRPr="00C2546B" w:rsidRDefault="00B71F09" w:rsidP="003A07F5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 w:rsidRPr="00C2546B">
              <w:rPr>
                <w:rFonts w:ascii="Times New Roman" w:hAnsi="Times New Roman"/>
              </w:rPr>
              <w:t>Pods</w:t>
            </w:r>
            <w:r w:rsidR="001B011A" w:rsidRPr="00C2546B">
              <w:rPr>
                <w:rFonts w:ascii="Times New Roman" w:hAnsi="Times New Roman"/>
              </w:rPr>
              <w:t>ekret</w:t>
            </w:r>
            <w:r w:rsidR="00FB41EE" w:rsidRPr="00C2546B">
              <w:rPr>
                <w:rFonts w:ascii="Times New Roman" w:hAnsi="Times New Roman"/>
              </w:rPr>
              <w:t>arz Stanu</w:t>
            </w:r>
            <w:r w:rsidR="002558A3" w:rsidRPr="00C2546B">
              <w:rPr>
                <w:rFonts w:ascii="Times New Roman" w:hAnsi="Times New Roman"/>
              </w:rPr>
              <w:t xml:space="preserve"> w Ministerstwie Zdrowia</w:t>
            </w:r>
          </w:p>
          <w:p w14:paraId="5C092977" w14:textId="77777777" w:rsidR="00616C1B" w:rsidRPr="002558A3" w:rsidRDefault="00616C1B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14:paraId="6688B32A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 w:rsidR="006633DA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254E328B" w14:textId="77777777" w:rsidR="002558A3" w:rsidRDefault="00163F2A" w:rsidP="002558A3">
            <w:pPr>
              <w:spacing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Pani </w:t>
            </w:r>
            <w:r w:rsidR="002558A3">
              <w:rPr>
                <w:rFonts w:ascii="Times New Roman" w:hAnsi="Times New Roman"/>
                <w:bCs/>
                <w:color w:val="000000"/>
              </w:rPr>
              <w:t xml:space="preserve">Małgorzata Zadorożna, </w:t>
            </w:r>
          </w:p>
          <w:p w14:paraId="43F5C1A2" w14:textId="45271FB3" w:rsidR="002558A3" w:rsidRDefault="002558A3" w:rsidP="002558A3">
            <w:pPr>
              <w:spacing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Dyrektor Departamentu </w:t>
            </w:r>
            <w:r w:rsidR="00B71F09">
              <w:rPr>
                <w:rFonts w:ascii="Times New Roman" w:hAnsi="Times New Roman"/>
                <w:bCs/>
                <w:color w:val="000000"/>
              </w:rPr>
              <w:t>Rozwoju Kadr Medycznych</w:t>
            </w:r>
            <w:r w:rsidR="00525CB9">
              <w:rPr>
                <w:rFonts w:ascii="Times New Roman" w:hAnsi="Times New Roman"/>
                <w:bCs/>
                <w:color w:val="000000"/>
              </w:rPr>
              <w:t xml:space="preserve"> w Ministerstwie Zdrowia </w:t>
            </w:r>
          </w:p>
          <w:p w14:paraId="43659187" w14:textId="3B23984D" w:rsidR="006A701A" w:rsidRPr="007C23DA" w:rsidRDefault="002558A3" w:rsidP="007C23DA">
            <w:pPr>
              <w:spacing w:line="240" w:lineRule="auto"/>
              <w:ind w:hanging="45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E94B67">
              <w:rPr>
                <w:rFonts w:ascii="Times New Roman" w:hAnsi="Times New Roman"/>
                <w:bCs/>
                <w:color w:val="000000"/>
                <w:lang w:val="en-US"/>
              </w:rPr>
              <w:t xml:space="preserve">(22) 63 49 858, e-mail: </w:t>
            </w:r>
            <w:hyperlink r:id="rId8" w:history="1">
              <w:r w:rsidR="00B71F09" w:rsidRPr="00905AA0">
                <w:rPr>
                  <w:rStyle w:val="Hipercze"/>
                  <w:rFonts w:ascii="Times New Roman" w:hAnsi="Times New Roman"/>
                  <w:bCs/>
                  <w:lang w:val="en-US"/>
                </w:rPr>
                <w:t>dep-rkm@mz.gov.pl</w:t>
              </w:r>
            </w:hyperlink>
            <w:r w:rsidRPr="00E94B67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048" w:type="dxa"/>
            <w:gridSpan w:val="12"/>
            <w:shd w:val="clear" w:color="auto" w:fill="FFFFFF"/>
          </w:tcPr>
          <w:p w14:paraId="2A8CB7D8" w14:textId="654F8CEB" w:rsidR="00616C1B" w:rsidRDefault="001B3460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73759E1A" w14:textId="2D26EBCB" w:rsidR="001B3460" w:rsidRPr="00FB41EE" w:rsidRDefault="00984CCE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7C23DA">
              <w:rPr>
                <w:rFonts w:ascii="Times New Roman" w:hAnsi="Times New Roman"/>
                <w:sz w:val="21"/>
                <w:szCs w:val="21"/>
              </w:rPr>
              <w:t>9</w:t>
            </w:r>
            <w:r w:rsidR="00414C71">
              <w:rPr>
                <w:rFonts w:ascii="Times New Roman" w:hAnsi="Times New Roman"/>
                <w:sz w:val="21"/>
                <w:szCs w:val="21"/>
              </w:rPr>
              <w:t>.</w:t>
            </w:r>
            <w:r w:rsidR="00B71F09">
              <w:rPr>
                <w:rFonts w:ascii="Times New Roman" w:hAnsi="Times New Roman"/>
                <w:sz w:val="21"/>
                <w:szCs w:val="21"/>
              </w:rPr>
              <w:t>0</w:t>
            </w:r>
            <w:r w:rsidR="002A59EE">
              <w:rPr>
                <w:rFonts w:ascii="Times New Roman" w:hAnsi="Times New Roman"/>
                <w:sz w:val="21"/>
                <w:szCs w:val="21"/>
              </w:rPr>
              <w:t>4</w:t>
            </w:r>
            <w:r w:rsidR="00414C71">
              <w:rPr>
                <w:rFonts w:ascii="Times New Roman" w:hAnsi="Times New Roman"/>
                <w:sz w:val="21"/>
                <w:szCs w:val="21"/>
              </w:rPr>
              <w:t>.202</w:t>
            </w:r>
            <w:r w:rsidR="00B71F09">
              <w:rPr>
                <w:rFonts w:ascii="Times New Roman" w:hAnsi="Times New Roman"/>
                <w:sz w:val="21"/>
                <w:szCs w:val="21"/>
              </w:rPr>
              <w:t>1</w:t>
            </w:r>
            <w:r w:rsidR="00414C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B41EE" w:rsidRPr="00FB41EE">
              <w:rPr>
                <w:rFonts w:ascii="Times New Roman" w:hAnsi="Times New Roman"/>
                <w:sz w:val="21"/>
                <w:szCs w:val="21"/>
              </w:rPr>
              <w:t>r.</w:t>
            </w:r>
          </w:p>
          <w:p w14:paraId="023F33F9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DB999EB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452AAA2" w14:textId="77777777" w:rsidR="00932B5A" w:rsidRDefault="00932B5A" w:rsidP="00616C1B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Rozporządzenie Parlamentu Europejskiego </w:t>
            </w:r>
            <w:r w:rsidR="00616C1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i Rady (UE) Nr 536/2014 w sprawie badań klinicznych produktów lecz</w:t>
            </w:r>
            <w:r w:rsidR="00FB41EE">
              <w:rPr>
                <w:rFonts w:ascii="Times New Roman" w:hAnsi="Times New Roman"/>
              </w:rPr>
              <w:t>niczych stosow</w:t>
            </w:r>
            <w:r>
              <w:rPr>
                <w:rFonts w:ascii="Times New Roman" w:hAnsi="Times New Roman"/>
              </w:rPr>
              <w:t>anych u ludzi oraz uchylenia dyrektywy 2001/20/WE</w:t>
            </w:r>
            <w:r w:rsidR="00FB41EE">
              <w:rPr>
                <w:rFonts w:ascii="Times New Roman" w:hAnsi="Times New Roman"/>
              </w:rPr>
              <w:t>.</w:t>
            </w:r>
          </w:p>
          <w:p w14:paraId="5268E6A9" w14:textId="77777777" w:rsidR="00616C1B" w:rsidRDefault="00616C1B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1D65CB1F" w14:textId="4B1B84EB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EC31F3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525CB9">
              <w:rPr>
                <w:rFonts w:ascii="Times New Roman" w:hAnsi="Times New Roman"/>
                <w:b/>
                <w:color w:val="000000"/>
              </w:rPr>
              <w:t xml:space="preserve"> legislacyjnych i programowych Rady Ministrów </w:t>
            </w:r>
          </w:p>
          <w:p w14:paraId="652E230D" w14:textId="188B6AB1" w:rsidR="006A701A" w:rsidRPr="00C2546B" w:rsidRDefault="00B71F09" w:rsidP="007943E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546B">
              <w:rPr>
                <w:rFonts w:ascii="Times New Roman" w:hAnsi="Times New Roman"/>
                <w:b/>
                <w:bCs/>
                <w:color w:val="000000"/>
              </w:rPr>
              <w:t>UC63</w:t>
            </w:r>
          </w:p>
          <w:p w14:paraId="36038BCE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3D81C3B8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3169A8E9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B0B4107" w14:textId="77777777" w:rsidTr="006B4A4F">
        <w:trPr>
          <w:trHeight w:val="333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363E31DA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0F655759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FFFFFF"/>
          </w:tcPr>
          <w:p w14:paraId="49CA724C" w14:textId="421358EF" w:rsidR="00932B5A" w:rsidRPr="00932B5A" w:rsidRDefault="00932B5A" w:rsidP="002A7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2B5A">
              <w:rPr>
                <w:rFonts w:ascii="Times New Roman" w:hAnsi="Times New Roman"/>
                <w:color w:val="000000"/>
              </w:rPr>
              <w:t>Opracowanie projektu ustawy o badaniach klinicznych produktów leczniczych stosowanych u ludzi wynika z konieczności zapewnienia stosowania Rozporządzenia Parlamentu Europejskiego i Rady (UE) Nr 536/2014 z dnia 16 kwietnia 2014 r. w sprawie badań klinicznych produktów leczniczych stosowanych u ludzi oraz uchylenia dyrektywy 2001/20/WE, zwanego dalej „Rozporządzeniem</w:t>
            </w:r>
            <w:r w:rsidR="006E66ED">
              <w:rPr>
                <w:rFonts w:ascii="Times New Roman" w:hAnsi="Times New Roman"/>
                <w:color w:val="000000"/>
              </w:rPr>
              <w:t xml:space="preserve"> </w:t>
            </w:r>
            <w:r w:rsidR="006E66ED" w:rsidRPr="006844C4">
              <w:rPr>
                <w:rFonts w:ascii="Times New Roman" w:hAnsi="Times New Roman"/>
                <w:color w:val="000000"/>
              </w:rPr>
              <w:t>536/2014</w:t>
            </w:r>
            <w:r w:rsidRPr="00932B5A">
              <w:rPr>
                <w:rFonts w:ascii="Times New Roman" w:hAnsi="Times New Roman"/>
                <w:color w:val="000000"/>
              </w:rPr>
              <w:t>”.</w:t>
            </w:r>
          </w:p>
          <w:p w14:paraId="768FB5C2" w14:textId="77777777" w:rsidR="006844C4" w:rsidRDefault="00932B5A" w:rsidP="002A7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2B5A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6E66ED" w:rsidRPr="006E66ED">
              <w:rPr>
                <w:rFonts w:ascii="Times New Roman" w:hAnsi="Times New Roman"/>
                <w:color w:val="000000"/>
              </w:rPr>
              <w:t xml:space="preserve">536/2014 </w:t>
            </w:r>
            <w:r w:rsidRPr="00932B5A">
              <w:rPr>
                <w:rFonts w:ascii="Times New Roman" w:hAnsi="Times New Roman"/>
                <w:color w:val="000000"/>
              </w:rPr>
              <w:t>będzie obowiązywało w polskim porządku prawnym bezpośrednio</w:t>
            </w:r>
            <w:r w:rsidR="00FB41EE">
              <w:rPr>
                <w:rFonts w:ascii="Times New Roman" w:hAnsi="Times New Roman"/>
                <w:color w:val="000000"/>
              </w:rPr>
              <w:t xml:space="preserve"> i będzie miało zastosowanie po</w:t>
            </w:r>
            <w:r w:rsidRPr="00932B5A">
              <w:rPr>
                <w:rFonts w:ascii="Times New Roman" w:hAnsi="Times New Roman"/>
                <w:color w:val="000000"/>
              </w:rPr>
              <w:t xml:space="preserve"> upływie sześciu miesięcy od stwierdzenia pełnej funkcjonalności portalu UE i bazy danych UE i od tego dnia polskie przepisy muszą zapewniać skuteczne stosowanie przepisów Rozporządzeni</w:t>
            </w:r>
            <w:r w:rsidR="006E66ED">
              <w:rPr>
                <w:rFonts w:ascii="Times New Roman" w:hAnsi="Times New Roman"/>
                <w:color w:val="000000"/>
              </w:rPr>
              <w:t xml:space="preserve">a </w:t>
            </w:r>
            <w:r w:rsidR="006E66ED" w:rsidRPr="006E66ED">
              <w:rPr>
                <w:rFonts w:ascii="Times New Roman" w:hAnsi="Times New Roman"/>
                <w:color w:val="000000"/>
              </w:rPr>
              <w:t>536/2014</w:t>
            </w:r>
            <w:r w:rsidRPr="00932B5A">
              <w:rPr>
                <w:rFonts w:ascii="Times New Roman" w:hAnsi="Times New Roman"/>
                <w:color w:val="000000"/>
              </w:rPr>
              <w:t>, nie powielając jego rozwiązań ani nie będąc z nim sprzecznymi.</w:t>
            </w:r>
          </w:p>
          <w:p w14:paraId="023CBFC1" w14:textId="4E262610" w:rsidR="0099501E" w:rsidRDefault="006633DA" w:rsidP="002A7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Drugim celem wprowadzenia nowych regulacji dotyczących badań</w:t>
            </w:r>
            <w:r w:rsidRPr="006633DA">
              <w:rPr>
                <w:rFonts w:ascii="Times New Roman" w:hAnsi="Times New Roman"/>
                <w:color w:val="000000"/>
              </w:rPr>
              <w:t xml:space="preserve"> klinicznych produktów leczniczych stosowanych </w:t>
            </w:r>
            <w:r w:rsidR="00497A50">
              <w:rPr>
                <w:rFonts w:ascii="Times New Roman" w:hAnsi="Times New Roman"/>
                <w:color w:val="000000"/>
              </w:rPr>
              <w:br/>
            </w:r>
            <w:r w:rsidRPr="006633DA">
              <w:rPr>
                <w:rFonts w:ascii="Times New Roman" w:hAnsi="Times New Roman"/>
                <w:color w:val="000000"/>
              </w:rPr>
              <w:t>u ludzi</w:t>
            </w:r>
            <w:r>
              <w:rPr>
                <w:rFonts w:ascii="Times New Roman" w:hAnsi="Times New Roman"/>
                <w:color w:val="000000"/>
              </w:rPr>
              <w:t xml:space="preserve">, jest zwiększenie atrakcyjności prowadzenia badań klinicznych na terenie </w:t>
            </w:r>
            <w:r w:rsidR="003E386C">
              <w:rPr>
                <w:rFonts w:ascii="Times New Roman" w:hAnsi="Times New Roman"/>
                <w:color w:val="000000"/>
              </w:rPr>
              <w:t xml:space="preserve">Rzeczypospolitej </w:t>
            </w:r>
            <w:r>
              <w:rPr>
                <w:rFonts w:ascii="Times New Roman" w:hAnsi="Times New Roman"/>
                <w:color w:val="000000"/>
              </w:rPr>
              <w:t>Polski</w:t>
            </w:r>
            <w:r w:rsidR="003E386C">
              <w:rPr>
                <w:rFonts w:ascii="Times New Roman" w:hAnsi="Times New Roman"/>
                <w:color w:val="000000"/>
              </w:rPr>
              <w:t>ej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633DA">
              <w:rPr>
                <w:rFonts w:ascii="Times New Roman" w:hAnsi="Times New Roman"/>
                <w:color w:val="000000"/>
              </w:rPr>
              <w:t xml:space="preserve"> </w:t>
            </w:r>
            <w:r w:rsidR="006844C4" w:rsidRPr="006844C4">
              <w:rPr>
                <w:rFonts w:ascii="Times New Roman" w:hAnsi="Times New Roman"/>
                <w:color w:val="000000"/>
              </w:rPr>
              <w:t>Interesariusze rynku badań klinicznych często uzależniają szansę powodzenia dynamicznego rozwoju badań klinicznych od stopnia skomplikowania i przyjazności regulacji prawnych obowiązujących w kraju ich prowadzenia. Niewątpliwie jednym z stymulantów dla rozwoju badań klinicznych jest zapewnienie przejrzystego system</w:t>
            </w:r>
            <w:r w:rsidR="006844C4">
              <w:rPr>
                <w:rFonts w:ascii="Times New Roman" w:hAnsi="Times New Roman"/>
                <w:color w:val="000000"/>
              </w:rPr>
              <w:t xml:space="preserve">u prawnego pozbawionego barier </w:t>
            </w:r>
            <w:r w:rsidR="006844C4" w:rsidRPr="006844C4">
              <w:rPr>
                <w:rFonts w:ascii="Times New Roman" w:hAnsi="Times New Roman"/>
                <w:color w:val="000000"/>
              </w:rPr>
              <w:t>o charakterze administracyjno-prawnym. Obecny stan prawny, mimo dotychczas podejmowanyc</w:t>
            </w:r>
            <w:r w:rsidR="006844C4">
              <w:rPr>
                <w:rFonts w:ascii="Times New Roman" w:hAnsi="Times New Roman"/>
                <w:color w:val="000000"/>
              </w:rPr>
              <w:t>h działań legislacyjnych, jest</w:t>
            </w:r>
            <w:r w:rsidR="006844C4" w:rsidRPr="006844C4">
              <w:rPr>
                <w:rFonts w:ascii="Times New Roman" w:hAnsi="Times New Roman"/>
                <w:color w:val="000000"/>
              </w:rPr>
              <w:t xml:space="preserve"> dalek</w:t>
            </w:r>
            <w:r w:rsidR="006844C4">
              <w:rPr>
                <w:rFonts w:ascii="Times New Roman" w:hAnsi="Times New Roman"/>
                <w:color w:val="000000"/>
              </w:rPr>
              <w:t>i od pożądanego</w:t>
            </w:r>
            <w:r w:rsidR="006844C4" w:rsidRPr="006844C4">
              <w:rPr>
                <w:rFonts w:ascii="Times New Roman" w:hAnsi="Times New Roman"/>
                <w:color w:val="000000"/>
              </w:rPr>
              <w:t xml:space="preserve">. </w:t>
            </w:r>
            <w:r w:rsidR="006844C4">
              <w:rPr>
                <w:rFonts w:ascii="Times New Roman" w:hAnsi="Times New Roman"/>
                <w:color w:val="000000"/>
              </w:rPr>
              <w:t>W</w:t>
            </w:r>
            <w:r w:rsidR="006844C4" w:rsidRPr="006844C4">
              <w:rPr>
                <w:rFonts w:ascii="Times New Roman" w:hAnsi="Times New Roman"/>
                <w:color w:val="000000"/>
              </w:rPr>
              <w:t>skaźniki dotyczące liczby prowadzonych badań w stosunku do liczby mieszkańców są niesatysfakcjonujące w porównaniu do innych krajów europejskich, takich jak Czechy czy Węgry. Dążąc do zmiany tego negatywnego stanu, rozwój sektora badań klinicznych stał się ważnym elementem dokumentu</w:t>
            </w:r>
            <w:r>
              <w:rPr>
                <w:rFonts w:ascii="Times New Roman" w:hAnsi="Times New Roman"/>
                <w:color w:val="000000"/>
              </w:rPr>
              <w:t xml:space="preserve"> rządowego</w:t>
            </w:r>
            <w:r w:rsidR="003A07F5">
              <w:rPr>
                <w:rFonts w:ascii="Times New Roman" w:hAnsi="Times New Roman"/>
                <w:color w:val="000000"/>
              </w:rPr>
              <w:t xml:space="preserve"> pn. „</w:t>
            </w:r>
            <w:r w:rsidR="006844C4" w:rsidRPr="006844C4">
              <w:rPr>
                <w:rFonts w:ascii="Times New Roman" w:hAnsi="Times New Roman"/>
                <w:color w:val="000000"/>
              </w:rPr>
              <w:t>Polityka Lekowa Państwa</w:t>
            </w:r>
            <w:r w:rsidR="003A07F5">
              <w:rPr>
                <w:rFonts w:ascii="Times New Roman" w:hAnsi="Times New Roman"/>
                <w:color w:val="000000"/>
              </w:rPr>
              <w:t>”</w:t>
            </w:r>
            <w:r w:rsidR="006844C4" w:rsidRPr="006844C4">
              <w:rPr>
                <w:rFonts w:ascii="Times New Roman" w:hAnsi="Times New Roman"/>
                <w:color w:val="000000"/>
              </w:rPr>
              <w:t>, określającym priorytety działań Rządu Rzeczypospolitej Polskiej w zakresie gospodarowania lekami w latach 2018-2022. W przedmiotowym dokumencie wskazano na szczególną rolę zwiększenia konkurencyjności i innowacyjności przemysłu farmaceutycznego przez stymulację badań i rozwoju leków oraz poprawę warunków realizacji badań klinicznych.</w:t>
            </w:r>
            <w:r w:rsidR="006844C4">
              <w:rPr>
                <w:rFonts w:ascii="Times New Roman" w:hAnsi="Times New Roman"/>
                <w:color w:val="000000"/>
              </w:rPr>
              <w:t xml:space="preserve"> </w:t>
            </w:r>
            <w:r w:rsidR="0099501E" w:rsidRPr="0099501E">
              <w:rPr>
                <w:rFonts w:ascii="Times New Roman" w:hAnsi="Times New Roman"/>
                <w:color w:val="000000"/>
              </w:rPr>
              <w:t xml:space="preserve">Celem polskiego ustawodawcy jest zwiększenie konkurencyjności </w:t>
            </w:r>
            <w:r w:rsidR="00E72BB2">
              <w:rPr>
                <w:rFonts w:ascii="Times New Roman" w:hAnsi="Times New Roman"/>
                <w:color w:val="000000"/>
              </w:rPr>
              <w:t xml:space="preserve">Rzeczypospolitej </w:t>
            </w:r>
            <w:r w:rsidR="0099501E" w:rsidRPr="0099501E">
              <w:rPr>
                <w:rFonts w:ascii="Times New Roman" w:hAnsi="Times New Roman"/>
                <w:color w:val="000000"/>
              </w:rPr>
              <w:t>Polski</w:t>
            </w:r>
            <w:r w:rsidR="00E72BB2">
              <w:rPr>
                <w:rFonts w:ascii="Times New Roman" w:hAnsi="Times New Roman"/>
                <w:color w:val="000000"/>
              </w:rPr>
              <w:t>ej</w:t>
            </w:r>
            <w:r w:rsidR="0099501E" w:rsidRPr="0099501E">
              <w:rPr>
                <w:rFonts w:ascii="Times New Roman" w:hAnsi="Times New Roman"/>
                <w:color w:val="000000"/>
              </w:rPr>
              <w:t xml:space="preserve"> jako miejsca prowadzenia badań klinicznych przez wdrożenie przejrzystych regulacji prawnych umożliwiających stosowanie europejski</w:t>
            </w:r>
            <w:r>
              <w:rPr>
                <w:rFonts w:ascii="Times New Roman" w:hAnsi="Times New Roman"/>
                <w:color w:val="000000"/>
              </w:rPr>
              <w:t>ch standardów określonych w R</w:t>
            </w:r>
            <w:r w:rsidR="0099501E" w:rsidRPr="0099501E">
              <w:rPr>
                <w:rFonts w:ascii="Times New Roman" w:hAnsi="Times New Roman"/>
                <w:color w:val="000000"/>
              </w:rPr>
              <w:t xml:space="preserve">ozporządzeniu </w:t>
            </w:r>
            <w:r w:rsidR="006E66ED" w:rsidRPr="006E66ED">
              <w:rPr>
                <w:rFonts w:ascii="Times New Roman" w:hAnsi="Times New Roman"/>
                <w:color w:val="000000"/>
              </w:rPr>
              <w:t xml:space="preserve">536/2014 </w:t>
            </w:r>
            <w:r w:rsidR="0099501E" w:rsidRPr="0099501E">
              <w:rPr>
                <w:rFonts w:ascii="Times New Roman" w:hAnsi="Times New Roman"/>
                <w:color w:val="000000"/>
              </w:rPr>
              <w:t xml:space="preserve">oraz wprowadzenie dodatkowych ułatwień i mechanizmów zachęcających do prowadzenia badań klinicznych, które pozytywnie wyróżnią </w:t>
            </w:r>
            <w:r w:rsidR="00E72BB2">
              <w:rPr>
                <w:rFonts w:ascii="Times New Roman" w:hAnsi="Times New Roman"/>
                <w:color w:val="000000"/>
              </w:rPr>
              <w:t xml:space="preserve">Rzeczpospolitą </w:t>
            </w:r>
            <w:r w:rsidR="0099501E" w:rsidRPr="0099501E">
              <w:rPr>
                <w:rFonts w:ascii="Times New Roman" w:hAnsi="Times New Roman"/>
                <w:color w:val="000000"/>
              </w:rPr>
              <w:t>Polsk</w:t>
            </w:r>
            <w:r w:rsidR="00E72BB2">
              <w:rPr>
                <w:rFonts w:ascii="Times New Roman" w:hAnsi="Times New Roman"/>
                <w:color w:val="000000"/>
              </w:rPr>
              <w:t>ą</w:t>
            </w:r>
            <w:r w:rsidR="0099501E" w:rsidRPr="0099501E">
              <w:rPr>
                <w:rFonts w:ascii="Times New Roman" w:hAnsi="Times New Roman"/>
                <w:color w:val="000000"/>
              </w:rPr>
              <w:t xml:space="preserve"> na tle państw wdrażających jedynie plan minimum wyłącznie umożliwiając</w:t>
            </w:r>
            <w:r>
              <w:rPr>
                <w:rFonts w:ascii="Times New Roman" w:hAnsi="Times New Roman"/>
                <w:color w:val="000000"/>
              </w:rPr>
              <w:t>y stosowanie R</w:t>
            </w:r>
            <w:r w:rsidR="0099501E" w:rsidRPr="0099501E">
              <w:rPr>
                <w:rFonts w:ascii="Times New Roman" w:hAnsi="Times New Roman"/>
                <w:color w:val="000000"/>
              </w:rPr>
              <w:t>ozporządzenia</w:t>
            </w:r>
            <w:r w:rsidR="006E66ED">
              <w:rPr>
                <w:rFonts w:ascii="Times New Roman" w:hAnsi="Times New Roman"/>
                <w:color w:val="000000"/>
              </w:rPr>
              <w:t xml:space="preserve"> </w:t>
            </w:r>
            <w:r w:rsidR="006E66ED" w:rsidRPr="006E66ED">
              <w:rPr>
                <w:rFonts w:ascii="Times New Roman" w:hAnsi="Times New Roman"/>
                <w:color w:val="000000"/>
              </w:rPr>
              <w:t>536/2014</w:t>
            </w:r>
            <w:r w:rsidR="0099501E" w:rsidRPr="0099501E">
              <w:rPr>
                <w:rFonts w:ascii="Times New Roman" w:hAnsi="Times New Roman"/>
                <w:color w:val="000000"/>
              </w:rPr>
              <w:t>.</w:t>
            </w:r>
          </w:p>
          <w:p w14:paraId="6F94EE5B" w14:textId="25C2D333" w:rsidR="006844C4" w:rsidRDefault="006633DA" w:rsidP="002A7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Zgodnie z zasadą pomocniczości</w:t>
            </w:r>
            <w:r w:rsidR="006E66E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R</w:t>
            </w:r>
            <w:r w:rsidR="006844C4" w:rsidRPr="006844C4">
              <w:rPr>
                <w:rFonts w:ascii="Times New Roman" w:hAnsi="Times New Roman"/>
                <w:color w:val="000000"/>
              </w:rPr>
              <w:t>ozporządzenie</w:t>
            </w:r>
            <w:r w:rsidR="006E66ED">
              <w:rPr>
                <w:rFonts w:ascii="Times New Roman" w:hAnsi="Times New Roman"/>
                <w:color w:val="000000"/>
              </w:rPr>
              <w:t xml:space="preserve"> </w:t>
            </w:r>
            <w:r w:rsidR="006E66ED" w:rsidRPr="006E66ED">
              <w:rPr>
                <w:rFonts w:ascii="Times New Roman" w:hAnsi="Times New Roman"/>
                <w:color w:val="000000"/>
              </w:rPr>
              <w:t xml:space="preserve">536/2014 </w:t>
            </w:r>
            <w:r w:rsidR="006844C4" w:rsidRPr="006844C4">
              <w:rPr>
                <w:rFonts w:ascii="Times New Roman" w:hAnsi="Times New Roman"/>
                <w:color w:val="000000"/>
              </w:rPr>
              <w:t xml:space="preserve">pozostawia szereg kwestii do regulacji państw członkowskich, które w </w:t>
            </w:r>
            <w:r w:rsidR="00E72BB2">
              <w:rPr>
                <w:rFonts w:ascii="Times New Roman" w:hAnsi="Times New Roman"/>
                <w:color w:val="000000"/>
              </w:rPr>
              <w:t xml:space="preserve">Rzeczypospolitej </w:t>
            </w:r>
            <w:r w:rsidR="006844C4" w:rsidRPr="006844C4">
              <w:rPr>
                <w:rFonts w:ascii="Times New Roman" w:hAnsi="Times New Roman"/>
                <w:color w:val="000000"/>
              </w:rPr>
              <w:t>Pols</w:t>
            </w:r>
            <w:r w:rsidR="00E72BB2">
              <w:rPr>
                <w:rFonts w:ascii="Times New Roman" w:hAnsi="Times New Roman"/>
                <w:color w:val="000000"/>
              </w:rPr>
              <w:t>kiej</w:t>
            </w:r>
            <w:r w:rsidR="006844C4" w:rsidRPr="006844C4">
              <w:rPr>
                <w:rFonts w:ascii="Times New Roman" w:hAnsi="Times New Roman"/>
                <w:color w:val="000000"/>
              </w:rPr>
              <w:t xml:space="preserve"> zostaną zawarte w ustawie o badaniach klinicznych produktów leczniczych stosowanych u ludzi. Rozporządzenie 536/2014 nie ma charakteru wyczerpującego i wymaga od państw członkowskich wprowadzenia regulacji prawnych, które nie mogą zostać </w:t>
            </w:r>
            <w:r>
              <w:rPr>
                <w:rFonts w:ascii="Times New Roman" w:hAnsi="Times New Roman"/>
                <w:color w:val="000000"/>
              </w:rPr>
              <w:t xml:space="preserve">przyjęte </w:t>
            </w:r>
            <w:r w:rsidR="006844C4" w:rsidRPr="006844C4">
              <w:rPr>
                <w:rFonts w:ascii="Times New Roman" w:hAnsi="Times New Roman"/>
                <w:color w:val="000000"/>
              </w:rPr>
              <w:t>na poziomie wspólnotowym. Kluczowe kwestie pozostawione w kompetencji krajowej, które zostaną uregulowane w ustawie o badaniach klinicznych produktów leczniczych stosowanych u ludzi dotyczą m.in.:</w:t>
            </w:r>
          </w:p>
          <w:p w14:paraId="3F890F73" w14:textId="13AC8A1A" w:rsidR="006E66ED" w:rsidRDefault="006633DA" w:rsidP="002A74AA">
            <w:pPr>
              <w:numPr>
                <w:ilvl w:val="0"/>
                <w:numId w:val="22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określenia</w:t>
            </w:r>
            <w:r w:rsidRPr="006633DA">
              <w:rPr>
                <w:rFonts w:ascii="Times New Roman" w:hAnsi="Times New Roman"/>
                <w:color w:val="000000"/>
              </w:rPr>
              <w:t xml:space="preserve"> krajowego organu kompetentnego odpowiedzialnego za wydanie pozwolenia na prowadzenie badania klinicznego oraz trybu postępowania w przedmiocie wydania pozwolenia na badanie kliniczne produktu leczniczego stosowanego u ludzi, oraz pozwolenia na istotną zmianę badania klinicznego</w:t>
            </w:r>
            <w:r w:rsidR="00E72BB2">
              <w:rPr>
                <w:rFonts w:ascii="Times New Roman" w:hAnsi="Times New Roman"/>
                <w:color w:val="000000"/>
              </w:rPr>
              <w:t>;</w:t>
            </w:r>
            <w:r w:rsidRPr="006633D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8227909" w14:textId="5D3AB9DF" w:rsidR="006E66ED" w:rsidRDefault="006633DA" w:rsidP="002A74AA">
            <w:pPr>
              <w:numPr>
                <w:ilvl w:val="0"/>
                <w:numId w:val="22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</w:rPr>
            </w:pPr>
            <w:r w:rsidRPr="006E66ED">
              <w:rPr>
                <w:rFonts w:ascii="Times New Roman" w:hAnsi="Times New Roman"/>
                <w:color w:val="000000"/>
              </w:rPr>
              <w:t>systemu oceny etycznej badań klinicznych produktów leczniczych oraz sposób jej przeprowadzania przez komisje bioetyczne, przy uwzględnieniu terminów określonych w Rozporządzeniu</w:t>
            </w:r>
            <w:r w:rsidR="00E72BB2">
              <w:rPr>
                <w:rFonts w:ascii="Times New Roman" w:hAnsi="Times New Roman"/>
                <w:color w:val="000000"/>
              </w:rPr>
              <w:t xml:space="preserve"> 536/2014;</w:t>
            </w:r>
          </w:p>
          <w:p w14:paraId="2D8A01F9" w14:textId="30F98338" w:rsidR="006E66ED" w:rsidRDefault="006633DA" w:rsidP="002A74AA">
            <w:pPr>
              <w:numPr>
                <w:ilvl w:val="0"/>
                <w:numId w:val="22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</w:rPr>
            </w:pPr>
            <w:r w:rsidRPr="006E66ED">
              <w:rPr>
                <w:rFonts w:ascii="Times New Roman" w:hAnsi="Times New Roman"/>
                <w:color w:val="000000"/>
              </w:rPr>
              <w:t>wymogów językowych dokumentacji</w:t>
            </w:r>
            <w:r w:rsidR="00E72BB2">
              <w:rPr>
                <w:rFonts w:ascii="Times New Roman" w:hAnsi="Times New Roman"/>
                <w:color w:val="000000"/>
              </w:rPr>
              <w:t>;</w:t>
            </w:r>
            <w:r w:rsidRPr="006E66E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27A6DAC" w14:textId="6F2BC1B3" w:rsidR="006E66ED" w:rsidRDefault="006633DA" w:rsidP="002A74AA">
            <w:pPr>
              <w:numPr>
                <w:ilvl w:val="0"/>
                <w:numId w:val="22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</w:rPr>
            </w:pPr>
            <w:r w:rsidRPr="006E66ED">
              <w:rPr>
                <w:rFonts w:ascii="Times New Roman" w:hAnsi="Times New Roman"/>
                <w:color w:val="000000"/>
              </w:rPr>
              <w:t xml:space="preserve">wprowadzenia rozwiązań zapewniających ochronę uczestników badań </w:t>
            </w:r>
            <w:r w:rsidR="00E72BB2">
              <w:rPr>
                <w:rFonts w:ascii="Times New Roman" w:hAnsi="Times New Roman"/>
                <w:color w:val="000000"/>
              </w:rPr>
              <w:t xml:space="preserve">klinicznych </w:t>
            </w:r>
            <w:r w:rsidRPr="006E66ED">
              <w:rPr>
                <w:rFonts w:ascii="Times New Roman" w:hAnsi="Times New Roman"/>
                <w:color w:val="000000"/>
              </w:rPr>
              <w:t>w zakresie systemu odszkodowań (ubezpieczeń)</w:t>
            </w:r>
            <w:r w:rsidR="00E72BB2">
              <w:rPr>
                <w:rFonts w:ascii="Times New Roman" w:hAnsi="Times New Roman"/>
                <w:color w:val="000000"/>
              </w:rPr>
              <w:t>;</w:t>
            </w:r>
          </w:p>
          <w:p w14:paraId="4DCE2C83" w14:textId="7CB2DF5E" w:rsidR="006E66ED" w:rsidRDefault="006633DA" w:rsidP="002A74AA">
            <w:pPr>
              <w:numPr>
                <w:ilvl w:val="0"/>
                <w:numId w:val="22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</w:rPr>
            </w:pPr>
            <w:r w:rsidRPr="006E66ED">
              <w:rPr>
                <w:rFonts w:ascii="Times New Roman" w:hAnsi="Times New Roman"/>
                <w:color w:val="000000"/>
              </w:rPr>
              <w:t>zasad odpowiedzialności cywilnej badacza i sponsora</w:t>
            </w:r>
            <w:r w:rsidR="00E72BB2">
              <w:rPr>
                <w:rFonts w:ascii="Times New Roman" w:hAnsi="Times New Roman"/>
                <w:color w:val="000000"/>
              </w:rPr>
              <w:t>;</w:t>
            </w:r>
          </w:p>
          <w:p w14:paraId="798E6CF0" w14:textId="4C783ADB" w:rsidR="006E66ED" w:rsidRDefault="006633DA" w:rsidP="002A74AA">
            <w:pPr>
              <w:numPr>
                <w:ilvl w:val="0"/>
                <w:numId w:val="22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</w:rPr>
            </w:pPr>
            <w:r w:rsidRPr="006E66ED">
              <w:rPr>
                <w:rFonts w:ascii="Times New Roman" w:hAnsi="Times New Roman"/>
                <w:color w:val="000000"/>
              </w:rPr>
              <w:t>wysokoś</w:t>
            </w:r>
            <w:r w:rsidR="00E72BB2">
              <w:rPr>
                <w:rFonts w:ascii="Times New Roman" w:hAnsi="Times New Roman"/>
                <w:color w:val="000000"/>
              </w:rPr>
              <w:t>ci</w:t>
            </w:r>
            <w:r w:rsidRPr="006E66ED">
              <w:rPr>
                <w:rFonts w:ascii="Times New Roman" w:hAnsi="Times New Roman"/>
                <w:color w:val="000000"/>
              </w:rPr>
              <w:t xml:space="preserve"> i spos</w:t>
            </w:r>
            <w:r w:rsidR="00E72BB2">
              <w:rPr>
                <w:rFonts w:ascii="Times New Roman" w:hAnsi="Times New Roman"/>
                <w:color w:val="000000"/>
              </w:rPr>
              <w:t>obu</w:t>
            </w:r>
            <w:r w:rsidRPr="006E66ED">
              <w:rPr>
                <w:rFonts w:ascii="Times New Roman" w:hAnsi="Times New Roman"/>
                <w:color w:val="000000"/>
              </w:rPr>
              <w:t xml:space="preserve"> uiszczania opłat związanych z badaniem klinicznym</w:t>
            </w:r>
            <w:r w:rsidR="00E72BB2">
              <w:rPr>
                <w:rFonts w:ascii="Times New Roman" w:hAnsi="Times New Roman"/>
                <w:color w:val="000000"/>
              </w:rPr>
              <w:t>;</w:t>
            </w:r>
            <w:r w:rsidRPr="006E66E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7F61ABC" w14:textId="3B76CC02" w:rsidR="006E66ED" w:rsidRDefault="006633DA" w:rsidP="002A74AA">
            <w:pPr>
              <w:numPr>
                <w:ilvl w:val="0"/>
                <w:numId w:val="22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</w:rPr>
            </w:pPr>
            <w:r w:rsidRPr="006E66ED">
              <w:rPr>
                <w:rFonts w:ascii="Times New Roman" w:hAnsi="Times New Roman"/>
                <w:color w:val="000000"/>
              </w:rPr>
              <w:lastRenderedPageBreak/>
              <w:t>zasad finansowania świadczeń opieki zdrowotnej związanych z badaniem klinicznym</w:t>
            </w:r>
            <w:r w:rsidR="00E72BB2">
              <w:rPr>
                <w:rFonts w:ascii="Times New Roman" w:hAnsi="Times New Roman"/>
                <w:color w:val="000000"/>
              </w:rPr>
              <w:t>;</w:t>
            </w:r>
          </w:p>
          <w:p w14:paraId="676C9FB2" w14:textId="577D4A82" w:rsidR="006E66ED" w:rsidRDefault="006633DA" w:rsidP="002A74AA">
            <w:pPr>
              <w:numPr>
                <w:ilvl w:val="0"/>
                <w:numId w:val="22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</w:rPr>
            </w:pPr>
            <w:r w:rsidRPr="006E66ED">
              <w:rPr>
                <w:rFonts w:ascii="Times New Roman" w:hAnsi="Times New Roman"/>
                <w:color w:val="000000"/>
              </w:rPr>
              <w:t>zasad i trybu przeprowadzania inspekcji badania klinicznego</w:t>
            </w:r>
            <w:r w:rsidR="00E72BB2">
              <w:rPr>
                <w:rFonts w:ascii="Times New Roman" w:hAnsi="Times New Roman"/>
                <w:color w:val="000000"/>
              </w:rPr>
              <w:t>;</w:t>
            </w:r>
          </w:p>
          <w:p w14:paraId="4D37641A" w14:textId="77777777" w:rsidR="00932B5A" w:rsidRPr="006E66ED" w:rsidRDefault="006633DA" w:rsidP="002A74AA">
            <w:pPr>
              <w:numPr>
                <w:ilvl w:val="0"/>
                <w:numId w:val="22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</w:rPr>
            </w:pPr>
            <w:r w:rsidRPr="006E66ED">
              <w:rPr>
                <w:rFonts w:ascii="Times New Roman" w:hAnsi="Times New Roman"/>
                <w:color w:val="000000"/>
              </w:rPr>
              <w:t>mechanizmu wsparcia niekomercyjnych badań klinicznych.</w:t>
            </w:r>
          </w:p>
          <w:p w14:paraId="61081D9F" w14:textId="52DA66B0" w:rsidR="00932B5A" w:rsidRPr="00B37C80" w:rsidRDefault="00932B5A" w:rsidP="002A74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2B5A">
              <w:rPr>
                <w:rFonts w:ascii="Times New Roman" w:hAnsi="Times New Roman"/>
                <w:color w:val="000000"/>
              </w:rPr>
              <w:t>W świetle powyższego konieczne stało się opracowanie zupełnie nowej regulacji w zakresie badań klinicznych, która odpowiadałaby przepisom i standardom prowadzenia badan klinicznych przyjętym na poziomie U</w:t>
            </w:r>
            <w:r w:rsidR="00E72BB2">
              <w:rPr>
                <w:rFonts w:ascii="Times New Roman" w:hAnsi="Times New Roman"/>
                <w:color w:val="000000"/>
              </w:rPr>
              <w:t xml:space="preserve">nii </w:t>
            </w:r>
            <w:r w:rsidRPr="00932B5A">
              <w:rPr>
                <w:rFonts w:ascii="Times New Roman" w:hAnsi="Times New Roman"/>
                <w:color w:val="000000"/>
              </w:rPr>
              <w:t>E</w:t>
            </w:r>
            <w:r w:rsidR="00E72BB2">
              <w:rPr>
                <w:rFonts w:ascii="Times New Roman" w:hAnsi="Times New Roman"/>
                <w:color w:val="000000"/>
              </w:rPr>
              <w:t>uropejskiej</w:t>
            </w:r>
            <w:r w:rsidRPr="00932B5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8B4FE6" w14:paraId="22B4E003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3DD4AB1A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</w:t>
            </w:r>
            <w:r w:rsidR="00E10A4A" w:rsidRPr="001A5FDA">
              <w:rPr>
                <w:rFonts w:ascii="Times New Roman" w:hAnsi="Times New Roman"/>
                <w:b/>
                <w:color w:val="000000"/>
                <w:spacing w:val="-2"/>
              </w:rPr>
              <w:t>interwencji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586A9CE2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auto"/>
          </w:tcPr>
          <w:p w14:paraId="10028538" w14:textId="7CA038A3" w:rsidR="00D631EB" w:rsidRPr="00D631EB" w:rsidRDefault="00D631EB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W celu zapewnienia stosowania przepisów Rozporządzenia </w:t>
            </w:r>
            <w:r w:rsidR="00AF3719" w:rsidRPr="00AF3719">
              <w:rPr>
                <w:rFonts w:ascii="Times New Roman" w:hAnsi="Times New Roman"/>
                <w:color w:val="000000"/>
                <w:spacing w:val="-2"/>
              </w:rPr>
              <w:t xml:space="preserve">536/2014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w projekcie ustawy uregulowano:</w:t>
            </w:r>
          </w:p>
          <w:p w14:paraId="4BBD7CAD" w14:textId="29A9B622" w:rsidR="00AF3719" w:rsidRDefault="00D631EB" w:rsidP="006E66ED">
            <w:pPr>
              <w:numPr>
                <w:ilvl w:val="0"/>
                <w:numId w:val="23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631EB">
              <w:rPr>
                <w:rFonts w:ascii="Times New Roman" w:hAnsi="Times New Roman"/>
                <w:color w:val="000000"/>
                <w:spacing w:val="-2"/>
              </w:rPr>
              <w:t>postępowanie w przedmiocie wydania pozwolenia na badanie kliniczne oraz pozwolenia na istotną zmianę badania klinicznego</w:t>
            </w:r>
            <w:r w:rsidR="00E72BB2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F64CFB1" w14:textId="6EBD05FF" w:rsidR="00AF3719" w:rsidRDefault="00D631EB" w:rsidP="006E66ED">
            <w:pPr>
              <w:numPr>
                <w:ilvl w:val="0"/>
                <w:numId w:val="23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F3719">
              <w:rPr>
                <w:rFonts w:ascii="Times New Roman" w:hAnsi="Times New Roman"/>
                <w:color w:val="000000"/>
                <w:spacing w:val="-2"/>
              </w:rPr>
              <w:t>tryb powołania, skład i zadania Naczelnej Komisji Bioetycznej</w:t>
            </w:r>
            <w:r w:rsidR="00E72BB2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98080C9" w14:textId="649C0B0F" w:rsidR="00AF3719" w:rsidRDefault="00A235E3" w:rsidP="006E66ED">
            <w:pPr>
              <w:numPr>
                <w:ilvl w:val="0"/>
                <w:numId w:val="23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F3719">
              <w:rPr>
                <w:rFonts w:ascii="Times New Roman" w:hAnsi="Times New Roman"/>
                <w:color w:val="000000"/>
                <w:spacing w:val="-2"/>
              </w:rPr>
              <w:t>tryb uprawniania komisji bioetycznych do przeprowadzania oceny etycznej badań klinicznych</w:t>
            </w:r>
            <w:r w:rsidR="00E72BB2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1D95D6F" w14:textId="51612F5E" w:rsidR="00AF3719" w:rsidRDefault="00A235E3" w:rsidP="006E66ED">
            <w:pPr>
              <w:numPr>
                <w:ilvl w:val="0"/>
                <w:numId w:val="23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F3719">
              <w:rPr>
                <w:rFonts w:ascii="Times New Roman" w:hAnsi="Times New Roman"/>
                <w:color w:val="000000"/>
                <w:spacing w:val="-2"/>
              </w:rPr>
              <w:t>zasady i tryb przeprowadzania oceny etycznej badania klinicznego</w:t>
            </w:r>
            <w:r w:rsidR="004F1891">
              <w:rPr>
                <w:rFonts w:ascii="Times New Roman" w:hAnsi="Times New Roman"/>
                <w:color w:val="000000"/>
                <w:spacing w:val="-2"/>
              </w:rPr>
              <w:t xml:space="preserve"> oraz</w:t>
            </w:r>
            <w:r w:rsidRPr="00AF371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72BB2">
              <w:rPr>
                <w:rFonts w:ascii="Times New Roman" w:hAnsi="Times New Roman"/>
                <w:color w:val="000000"/>
                <w:spacing w:val="-2"/>
              </w:rPr>
              <w:t xml:space="preserve">związane z tym </w:t>
            </w:r>
            <w:r w:rsidR="00D631EB" w:rsidRPr="00AF3719">
              <w:rPr>
                <w:rFonts w:ascii="Times New Roman" w:hAnsi="Times New Roman"/>
                <w:color w:val="000000"/>
                <w:spacing w:val="-2"/>
              </w:rPr>
              <w:t>terminy</w:t>
            </w:r>
            <w:r w:rsidR="00E72BB2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AE250ED" w14:textId="77777777" w:rsidR="00AF3719" w:rsidRDefault="00A235E3" w:rsidP="006E66ED">
            <w:pPr>
              <w:numPr>
                <w:ilvl w:val="0"/>
                <w:numId w:val="23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F3719">
              <w:rPr>
                <w:rFonts w:ascii="Times New Roman" w:hAnsi="Times New Roman"/>
                <w:color w:val="000000"/>
                <w:spacing w:val="-2"/>
              </w:rPr>
              <w:t>obowiązki sponsora, głównego badacza i badacza;</w:t>
            </w:r>
          </w:p>
          <w:p w14:paraId="174779A1" w14:textId="77777777" w:rsidR="00AF3719" w:rsidRDefault="00A235E3" w:rsidP="006E66ED">
            <w:pPr>
              <w:numPr>
                <w:ilvl w:val="0"/>
                <w:numId w:val="23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F3719">
              <w:rPr>
                <w:rFonts w:ascii="Times New Roman" w:hAnsi="Times New Roman"/>
                <w:color w:val="000000"/>
                <w:spacing w:val="-2"/>
              </w:rPr>
              <w:t>zasady odpowiedzialności cywilnej badacza i sponsora;</w:t>
            </w:r>
          </w:p>
          <w:p w14:paraId="2C11CDB0" w14:textId="77777777" w:rsidR="00AF3719" w:rsidRDefault="00A235E3" w:rsidP="006E66ED">
            <w:pPr>
              <w:numPr>
                <w:ilvl w:val="0"/>
                <w:numId w:val="23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F3719">
              <w:rPr>
                <w:rFonts w:ascii="Times New Roman" w:hAnsi="Times New Roman"/>
                <w:color w:val="000000"/>
                <w:spacing w:val="-2"/>
              </w:rPr>
              <w:t>zasady funkcjonowania Funduszu Ochrony Uczestników Badań Klinicznych;</w:t>
            </w:r>
          </w:p>
          <w:p w14:paraId="420C9541" w14:textId="77777777" w:rsidR="00AF3719" w:rsidRDefault="00A235E3" w:rsidP="006E66ED">
            <w:pPr>
              <w:numPr>
                <w:ilvl w:val="0"/>
                <w:numId w:val="23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F3719">
              <w:rPr>
                <w:rFonts w:ascii="Times New Roman" w:hAnsi="Times New Roman"/>
                <w:color w:val="000000"/>
                <w:spacing w:val="-2"/>
              </w:rPr>
              <w:t>wysokość i sposób uiszczania opłat związanych z badaniem klinicznym;</w:t>
            </w:r>
          </w:p>
          <w:p w14:paraId="77C6C0EB" w14:textId="77777777" w:rsidR="00AF3719" w:rsidRDefault="00A235E3" w:rsidP="006E66ED">
            <w:pPr>
              <w:numPr>
                <w:ilvl w:val="0"/>
                <w:numId w:val="23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F3719">
              <w:rPr>
                <w:rFonts w:ascii="Times New Roman" w:hAnsi="Times New Roman"/>
                <w:color w:val="000000"/>
                <w:spacing w:val="-2"/>
              </w:rPr>
              <w:t>zasady finansowania świadczeń opieki zdrowotnej związanych z badaniem klinicznym;</w:t>
            </w:r>
          </w:p>
          <w:p w14:paraId="1EE3DD33" w14:textId="77777777" w:rsidR="006633DA" w:rsidRPr="00AF3719" w:rsidRDefault="00A235E3" w:rsidP="006E66ED">
            <w:pPr>
              <w:numPr>
                <w:ilvl w:val="0"/>
                <w:numId w:val="23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F3719">
              <w:rPr>
                <w:rFonts w:ascii="Times New Roman" w:hAnsi="Times New Roman"/>
                <w:color w:val="000000"/>
                <w:spacing w:val="-2"/>
              </w:rPr>
              <w:t>zasady i tryb przeprowadzania inspekcji badania klinicznego</w:t>
            </w:r>
            <w:r w:rsidR="005022C3" w:rsidRPr="00AF371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6A9C1AC" w14:textId="77777777" w:rsidR="00A235E3" w:rsidRPr="00315223" w:rsidRDefault="00A235E3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</w:p>
          <w:p w14:paraId="5977BCA6" w14:textId="3CDB037F" w:rsidR="00D631EB" w:rsidRPr="00D631EB" w:rsidRDefault="00D631EB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W rozdziale II Rozporządzenia </w:t>
            </w:r>
            <w:r w:rsidR="00315223" w:rsidRPr="00315223">
              <w:rPr>
                <w:rFonts w:ascii="Times New Roman" w:hAnsi="Times New Roman"/>
                <w:color w:val="000000"/>
                <w:spacing w:val="-2"/>
              </w:rPr>
              <w:t xml:space="preserve">536/2014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uregulowano procedurę wydawania pozwolenia na badanie kliniczne, pozostawiając do uregulowania na poziomie krajowym wskazanie organu kompetentnego do rozpatrzenia wniosku i wprowadzenie mechanizmów zapewniających terminowe rozpatrzenie wniosków (zgodn</w:t>
            </w:r>
            <w:r w:rsidR="006633DA">
              <w:rPr>
                <w:rFonts w:ascii="Times New Roman" w:hAnsi="Times New Roman"/>
                <w:color w:val="000000"/>
                <w:spacing w:val="-2"/>
              </w:rPr>
              <w:t>e z terminami przewidzianymi w R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ozporządzeniu</w:t>
            </w:r>
            <w:r w:rsidR="00E72BB2">
              <w:rPr>
                <w:rFonts w:ascii="Times New Roman" w:hAnsi="Times New Roman"/>
                <w:color w:val="000000"/>
                <w:spacing w:val="-2"/>
              </w:rPr>
              <w:t xml:space="preserve"> 536/2014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). W projekcie ustawy</w:t>
            </w:r>
            <w:r w:rsidR="00315223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jako organ właściwy do prowadzenia postępowań w przedmiocie</w:t>
            </w:r>
            <w:r w:rsidR="00A235E3" w:rsidRPr="00A235E3">
              <w:rPr>
                <w:rFonts w:ascii="Times New Roman" w:hAnsi="Times New Roman"/>
                <w:color w:val="000000"/>
                <w:spacing w:val="-2"/>
              </w:rPr>
              <w:t xml:space="preserve"> wydania pozwolenia na badanie kliniczne, wydania pozwolenia na istotną zmianę badania klinicznego, pozwolenia ograniczonego do aspektów objętych częścią I sprawozdania z oceny wniosku o rozpoczęcie badania klinicznego, cofnięcia pozwolenia na badanie kliniczne, zawieszenia badania klinicznego, podjęcia uprzednio zawieszonego badania klinicznego, zobowiązania sponsora do zmiany dowolnego aspektu badania klinicznego</w:t>
            </w:r>
            <w:r w:rsidR="00315223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A235E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633DA">
              <w:rPr>
                <w:rFonts w:ascii="Times New Roman" w:hAnsi="Times New Roman"/>
                <w:color w:val="000000"/>
                <w:spacing w:val="-2"/>
              </w:rPr>
              <w:t>wskazano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Prezes</w:t>
            </w:r>
            <w:r w:rsidR="006633D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Urzędu Rejestracji Produktów Leczniczych, Wyrobów Medycznych i Produktów Biobójczych, zwan</w:t>
            </w:r>
            <w:r w:rsidR="00315223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dalej </w:t>
            </w:r>
            <w:r w:rsidR="006633DA"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Prezesem Urzędu”. Z uwagi na ryzyko „zgody domniemanej” w przypadku wydania negatywnej opinii komisji bioetycznej po upływie </w:t>
            </w:r>
            <w:r w:rsidR="00E72BB2">
              <w:rPr>
                <w:rFonts w:ascii="Times New Roman" w:hAnsi="Times New Roman"/>
                <w:color w:val="000000"/>
                <w:spacing w:val="-2"/>
              </w:rPr>
              <w:t>terminu</w:t>
            </w:r>
            <w:r w:rsidR="00E72BB2" w:rsidRPr="00D631E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przewidzianego na wydanie decyzji administracyjnej, konieczne jest wprowadzenie regulacji zapewniających sprawne wydawanie opinii przez komisję bioetyczną w terminach przewidzianych w Rozporządzeniu </w:t>
            </w:r>
            <w:r w:rsidR="00315223" w:rsidRPr="00315223">
              <w:rPr>
                <w:rFonts w:ascii="Times New Roman" w:hAnsi="Times New Roman"/>
                <w:color w:val="000000"/>
                <w:spacing w:val="-2"/>
              </w:rPr>
              <w:t xml:space="preserve">536/2014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i wprowadzenie rozwiązań na wypadek zaistnienia ryzyka nie wydania takiej opinii w terminie. </w:t>
            </w:r>
          </w:p>
          <w:p w14:paraId="618D0BFD" w14:textId="520C1A34" w:rsidR="00D631EB" w:rsidRPr="00D631EB" w:rsidRDefault="00D631EB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631EB">
              <w:rPr>
                <w:rFonts w:ascii="Times New Roman" w:hAnsi="Times New Roman"/>
                <w:color w:val="000000"/>
                <w:spacing w:val="-2"/>
              </w:rPr>
              <w:t>Zgodnie z art. 2 ust.</w:t>
            </w:r>
            <w:r w:rsidR="006633DA">
              <w:rPr>
                <w:rFonts w:ascii="Times New Roman" w:hAnsi="Times New Roman"/>
                <w:color w:val="000000"/>
                <w:spacing w:val="-2"/>
              </w:rPr>
              <w:t xml:space="preserve"> 1 pkt 11 Rozporządzenia </w:t>
            </w:r>
            <w:r w:rsidR="00315223" w:rsidRPr="00315223">
              <w:rPr>
                <w:rFonts w:ascii="Times New Roman" w:hAnsi="Times New Roman"/>
                <w:color w:val="000000"/>
                <w:spacing w:val="-2"/>
              </w:rPr>
              <w:t xml:space="preserve">536/2014 </w:t>
            </w:r>
            <w:r w:rsidR="006633DA">
              <w:rPr>
                <w:rFonts w:ascii="Times New Roman" w:hAnsi="Times New Roman"/>
                <w:color w:val="000000"/>
                <w:spacing w:val="-2"/>
              </w:rPr>
              <w:t>komisja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etyczna oznacza niezależny podmiot ustanowiony </w:t>
            </w:r>
            <w:r w:rsidR="00315223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w państwie członkowskim zgodnie z prawem tego państwa członkowskiego i uprawniony do wydawania opinii do celów niniejszego Rozporządzenia</w:t>
            </w:r>
            <w:r w:rsidR="00E0602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15223" w:rsidRPr="00315223">
              <w:rPr>
                <w:rFonts w:ascii="Times New Roman" w:hAnsi="Times New Roman"/>
                <w:color w:val="000000"/>
                <w:spacing w:val="-2"/>
              </w:rPr>
              <w:t>536/2014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, z uwzględnieniem opinii osób nieposiadających wiedzy fachowej, w szczególności pacjentów lub organizacji pacjentów. Rozporządzenie</w:t>
            </w:r>
            <w:r w:rsidR="0031522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15223" w:rsidRPr="00315223">
              <w:rPr>
                <w:rFonts w:ascii="Times New Roman" w:hAnsi="Times New Roman"/>
                <w:color w:val="000000"/>
                <w:spacing w:val="-2"/>
              </w:rPr>
              <w:t xml:space="preserve">536/2014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pozostawiło do rozstrzygnięcia na poziomie przepisów krajowych czy ma być to jeden podmiot czy kilka oraz sposób funkcjonowania komisji bioetycznych. </w:t>
            </w:r>
            <w:r w:rsidR="00315223">
              <w:rPr>
                <w:rFonts w:ascii="Times New Roman" w:hAnsi="Times New Roman"/>
                <w:color w:val="000000"/>
                <w:spacing w:val="-2"/>
              </w:rPr>
              <w:t>Zatem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, w celu zapewnienia ochrony uczestników bada</w:t>
            </w:r>
            <w:r w:rsidR="007C23DA">
              <w:rPr>
                <w:rFonts w:ascii="Times New Roman" w:hAnsi="Times New Roman"/>
                <w:color w:val="000000"/>
                <w:spacing w:val="-2"/>
              </w:rPr>
              <w:t>ń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klinicznych, wysokiej jakości wydawanych opinii oraz terminowości wydawania opinii, </w:t>
            </w:r>
            <w:r w:rsidR="00315223">
              <w:rPr>
                <w:rFonts w:ascii="Times New Roman" w:hAnsi="Times New Roman"/>
                <w:color w:val="000000"/>
                <w:spacing w:val="-2"/>
              </w:rPr>
              <w:t>proponuje się powołanie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Naczelnej Komisji Bioetycznej</w:t>
            </w:r>
            <w:r w:rsidR="00315223">
              <w:rPr>
                <w:rFonts w:ascii="Times New Roman" w:hAnsi="Times New Roman"/>
                <w:color w:val="000000"/>
                <w:spacing w:val="-2"/>
              </w:rPr>
              <w:t>, która będzie funkcjonowała przy Prezesie Agencji Badań Medycznych</w:t>
            </w:r>
            <w:r w:rsidR="007C23DA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Jednocześnie z uwagi na fakt, że nie jest organizacyjnie możliwe</w:t>
            </w:r>
            <w:r w:rsidR="007C23DA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aby jedna Naczelna Komisja Bioetyczna opiniowała wszystkie wnioski o prowadzenie badań klinicznych, równolegle z Naczelną Komisją Bioetyczną wnioski będą opiniowane przez komisje bioetyczne</w:t>
            </w:r>
            <w:r w:rsidR="003A07F5"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r w:rsidR="003B6E86">
              <w:rPr>
                <w:rFonts w:ascii="Times New Roman" w:hAnsi="Times New Roman"/>
                <w:color w:val="000000"/>
                <w:spacing w:val="-2"/>
              </w:rPr>
              <w:t xml:space="preserve">tj. </w:t>
            </w:r>
            <w:r w:rsidR="003A07F5">
              <w:rPr>
                <w:rFonts w:ascii="Times New Roman" w:hAnsi="Times New Roman"/>
                <w:color w:val="000000"/>
                <w:spacing w:val="-2"/>
              </w:rPr>
              <w:t xml:space="preserve">komisje, o których mowa w ustawie z dnia </w:t>
            </w:r>
            <w:r w:rsidR="003A07F5" w:rsidRPr="003A07F5">
              <w:rPr>
                <w:rFonts w:ascii="Times New Roman" w:hAnsi="Times New Roman"/>
                <w:color w:val="000000"/>
                <w:spacing w:val="-2"/>
              </w:rPr>
              <w:t>z dnia 5 grudnia 1996 r.</w:t>
            </w:r>
            <w:r w:rsidR="003A07F5">
              <w:rPr>
                <w:rFonts w:ascii="Times New Roman" w:hAnsi="Times New Roman"/>
                <w:color w:val="000000"/>
                <w:spacing w:val="-2"/>
              </w:rPr>
              <w:t xml:space="preserve"> o zawodach lekarza i lekarza dentysty</w:t>
            </w:r>
            <w:r w:rsidR="00E72BB2">
              <w:rPr>
                <w:rFonts w:ascii="Times New Roman" w:hAnsi="Times New Roman"/>
                <w:color w:val="000000"/>
                <w:spacing w:val="-2"/>
              </w:rPr>
              <w:t xml:space="preserve"> (Dz. U. z 202</w:t>
            </w:r>
            <w:r w:rsidR="00CE03CE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E72BB2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CE03CE">
              <w:rPr>
                <w:rFonts w:ascii="Times New Roman" w:hAnsi="Times New Roman"/>
                <w:color w:val="000000"/>
                <w:spacing w:val="-2"/>
              </w:rPr>
              <w:t>790</w:t>
            </w:r>
            <w:r w:rsidR="003A07F5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w</w:t>
            </w:r>
            <w:r w:rsidR="00A235E3">
              <w:rPr>
                <w:rFonts w:ascii="Times New Roman" w:hAnsi="Times New Roman"/>
                <w:color w:val="000000"/>
                <w:spacing w:val="-2"/>
              </w:rPr>
              <w:t>skazane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przez </w:t>
            </w:r>
            <w:r w:rsidR="00A235E3">
              <w:rPr>
                <w:rFonts w:ascii="Times New Roman" w:hAnsi="Times New Roman"/>
                <w:color w:val="000000"/>
                <w:spacing w:val="-2"/>
              </w:rPr>
              <w:t xml:space="preserve">przewodniczącego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9221E7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Komisj</w:t>
            </w:r>
            <w:r w:rsidR="009221E7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Bioetyczn</w:t>
            </w:r>
            <w:r w:rsidR="009221E7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E72BB2">
              <w:rPr>
                <w:rFonts w:ascii="Times New Roman" w:hAnsi="Times New Roman"/>
                <w:color w:val="000000"/>
                <w:spacing w:val="-2"/>
              </w:rPr>
              <w:t>j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, spośród komisji bioetycznych wpisanych na listę uprawnionych komisji bioetycznych prowadzoną przez </w:t>
            </w:r>
            <w:r w:rsidR="009221E7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BF5A81">
              <w:rPr>
                <w:rFonts w:ascii="Times New Roman" w:hAnsi="Times New Roman"/>
                <w:color w:val="000000"/>
                <w:spacing w:val="-2"/>
              </w:rPr>
              <w:t>zewodniczącego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Naczelnej Komisji Bioetycznej. Wpis na listę będzie następował po zweryfikowaniu przez </w:t>
            </w:r>
            <w:r w:rsidR="009221E7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BF5A81">
              <w:rPr>
                <w:rFonts w:ascii="Times New Roman" w:hAnsi="Times New Roman"/>
                <w:color w:val="000000"/>
                <w:spacing w:val="-2"/>
              </w:rPr>
              <w:t>zewodniczącego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Naczelnej Komisji Bioetycznej dokumentów potwierdzających, że dana komisja bioetyczna gwarantuje terminowe wydanie opinii i bezpieczeństwo danych przetwarzanych w ramach oceny etycznej wniosku. </w:t>
            </w:r>
          </w:p>
          <w:p w14:paraId="7B11C106" w14:textId="799437FF" w:rsidR="00D631EB" w:rsidRPr="00D631EB" w:rsidRDefault="00D631EB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Zgodnie z art. 9 Rozporządzenia </w:t>
            </w:r>
            <w:r w:rsidR="00315223" w:rsidRPr="00315223">
              <w:rPr>
                <w:rFonts w:ascii="Times New Roman" w:hAnsi="Times New Roman"/>
                <w:color w:val="000000"/>
                <w:spacing w:val="-2"/>
              </w:rPr>
              <w:t xml:space="preserve">536/2014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państwa członkowskie zapewniają, aby osoby walidujące i oceniające wniosek nie pozostawały w konflikcie interesów, były niezależne do sponsora, ośrodka badań klinicznych</w:t>
            </w:r>
            <w:r w:rsidR="00181AAD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od badaczy biorących udział </w:t>
            </w:r>
            <w:r w:rsidR="00B71F09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w badaniu oraz osób finansujących dane badanie kliniczne, a także by nie podlegały żadnym innym niepożądanym wpływom. W związku z powyższym w projekcie ustawy wprowadzono przepisy gwarantujące brak konfliktu interesów zarówno na poziomie członków Naczelnej Komisji Bioetycznej i członków poszczególnych komisji bioetycznych, a także przewidziano procedurę wyłączenia członka zespołu oceniającego lub komisji bioetycznej z oceny etycznej konkretnego wniosku </w:t>
            </w:r>
            <w:r w:rsidR="00B71F09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o pozwolenie na prowadzenia danego badania klinicznego.</w:t>
            </w:r>
          </w:p>
          <w:p w14:paraId="7326F465" w14:textId="392206C3" w:rsidR="00D631EB" w:rsidRPr="00D631EB" w:rsidRDefault="00D631EB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631EB">
              <w:rPr>
                <w:rFonts w:ascii="Times New Roman" w:hAnsi="Times New Roman"/>
                <w:color w:val="000000"/>
                <w:spacing w:val="-2"/>
              </w:rPr>
              <w:t>Zgodnie z art. 26 Rozporządzenia</w:t>
            </w:r>
            <w:r w:rsidR="009A7D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A7D20" w:rsidRPr="009A7D20">
              <w:rPr>
                <w:rFonts w:ascii="Times New Roman" w:hAnsi="Times New Roman"/>
                <w:color w:val="000000"/>
                <w:spacing w:val="-2"/>
              </w:rPr>
              <w:t>536/2014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zainteresowane państwa członkowskie określą w jakim języku składa się dokumentację wniosku lub jej część. Ustawodawca zdecydował się na określenie dokumentacji przedkładanej w języku </w:t>
            </w:r>
            <w:r w:rsidR="00E10A4A" w:rsidRPr="00D631EB">
              <w:rPr>
                <w:rFonts w:ascii="Times New Roman" w:hAnsi="Times New Roman"/>
                <w:color w:val="000000"/>
                <w:spacing w:val="-2"/>
              </w:rPr>
              <w:t>polskim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oraz dokumentacji, która może być sporządzona w języku angielskim lub języku w jakim został złożony pierwotny wniosek o wydanie pozwolenia na badanie kliniczne.</w:t>
            </w:r>
          </w:p>
          <w:p w14:paraId="387AB237" w14:textId="696A48B2" w:rsidR="00D631EB" w:rsidRPr="00D631EB" w:rsidRDefault="00D631EB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631EB">
              <w:rPr>
                <w:rFonts w:ascii="Times New Roman" w:hAnsi="Times New Roman"/>
                <w:color w:val="000000"/>
                <w:spacing w:val="-2"/>
              </w:rPr>
              <w:t>Obowiązki sponsora i badacza zostały ogól</w:t>
            </w:r>
            <w:r w:rsidR="00DC4887">
              <w:rPr>
                <w:rFonts w:ascii="Times New Roman" w:hAnsi="Times New Roman"/>
                <w:color w:val="000000"/>
                <w:spacing w:val="-2"/>
              </w:rPr>
              <w:t>nie uregulowane w rozdziale XI R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ozpo</w:t>
            </w:r>
            <w:r w:rsidR="00DC4887">
              <w:rPr>
                <w:rFonts w:ascii="Times New Roman" w:hAnsi="Times New Roman"/>
                <w:color w:val="000000"/>
                <w:spacing w:val="-2"/>
              </w:rPr>
              <w:t>rządzenia</w:t>
            </w:r>
            <w:r w:rsidR="009A7D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A7D20" w:rsidRPr="009A7D20">
              <w:rPr>
                <w:rFonts w:ascii="Times New Roman" w:hAnsi="Times New Roman"/>
                <w:color w:val="000000"/>
                <w:spacing w:val="-2"/>
              </w:rPr>
              <w:t>536/2014</w:t>
            </w:r>
            <w:r w:rsidR="00DC4887">
              <w:rPr>
                <w:rFonts w:ascii="Times New Roman" w:hAnsi="Times New Roman"/>
                <w:color w:val="000000"/>
                <w:spacing w:val="-2"/>
              </w:rPr>
              <w:t>. Dodatkowo w art. 47 R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ozporządzenia </w:t>
            </w:r>
            <w:r w:rsidR="009A7D20" w:rsidRPr="009A7D20">
              <w:rPr>
                <w:rFonts w:ascii="Times New Roman" w:hAnsi="Times New Roman"/>
                <w:color w:val="000000"/>
                <w:spacing w:val="-2"/>
              </w:rPr>
              <w:t xml:space="preserve">536/2014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wskazano, że sponsor badania klinicznego oraz badacz zapewniają, że badanie kliniczne </w:t>
            </w:r>
            <w:r w:rsidR="00E72BB2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prowadzone zgodnie z protokołem i zasadami dobrej praktyki klinicznej. Ustawodawca dookreślając obowiązki badacz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i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lastRenderedPageBreak/>
              <w:t>sponsora wskazał m. in. na obowiązek real</w:t>
            </w:r>
            <w:r w:rsidR="00DC4887">
              <w:rPr>
                <w:rFonts w:ascii="Times New Roman" w:hAnsi="Times New Roman"/>
                <w:color w:val="000000"/>
                <w:spacing w:val="-2"/>
              </w:rPr>
              <w:t>izacji obowiązków wynikających z R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ozporządzenia </w:t>
            </w:r>
            <w:r w:rsidR="009A7D20" w:rsidRPr="009A7D20">
              <w:rPr>
                <w:rFonts w:ascii="Times New Roman" w:hAnsi="Times New Roman"/>
                <w:color w:val="000000"/>
                <w:spacing w:val="-2"/>
              </w:rPr>
              <w:t xml:space="preserve">536/2014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i prowadzenia badań klinicznych zgodnie z wytycznymi Międzynarodowej Rady ds. Harmonizacji Wymagań Technicznych dla Rejestracji Produktów Leczniczych stosowanych u ludzi (ICH).</w:t>
            </w:r>
          </w:p>
          <w:p w14:paraId="5613B4A2" w14:textId="2D73B70C" w:rsidR="00D631EB" w:rsidRPr="00D631EB" w:rsidRDefault="00D631EB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Zgodnie z art. 76 ust. 1 Rozporządzenia </w:t>
            </w:r>
            <w:r w:rsidR="009A7D20" w:rsidRPr="009A7D20">
              <w:rPr>
                <w:rFonts w:ascii="Times New Roman" w:hAnsi="Times New Roman"/>
                <w:color w:val="000000"/>
                <w:spacing w:val="-2"/>
              </w:rPr>
              <w:t xml:space="preserve">536/2014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państwa członkowskie zapewnią funkcjonowanie systemów odszkodowań za szkody poniesione przez uczestników wynikające z udziału w badaniu klinicznym prowadzonym na ich terytorium w formie ubezpieczenia, gwarancji lub podobnych rozwiązań równoważnych pod względem celu, która jest odpowiednia do charakteru i skali ryzyka. W związku z powyższym proponuje się </w:t>
            </w:r>
            <w:r w:rsidR="00D37422">
              <w:rPr>
                <w:rFonts w:ascii="Times New Roman" w:hAnsi="Times New Roman"/>
                <w:color w:val="000000"/>
                <w:spacing w:val="-2"/>
              </w:rPr>
              <w:t>utworzenie państwowego funduszu celowego</w:t>
            </w:r>
            <w:r w:rsidR="0026318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71C26" w:rsidRPr="00FF27FB">
              <w:rPr>
                <w:rFonts w:ascii="Times New Roman" w:hAnsi="Times New Roman"/>
              </w:rPr>
              <w:t>–</w:t>
            </w:r>
            <w:r w:rsidR="0026318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63181">
              <w:t xml:space="preserve"> </w:t>
            </w:r>
            <w:r w:rsidR="00263181" w:rsidRPr="00263181">
              <w:rPr>
                <w:rFonts w:ascii="Times New Roman" w:hAnsi="Times New Roman"/>
                <w:color w:val="000000"/>
                <w:spacing w:val="-2"/>
              </w:rPr>
              <w:t>Fundusz</w:t>
            </w:r>
            <w:r w:rsidR="00263181">
              <w:rPr>
                <w:rFonts w:ascii="Times New Roman" w:hAnsi="Times New Roman"/>
                <w:color w:val="000000"/>
                <w:spacing w:val="-2"/>
              </w:rPr>
              <w:t xml:space="preserve">u </w:t>
            </w:r>
            <w:r w:rsidR="00A717EA">
              <w:rPr>
                <w:rFonts w:ascii="Times New Roman" w:hAnsi="Times New Roman"/>
                <w:color w:val="000000"/>
                <w:spacing w:val="-2"/>
              </w:rPr>
              <w:t xml:space="preserve">Ochrony </w:t>
            </w:r>
            <w:r w:rsidR="00263181">
              <w:rPr>
                <w:rFonts w:ascii="Times New Roman" w:hAnsi="Times New Roman"/>
                <w:color w:val="000000"/>
                <w:spacing w:val="-2"/>
              </w:rPr>
              <w:t>Uczestników Badań Klinicznych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, który wypłacałby </w:t>
            </w:r>
            <w:r w:rsidR="009221E7">
              <w:rPr>
                <w:rFonts w:ascii="Times New Roman" w:hAnsi="Times New Roman"/>
                <w:color w:val="000000"/>
                <w:spacing w:val="-2"/>
              </w:rPr>
              <w:t>świadczenia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uczestnikom badań. </w:t>
            </w:r>
            <w:r w:rsidR="00D37422">
              <w:rPr>
                <w:rFonts w:ascii="Times New Roman" w:hAnsi="Times New Roman"/>
                <w:color w:val="000000"/>
                <w:spacing w:val="-2"/>
              </w:rPr>
              <w:t xml:space="preserve">Dysponentem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Fundusz</w:t>
            </w:r>
            <w:r w:rsidR="00D37422">
              <w:rPr>
                <w:rFonts w:ascii="Times New Roman" w:hAnsi="Times New Roman"/>
                <w:color w:val="000000"/>
                <w:spacing w:val="-2"/>
              </w:rPr>
              <w:t>u,</w:t>
            </w:r>
            <w:r w:rsidR="00BD6C0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37422">
              <w:rPr>
                <w:rFonts w:ascii="Times New Roman" w:hAnsi="Times New Roman"/>
                <w:color w:val="000000"/>
                <w:spacing w:val="-2"/>
              </w:rPr>
              <w:t xml:space="preserve">który </w:t>
            </w:r>
            <w:r w:rsidR="00497A50">
              <w:rPr>
                <w:rFonts w:ascii="Times New Roman" w:hAnsi="Times New Roman"/>
                <w:color w:val="000000"/>
                <w:spacing w:val="-2"/>
              </w:rPr>
              <w:t>finansowany byłby głównie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ze składek sponsorów</w:t>
            </w:r>
            <w:r w:rsidR="00D37422">
              <w:rPr>
                <w:rFonts w:ascii="Times New Roman" w:hAnsi="Times New Roman"/>
                <w:color w:val="000000"/>
                <w:spacing w:val="-2"/>
              </w:rPr>
              <w:t>, byłby Prezes Agencji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. Wysokość składki zależałaby od i</w:t>
            </w:r>
            <w:r w:rsidR="009221E7">
              <w:rPr>
                <w:rFonts w:ascii="Times New Roman" w:hAnsi="Times New Roman"/>
                <w:color w:val="000000"/>
                <w:spacing w:val="-2"/>
              </w:rPr>
              <w:t xml:space="preserve">lości uczestników badania klinicznego i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zostałaby określona w rozporządzeniu ministra właściwego do spraw </w:t>
            </w:r>
            <w:r w:rsidR="00BF5A81">
              <w:rPr>
                <w:rFonts w:ascii="Times New Roman" w:hAnsi="Times New Roman"/>
                <w:color w:val="000000"/>
                <w:spacing w:val="-2"/>
              </w:rPr>
              <w:t>instytucji finansowych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. Poszkodowani w badaniu klinicznym mieliby obowiązek zgłaszać się w pierwszej  kolejności do </w:t>
            </w:r>
            <w:r w:rsidR="00D37422">
              <w:rPr>
                <w:rFonts w:ascii="Times New Roman" w:hAnsi="Times New Roman"/>
                <w:color w:val="000000"/>
                <w:spacing w:val="-2"/>
              </w:rPr>
              <w:t>Prezesa Agencji</w:t>
            </w:r>
            <w:r w:rsidR="00D37422" w:rsidRPr="00D631E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i sponsora ze swoim </w:t>
            </w:r>
            <w:r w:rsidR="00DC4887">
              <w:rPr>
                <w:rFonts w:ascii="Times New Roman" w:hAnsi="Times New Roman"/>
                <w:color w:val="000000"/>
                <w:spacing w:val="-2"/>
              </w:rPr>
              <w:t xml:space="preserve">roszczeniem. </w:t>
            </w:r>
            <w:r w:rsidR="00D37422">
              <w:rPr>
                <w:rFonts w:ascii="Times New Roman" w:hAnsi="Times New Roman"/>
                <w:color w:val="000000"/>
                <w:spacing w:val="-2"/>
              </w:rPr>
              <w:t>Prezes Agencji</w:t>
            </w:r>
            <w:r w:rsidR="00DC4887">
              <w:rPr>
                <w:rFonts w:ascii="Times New Roman" w:hAnsi="Times New Roman"/>
                <w:color w:val="000000"/>
                <w:spacing w:val="-2"/>
              </w:rPr>
              <w:t xml:space="preserve"> powoła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komisję ekspertów z danej dziedziny medycyny, której dotyc</w:t>
            </w:r>
            <w:r w:rsidR="00DC4887">
              <w:rPr>
                <w:rFonts w:ascii="Times New Roman" w:hAnsi="Times New Roman"/>
                <w:color w:val="000000"/>
                <w:spacing w:val="-2"/>
              </w:rPr>
              <w:t>zyło badanie. Eksperci będą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być niezależni od badacza i sponsora tego badania oraz</w:t>
            </w:r>
            <w:r w:rsidR="00DC4887">
              <w:rPr>
                <w:rFonts w:ascii="Times New Roman" w:hAnsi="Times New Roman"/>
                <w:color w:val="000000"/>
                <w:spacing w:val="-2"/>
              </w:rPr>
              <w:t xml:space="preserve"> będą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posiadać określone doświadczen</w:t>
            </w:r>
            <w:r w:rsidR="00DC4887">
              <w:rPr>
                <w:rFonts w:ascii="Times New Roman" w:hAnsi="Times New Roman"/>
                <w:color w:val="000000"/>
                <w:spacing w:val="-2"/>
              </w:rPr>
              <w:t>ie i wiedzę. Eksperci ocenią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czy szkoda uczestnika badania może być wynikiem udziału w badaniu. Podstawą uznania roszczenia uczestnika badania byłoby prawdopodobieństwo związku szkody z badaniem. Gdyby poszkodowany nie był usatysfakcjonowan</w:t>
            </w:r>
            <w:r w:rsidR="00DC4887">
              <w:rPr>
                <w:rFonts w:ascii="Times New Roman" w:hAnsi="Times New Roman"/>
                <w:color w:val="000000"/>
                <w:spacing w:val="-2"/>
              </w:rPr>
              <w:t>y wysokością świadczenia, ma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prawo dochodzenia roszczeń na drodze sądowej na zasadach ogólnych. Dodatkowo badacz i sponsor </w:t>
            </w:r>
            <w:r w:rsidR="00DC4887">
              <w:rPr>
                <w:rFonts w:ascii="Times New Roman" w:hAnsi="Times New Roman"/>
                <w:color w:val="000000"/>
                <w:spacing w:val="-2"/>
              </w:rPr>
              <w:t>mają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obowiązek posiadać ubezpieczenie OC w</w:t>
            </w:r>
            <w:r w:rsidR="00DC4887">
              <w:rPr>
                <w:rFonts w:ascii="Times New Roman" w:hAnsi="Times New Roman"/>
                <w:color w:val="000000"/>
                <w:spacing w:val="-2"/>
              </w:rPr>
              <w:t xml:space="preserve"> związku ze szkodami, które mogą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wyrządzić podczas badania</w:t>
            </w:r>
            <w:r w:rsidR="008C2FFE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D057DB9" w14:textId="77777777" w:rsidR="00D631EB" w:rsidRPr="00D631EB" w:rsidRDefault="00D631EB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W myśl art. 87 Rozporządzenia </w:t>
            </w:r>
            <w:r w:rsidR="009A7D20" w:rsidRPr="009A7D20">
              <w:rPr>
                <w:rFonts w:ascii="Times New Roman" w:hAnsi="Times New Roman"/>
                <w:color w:val="000000"/>
                <w:spacing w:val="-2"/>
              </w:rPr>
              <w:t xml:space="preserve">536/2014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w związku z oceną, o której mowa w rozdziałach II i III, państwo członkowskie nie może wymagać wniesienia wielu opłat do różnych organów zaangażowanych w przeprowadzenie tej oceny. Zachodzi zatem konieczność wprowadzenia przepisów krajowych regulujących system finansowania oceny wniosku. Mając na względzie powyższe w ustawie uregulowano wysokość opłaty dla organu kompetentnego i komisji bioetycznej oraz zasady wpłaty na konta tej opłaty.</w:t>
            </w:r>
          </w:p>
          <w:p w14:paraId="66B4F7FF" w14:textId="692A64A1" w:rsidR="00D631EB" w:rsidRPr="00D631EB" w:rsidRDefault="00D631EB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W ustawie uregulowano także problem finansowania przez 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>Narodowy Fundusz Zdrowia, zwany dalej „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>”,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świadczeń opieki zdrowotnej w badaniach klinicznych, gdyż kwestia ta została pozostawiona do uregulowania na poziomie przepisów krajów członkowskich. W szczególności koniczne jest zwiększenie przejrzystości zasad podziału obowiązków sponsora i płatnika publicznego w zakresie finansowania świadczeń opieki zdrowotnej udzielanych w związku z prowadzonym badaniem klinicznym – w obecnym stanie prawnym wszelkie niejasności doprowadzają do sytuacji, w której ciężar finansowania świadczeń zdrowotnych gwarantowanych ze środków publicznych jest przerzucany z płatnika publicznego na sponsora.</w:t>
            </w:r>
          </w:p>
          <w:p w14:paraId="479AF104" w14:textId="4B420DCB" w:rsidR="00D631EB" w:rsidRPr="00D631EB" w:rsidRDefault="00D631EB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Zgodnie z art. 78 ust. 1 Rozporządzenia </w:t>
            </w:r>
            <w:r w:rsidR="009A7D20" w:rsidRPr="009A7D20">
              <w:rPr>
                <w:rFonts w:ascii="Times New Roman" w:hAnsi="Times New Roman"/>
                <w:color w:val="000000"/>
                <w:spacing w:val="-2"/>
              </w:rPr>
              <w:t xml:space="preserve">536/2014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państwa członkowskie są obowiązane do przeprowadzania inspekcji </w:t>
            </w:r>
            <w:r w:rsidR="007945B0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w celu nadzoru nad przestrzeganiem Rozporządzenia</w:t>
            </w:r>
            <w:r w:rsidR="009A7D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A7D20" w:rsidRPr="009A7D20">
              <w:rPr>
                <w:rFonts w:ascii="Times New Roman" w:hAnsi="Times New Roman"/>
                <w:color w:val="000000"/>
                <w:spacing w:val="-2"/>
              </w:rPr>
              <w:t>536/2014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. Państwa członkowskie zapewniają, aby inspektorzy byli odpowiednio wykwalifikowani i wyszkoleni. W związku z powyższym w ustawie zawarto regulacje dotyczące inspekcji.</w:t>
            </w:r>
          </w:p>
          <w:p w14:paraId="1E1CF834" w14:textId="633B9514" w:rsidR="006A701A" w:rsidRPr="00B37C80" w:rsidRDefault="00D631EB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631EB">
              <w:rPr>
                <w:rFonts w:ascii="Times New Roman" w:hAnsi="Times New Roman"/>
                <w:color w:val="000000"/>
                <w:spacing w:val="-2"/>
              </w:rPr>
              <w:t>W preambule do Rozporządzeni</w:t>
            </w:r>
            <w:r w:rsidR="009A7D20"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="009A7D20" w:rsidRPr="009A7D20">
              <w:rPr>
                <w:rFonts w:ascii="Times New Roman" w:hAnsi="Times New Roman"/>
                <w:color w:val="000000"/>
                <w:spacing w:val="-2"/>
              </w:rPr>
              <w:t xml:space="preserve">536/2014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D631EB">
              <w:rPr>
                <w:rFonts w:ascii="Times New Roman" w:hAnsi="Times New Roman"/>
                <w:color w:val="000000"/>
                <w:spacing w:val="-2"/>
              </w:rPr>
              <w:t>tiret</w:t>
            </w:r>
            <w:proofErr w:type="spellEnd"/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81 wskazano, że państwa członkowskie powinny podejmować środki </w:t>
            </w:r>
            <w:r w:rsidR="007945B0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w celu wspierania niekomercyjnych badań klinicznych. W związku z powyższym 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 xml:space="preserve">projektodawca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wprowadził do ustawy regulacje, których celem jest zwiększenie ilości niekomercyjnych badań klinicznych prowadzonych w 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 xml:space="preserve">Rzeczypospolitej 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>Pols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przez zdefiniowanie niek</w:t>
            </w:r>
            <w:r w:rsidR="00DC4887">
              <w:rPr>
                <w:rFonts w:ascii="Times New Roman" w:hAnsi="Times New Roman"/>
                <w:color w:val="000000"/>
                <w:spacing w:val="-2"/>
              </w:rPr>
              <w:t>omercyjnego badania klinicznego oraz określenie zasad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wykorzystywania danych uzyskanych w wyniku niekomer</w:t>
            </w:r>
            <w:r w:rsidR="00DC4887">
              <w:rPr>
                <w:rFonts w:ascii="Times New Roman" w:hAnsi="Times New Roman"/>
                <w:color w:val="000000"/>
                <w:spacing w:val="-2"/>
              </w:rPr>
              <w:t>cyjnego badania klinicznego i środków</w:t>
            </w:r>
            <w:r w:rsidRPr="00D631EB">
              <w:rPr>
                <w:rFonts w:ascii="Times New Roman" w:hAnsi="Times New Roman"/>
                <w:color w:val="000000"/>
                <w:spacing w:val="-2"/>
              </w:rPr>
              <w:t xml:space="preserve"> wsparcia badań klinicznych niekomercyjnych prowadzonych przez sponsora niekomercyjnego.</w:t>
            </w:r>
          </w:p>
        </w:tc>
      </w:tr>
      <w:tr w:rsidR="006A701A" w:rsidRPr="008B4FE6" w14:paraId="7297FF2A" w14:textId="77777777" w:rsidTr="006B4A4F">
        <w:trPr>
          <w:trHeight w:val="307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0D117A93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49F5E20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auto"/>
          </w:tcPr>
          <w:p w14:paraId="4C24DD14" w14:textId="77777777" w:rsidR="00DC4887" w:rsidRDefault="00DC4887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Niemcy</w:t>
            </w:r>
          </w:p>
          <w:p w14:paraId="3D42149E" w14:textId="77777777" w:rsidR="00DC4887" w:rsidRDefault="001320BE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Prowadzenie badań klinicznych reguluje ustawa </w:t>
            </w:r>
            <w:r w:rsidR="00DC4887" w:rsidRPr="00DC4887">
              <w:rPr>
                <w:rFonts w:ascii="Times New Roman" w:hAnsi="Times New Roman"/>
                <w:color w:val="000000"/>
                <w:spacing w:val="-2"/>
              </w:rPr>
              <w:t>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produktach leczniczych. Według </w:t>
            </w:r>
            <w:r w:rsidR="00DC4887" w:rsidRPr="00DC4887">
              <w:rPr>
                <w:rFonts w:ascii="Times New Roman" w:hAnsi="Times New Roman"/>
                <w:color w:val="000000"/>
                <w:spacing w:val="-2"/>
              </w:rPr>
              <w:t>tej ustawy badanie kliniczne produktu l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eczniczego z udziałem pacjentów </w:t>
            </w:r>
            <w:r w:rsidR="00DC4887" w:rsidRPr="00DC4887">
              <w:rPr>
                <w:rFonts w:ascii="Times New Roman" w:hAnsi="Times New Roman"/>
                <w:color w:val="000000"/>
                <w:spacing w:val="-2"/>
              </w:rPr>
              <w:t>musi być poprzedzone zgodą odpowiedniej (instytucjonalnej) Komisji Etyk</w:t>
            </w:r>
            <w:r>
              <w:rPr>
                <w:rFonts w:ascii="Times New Roman" w:hAnsi="Times New Roman"/>
                <w:color w:val="000000"/>
                <w:spacing w:val="-2"/>
              </w:rPr>
              <w:t>i, oraz niezależ</w:t>
            </w:r>
            <w:r w:rsidR="00DC4887" w:rsidRPr="00DC4887">
              <w:rPr>
                <w:rFonts w:ascii="Times New Roman" w:hAnsi="Times New Roman"/>
                <w:color w:val="000000"/>
                <w:spacing w:val="-2"/>
              </w:rPr>
              <w:t>nej, interdyscyplinarnej Komisji Etyczn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ej odpowiadającej, na podstawie </w:t>
            </w:r>
            <w:r w:rsidR="00DC4887" w:rsidRPr="00DC4887">
              <w:rPr>
                <w:rFonts w:ascii="Times New Roman" w:hAnsi="Times New Roman"/>
                <w:color w:val="000000"/>
                <w:spacing w:val="-2"/>
              </w:rPr>
              <w:t>przepisów prawa, za przebieg badania.</w:t>
            </w:r>
          </w:p>
          <w:p w14:paraId="2B1DCEC3" w14:textId="77777777" w:rsidR="00DC4887" w:rsidRDefault="002F2909" w:rsidP="009A7D20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Węgry</w:t>
            </w:r>
          </w:p>
          <w:p w14:paraId="3191CEC1" w14:textId="77777777" w:rsidR="00DC4887" w:rsidRDefault="00DC4887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Wprowadzono je</w:t>
            </w:r>
            <w:r w:rsidR="0078742A">
              <w:rPr>
                <w:rFonts w:ascii="Times New Roman" w:hAnsi="Times New Roman"/>
                <w:color w:val="000000"/>
                <w:spacing w:val="-2"/>
              </w:rPr>
              <w:t>dną centralną komisję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bioetyczną oceniającą wnioski</w:t>
            </w:r>
            <w:r w:rsidRPr="00DC4887">
              <w:rPr>
                <w:rFonts w:ascii="Times New Roman" w:hAnsi="Times New Roman"/>
                <w:color w:val="000000"/>
                <w:spacing w:val="-2"/>
              </w:rPr>
              <w:t>. Pozwolenie na prowadzenie badania klin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icznego wydawane jest w postaci </w:t>
            </w:r>
            <w:r w:rsidRPr="00DC4887">
              <w:rPr>
                <w:rFonts w:ascii="Times New Roman" w:hAnsi="Times New Roman"/>
                <w:color w:val="000000"/>
                <w:spacing w:val="-2"/>
              </w:rPr>
              <w:t>jednej decyzji, a wniosek oceniany jest równolegle przy współpracy organów uczestniczących</w:t>
            </w:r>
            <w:r w:rsidR="007945B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945B0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DC4887">
              <w:rPr>
                <w:rFonts w:ascii="Times New Roman" w:hAnsi="Times New Roman"/>
                <w:color w:val="000000"/>
                <w:spacing w:val="-2"/>
              </w:rPr>
              <w:t>w wydawaniu pozwolenia.</w:t>
            </w:r>
          </w:p>
          <w:p w14:paraId="41B599A1" w14:textId="77777777" w:rsidR="002F2909" w:rsidRDefault="002F2909" w:rsidP="009A7D20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Dania</w:t>
            </w:r>
          </w:p>
          <w:p w14:paraId="6ED39552" w14:textId="77777777" w:rsidR="002F2909" w:rsidRDefault="002F2909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2018 r. utworzono krajową organizację na rzecz badań klinicznych</w:t>
            </w:r>
            <w:r w:rsidRPr="002F2909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Wszystkie usługi świadczone przez NEXT są bezpłatne, w ramach swojej działalności wskazuje ona ośrodki badawcze </w:t>
            </w:r>
            <w:r w:rsidRPr="002F2909">
              <w:rPr>
                <w:rFonts w:ascii="Times New Roman" w:hAnsi="Times New Roman"/>
                <w:color w:val="000000"/>
                <w:spacing w:val="-2"/>
              </w:rPr>
              <w:t xml:space="preserve">do badań klinicznych we wszystkich dziedzinach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ochrony </w:t>
            </w:r>
            <w:r w:rsidRPr="002F2909">
              <w:rPr>
                <w:rFonts w:ascii="Times New Roman" w:hAnsi="Times New Roman"/>
                <w:color w:val="000000"/>
                <w:spacing w:val="-2"/>
              </w:rPr>
              <w:t>zdrowia i chorób</w:t>
            </w:r>
            <w:r w:rsidR="0078742A">
              <w:rPr>
                <w:rFonts w:ascii="Times New Roman" w:hAnsi="Times New Roman"/>
                <w:color w:val="000000"/>
                <w:spacing w:val="-2"/>
              </w:rPr>
              <w:t>, ocenia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potencjalnych pacjentów do rekrutacji i wspiera organizacje w przeprowadzaniu badań klinicznych</w:t>
            </w:r>
            <w:r w:rsidR="0078742A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2F2909">
              <w:rPr>
                <w:rFonts w:ascii="Times New Roman" w:hAnsi="Times New Roman"/>
                <w:color w:val="000000"/>
                <w:spacing w:val="-2"/>
              </w:rPr>
              <w:t>Władze duńskie są</w:t>
            </w:r>
            <w:r w:rsidR="0078742A">
              <w:rPr>
                <w:rFonts w:ascii="Times New Roman" w:hAnsi="Times New Roman"/>
                <w:color w:val="000000"/>
                <w:spacing w:val="-2"/>
              </w:rPr>
              <w:t xml:space="preserve"> nastawione na szybkie rozpatrywanie wniosków o pozwolenie na prowadzenie badań klinicznych. </w:t>
            </w:r>
            <w:r w:rsidRPr="002F2909">
              <w:rPr>
                <w:rFonts w:ascii="Times New Roman" w:hAnsi="Times New Roman"/>
                <w:color w:val="000000"/>
                <w:spacing w:val="-2"/>
              </w:rPr>
              <w:t>Oficjalny czas</w:t>
            </w:r>
            <w:r w:rsidR="0078742A">
              <w:rPr>
                <w:rFonts w:ascii="Times New Roman" w:hAnsi="Times New Roman"/>
                <w:color w:val="000000"/>
                <w:spacing w:val="-2"/>
              </w:rPr>
              <w:t xml:space="preserve"> przetwarzania nowych wniosków</w:t>
            </w:r>
            <w:r w:rsidRPr="002F2909">
              <w:rPr>
                <w:rFonts w:ascii="Times New Roman" w:hAnsi="Times New Roman"/>
                <w:color w:val="000000"/>
                <w:spacing w:val="-2"/>
              </w:rPr>
              <w:t xml:space="preserve"> wyn</w:t>
            </w:r>
            <w:r w:rsidR="0078742A">
              <w:rPr>
                <w:rFonts w:ascii="Times New Roman" w:hAnsi="Times New Roman"/>
                <w:color w:val="000000"/>
                <w:spacing w:val="-2"/>
              </w:rPr>
              <w:t xml:space="preserve">osi maksymalnie 60 dni. </w:t>
            </w:r>
            <w:r w:rsidRPr="002F2909">
              <w:rPr>
                <w:rFonts w:ascii="Times New Roman" w:hAnsi="Times New Roman"/>
                <w:color w:val="000000"/>
                <w:spacing w:val="-2"/>
              </w:rPr>
              <w:t>Średnio ponad 90% wszystkich wnioskodawców otrzymuje pierwszą odpowiedź w ciągu 42</w:t>
            </w:r>
            <w:r w:rsidR="0078742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61450D7" w14:textId="77777777" w:rsidR="0078742A" w:rsidRPr="002F2909" w:rsidRDefault="0078742A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46E313C" w14:textId="77777777" w:rsidR="00F34D8A" w:rsidRDefault="00F34D8A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zakresie ubezpieczeń badań klinicznych</w:t>
            </w:r>
          </w:p>
          <w:p w14:paraId="62637834" w14:textId="77777777" w:rsidR="00932B5A" w:rsidRPr="00932B5A" w:rsidRDefault="00BB2F38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Belgia</w:t>
            </w:r>
          </w:p>
          <w:p w14:paraId="1D073F94" w14:textId="77777777" w:rsidR="00932B5A" w:rsidRPr="00932B5A" w:rsidRDefault="00932B5A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2B5A">
              <w:rPr>
                <w:rFonts w:ascii="Times New Roman" w:hAnsi="Times New Roman"/>
                <w:color w:val="000000"/>
                <w:spacing w:val="-2"/>
              </w:rPr>
              <w:t>Ubezpieczenie badań jest obowiązkowe. Certyfikat zawarcia umowy ubezpieczenia jest wymagany przed przekazaniem protokołu badania do ko</w:t>
            </w:r>
            <w:r w:rsidR="00BB2F38">
              <w:rPr>
                <w:rFonts w:ascii="Times New Roman" w:hAnsi="Times New Roman"/>
                <w:color w:val="000000"/>
                <w:spacing w:val="-2"/>
              </w:rPr>
              <w:t xml:space="preserve">misji etycznej. </w:t>
            </w:r>
            <w:r w:rsidR="00FB41EE">
              <w:rPr>
                <w:rFonts w:ascii="Times New Roman" w:hAnsi="Times New Roman"/>
                <w:color w:val="000000"/>
                <w:spacing w:val="-2"/>
              </w:rPr>
              <w:t>Sponsor musi zakładać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 swoją odpowiedzialność, nawet bez winy, za szkody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lastRenderedPageBreak/>
              <w:t>wyrządzone uczestnikowi. Jeżeli nastąpił zgon pacjenta jego prawa związane z odszykowaniem przechodzą na jego następców prawnych. Szkoda musi być bezpośrednio lub pośrednio związane z ek</w:t>
            </w:r>
            <w:r w:rsidR="0078742A">
              <w:rPr>
                <w:rFonts w:ascii="Times New Roman" w:hAnsi="Times New Roman"/>
                <w:color w:val="000000"/>
                <w:spacing w:val="-2"/>
              </w:rPr>
              <w:t>sperymentami klinicznymi.</w:t>
            </w:r>
          </w:p>
          <w:p w14:paraId="3A1EDEB1" w14:textId="77777777" w:rsidR="00932B5A" w:rsidRPr="00932B5A" w:rsidRDefault="00BB2F38" w:rsidP="009A7D20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Francja</w:t>
            </w:r>
          </w:p>
          <w:p w14:paraId="4D52028B" w14:textId="458C00B5" w:rsidR="00BB2F38" w:rsidRDefault="00932B5A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2B5A">
              <w:rPr>
                <w:rFonts w:ascii="Times New Roman" w:hAnsi="Times New Roman"/>
                <w:color w:val="000000"/>
                <w:spacing w:val="-2"/>
              </w:rPr>
              <w:t>Francuskie prawo rozróżnia badania z indywidualną bezpośrednią korzyścią i bez indywid</w:t>
            </w:r>
            <w:r w:rsidR="00BB2F38">
              <w:rPr>
                <w:rFonts w:ascii="Times New Roman" w:hAnsi="Times New Roman"/>
                <w:color w:val="000000"/>
                <w:spacing w:val="-2"/>
              </w:rPr>
              <w:t xml:space="preserve">ualnej bezpośredniej korzyści. </w:t>
            </w:r>
            <w:r w:rsidR="007945B0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>W badaniu "bez indywidualnej bezpośredniej korzyści", sponsor musi zawsze wypłacić odszkodow</w:t>
            </w:r>
            <w:r w:rsidR="00FB41EE">
              <w:rPr>
                <w:rFonts w:ascii="Times New Roman" w:hAnsi="Times New Roman"/>
                <w:color w:val="000000"/>
                <w:spacing w:val="-2"/>
              </w:rPr>
              <w:t>anie poszkodowanemu lub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 jego "następcom prawnym", nawet bez ustalenia swojej winy.</w:t>
            </w:r>
            <w:r w:rsidR="00BB2F3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W badaniu 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>z indywidualną bezpośrednią korzyścią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 sponsor musi zapłacić odszkodowanie poszkodowanemu lub jego następcom prawnym, chyba że sponsor wykaże, że szkoda nie została p</w:t>
            </w:r>
            <w:r w:rsidR="00FB41EE">
              <w:rPr>
                <w:rFonts w:ascii="Times New Roman" w:hAnsi="Times New Roman"/>
                <w:color w:val="000000"/>
                <w:spacing w:val="-2"/>
              </w:rPr>
              <w:t>rzypisana jego/jej zaniedbaniu lub zaniedbaniu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 innych podmiotów, które uczes</w:t>
            </w:r>
            <w:r w:rsidR="00BB2F38">
              <w:rPr>
                <w:rFonts w:ascii="Times New Roman" w:hAnsi="Times New Roman"/>
                <w:color w:val="000000"/>
                <w:spacing w:val="-2"/>
              </w:rPr>
              <w:t xml:space="preserve">tniczyły w prowadzenie procesu.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>Aby pokryć odpowiedzialność zaangażowanych stron, sponsor</w:t>
            </w:r>
            <w:r w:rsidR="00CE744E">
              <w:rPr>
                <w:rFonts w:ascii="Times New Roman" w:hAnsi="Times New Roman"/>
                <w:color w:val="000000"/>
                <w:spacing w:val="-2"/>
              </w:rPr>
              <w:t xml:space="preserve"> musi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B2F38">
              <w:rPr>
                <w:rFonts w:ascii="Times New Roman" w:hAnsi="Times New Roman"/>
                <w:color w:val="000000"/>
                <w:spacing w:val="-2"/>
              </w:rPr>
              <w:t xml:space="preserve">posiadać prywatne ubezpieczenie.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Kiedy badanie kliniczne jest 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>z indywi</w:t>
            </w:r>
            <w:r w:rsidR="00FB41EE">
              <w:rPr>
                <w:rFonts w:ascii="Times New Roman" w:hAnsi="Times New Roman"/>
                <w:color w:val="000000"/>
                <w:spacing w:val="-2"/>
              </w:rPr>
              <w:t>dualną bezpośrednią korzyścią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>, poszkodowany może uzyskać odszkodowanie od Krajowego Urzędu ds. O</w:t>
            </w:r>
            <w:r w:rsidR="00BB2F38">
              <w:rPr>
                <w:rFonts w:ascii="Times New Roman" w:hAnsi="Times New Roman"/>
                <w:color w:val="000000"/>
                <w:spacing w:val="-2"/>
              </w:rPr>
              <w:t xml:space="preserve">dszkodowań.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>Urząd ten jest finansowany ze środków publicznych i jest powołany w celu zapewnienia wypłat rekompensat osobom, które odniosły obrażenia w wyniku błędów medycznych lub zakażeń sz</w:t>
            </w:r>
            <w:r w:rsidR="00BB2F38">
              <w:rPr>
                <w:rFonts w:ascii="Times New Roman" w:hAnsi="Times New Roman"/>
                <w:color w:val="000000"/>
                <w:spacing w:val="-2"/>
              </w:rPr>
              <w:t xml:space="preserve">pitalnych.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E10A4A" w:rsidRPr="00932B5A">
              <w:rPr>
                <w:rFonts w:ascii="Times New Roman" w:hAnsi="Times New Roman"/>
                <w:color w:val="000000"/>
                <w:spacing w:val="-2"/>
              </w:rPr>
              <w:t>przypadku,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 kiedy sponsorem badania jest państwo, nie ma obowiązku sporządzania umowy ubezpieczenia, jednakże podmiot publiczny musi przyjąć zob</w:t>
            </w:r>
            <w:r w:rsidR="00CE744E">
              <w:rPr>
                <w:rFonts w:ascii="Times New Roman" w:hAnsi="Times New Roman"/>
                <w:color w:val="000000"/>
                <w:spacing w:val="-2"/>
              </w:rPr>
              <w:t>owiązania, które zwykle nałożone są na</w:t>
            </w:r>
            <w:r w:rsidR="008C2FFE">
              <w:rPr>
                <w:rFonts w:ascii="Times New Roman" w:hAnsi="Times New Roman"/>
                <w:color w:val="000000"/>
                <w:spacing w:val="-2"/>
              </w:rPr>
              <w:t xml:space="preserve"> ubezpieczyciela.</w:t>
            </w:r>
          </w:p>
          <w:p w14:paraId="5E386AF5" w14:textId="77777777" w:rsidR="00BB2F38" w:rsidRPr="00932B5A" w:rsidRDefault="00BB2F38" w:rsidP="009A7D20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Niemcy</w:t>
            </w:r>
            <w:r w:rsidR="00932B5A" w:rsidRPr="00932B5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56C1863" w14:textId="77777777" w:rsidR="00BB2F38" w:rsidRPr="00932B5A" w:rsidRDefault="00932B5A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Niemiecka ustawa o badaniach klinicznych wymaga od sponsora zawarcie umowy ubezpieczenia na rzecz uczestników badania. Jej zakres musi być rozsądnie współmierny do ryzyka związanego z badaniem klinicznym i określany na podstawie oceny ryzyka, które jest związane z badaniem. </w:t>
            </w:r>
          </w:p>
          <w:p w14:paraId="0EF07093" w14:textId="77777777" w:rsidR="00932B5A" w:rsidRPr="00932B5A" w:rsidRDefault="00BB2F38" w:rsidP="009A7D20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Holandia</w:t>
            </w:r>
          </w:p>
          <w:p w14:paraId="391B6C61" w14:textId="77777777" w:rsidR="00BB2F38" w:rsidRPr="00932B5A" w:rsidRDefault="00932B5A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Ubezpieczenie badań jest obowiązkowe, badanie nie może zostać </w:t>
            </w:r>
            <w:r w:rsidR="00E10A4A" w:rsidRPr="00932B5A">
              <w:rPr>
                <w:rFonts w:ascii="Times New Roman" w:hAnsi="Times New Roman"/>
                <w:color w:val="000000"/>
                <w:spacing w:val="-2"/>
              </w:rPr>
              <w:t>przeprowadzone,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 jeśli nie zostało zawarte ubezpieczenie pokrywające straty związane ze śmiercią lub szkodą wynikłą na skutek ucze</w:t>
            </w:r>
            <w:r w:rsidR="00BB2F38">
              <w:rPr>
                <w:rFonts w:ascii="Times New Roman" w:hAnsi="Times New Roman"/>
                <w:color w:val="000000"/>
                <w:spacing w:val="-2"/>
              </w:rPr>
              <w:t xml:space="preserve">stnictwa w badaniu klinicznym.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>Ubezpieczenie obejmuje śmierć i obrażenia występując</w:t>
            </w:r>
            <w:r w:rsidR="007D2978">
              <w:rPr>
                <w:rFonts w:ascii="Times New Roman" w:hAnsi="Times New Roman"/>
                <w:color w:val="000000"/>
                <w:spacing w:val="-2"/>
              </w:rPr>
              <w:t>e w trakcie badania klinicznego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 lub wychodząc na jaw, gdy uczestnik bierze udział w</w:t>
            </w:r>
            <w:r w:rsidR="00BB2F38">
              <w:rPr>
                <w:rFonts w:ascii="Times New Roman" w:hAnsi="Times New Roman"/>
                <w:color w:val="000000"/>
                <w:spacing w:val="-2"/>
              </w:rPr>
              <w:t xml:space="preserve"> badaniach, jak również śmierć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>i obrażenia występujące lub pojawiające się w trakcie pięcioletniego okresu bezpośrednio po ucze</w:t>
            </w:r>
            <w:r w:rsidR="00BB2F38">
              <w:rPr>
                <w:rFonts w:ascii="Times New Roman" w:hAnsi="Times New Roman"/>
                <w:color w:val="000000"/>
                <w:spacing w:val="-2"/>
              </w:rPr>
              <w:t xml:space="preserve">stnictwie uczestnika w badaniu.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Ubezpieczenie nie musi obejmować uszczerbku na zdrowiu osoby, która miałoby również miejsce, gdyby podmiot nie brał udziału w badaniu. Ponadto ubezpieczenie nie musi obejmować szkody, która jest nieunikniona lub prawie nieunikniona, biorąc pod uwagę charakter próby. Badanie kliniczne może zostać podjęte tylko wtedy, gdy w chwili jego rozpoczęcia zapewniono ubezpieczenie obejmujące odpowiedzialność badacza lub sponsora lub zapewniono inne rozwiązane gwarantujące odpowiedzialność odszkodowawczą dla uczestników badania. </w:t>
            </w:r>
          </w:p>
          <w:p w14:paraId="6C1988D2" w14:textId="77777777" w:rsidR="00932B5A" w:rsidRPr="00932B5A" w:rsidRDefault="00BB2F38" w:rsidP="009A7D20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Hiszpania</w:t>
            </w:r>
          </w:p>
          <w:p w14:paraId="2AA2DA59" w14:textId="13CB0F91" w:rsidR="006A701A" w:rsidRPr="00B37C80" w:rsidRDefault="00932B5A" w:rsidP="006E66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Zgodnie z hiszpańskim prawem badanie kliniczne może się rozpocząć </w:t>
            </w:r>
            <w:r w:rsidR="00E10A4A" w:rsidRPr="00932B5A">
              <w:rPr>
                <w:rFonts w:ascii="Times New Roman" w:hAnsi="Times New Roman"/>
                <w:color w:val="000000"/>
                <w:spacing w:val="-2"/>
              </w:rPr>
              <w:t>jedynie,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 jeżeli posiada ubezpieczenie lub inną gwarancję finansową umożliwiającą pokrycie każdej szkody powstałej w wyniku badania klinicznego. Sponsor badania jest zobowiązany do zabezpieczenia swojej odpowiedzialności oraz odpowiedzialności głównego badacza, personelu pomocniczego, szpitala lub innej </w:t>
            </w:r>
            <w:r w:rsidR="00E10A4A" w:rsidRPr="00932B5A">
              <w:rPr>
                <w:rFonts w:ascii="Times New Roman" w:hAnsi="Times New Roman"/>
                <w:color w:val="000000"/>
                <w:spacing w:val="-2"/>
              </w:rPr>
              <w:t>jednostki,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 w której przeprow</w:t>
            </w:r>
            <w:r w:rsidR="007D2978">
              <w:rPr>
                <w:rFonts w:ascii="Times New Roman" w:hAnsi="Times New Roman"/>
                <w:color w:val="000000"/>
                <w:spacing w:val="-2"/>
              </w:rPr>
              <w:t xml:space="preserve">adzane jest badanie kliniczne.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Jeśli badanie nie wiąże się z istotnym ryzykiem i w konsekwencji nie wymagało określonego pokrycia ubezpieczeniowego lub z innych powodów, ubezpieczenie nie pokrywa całkowicie ryzyka badania, </w:t>
            </w:r>
            <w:r w:rsidR="007D2978">
              <w:rPr>
                <w:rFonts w:ascii="Times New Roman" w:hAnsi="Times New Roman"/>
                <w:color w:val="000000"/>
                <w:spacing w:val="-2"/>
              </w:rPr>
              <w:t xml:space="preserve">sponsor badania, główny badacz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>i ośrodek, w którym prowadzone jest badanie mają obowiązek "jałmużniczy", nawet bez przypisania im winy, aby zapłacić odszkodowanie dla poszkodowanego uczestnika za obrażenia fizyczne oraz straty materialne których doznał w wyniku</w:t>
            </w:r>
            <w:r w:rsidR="00BB2F38">
              <w:rPr>
                <w:rFonts w:ascii="Times New Roman" w:hAnsi="Times New Roman"/>
                <w:color w:val="000000"/>
                <w:spacing w:val="-2"/>
              </w:rPr>
              <w:t xml:space="preserve"> udziału w badaniu klinicznym.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>Jeżeli strony odpowiedzialne za kompensację szkody są przekonane, iż szkoda nie jest związana bezpośrednio z badanym produktem leczniczym, diagnostyką lub procedurami terapeutycznymi przeprowadzonymi w badaniu ciężar dowodu spoczywa na nich. Jednakże w przypadku upływu roku od zakończenia badania ciężar dowodu</w:t>
            </w:r>
            <w:r w:rsidR="00BB2F38">
              <w:rPr>
                <w:rFonts w:ascii="Times New Roman" w:hAnsi="Times New Roman"/>
                <w:color w:val="000000"/>
                <w:spacing w:val="-2"/>
              </w:rPr>
              <w:t xml:space="preserve"> przechodzi na poszkodowanego.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Odszkodowanie musi zostać wypłacone poszkodowanemu za uszczerbek na zdrowiu, którego doświadczył oraz za jego ekonomiczne konsekwencje, jeżeli nie jest on związany z naturalną progresją choroby </w:t>
            </w:r>
            <w:r w:rsidR="00E10A4A" w:rsidRPr="00932B5A">
              <w:rPr>
                <w:rFonts w:ascii="Times New Roman" w:hAnsi="Times New Roman"/>
                <w:color w:val="000000"/>
                <w:spacing w:val="-2"/>
              </w:rPr>
              <w:t>bądź,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 jeśli nie jest zaliczany do niepożądanych reakcji, których można było się spodziewać w toku zwykłego leczenia choroby pacjenta. Ubezpieczenie musi gwarantować minimalną </w:t>
            </w:r>
            <w:r w:rsidR="007D2978">
              <w:rPr>
                <w:rFonts w:ascii="Times New Roman" w:hAnsi="Times New Roman"/>
                <w:color w:val="000000"/>
                <w:spacing w:val="-2"/>
              </w:rPr>
              <w:t xml:space="preserve">kwotę 250 000 </w:t>
            </w:r>
            <w:r w:rsidR="00794E91">
              <w:rPr>
                <w:rFonts w:ascii="Times New Roman" w:hAnsi="Times New Roman"/>
                <w:color w:val="000000"/>
                <w:spacing w:val="-2"/>
              </w:rPr>
              <w:t>euro</w:t>
            </w:r>
            <w:r w:rsidR="007D2978">
              <w:rPr>
                <w:rFonts w:ascii="Times New Roman" w:hAnsi="Times New Roman"/>
                <w:color w:val="000000"/>
                <w:spacing w:val="-2"/>
              </w:rPr>
              <w:t xml:space="preserve"> dla uczestnika.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 xml:space="preserve">Jeżeli odszkodowanie jest w formie renty dożywotniej, ubezpieczenie musi gwarantować co najmniej 25 000 </w:t>
            </w:r>
            <w:r w:rsidR="00794E91">
              <w:rPr>
                <w:rFonts w:ascii="Times New Roman" w:hAnsi="Times New Roman"/>
                <w:color w:val="000000"/>
                <w:spacing w:val="-2"/>
              </w:rPr>
              <w:t xml:space="preserve">euro </w:t>
            </w:r>
            <w:r w:rsidRPr="00932B5A">
              <w:rPr>
                <w:rFonts w:ascii="Times New Roman" w:hAnsi="Times New Roman"/>
                <w:color w:val="000000"/>
                <w:spacing w:val="-2"/>
              </w:rPr>
              <w:t>rocznie.</w:t>
            </w:r>
          </w:p>
        </w:tc>
      </w:tr>
      <w:tr w:rsidR="006A701A" w:rsidRPr="008B4FE6" w14:paraId="3A6CC753" w14:textId="77777777" w:rsidTr="006B4A4F">
        <w:trPr>
          <w:trHeight w:val="359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30EACAA4" w14:textId="77777777" w:rsidR="006A701A" w:rsidRPr="008B4FE6" w:rsidRDefault="006A701A" w:rsidP="00FE6D3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  <w:r w:rsidR="004F1461"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FE6D3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260F33" w:rsidRPr="008B4FE6" w14:paraId="6546BF0E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7A279B8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5C85BAB1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11580AD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79A5B61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53E720FF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661C794A" w14:textId="77777777" w:rsidR="00260F33" w:rsidRPr="008B4FE6" w:rsidRDefault="004C0B91" w:rsidP="00932B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</w:t>
            </w:r>
            <w:r w:rsidR="00932B5A">
              <w:rPr>
                <w:rFonts w:ascii="Times New Roman" w:hAnsi="Times New Roman"/>
                <w:color w:val="000000"/>
              </w:rPr>
              <w:t xml:space="preserve">czestnicy badań klinicznych 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6D65F9BA" w14:textId="77777777" w:rsidR="00260F33" w:rsidRPr="00B37C80" w:rsidRDefault="009130CD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136 na jedno badanie kliniczne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7C2A3958" w14:textId="77777777" w:rsidR="00260F33" w:rsidRPr="00B37C80" w:rsidRDefault="009130CD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</w:t>
            </w:r>
            <w:r w:rsidRPr="009130CD">
              <w:rPr>
                <w:rFonts w:ascii="Times New Roman" w:hAnsi="Times New Roman"/>
                <w:color w:val="000000"/>
                <w:spacing w:val="-2"/>
              </w:rPr>
              <w:t xml:space="preserve"> EMA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7AE6F102" w14:textId="0FE763CC" w:rsidR="00910117" w:rsidRDefault="00F94BC3" w:rsidP="00F94BC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Uczestnikami badań są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zdrowi ochotnicy lub osoby chorujące na określoną jednostkę</w:t>
            </w:r>
            <w:r w:rsidR="009A7D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chorobową, które spełniły kryteria włączenia do badania </w:t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 xml:space="preserve">klinicznego i wyraziły świadomą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zgodę na udział w </w:t>
            </w:r>
            <w:r w:rsidR="009221E7">
              <w:rPr>
                <w:rFonts w:ascii="Times New Roman" w:hAnsi="Times New Roman"/>
                <w:color w:val="000000"/>
                <w:spacing w:val="-2"/>
              </w:rPr>
              <w:t>badaniu</w:t>
            </w:r>
            <w:r w:rsidR="007C23DA">
              <w:rPr>
                <w:rFonts w:ascii="Times New Roman" w:hAnsi="Times New Roman"/>
                <w:color w:val="000000"/>
                <w:spacing w:val="-2"/>
              </w:rPr>
              <w:t xml:space="preserve"> klinicznym</w:t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08B8C64D" w14:textId="359F93FE" w:rsidR="00910117" w:rsidRDefault="003B08A1" w:rsidP="00910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B08A1">
              <w:rPr>
                <w:rFonts w:ascii="Times New Roman" w:hAnsi="Times New Roman"/>
                <w:color w:val="000000"/>
                <w:spacing w:val="-2"/>
              </w:rPr>
              <w:t xml:space="preserve">Pacjenci są głównym beneficjentem badań klinicznych. Średnio w </w:t>
            </w:r>
            <w:r w:rsidRPr="003B08A1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jednym badaniu realizowanym w 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 xml:space="preserve">Rzeczypospolitej </w:t>
            </w:r>
            <w:r w:rsidRPr="003B08A1">
              <w:rPr>
                <w:rFonts w:ascii="Times New Roman" w:hAnsi="Times New Roman"/>
                <w:color w:val="000000"/>
                <w:spacing w:val="-2"/>
              </w:rPr>
              <w:t>Pols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3B08A1">
              <w:rPr>
                <w:rFonts w:ascii="Times New Roman" w:hAnsi="Times New Roman"/>
                <w:color w:val="000000"/>
                <w:spacing w:val="-2"/>
              </w:rPr>
              <w:t xml:space="preserve"> dotyczącym</w:t>
            </w:r>
            <w:r w:rsidR="007945B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B08A1">
              <w:rPr>
                <w:rFonts w:ascii="Times New Roman" w:hAnsi="Times New Roman"/>
                <w:color w:val="000000"/>
                <w:spacing w:val="-2"/>
              </w:rPr>
              <w:t xml:space="preserve">stosowania danego leku w pojedynczej jednostce chorobowej uczestniczy kilkadziesiąt osób. </w:t>
            </w:r>
          </w:p>
          <w:p w14:paraId="4161C204" w14:textId="460EDBE5" w:rsidR="00910117" w:rsidRPr="00910117" w:rsidRDefault="00910117" w:rsidP="00910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10117">
              <w:rPr>
                <w:rFonts w:ascii="Times New Roman" w:hAnsi="Times New Roman"/>
                <w:color w:val="000000"/>
                <w:spacing w:val="-2"/>
              </w:rPr>
              <w:t>Badania kliniczne stanowią szansę dla pacjentów, w szczególności tych cierpiących</w:t>
            </w:r>
            <w:r w:rsidR="00CE03C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z powodu ciężkich chorób, w leczeniu których wszystkie standardowo dostępne terapie</w:t>
            </w:r>
            <w:r w:rsidR="00E36B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zawiodły.</w:t>
            </w:r>
          </w:p>
          <w:p w14:paraId="5E5CE187" w14:textId="20770A38" w:rsidR="00910117" w:rsidRPr="00910117" w:rsidRDefault="00910117" w:rsidP="00910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10117">
              <w:rPr>
                <w:rFonts w:ascii="Times New Roman" w:hAnsi="Times New Roman"/>
                <w:color w:val="000000"/>
                <w:spacing w:val="-2"/>
              </w:rPr>
              <w:t>Pacjenci uczestniczący w badaniach klinicznych bezpłatnie korzystają z najnowocześniejszych</w:t>
            </w:r>
            <w:r w:rsidR="007945B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terapii oraz opieki medycznej o podwyższonym standardzie.</w:t>
            </w:r>
          </w:p>
          <w:p w14:paraId="2C44DC39" w14:textId="77777777" w:rsidR="00910117" w:rsidRPr="00910117" w:rsidRDefault="00910117" w:rsidP="00910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10117">
              <w:rPr>
                <w:rFonts w:ascii="Times New Roman" w:hAnsi="Times New Roman"/>
                <w:color w:val="000000"/>
                <w:spacing w:val="-2"/>
              </w:rPr>
              <w:t>Badania kliniczne są czasami jedyną szansą na dostęp do leku mogącego zapewnić</w:t>
            </w:r>
            <w:r w:rsidR="007945B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poprawę stanu zdrowia w przypadku chorób terminalnych.</w:t>
            </w:r>
          </w:p>
          <w:p w14:paraId="5A64463B" w14:textId="64C8E078" w:rsidR="00260F33" w:rsidRPr="00B37C80" w:rsidRDefault="00910117" w:rsidP="003B08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10117">
              <w:rPr>
                <w:rFonts w:ascii="Times New Roman" w:hAnsi="Times New Roman"/>
                <w:color w:val="000000"/>
                <w:spacing w:val="-2"/>
              </w:rPr>
              <w:t>Sam fakt wzięcia udziału w procesie kwalifikacji do badania klinicznego daje szansę</w:t>
            </w:r>
            <w:r w:rsidR="009A7D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na odbycie bezpłatnych badań przesiewowych, które często pozwalają na wczesną</w:t>
            </w:r>
            <w:r w:rsidR="007945B0">
              <w:rPr>
                <w:rFonts w:ascii="Times New Roman" w:hAnsi="Times New Roman"/>
                <w:color w:val="000000"/>
                <w:spacing w:val="-2"/>
              </w:rPr>
              <w:t xml:space="preserve"> d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iagnozę innych niebezpiecznych schorzeń.</w:t>
            </w:r>
          </w:p>
        </w:tc>
      </w:tr>
      <w:tr w:rsidR="00260F33" w:rsidRPr="008B4FE6" w14:paraId="29413195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64E9AF20" w14:textId="77777777" w:rsidR="00260F33" w:rsidRPr="008B4FE6" w:rsidRDefault="00B41D30" w:rsidP="00B41D3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lekarze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73F04C51" w14:textId="77777777" w:rsidR="00260F33" w:rsidRPr="00B37C80" w:rsidRDefault="00B53E93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140273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64ACBCA1" w14:textId="0F9AF679" w:rsidR="00260F33" w:rsidRPr="00B37C80" w:rsidRDefault="00B53E93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53E93">
              <w:rPr>
                <w:rFonts w:ascii="Times New Roman" w:hAnsi="Times New Roman"/>
                <w:color w:val="000000"/>
                <w:spacing w:val="-2"/>
              </w:rPr>
              <w:t>Centralny Rejestr Lekarzy R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 xml:space="preserve">zeczypospolitej </w:t>
            </w:r>
            <w:r w:rsidRPr="00B53E93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>olskiej</w:t>
            </w:r>
            <w:r w:rsidRPr="00B53E93">
              <w:rPr>
                <w:rFonts w:ascii="Times New Roman" w:hAnsi="Times New Roman"/>
                <w:color w:val="000000"/>
                <w:spacing w:val="-2"/>
              </w:rPr>
              <w:t xml:space="preserve"> Naczelnej Rady Lekarskiej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51CD5A68" w14:textId="77777777" w:rsidR="00F94BC3" w:rsidRDefault="00F94BC3" w:rsidP="00F94BC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Dla lekarzy uczestnictwo 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w badaniach klinicznych oznacza</w:t>
            </w:r>
            <w:r w:rsidR="009A7D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przede wszystkim możliwość zdobycia unikalnej wiedzy i gromadzenia doświadczenia</w:t>
            </w:r>
            <w:r w:rsidR="009A7D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w danej dziedzinie medycyny poprzez dostęp do nowych terapii, zwiększoną możliwość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wykorzystania nowoczesnej aparatury medycznej (np. diagnostyki PET), łatwiejszą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wymianę wiedzy w ramach sieci specjalistów i badaczy, 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a także dostęp do dodatkowych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materiałów i szkoleń.</w:t>
            </w:r>
          </w:p>
          <w:p w14:paraId="2B4FA387" w14:textId="30C5074B" w:rsidR="00260F33" w:rsidRPr="00B37C80" w:rsidRDefault="00F94BC3" w:rsidP="00910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4BC3">
              <w:rPr>
                <w:rFonts w:ascii="Times New Roman" w:hAnsi="Times New Roman"/>
                <w:color w:val="000000"/>
                <w:spacing w:val="-2"/>
              </w:rPr>
              <w:t>Specyfika badań klinicznych, u podstaw których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pozostaje najnowsza metodologia naukowa, oznacza, iż badacze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lastRenderedPageBreak/>
              <w:t>uzyskują dostęp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do najlepszych praktyk, metodyk oraz usyste</w:t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 xml:space="preserve">matyzowanych danych – a te mogą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być wykorzystywane w ich codziennej działalności, przyc</w:t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 xml:space="preserve">zyniając się do poprawy jakości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funkcjonowania systemu ochrony zdrowia w kraju.</w:t>
            </w:r>
          </w:p>
        </w:tc>
      </w:tr>
      <w:tr w:rsidR="00B41D30" w:rsidRPr="008B4FE6" w14:paraId="1B380CF0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4517FC2B" w14:textId="77777777" w:rsidR="00B41D30" w:rsidRDefault="00B41D30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lekarze dentyści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4431CBB2" w14:textId="77777777" w:rsidR="00B41D30" w:rsidRPr="00B37C80" w:rsidRDefault="00B53E93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37973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45604FD8" w14:textId="3F48D07E" w:rsidR="00B41D30" w:rsidRPr="00B37C80" w:rsidRDefault="00B53E93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53E93">
              <w:rPr>
                <w:rFonts w:ascii="Times New Roman" w:hAnsi="Times New Roman"/>
                <w:color w:val="000000"/>
                <w:spacing w:val="-2"/>
              </w:rPr>
              <w:t>Centralny Rejestr Lekarzy R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 xml:space="preserve">zeczypospolitej </w:t>
            </w:r>
            <w:r w:rsidRPr="00B53E93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>olskiej</w:t>
            </w:r>
            <w:r w:rsidRPr="00B53E93">
              <w:rPr>
                <w:rFonts w:ascii="Times New Roman" w:hAnsi="Times New Roman"/>
                <w:color w:val="000000"/>
                <w:spacing w:val="-2"/>
              </w:rPr>
              <w:t xml:space="preserve"> Naczelnej Rady Lekarskiej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1AE3E5B1" w14:textId="7D28FA1F" w:rsidR="00B41D30" w:rsidRDefault="00F94BC3" w:rsidP="00F94BC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4BC3">
              <w:rPr>
                <w:rFonts w:ascii="Times New Roman" w:hAnsi="Times New Roman"/>
                <w:color w:val="000000"/>
                <w:spacing w:val="-2"/>
              </w:rPr>
              <w:t>Dla lekarzy uczestnictwo w badaniach klinicznych oznacza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przede wszystkim możliwość zdobycia unikalnej wiedzy i gromadzenia doświadczenia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w danej dziedzinie medycyny przez dostęp do nowych terapii, zwiększoną możliwość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wykorzystania nowoczesnej aparatury medycznej (np. diagnostyki PET), łatwiejszą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wymianę wiedzy w ramach sieci specjalistów i badaczy, 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a także dostęp do dodatkowych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materiałów i szkoleń.</w:t>
            </w:r>
          </w:p>
          <w:p w14:paraId="03D19B1B" w14:textId="64032574" w:rsidR="00F94BC3" w:rsidRDefault="00F94BC3" w:rsidP="00F94BC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4BC3">
              <w:rPr>
                <w:rFonts w:ascii="Times New Roman" w:hAnsi="Times New Roman"/>
                <w:color w:val="000000"/>
                <w:spacing w:val="-2"/>
              </w:rPr>
              <w:t>Specyfika badań klinicznych, u podstaw których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pozostaje najnowsza metodologia naukowa, oznacza, iż badacze uzyskują dostęp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do najlepszych praktyk, metodyk oraz usyste</w:t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 xml:space="preserve">matyzowanych danych – a te mogą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być wykorzystywane w ich codziennej działalności, przyc</w:t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 xml:space="preserve">zyniając się do poprawy jakości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funkcjonowania systemu ochrony zdrowia w kraju.</w:t>
            </w:r>
          </w:p>
        </w:tc>
      </w:tr>
      <w:tr w:rsidR="00B41D30" w:rsidRPr="008B4FE6" w14:paraId="76F0582E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50551A85" w14:textId="77777777" w:rsidR="00B41D30" w:rsidRDefault="00B41D30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pielęgniarki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6BE73728" w14:textId="77777777" w:rsidR="00B41D30" w:rsidRPr="00B37C80" w:rsidRDefault="00497A50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295481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203BE761" w14:textId="77777777" w:rsidR="00B41D30" w:rsidRPr="00B37C80" w:rsidRDefault="00B53E93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53E93">
              <w:rPr>
                <w:rFonts w:ascii="Times New Roman" w:hAnsi="Times New Roman"/>
                <w:color w:val="000000"/>
                <w:spacing w:val="-2"/>
              </w:rPr>
              <w:t>Centralny Rejestr Pielęgniarek i Położnych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352832CE" w14:textId="13D7586D" w:rsidR="00F94BC3" w:rsidRDefault="00F94BC3" w:rsidP="00F94BC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Dla pielęgniarki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 uczestnictwo w badaniach klinicznych oznacza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przede wszystkim możliwość zdobycia unikalnej wiedzy i gromadzenia doświadczenia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w danej dziedzinie medycyny przez dostęp do nowych terapii, zwiększoną możliwość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wykorzystania nowoczesnej aparatury medycznej (np. diagnostyki PET), łatwiejszą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wymianę wiedzy w ramach sieci specjalistów i badaczy, 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a także dostęp do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lastRenderedPageBreak/>
              <w:t>dodatkowych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materiałów i szkoleń.</w:t>
            </w:r>
          </w:p>
          <w:p w14:paraId="2CEC0E61" w14:textId="67A194DE" w:rsidR="00B41D30" w:rsidRDefault="00F94BC3" w:rsidP="00F94BC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4BC3">
              <w:rPr>
                <w:rFonts w:ascii="Times New Roman" w:hAnsi="Times New Roman"/>
                <w:color w:val="000000"/>
                <w:spacing w:val="-2"/>
              </w:rPr>
              <w:t>Specyfika badań klinicznych, u podstaw których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pozostaje najnowsza metodologia naukowa, oznacza, iż badacze uzyskują dostęp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do najlepszych praktyk, metodyk oraz usyste</w:t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 xml:space="preserve">matyzowanych danych – a te mogą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być wykorzystywane w ich codziennej działalności, przyc</w:t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 xml:space="preserve">zyniając się do poprawy jakości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funkcjonowania systemu ochrony zdrowia w kraju.</w:t>
            </w:r>
          </w:p>
        </w:tc>
      </w:tr>
      <w:tr w:rsidR="00B41D30" w:rsidRPr="008B4FE6" w14:paraId="262CD915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7D73DEB5" w14:textId="77777777" w:rsidR="00B41D30" w:rsidRDefault="00B41D30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położne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6133CBA6" w14:textId="77777777" w:rsidR="00B41D30" w:rsidRPr="00B37C80" w:rsidRDefault="00497A50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38315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1B188FED" w14:textId="77777777" w:rsidR="00B41D30" w:rsidRPr="00B37C80" w:rsidRDefault="00B53E93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53E93">
              <w:rPr>
                <w:rFonts w:ascii="Times New Roman" w:hAnsi="Times New Roman"/>
                <w:color w:val="000000"/>
                <w:spacing w:val="-2"/>
              </w:rPr>
              <w:t>Centralny Rejestr Pielęgniarek i Położnych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3CB4BAB0" w14:textId="19B5AE23" w:rsidR="00F94BC3" w:rsidRDefault="00F94BC3" w:rsidP="00F94BC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Dla położnej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 uczestnictwo w badaniach klinicznych oznacza</w:t>
            </w:r>
            <w:r w:rsidR="00E36B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przede wszystkim możliwość zdobycia unikalnej wiedzy 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i gromadzenia doświadczenia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w danej dziedzinie medycyny przez dostęp do nowych terapii, zwiększoną możliwość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wykorzystania nowoczesnej aparatury medycznej (np. diagnostyki PET), łatwiejszą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wymianę wiedzy w ramach sieci specjalistów i badaczy, 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a także dostęp do dodatkowych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materiałów i szkoleń.</w:t>
            </w:r>
          </w:p>
          <w:p w14:paraId="7C6ABEF6" w14:textId="77C36907" w:rsidR="00B41D30" w:rsidRDefault="00F94BC3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4BC3">
              <w:rPr>
                <w:rFonts w:ascii="Times New Roman" w:hAnsi="Times New Roman"/>
                <w:color w:val="000000"/>
                <w:spacing w:val="-2"/>
              </w:rPr>
              <w:t>Specyfika badań klinicznych, u podstaw których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pozostaje najnowsza metodologia naukowa, oznacza, iż badacze uzyskują dostęp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do najlepszych praktyk, metodyk oraz usyste</w:t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 xml:space="preserve">matyzowanych danych – a te mogą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być wykorzystywane w ich codziennej działalności, przyc</w:t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 xml:space="preserve">zyniając się do poprawy jakości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funkcjonowania systemu ochrony </w:t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 xml:space="preserve">zdrowia 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br/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>w kraju.</w:t>
            </w:r>
          </w:p>
        </w:tc>
      </w:tr>
      <w:tr w:rsidR="00260F33" w:rsidRPr="008B4FE6" w14:paraId="144D148D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2190BBE5" w14:textId="77777777" w:rsidR="00260F33" w:rsidRPr="008B4FE6" w:rsidRDefault="00932B5A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sponsorzy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4884FBAF" w14:textId="77777777" w:rsidR="00260F33" w:rsidRPr="00B37C80" w:rsidRDefault="00D1785D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450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7956DA6F" w14:textId="45DEEE09" w:rsidR="0087655F" w:rsidRPr="002B238C" w:rsidRDefault="00D1785D" w:rsidP="00036095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 xml:space="preserve">rząd </w:t>
            </w: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 xml:space="preserve">ejestracji </w:t>
            </w: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 xml:space="preserve">roduktów </w:t>
            </w:r>
            <w:r>
              <w:rPr>
                <w:rFonts w:ascii="Times New Roman" w:hAnsi="Times New Roman"/>
                <w:color w:val="000000"/>
                <w:spacing w:val="-2"/>
              </w:rPr>
              <w:t>L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>eczniczych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87655F" w:rsidRPr="002B238C">
              <w:rPr>
                <w:rFonts w:ascii="Times New Roman" w:hAnsi="Times New Roman"/>
                <w:color w:val="000000"/>
              </w:rPr>
              <w:t>Wyrobów</w:t>
            </w:r>
          </w:p>
          <w:p w14:paraId="1406D85A" w14:textId="77777777" w:rsidR="0087655F" w:rsidRPr="002B238C" w:rsidRDefault="0087655F" w:rsidP="00036095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238C">
              <w:rPr>
                <w:rFonts w:ascii="Times New Roman" w:hAnsi="Times New Roman"/>
                <w:color w:val="000000"/>
              </w:rPr>
              <w:t>Medycznych i Produktów</w:t>
            </w:r>
          </w:p>
          <w:p w14:paraId="707262DB" w14:textId="65A6AA44" w:rsidR="0087655F" w:rsidRDefault="0087655F" w:rsidP="008765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B238C">
              <w:rPr>
                <w:rFonts w:ascii="Times New Roman" w:hAnsi="Times New Roman"/>
                <w:color w:val="000000"/>
              </w:rPr>
              <w:t xml:space="preserve">Biobójczych </w:t>
            </w:r>
            <w:r>
              <w:rPr>
                <w:rFonts w:ascii="Times New Roman" w:hAnsi="Times New Roman"/>
                <w:color w:val="000000"/>
                <w:spacing w:val="-2"/>
              </w:rPr>
              <w:t>(URPL)</w:t>
            </w:r>
          </w:p>
          <w:p w14:paraId="30B84AF5" w14:textId="4F071F49" w:rsidR="00260F33" w:rsidRPr="00B37C80" w:rsidRDefault="00D1785D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( na podstawie złożonych wniosków w  2019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29205F70" w14:textId="77777777" w:rsidR="00F94BC3" w:rsidRPr="00F94BC3" w:rsidRDefault="00F94BC3" w:rsidP="00F94BC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ponsorami badań klinicznych są najczęściej firmy farmaceutyczne,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firmy biotechnologiczne, instytucje akademickie i ośrodki badawcze finansujące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badania nad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lastRenderedPageBreak/>
              <w:t>opracowywanymi przez siebie przyszłymi produktami leczniczymi.</w:t>
            </w:r>
          </w:p>
          <w:p w14:paraId="59FA1BA2" w14:textId="1D4C4C47" w:rsidR="00F94BC3" w:rsidRDefault="00F94BC3" w:rsidP="00F94BC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4BC3">
              <w:rPr>
                <w:rFonts w:ascii="Times New Roman" w:hAnsi="Times New Roman"/>
                <w:color w:val="000000"/>
                <w:spacing w:val="-2"/>
              </w:rPr>
              <w:t>Firmy farmaceutyczne prowadzą badania kliniczne bezpośrednio bądź zlecają ich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przeprowadzenie niezależnym firmom</w:t>
            </w:r>
            <w:r w:rsidR="00890847">
              <w:rPr>
                <w:rFonts w:ascii="Times New Roman" w:hAnsi="Times New Roman"/>
                <w:color w:val="000000"/>
                <w:spacing w:val="-2"/>
              </w:rPr>
              <w:t>, tj.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84CCE">
              <w:rPr>
                <w:rFonts w:ascii="Times New Roman" w:hAnsi="Times New Roman"/>
                <w:color w:val="000000"/>
                <w:spacing w:val="-2"/>
              </w:rPr>
              <w:t>CRO (</w:t>
            </w:r>
            <w:proofErr w:type="spellStart"/>
            <w:r w:rsidR="00CC4579" w:rsidRPr="00CC4579">
              <w:rPr>
                <w:rFonts w:ascii="Times New Roman" w:hAnsi="Times New Roman"/>
                <w:color w:val="000000"/>
                <w:spacing w:val="-2"/>
              </w:rPr>
              <w:t>Contract</w:t>
            </w:r>
            <w:proofErr w:type="spellEnd"/>
            <w:r w:rsidR="00CC4579" w:rsidRPr="00CC457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="00CC4579" w:rsidRPr="00CC4579">
              <w:rPr>
                <w:rFonts w:ascii="Times New Roman" w:hAnsi="Times New Roman"/>
                <w:color w:val="000000"/>
                <w:spacing w:val="-2"/>
              </w:rPr>
              <w:t>Research</w:t>
            </w:r>
            <w:proofErr w:type="spellEnd"/>
            <w:r w:rsidR="00CC4579" w:rsidRPr="00CC4579">
              <w:rPr>
                <w:rFonts w:ascii="Times New Roman" w:hAnsi="Times New Roman"/>
                <w:color w:val="000000"/>
                <w:spacing w:val="-2"/>
              </w:rPr>
              <w:t xml:space="preserve"> Organization</w:t>
            </w:r>
            <w:r w:rsidR="00984CCE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B030EC9" w14:textId="77777777" w:rsidR="00260F33" w:rsidRDefault="00226789" w:rsidP="002267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26789">
              <w:rPr>
                <w:rFonts w:ascii="Times New Roman" w:hAnsi="Times New Roman"/>
                <w:color w:val="000000"/>
                <w:spacing w:val="-2"/>
              </w:rPr>
              <w:t>Możliwość rejestracji nowoczesnych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26789">
              <w:rPr>
                <w:rFonts w:ascii="Times New Roman" w:hAnsi="Times New Roman"/>
                <w:color w:val="000000"/>
                <w:spacing w:val="-2"/>
              </w:rPr>
              <w:t>produktów leczniczych po zakończeniu badania klinicznego</w:t>
            </w:r>
            <w:r w:rsidR="00F34D8A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F34D8A" w:rsidRPr="00F34D8A">
              <w:rPr>
                <w:rFonts w:ascii="Times New Roman" w:hAnsi="Times New Roman"/>
                <w:color w:val="000000"/>
                <w:spacing w:val="-2"/>
              </w:rPr>
              <w:t>Łatwiejsza procedura uzyskania pozwolenia na prowadzenie badania klinicznego</w:t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>, w tym wniesienie jednej konkretnie ustalonej opłaty za rozpatrzenie wniosku o pozwolenie na prowadzenie badania klinicznego.</w:t>
            </w:r>
          </w:p>
          <w:p w14:paraId="6F5B154D" w14:textId="69D9583B" w:rsidR="00F34D8A" w:rsidRPr="00B37C80" w:rsidRDefault="00F34D8A" w:rsidP="0022678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Konieczność opłacenia składki na </w:t>
            </w:r>
            <w:r w:rsidR="0023234F">
              <w:rPr>
                <w:rFonts w:ascii="Times New Roman" w:hAnsi="Times New Roman"/>
                <w:color w:val="000000"/>
                <w:spacing w:val="-2"/>
              </w:rPr>
              <w:t xml:space="preserve">NFZ </w:t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>i opłacenie ubezpieczenia</w:t>
            </w:r>
            <w:r w:rsidR="0023234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60F33" w:rsidRPr="008B4FE6" w14:paraId="3815E34A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6C1A1626" w14:textId="77777777" w:rsidR="00260F33" w:rsidRPr="008B4FE6" w:rsidRDefault="00932B5A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zakłady ubezpieczeń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3FD0A119" w14:textId="173C9091" w:rsidR="00260F33" w:rsidRPr="00B37C80" w:rsidRDefault="0036156E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7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41C10822" w14:textId="0982D708" w:rsidR="00260F33" w:rsidRPr="00B37C80" w:rsidRDefault="00517A59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Komisja Nadzoru Finansowego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2561E834" w14:textId="3F2A7FC1" w:rsidR="00260F33" w:rsidRPr="00B37C80" w:rsidRDefault="007C23DA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4C0B91">
              <w:rPr>
                <w:rFonts w:ascii="Times New Roman" w:hAnsi="Times New Roman"/>
                <w:color w:val="000000"/>
                <w:spacing w:val="-2"/>
              </w:rPr>
              <w:t>bezpieczenie badacza i sponsora. Wypłata odszkodowania</w:t>
            </w:r>
            <w:r w:rsidR="0023234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60F33" w:rsidRPr="008B4FE6" w14:paraId="16933170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3ABD63E7" w14:textId="77777777" w:rsidR="002B238C" w:rsidRPr="002B238C" w:rsidRDefault="002B238C" w:rsidP="002B238C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238C">
              <w:rPr>
                <w:rFonts w:ascii="Times New Roman" w:hAnsi="Times New Roman"/>
                <w:color w:val="000000"/>
              </w:rPr>
              <w:t>instytuty badawcze</w:t>
            </w:r>
          </w:p>
          <w:p w14:paraId="0EAE5C7A" w14:textId="77777777" w:rsidR="00260F33" w:rsidRPr="008B4FE6" w:rsidRDefault="00260F33" w:rsidP="002B238C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2" w:type="dxa"/>
            <w:gridSpan w:val="7"/>
            <w:shd w:val="clear" w:color="auto" w:fill="auto"/>
          </w:tcPr>
          <w:p w14:paraId="521E79B4" w14:textId="77777777" w:rsidR="00260F33" w:rsidRPr="00B37C80" w:rsidRDefault="00226789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9A7D20">
              <w:rPr>
                <w:rFonts w:ascii="Times New Roman" w:hAnsi="Times New Roman"/>
                <w:color w:val="000000"/>
                <w:spacing w:val="-2"/>
              </w:rPr>
              <w:t>4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762FCFDF" w14:textId="77777777" w:rsidR="00260F33" w:rsidRPr="00B37C80" w:rsidRDefault="008C2FFE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Ministerstwo Zdrowia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234683EB" w14:textId="77777777" w:rsidR="00260F33" w:rsidRDefault="00226789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Możliwość uzyskania dofinansowania na prowadzenie niekomercyjnych badań klinicznych</w:t>
            </w:r>
            <w:r w:rsidR="0091011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33F830B" w14:textId="77777777" w:rsidR="00910117" w:rsidRPr="00B37C80" w:rsidRDefault="00910117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10117">
              <w:rPr>
                <w:rFonts w:ascii="Times New Roman" w:hAnsi="Times New Roman"/>
                <w:color w:val="000000"/>
                <w:spacing w:val="-2"/>
              </w:rPr>
              <w:t xml:space="preserve">Dane i informacje uzyskane 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trakcie przeprowadzonych badań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klinicznych stanowią ważny wkład w rozwój wiedzy me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dycznej w zakresie skuteczności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i bezpieczeństwa farmakoterapii. Rozwój przedmiotowej wiedzy nie jest zatem zw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iązany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tylko z pozytywnie zakończonymi badaniami. Już sam fakt prowadzenia badania pozwala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 xml:space="preserve">na lepsze zrozumienie natury 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i mechanizmów poszczególnych schorzeń, co przyczynia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się do skuteczniejszego ich leczenia, także w ramach już istniejących i powszechnie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dostępnych terapii.</w:t>
            </w:r>
          </w:p>
        </w:tc>
      </w:tr>
      <w:tr w:rsidR="00D66832" w:rsidRPr="008B4FE6" w14:paraId="75B299F9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27DC5381" w14:textId="77777777" w:rsidR="00D66832" w:rsidRPr="002B238C" w:rsidRDefault="00D66832" w:rsidP="00D6683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Uczelnie medyczne </w:t>
            </w:r>
            <w:r w:rsidR="00B5063D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i uczelnie prowadzące działalność dydaktyczną </w:t>
            </w:r>
            <w:r w:rsidR="00B5063D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i badawczą w dziedzinie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nauk medycznych i nauk </w:t>
            </w:r>
            <w:r w:rsidR="00B5063D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o zdrowiu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4A7C5015" w14:textId="0027E97B" w:rsidR="00D66832" w:rsidRDefault="00B5063D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2</w:t>
            </w:r>
            <w:r w:rsidR="00B71F09">
              <w:rPr>
                <w:rFonts w:ascii="Times New Roman" w:hAnsi="Times New Roman"/>
                <w:color w:val="000000"/>
                <w:spacing w:val="-2"/>
              </w:rPr>
              <w:t>2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1E1915C4" w14:textId="77777777" w:rsidR="00D66832" w:rsidRDefault="00B5063D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Ministerstwo Zdrowia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4364B567" w14:textId="77777777" w:rsidR="00D66832" w:rsidRDefault="00D66832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Możliwość uzyskania dofinansowania na prowadzenie niekomercyjnych badań klinicznych.</w:t>
            </w:r>
          </w:p>
          <w:p w14:paraId="099008E9" w14:textId="77777777" w:rsidR="00D66832" w:rsidRDefault="00D66832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10117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Dane i informacje uzyskane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trakcie przeprowadzonych badań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klinicznych stanowią ważny wkład w rozwój wiedzy me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dycznej w zakresie skuteczności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i bezpieczeństwa farmakoterapii. Rozwój przedmiotowej wiedzy nie jest zatem zw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iązany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tylko z pozytywnie zakończonymi badaniami. Już sam fakt prowadzenia badania pozwala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 xml:space="preserve">na lepsze zrozumienie natury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i mechanizmów poszczególnych schorzeń, co przyczynia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się do skuteczniejszego ich leczenia, także w ramach już istniejących i powszechnie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10117">
              <w:rPr>
                <w:rFonts w:ascii="Times New Roman" w:hAnsi="Times New Roman"/>
                <w:color w:val="000000"/>
                <w:spacing w:val="-2"/>
              </w:rPr>
              <w:t>dostępnych terapii.</w:t>
            </w:r>
          </w:p>
        </w:tc>
      </w:tr>
      <w:tr w:rsidR="00D66832" w:rsidRPr="008B4FE6" w14:paraId="0140A3C1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5FC9E2A9" w14:textId="77777777" w:rsidR="00D66832" w:rsidRPr="002B238C" w:rsidRDefault="00D66832" w:rsidP="00D6683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Placówki ochrony zdrowia uczestniczące w badaniach klinicznych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5F095B50" w14:textId="77777777" w:rsidR="00D66832" w:rsidRDefault="00D66832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1400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0500F7D0" w14:textId="521AB99B" w:rsidR="00D66832" w:rsidRPr="00B37C80" w:rsidRDefault="00D66832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C2FFE">
              <w:rPr>
                <w:rFonts w:ascii="Times New Roman" w:hAnsi="Times New Roman"/>
                <w:color w:val="000000"/>
                <w:spacing w:val="-2"/>
              </w:rPr>
              <w:t xml:space="preserve">Wpływ na gospodarkę i potencjał rozwoju branży innowacyjnych firm farmaceutycznych w 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 xml:space="preserve">Rzeczypospolitej </w:t>
            </w:r>
            <w:r w:rsidRPr="008C2FFE">
              <w:rPr>
                <w:rFonts w:ascii="Times New Roman" w:hAnsi="Times New Roman"/>
                <w:color w:val="000000"/>
                <w:spacing w:val="-2"/>
              </w:rPr>
              <w:t>Pols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8C2FFE">
              <w:rPr>
                <w:rFonts w:ascii="Times New Roman" w:hAnsi="Times New Roman"/>
                <w:color w:val="000000"/>
                <w:spacing w:val="-2"/>
              </w:rPr>
              <w:t xml:space="preserve">, Raport przygotowany przez PEX </w:t>
            </w:r>
            <w:proofErr w:type="spellStart"/>
            <w:r w:rsidRPr="008C2FFE">
              <w:rPr>
                <w:rFonts w:ascii="Times New Roman" w:hAnsi="Times New Roman"/>
                <w:color w:val="000000"/>
                <w:spacing w:val="-2"/>
              </w:rPr>
              <w:t>PharmaSequence</w:t>
            </w:r>
            <w:proofErr w:type="spellEnd"/>
            <w:r w:rsidRPr="008C2FFE">
              <w:rPr>
                <w:rFonts w:ascii="Times New Roman" w:hAnsi="Times New Roman"/>
                <w:color w:val="000000"/>
                <w:spacing w:val="-2"/>
              </w:rPr>
              <w:t xml:space="preserve"> dla Związku Pracodawców Innowacyjnych Firm Farmaceut</w:t>
            </w:r>
            <w:r>
              <w:rPr>
                <w:rFonts w:ascii="Times New Roman" w:hAnsi="Times New Roman"/>
                <w:color w:val="000000"/>
                <w:spacing w:val="-2"/>
              </w:rPr>
              <w:t>ycznych INFARMA, Warszawa, 2017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112FA1AF" w14:textId="4F849A44" w:rsidR="00D66832" w:rsidRPr="00B41D30" w:rsidRDefault="00D66832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41D30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 xml:space="preserve">Rzeczypospolitej </w:t>
            </w:r>
            <w:r w:rsidRPr="00B41D30">
              <w:rPr>
                <w:rFonts w:ascii="Times New Roman" w:hAnsi="Times New Roman"/>
                <w:color w:val="000000"/>
                <w:spacing w:val="-2"/>
              </w:rPr>
              <w:t>Pols</w:t>
            </w:r>
            <w:r w:rsidR="00371C26"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B41D30">
              <w:rPr>
                <w:rFonts w:ascii="Times New Roman" w:hAnsi="Times New Roman"/>
                <w:color w:val="000000"/>
                <w:spacing w:val="-2"/>
              </w:rPr>
              <w:t xml:space="preserve"> w badaniach klinicznych uczestnic</w:t>
            </w:r>
            <w:r w:rsidR="00196DFA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B41D30">
              <w:rPr>
                <w:rFonts w:ascii="Times New Roman" w:hAnsi="Times New Roman"/>
                <w:color w:val="000000"/>
                <w:spacing w:val="-2"/>
              </w:rPr>
              <w:t xml:space="preserve">y ponad 1400 ośrodków. Współpraca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 xml:space="preserve">z firmą farmaceutyczną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 xml:space="preserve">w ramach </w:t>
            </w:r>
            <w:r w:rsidRPr="00B41D30">
              <w:rPr>
                <w:rFonts w:ascii="Times New Roman" w:hAnsi="Times New Roman"/>
                <w:color w:val="000000"/>
                <w:spacing w:val="-2"/>
              </w:rPr>
              <w:t>badania klinicznego przynosi ośrodkowi wielowymiarowe korzyści:</w:t>
            </w:r>
          </w:p>
          <w:p w14:paraId="6B5A761C" w14:textId="0CEC4F01" w:rsidR="00D66832" w:rsidRPr="00B41D30" w:rsidRDefault="0087655F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F27FB">
              <w:rPr>
                <w:rFonts w:ascii="Times New Roman" w:hAnsi="Times New Roman"/>
              </w:rPr>
              <w:t>–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66832" w:rsidRPr="00B41D30">
              <w:rPr>
                <w:rFonts w:ascii="Times New Roman" w:hAnsi="Times New Roman"/>
                <w:color w:val="000000"/>
                <w:spacing w:val="-2"/>
              </w:rPr>
              <w:t>dodatkowe źródło przychodów finansowych,</w:t>
            </w:r>
          </w:p>
          <w:p w14:paraId="08721194" w14:textId="609F862B" w:rsidR="00D66832" w:rsidRPr="00B41D30" w:rsidRDefault="0087655F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F27FB">
              <w:rPr>
                <w:rFonts w:ascii="Times New Roman" w:hAnsi="Times New Roman"/>
              </w:rPr>
              <w:t>–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66832" w:rsidRPr="00B41D30">
              <w:rPr>
                <w:rFonts w:ascii="Times New Roman" w:hAnsi="Times New Roman"/>
                <w:color w:val="000000"/>
                <w:spacing w:val="-2"/>
              </w:rPr>
              <w:t>wizerunek jednostki nowoczesnej, uczestniczącej w międzynarodowych projektach,</w:t>
            </w:r>
          </w:p>
          <w:p w14:paraId="1B19028E" w14:textId="62EB1149" w:rsidR="00D66832" w:rsidRDefault="0087655F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F27FB">
              <w:rPr>
                <w:rFonts w:ascii="Times New Roman" w:hAnsi="Times New Roman"/>
              </w:rPr>
              <w:t>–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66832" w:rsidRPr="00B41D30">
              <w:rPr>
                <w:rFonts w:ascii="Times New Roman" w:hAnsi="Times New Roman"/>
                <w:color w:val="000000"/>
                <w:spacing w:val="-2"/>
              </w:rPr>
              <w:t>inwest</w:t>
            </w:r>
            <w:r w:rsidR="00D66832">
              <w:rPr>
                <w:rFonts w:ascii="Times New Roman" w:hAnsi="Times New Roman"/>
                <w:color w:val="000000"/>
                <w:spacing w:val="-2"/>
              </w:rPr>
              <w:t>ycja w kapitał ludzki placówki,</w:t>
            </w:r>
          </w:p>
          <w:p w14:paraId="2983C65F" w14:textId="6F030C69" w:rsidR="00D66832" w:rsidRPr="00B41D30" w:rsidRDefault="0087655F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F27FB">
              <w:rPr>
                <w:rFonts w:ascii="Times New Roman" w:hAnsi="Times New Roman"/>
              </w:rPr>
              <w:t>–</w:t>
            </w:r>
            <w:r w:rsidR="00D66832" w:rsidRPr="00B41D30">
              <w:rPr>
                <w:rFonts w:ascii="Times New Roman" w:hAnsi="Times New Roman"/>
                <w:color w:val="000000"/>
                <w:spacing w:val="-2"/>
              </w:rPr>
              <w:t xml:space="preserve"> inwestycja w infrastrukturę.</w:t>
            </w:r>
          </w:p>
          <w:p w14:paraId="3F5DFA9C" w14:textId="77777777" w:rsidR="00D66832" w:rsidRDefault="00D66832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41D30">
              <w:rPr>
                <w:rFonts w:ascii="Times New Roman" w:hAnsi="Times New Roman"/>
                <w:color w:val="000000"/>
                <w:spacing w:val="-2"/>
              </w:rPr>
              <w:t xml:space="preserve">Dodatkowe dochody z tytułu realizacji badań klinicznych umożliwiają wielu szpitalom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poprawę ich wyniku finansowego, </w:t>
            </w:r>
            <w:r w:rsidRPr="00B41D30">
              <w:rPr>
                <w:rFonts w:ascii="Times New Roman" w:hAnsi="Times New Roman"/>
                <w:color w:val="000000"/>
                <w:spacing w:val="-2"/>
              </w:rPr>
              <w:t>pozytywnie wpływając na redukcję zadłużenia publicznych placówek ochrony zdrowia. Inwestycje w infrastrukturę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B41D30">
              <w:rPr>
                <w:rFonts w:ascii="Times New Roman" w:hAnsi="Times New Roman"/>
                <w:color w:val="000000"/>
                <w:spacing w:val="-2"/>
              </w:rPr>
              <w:t>i personel powodują wzrost jakości świadczonych usług.</w:t>
            </w:r>
          </w:p>
          <w:p w14:paraId="1364132F" w14:textId="661128E7" w:rsidR="00D66832" w:rsidRDefault="00D66832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4BC3">
              <w:rPr>
                <w:rFonts w:ascii="Times New Roman" w:hAnsi="Times New Roman"/>
                <w:color w:val="000000"/>
                <w:spacing w:val="-2"/>
              </w:rPr>
              <w:t>S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zpitale otrzymują wynagrodzenie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za prowadzenie badań klinicznych. Należy zaznaczyć, że jes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t to właściwie jedno z niewielu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dostępnych źródeł finansowania działalności szpitali w 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 xml:space="preserve">Rzeczypospolitej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lastRenderedPageBreak/>
              <w:t>Pols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 niezwiązanych z posiadaniem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kontraktu z NFZ. W rezultacie szpitale dysponują większą sumą środków </w:t>
            </w:r>
            <w:r w:rsidR="00196DFA">
              <w:rPr>
                <w:rFonts w:ascii="Times New Roman" w:hAnsi="Times New Roman"/>
                <w:color w:val="000000"/>
                <w:spacing w:val="-2"/>
              </w:rPr>
              <w:t>finansowych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które mogą przeznaczyć na zakup nowoczesnej technologii, wymianę infrastruktury itd.</w:t>
            </w:r>
          </w:p>
        </w:tc>
      </w:tr>
      <w:tr w:rsidR="00D66832" w:rsidRPr="008B4FE6" w14:paraId="0852D8C7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3B063CCA" w14:textId="5F4BB300" w:rsidR="0087655F" w:rsidRDefault="0087655F" w:rsidP="00D6683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B7C3D24" w14:textId="58D33E34" w:rsidR="00D66832" w:rsidRPr="002B238C" w:rsidRDefault="0087655F" w:rsidP="00D6683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URPL 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28426CF0" w14:textId="77777777" w:rsidR="00D66832" w:rsidRPr="00B37C80" w:rsidRDefault="00D66832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175A0B62" w14:textId="77777777" w:rsidR="00D66832" w:rsidRPr="00B37C80" w:rsidRDefault="00D66832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URPL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74735A0F" w14:textId="761EEE40" w:rsidR="00955480" w:rsidRPr="00B37C80" w:rsidRDefault="00D66832" w:rsidP="0095548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Wydawanie pozwolenia na prowadzenie badania klinicznego i dokonywanie</w:t>
            </w:r>
            <w:r w:rsidRPr="004C0B91">
              <w:rPr>
                <w:rFonts w:ascii="Times New Roman" w:hAnsi="Times New Roman"/>
                <w:color w:val="000000"/>
                <w:spacing w:val="-2"/>
              </w:rPr>
              <w:t xml:space="preserve"> wpisu badania klinicznego do Centralnej Ewidencji Badań Klinicznych.</w:t>
            </w:r>
          </w:p>
        </w:tc>
      </w:tr>
      <w:tr w:rsidR="00D66832" w:rsidRPr="008B4FE6" w14:paraId="20AD36F9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6D531059" w14:textId="77777777" w:rsidR="00D66832" w:rsidRPr="002B238C" w:rsidRDefault="00D66832" w:rsidP="00D6683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238C">
              <w:rPr>
                <w:rFonts w:ascii="Times New Roman" w:hAnsi="Times New Roman"/>
                <w:color w:val="000000"/>
              </w:rPr>
              <w:t>organizacje pacje</w:t>
            </w:r>
            <w:r>
              <w:rPr>
                <w:rFonts w:ascii="Times New Roman" w:hAnsi="Times New Roman"/>
                <w:color w:val="000000"/>
              </w:rPr>
              <w:t>ntów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26A7202B" w14:textId="77777777" w:rsidR="00D66832" w:rsidRPr="00B37C80" w:rsidRDefault="00D66832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5300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7489D295" w14:textId="6EB6DB2F" w:rsidR="00D66832" w:rsidRPr="00B37C80" w:rsidRDefault="00D66832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Raport Organizacje Pacjentów w Polsce – 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>s</w:t>
            </w:r>
            <w:r>
              <w:rPr>
                <w:rFonts w:ascii="Times New Roman" w:hAnsi="Times New Roman"/>
                <w:color w:val="000000"/>
                <w:spacing w:val="-2"/>
              </w:rPr>
              <w:t>truktura, aktywność potrzeby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66608A79" w14:textId="3B5B0F7F" w:rsidR="00D66832" w:rsidRPr="00B37C80" w:rsidRDefault="00D66832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Udział w komisjach bioetycznych. Wpis na listę organizacji pacjentów, które będą mogły brać udział w ocenie etycznej wniosków o pozwolenie na prowadzenie badania klinicznego</w:t>
            </w:r>
            <w:r w:rsidR="00196DF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D66832" w:rsidRPr="008B4FE6" w14:paraId="1B28E511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3022C154" w14:textId="77777777" w:rsidR="00D66832" w:rsidRPr="002B238C" w:rsidRDefault="00D66832" w:rsidP="00D6683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komisje bioetyczne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405F894F" w14:textId="77777777" w:rsidR="00D66832" w:rsidRPr="00B37C80" w:rsidRDefault="00D66832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59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2C2374B7" w14:textId="77777777" w:rsidR="00D66832" w:rsidRPr="00B37C80" w:rsidRDefault="00D66832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własne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6741623A" w14:textId="77777777" w:rsidR="00D66832" w:rsidRDefault="00D66832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iezależne instytucje wyrażające opinię o projekcie bada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nia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klinicznego i kontrolujące jego przebieg oraz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zapewniające ochronę praw osób </w:t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 xml:space="preserve">uczestniczących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F94BC3">
              <w:rPr>
                <w:rFonts w:ascii="Times New Roman" w:hAnsi="Times New Roman"/>
                <w:color w:val="000000"/>
                <w:spacing w:val="-2"/>
              </w:rPr>
              <w:t>w badaniu.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Opiniowanie wniosków o wydanie pozwolenia na prowadzenie badania klinicznego. Obowiązek uzyskania wpisu na listę uprawnionych komisji bioetycznych.</w:t>
            </w:r>
          </w:p>
          <w:p w14:paraId="52622B6D" w14:textId="77777777" w:rsidR="00D66832" w:rsidRPr="00B37C80" w:rsidRDefault="00D66832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Dochód z opłat za ocenę etyczną wniosku.</w:t>
            </w:r>
          </w:p>
        </w:tc>
      </w:tr>
      <w:tr w:rsidR="00D66832" w:rsidRPr="008B4FE6" w14:paraId="607BAB5E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0AE8894E" w14:textId="77777777" w:rsidR="00D66832" w:rsidRPr="002B238C" w:rsidRDefault="00D66832" w:rsidP="00D6683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238C">
              <w:rPr>
                <w:rFonts w:ascii="Times New Roman" w:hAnsi="Times New Roman"/>
                <w:color w:val="000000"/>
              </w:rPr>
              <w:t>sądy powszechne</w:t>
            </w:r>
          </w:p>
          <w:p w14:paraId="15E83DCB" w14:textId="77777777" w:rsidR="00D66832" w:rsidRPr="002B238C" w:rsidRDefault="00D66832" w:rsidP="00D6683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238C">
              <w:rPr>
                <w:rFonts w:ascii="Times New Roman" w:hAnsi="Times New Roman"/>
                <w:color w:val="000000"/>
              </w:rPr>
              <w:t>(rejonowe, okręgowe,</w:t>
            </w:r>
          </w:p>
          <w:p w14:paraId="09976107" w14:textId="77777777" w:rsidR="00D66832" w:rsidRDefault="00D66832" w:rsidP="00D6683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238C">
              <w:rPr>
                <w:rFonts w:ascii="Times New Roman" w:hAnsi="Times New Roman"/>
                <w:color w:val="000000"/>
              </w:rPr>
              <w:t>apelacyjne)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0F71F993" w14:textId="77777777" w:rsidR="00D66832" w:rsidRPr="00B37C80" w:rsidRDefault="00D66832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374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22804070" w14:textId="77777777" w:rsidR="00D66832" w:rsidRPr="00B37C80" w:rsidRDefault="00D66832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Ministerstwo Sprawiedliwości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2D34DFD5" w14:textId="77777777" w:rsidR="00D66832" w:rsidRPr="00B37C80" w:rsidRDefault="00D66832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2B238C">
              <w:rPr>
                <w:rFonts w:ascii="Times New Roman" w:hAnsi="Times New Roman"/>
                <w:color w:val="000000"/>
                <w:spacing w:val="-2"/>
              </w:rPr>
              <w:t>ozpatrywanie spraw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B238C">
              <w:rPr>
                <w:rFonts w:ascii="Times New Roman" w:hAnsi="Times New Roman"/>
                <w:color w:val="000000"/>
                <w:spacing w:val="-2"/>
              </w:rPr>
              <w:t>sądowych związanych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>z odszkodowaniem.</w:t>
            </w:r>
          </w:p>
        </w:tc>
      </w:tr>
      <w:tr w:rsidR="00D66832" w:rsidRPr="008B4FE6" w14:paraId="0342D1DF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036A2FCF" w14:textId="77777777" w:rsidR="00D66832" w:rsidRPr="002B238C" w:rsidRDefault="00D66832" w:rsidP="00D6683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Rzecznik Praw Pacjenta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1BB8D8F1" w14:textId="77777777" w:rsidR="00D66832" w:rsidRDefault="00D66832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1D6746A2" w14:textId="77777777" w:rsidR="00D66832" w:rsidRDefault="00D66832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Rzecznik Praw Pacjenta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1E0D675B" w14:textId="77777777" w:rsidR="00D66832" w:rsidRDefault="00D66832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Prowadzenie rejestru organizacji pacjentów.</w:t>
            </w:r>
          </w:p>
        </w:tc>
      </w:tr>
      <w:tr w:rsidR="002A3EB4" w:rsidRPr="008B4FE6" w14:paraId="21EDB2E0" w14:textId="77777777" w:rsidTr="006B4A4F">
        <w:trPr>
          <w:trHeight w:val="3542"/>
        </w:trPr>
        <w:tc>
          <w:tcPr>
            <w:tcW w:w="2667" w:type="dxa"/>
            <w:gridSpan w:val="3"/>
            <w:shd w:val="clear" w:color="auto" w:fill="auto"/>
          </w:tcPr>
          <w:p w14:paraId="357A1A40" w14:textId="77777777" w:rsidR="002A3EB4" w:rsidRDefault="002A3EB4" w:rsidP="00D6683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Prezes Agencji Badań Medycznych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284DD29C" w14:textId="77777777" w:rsidR="002A3EB4" w:rsidRDefault="002A3EB4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4C956E7B" w14:textId="77777777" w:rsidR="002A3EB4" w:rsidRDefault="002A3EB4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Agencja Badań Medycznych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4D2F9B03" w14:textId="3B1D602B" w:rsidR="002A3EB4" w:rsidRDefault="002A3EB4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1) 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>o</w:t>
            </w:r>
            <w:r>
              <w:rPr>
                <w:rFonts w:ascii="Times New Roman" w:hAnsi="Times New Roman"/>
                <w:color w:val="000000"/>
                <w:spacing w:val="-2"/>
              </w:rPr>
              <w:t>bsługa administracyjna Naczelnej Komisji Bioetycznej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65A927D" w14:textId="055EC022" w:rsidR="002A3EB4" w:rsidRDefault="002A3EB4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2) 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>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bsługa Funduszu Ochrony </w:t>
            </w:r>
            <w:r w:rsidRPr="002D0FFF">
              <w:rPr>
                <w:rFonts w:ascii="Times New Roman" w:hAnsi="Times New Roman"/>
                <w:color w:val="000000"/>
                <w:spacing w:val="-2"/>
              </w:rPr>
              <w:t>Uczestników Badań Klinicznych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>;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BB29B6D" w14:textId="0046118E" w:rsidR="002A3EB4" w:rsidRDefault="002A3EB4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3) 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>w</w:t>
            </w:r>
            <w:r>
              <w:rPr>
                <w:rFonts w:ascii="Times New Roman" w:hAnsi="Times New Roman"/>
                <w:color w:val="000000"/>
                <w:spacing w:val="-2"/>
              </w:rPr>
              <w:t>ypłata świadczeń na rzecz osób, które odniosły szkodę w związku z udziałem w badaniu klinicznym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>;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BBC4D49" w14:textId="1B1C16D5" w:rsidR="002A3EB4" w:rsidRDefault="002A3EB4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4) 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>p</w:t>
            </w:r>
            <w:r>
              <w:rPr>
                <w:rFonts w:ascii="Times New Roman" w:hAnsi="Times New Roman"/>
                <w:color w:val="000000"/>
                <w:spacing w:val="-2"/>
              </w:rPr>
              <w:t>owoływanie komisji w celu ustalenia związku między szkodą o udziałem w badaniu klinicznym.</w:t>
            </w:r>
          </w:p>
        </w:tc>
      </w:tr>
      <w:tr w:rsidR="00D66832" w:rsidRPr="008B4FE6" w14:paraId="0A184239" w14:textId="77777777" w:rsidTr="006B4A4F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33BCBA40" w14:textId="77777777" w:rsidR="00D66832" w:rsidRPr="002B238C" w:rsidRDefault="00D66832" w:rsidP="00D6683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2322" w:type="dxa"/>
            <w:gridSpan w:val="7"/>
            <w:shd w:val="clear" w:color="auto" w:fill="auto"/>
          </w:tcPr>
          <w:p w14:paraId="6A41FCDE" w14:textId="77777777" w:rsidR="00D66832" w:rsidRDefault="00D66832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239" w:type="dxa"/>
            <w:gridSpan w:val="12"/>
            <w:shd w:val="clear" w:color="auto" w:fill="auto"/>
          </w:tcPr>
          <w:p w14:paraId="008EC5C4" w14:textId="77777777" w:rsidR="00D66832" w:rsidRDefault="00D66832" w:rsidP="000360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</w:p>
        </w:tc>
        <w:tc>
          <w:tcPr>
            <w:tcW w:w="2716" w:type="dxa"/>
            <w:gridSpan w:val="6"/>
            <w:shd w:val="clear" w:color="auto" w:fill="auto"/>
          </w:tcPr>
          <w:p w14:paraId="0045A003" w14:textId="3CD8FE5C" w:rsidR="00D66832" w:rsidRPr="002B238C" w:rsidRDefault="00D66832" w:rsidP="00D668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130CD">
              <w:rPr>
                <w:rFonts w:ascii="Times New Roman" w:hAnsi="Times New Roman"/>
                <w:color w:val="000000"/>
                <w:spacing w:val="-2"/>
              </w:rPr>
              <w:t xml:space="preserve">W przypadku niektórych dziedzin terapeutycznych, zwłaszcza takich, w których stosowanie innowacyjnych </w:t>
            </w:r>
            <w:r w:rsidRPr="009130CD">
              <w:rPr>
                <w:rFonts w:ascii="Times New Roman" w:hAnsi="Times New Roman"/>
                <w:color w:val="000000"/>
                <w:spacing w:val="-2"/>
              </w:rPr>
              <w:lastRenderedPageBreak/>
              <w:t>technologii medycznych, w szczególności leków, wiąże się z wysokim kosztem, badania klini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czne terapeutyczne prowadzone w </w:t>
            </w:r>
            <w:r w:rsidRPr="009130CD">
              <w:rPr>
                <w:rFonts w:ascii="Times New Roman" w:hAnsi="Times New Roman"/>
                <w:color w:val="000000"/>
                <w:spacing w:val="-2"/>
              </w:rPr>
              <w:t xml:space="preserve">ogólnodostępnych szpitalach i poradniach, udzielających świadczeń zdrowotnych stają się zauważalną opcją dostępu do takich technologii, a przez to odciążeniem czy uzupełnieniem możliwości terapeutycznych dostępnych w ramach </w:t>
            </w:r>
            <w:r w:rsidR="0087655F"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Pr="009130CD">
              <w:rPr>
                <w:rFonts w:ascii="Times New Roman" w:hAnsi="Times New Roman"/>
                <w:color w:val="000000"/>
                <w:spacing w:val="-2"/>
              </w:rPr>
              <w:t xml:space="preserve">. Dzieje się tak dzięki nadrzędnej zasadzie (usankcjonowanej prawem polskim i europejskim) nakazującej sponsorom badań klinicznych dostarczać nieodpłatnie badany produkt leczniczy, a także ewentualny produkt czy produkty porównawcze (komparatory), choćby były dostępne w obrocie. Co więcej, koszt procedur diagnostycznych (leczniczych, profilaktycznych) objętych protokołem badania również pokrywa sponsor. Najbardziej wyrazistym przykładem takiej korzyści systemowej jest onkologia i terapie drogimi innowacyjnymi lekami biologicznymi (leczenie </w:t>
            </w:r>
            <w:proofErr w:type="spellStart"/>
            <w:r w:rsidRPr="009130CD">
              <w:rPr>
                <w:rFonts w:ascii="Times New Roman" w:hAnsi="Times New Roman"/>
                <w:color w:val="000000"/>
                <w:spacing w:val="-2"/>
              </w:rPr>
              <w:t>immuno</w:t>
            </w:r>
            <w:proofErr w:type="spellEnd"/>
            <w:r w:rsidRPr="009130CD">
              <w:rPr>
                <w:rFonts w:ascii="Times New Roman" w:hAnsi="Times New Roman"/>
                <w:color w:val="000000"/>
                <w:spacing w:val="-2"/>
              </w:rPr>
              <w:t xml:space="preserve">-onkologiczne). Według szacunków branżowych za 2013 r., dzięki prowadzonym terapeutycznym badaniom klinicznym oszczędności płatnika w wydatkach na leczenie onkologiczne wyniosły między 160 a 600 mln </w:t>
            </w:r>
            <w:r w:rsidR="00DD3AE1">
              <w:rPr>
                <w:rFonts w:ascii="Times New Roman" w:hAnsi="Times New Roman"/>
                <w:color w:val="000000"/>
                <w:spacing w:val="-2"/>
              </w:rPr>
              <w:t>zł</w:t>
            </w:r>
            <w:r w:rsidRPr="009130CD">
              <w:rPr>
                <w:rFonts w:ascii="Times New Roman" w:hAnsi="Times New Roman"/>
                <w:color w:val="000000"/>
                <w:spacing w:val="-2"/>
              </w:rPr>
              <w:t xml:space="preserve">, co stanowiło od 3% do 11% całkowitych wydatków na onkologię. Odciążeniem kosztowym co do zasady są również coraz bardziej liczne badania kliniczne (fazy III) leków </w:t>
            </w:r>
            <w:proofErr w:type="spellStart"/>
            <w:r w:rsidRPr="009130CD">
              <w:rPr>
                <w:rFonts w:ascii="Times New Roman" w:hAnsi="Times New Roman"/>
                <w:color w:val="000000"/>
                <w:spacing w:val="-2"/>
              </w:rPr>
              <w:t>biopodobnych</w:t>
            </w:r>
            <w:proofErr w:type="spellEnd"/>
            <w:r w:rsidRPr="009130CD">
              <w:rPr>
                <w:rFonts w:ascii="Times New Roman" w:hAnsi="Times New Roman"/>
                <w:color w:val="000000"/>
                <w:spacing w:val="-2"/>
              </w:rPr>
              <w:t xml:space="preserve"> – w których wszyscy pacjenci w badaniu otrzymują nieodpłatnie od sponsora biologiczny lek badany – </w:t>
            </w:r>
            <w:proofErr w:type="spellStart"/>
            <w:r w:rsidRPr="009130CD">
              <w:rPr>
                <w:rFonts w:ascii="Times New Roman" w:hAnsi="Times New Roman"/>
                <w:color w:val="000000"/>
                <w:spacing w:val="-2"/>
              </w:rPr>
              <w:t>biopodobny</w:t>
            </w:r>
            <w:proofErr w:type="spellEnd"/>
            <w:r w:rsidRPr="009130CD">
              <w:rPr>
                <w:rFonts w:ascii="Times New Roman" w:hAnsi="Times New Roman"/>
                <w:color w:val="000000"/>
                <w:spacing w:val="-2"/>
              </w:rPr>
              <w:t xml:space="preserve"> lub oryginalny.</w:t>
            </w:r>
          </w:p>
        </w:tc>
      </w:tr>
      <w:tr w:rsidR="00D66832" w:rsidRPr="008B4FE6" w14:paraId="2FF12C18" w14:textId="77777777" w:rsidTr="006B4A4F">
        <w:trPr>
          <w:trHeight w:val="302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5FB14D59" w14:textId="77777777" w:rsidR="00D66832" w:rsidRPr="008B4FE6" w:rsidRDefault="00D66832" w:rsidP="00D6683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D66832" w:rsidRPr="008B4FE6" w14:paraId="379E95A9" w14:textId="77777777" w:rsidTr="006B4A4F">
        <w:trPr>
          <w:trHeight w:val="342"/>
        </w:trPr>
        <w:tc>
          <w:tcPr>
            <w:tcW w:w="10944" w:type="dxa"/>
            <w:gridSpan w:val="28"/>
            <w:shd w:val="clear" w:color="auto" w:fill="FFFFFF"/>
          </w:tcPr>
          <w:p w14:paraId="5235699D" w14:textId="77777777" w:rsidR="00D66832" w:rsidRPr="008425DE" w:rsidRDefault="00D66832" w:rsidP="00D668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8425DE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8425DE">
              <w:rPr>
                <w:rFonts w:ascii="Times New Roman" w:hAnsi="Times New Roman"/>
                <w:color w:val="000000"/>
                <w:spacing w:val="-2"/>
              </w:rPr>
              <w:t>-konsultacje nie były przeprowadzane.</w:t>
            </w:r>
          </w:p>
          <w:p w14:paraId="66217E28" w14:textId="47C625F4" w:rsidR="00D66832" w:rsidRPr="008425DE" w:rsidRDefault="00D66832" w:rsidP="00D668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25DE">
              <w:rPr>
                <w:rFonts w:ascii="Times New Roman" w:hAnsi="Times New Roman"/>
                <w:color w:val="000000"/>
                <w:spacing w:val="-2"/>
              </w:rPr>
              <w:t>Projekt ustawy w ramach konsultacji publicznych i opiniowania</w:t>
            </w:r>
            <w:r w:rsidR="00196DFA">
              <w:rPr>
                <w:rFonts w:ascii="Times New Roman" w:hAnsi="Times New Roman"/>
                <w:color w:val="000000"/>
                <w:spacing w:val="-2"/>
              </w:rPr>
              <w:t xml:space="preserve">, z terminem 30 dni na zgłaszanie uwag, 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>zosta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 xml:space="preserve"> przesłany do następujących podmiotów i organizacji:</w:t>
            </w:r>
          </w:p>
          <w:p w14:paraId="6630493F" w14:textId="7AACD086" w:rsidR="00BE5006" w:rsidRPr="00BE5006" w:rsidRDefault="00BE5006" w:rsidP="00BE5006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BE5006">
              <w:rPr>
                <w:rFonts w:ascii="Times New Roman" w:hAnsi="Times New Roman"/>
              </w:rPr>
              <w:t>Narodow</w:t>
            </w:r>
            <w:r>
              <w:rPr>
                <w:rFonts w:ascii="Times New Roman" w:hAnsi="Times New Roman"/>
              </w:rPr>
              <w:t>ego</w:t>
            </w:r>
            <w:r w:rsidRPr="00BE5006">
              <w:rPr>
                <w:rFonts w:ascii="Times New Roman" w:hAnsi="Times New Roman"/>
              </w:rPr>
              <w:t xml:space="preserve"> Fundusz</w:t>
            </w:r>
            <w:r>
              <w:rPr>
                <w:rFonts w:ascii="Times New Roman" w:hAnsi="Times New Roman"/>
              </w:rPr>
              <w:t>u</w:t>
            </w:r>
            <w:r w:rsidRPr="00BE5006">
              <w:rPr>
                <w:rFonts w:ascii="Times New Roman" w:hAnsi="Times New Roman"/>
              </w:rPr>
              <w:t xml:space="preserve"> Zdrowia</w:t>
            </w:r>
            <w:r>
              <w:rPr>
                <w:rFonts w:ascii="Times New Roman" w:hAnsi="Times New Roman"/>
              </w:rPr>
              <w:t>;</w:t>
            </w:r>
          </w:p>
          <w:p w14:paraId="6E14A614" w14:textId="19FC4313" w:rsidR="00BE5006" w:rsidRDefault="00BE5006" w:rsidP="00BE5006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BE5006">
              <w:rPr>
                <w:rFonts w:ascii="Times New Roman" w:hAnsi="Times New Roman"/>
              </w:rPr>
              <w:t>Urz</w:t>
            </w:r>
            <w:r>
              <w:rPr>
                <w:rFonts w:ascii="Times New Roman" w:hAnsi="Times New Roman"/>
              </w:rPr>
              <w:t>ę</w:t>
            </w:r>
            <w:r w:rsidRPr="00BE5006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u</w:t>
            </w:r>
            <w:r w:rsidRPr="00BE5006">
              <w:rPr>
                <w:rFonts w:ascii="Times New Roman" w:hAnsi="Times New Roman"/>
              </w:rPr>
              <w:t xml:space="preserve"> Rejestracji Produktów Leczniczych, Wyrobów Medycznych i Produktów Biobójczych</w:t>
            </w:r>
            <w:r>
              <w:rPr>
                <w:rFonts w:ascii="Times New Roman" w:hAnsi="Times New Roman"/>
              </w:rPr>
              <w:t>;</w:t>
            </w:r>
          </w:p>
          <w:p w14:paraId="7DA5F595" w14:textId="730B152F" w:rsidR="003B7739" w:rsidRDefault="003B7739" w:rsidP="00BE5006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Agencji Badań Medycznych;</w:t>
            </w:r>
          </w:p>
          <w:p w14:paraId="0B38902F" w14:textId="2C80F282" w:rsidR="003B7739" w:rsidRPr="00BE5006" w:rsidRDefault="003B7739" w:rsidP="00BE5006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Rzecznik</w:t>
            </w:r>
            <w:r w:rsidR="00843AFC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Praw Pacjenta;</w:t>
            </w:r>
          </w:p>
          <w:p w14:paraId="2DF1A15E" w14:textId="60BD5FE6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Naczel</w:t>
            </w:r>
            <w:r w:rsidR="00843AFC">
              <w:rPr>
                <w:rFonts w:ascii="Times New Roman" w:hAnsi="Times New Roman"/>
              </w:rPr>
              <w:t>n</w:t>
            </w:r>
            <w:r w:rsidR="0087655F">
              <w:rPr>
                <w:rFonts w:ascii="Times New Roman" w:hAnsi="Times New Roman"/>
              </w:rPr>
              <w:t>ej</w:t>
            </w:r>
            <w:r w:rsidRPr="00916771">
              <w:rPr>
                <w:rFonts w:ascii="Times New Roman" w:hAnsi="Times New Roman"/>
              </w:rPr>
              <w:t xml:space="preserve"> Rad</w:t>
            </w:r>
            <w:r w:rsidR="0087655F">
              <w:rPr>
                <w:rFonts w:ascii="Times New Roman" w:hAnsi="Times New Roman"/>
              </w:rPr>
              <w:t>y</w:t>
            </w:r>
            <w:r w:rsidRPr="00916771">
              <w:rPr>
                <w:rFonts w:ascii="Times New Roman" w:hAnsi="Times New Roman"/>
              </w:rPr>
              <w:t xml:space="preserve"> Lekars</w:t>
            </w:r>
            <w:r w:rsidR="00843AFC">
              <w:rPr>
                <w:rFonts w:ascii="Times New Roman" w:hAnsi="Times New Roman"/>
              </w:rPr>
              <w:t>k</w:t>
            </w:r>
            <w:r w:rsidR="0087655F">
              <w:rPr>
                <w:rFonts w:ascii="Times New Roman" w:hAnsi="Times New Roman"/>
              </w:rPr>
              <w:t>iej</w:t>
            </w:r>
            <w:r w:rsidRPr="00916771">
              <w:rPr>
                <w:rFonts w:ascii="Times New Roman" w:hAnsi="Times New Roman"/>
              </w:rPr>
              <w:t xml:space="preserve">; </w:t>
            </w:r>
          </w:p>
          <w:p w14:paraId="29C86F03" w14:textId="5EC0E15E" w:rsidR="00D66832" w:rsidRPr="001A2103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Naczeln</w:t>
            </w:r>
            <w:r w:rsidR="006866FA">
              <w:rPr>
                <w:rFonts w:ascii="Times New Roman" w:hAnsi="Times New Roman"/>
              </w:rPr>
              <w:t>ej</w:t>
            </w:r>
            <w:r w:rsidRPr="00916771">
              <w:rPr>
                <w:rFonts w:ascii="Times New Roman" w:hAnsi="Times New Roman"/>
              </w:rPr>
              <w:t xml:space="preserve"> Ra</w:t>
            </w:r>
            <w:r w:rsidR="006A4F58">
              <w:rPr>
                <w:rFonts w:ascii="Times New Roman" w:hAnsi="Times New Roman"/>
              </w:rPr>
              <w:t>d</w:t>
            </w:r>
            <w:r w:rsidR="00843AFC">
              <w:rPr>
                <w:rFonts w:ascii="Times New Roman" w:hAnsi="Times New Roman"/>
              </w:rPr>
              <w:t>a</w:t>
            </w:r>
            <w:r w:rsidRPr="00916771">
              <w:rPr>
                <w:rFonts w:ascii="Times New Roman" w:hAnsi="Times New Roman"/>
              </w:rPr>
              <w:t xml:space="preserve"> Aptekars</w:t>
            </w:r>
            <w:r w:rsidR="00843AFC">
              <w:rPr>
                <w:rFonts w:ascii="Times New Roman" w:hAnsi="Times New Roman"/>
              </w:rPr>
              <w:t>k</w:t>
            </w:r>
            <w:r w:rsidR="006866FA">
              <w:rPr>
                <w:rFonts w:ascii="Times New Roman" w:hAnsi="Times New Roman"/>
              </w:rPr>
              <w:t>iej</w:t>
            </w:r>
            <w:r w:rsidRPr="00916771">
              <w:rPr>
                <w:rFonts w:ascii="Times New Roman" w:hAnsi="Times New Roman"/>
              </w:rPr>
              <w:t>;</w:t>
            </w:r>
          </w:p>
          <w:p w14:paraId="09579418" w14:textId="2321FC9D" w:rsidR="00D66832" w:rsidRPr="00916771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Naczeln</w:t>
            </w:r>
            <w:r w:rsidR="006A4F58">
              <w:rPr>
                <w:rFonts w:ascii="Times New Roman" w:hAnsi="Times New Roman"/>
              </w:rPr>
              <w:t>ej</w:t>
            </w:r>
            <w:r w:rsidRPr="00916771">
              <w:rPr>
                <w:rFonts w:ascii="Times New Roman" w:hAnsi="Times New Roman"/>
              </w:rPr>
              <w:t xml:space="preserve"> Rad</w:t>
            </w:r>
            <w:r w:rsidR="006A4F58">
              <w:rPr>
                <w:rFonts w:ascii="Times New Roman" w:hAnsi="Times New Roman"/>
              </w:rPr>
              <w:t>y</w:t>
            </w:r>
            <w:r w:rsidRPr="00916771">
              <w:rPr>
                <w:rFonts w:ascii="Times New Roman" w:hAnsi="Times New Roman"/>
              </w:rPr>
              <w:t xml:space="preserve"> Pielęgniarek i Położnych;</w:t>
            </w:r>
          </w:p>
          <w:p w14:paraId="7FD91390" w14:textId="08A62102" w:rsidR="00D66832" w:rsidRPr="00916771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Krajow</w:t>
            </w:r>
            <w:r w:rsidR="006A4F58">
              <w:rPr>
                <w:rFonts w:ascii="Times New Roman" w:hAnsi="Times New Roman"/>
              </w:rPr>
              <w:t>ej</w:t>
            </w:r>
            <w:r w:rsidRPr="00916771">
              <w:rPr>
                <w:rFonts w:ascii="Times New Roman" w:hAnsi="Times New Roman"/>
              </w:rPr>
              <w:t xml:space="preserve"> Rad</w:t>
            </w:r>
            <w:r w:rsidR="006A4F58">
              <w:rPr>
                <w:rFonts w:ascii="Times New Roman" w:hAnsi="Times New Roman"/>
              </w:rPr>
              <w:t>y</w:t>
            </w:r>
            <w:r w:rsidRPr="00916771">
              <w:rPr>
                <w:rFonts w:ascii="Times New Roman" w:hAnsi="Times New Roman"/>
              </w:rPr>
              <w:t xml:space="preserve"> Fizjoterapeutów;</w:t>
            </w:r>
          </w:p>
          <w:p w14:paraId="45D07A04" w14:textId="6B4D1490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16771">
              <w:rPr>
                <w:rFonts w:ascii="Times New Roman" w:hAnsi="Times New Roman"/>
              </w:rPr>
              <w:t>Krajow</w:t>
            </w:r>
            <w:r w:rsidR="006A4F58">
              <w:rPr>
                <w:rFonts w:ascii="Times New Roman" w:hAnsi="Times New Roman"/>
              </w:rPr>
              <w:t>ej</w:t>
            </w:r>
            <w:r w:rsidRPr="00916771">
              <w:rPr>
                <w:rFonts w:ascii="Times New Roman" w:hAnsi="Times New Roman"/>
              </w:rPr>
              <w:t xml:space="preserve"> Rad</w:t>
            </w:r>
            <w:r w:rsidR="006A4F58">
              <w:rPr>
                <w:rFonts w:ascii="Times New Roman" w:hAnsi="Times New Roman"/>
              </w:rPr>
              <w:t>y</w:t>
            </w:r>
            <w:r w:rsidR="00843AFC">
              <w:rPr>
                <w:rFonts w:ascii="Times New Roman" w:hAnsi="Times New Roman"/>
              </w:rPr>
              <w:t xml:space="preserve"> </w:t>
            </w:r>
            <w:r w:rsidRPr="00916771">
              <w:rPr>
                <w:rFonts w:ascii="Times New Roman" w:hAnsi="Times New Roman"/>
              </w:rPr>
              <w:t>Diagnostów Laboratoryjnych;</w:t>
            </w:r>
          </w:p>
          <w:p w14:paraId="69E5CB49" w14:textId="071AC364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Rad</w:t>
            </w:r>
            <w:r w:rsidR="006A4F58">
              <w:rPr>
                <w:rFonts w:ascii="Times New Roman" w:hAnsi="Times New Roman"/>
              </w:rPr>
              <w:t>y</w:t>
            </w:r>
            <w:r w:rsidRPr="00FF27FB">
              <w:rPr>
                <w:rFonts w:ascii="Times New Roman" w:hAnsi="Times New Roman"/>
              </w:rPr>
              <w:t xml:space="preserve"> Dialogu Społecznego;</w:t>
            </w:r>
          </w:p>
          <w:p w14:paraId="2FB49593" w14:textId="60B03B37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Ogólnopolski</w:t>
            </w:r>
            <w:r w:rsidR="006A4F58">
              <w:rPr>
                <w:rFonts w:ascii="Times New Roman" w:hAnsi="Times New Roman"/>
              </w:rPr>
              <w:t>ego</w:t>
            </w:r>
            <w:r w:rsidR="00843AFC">
              <w:rPr>
                <w:rFonts w:ascii="Times New Roman" w:hAnsi="Times New Roman"/>
              </w:rPr>
              <w:t xml:space="preserve"> </w:t>
            </w:r>
            <w:r w:rsidRPr="00FF27FB">
              <w:rPr>
                <w:rFonts w:ascii="Times New Roman" w:hAnsi="Times New Roman"/>
              </w:rPr>
              <w:t>Zwią</w:t>
            </w:r>
            <w:r w:rsidR="00843AFC">
              <w:rPr>
                <w:rFonts w:ascii="Times New Roman" w:hAnsi="Times New Roman"/>
              </w:rPr>
              <w:t>z</w:t>
            </w:r>
            <w:r w:rsidR="006A4F58">
              <w:rPr>
                <w:rFonts w:ascii="Times New Roman" w:hAnsi="Times New Roman"/>
              </w:rPr>
              <w:t>ku</w:t>
            </w:r>
            <w:r w:rsidRPr="00FF27FB">
              <w:rPr>
                <w:rFonts w:ascii="Times New Roman" w:hAnsi="Times New Roman"/>
              </w:rPr>
              <w:t xml:space="preserve"> Zawodow</w:t>
            </w:r>
            <w:r w:rsidR="006A4F58">
              <w:rPr>
                <w:rFonts w:ascii="Times New Roman" w:hAnsi="Times New Roman"/>
              </w:rPr>
              <w:t>ego</w:t>
            </w:r>
            <w:r w:rsidRPr="00FF27FB">
              <w:rPr>
                <w:rFonts w:ascii="Times New Roman" w:hAnsi="Times New Roman"/>
              </w:rPr>
              <w:t xml:space="preserve"> Lekarzy;</w:t>
            </w:r>
          </w:p>
          <w:p w14:paraId="3DDAEB04" w14:textId="77777777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NSZZ „Solidarność”;</w:t>
            </w:r>
          </w:p>
          <w:p w14:paraId="1276BE4A" w14:textId="77777777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NSZZ „Solidarność 80”;</w:t>
            </w:r>
          </w:p>
          <w:p w14:paraId="706EDB72" w14:textId="77777777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Forum Związków Zawodowych;</w:t>
            </w:r>
          </w:p>
          <w:p w14:paraId="67E597F4" w14:textId="63DCA6E3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Ogólnopolskie</w:t>
            </w:r>
            <w:r w:rsidR="006A4F58">
              <w:rPr>
                <w:rFonts w:ascii="Times New Roman" w:hAnsi="Times New Roman"/>
              </w:rPr>
              <w:t>go</w:t>
            </w:r>
            <w:r w:rsidRPr="00FF27FB">
              <w:rPr>
                <w:rFonts w:ascii="Times New Roman" w:hAnsi="Times New Roman"/>
              </w:rPr>
              <w:t xml:space="preserve"> Porozumieni</w:t>
            </w:r>
            <w:r w:rsidR="006A4F58">
              <w:rPr>
                <w:rFonts w:ascii="Times New Roman" w:hAnsi="Times New Roman"/>
              </w:rPr>
              <w:t>a</w:t>
            </w:r>
            <w:r w:rsidRPr="00FF27FB">
              <w:rPr>
                <w:rFonts w:ascii="Times New Roman" w:hAnsi="Times New Roman"/>
              </w:rPr>
              <w:t xml:space="preserve"> Związków Zawodowych;</w:t>
            </w:r>
          </w:p>
          <w:p w14:paraId="6E034913" w14:textId="1BEA7AF7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Ogólnopolski</w:t>
            </w:r>
            <w:r w:rsidR="006A4F58">
              <w:rPr>
                <w:rFonts w:ascii="Times New Roman" w:hAnsi="Times New Roman"/>
              </w:rPr>
              <w:t>ego</w:t>
            </w:r>
            <w:r w:rsidRPr="00FF27FB">
              <w:rPr>
                <w:rFonts w:ascii="Times New Roman" w:hAnsi="Times New Roman"/>
              </w:rPr>
              <w:t xml:space="preserve"> Związ</w:t>
            </w:r>
            <w:r w:rsidR="00843AFC">
              <w:rPr>
                <w:rFonts w:ascii="Times New Roman" w:hAnsi="Times New Roman"/>
              </w:rPr>
              <w:t>k</w:t>
            </w:r>
            <w:r w:rsidR="006A4F58">
              <w:rPr>
                <w:rFonts w:ascii="Times New Roman" w:hAnsi="Times New Roman"/>
              </w:rPr>
              <w:t>u</w:t>
            </w:r>
            <w:r w:rsidR="00843AFC">
              <w:rPr>
                <w:rFonts w:ascii="Times New Roman" w:hAnsi="Times New Roman"/>
              </w:rPr>
              <w:t xml:space="preserve"> </w:t>
            </w:r>
            <w:r w:rsidRPr="00FF27FB">
              <w:rPr>
                <w:rFonts w:ascii="Times New Roman" w:hAnsi="Times New Roman"/>
              </w:rPr>
              <w:t>Zawodow</w:t>
            </w:r>
            <w:r w:rsidR="006A4F58">
              <w:rPr>
                <w:rFonts w:ascii="Times New Roman" w:hAnsi="Times New Roman"/>
              </w:rPr>
              <w:t>ego</w:t>
            </w:r>
            <w:r w:rsidR="00843AFC">
              <w:rPr>
                <w:rFonts w:ascii="Times New Roman" w:hAnsi="Times New Roman"/>
              </w:rPr>
              <w:t xml:space="preserve"> </w:t>
            </w:r>
            <w:r w:rsidRPr="00FF27FB">
              <w:rPr>
                <w:rFonts w:ascii="Times New Roman" w:hAnsi="Times New Roman"/>
              </w:rPr>
              <w:t>Pielęgniarek i Położnych;</w:t>
            </w:r>
          </w:p>
          <w:p w14:paraId="0F174B27" w14:textId="69C4F012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Ogólnopolsk</w:t>
            </w:r>
            <w:r w:rsidR="006A4F58">
              <w:rPr>
                <w:rFonts w:ascii="Times New Roman" w:hAnsi="Times New Roman"/>
              </w:rPr>
              <w:t>iej</w:t>
            </w:r>
            <w:r w:rsidRPr="00FF27FB">
              <w:rPr>
                <w:rFonts w:ascii="Times New Roman" w:hAnsi="Times New Roman"/>
              </w:rPr>
              <w:t xml:space="preserve"> Konfederacj</w:t>
            </w:r>
            <w:r w:rsidR="006A4F58">
              <w:rPr>
                <w:rFonts w:ascii="Times New Roman" w:hAnsi="Times New Roman"/>
              </w:rPr>
              <w:t>i</w:t>
            </w:r>
            <w:r w:rsidRPr="00FF27FB">
              <w:rPr>
                <w:rFonts w:ascii="Times New Roman" w:hAnsi="Times New Roman"/>
              </w:rPr>
              <w:t xml:space="preserve"> Związków Zawodowych Pracowników Ochrony Zdrowia;</w:t>
            </w:r>
          </w:p>
          <w:p w14:paraId="0BAAC45A" w14:textId="433AD960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Federacj</w:t>
            </w:r>
            <w:r w:rsidR="006A4F58">
              <w:rPr>
                <w:rFonts w:ascii="Times New Roman" w:hAnsi="Times New Roman"/>
              </w:rPr>
              <w:t>i</w:t>
            </w:r>
            <w:r w:rsidRPr="00FF27FB">
              <w:rPr>
                <w:rFonts w:ascii="Times New Roman" w:hAnsi="Times New Roman"/>
              </w:rPr>
              <w:t xml:space="preserve"> Związków Zawodowych Pracowników Ochrony Zdrowia i Pomocy Społecznej;</w:t>
            </w:r>
          </w:p>
          <w:p w14:paraId="313B787A" w14:textId="43B214DC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Pracodawc</w:t>
            </w:r>
            <w:r w:rsidR="006A4F58">
              <w:rPr>
                <w:rFonts w:ascii="Times New Roman" w:hAnsi="Times New Roman"/>
              </w:rPr>
              <w:t>ów</w:t>
            </w:r>
            <w:r w:rsidRPr="00FF27FB">
              <w:rPr>
                <w:rFonts w:ascii="Times New Roman" w:hAnsi="Times New Roman"/>
              </w:rPr>
              <w:t xml:space="preserve"> Zdrowia;</w:t>
            </w:r>
          </w:p>
          <w:p w14:paraId="5189BA9C" w14:textId="21D725B9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Związ</w:t>
            </w:r>
            <w:r w:rsidR="00843AFC">
              <w:rPr>
                <w:rFonts w:ascii="Times New Roman" w:hAnsi="Times New Roman"/>
              </w:rPr>
              <w:t>k</w:t>
            </w:r>
            <w:r w:rsidR="006A4F58">
              <w:rPr>
                <w:rFonts w:ascii="Times New Roman" w:hAnsi="Times New Roman"/>
              </w:rPr>
              <w:t>u</w:t>
            </w:r>
            <w:r w:rsidRPr="00FF27FB">
              <w:rPr>
                <w:rFonts w:ascii="Times New Roman" w:hAnsi="Times New Roman"/>
              </w:rPr>
              <w:t xml:space="preserve"> Przedsiębiorców i Pracodawców;</w:t>
            </w:r>
          </w:p>
          <w:p w14:paraId="2BC8C7CB" w14:textId="55CEEFF7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Federac</w:t>
            </w:r>
            <w:r w:rsidR="00843AFC">
              <w:rPr>
                <w:rFonts w:ascii="Times New Roman" w:hAnsi="Times New Roman"/>
              </w:rPr>
              <w:t>j</w:t>
            </w:r>
            <w:r w:rsidR="006A4F58">
              <w:rPr>
                <w:rFonts w:ascii="Times New Roman" w:hAnsi="Times New Roman"/>
              </w:rPr>
              <w:t>i</w:t>
            </w:r>
            <w:r w:rsidRPr="00FF27FB">
              <w:rPr>
                <w:rFonts w:ascii="Times New Roman" w:hAnsi="Times New Roman"/>
              </w:rPr>
              <w:t xml:space="preserve"> Związków Pracodawców Ochrony Zdrowia Porozumienie Zielonogórskie;</w:t>
            </w:r>
          </w:p>
          <w:p w14:paraId="50A57769" w14:textId="3061B992" w:rsidR="00D66832" w:rsidRDefault="006A4F58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Porozumien</w:t>
            </w:r>
            <w:r>
              <w:rPr>
                <w:rFonts w:ascii="Times New Roman" w:hAnsi="Times New Roman"/>
              </w:rPr>
              <w:t>ia</w:t>
            </w:r>
            <w:r w:rsidR="00D66832" w:rsidRPr="00FF27FB">
              <w:rPr>
                <w:rFonts w:ascii="Times New Roman" w:hAnsi="Times New Roman"/>
              </w:rPr>
              <w:t xml:space="preserve"> Pracodawców Ochrony Zdrowia;</w:t>
            </w:r>
          </w:p>
          <w:p w14:paraId="76E2C79D" w14:textId="3018D97A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Porozumieni</w:t>
            </w:r>
            <w:r w:rsidR="006A4F58">
              <w:rPr>
                <w:rFonts w:ascii="Times New Roman" w:hAnsi="Times New Roman"/>
              </w:rPr>
              <w:t>a</w:t>
            </w:r>
            <w:r w:rsidRPr="00FF27FB">
              <w:rPr>
                <w:rFonts w:ascii="Times New Roman" w:hAnsi="Times New Roman"/>
              </w:rPr>
              <w:t xml:space="preserve"> Pracodawców Służby Zdrowia;</w:t>
            </w:r>
          </w:p>
          <w:p w14:paraId="7510D562" w14:textId="445BE314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Pracodawc</w:t>
            </w:r>
            <w:r w:rsidR="006A4F58">
              <w:rPr>
                <w:rFonts w:ascii="Times New Roman" w:hAnsi="Times New Roman"/>
              </w:rPr>
              <w:t>ów</w:t>
            </w:r>
            <w:r w:rsidRPr="00FF27FB">
              <w:rPr>
                <w:rFonts w:ascii="Times New Roman" w:hAnsi="Times New Roman"/>
              </w:rPr>
              <w:t xml:space="preserve"> Rzeczpospolitej Polskiej;</w:t>
            </w:r>
          </w:p>
          <w:p w14:paraId="21D6FA7A" w14:textId="1423543B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Konfederacj</w:t>
            </w:r>
            <w:r w:rsidR="006A4F58">
              <w:rPr>
                <w:rFonts w:ascii="Times New Roman" w:hAnsi="Times New Roman"/>
              </w:rPr>
              <w:t>i</w:t>
            </w:r>
            <w:r w:rsidRPr="00FF27FB">
              <w:rPr>
                <w:rFonts w:ascii="Times New Roman" w:hAnsi="Times New Roman"/>
              </w:rPr>
              <w:t xml:space="preserve"> Lewiatan;</w:t>
            </w:r>
          </w:p>
          <w:p w14:paraId="4F53E71F" w14:textId="2A63065F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Związ</w:t>
            </w:r>
            <w:r w:rsidR="006A4F58">
              <w:rPr>
                <w:rFonts w:ascii="Times New Roman" w:hAnsi="Times New Roman"/>
              </w:rPr>
              <w:t>ku</w:t>
            </w:r>
            <w:r w:rsidRPr="00FF27FB">
              <w:rPr>
                <w:rFonts w:ascii="Times New Roman" w:hAnsi="Times New Roman"/>
              </w:rPr>
              <w:t xml:space="preserve"> Rzemiosła Polskiego;</w:t>
            </w:r>
          </w:p>
          <w:p w14:paraId="60D67111" w14:textId="77777777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Forum Związków Zawodowych;</w:t>
            </w:r>
          </w:p>
          <w:p w14:paraId="1DBC8D18" w14:textId="33F82110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Związ</w:t>
            </w:r>
            <w:r w:rsidR="006A4F58">
              <w:rPr>
                <w:rFonts w:ascii="Times New Roman" w:hAnsi="Times New Roman"/>
              </w:rPr>
              <w:t>ku</w:t>
            </w:r>
            <w:r w:rsidR="00843AFC">
              <w:rPr>
                <w:rFonts w:ascii="Times New Roman" w:hAnsi="Times New Roman"/>
              </w:rPr>
              <w:t xml:space="preserve"> </w:t>
            </w:r>
            <w:r w:rsidRPr="00FF27FB">
              <w:rPr>
                <w:rFonts w:ascii="Times New Roman" w:hAnsi="Times New Roman"/>
              </w:rPr>
              <w:t>Pracodawców – Business Centre Club;</w:t>
            </w:r>
          </w:p>
          <w:p w14:paraId="657D851E" w14:textId="51191F47" w:rsidR="00D66832" w:rsidRPr="00FF27FB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Stowarzyszeni</w:t>
            </w:r>
            <w:r w:rsidR="006A4F58">
              <w:rPr>
                <w:rFonts w:ascii="Times New Roman" w:hAnsi="Times New Roman"/>
              </w:rPr>
              <w:t>a</w:t>
            </w:r>
            <w:r w:rsidRPr="00FF27FB">
              <w:rPr>
                <w:rFonts w:ascii="Times New Roman" w:hAnsi="Times New Roman"/>
              </w:rPr>
              <w:t xml:space="preserve"> na Rzecz Dobrej Praktyki Badań Klinicznych w Polsce;</w:t>
            </w:r>
          </w:p>
          <w:p w14:paraId="1B68C0F8" w14:textId="4BD1D709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</w:rPr>
              <w:t>Związ</w:t>
            </w:r>
            <w:r w:rsidR="00843AFC">
              <w:rPr>
                <w:rFonts w:ascii="Times New Roman" w:hAnsi="Times New Roman"/>
              </w:rPr>
              <w:t>k</w:t>
            </w:r>
            <w:r w:rsidR="006A4F58">
              <w:rPr>
                <w:rFonts w:ascii="Times New Roman" w:hAnsi="Times New Roman"/>
              </w:rPr>
              <w:t>u</w:t>
            </w:r>
            <w:r w:rsidRPr="00FF27FB">
              <w:rPr>
                <w:rFonts w:ascii="Times New Roman" w:hAnsi="Times New Roman"/>
              </w:rPr>
              <w:t xml:space="preserve"> Pracodawców Innowacyjnych Firm Farmaceutycznych „INFARMA”;</w:t>
            </w:r>
          </w:p>
          <w:p w14:paraId="1CBFA13E" w14:textId="4C3351DB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</w:t>
            </w:r>
            <w:r w:rsidR="006A4F58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Związ</w:t>
            </w:r>
            <w:r w:rsidR="00843AFC">
              <w:rPr>
                <w:rFonts w:ascii="Times New Roman" w:hAnsi="Times New Roman"/>
              </w:rPr>
              <w:t>k</w:t>
            </w:r>
            <w:r w:rsidR="006A4F58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Pracodawców Firm Prowadzących Badania Kliniczne na Zlecenie;</w:t>
            </w:r>
          </w:p>
          <w:p w14:paraId="7E99955F" w14:textId="50A7B75C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Narodowe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Centrum Badań i Rozwoju;</w:t>
            </w:r>
          </w:p>
          <w:p w14:paraId="65045326" w14:textId="184C702B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Narodowe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="00843AF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>Centrum Nauki;</w:t>
            </w:r>
          </w:p>
          <w:p w14:paraId="71F6B989" w14:textId="67D81360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Narodow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Instytutu Onkologii  im. Marii Skłodowskiej-Curie – Państwowego Instytutu </w:t>
            </w:r>
            <w:r w:rsidR="00B71F09">
              <w:rPr>
                <w:rFonts w:ascii="Times New Roman" w:hAnsi="Times New Roman"/>
                <w:color w:val="000000"/>
                <w:spacing w:val="-2"/>
              </w:rPr>
              <w:t>Badawczego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138A9B8" w14:textId="3EA53E1F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„Centrum Zdrowia Matki Polki”;</w:t>
            </w:r>
          </w:p>
          <w:p w14:paraId="15D3AF85" w14:textId="644D021A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Fizjologii i Patologii Słuchu;</w:t>
            </w:r>
          </w:p>
          <w:p w14:paraId="75013337" w14:textId="79568D49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Gruźlicy i Chorób Płuc;</w:t>
            </w:r>
          </w:p>
          <w:p w14:paraId="4A16C422" w14:textId="087734AA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Hematologii i Transfuzjologii;</w:t>
            </w:r>
          </w:p>
          <w:p w14:paraId="666F2FA1" w14:textId="676C3B64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Narodow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Kardiologii Stefana Kardynała Wyszyńskiego – Państwowego Instytutu Badawczego;</w:t>
            </w:r>
          </w:p>
          <w:p w14:paraId="5283272D" w14:textId="5C027122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Matki i Dziecka w Warszawie;</w:t>
            </w:r>
          </w:p>
          <w:p w14:paraId="0C82D493" w14:textId="64BB0482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Medycyny Pracy im. prof. dr. med. Jerzego </w:t>
            </w:r>
            <w:proofErr w:type="spellStart"/>
            <w:r w:rsidRPr="00FF27FB">
              <w:rPr>
                <w:rFonts w:ascii="Times New Roman" w:hAnsi="Times New Roman"/>
                <w:color w:val="000000"/>
                <w:spacing w:val="-2"/>
              </w:rPr>
              <w:t>Nofera</w:t>
            </w:r>
            <w:proofErr w:type="spellEnd"/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w Łodzi;</w:t>
            </w:r>
          </w:p>
          <w:p w14:paraId="1221BC1C" w14:textId="75A8E34A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Medycyny Wsi im. Witolda Chodźki w Lublinie;</w:t>
            </w:r>
          </w:p>
          <w:p w14:paraId="333A3432" w14:textId="17AAD7E3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Narodow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Instytu</w:t>
            </w:r>
            <w:r w:rsidR="00AE61CA">
              <w:rPr>
                <w:rFonts w:ascii="Times New Roman" w:hAnsi="Times New Roman"/>
                <w:color w:val="000000"/>
                <w:spacing w:val="-2"/>
              </w:rPr>
              <w:t>t</w:t>
            </w:r>
            <w:r w:rsidR="00196DFA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Leków w Warszawie;</w:t>
            </w:r>
          </w:p>
          <w:p w14:paraId="5AF13A94" w14:textId="1028D591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Narodow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 w:rsidR="00196DFA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Zdrowia Publicznego – Państwowego Zakładu Higieny w Warszawie;</w:t>
            </w:r>
          </w:p>
          <w:p w14:paraId="7361267D" w14:textId="01B07D76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„Pomnik – Centrum Zdrowia Dziecka” w Warszawie;</w:t>
            </w:r>
          </w:p>
          <w:p w14:paraId="710E8ABC" w14:textId="6AC9D7A1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Psychiatrii i Neurologii w Warszawie;</w:t>
            </w:r>
          </w:p>
          <w:p w14:paraId="55ED3BEA" w14:textId="7FDDAC1A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Narodow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Instytut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Geriatrii, Reumatologii i Rehabilitacji im. prof. dr hab. med. Eleonory </w:t>
            </w:r>
            <w:proofErr w:type="spellStart"/>
            <w:r w:rsidRPr="00FF27FB">
              <w:rPr>
                <w:rFonts w:ascii="Times New Roman" w:hAnsi="Times New Roman"/>
                <w:color w:val="000000"/>
                <w:spacing w:val="-2"/>
              </w:rPr>
              <w:t>Reicher</w:t>
            </w:r>
            <w:proofErr w:type="spellEnd"/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w Warszawie;</w:t>
            </w:r>
          </w:p>
          <w:p w14:paraId="09207653" w14:textId="3AE5F0B4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Konferencj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Rektorów Akademickich Uczelni Medycznych;</w:t>
            </w:r>
          </w:p>
          <w:p w14:paraId="3D67FA5C" w14:textId="26487AB2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Uniwersytet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Jana Kochanowskiego w Kielcach;</w:t>
            </w:r>
          </w:p>
          <w:p w14:paraId="58FC7BB4" w14:textId="27D79968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Uniwersytet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Rzeszowski</w:t>
            </w:r>
            <w:r w:rsidR="00196DFA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92291E3" w14:textId="623EB72F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Uniwersytet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Zielonogórski</w:t>
            </w:r>
            <w:r w:rsidR="00196DFA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E43A813" w14:textId="74F47202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Krakows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 xml:space="preserve">kiej 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>Akademi</w:t>
            </w:r>
            <w:r w:rsidR="00AE61C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im. Andrzeja Frycza Modrzewskiego;</w:t>
            </w:r>
          </w:p>
          <w:p w14:paraId="3493CF59" w14:textId="1B067E7D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Uczelni Łazarskiego;</w:t>
            </w:r>
          </w:p>
          <w:p w14:paraId="25865948" w14:textId="1FB9BDE7" w:rsidR="00D66832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Uniwersytet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AE61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>Opolski</w:t>
            </w:r>
            <w:r w:rsidR="00196DFA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E1BF1BB" w14:textId="190ADA3B" w:rsidR="00D66832" w:rsidRPr="00B5063D" w:rsidRDefault="00D66832" w:rsidP="00D66832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F27FB">
              <w:rPr>
                <w:rFonts w:ascii="Times New Roman" w:hAnsi="Times New Roman"/>
                <w:color w:val="000000"/>
                <w:spacing w:val="-2"/>
              </w:rPr>
              <w:t>Uniwersyte</w:t>
            </w:r>
            <w:r w:rsidR="00AE61CA">
              <w:rPr>
                <w:rFonts w:ascii="Times New Roman" w:hAnsi="Times New Roman"/>
                <w:color w:val="000000"/>
                <w:spacing w:val="-2"/>
              </w:rPr>
              <w:t>t</w:t>
            </w:r>
            <w:r w:rsidR="006A4F5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AE61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>Technologiczno-Humanistyczn</w:t>
            </w:r>
            <w:r w:rsidR="00196DFA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FF27FB">
              <w:rPr>
                <w:rFonts w:ascii="Times New Roman" w:hAnsi="Times New Roman"/>
                <w:color w:val="000000"/>
                <w:spacing w:val="-2"/>
              </w:rPr>
              <w:t xml:space="preserve"> im. Kazimierza Pułaskiego w Radomiu</w:t>
            </w:r>
            <w:r w:rsidR="00B5063D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1154CDB" w14:textId="0D9E1082" w:rsidR="00B5063D" w:rsidRDefault="00B5063D" w:rsidP="00B5063D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B5063D">
              <w:rPr>
                <w:rFonts w:ascii="Times New Roman" w:hAnsi="Times New Roman"/>
              </w:rPr>
              <w:t>Wyższ</w:t>
            </w:r>
            <w:r w:rsidR="006A4F58">
              <w:rPr>
                <w:rFonts w:ascii="Times New Roman" w:hAnsi="Times New Roman"/>
              </w:rPr>
              <w:t>ej</w:t>
            </w:r>
            <w:r w:rsidRPr="00B5063D">
              <w:rPr>
                <w:rFonts w:ascii="Times New Roman" w:hAnsi="Times New Roman"/>
              </w:rPr>
              <w:t xml:space="preserve"> Szkoł</w:t>
            </w:r>
            <w:r w:rsidR="006A4F58">
              <w:rPr>
                <w:rFonts w:ascii="Times New Roman" w:hAnsi="Times New Roman"/>
              </w:rPr>
              <w:t>y</w:t>
            </w:r>
            <w:r w:rsidRPr="00B5063D">
              <w:rPr>
                <w:rFonts w:ascii="Times New Roman" w:hAnsi="Times New Roman"/>
              </w:rPr>
              <w:t xml:space="preserve"> Techniczn</w:t>
            </w:r>
            <w:r w:rsidR="006A4F58">
              <w:rPr>
                <w:rFonts w:ascii="Times New Roman" w:hAnsi="Times New Roman"/>
              </w:rPr>
              <w:t>ej</w:t>
            </w:r>
            <w:r w:rsidRPr="00B5063D">
              <w:rPr>
                <w:rFonts w:ascii="Times New Roman" w:hAnsi="Times New Roman"/>
              </w:rPr>
              <w:t xml:space="preserve"> w Katowicach</w:t>
            </w:r>
            <w:r>
              <w:rPr>
                <w:rFonts w:ascii="Times New Roman" w:hAnsi="Times New Roman"/>
              </w:rPr>
              <w:t>;</w:t>
            </w:r>
          </w:p>
          <w:p w14:paraId="293230B2" w14:textId="73BF08A4" w:rsidR="00B5063D" w:rsidRDefault="00B5063D" w:rsidP="00B5063D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Uniwersyte</w:t>
            </w:r>
            <w:r w:rsidR="00AE61CA">
              <w:rPr>
                <w:rFonts w:ascii="Times New Roman" w:hAnsi="Times New Roman"/>
              </w:rPr>
              <w:t>t</w:t>
            </w:r>
            <w:r w:rsidR="006A4F58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Stefana Kardynała Wyszyńskiego w Warszawie;</w:t>
            </w:r>
          </w:p>
          <w:p w14:paraId="0582ECEB" w14:textId="0F3B1534" w:rsidR="00B5063D" w:rsidRPr="003A07F5" w:rsidRDefault="00B5063D" w:rsidP="00B5063D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Uczelni Medyczn</w:t>
            </w:r>
            <w:r w:rsidR="006A4F58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im. Marii Skłodowskiej-Curie w Warszawie.</w:t>
            </w:r>
          </w:p>
          <w:p w14:paraId="0AC7A098" w14:textId="77777777" w:rsidR="00D66832" w:rsidRDefault="00D66832" w:rsidP="00D66832">
            <w:p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14:paraId="27689F4E" w14:textId="77777777" w:rsidR="00D66832" w:rsidRPr="008425DE" w:rsidRDefault="00D66832" w:rsidP="00D668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25DE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podmiotowej Ministra Zdrowia, zgodnie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>z art. 5 ustawy z dnia 7 lipca 2005 r. o działalności lobbingowej w procesie stanowienia prawa (Dz. U. z 2017 r.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>poz. 248).</w:t>
            </w:r>
          </w:p>
          <w:p w14:paraId="73B43861" w14:textId="77777777" w:rsidR="00D66832" w:rsidRPr="008425DE" w:rsidRDefault="00D66832" w:rsidP="00D668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25DE">
              <w:rPr>
                <w:rFonts w:ascii="Times New Roman" w:hAnsi="Times New Roman"/>
                <w:color w:val="000000"/>
                <w:spacing w:val="-2"/>
              </w:rPr>
              <w:t>Projekt zost</w:t>
            </w:r>
            <w:r>
              <w:rPr>
                <w:rFonts w:ascii="Times New Roman" w:hAnsi="Times New Roman"/>
                <w:color w:val="000000"/>
                <w:spacing w:val="-2"/>
              </w:rPr>
              <w:t>anie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 xml:space="preserve"> udostępniony również w Biuletynie Informacji Publicznej na stronie podmiotowej Rządowego Centrum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>Legislacji, w serwisie Rządowy Proces Legislacyjny, zgodnie z § 52 ust. 1 uchwały nr 190 Rady Ministrów z dnia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 xml:space="preserve">29 października 2013 r. – Regulamin pracy Rady Ministrów (M.P. z 2016 r. poz. 1006, z </w:t>
            </w:r>
            <w:proofErr w:type="spellStart"/>
            <w:r w:rsidRPr="008425DE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8425DE">
              <w:rPr>
                <w:rFonts w:ascii="Times New Roman" w:hAnsi="Times New Roman"/>
                <w:color w:val="000000"/>
                <w:spacing w:val="-2"/>
              </w:rPr>
              <w:t>. zm.).</w:t>
            </w:r>
          </w:p>
          <w:p w14:paraId="63E3DCE8" w14:textId="6EADEF04" w:rsidR="00D66832" w:rsidRPr="00B37C80" w:rsidRDefault="00D66832" w:rsidP="00D668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25DE">
              <w:rPr>
                <w:rFonts w:ascii="Times New Roman" w:hAnsi="Times New Roman"/>
                <w:color w:val="000000"/>
                <w:spacing w:val="-2"/>
              </w:rPr>
              <w:t>Wyniki konsultacji publicznych i opiniowania zosta</w:t>
            </w:r>
            <w:r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 xml:space="preserve"> omówione w raporcie z konsultacji </w:t>
            </w:r>
            <w:r w:rsidR="00196DFA">
              <w:rPr>
                <w:rFonts w:ascii="Times New Roman" w:hAnsi="Times New Roman"/>
                <w:color w:val="000000"/>
                <w:spacing w:val="-2"/>
              </w:rPr>
              <w:t xml:space="preserve">publicznych 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>i opiniowania, który zosta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8425DE">
              <w:rPr>
                <w:rFonts w:ascii="Times New Roman" w:hAnsi="Times New Roman"/>
                <w:color w:val="000000"/>
                <w:spacing w:val="-2"/>
              </w:rPr>
              <w:t>dołączony do niniejszej oceny skutków regulacji.</w:t>
            </w:r>
          </w:p>
        </w:tc>
      </w:tr>
      <w:tr w:rsidR="00D66832" w:rsidRPr="008B4FE6" w14:paraId="0BC49561" w14:textId="77777777" w:rsidTr="006B4A4F">
        <w:trPr>
          <w:trHeight w:val="363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59E04504" w14:textId="77777777" w:rsidR="00D66832" w:rsidRPr="008B4FE6" w:rsidRDefault="00D66832" w:rsidP="00D6683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D66832" w:rsidRPr="008B4FE6" w14:paraId="1626D74C" w14:textId="77777777" w:rsidTr="006B4A4F">
        <w:trPr>
          <w:trHeight w:val="142"/>
        </w:trPr>
        <w:tc>
          <w:tcPr>
            <w:tcW w:w="3132" w:type="dxa"/>
            <w:gridSpan w:val="4"/>
            <w:vMerge w:val="restart"/>
            <w:shd w:val="clear" w:color="auto" w:fill="FFFFFF"/>
          </w:tcPr>
          <w:p w14:paraId="0FA3656F" w14:textId="77777777" w:rsidR="00D66832" w:rsidRPr="00C53F26" w:rsidRDefault="00D66832" w:rsidP="00D66832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12" w:type="dxa"/>
            <w:gridSpan w:val="24"/>
            <w:shd w:val="clear" w:color="auto" w:fill="FFFFFF"/>
          </w:tcPr>
          <w:p w14:paraId="0A7719D6" w14:textId="77777777" w:rsidR="00D66832" w:rsidRPr="00C53F26" w:rsidRDefault="00D66832" w:rsidP="00D6683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D66832" w:rsidRPr="008B4FE6" w14:paraId="3F42FD2C" w14:textId="77777777" w:rsidTr="006B4A4F">
        <w:trPr>
          <w:trHeight w:val="142"/>
        </w:trPr>
        <w:tc>
          <w:tcPr>
            <w:tcW w:w="3132" w:type="dxa"/>
            <w:gridSpan w:val="4"/>
            <w:vMerge/>
            <w:shd w:val="clear" w:color="auto" w:fill="FFFFFF"/>
          </w:tcPr>
          <w:p w14:paraId="6B1E4D0F" w14:textId="77777777" w:rsidR="00D66832" w:rsidRPr="00C53F26" w:rsidRDefault="00D66832" w:rsidP="00D66832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047F191C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F306F0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785DEEC4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69DBD47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C73322C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A58929B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12FD2F3C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1609CBFE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0E395C9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5F5F094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71B05DA" w14:textId="77777777" w:rsidR="00D66832" w:rsidRPr="00C53F26" w:rsidRDefault="00D66832" w:rsidP="00794E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/>
          </w:tcPr>
          <w:p w14:paraId="72BC5CDA" w14:textId="77777777" w:rsidR="00D66832" w:rsidRPr="00C53F26" w:rsidRDefault="00D66832" w:rsidP="00D6683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B2573" w:rsidRPr="008B4FE6" w14:paraId="2A8DEC21" w14:textId="77777777" w:rsidTr="006B4A4F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4F837DC" w14:textId="77777777" w:rsidR="00BB2573" w:rsidRPr="00C53F26" w:rsidRDefault="00BB2573" w:rsidP="00B9410B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1183A3A1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2290D84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7BF83300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BC99417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F432851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4E6EB644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8533EE0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7C9FC7A0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BA446E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CDFFAD1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77A5E902" w14:textId="77777777" w:rsidR="00BB2573" w:rsidRPr="00D06F5E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32E8DDB3" w14:textId="77777777" w:rsidR="00BB2573" w:rsidRPr="0032345D" w:rsidRDefault="00BB2573" w:rsidP="00B9410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</w:p>
        </w:tc>
      </w:tr>
      <w:tr w:rsidR="006A6C8A" w:rsidRPr="008B4FE6" w14:paraId="46925255" w14:textId="77777777" w:rsidTr="006B4A4F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7F76312" w14:textId="77777777" w:rsidR="006A6C8A" w:rsidRPr="00C53F26" w:rsidRDefault="006A6C8A" w:rsidP="006A6C8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38A05419" w14:textId="77777777" w:rsidR="006A6C8A" w:rsidRPr="00D06F5E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6F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953,0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C72383" w14:textId="47624DAE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977,0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67AA5006" w14:textId="214AF0FE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977,3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BCCE4B4" w14:textId="530BFF83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977,6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E6E7DCB" w14:textId="0E562A1F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FDCBB9E" w14:textId="1A9A9F76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978,2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216ABA9" w14:textId="38E42E2F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978,5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4AC4579F" w14:textId="24CCA362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978,8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96257CF" w14:textId="59A4A611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979,1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CCF935C" w14:textId="1C83AE3F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2553798" w14:textId="02C07916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979,6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5A428FC5" w14:textId="5ABAC011" w:rsidR="006A6C8A" w:rsidRPr="00813883" w:rsidRDefault="006A6C8A" w:rsidP="006A6C8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pacing w:val="-2"/>
                <w:sz w:val="21"/>
                <w:szCs w:val="21"/>
              </w:rPr>
            </w:pPr>
            <w:r w:rsidRPr="00813883">
              <w:rPr>
                <w:rFonts w:ascii="Times New Roman" w:hAnsi="Times New Roman"/>
                <w:b/>
                <w:bCs/>
                <w:color w:val="000000"/>
                <w:spacing w:val="-2"/>
                <w:sz w:val="21"/>
                <w:szCs w:val="21"/>
              </w:rPr>
              <w:t>10 736,4</w:t>
            </w:r>
          </w:p>
        </w:tc>
      </w:tr>
      <w:tr w:rsidR="003C5516" w:rsidRPr="008B4FE6" w14:paraId="2968A76C" w14:textId="77777777" w:rsidTr="006B4A4F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766D5194" w14:textId="77777777" w:rsidR="003C5516" w:rsidRPr="00C53F26" w:rsidRDefault="003C5516" w:rsidP="003C551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5ADF9EA3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953,0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FD5C76E" w14:textId="77777777" w:rsidR="003C5516" w:rsidRPr="003C5516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516">
              <w:rPr>
                <w:rFonts w:ascii="Times New Roman" w:hAnsi="Times New Roman"/>
                <w:color w:val="000000"/>
                <w:sz w:val="20"/>
                <w:szCs w:val="20"/>
              </w:rPr>
              <w:t>977,0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5750963C" w14:textId="77777777" w:rsidR="003C5516" w:rsidRPr="003C5516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516">
              <w:rPr>
                <w:rFonts w:ascii="Times New Roman" w:hAnsi="Times New Roman"/>
                <w:color w:val="000000"/>
                <w:sz w:val="20"/>
                <w:szCs w:val="20"/>
              </w:rPr>
              <w:t>977,3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9A05C61" w14:textId="77777777" w:rsidR="003C5516" w:rsidRPr="003C5516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516">
              <w:rPr>
                <w:rFonts w:ascii="Times New Roman" w:hAnsi="Times New Roman"/>
                <w:color w:val="000000"/>
                <w:sz w:val="20"/>
                <w:szCs w:val="20"/>
              </w:rPr>
              <w:t>977,6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04D440" w14:textId="77777777" w:rsidR="003C5516" w:rsidRPr="003C5516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516">
              <w:rPr>
                <w:rFonts w:ascii="Times New Roman" w:hAnsi="Times New Roman"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C4F5B03" w14:textId="77777777" w:rsidR="003C5516" w:rsidRPr="003C5516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516">
              <w:rPr>
                <w:rFonts w:ascii="Times New Roman" w:hAnsi="Times New Roman"/>
                <w:color w:val="000000"/>
                <w:sz w:val="20"/>
                <w:szCs w:val="20"/>
              </w:rPr>
              <w:t>978,2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B637208" w14:textId="77777777" w:rsidR="003C5516" w:rsidRPr="003C5516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516">
              <w:rPr>
                <w:rFonts w:ascii="Times New Roman" w:hAnsi="Times New Roman"/>
                <w:color w:val="000000"/>
                <w:sz w:val="20"/>
                <w:szCs w:val="20"/>
              </w:rPr>
              <w:t>978,5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611A84FB" w14:textId="77777777" w:rsidR="003C5516" w:rsidRPr="003C5516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516">
              <w:rPr>
                <w:rFonts w:ascii="Times New Roman" w:hAnsi="Times New Roman"/>
                <w:color w:val="000000"/>
                <w:sz w:val="20"/>
                <w:szCs w:val="20"/>
              </w:rPr>
              <w:t>978,8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16C7690" w14:textId="77777777" w:rsidR="003C5516" w:rsidRPr="003C5516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516">
              <w:rPr>
                <w:rFonts w:ascii="Times New Roman" w:hAnsi="Times New Roman"/>
                <w:color w:val="000000"/>
                <w:sz w:val="20"/>
                <w:szCs w:val="20"/>
              </w:rPr>
              <w:t>979,1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0D42EF" w14:textId="77777777" w:rsidR="003C5516" w:rsidRPr="003C5516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516">
              <w:rPr>
                <w:rFonts w:ascii="Times New Roman" w:hAnsi="Times New Roman"/>
                <w:color w:val="000000"/>
                <w:sz w:val="20"/>
                <w:szCs w:val="20"/>
              </w:rPr>
              <w:t>979,4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CCDB5C0" w14:textId="77777777" w:rsidR="003C5516" w:rsidRPr="003C5516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516">
              <w:rPr>
                <w:rFonts w:ascii="Times New Roman" w:hAnsi="Times New Roman"/>
                <w:color w:val="000000"/>
                <w:sz w:val="20"/>
                <w:szCs w:val="20"/>
              </w:rPr>
              <w:t>979,6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1AC241F2" w14:textId="77777777" w:rsidR="003C5516" w:rsidRPr="003C5516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C551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10 736,4</w:t>
            </w:r>
          </w:p>
        </w:tc>
      </w:tr>
      <w:tr w:rsidR="003C5516" w:rsidRPr="008B4FE6" w14:paraId="7227F739" w14:textId="77777777" w:rsidTr="006B4A4F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96E3B84" w14:textId="77777777" w:rsidR="003C5516" w:rsidRPr="00C53F26" w:rsidRDefault="003C5516" w:rsidP="003C551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64EDE422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555DA80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19AC146E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9986EB7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7DC4981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8FCD0C7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5E21FE2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2EEE06C8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C86ECC9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F36DBD2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69BEA6B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367CF0A0" w14:textId="77777777" w:rsidR="003C5516" w:rsidRPr="00B37C80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3C5516" w:rsidRPr="008B4FE6" w14:paraId="57A973EB" w14:textId="77777777" w:rsidTr="006B4A4F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2444264" w14:textId="77777777" w:rsidR="003C5516" w:rsidRPr="00C53F26" w:rsidRDefault="003C5516" w:rsidP="003C551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0FB3B366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F604F4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2828FEA0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7BD0EE0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F07D8B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70D12FD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B9E576B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548C5FBD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41B485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B72A81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CE68F0C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740AA6AF" w14:textId="77777777" w:rsidR="003C5516" w:rsidRPr="00B37C80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3C5516" w:rsidRPr="008B4FE6" w14:paraId="7112B699" w14:textId="77777777" w:rsidTr="006B4A4F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AD0F163" w14:textId="77777777" w:rsidR="003C5516" w:rsidRPr="00C53F26" w:rsidRDefault="003C5516" w:rsidP="003C551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5CC935D6" w14:textId="77777777" w:rsidR="003C5516" w:rsidRPr="0032345D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34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E232889" w14:textId="4967318E" w:rsidR="003C5516" w:rsidRPr="0032345D" w:rsidRDefault="00591010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</w:t>
            </w:r>
            <w:r w:rsidR="001B7D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15D6E8CA" w14:textId="16E4E536" w:rsidR="003C5516" w:rsidRPr="0032345D" w:rsidRDefault="00591010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0AD38C3" w14:textId="663A0D2D" w:rsidR="003C5516" w:rsidRPr="0032345D" w:rsidRDefault="00591010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0679790" w14:textId="5C1858E7" w:rsidR="003C5516" w:rsidRPr="0032345D" w:rsidRDefault="00591010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12E3991" w14:textId="2D1782CA" w:rsidR="003C5516" w:rsidRPr="0032345D" w:rsidRDefault="00591010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56349BD" w14:textId="7A01564C" w:rsidR="003C5516" w:rsidRPr="0032345D" w:rsidRDefault="00591010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0D10BE3E" w14:textId="2058966D" w:rsidR="003C5516" w:rsidRPr="0032345D" w:rsidRDefault="00591010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65EF72F" w14:textId="018F8DF9" w:rsidR="003C5516" w:rsidRPr="0032345D" w:rsidRDefault="00591010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3DBBCA" w14:textId="7B4629AC" w:rsidR="003C5516" w:rsidRPr="0032345D" w:rsidRDefault="00591010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F59F593" w14:textId="4DB9AFBC" w:rsidR="003C5516" w:rsidRPr="0032345D" w:rsidRDefault="00591010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592EBCED" w14:textId="3D452C1D" w:rsidR="003C5516" w:rsidRPr="0032345D" w:rsidRDefault="001B7D00" w:rsidP="003C551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92,1</w:t>
            </w:r>
          </w:p>
        </w:tc>
      </w:tr>
      <w:tr w:rsidR="003C5516" w:rsidRPr="008B4FE6" w14:paraId="120384ED" w14:textId="77777777" w:rsidTr="006B4A4F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75F3F800" w14:textId="77777777" w:rsidR="003C5516" w:rsidRPr="00C53F26" w:rsidRDefault="003C5516" w:rsidP="003C551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2B7E11E9" w14:textId="77777777" w:rsidR="003C5516" w:rsidRPr="00B9410B" w:rsidRDefault="003C5516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E81DF81" w14:textId="21BA1E0B" w:rsidR="003C5516" w:rsidRPr="00B9410B" w:rsidRDefault="00D27A3D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</w:t>
            </w:r>
            <w:r w:rsidR="001B7D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776812C1" w14:textId="7C1F46BD" w:rsidR="003C5516" w:rsidRPr="00B9410B" w:rsidRDefault="00B87CD7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EA46D79" w14:textId="56E9AA15" w:rsidR="003C5516" w:rsidRPr="00B9410B" w:rsidRDefault="00B87CD7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508A26F" w14:textId="5D2ED758" w:rsidR="003C5516" w:rsidRPr="00B9410B" w:rsidRDefault="00B87CD7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CD7"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74C5052" w14:textId="69084480" w:rsidR="003C5516" w:rsidRPr="00B9410B" w:rsidRDefault="00B87CD7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CD7"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35B22505" w14:textId="08303E28" w:rsidR="003C5516" w:rsidRPr="00B9410B" w:rsidRDefault="00B87CD7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CD7"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0E42F262" w14:textId="03ED81C8" w:rsidR="003C5516" w:rsidRPr="00B9410B" w:rsidRDefault="00B87CD7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CD7"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9594A9B" w14:textId="7E5B51CB" w:rsidR="003C5516" w:rsidRPr="00B9410B" w:rsidRDefault="00B87CD7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CD7"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8FEE35" w14:textId="79AF4729" w:rsidR="003C5516" w:rsidRPr="00B9410B" w:rsidRDefault="00B87CD7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CD7"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9B22F2F" w14:textId="5449F2B8" w:rsidR="003C5516" w:rsidRPr="00B9410B" w:rsidRDefault="00B87CD7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CD7"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1B7D0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43C9064D" w14:textId="33F15C61" w:rsidR="003C5516" w:rsidRPr="0064229F" w:rsidRDefault="00B87CD7" w:rsidP="003C551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1B7D00">
              <w:rPr>
                <w:rFonts w:ascii="Times New Roman" w:hAnsi="Times New Roman"/>
                <w:color w:val="000000"/>
                <w:sz w:val="21"/>
                <w:szCs w:val="21"/>
              </w:rPr>
              <w:t>92,1</w:t>
            </w:r>
          </w:p>
        </w:tc>
      </w:tr>
      <w:tr w:rsidR="00764117" w:rsidRPr="008B4FE6" w14:paraId="3BA1E3AF" w14:textId="77777777" w:rsidTr="006B4A4F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30E5031D" w14:textId="77777777" w:rsidR="00764117" w:rsidRPr="00C53F2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5CB530DF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E20C3D6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3A05C701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AB0382D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567BC6A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7B3EC7A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C83C01C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156DF06E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5AD61FC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94D8F6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4543C19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2E923FAF" w14:textId="77777777" w:rsidR="00764117" w:rsidRPr="0064229F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764117" w:rsidRPr="008B4FE6" w14:paraId="5E558C97" w14:textId="77777777" w:rsidTr="006B4A4F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4CA87283" w14:textId="77777777" w:rsidR="00764117" w:rsidRPr="00C53F2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753DDF6F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1B188FA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72E0CF23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5775645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E3565EA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1939B79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36C04627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09500DCE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F2E3DD3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C06A504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5F54A5D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5E32CFAA" w14:textId="77777777" w:rsidR="00764117" w:rsidRPr="0064229F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764117" w:rsidRPr="008B4FE6" w14:paraId="4850CA2D" w14:textId="77777777" w:rsidTr="006B4A4F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2FF62E9" w14:textId="77777777" w:rsidR="00764117" w:rsidRPr="00C53F2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6A824741" w14:textId="77777777" w:rsidR="00764117" w:rsidRPr="00D06F5E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953,0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F474D0" w14:textId="4D71BF6B" w:rsidR="00764117" w:rsidRPr="00D06F5E" w:rsidRDefault="006A6C8A" w:rsidP="0076411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</w:t>
            </w:r>
            <w:r w:rsidR="00BD51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17320E21" w14:textId="1FC93EF8" w:rsidR="00764117" w:rsidRPr="00D06F5E" w:rsidRDefault="006A6C8A" w:rsidP="0076411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968,3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654D529" w14:textId="0681746F" w:rsidR="00764117" w:rsidRPr="00D06F5E" w:rsidRDefault="006A6C8A" w:rsidP="0076411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968,6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F82898B" w14:textId="2F5C6C9D" w:rsidR="00764117" w:rsidRPr="00D06F5E" w:rsidRDefault="006A6C8A" w:rsidP="0076411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968,9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DE378E1" w14:textId="07BF95E9" w:rsidR="00764117" w:rsidRPr="00D06F5E" w:rsidRDefault="00BD51B4" w:rsidP="0076411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969,2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AA13258" w14:textId="5BE6BB13" w:rsidR="00764117" w:rsidRPr="00D06F5E" w:rsidRDefault="006A6C8A" w:rsidP="0076411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969,3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7515354E" w14:textId="3DA3A0EB" w:rsidR="00764117" w:rsidRPr="00D06F5E" w:rsidRDefault="00BD51B4" w:rsidP="0076411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969,6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AADB49" w14:textId="4961291E" w:rsidR="00764117" w:rsidRPr="00D06F5E" w:rsidRDefault="00BD51B4" w:rsidP="0076411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969,9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AB535D" w14:textId="2F734442" w:rsidR="00764117" w:rsidRPr="00D06F5E" w:rsidRDefault="00BD51B4" w:rsidP="0076411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9A9FA70" w14:textId="740E6214" w:rsidR="00764117" w:rsidRPr="00D06F5E" w:rsidRDefault="00BD51B4" w:rsidP="0076411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970,3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68F98ADA" w14:textId="708C1E6D" w:rsidR="00764117" w:rsidRPr="0032345D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2345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 </w:t>
            </w:r>
            <w:r w:rsidR="00633BD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="0000201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</w:t>
            </w:r>
            <w:r w:rsidR="008138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="0000201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644,3 </w:t>
            </w:r>
          </w:p>
        </w:tc>
      </w:tr>
      <w:tr w:rsidR="00813883" w:rsidRPr="008B4FE6" w14:paraId="05368892" w14:textId="77777777" w:rsidTr="006B4A4F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5E68F949" w14:textId="77777777" w:rsidR="00813883" w:rsidRPr="00C53F26" w:rsidRDefault="00813883" w:rsidP="0081388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7C3056A8" w14:textId="77777777" w:rsidR="00813883" w:rsidRPr="003C5516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516">
              <w:rPr>
                <w:rFonts w:ascii="Times New Roman" w:hAnsi="Times New Roman"/>
                <w:color w:val="000000"/>
                <w:sz w:val="20"/>
                <w:szCs w:val="20"/>
              </w:rPr>
              <w:t>953,0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57975DF" w14:textId="75887F65" w:rsidR="00813883" w:rsidRPr="00813883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7FABDC2D" w14:textId="718D267C" w:rsidR="00813883" w:rsidRPr="00813883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968,3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F2AA753" w14:textId="5C8B8033" w:rsidR="00813883" w:rsidRPr="00813883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968,6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621A75" w14:textId="25EBAF6E" w:rsidR="00813883" w:rsidRPr="00813883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968,9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89DC55C" w14:textId="253B22F5" w:rsidR="00813883" w:rsidRPr="00813883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969,2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7A91F81" w14:textId="18D1353F" w:rsidR="00813883" w:rsidRPr="00813883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969,3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3E2A83D6" w14:textId="3A230CF4" w:rsidR="00813883" w:rsidRPr="00813883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969,6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01078C5" w14:textId="4A3DB938" w:rsidR="00813883" w:rsidRPr="00813883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969,9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2F5D0BF" w14:textId="7C21A2B5" w:rsidR="00813883" w:rsidRPr="00813883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B55E52F" w14:textId="171EB538" w:rsidR="00813883" w:rsidRPr="00813883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38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970,3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2946339B" w14:textId="7C8DA404" w:rsidR="00813883" w:rsidRPr="00813883" w:rsidRDefault="00813883" w:rsidP="00813883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81388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  10 644,3 </w:t>
            </w:r>
          </w:p>
        </w:tc>
      </w:tr>
      <w:tr w:rsidR="00764117" w:rsidRPr="008B4FE6" w14:paraId="44096A19" w14:textId="77777777" w:rsidTr="006B4A4F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821F28D" w14:textId="77777777" w:rsidR="00764117" w:rsidRPr="00C53F2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6962D6D3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FD8410F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76449F35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19CAE63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2DAE8CD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321DC56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150E9D3F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6CB330BB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6174A3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2C4710D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531BF69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20890820" w14:textId="77777777" w:rsidR="00764117" w:rsidRPr="00B37C80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764117" w:rsidRPr="008B4FE6" w14:paraId="3281569A" w14:textId="77777777" w:rsidTr="006B4A4F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38381CF2" w14:textId="77777777" w:rsidR="00764117" w:rsidRPr="00C53F2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  <w:vAlign w:val="center"/>
          </w:tcPr>
          <w:p w14:paraId="5BBB3DEA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9431738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5DDE97AF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F6DF455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8433FF6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6F9AD76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738073B0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14:paraId="21E30F64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ED22AE6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FC47C89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FEAA2CF" w14:textId="77777777" w:rsidR="00764117" w:rsidRPr="00B9410B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5774AF99" w14:textId="77777777" w:rsidR="00764117" w:rsidRPr="00B37C80" w:rsidRDefault="00764117" w:rsidP="0076411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764117" w:rsidRPr="008B4FE6" w14:paraId="5028655E" w14:textId="77777777" w:rsidTr="006B4A4F">
        <w:trPr>
          <w:trHeight w:val="348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26E41981" w14:textId="77777777" w:rsidR="00764117" w:rsidRPr="00C53F2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02" w:type="dxa"/>
            <w:gridSpan w:val="26"/>
            <w:shd w:val="clear" w:color="auto" w:fill="FFFFFF"/>
            <w:vAlign w:val="center"/>
          </w:tcPr>
          <w:p w14:paraId="17B32F40" w14:textId="77777777" w:rsidR="00764117" w:rsidRPr="00B37C80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64117" w:rsidRPr="008B4FE6" w14:paraId="6E0741E2" w14:textId="77777777" w:rsidTr="006B4A4F">
        <w:trPr>
          <w:trHeight w:val="408"/>
        </w:trPr>
        <w:tc>
          <w:tcPr>
            <w:tcW w:w="2242" w:type="dxa"/>
            <w:gridSpan w:val="2"/>
            <w:shd w:val="clear" w:color="auto" w:fill="FFFFFF"/>
          </w:tcPr>
          <w:p w14:paraId="38C5AD0D" w14:textId="77777777" w:rsidR="00764117" w:rsidRPr="00C53F2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02" w:type="dxa"/>
            <w:gridSpan w:val="26"/>
            <w:shd w:val="clear" w:color="auto" w:fill="FFFFFF"/>
          </w:tcPr>
          <w:p w14:paraId="128CA6C3" w14:textId="06371EA5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W </w:t>
            </w:r>
            <w:r w:rsidR="0087655F">
              <w:rPr>
                <w:rFonts w:ascii="Times New Roman" w:hAnsi="Times New Roman"/>
                <w:color w:val="000000"/>
              </w:rPr>
              <w:t xml:space="preserve">Rzeczypospolitej </w:t>
            </w:r>
            <w:r w:rsidRPr="00560F34">
              <w:rPr>
                <w:rFonts w:ascii="Times New Roman" w:hAnsi="Times New Roman"/>
                <w:color w:val="000000"/>
              </w:rPr>
              <w:t>Pols</w:t>
            </w:r>
            <w:r w:rsidR="0087655F">
              <w:rPr>
                <w:rFonts w:ascii="Times New Roman" w:hAnsi="Times New Roman"/>
                <w:color w:val="000000"/>
              </w:rPr>
              <w:t>kiej</w:t>
            </w:r>
            <w:r w:rsidRPr="00560F34">
              <w:rPr>
                <w:rFonts w:ascii="Times New Roman" w:hAnsi="Times New Roman"/>
                <w:color w:val="000000"/>
              </w:rPr>
              <w:t xml:space="preserve"> działa około 450 firm farmaceutycznych. Praktycznie cały sektor farmaceutyczny w </w:t>
            </w:r>
            <w:r w:rsidR="0087655F">
              <w:rPr>
                <w:rFonts w:ascii="Times New Roman" w:hAnsi="Times New Roman"/>
                <w:color w:val="000000"/>
              </w:rPr>
              <w:t xml:space="preserve">Rzeczypospolitej </w:t>
            </w:r>
            <w:r w:rsidRPr="00560F34">
              <w:rPr>
                <w:rFonts w:ascii="Times New Roman" w:hAnsi="Times New Roman"/>
                <w:color w:val="000000"/>
              </w:rPr>
              <w:t>Pols</w:t>
            </w:r>
            <w:r w:rsidR="0087655F">
              <w:rPr>
                <w:rFonts w:ascii="Times New Roman" w:hAnsi="Times New Roman"/>
                <w:color w:val="000000"/>
              </w:rPr>
              <w:t>kiej</w:t>
            </w:r>
            <w:r w:rsidRPr="00560F34">
              <w:rPr>
                <w:rFonts w:ascii="Times New Roman" w:hAnsi="Times New Roman"/>
                <w:color w:val="000000"/>
              </w:rPr>
              <w:t xml:space="preserve"> należy do prywatnego kapitału, w dużej mierze do inwestorów zagranicznych. Dodatkowo około 70 firm w </w:t>
            </w:r>
            <w:r w:rsidR="0087655F">
              <w:rPr>
                <w:rFonts w:ascii="Times New Roman" w:hAnsi="Times New Roman"/>
                <w:color w:val="000000"/>
              </w:rPr>
              <w:t xml:space="preserve">Rzeczypospolitej </w:t>
            </w:r>
            <w:r w:rsidRPr="00560F34">
              <w:rPr>
                <w:rFonts w:ascii="Times New Roman" w:hAnsi="Times New Roman"/>
                <w:color w:val="000000"/>
              </w:rPr>
              <w:t>Pols</w:t>
            </w:r>
            <w:r w:rsidR="0087655F">
              <w:rPr>
                <w:rFonts w:ascii="Times New Roman" w:hAnsi="Times New Roman"/>
                <w:color w:val="000000"/>
              </w:rPr>
              <w:t>kiej</w:t>
            </w:r>
            <w:r w:rsidRPr="00560F34">
              <w:rPr>
                <w:rFonts w:ascii="Times New Roman" w:hAnsi="Times New Roman"/>
                <w:color w:val="000000"/>
              </w:rPr>
              <w:t xml:space="preserve"> prowadzi działalność z zakresu biotechnologii. Działalność na terenie </w:t>
            </w:r>
            <w:r w:rsidR="001221D0">
              <w:rPr>
                <w:rFonts w:ascii="Times New Roman" w:hAnsi="Times New Roman"/>
                <w:color w:val="000000"/>
              </w:rPr>
              <w:t xml:space="preserve">Rzeczypospolitej </w:t>
            </w:r>
            <w:r w:rsidRPr="00560F34">
              <w:rPr>
                <w:rFonts w:ascii="Times New Roman" w:hAnsi="Times New Roman"/>
                <w:color w:val="000000"/>
              </w:rPr>
              <w:t>Polski</w:t>
            </w:r>
            <w:r w:rsidR="001221D0">
              <w:rPr>
                <w:rFonts w:ascii="Times New Roman" w:hAnsi="Times New Roman"/>
                <w:color w:val="000000"/>
              </w:rPr>
              <w:t>ej</w:t>
            </w:r>
            <w:r w:rsidRPr="00560F34">
              <w:rPr>
                <w:rFonts w:ascii="Times New Roman" w:hAnsi="Times New Roman"/>
                <w:color w:val="000000"/>
              </w:rPr>
              <w:t xml:space="preserve"> w 2015 r. badanych firm przyczyniła się do wytworzenia łącznie 5,05 mld zł wartości dodanej brutto, co odpowiada 0,28% PKB całej gospodarki. Dodatkowo, w wyniku działalności, wygenerowane zostały dochody w gospodarce w wysokości 2,52 mld zł a firmy przyczyniły się do zatrudnienia 28,3 tys. pracowników. Łączne roczne wpływy dla budżetu państwa z tytułu realizacji badań klinicznych w Polsce to około 1 mld zł. Wpływy te wynikają z podatków i opłat wnoszonych bezpośrednio przez podmioty realizujące badania kliniczne, lub pośrednio z podatków płaconych przez podmioty współpracujące. Z czego 303 mln zł to CIT, PIT, VAT i inne podatki oraz płatności do URPL i opłaty dotyczące komisji bioetycznych (10 mln opłaty do URPL i 12 mln opłaty dla komisji bioetycznych); 650 mln zł. to podatki płacone bezpośrednio przez podmioty współpracujące (badacze, pracownicy firm współpracujących, podatki płacone przez firmy świadczące swoje usługi na rzecz sponsorów i realizatorów badań klinicznych).</w:t>
            </w:r>
          </w:p>
          <w:p w14:paraId="38E654EA" w14:textId="4A2EFDF3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Koszty leczenia pacjenta włączonego do badania klinicznego </w:t>
            </w:r>
            <w:r w:rsidR="00196DFA">
              <w:rPr>
                <w:rFonts w:ascii="Times New Roman" w:hAnsi="Times New Roman"/>
                <w:color w:val="000000"/>
              </w:rPr>
              <w:t xml:space="preserve">są </w:t>
            </w:r>
            <w:r w:rsidRPr="00560F34">
              <w:rPr>
                <w:rFonts w:ascii="Times New Roman" w:hAnsi="Times New Roman"/>
                <w:color w:val="000000"/>
              </w:rPr>
              <w:t xml:space="preserve">ponoszone częściowo przez sponsora badania, co oznacza, że pacjent generuje mniejsze koszty po stronie płatnika publicznego. Badania kliniczne prowadzone przez innowacyjne firmy farmaceutyczne w </w:t>
            </w:r>
            <w:r w:rsidR="001221D0">
              <w:rPr>
                <w:rFonts w:ascii="Times New Roman" w:hAnsi="Times New Roman"/>
                <w:color w:val="000000"/>
              </w:rPr>
              <w:t xml:space="preserve">Rzeczypospolitej </w:t>
            </w:r>
            <w:r w:rsidRPr="00560F34">
              <w:rPr>
                <w:rFonts w:ascii="Times New Roman" w:hAnsi="Times New Roman"/>
                <w:color w:val="000000"/>
              </w:rPr>
              <w:t>Pols</w:t>
            </w:r>
            <w:r w:rsidR="001221D0">
              <w:rPr>
                <w:rFonts w:ascii="Times New Roman" w:hAnsi="Times New Roman"/>
                <w:color w:val="000000"/>
              </w:rPr>
              <w:t>kiej</w:t>
            </w:r>
            <w:r w:rsidRPr="00560F34">
              <w:rPr>
                <w:rFonts w:ascii="Times New Roman" w:hAnsi="Times New Roman"/>
                <w:color w:val="000000"/>
              </w:rPr>
              <w:t xml:space="preserve"> mają więc korzystny wpływ na budżet NFZ.</w:t>
            </w:r>
            <w:r w:rsidRPr="00560F34">
              <w:t xml:space="preserve"> </w:t>
            </w:r>
            <w:r w:rsidRPr="00560F34">
              <w:rPr>
                <w:rFonts w:ascii="Times New Roman" w:hAnsi="Times New Roman"/>
                <w:color w:val="000000"/>
              </w:rPr>
              <w:t>Na zakres oszczędności dla NFZ z tytułu realizacji badań klinicznych składają się oszczędności bezpośrednie (zredukowane koszty ponoszone przez NFZ na leczenie pacjenta w badaniach klinicznych), jak i oszczędności pośrednie (unikanie kosztów, które wystąpiłyby w przyszłości, a są możliwe do uniknięcia dzięki poprawie stanu zdrowia pacjenta, lub wcześniejszemu rozpoczęciu leczenia nierozpoznanych wcześniej jednostek chorobowych).</w:t>
            </w:r>
          </w:p>
          <w:p w14:paraId="7754792F" w14:textId="7C414B2B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Szacowane oszczędności NFZ z tytułu objęcia około 4% pacjentów onkologicznych badaniami klinicznymi w 2014 r. wynosiły około 160 mln zł</w:t>
            </w:r>
            <w:r w:rsidRPr="00560F34">
              <w:t xml:space="preserve"> </w:t>
            </w:r>
            <w:r w:rsidRPr="00560F34">
              <w:rPr>
                <w:rFonts w:ascii="Times New Roman" w:hAnsi="Times New Roman"/>
                <w:color w:val="000000"/>
              </w:rPr>
              <w:t xml:space="preserve">(źródło: Wpływ na gospodarkę </w:t>
            </w:r>
            <w:r w:rsidRPr="00560F34">
              <w:rPr>
                <w:rFonts w:ascii="Times New Roman" w:hAnsi="Times New Roman"/>
                <w:color w:val="000000"/>
              </w:rPr>
              <w:br/>
            </w:r>
            <w:r w:rsidRPr="00560F34">
              <w:rPr>
                <w:rFonts w:ascii="Times New Roman" w:hAnsi="Times New Roman"/>
                <w:color w:val="000000"/>
              </w:rPr>
              <w:lastRenderedPageBreak/>
              <w:t xml:space="preserve">i potencjał rozwoju branży innowacyjnych firm farmaceutycznych w </w:t>
            </w:r>
            <w:r w:rsidR="001221D0">
              <w:rPr>
                <w:rFonts w:ascii="Times New Roman" w:hAnsi="Times New Roman"/>
                <w:color w:val="000000"/>
              </w:rPr>
              <w:t xml:space="preserve">Rzeczypospolitej </w:t>
            </w:r>
            <w:r w:rsidRPr="00560F34">
              <w:rPr>
                <w:rFonts w:ascii="Times New Roman" w:hAnsi="Times New Roman"/>
                <w:color w:val="000000"/>
              </w:rPr>
              <w:t>Pols</w:t>
            </w:r>
            <w:r w:rsidR="001221D0">
              <w:rPr>
                <w:rFonts w:ascii="Times New Roman" w:hAnsi="Times New Roman"/>
                <w:color w:val="000000"/>
              </w:rPr>
              <w:t>kiej</w:t>
            </w:r>
            <w:r w:rsidRPr="00560F34">
              <w:rPr>
                <w:rFonts w:ascii="Times New Roman" w:hAnsi="Times New Roman"/>
                <w:color w:val="000000"/>
              </w:rPr>
              <w:t xml:space="preserve">, Raport przygotowany przez PEX </w:t>
            </w:r>
            <w:proofErr w:type="spellStart"/>
            <w:r w:rsidRPr="00560F34">
              <w:rPr>
                <w:rFonts w:ascii="Times New Roman" w:hAnsi="Times New Roman"/>
                <w:color w:val="000000"/>
              </w:rPr>
              <w:t>PharmaSequence</w:t>
            </w:r>
            <w:proofErr w:type="spellEnd"/>
            <w:r w:rsidRPr="00560F34">
              <w:rPr>
                <w:rFonts w:ascii="Times New Roman" w:hAnsi="Times New Roman"/>
                <w:color w:val="000000"/>
              </w:rPr>
              <w:t xml:space="preserve"> dla Związku Pracodawców Innowacyjnych Firm Farmaceutycznych INFARMA, Warszawa, 2017).</w:t>
            </w:r>
          </w:p>
          <w:p w14:paraId="7EB9FAA7" w14:textId="07D13E94" w:rsidR="00764117" w:rsidRPr="00560F34" w:rsidRDefault="00764117" w:rsidP="00764117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Głównym celem projektu ustawy jest zwiększenie liczby badań klinicznych prowadzonych </w:t>
            </w:r>
            <w:r w:rsidRPr="00560F34">
              <w:rPr>
                <w:rFonts w:ascii="Times New Roman" w:hAnsi="Times New Roman"/>
                <w:color w:val="000000"/>
              </w:rPr>
              <w:br/>
              <w:t xml:space="preserve">w </w:t>
            </w:r>
            <w:r w:rsidR="001221D0">
              <w:rPr>
                <w:rFonts w:ascii="Times New Roman" w:hAnsi="Times New Roman"/>
                <w:color w:val="000000"/>
              </w:rPr>
              <w:t xml:space="preserve">Rzeczypospolitej </w:t>
            </w:r>
            <w:r w:rsidRPr="00560F34">
              <w:rPr>
                <w:rFonts w:ascii="Times New Roman" w:hAnsi="Times New Roman"/>
                <w:color w:val="000000"/>
              </w:rPr>
              <w:t>Pols</w:t>
            </w:r>
            <w:r w:rsidR="001221D0">
              <w:rPr>
                <w:rFonts w:ascii="Times New Roman" w:hAnsi="Times New Roman"/>
                <w:color w:val="000000"/>
              </w:rPr>
              <w:t>kiej</w:t>
            </w:r>
            <w:r w:rsidRPr="00560F34">
              <w:rPr>
                <w:rFonts w:ascii="Times New Roman" w:hAnsi="Times New Roman"/>
                <w:color w:val="000000"/>
              </w:rPr>
              <w:t xml:space="preserve">. W 2017 r. złożono 478 wniosków; w 2018 r. – 527; w 2019 r. </w:t>
            </w:r>
            <w:r w:rsidR="001221D0" w:rsidRPr="00560F34">
              <w:rPr>
                <w:rFonts w:ascii="Times New Roman" w:hAnsi="Times New Roman"/>
                <w:color w:val="000000"/>
              </w:rPr>
              <w:t>–</w:t>
            </w:r>
            <w:r w:rsidRPr="00560F34">
              <w:rPr>
                <w:rFonts w:ascii="Times New Roman" w:hAnsi="Times New Roman"/>
                <w:color w:val="000000"/>
              </w:rPr>
              <w:t xml:space="preserve"> 514. Przewiduje się, że projektowane regulacje przyczynią się do 30% wzrostu badań klinicznych prowadzonych w </w:t>
            </w:r>
            <w:r w:rsidR="001221D0">
              <w:rPr>
                <w:rFonts w:ascii="Times New Roman" w:hAnsi="Times New Roman"/>
                <w:color w:val="000000"/>
              </w:rPr>
              <w:t xml:space="preserve">Rzeczypospolitej </w:t>
            </w:r>
            <w:r w:rsidRPr="00560F34">
              <w:rPr>
                <w:rFonts w:ascii="Times New Roman" w:hAnsi="Times New Roman"/>
                <w:color w:val="000000"/>
              </w:rPr>
              <w:t>Pols</w:t>
            </w:r>
            <w:r w:rsidR="001221D0">
              <w:rPr>
                <w:rFonts w:ascii="Times New Roman" w:hAnsi="Times New Roman"/>
                <w:color w:val="000000"/>
              </w:rPr>
              <w:t>kiej</w:t>
            </w:r>
            <w:r w:rsidRPr="00560F34">
              <w:rPr>
                <w:rFonts w:ascii="Times New Roman" w:hAnsi="Times New Roman"/>
                <w:color w:val="000000"/>
              </w:rPr>
              <w:t xml:space="preserve"> w stosunku do 2019 r., co oznacza zwiększenie liczby złożonych wniosków do 668.</w:t>
            </w:r>
          </w:p>
          <w:p w14:paraId="3FD1DF2A" w14:textId="6F980783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Roczne wpływy za opłaty od wniosków o rozpoczęcie badania klinicznego produktu leczniczego wyniosły w 2019 </w:t>
            </w:r>
            <w:r w:rsidR="001221D0">
              <w:rPr>
                <w:rFonts w:ascii="Times New Roman" w:hAnsi="Times New Roman"/>
                <w:color w:val="000000"/>
              </w:rPr>
              <w:t xml:space="preserve">r. </w:t>
            </w:r>
            <w:r w:rsidRPr="00560F34">
              <w:rPr>
                <w:rFonts w:ascii="Times New Roman" w:hAnsi="Times New Roman"/>
                <w:color w:val="000000"/>
              </w:rPr>
              <w:t xml:space="preserve">– 3 963 000 zł. </w:t>
            </w:r>
          </w:p>
          <w:p w14:paraId="716B29E4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Dotychczas wnioski o istotną zmianę badania klinicznego były bezpłatne.</w:t>
            </w:r>
          </w:p>
          <w:p w14:paraId="373315A7" w14:textId="419B3282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Przyjęto założenie, że połowa wniosków o wydanie pozwolenia</w:t>
            </w:r>
            <w:r w:rsidRPr="00560F34">
              <w:rPr>
                <w:rFonts w:ascii="Times New Roman" w:hAnsi="Times New Roman"/>
                <w:bCs/>
                <w:color w:val="000000"/>
              </w:rPr>
              <w:t xml:space="preserve"> na komercyjne badanie kliniczne </w:t>
            </w:r>
            <w:r w:rsidRPr="00560F34">
              <w:rPr>
                <w:rFonts w:ascii="Times New Roman" w:hAnsi="Times New Roman"/>
                <w:color w:val="000000"/>
              </w:rPr>
              <w:t xml:space="preserve">(od ok. 265 w </w:t>
            </w:r>
            <w:r w:rsidR="000D0597" w:rsidRPr="00560F34">
              <w:rPr>
                <w:rFonts w:ascii="Times New Roman" w:hAnsi="Times New Roman"/>
                <w:color w:val="000000"/>
              </w:rPr>
              <w:t xml:space="preserve">2022 </w:t>
            </w:r>
            <w:r w:rsidRPr="00560F34">
              <w:rPr>
                <w:rFonts w:ascii="Times New Roman" w:hAnsi="Times New Roman"/>
                <w:color w:val="000000"/>
              </w:rPr>
              <w:t xml:space="preserve">r. do ok. 334 w </w:t>
            </w:r>
            <w:r w:rsidR="000D0597" w:rsidRPr="00560F34">
              <w:rPr>
                <w:rFonts w:ascii="Times New Roman" w:hAnsi="Times New Roman"/>
                <w:color w:val="000000"/>
              </w:rPr>
              <w:t xml:space="preserve">2031 </w:t>
            </w:r>
            <w:r w:rsidRPr="00560F34">
              <w:rPr>
                <w:rFonts w:ascii="Times New Roman" w:hAnsi="Times New Roman"/>
                <w:color w:val="000000"/>
              </w:rPr>
              <w:t>r.)</w:t>
            </w:r>
            <w:r w:rsidRPr="00560F34">
              <w:rPr>
                <w:rFonts w:ascii="Times New Roman" w:hAnsi="Times New Roman"/>
                <w:bCs/>
                <w:color w:val="000000"/>
              </w:rPr>
              <w:t>, wszystkie wnioski o wydanie pozwolenia na niekomercyjne badanie kliniczne (od ok. 12 w 202</w:t>
            </w:r>
            <w:r w:rsidR="000D0597" w:rsidRPr="00560F34">
              <w:rPr>
                <w:rFonts w:ascii="Times New Roman" w:hAnsi="Times New Roman"/>
                <w:bCs/>
                <w:color w:val="000000"/>
              </w:rPr>
              <w:t>2</w:t>
            </w:r>
            <w:r w:rsidRPr="00560F34">
              <w:rPr>
                <w:rFonts w:ascii="Times New Roman" w:hAnsi="Times New Roman"/>
                <w:bCs/>
                <w:color w:val="000000"/>
              </w:rPr>
              <w:t xml:space="preserve"> r. do ok. 16 w 203</w:t>
            </w:r>
            <w:r w:rsidR="000D0597" w:rsidRPr="00560F34">
              <w:rPr>
                <w:rFonts w:ascii="Times New Roman" w:hAnsi="Times New Roman"/>
                <w:bCs/>
                <w:color w:val="000000"/>
              </w:rPr>
              <w:t>1</w:t>
            </w:r>
            <w:r w:rsidRPr="00560F34">
              <w:rPr>
                <w:rFonts w:ascii="Times New Roman" w:hAnsi="Times New Roman"/>
                <w:bCs/>
                <w:color w:val="000000"/>
              </w:rPr>
              <w:t xml:space="preserve"> r.) oraz 1/3</w:t>
            </w:r>
            <w:r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Pr="00560F34">
              <w:rPr>
                <w:rFonts w:ascii="Times New Roman" w:hAnsi="Times New Roman"/>
                <w:bCs/>
                <w:color w:val="000000"/>
              </w:rPr>
              <w:t>wniosków o wydanie pozwolenia na istotną zmianę badania klinicznego</w:t>
            </w:r>
            <w:r w:rsidRPr="00560F34">
              <w:rPr>
                <w:rFonts w:ascii="Times New Roman" w:hAnsi="Times New Roman"/>
                <w:color w:val="000000"/>
              </w:rPr>
              <w:t xml:space="preserve"> wniosków (od ok. 1 185 w </w:t>
            </w:r>
            <w:r w:rsidR="000D0597" w:rsidRPr="00560F34">
              <w:rPr>
                <w:rFonts w:ascii="Times New Roman" w:hAnsi="Times New Roman"/>
                <w:color w:val="000000"/>
              </w:rPr>
              <w:t xml:space="preserve">2022 </w:t>
            </w:r>
            <w:r w:rsidRPr="00560F34">
              <w:rPr>
                <w:rFonts w:ascii="Times New Roman" w:hAnsi="Times New Roman"/>
                <w:color w:val="000000"/>
              </w:rPr>
              <w:t xml:space="preserve">r. do ok. 1 495 w </w:t>
            </w:r>
            <w:r w:rsidR="000D0597" w:rsidRPr="00560F34">
              <w:rPr>
                <w:rFonts w:ascii="Times New Roman" w:hAnsi="Times New Roman"/>
                <w:color w:val="000000"/>
              </w:rPr>
              <w:t xml:space="preserve">2031 </w:t>
            </w:r>
            <w:r w:rsidRPr="00560F34">
              <w:rPr>
                <w:rFonts w:ascii="Times New Roman" w:hAnsi="Times New Roman"/>
                <w:color w:val="000000"/>
              </w:rPr>
              <w:t>r.) będzie oceniana przez zespoły oceniające NKB. Pozostałe wnioski będą kierowane do wyznaczonych komisji bioetycznych.</w:t>
            </w:r>
          </w:p>
          <w:p w14:paraId="3DD26B07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4C60D0B2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0F34">
              <w:rPr>
                <w:rFonts w:ascii="Times New Roman" w:hAnsi="Times New Roman"/>
                <w:b/>
                <w:color w:val="000000"/>
              </w:rPr>
              <w:t>Kalkulacja wnoszonych opłat:</w:t>
            </w:r>
          </w:p>
          <w:p w14:paraId="39331EBF" w14:textId="295F59EF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Przy założeniu 30% wzrostu składanych wniosków do </w:t>
            </w:r>
            <w:r w:rsidR="001B7D00" w:rsidRPr="00560F34">
              <w:rPr>
                <w:rFonts w:ascii="Times New Roman" w:hAnsi="Times New Roman"/>
                <w:color w:val="000000"/>
              </w:rPr>
              <w:t>203</w:t>
            </w:r>
            <w:r w:rsidR="001B7D00">
              <w:rPr>
                <w:rFonts w:ascii="Times New Roman" w:hAnsi="Times New Roman"/>
                <w:color w:val="000000"/>
              </w:rPr>
              <w:t>1</w:t>
            </w:r>
            <w:r w:rsidR="001B7D00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Pr="00560F34">
              <w:rPr>
                <w:rFonts w:ascii="Times New Roman" w:hAnsi="Times New Roman"/>
                <w:color w:val="000000"/>
              </w:rPr>
              <w:t>r. łączne wpływy z tytułu opłat za ocenę etyczną wszystkich wniosków wyniosą:</w:t>
            </w:r>
          </w:p>
          <w:p w14:paraId="792F564E" w14:textId="06BFDBE2" w:rsidR="00764117" w:rsidRPr="00036095" w:rsidRDefault="000D0597" w:rsidP="00036095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2022 </w:t>
            </w:r>
            <w:r w:rsidR="00764117" w:rsidRPr="00036095">
              <w:rPr>
                <w:rFonts w:ascii="Times New Roman" w:hAnsi="Times New Roman"/>
                <w:color w:val="000000"/>
              </w:rPr>
              <w:t>r. – 25 753 000 zł;</w:t>
            </w:r>
          </w:p>
          <w:p w14:paraId="280EF522" w14:textId="09632AB2" w:rsidR="00764117" w:rsidRPr="00984CCE" w:rsidRDefault="00764117" w:rsidP="00984CCE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4CCE">
              <w:rPr>
                <w:rFonts w:ascii="Times New Roman" w:hAnsi="Times New Roman"/>
                <w:color w:val="000000"/>
              </w:rPr>
              <w:t>202</w:t>
            </w:r>
            <w:r w:rsidR="000D0597" w:rsidRPr="00984CCE">
              <w:rPr>
                <w:rFonts w:ascii="Times New Roman" w:hAnsi="Times New Roman"/>
                <w:color w:val="000000"/>
              </w:rPr>
              <w:t>3</w:t>
            </w:r>
            <w:r w:rsidRPr="00984CCE">
              <w:rPr>
                <w:rFonts w:ascii="Times New Roman" w:hAnsi="Times New Roman"/>
                <w:color w:val="000000"/>
              </w:rPr>
              <w:t xml:space="preserve"> r. – 26 512 000 zł;</w:t>
            </w:r>
          </w:p>
          <w:p w14:paraId="60DEEA7F" w14:textId="7DCAC9DC" w:rsidR="00764117" w:rsidRPr="00984CCE" w:rsidRDefault="000D0597" w:rsidP="00984CCE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4CCE">
              <w:rPr>
                <w:rFonts w:ascii="Times New Roman" w:hAnsi="Times New Roman"/>
                <w:color w:val="000000"/>
              </w:rPr>
              <w:t xml:space="preserve">2024 </w:t>
            </w:r>
            <w:r w:rsidR="00764117" w:rsidRPr="00984CCE">
              <w:rPr>
                <w:rFonts w:ascii="Times New Roman" w:hAnsi="Times New Roman"/>
                <w:color w:val="000000"/>
              </w:rPr>
              <w:t>r. – 27 257 000 zł;</w:t>
            </w:r>
          </w:p>
          <w:p w14:paraId="62D6FF79" w14:textId="65D48B4A" w:rsidR="00764117" w:rsidRPr="00984CCE" w:rsidRDefault="000D0597" w:rsidP="00984CCE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4CCE">
              <w:rPr>
                <w:rFonts w:ascii="Times New Roman" w:hAnsi="Times New Roman"/>
                <w:color w:val="000000"/>
              </w:rPr>
              <w:t xml:space="preserve">2025 </w:t>
            </w:r>
            <w:r w:rsidR="00764117" w:rsidRPr="00984CCE">
              <w:rPr>
                <w:rFonts w:ascii="Times New Roman" w:hAnsi="Times New Roman"/>
                <w:color w:val="000000"/>
              </w:rPr>
              <w:t>r. – 28 012 000 zł;</w:t>
            </w:r>
          </w:p>
          <w:p w14:paraId="6D13B007" w14:textId="25F089F3" w:rsidR="00764117" w:rsidRPr="00984CCE" w:rsidRDefault="00764117" w:rsidP="00984CCE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4CCE">
              <w:rPr>
                <w:rFonts w:ascii="Times New Roman" w:hAnsi="Times New Roman"/>
                <w:color w:val="000000"/>
              </w:rPr>
              <w:t>202</w:t>
            </w:r>
            <w:r w:rsidR="000D0597" w:rsidRPr="00984CCE">
              <w:rPr>
                <w:rFonts w:ascii="Times New Roman" w:hAnsi="Times New Roman"/>
                <w:color w:val="000000"/>
              </w:rPr>
              <w:t>6</w:t>
            </w:r>
            <w:r w:rsidRPr="00984CCE">
              <w:rPr>
                <w:rFonts w:ascii="Times New Roman" w:hAnsi="Times New Roman"/>
                <w:color w:val="000000"/>
              </w:rPr>
              <w:t xml:space="preserve"> r. – 28 761 000 zł;</w:t>
            </w:r>
          </w:p>
          <w:p w14:paraId="2754EC0A" w14:textId="17E8F09E" w:rsidR="00764117" w:rsidRPr="00984CCE" w:rsidRDefault="00764117" w:rsidP="00984CCE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4CCE">
              <w:rPr>
                <w:rFonts w:ascii="Times New Roman" w:hAnsi="Times New Roman"/>
                <w:color w:val="000000"/>
              </w:rPr>
              <w:t>202</w:t>
            </w:r>
            <w:r w:rsidR="000D0597" w:rsidRPr="00984CCE">
              <w:rPr>
                <w:rFonts w:ascii="Times New Roman" w:hAnsi="Times New Roman"/>
                <w:color w:val="000000"/>
              </w:rPr>
              <w:t>7</w:t>
            </w:r>
            <w:r w:rsidRPr="00984CCE">
              <w:rPr>
                <w:rFonts w:ascii="Times New Roman" w:hAnsi="Times New Roman"/>
                <w:color w:val="000000"/>
              </w:rPr>
              <w:t xml:space="preserve"> r. – 29 516 000 zł;</w:t>
            </w:r>
          </w:p>
          <w:p w14:paraId="7FEFF9E5" w14:textId="5E639FDC" w:rsidR="00764117" w:rsidRPr="00984CCE" w:rsidRDefault="00764117" w:rsidP="00984CCE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4CCE">
              <w:rPr>
                <w:rFonts w:ascii="Times New Roman" w:hAnsi="Times New Roman"/>
                <w:color w:val="000000"/>
              </w:rPr>
              <w:t>202</w:t>
            </w:r>
            <w:r w:rsidR="000D0597" w:rsidRPr="00984CCE">
              <w:rPr>
                <w:rFonts w:ascii="Times New Roman" w:hAnsi="Times New Roman"/>
                <w:color w:val="000000"/>
              </w:rPr>
              <w:t>8</w:t>
            </w:r>
            <w:r w:rsidRPr="00984CCE">
              <w:rPr>
                <w:rFonts w:ascii="Times New Roman" w:hAnsi="Times New Roman"/>
                <w:color w:val="000000"/>
              </w:rPr>
              <w:t xml:space="preserve"> r. – 30 265 000 zł;</w:t>
            </w:r>
          </w:p>
          <w:p w14:paraId="3452C439" w14:textId="2EF8992F" w:rsidR="00764117" w:rsidRPr="00984CCE" w:rsidRDefault="00764117" w:rsidP="00984CCE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4CCE">
              <w:rPr>
                <w:rFonts w:ascii="Times New Roman" w:hAnsi="Times New Roman"/>
                <w:color w:val="000000"/>
              </w:rPr>
              <w:t>202</w:t>
            </w:r>
            <w:r w:rsidR="000D0597" w:rsidRPr="00984CCE">
              <w:rPr>
                <w:rFonts w:ascii="Times New Roman" w:hAnsi="Times New Roman"/>
                <w:color w:val="000000"/>
              </w:rPr>
              <w:t>9</w:t>
            </w:r>
            <w:r w:rsidRPr="00984CCE">
              <w:rPr>
                <w:rFonts w:ascii="Times New Roman" w:hAnsi="Times New Roman"/>
                <w:color w:val="000000"/>
              </w:rPr>
              <w:t xml:space="preserve"> r. – 31 005 000 zł;</w:t>
            </w:r>
          </w:p>
          <w:p w14:paraId="663E8643" w14:textId="121966E2" w:rsidR="00764117" w:rsidRPr="00984CCE" w:rsidRDefault="00764117" w:rsidP="00984CCE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4CCE">
              <w:rPr>
                <w:rFonts w:ascii="Times New Roman" w:hAnsi="Times New Roman"/>
                <w:color w:val="000000"/>
              </w:rPr>
              <w:t>20</w:t>
            </w:r>
            <w:r w:rsidR="000D0597" w:rsidRPr="00984CCE">
              <w:rPr>
                <w:rFonts w:ascii="Times New Roman" w:hAnsi="Times New Roman"/>
                <w:color w:val="000000"/>
              </w:rPr>
              <w:t>30</w:t>
            </w:r>
            <w:r w:rsidRPr="00984CCE">
              <w:rPr>
                <w:rFonts w:ascii="Times New Roman" w:hAnsi="Times New Roman"/>
                <w:color w:val="000000"/>
              </w:rPr>
              <w:t xml:space="preserve"> r. – 31 765 000 zł;</w:t>
            </w:r>
          </w:p>
          <w:p w14:paraId="07B1A417" w14:textId="738CB887" w:rsidR="00764117" w:rsidRPr="00984CCE" w:rsidRDefault="00764117" w:rsidP="00984CCE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4CCE">
              <w:rPr>
                <w:rFonts w:ascii="Times New Roman" w:hAnsi="Times New Roman"/>
                <w:color w:val="000000"/>
              </w:rPr>
              <w:t>203</w:t>
            </w:r>
            <w:r w:rsidR="000D0597" w:rsidRPr="00984CCE">
              <w:rPr>
                <w:rFonts w:ascii="Times New Roman" w:hAnsi="Times New Roman"/>
                <w:color w:val="000000"/>
              </w:rPr>
              <w:t>1</w:t>
            </w:r>
            <w:r w:rsidRPr="00984CCE">
              <w:rPr>
                <w:rFonts w:ascii="Times New Roman" w:hAnsi="Times New Roman"/>
                <w:color w:val="000000"/>
              </w:rPr>
              <w:t xml:space="preserve"> r. – 32 509 000 zł;</w:t>
            </w:r>
          </w:p>
          <w:p w14:paraId="44F0C179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w tym:</w:t>
            </w:r>
          </w:p>
          <w:p w14:paraId="633B24DC" w14:textId="7EA502B5" w:rsidR="00764117" w:rsidRPr="00560F34" w:rsidRDefault="001221D0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–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za ocenę etyczną wniosku o pozwolenia na prowadzenie komercyjnego badania klinicznego:</w:t>
            </w:r>
          </w:p>
          <w:p w14:paraId="6F01E6F5" w14:textId="788FF75E" w:rsidR="00764117" w:rsidRPr="00560F34" w:rsidRDefault="000D0597" w:rsidP="00764117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4" w:name="_Hlk54775905"/>
            <w:r w:rsidRPr="00560F34">
              <w:rPr>
                <w:rFonts w:ascii="Times New Roman" w:hAnsi="Times New Roman"/>
                <w:color w:val="000000"/>
              </w:rPr>
              <w:t>2022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r. – 7 935 000 zł (529*15 000 zł);</w:t>
            </w:r>
          </w:p>
          <w:p w14:paraId="37063971" w14:textId="4611D9BE" w:rsidR="00764117" w:rsidRPr="00560F34" w:rsidRDefault="000D0597" w:rsidP="00764117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2023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r. – 8 175 000 zł (545*15 000 zł );</w:t>
            </w:r>
          </w:p>
          <w:p w14:paraId="04D68862" w14:textId="35DB2CF5" w:rsidR="00764117" w:rsidRPr="00560F34" w:rsidRDefault="00764117" w:rsidP="00764117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4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8 400 000 zł (560*15 000 zł);</w:t>
            </w:r>
          </w:p>
          <w:p w14:paraId="353AD365" w14:textId="3458922A" w:rsidR="00764117" w:rsidRPr="00560F34" w:rsidRDefault="00764117" w:rsidP="00764117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5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8 640 000 zł (576*15 000 zł);</w:t>
            </w:r>
          </w:p>
          <w:p w14:paraId="2CCCA195" w14:textId="44EC22F5" w:rsidR="00764117" w:rsidRPr="00560F34" w:rsidRDefault="00764117" w:rsidP="00764117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6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8 865 000 zł (591*15 000 zł);</w:t>
            </w:r>
          </w:p>
          <w:p w14:paraId="415FAD71" w14:textId="3205F8B5" w:rsidR="00764117" w:rsidRPr="00560F34" w:rsidRDefault="00764117" w:rsidP="00764117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7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9 105 000 zł (607*15 000 zł);</w:t>
            </w:r>
          </w:p>
          <w:p w14:paraId="0E8D9980" w14:textId="2A22FA38" w:rsidR="00764117" w:rsidRPr="00560F34" w:rsidRDefault="00764117" w:rsidP="00764117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8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9 330 000 zł (622*15 000 zł);</w:t>
            </w:r>
          </w:p>
          <w:p w14:paraId="694687FB" w14:textId="1AE5EE3E" w:rsidR="00764117" w:rsidRPr="00560F34" w:rsidRDefault="00764117" w:rsidP="00764117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9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9 555 000 zł (637*15 000 zł);</w:t>
            </w:r>
          </w:p>
          <w:p w14:paraId="51DBA922" w14:textId="01F18756" w:rsidR="00764117" w:rsidRPr="00560F34" w:rsidRDefault="00764117" w:rsidP="00764117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</w:t>
            </w:r>
            <w:r w:rsidR="000D0597" w:rsidRPr="00560F34">
              <w:rPr>
                <w:rFonts w:ascii="Times New Roman" w:hAnsi="Times New Roman"/>
                <w:color w:val="000000"/>
              </w:rPr>
              <w:t>30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9 795 000 zł (653*15 000 zł);</w:t>
            </w:r>
          </w:p>
          <w:p w14:paraId="72F46E57" w14:textId="29E1944F" w:rsidR="00764117" w:rsidRPr="00560F34" w:rsidRDefault="00764117" w:rsidP="00764117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203</w:t>
            </w:r>
            <w:r w:rsidR="000D0597" w:rsidRPr="00560F34">
              <w:rPr>
                <w:rFonts w:ascii="Times New Roman" w:hAnsi="Times New Roman"/>
                <w:color w:val="000000"/>
              </w:rPr>
              <w:t>1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10 020 000 zł (668*15 000 zł).</w:t>
            </w:r>
          </w:p>
          <w:bookmarkEnd w:id="4"/>
          <w:p w14:paraId="2639FC83" w14:textId="1B65E4D3" w:rsidR="00764117" w:rsidRPr="00560F34" w:rsidRDefault="001221D0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–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za ocenę etyczną wniosku o pozwolenia na prowadzenie niekomercyjnego badania klinicznego:</w:t>
            </w:r>
          </w:p>
          <w:p w14:paraId="1998FFA4" w14:textId="0894C34E" w:rsidR="00764117" w:rsidRPr="00560F34" w:rsidRDefault="000D0597" w:rsidP="00036095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2022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r. – 48 000 zł (12*4 000 zł);</w:t>
            </w:r>
          </w:p>
          <w:p w14:paraId="1D93E616" w14:textId="4E153258" w:rsidR="00764117" w:rsidRPr="00560F34" w:rsidRDefault="000D0597" w:rsidP="00036095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2023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r. – 52 000 zł (13*4 000 zł);</w:t>
            </w:r>
          </w:p>
          <w:p w14:paraId="4DEE939D" w14:textId="1E393DDA" w:rsidR="00764117" w:rsidRPr="00560F34" w:rsidRDefault="00764117" w:rsidP="00036095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4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52 000 zł (13*4 000 zł);</w:t>
            </w:r>
          </w:p>
          <w:p w14:paraId="54A1BBA9" w14:textId="15068C8B" w:rsidR="00764117" w:rsidRPr="00560F34" w:rsidRDefault="00764117" w:rsidP="00036095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5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52 000 zł (13*4 000 zł);</w:t>
            </w:r>
          </w:p>
          <w:p w14:paraId="5BA92320" w14:textId="374A7AC0" w:rsidR="00764117" w:rsidRPr="00560F34" w:rsidRDefault="00764117" w:rsidP="00036095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6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56 000 zł (14*4 000 zł);</w:t>
            </w:r>
          </w:p>
          <w:p w14:paraId="02B56F93" w14:textId="3F53F1D0" w:rsidR="00764117" w:rsidRPr="00560F34" w:rsidRDefault="00764117" w:rsidP="00036095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7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56 000 zł (14*4 000 zł);</w:t>
            </w:r>
          </w:p>
          <w:p w14:paraId="058611EE" w14:textId="12709F24" w:rsidR="00764117" w:rsidRPr="00560F34" w:rsidRDefault="00764117" w:rsidP="00036095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8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60 000 zł (15*4 000 zł);</w:t>
            </w:r>
          </w:p>
          <w:p w14:paraId="036A7B6F" w14:textId="0595F51C" w:rsidR="00764117" w:rsidRPr="00560F34" w:rsidRDefault="00764117" w:rsidP="00036095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9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60 000 zł (15*4 000 zł);</w:t>
            </w:r>
          </w:p>
          <w:p w14:paraId="270DFCA0" w14:textId="64E8DC28" w:rsidR="00764117" w:rsidRPr="00560F34" w:rsidRDefault="00764117" w:rsidP="00036095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</w:t>
            </w:r>
            <w:r w:rsidR="000D0597" w:rsidRPr="00560F34">
              <w:rPr>
                <w:rFonts w:ascii="Times New Roman" w:hAnsi="Times New Roman"/>
                <w:color w:val="000000"/>
              </w:rPr>
              <w:t>30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60 000 zł (15*4 000 zł);</w:t>
            </w:r>
          </w:p>
          <w:p w14:paraId="5EA15041" w14:textId="5452D215" w:rsidR="00764117" w:rsidRPr="00560F34" w:rsidRDefault="00764117" w:rsidP="00036095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203</w:t>
            </w:r>
            <w:r w:rsidR="000D0597" w:rsidRPr="00560F34">
              <w:rPr>
                <w:rFonts w:ascii="Times New Roman" w:hAnsi="Times New Roman"/>
                <w:color w:val="000000"/>
              </w:rPr>
              <w:t>1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64 000 zł (16*4 000 zł):</w:t>
            </w:r>
          </w:p>
          <w:p w14:paraId="66432776" w14:textId="67638962" w:rsidR="00764117" w:rsidRPr="00036095" w:rsidRDefault="001221D0" w:rsidP="00036095">
            <w:pPr>
              <w:pStyle w:val="Akapitzlist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–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za ocenę etyczną wniosku o pozwolenia na istotną zmianę badania klinicznego</w:t>
            </w:r>
            <w:bookmarkStart w:id="5" w:name="_Hlk54775979"/>
            <w:r w:rsidR="00764117" w:rsidRPr="00560F34">
              <w:rPr>
                <w:rFonts w:ascii="Times New Roman" w:hAnsi="Times New Roman"/>
                <w:color w:val="000000"/>
              </w:rPr>
              <w:t>:</w:t>
            </w:r>
            <w:r w:rsidR="000D0597" w:rsidRPr="00036095">
              <w:rPr>
                <w:rFonts w:ascii="Times New Roman" w:hAnsi="Times New Roman"/>
                <w:color w:val="000000"/>
              </w:rPr>
              <w:t>2022</w:t>
            </w:r>
            <w:r w:rsidR="00764117" w:rsidRPr="00036095">
              <w:rPr>
                <w:rFonts w:ascii="Times New Roman" w:hAnsi="Times New Roman"/>
                <w:color w:val="000000"/>
              </w:rPr>
              <w:t xml:space="preserve"> r. – 17 770 000 zł (3 554*5 000 zł);</w:t>
            </w:r>
          </w:p>
          <w:p w14:paraId="394DB44E" w14:textId="58019074" w:rsidR="00764117" w:rsidRPr="00560F34" w:rsidRDefault="000D0597" w:rsidP="00036095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2023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r. – 18 285 000 zł (3 657*5 000 zł);</w:t>
            </w:r>
          </w:p>
          <w:p w14:paraId="750AF763" w14:textId="4F0F9E90" w:rsidR="00764117" w:rsidRPr="00560F34" w:rsidRDefault="00764117" w:rsidP="00036095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4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18 805 000 zł (3 761*5 000 zł);</w:t>
            </w:r>
          </w:p>
          <w:p w14:paraId="40C1961D" w14:textId="2542CDC9" w:rsidR="00764117" w:rsidRPr="00560F34" w:rsidRDefault="00764117" w:rsidP="00036095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5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19 320 000 zł (3 864*5 000 zł);</w:t>
            </w:r>
          </w:p>
          <w:p w14:paraId="5DA8A7D5" w14:textId="0EDD58D6" w:rsidR="00764117" w:rsidRPr="00560F34" w:rsidRDefault="00764117" w:rsidP="00036095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6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19 840 000 zł (3 968*5 000 zł);</w:t>
            </w:r>
          </w:p>
          <w:p w14:paraId="2A3B734B" w14:textId="5CA5C1CA" w:rsidR="00764117" w:rsidRPr="00560F34" w:rsidRDefault="00764117" w:rsidP="00036095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7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20 355 000 zł (4 071*5 000 zł);</w:t>
            </w:r>
          </w:p>
          <w:p w14:paraId="45C2C0B7" w14:textId="5E083720" w:rsidR="00764117" w:rsidRPr="00560F34" w:rsidRDefault="00764117" w:rsidP="00036095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lastRenderedPageBreak/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8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20 875 000 zł (4 175*5 000 zł);</w:t>
            </w:r>
          </w:p>
          <w:p w14:paraId="5B67F65C" w14:textId="7C37B12B" w:rsidR="00764117" w:rsidRPr="00560F34" w:rsidRDefault="00764117" w:rsidP="00036095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9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21 390 000 zł (4 278*5 000 zł);</w:t>
            </w:r>
          </w:p>
          <w:p w14:paraId="3E630502" w14:textId="7F94CA0F" w:rsidR="00764117" w:rsidRPr="00560F34" w:rsidRDefault="00764117" w:rsidP="00036095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</w:t>
            </w:r>
            <w:r w:rsidR="000D0597" w:rsidRPr="00560F34">
              <w:rPr>
                <w:rFonts w:ascii="Times New Roman" w:hAnsi="Times New Roman"/>
                <w:color w:val="000000"/>
              </w:rPr>
              <w:t>30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21 910 000 zł (4 382*5 000 zł);</w:t>
            </w:r>
          </w:p>
          <w:p w14:paraId="77C3F28B" w14:textId="0A18A301" w:rsidR="00764117" w:rsidRPr="00560F34" w:rsidRDefault="00764117" w:rsidP="00036095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203</w:t>
            </w:r>
            <w:r w:rsidR="000D0597" w:rsidRPr="00560F34">
              <w:rPr>
                <w:rFonts w:ascii="Times New Roman" w:hAnsi="Times New Roman"/>
                <w:color w:val="000000"/>
              </w:rPr>
              <w:t>1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22 425 000 zł (4 485*5 000 zł).</w:t>
            </w:r>
          </w:p>
          <w:bookmarkEnd w:id="5"/>
          <w:p w14:paraId="333CB003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A39441F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Przyjmując rozpatrywanie około połowy wniosków o pozwolenia na prowadzenie komercyjnego badania klinicznego, wszystkich dotyczących pozwolenia na prowadzenie niekomercyjnego badania klinicznego oraz 1/3 wniosku o pozwolenia na  istotną zmianę badania klinicznego </w:t>
            </w:r>
            <w:r w:rsidRPr="00560F34">
              <w:rPr>
                <w:rFonts w:ascii="Times New Roman" w:hAnsi="Times New Roman"/>
                <w:b/>
                <w:color w:val="000000"/>
              </w:rPr>
              <w:t>łączne dochody NKB z tytułu opłat w poszczególnych latach wyniosą:</w:t>
            </w:r>
          </w:p>
          <w:p w14:paraId="41F73BB8" w14:textId="7275EDE1" w:rsidR="00764117" w:rsidRPr="00036095" w:rsidRDefault="000D0597" w:rsidP="00890847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78" w:hanging="378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2022</w:t>
            </w:r>
            <w:r w:rsidR="00764117" w:rsidRPr="00036095">
              <w:rPr>
                <w:rFonts w:ascii="Times New Roman" w:hAnsi="Times New Roman"/>
                <w:color w:val="000000"/>
              </w:rPr>
              <w:t xml:space="preserve"> r. –   9 948 000 zł;</w:t>
            </w:r>
          </w:p>
          <w:p w14:paraId="44BACF3F" w14:textId="3133CC4C" w:rsidR="00764117" w:rsidRPr="00890847" w:rsidRDefault="00764117" w:rsidP="00CE03CE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78" w:hanging="378"/>
              <w:jc w:val="both"/>
              <w:rPr>
                <w:rFonts w:ascii="Times New Roman" w:hAnsi="Times New Roman"/>
                <w:color w:val="000000"/>
              </w:rPr>
            </w:pPr>
            <w:r w:rsidRPr="00890847">
              <w:rPr>
                <w:rFonts w:ascii="Times New Roman" w:hAnsi="Times New Roman"/>
                <w:color w:val="000000"/>
              </w:rPr>
              <w:t>202</w:t>
            </w:r>
            <w:r w:rsidR="000D0597" w:rsidRPr="00890847">
              <w:rPr>
                <w:rFonts w:ascii="Times New Roman" w:hAnsi="Times New Roman"/>
                <w:color w:val="000000"/>
              </w:rPr>
              <w:t>3</w:t>
            </w:r>
            <w:r w:rsidRPr="00890847">
              <w:rPr>
                <w:rFonts w:ascii="Times New Roman" w:hAnsi="Times New Roman"/>
                <w:color w:val="000000"/>
              </w:rPr>
              <w:t xml:space="preserve"> r. – 10 242 000 zł;</w:t>
            </w:r>
          </w:p>
          <w:p w14:paraId="4DAD6FB7" w14:textId="2B3152DB" w:rsidR="00764117" w:rsidRPr="00890847" w:rsidRDefault="00764117" w:rsidP="00CE03CE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78" w:hanging="378"/>
              <w:jc w:val="both"/>
              <w:rPr>
                <w:rFonts w:ascii="Times New Roman" w:hAnsi="Times New Roman"/>
                <w:color w:val="000000"/>
              </w:rPr>
            </w:pPr>
            <w:r w:rsidRPr="00890847">
              <w:rPr>
                <w:rFonts w:ascii="Times New Roman" w:hAnsi="Times New Roman"/>
                <w:color w:val="000000"/>
              </w:rPr>
              <w:t>202</w:t>
            </w:r>
            <w:r w:rsidR="000D0597" w:rsidRPr="00890847">
              <w:rPr>
                <w:rFonts w:ascii="Times New Roman" w:hAnsi="Times New Roman"/>
                <w:color w:val="000000"/>
              </w:rPr>
              <w:t>4</w:t>
            </w:r>
            <w:r w:rsidRPr="00890847">
              <w:rPr>
                <w:rFonts w:ascii="Times New Roman" w:hAnsi="Times New Roman"/>
                <w:color w:val="000000"/>
              </w:rPr>
              <w:t xml:space="preserve"> r. – 10 522 000 zł;</w:t>
            </w:r>
          </w:p>
          <w:p w14:paraId="11A3926E" w14:textId="1E446DD5" w:rsidR="00764117" w:rsidRPr="00890847" w:rsidRDefault="00764117" w:rsidP="00CE03CE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78" w:hanging="378"/>
              <w:jc w:val="both"/>
              <w:rPr>
                <w:rFonts w:ascii="Times New Roman" w:hAnsi="Times New Roman"/>
                <w:color w:val="000000"/>
              </w:rPr>
            </w:pPr>
            <w:r w:rsidRPr="00890847">
              <w:rPr>
                <w:rFonts w:ascii="Times New Roman" w:hAnsi="Times New Roman"/>
                <w:color w:val="000000"/>
              </w:rPr>
              <w:t>202</w:t>
            </w:r>
            <w:r w:rsidR="000D0597" w:rsidRPr="00890847">
              <w:rPr>
                <w:rFonts w:ascii="Times New Roman" w:hAnsi="Times New Roman"/>
                <w:color w:val="000000"/>
              </w:rPr>
              <w:t>5</w:t>
            </w:r>
            <w:r w:rsidRPr="00890847">
              <w:rPr>
                <w:rFonts w:ascii="Times New Roman" w:hAnsi="Times New Roman"/>
                <w:color w:val="000000"/>
              </w:rPr>
              <w:t xml:space="preserve"> r. – 10 812 000 zł;</w:t>
            </w:r>
          </w:p>
          <w:p w14:paraId="4B353C5C" w14:textId="423648CA" w:rsidR="00764117" w:rsidRPr="00890847" w:rsidRDefault="00764117" w:rsidP="00CE03CE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78" w:hanging="378"/>
              <w:jc w:val="both"/>
              <w:rPr>
                <w:rFonts w:ascii="Times New Roman" w:hAnsi="Times New Roman"/>
                <w:color w:val="000000"/>
              </w:rPr>
            </w:pPr>
            <w:r w:rsidRPr="00890847">
              <w:rPr>
                <w:rFonts w:ascii="Times New Roman" w:hAnsi="Times New Roman"/>
                <w:color w:val="000000"/>
              </w:rPr>
              <w:t>202</w:t>
            </w:r>
            <w:r w:rsidR="000D0597" w:rsidRPr="00890847">
              <w:rPr>
                <w:rFonts w:ascii="Times New Roman" w:hAnsi="Times New Roman"/>
                <w:color w:val="000000"/>
              </w:rPr>
              <w:t>6</w:t>
            </w:r>
            <w:r w:rsidRPr="00890847">
              <w:rPr>
                <w:rFonts w:ascii="Times New Roman" w:hAnsi="Times New Roman"/>
                <w:color w:val="000000"/>
              </w:rPr>
              <w:t xml:space="preserve"> r. – 11 111 000 zł;</w:t>
            </w:r>
          </w:p>
          <w:p w14:paraId="54596A51" w14:textId="37934101" w:rsidR="00764117" w:rsidRPr="00890847" w:rsidRDefault="00764117" w:rsidP="00CE03CE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78" w:hanging="378"/>
              <w:jc w:val="both"/>
              <w:rPr>
                <w:rFonts w:ascii="Times New Roman" w:hAnsi="Times New Roman"/>
                <w:color w:val="000000"/>
              </w:rPr>
            </w:pPr>
            <w:r w:rsidRPr="00890847">
              <w:rPr>
                <w:rFonts w:ascii="Times New Roman" w:hAnsi="Times New Roman"/>
                <w:color w:val="000000"/>
              </w:rPr>
              <w:t>202</w:t>
            </w:r>
            <w:r w:rsidR="000D0597" w:rsidRPr="00890847">
              <w:rPr>
                <w:rFonts w:ascii="Times New Roman" w:hAnsi="Times New Roman"/>
                <w:color w:val="000000"/>
              </w:rPr>
              <w:t>7</w:t>
            </w:r>
            <w:r w:rsidRPr="00890847">
              <w:rPr>
                <w:rFonts w:ascii="Times New Roman" w:hAnsi="Times New Roman"/>
                <w:color w:val="000000"/>
              </w:rPr>
              <w:t xml:space="preserve"> r. – 11 401 000 zł;</w:t>
            </w:r>
          </w:p>
          <w:p w14:paraId="0550778D" w14:textId="2731921D" w:rsidR="00764117" w:rsidRPr="00890847" w:rsidRDefault="00764117" w:rsidP="00CE03CE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78" w:hanging="378"/>
              <w:jc w:val="both"/>
              <w:rPr>
                <w:rFonts w:ascii="Times New Roman" w:hAnsi="Times New Roman"/>
                <w:color w:val="000000"/>
              </w:rPr>
            </w:pPr>
            <w:r w:rsidRPr="00890847">
              <w:rPr>
                <w:rFonts w:ascii="Times New Roman" w:hAnsi="Times New Roman"/>
                <w:color w:val="000000"/>
              </w:rPr>
              <w:t>202</w:t>
            </w:r>
            <w:r w:rsidR="000D0597" w:rsidRPr="00890847">
              <w:rPr>
                <w:rFonts w:ascii="Times New Roman" w:hAnsi="Times New Roman"/>
                <w:color w:val="000000"/>
              </w:rPr>
              <w:t>8</w:t>
            </w:r>
            <w:r w:rsidRPr="00890847">
              <w:rPr>
                <w:rFonts w:ascii="Times New Roman" w:hAnsi="Times New Roman"/>
                <w:color w:val="000000"/>
              </w:rPr>
              <w:t xml:space="preserve"> r. – 11 685 000 zł;</w:t>
            </w:r>
          </w:p>
          <w:p w14:paraId="7B0712B1" w14:textId="33BF38B4" w:rsidR="00764117" w:rsidRPr="00890847" w:rsidRDefault="00764117" w:rsidP="00CE03CE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78" w:hanging="378"/>
              <w:jc w:val="both"/>
              <w:rPr>
                <w:rFonts w:ascii="Times New Roman" w:hAnsi="Times New Roman"/>
                <w:color w:val="000000"/>
              </w:rPr>
            </w:pPr>
            <w:r w:rsidRPr="00890847">
              <w:rPr>
                <w:rFonts w:ascii="Times New Roman" w:hAnsi="Times New Roman"/>
                <w:color w:val="000000"/>
              </w:rPr>
              <w:t>202</w:t>
            </w:r>
            <w:r w:rsidR="000D0597" w:rsidRPr="00890847">
              <w:rPr>
                <w:rFonts w:ascii="Times New Roman" w:hAnsi="Times New Roman"/>
                <w:color w:val="000000"/>
              </w:rPr>
              <w:t>9</w:t>
            </w:r>
            <w:r w:rsidRPr="00890847">
              <w:rPr>
                <w:rFonts w:ascii="Times New Roman" w:hAnsi="Times New Roman"/>
                <w:color w:val="000000"/>
              </w:rPr>
              <w:t xml:space="preserve"> r. – 11 975 000 zł;</w:t>
            </w:r>
          </w:p>
          <w:p w14:paraId="59651286" w14:textId="49EF26E2" w:rsidR="00764117" w:rsidRPr="00890847" w:rsidRDefault="00764117" w:rsidP="00CE03CE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78" w:hanging="378"/>
              <w:jc w:val="both"/>
              <w:rPr>
                <w:rFonts w:ascii="Times New Roman" w:hAnsi="Times New Roman"/>
                <w:color w:val="000000"/>
              </w:rPr>
            </w:pPr>
            <w:r w:rsidRPr="00890847">
              <w:rPr>
                <w:rFonts w:ascii="Times New Roman" w:hAnsi="Times New Roman"/>
                <w:color w:val="000000"/>
              </w:rPr>
              <w:t>20</w:t>
            </w:r>
            <w:r w:rsidR="000D0597" w:rsidRPr="00890847">
              <w:rPr>
                <w:rFonts w:ascii="Times New Roman" w:hAnsi="Times New Roman"/>
                <w:color w:val="000000"/>
              </w:rPr>
              <w:t>30</w:t>
            </w:r>
            <w:r w:rsidRPr="00890847">
              <w:rPr>
                <w:rFonts w:ascii="Times New Roman" w:hAnsi="Times New Roman"/>
                <w:color w:val="000000"/>
              </w:rPr>
              <w:t xml:space="preserve"> r. – 12 270 000 zł;</w:t>
            </w:r>
          </w:p>
          <w:p w14:paraId="15849332" w14:textId="76B38F9A" w:rsidR="00764117" w:rsidRPr="00890847" w:rsidRDefault="00764117" w:rsidP="00CE03CE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78" w:hanging="378"/>
              <w:jc w:val="both"/>
              <w:rPr>
                <w:rFonts w:ascii="Times New Roman" w:hAnsi="Times New Roman"/>
                <w:color w:val="000000"/>
              </w:rPr>
            </w:pPr>
            <w:r w:rsidRPr="00890847">
              <w:rPr>
                <w:rFonts w:ascii="Times New Roman" w:hAnsi="Times New Roman"/>
                <w:color w:val="000000"/>
              </w:rPr>
              <w:t>203</w:t>
            </w:r>
            <w:r w:rsidR="000D0597" w:rsidRPr="00890847">
              <w:rPr>
                <w:rFonts w:ascii="Times New Roman" w:hAnsi="Times New Roman"/>
                <w:color w:val="000000"/>
              </w:rPr>
              <w:t>1</w:t>
            </w:r>
            <w:r w:rsidRPr="00890847">
              <w:rPr>
                <w:rFonts w:ascii="Times New Roman" w:hAnsi="Times New Roman"/>
                <w:color w:val="000000"/>
              </w:rPr>
              <w:t xml:space="preserve"> r. – 12 549 000 zł;</w:t>
            </w:r>
          </w:p>
          <w:p w14:paraId="1A0FA9F3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w tym:</w:t>
            </w:r>
          </w:p>
          <w:p w14:paraId="65F79F60" w14:textId="42F17B39" w:rsidR="00764117" w:rsidRPr="00560F34" w:rsidRDefault="001221D0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–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za ocenę etyczną wniosku o pozwolenia na prowadzenie komercyjnego badania klinicznego: </w:t>
            </w:r>
          </w:p>
          <w:p w14:paraId="67AA0661" w14:textId="61990F8A" w:rsidR="00764117" w:rsidRPr="00560F34" w:rsidRDefault="000D0597" w:rsidP="00036095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2022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r. – 3 975 000 zł (265*15 000 zł);</w:t>
            </w:r>
          </w:p>
          <w:p w14:paraId="00C3B5A6" w14:textId="47F60011" w:rsidR="00764117" w:rsidRPr="00560F34" w:rsidRDefault="00764117" w:rsidP="00036095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3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4 095 000 zł (273*15 000 zł);</w:t>
            </w:r>
          </w:p>
          <w:p w14:paraId="6F1C3ED3" w14:textId="436D6B56" w:rsidR="00764117" w:rsidRPr="00560F34" w:rsidRDefault="00764117" w:rsidP="00036095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4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4 200 000 zł (280*15 000 zł);</w:t>
            </w:r>
          </w:p>
          <w:p w14:paraId="29A31439" w14:textId="57BB8FF1" w:rsidR="00764117" w:rsidRPr="00560F34" w:rsidRDefault="00764117" w:rsidP="00036095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5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4 320 000 zł (288*15 000 zł);</w:t>
            </w:r>
          </w:p>
          <w:p w14:paraId="704B9F8D" w14:textId="518DF840" w:rsidR="00764117" w:rsidRPr="00560F34" w:rsidRDefault="00764117" w:rsidP="00036095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6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4 440 000 zł (296*15 000 zł);</w:t>
            </w:r>
          </w:p>
          <w:p w14:paraId="2034E40D" w14:textId="4E799813" w:rsidR="00764117" w:rsidRPr="00560F34" w:rsidRDefault="00764117" w:rsidP="00036095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7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4 560 000 zł (304*15 000 zł);</w:t>
            </w:r>
          </w:p>
          <w:p w14:paraId="281D9C11" w14:textId="29CBEF2A" w:rsidR="00764117" w:rsidRPr="00560F34" w:rsidRDefault="00764117" w:rsidP="00036095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8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4 665 000 zł (311*15 000 zł);</w:t>
            </w:r>
          </w:p>
          <w:p w14:paraId="12F90DBF" w14:textId="0FA2E511" w:rsidR="00764117" w:rsidRPr="00560F34" w:rsidRDefault="00764117" w:rsidP="00036095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9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4 785 000 zł (319*15 000 zł);</w:t>
            </w:r>
          </w:p>
          <w:p w14:paraId="77911C7E" w14:textId="773A8999" w:rsidR="00764117" w:rsidRPr="00560F34" w:rsidRDefault="00764117" w:rsidP="00036095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</w:t>
            </w:r>
            <w:r w:rsidR="000D0597" w:rsidRPr="00560F34">
              <w:rPr>
                <w:rFonts w:ascii="Times New Roman" w:hAnsi="Times New Roman"/>
                <w:color w:val="000000"/>
              </w:rPr>
              <w:t>30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4 905 000 zł (327*15 000 zł);</w:t>
            </w:r>
          </w:p>
          <w:p w14:paraId="14FF1240" w14:textId="1BBDBD47" w:rsidR="00764117" w:rsidRPr="00560F34" w:rsidRDefault="00764117" w:rsidP="00036095">
            <w:pPr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203</w:t>
            </w:r>
            <w:r w:rsidR="000D0597" w:rsidRPr="00560F34">
              <w:rPr>
                <w:rFonts w:ascii="Times New Roman" w:hAnsi="Times New Roman"/>
                <w:color w:val="000000"/>
              </w:rPr>
              <w:t>1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5 010 000 zł (334*15 000 zł);</w:t>
            </w:r>
          </w:p>
          <w:p w14:paraId="186BDA20" w14:textId="45112215" w:rsidR="00764117" w:rsidRPr="00560F34" w:rsidRDefault="001221D0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–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za ocenę etyczną wniosku o pozwolenia na prowadzenie niekomercyjnego badania klinicznego:</w:t>
            </w:r>
          </w:p>
          <w:p w14:paraId="7C9BABED" w14:textId="591308A9" w:rsidR="00764117" w:rsidRPr="00560F34" w:rsidRDefault="000D0597" w:rsidP="00036095">
            <w:pPr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2022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r. – 48 000 zł (12*4 000 zł);</w:t>
            </w:r>
          </w:p>
          <w:p w14:paraId="7B1FAD0A" w14:textId="4A401A41" w:rsidR="00764117" w:rsidRPr="00560F34" w:rsidRDefault="00764117" w:rsidP="00036095">
            <w:pPr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3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52 000 zł (13*4 000 zł);</w:t>
            </w:r>
          </w:p>
          <w:p w14:paraId="093E41E9" w14:textId="183C07CE" w:rsidR="00764117" w:rsidRPr="00560F34" w:rsidRDefault="00764117" w:rsidP="00036095">
            <w:pPr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4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52 000 zł (13*4 000 zł);</w:t>
            </w:r>
          </w:p>
          <w:p w14:paraId="34734310" w14:textId="52043BA8" w:rsidR="00764117" w:rsidRPr="00560F34" w:rsidRDefault="00764117" w:rsidP="00036095">
            <w:pPr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5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52 000 zł (13*4 000 zł);</w:t>
            </w:r>
          </w:p>
          <w:p w14:paraId="44E0983A" w14:textId="0771835C" w:rsidR="00764117" w:rsidRPr="00560F34" w:rsidRDefault="00764117" w:rsidP="00036095">
            <w:pPr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6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56 000 zł (14*4 000 zł);</w:t>
            </w:r>
          </w:p>
          <w:p w14:paraId="773CB39F" w14:textId="28C92668" w:rsidR="00764117" w:rsidRPr="00560F34" w:rsidRDefault="00764117" w:rsidP="00036095">
            <w:pPr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7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56 000 zł (14*4 000 zł);</w:t>
            </w:r>
          </w:p>
          <w:p w14:paraId="6EC3D0B2" w14:textId="47D33048" w:rsidR="00764117" w:rsidRPr="00560F34" w:rsidRDefault="00764117" w:rsidP="00036095">
            <w:pPr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8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60 000 zł (15*4 000 zł);</w:t>
            </w:r>
          </w:p>
          <w:p w14:paraId="692A3945" w14:textId="0BF02575" w:rsidR="00764117" w:rsidRPr="00560F34" w:rsidRDefault="00764117" w:rsidP="00036095">
            <w:pPr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9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60 000 zł (15*4 000 zł);</w:t>
            </w:r>
          </w:p>
          <w:p w14:paraId="13E3E89B" w14:textId="16D9B12E" w:rsidR="00764117" w:rsidRPr="00560F34" w:rsidRDefault="00764117" w:rsidP="00036095">
            <w:pPr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</w:t>
            </w:r>
            <w:r w:rsidR="000D0597" w:rsidRPr="00560F34">
              <w:rPr>
                <w:rFonts w:ascii="Times New Roman" w:hAnsi="Times New Roman"/>
                <w:color w:val="000000"/>
              </w:rPr>
              <w:t>30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60 000 zł (15*4 000 zł);</w:t>
            </w:r>
          </w:p>
          <w:p w14:paraId="295F424D" w14:textId="386EE39D" w:rsidR="00764117" w:rsidRPr="00560F34" w:rsidRDefault="00764117" w:rsidP="00036095">
            <w:pPr>
              <w:numPr>
                <w:ilvl w:val="0"/>
                <w:numId w:val="5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203</w:t>
            </w:r>
            <w:r w:rsidR="000D0597" w:rsidRPr="00560F34">
              <w:rPr>
                <w:rFonts w:ascii="Times New Roman" w:hAnsi="Times New Roman"/>
                <w:color w:val="000000"/>
              </w:rPr>
              <w:t>1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64 000 zł (16*4 000 zł):</w:t>
            </w:r>
          </w:p>
          <w:p w14:paraId="467F3C18" w14:textId="3D555A71" w:rsidR="00764117" w:rsidRPr="00560F34" w:rsidRDefault="001221D0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–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za ocenę etyczną wniosku o pozwolenia na  istotną zmianę badania klinicznego:</w:t>
            </w:r>
          </w:p>
          <w:p w14:paraId="1A31406F" w14:textId="67243FDB" w:rsidR="00764117" w:rsidRPr="00560F34" w:rsidRDefault="000D0597" w:rsidP="00036095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20022 </w:t>
            </w:r>
            <w:r w:rsidR="00764117" w:rsidRPr="00560F34">
              <w:rPr>
                <w:rFonts w:ascii="Times New Roman" w:hAnsi="Times New Roman"/>
                <w:color w:val="000000"/>
              </w:rPr>
              <w:t>r. – 5 925 000 zł (1 185*5 000 zł);</w:t>
            </w:r>
          </w:p>
          <w:p w14:paraId="6E81A263" w14:textId="74B2A147" w:rsidR="00764117" w:rsidRPr="00560F34" w:rsidRDefault="00764117" w:rsidP="00036095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3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6 095 000 zł (1 219*5 000 zł);</w:t>
            </w:r>
          </w:p>
          <w:p w14:paraId="7E3F956A" w14:textId="03E21024" w:rsidR="00764117" w:rsidRPr="00560F34" w:rsidRDefault="00764117" w:rsidP="00036095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4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6 270 000 zł (1 254*5 000 zł);</w:t>
            </w:r>
          </w:p>
          <w:p w14:paraId="6854019C" w14:textId="1291E58F" w:rsidR="00764117" w:rsidRPr="00560F34" w:rsidRDefault="00764117" w:rsidP="00036095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5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6 440 000 zł (1 288*5 000 zł);</w:t>
            </w:r>
          </w:p>
          <w:p w14:paraId="79CEB27B" w14:textId="0220666F" w:rsidR="00764117" w:rsidRPr="00560F34" w:rsidRDefault="00764117" w:rsidP="00036095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6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6 615 000 zł (1 323*5 000 zł);</w:t>
            </w:r>
          </w:p>
          <w:p w14:paraId="09A21FB5" w14:textId="30066EBE" w:rsidR="00764117" w:rsidRPr="00560F34" w:rsidRDefault="00764117" w:rsidP="00036095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7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6 785 000 zł (1 357*5 000 zł);</w:t>
            </w:r>
          </w:p>
          <w:p w14:paraId="2BA72285" w14:textId="01D32E45" w:rsidR="00764117" w:rsidRPr="00560F34" w:rsidRDefault="00764117" w:rsidP="00036095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8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6 960 000 zł (1 392*5 000 zł);</w:t>
            </w:r>
          </w:p>
          <w:p w14:paraId="45E411E5" w14:textId="1DA2BCE0" w:rsidR="00764117" w:rsidRPr="00560F34" w:rsidRDefault="00764117" w:rsidP="00036095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202</w:t>
            </w:r>
            <w:r w:rsidR="000D0597" w:rsidRPr="00560F34">
              <w:rPr>
                <w:rFonts w:ascii="Times New Roman" w:hAnsi="Times New Roman"/>
                <w:color w:val="000000"/>
              </w:rPr>
              <w:t>9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7 130 000 zł (1 426*5 000 zł);</w:t>
            </w:r>
          </w:p>
          <w:p w14:paraId="598F6644" w14:textId="07348C83" w:rsidR="00764117" w:rsidRPr="00560F34" w:rsidRDefault="00764117" w:rsidP="00036095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</w:t>
            </w:r>
            <w:r w:rsidR="000D0597" w:rsidRPr="00560F34">
              <w:rPr>
                <w:rFonts w:ascii="Times New Roman" w:hAnsi="Times New Roman"/>
                <w:color w:val="000000"/>
              </w:rPr>
              <w:t>30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7 305 000 zł (1 461*5 000 zł);</w:t>
            </w:r>
          </w:p>
          <w:p w14:paraId="6D532401" w14:textId="05FF2B60" w:rsidR="00764117" w:rsidRPr="00560F34" w:rsidRDefault="00764117" w:rsidP="00036095">
            <w:pPr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203</w:t>
            </w:r>
            <w:r w:rsidR="000D0597" w:rsidRPr="00560F34">
              <w:rPr>
                <w:rFonts w:ascii="Times New Roman" w:hAnsi="Times New Roman"/>
                <w:color w:val="000000"/>
              </w:rPr>
              <w:t>1</w:t>
            </w:r>
            <w:r w:rsidRPr="00560F34">
              <w:rPr>
                <w:rFonts w:ascii="Times New Roman" w:hAnsi="Times New Roman"/>
                <w:color w:val="000000"/>
              </w:rPr>
              <w:t xml:space="preserve"> r. – 7 475 000 zł (1 495*5 000 zł).</w:t>
            </w:r>
          </w:p>
          <w:p w14:paraId="29992A62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3FBBA5B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60F34">
              <w:rPr>
                <w:rFonts w:ascii="Times New Roman" w:hAnsi="Times New Roman"/>
                <w:b/>
                <w:bCs/>
                <w:color w:val="000000"/>
              </w:rPr>
              <w:t>WYDATKI</w:t>
            </w:r>
          </w:p>
          <w:p w14:paraId="1B291D36" w14:textId="5D80C077" w:rsidR="00764117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BB4437C" w14:textId="77777777" w:rsidR="006A6C8A" w:rsidRPr="006A6C8A" w:rsidRDefault="006A6C8A" w:rsidP="006A6C8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A6C8A">
              <w:rPr>
                <w:rFonts w:ascii="Times New Roman" w:hAnsi="Times New Roman"/>
                <w:color w:val="000000"/>
              </w:rPr>
              <w:t>Źródłem finansowania regulacji będą:</w:t>
            </w:r>
          </w:p>
          <w:p w14:paraId="6D8DB699" w14:textId="04D87FF5" w:rsidR="006A6C8A" w:rsidRPr="00036095" w:rsidRDefault="006A6C8A" w:rsidP="00036095">
            <w:pPr>
              <w:pStyle w:val="Akapitzlist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środki finansowe wnoszone przez podmioty składające wnioski o wydanie pozwolenia na badania kliniczne oraz o wydanie pozwolenia na istotną zmianę badania klinicznego </w:t>
            </w:r>
            <w:r w:rsidR="00196DFA">
              <w:rPr>
                <w:rFonts w:ascii="Times New Roman" w:hAnsi="Times New Roman"/>
                <w:color w:val="000000"/>
              </w:rPr>
              <w:br/>
            </w:r>
            <w:r w:rsidRPr="00036095">
              <w:rPr>
                <w:rFonts w:ascii="Times New Roman" w:hAnsi="Times New Roman"/>
                <w:color w:val="000000"/>
              </w:rPr>
              <w:t>(z</w:t>
            </w:r>
            <w:r w:rsidR="00196DFA">
              <w:rPr>
                <w:rFonts w:ascii="Times New Roman" w:hAnsi="Times New Roman"/>
                <w:color w:val="000000"/>
              </w:rPr>
              <w:t>e</w:t>
            </w:r>
            <w:r w:rsidRPr="00036095">
              <w:rPr>
                <w:rFonts w:ascii="Times New Roman" w:hAnsi="Times New Roman"/>
                <w:color w:val="000000"/>
              </w:rPr>
              <w:t xml:space="preserve"> środków tych będą pokrywane koszty wynagrodzeń członków NKB i komisji bioetycznych oceniających wnioski)</w:t>
            </w:r>
            <w:r w:rsidR="001221D0">
              <w:rPr>
                <w:rFonts w:ascii="Times New Roman" w:hAnsi="Times New Roman"/>
                <w:color w:val="000000"/>
              </w:rPr>
              <w:t>;</w:t>
            </w:r>
          </w:p>
          <w:p w14:paraId="70A30184" w14:textId="0B2C9178" w:rsidR="006A6C8A" w:rsidRPr="00036095" w:rsidRDefault="006A6C8A" w:rsidP="00036095">
            <w:pPr>
              <w:pStyle w:val="Akapitzlist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lastRenderedPageBreak/>
              <w:t>środki finansowe wnoszone przez sponsorów badania klinicznego (składka wnoszona na Fundusz Ochrony Uczestników Badań Klinicznych</w:t>
            </w:r>
            <w:r w:rsidR="0023234F">
              <w:rPr>
                <w:rFonts w:ascii="Times New Roman" w:hAnsi="Times New Roman"/>
                <w:color w:val="000000"/>
              </w:rPr>
              <w:t>, zwany dalej „Funduszem”</w:t>
            </w:r>
            <w:r w:rsidRPr="00036095">
              <w:rPr>
                <w:rFonts w:ascii="Times New Roman" w:hAnsi="Times New Roman"/>
                <w:color w:val="000000"/>
              </w:rPr>
              <w:t>, z których to środków wypłacane będzie uczestnikowi świadczenie w związku powstaniem szkody w wyniku udziału w badaniu klinicznym oraz koszty bieżącej działalności Funduszu)</w:t>
            </w:r>
            <w:r w:rsidR="001221D0">
              <w:rPr>
                <w:rFonts w:ascii="Times New Roman" w:hAnsi="Times New Roman"/>
                <w:color w:val="000000"/>
              </w:rPr>
              <w:t>;</w:t>
            </w:r>
          </w:p>
          <w:p w14:paraId="2F648B78" w14:textId="47D54EE2" w:rsidR="006A6C8A" w:rsidRPr="00036095" w:rsidRDefault="006A6C8A" w:rsidP="00036095">
            <w:pPr>
              <w:pStyle w:val="Akapitzlist"/>
              <w:numPr>
                <w:ilvl w:val="0"/>
                <w:numId w:val="5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środki z budżetu państwa (środki te będą wydatkowane m.in. na sfinansowanie kosztów zatrudnienia dodatkowych pracowników: Agencji do obsługi NKB oraz Funduszu; URPL).</w:t>
            </w:r>
          </w:p>
          <w:p w14:paraId="2C5CD092" w14:textId="77777777" w:rsidR="006A6C8A" w:rsidRPr="00560F34" w:rsidRDefault="006A6C8A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35266AE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0F34">
              <w:rPr>
                <w:rFonts w:ascii="Times New Roman" w:hAnsi="Times New Roman"/>
                <w:b/>
                <w:color w:val="000000"/>
              </w:rPr>
              <w:t>SZACUNEK KOSZTÓW FUNKCJONOWANIA I OBSŁUGI NACZELNEJ KOMISJI BIOETYCZNEJ WYMAGAJĄCYCH ZABEZPIECZENIA W PLANIE FINANSOWYM ABM</w:t>
            </w:r>
          </w:p>
          <w:p w14:paraId="5B39CE51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53ACE09A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60F34">
              <w:rPr>
                <w:rFonts w:ascii="Times New Roman" w:hAnsi="Times New Roman"/>
                <w:b/>
                <w:color w:val="000000"/>
                <w:u w:val="single"/>
              </w:rPr>
              <w:t>Koszty funkcjonowania Naczelnej Komisji Bioetycznej (NKB).</w:t>
            </w:r>
          </w:p>
          <w:p w14:paraId="2A31525B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Co do zasady koszty wynagrodzeń członków NKB i jej funkcjonowania będą pokrywane </w:t>
            </w:r>
            <w:r w:rsidRPr="00560F34">
              <w:rPr>
                <w:rFonts w:ascii="Times New Roman" w:hAnsi="Times New Roman"/>
                <w:color w:val="000000"/>
              </w:rPr>
              <w:br/>
              <w:t>z wpłat wnoszonych na rachunek bankowy NKB przez podmioty składające wnioski o wydanie pozwolenia na badania kliniczne.</w:t>
            </w:r>
          </w:p>
          <w:p w14:paraId="413141CE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0F34">
              <w:rPr>
                <w:rFonts w:ascii="Times New Roman" w:hAnsi="Times New Roman"/>
                <w:b/>
                <w:color w:val="000000"/>
              </w:rPr>
              <w:t xml:space="preserve">Zakładany wzrost liczby składanych wniosków: </w:t>
            </w:r>
            <w:bookmarkStart w:id="6" w:name="_Hlk54772009"/>
          </w:p>
          <w:p w14:paraId="19B64006" w14:textId="5D4006F9" w:rsidR="00764117" w:rsidRPr="00560F34" w:rsidRDefault="001221D0" w:rsidP="00764117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nioski o wydanie pozwolenia na komercyjne badanie kliniczne w 2019 r. – 514;</w:t>
            </w:r>
          </w:p>
          <w:p w14:paraId="7FC2E4E4" w14:textId="7C58543F" w:rsidR="00764117" w:rsidRPr="00560F34" w:rsidRDefault="001221D0" w:rsidP="00764117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nioski o wydanie pozwolenia na istotną zmianę badania klinicznego w 2019 r. – 345;</w:t>
            </w:r>
          </w:p>
          <w:p w14:paraId="72D4004D" w14:textId="63A4F443" w:rsidR="00764117" w:rsidRPr="00560F34" w:rsidRDefault="001221D0" w:rsidP="00764117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7" w:name="_Hlk54771891"/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nioski o wydanie pozwolenia na niekomercyjne badanie kliniczne</w:t>
            </w:r>
            <w:bookmarkEnd w:id="7"/>
            <w:r w:rsidR="00764117" w:rsidRPr="00560F34">
              <w:rPr>
                <w:rFonts w:ascii="Times New Roman" w:hAnsi="Times New Roman"/>
                <w:color w:val="000000"/>
              </w:rPr>
              <w:t xml:space="preserve"> w 2019 r. – 12.</w:t>
            </w:r>
          </w:p>
          <w:bookmarkEnd w:id="6"/>
          <w:p w14:paraId="4A1C8561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14:paraId="4335BA5F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560F34">
              <w:rPr>
                <w:rFonts w:ascii="Times New Roman" w:hAnsi="Times New Roman"/>
                <w:color w:val="000000"/>
                <w:u w:val="single"/>
              </w:rPr>
              <w:t>Założono 30% wzrost liczby składanych wniosków w ciągu 10 lat – w poszczególnych latach:</w:t>
            </w:r>
          </w:p>
          <w:p w14:paraId="7F3BAA12" w14:textId="114FBF33" w:rsidR="00764117" w:rsidRPr="00560F34" w:rsidRDefault="001221D0" w:rsidP="00764117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nioski o wydanie pozwolenia na komercyjne badanie kliniczne – w 2030 r. – 668 </w:t>
            </w:r>
            <w:bookmarkStart w:id="8" w:name="_Hlk54776062"/>
            <w:r w:rsidR="00764117" w:rsidRPr="00560F34">
              <w:rPr>
                <w:rFonts w:ascii="Times New Roman" w:hAnsi="Times New Roman"/>
                <w:color w:val="000000"/>
              </w:rPr>
              <w:t>(2021 r. – 529; 2022 r. – 545; 2023 r. – 560; 2024 r. – 576; 2025 r. – 591; 2026 r. – 607; 2027 r. – 622; 2028 r. – 637; 2029 r. – 653; 2030 r. – 688);</w:t>
            </w:r>
          </w:p>
          <w:p w14:paraId="2EF87365" w14:textId="3B66CFAF" w:rsidR="00764117" w:rsidRPr="00560F34" w:rsidRDefault="001221D0" w:rsidP="00764117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nioski o wydanie pozwolenia na istotną zmianę badania klinicznego – w 2030 r. – </w:t>
            </w:r>
            <w:r w:rsidR="00764117" w:rsidRPr="00560F34">
              <w:rPr>
                <w:rFonts w:ascii="Times New Roman" w:hAnsi="Times New Roman"/>
                <w:color w:val="000000"/>
              </w:rPr>
              <w:br/>
              <w:t xml:space="preserve">4 485 (2021 r. – 3 554; 2022 r.– 3 657; 2023 r. – 3 761; 2024 r. – 3 864; 2025 r. – </w:t>
            </w:r>
            <w:r w:rsidR="00764117" w:rsidRPr="00560F34">
              <w:rPr>
                <w:rFonts w:ascii="Times New Roman" w:hAnsi="Times New Roman"/>
                <w:color w:val="000000"/>
              </w:rPr>
              <w:br/>
              <w:t xml:space="preserve">3 968; 2026 r. – 4 071; 2027 r. – 4 175; 2028 r. – 4 278; 2029 r. – 4 382; 2030 r. – </w:t>
            </w:r>
            <w:r w:rsidR="00764117" w:rsidRPr="00560F34">
              <w:rPr>
                <w:rFonts w:ascii="Times New Roman" w:hAnsi="Times New Roman"/>
                <w:color w:val="000000"/>
              </w:rPr>
              <w:br/>
              <w:t>4 485);</w:t>
            </w:r>
          </w:p>
          <w:p w14:paraId="0C6FB11A" w14:textId="723A4357" w:rsidR="00764117" w:rsidRPr="00560F34" w:rsidRDefault="001221D0" w:rsidP="00764117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nioski o wydanie pozwolenia na niekomercyjne badanie kliniczne w 2030 r. – 16 – (2021 r. – 12; 2022 r. – 13; 2023 r. – 13; 2024 r. – 13; 2025 r. – 14, 2026 r. – 14, 2027 r. – 15, 2028 r. – 15, 2029 r. – 15, 2030 r. – 16).</w:t>
            </w:r>
          </w:p>
          <w:bookmarkEnd w:id="8"/>
          <w:p w14:paraId="33E9E9E5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FBEB98E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Przyjmuje się rozpatrywanie przez NKB około połowy wniosków o pozwolenia na prowadzenie komercyjnego badania klinicznego, wszystkich dotyczących pozwolenia na prowadzenie niekomercyjnego badania klinicznego oraz 1/3 wniosków o pozwolenia na istotną zmianę badania klinicznego.</w:t>
            </w:r>
          </w:p>
          <w:p w14:paraId="42E13B60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5AFB3F5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Zgodnie z projektem ustawy NKB będzie liczyła 30 osób.</w:t>
            </w:r>
          </w:p>
          <w:p w14:paraId="50978EED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6152FA87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60F34">
              <w:rPr>
                <w:rFonts w:ascii="Times New Roman" w:hAnsi="Times New Roman"/>
                <w:b/>
                <w:bCs/>
                <w:color w:val="000000"/>
              </w:rPr>
              <w:t>Wynagrodzenie Przewodniczącego NKB i Członków NKB:</w:t>
            </w:r>
          </w:p>
          <w:p w14:paraId="4762047B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1652AAB1" w14:textId="19FC962E" w:rsidR="00764117" w:rsidRPr="00560F34" w:rsidRDefault="00DD4DC6" w:rsidP="00764117">
            <w:pPr>
              <w:spacing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u w:val="single"/>
              </w:rPr>
              <w:t>w</w:t>
            </w:r>
            <w:r w:rsidR="00764117" w:rsidRPr="00560F34">
              <w:rPr>
                <w:rFonts w:ascii="Times New Roman" w:hAnsi="Times New Roman"/>
                <w:bCs/>
                <w:color w:val="000000"/>
                <w:u w:val="single"/>
              </w:rPr>
              <w:t>ynagrodzenie Przewodniczącego NKB:</w:t>
            </w:r>
          </w:p>
          <w:p w14:paraId="7C6B1121" w14:textId="77777777" w:rsidR="00764117" w:rsidRPr="00560F34" w:rsidRDefault="00764117" w:rsidP="0076411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560F34">
              <w:rPr>
                <w:rFonts w:ascii="Times New Roman" w:hAnsi="Times New Roman"/>
                <w:bCs/>
                <w:color w:val="000000"/>
              </w:rPr>
              <w:t>Miesięcznie max  wynagrodzenie – 5 367,60 zł x 4 krotność = 21 470,40 zł</w:t>
            </w:r>
          </w:p>
          <w:p w14:paraId="327D0E1C" w14:textId="77777777" w:rsidR="00764117" w:rsidRPr="00560F34" w:rsidRDefault="00764117" w:rsidP="0076411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560F34">
              <w:rPr>
                <w:rFonts w:ascii="Times New Roman" w:hAnsi="Times New Roman"/>
                <w:bCs/>
                <w:color w:val="000000"/>
              </w:rPr>
              <w:t>Rocznie – 257 644,80 zł</w:t>
            </w:r>
          </w:p>
          <w:p w14:paraId="02930A0A" w14:textId="0A1A19A3" w:rsidR="00764117" w:rsidRPr="00560F34" w:rsidRDefault="00DD4DC6" w:rsidP="00764117">
            <w:pPr>
              <w:spacing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u w:val="single"/>
              </w:rPr>
              <w:t xml:space="preserve">wynagrodzenie </w:t>
            </w:r>
            <w:r w:rsidR="00764117" w:rsidRPr="00560F34">
              <w:rPr>
                <w:rFonts w:ascii="Times New Roman" w:hAnsi="Times New Roman"/>
                <w:bCs/>
                <w:color w:val="000000"/>
                <w:u w:val="single"/>
              </w:rPr>
              <w:t>Zastępc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>y</w:t>
            </w:r>
            <w:r w:rsidR="00764117" w:rsidRPr="00560F34">
              <w:rPr>
                <w:rFonts w:ascii="Times New Roman" w:hAnsi="Times New Roman"/>
                <w:bCs/>
                <w:color w:val="000000"/>
                <w:u w:val="single"/>
              </w:rPr>
              <w:t xml:space="preserve"> Przewodniczącego: </w:t>
            </w:r>
          </w:p>
          <w:p w14:paraId="5DF4C825" w14:textId="77777777" w:rsidR="00764117" w:rsidRPr="00560F34" w:rsidRDefault="00764117" w:rsidP="0076411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560F34">
              <w:rPr>
                <w:rFonts w:ascii="Times New Roman" w:hAnsi="Times New Roman"/>
                <w:bCs/>
                <w:color w:val="000000"/>
              </w:rPr>
              <w:t>Miesięcznie max wynagrodzenie – 5 367,60 zł x 4 krotność = 21 470, 40 zł</w:t>
            </w:r>
          </w:p>
          <w:p w14:paraId="12AF1B39" w14:textId="77777777" w:rsidR="00764117" w:rsidRPr="00560F34" w:rsidRDefault="00764117" w:rsidP="0076411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560F34">
              <w:rPr>
                <w:rFonts w:ascii="Times New Roman" w:hAnsi="Times New Roman"/>
                <w:bCs/>
                <w:color w:val="000000"/>
              </w:rPr>
              <w:t>Rocznie – 257 644,80 zł.</w:t>
            </w:r>
          </w:p>
          <w:p w14:paraId="62B413C6" w14:textId="55286F88" w:rsidR="00764117" w:rsidRPr="00560F34" w:rsidRDefault="00DD4DC6" w:rsidP="0076411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u w:val="single"/>
              </w:rPr>
              <w:t xml:space="preserve">wynagrodzenie </w:t>
            </w:r>
            <w:r w:rsidR="00764117" w:rsidRPr="00560F34">
              <w:rPr>
                <w:rFonts w:ascii="Times New Roman" w:hAnsi="Times New Roman"/>
                <w:bCs/>
                <w:color w:val="000000"/>
                <w:u w:val="single"/>
              </w:rPr>
              <w:t xml:space="preserve">Członka Naczelnej Komisji Bioetycznej, który został wyznaczony przez Przewodniczącego do przygotowania projektu oceny etycznej badania klinicznego albo </w:t>
            </w:r>
            <w:r w:rsidR="001221D0">
              <w:rPr>
                <w:rFonts w:ascii="Times New Roman" w:hAnsi="Times New Roman"/>
                <w:bCs/>
                <w:color w:val="000000"/>
                <w:u w:val="single"/>
              </w:rPr>
              <w:t>P</w:t>
            </w:r>
            <w:r w:rsidR="00764117" w:rsidRPr="00560F34">
              <w:rPr>
                <w:rFonts w:ascii="Times New Roman" w:hAnsi="Times New Roman"/>
                <w:bCs/>
                <w:color w:val="000000"/>
                <w:u w:val="single"/>
              </w:rPr>
              <w:t xml:space="preserve">rzewodniczącego </w:t>
            </w:r>
            <w:r w:rsidR="001221D0">
              <w:rPr>
                <w:rFonts w:ascii="Times New Roman" w:hAnsi="Times New Roman"/>
                <w:bCs/>
                <w:color w:val="000000"/>
                <w:u w:val="single"/>
              </w:rPr>
              <w:t>Z</w:t>
            </w:r>
            <w:r w:rsidR="00764117" w:rsidRPr="00560F34">
              <w:rPr>
                <w:rFonts w:ascii="Times New Roman" w:hAnsi="Times New Roman"/>
                <w:bCs/>
                <w:color w:val="000000"/>
                <w:u w:val="single"/>
              </w:rPr>
              <w:t>espołu opiniującego:</w:t>
            </w:r>
          </w:p>
          <w:p w14:paraId="31678A5E" w14:textId="77777777" w:rsidR="00764117" w:rsidRPr="00560F34" w:rsidRDefault="00764117" w:rsidP="0076411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560F34">
              <w:rPr>
                <w:rFonts w:ascii="Times New Roman" w:hAnsi="Times New Roman"/>
                <w:bCs/>
                <w:color w:val="000000"/>
              </w:rPr>
              <w:t>Miesięcznie max wynagrodzenie – 5 367,60 zł x 3 krotność = 16 102,80 zł</w:t>
            </w:r>
          </w:p>
          <w:p w14:paraId="6C340027" w14:textId="77777777" w:rsidR="00764117" w:rsidRPr="00560F34" w:rsidRDefault="00764117" w:rsidP="0076411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560F34">
              <w:rPr>
                <w:rFonts w:ascii="Times New Roman" w:hAnsi="Times New Roman"/>
                <w:bCs/>
                <w:color w:val="000000"/>
              </w:rPr>
              <w:t>Rocznie – 193 233,60 zł</w:t>
            </w:r>
          </w:p>
          <w:p w14:paraId="21F6C75D" w14:textId="0B4B93DE" w:rsidR="00764117" w:rsidRPr="00560F34" w:rsidRDefault="00DD4DC6" w:rsidP="00764117">
            <w:pPr>
              <w:spacing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u w:val="single"/>
              </w:rPr>
              <w:t xml:space="preserve">wynagrodzenie </w:t>
            </w:r>
            <w:r w:rsidR="00764117" w:rsidRPr="00560F34">
              <w:rPr>
                <w:rFonts w:ascii="Times New Roman" w:hAnsi="Times New Roman"/>
                <w:bCs/>
                <w:color w:val="000000"/>
                <w:u w:val="single"/>
              </w:rPr>
              <w:t>Człon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>ka</w:t>
            </w:r>
            <w:r w:rsidR="00764117" w:rsidRPr="00560F34">
              <w:rPr>
                <w:rFonts w:ascii="Times New Roman" w:hAnsi="Times New Roman"/>
                <w:bCs/>
                <w:color w:val="000000"/>
                <w:u w:val="single"/>
              </w:rPr>
              <w:t xml:space="preserve"> Komisji</w:t>
            </w:r>
          </w:p>
          <w:p w14:paraId="134B038B" w14:textId="77777777" w:rsidR="00764117" w:rsidRPr="00560F34" w:rsidRDefault="00764117" w:rsidP="0076411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560F34">
              <w:rPr>
                <w:rFonts w:ascii="Times New Roman" w:hAnsi="Times New Roman"/>
                <w:bCs/>
                <w:color w:val="000000"/>
              </w:rPr>
              <w:t>Miesięcznie max wynagrodzenie – 5 367,60 zł x 2 krotność = 10 735,20 zł x 28 członków NKB = 300 585,60 zł</w:t>
            </w:r>
          </w:p>
          <w:p w14:paraId="3FD3AD49" w14:textId="77777777" w:rsidR="00764117" w:rsidRPr="00560F34" w:rsidRDefault="00764117" w:rsidP="00764117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560F34">
              <w:rPr>
                <w:rFonts w:ascii="Times New Roman" w:hAnsi="Times New Roman"/>
                <w:bCs/>
                <w:color w:val="000000"/>
              </w:rPr>
              <w:t>Rocznie – 3 607 027,20 zł</w:t>
            </w:r>
          </w:p>
          <w:p w14:paraId="36AB8F6E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6EAA347E" w14:textId="6D746EDB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0F34">
              <w:rPr>
                <w:rFonts w:ascii="Times New Roman" w:hAnsi="Times New Roman"/>
                <w:b/>
                <w:color w:val="000000"/>
              </w:rPr>
              <w:t xml:space="preserve">Łączne maksymalne wynagrodzenie miesięczne </w:t>
            </w:r>
            <w:r w:rsidR="008E4EFE">
              <w:rPr>
                <w:rFonts w:ascii="Times New Roman" w:hAnsi="Times New Roman"/>
                <w:b/>
                <w:color w:val="000000"/>
              </w:rPr>
              <w:t>P</w:t>
            </w:r>
            <w:r w:rsidRPr="00560F34">
              <w:rPr>
                <w:rFonts w:ascii="Times New Roman" w:hAnsi="Times New Roman"/>
                <w:b/>
                <w:color w:val="000000"/>
              </w:rPr>
              <w:t xml:space="preserve">rzewodniczącego, wiceprzewodniczącego oraz członków komisji, ustalone zgodnie z art. 22 projektu ustawy, wyniesie 359 629,20 zł. </w:t>
            </w:r>
            <w:r w:rsidRPr="00560F34">
              <w:rPr>
                <w:rFonts w:ascii="Times New Roman" w:hAnsi="Times New Roman"/>
                <w:b/>
                <w:color w:val="000000"/>
              </w:rPr>
              <w:br/>
              <w:t>W skali roku łączna kwota może wynieść 4 315 550,40 zł.</w:t>
            </w:r>
          </w:p>
          <w:p w14:paraId="12ACB532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6AFF68A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60F34">
              <w:rPr>
                <w:rFonts w:ascii="Times New Roman" w:hAnsi="Times New Roman"/>
                <w:color w:val="000000"/>
              </w:rPr>
              <w:t>W ciągu 12 miesięcy po wejściu w życie ustawy NKB będzie działać w podwojonym składzie osobowym.</w:t>
            </w:r>
            <w:r w:rsidRPr="00560F3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1EC6A5F5" w14:textId="3F10BA0A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lastRenderedPageBreak/>
              <w:t>Zgodnie z przepisami art. 25 ust. 5 i 6 projekt</w:t>
            </w:r>
            <w:r w:rsidR="00DD4DC6">
              <w:rPr>
                <w:rFonts w:ascii="Times New Roman" w:hAnsi="Times New Roman"/>
                <w:color w:val="000000"/>
              </w:rPr>
              <w:t>u</w:t>
            </w:r>
            <w:r w:rsidRPr="00560F34">
              <w:rPr>
                <w:rFonts w:ascii="Times New Roman" w:hAnsi="Times New Roman"/>
                <w:color w:val="000000"/>
              </w:rPr>
              <w:t xml:space="preserve"> ustawy, NKB przy wydawaniu opinii korzysta z opinii lekarzy specjalistów oraz ekspertów zewnętrznych. Przy założeniu, że sytuacja ta dotyczyć będzie 20%, a koszt opinii</w:t>
            </w:r>
            <w:r w:rsidR="00DD4DC6">
              <w:rPr>
                <w:rFonts w:ascii="Times New Roman" w:hAnsi="Times New Roman"/>
                <w:color w:val="000000"/>
              </w:rPr>
              <w:t xml:space="preserve"> albo </w:t>
            </w:r>
            <w:r w:rsidRPr="00560F34">
              <w:rPr>
                <w:rFonts w:ascii="Times New Roman" w:hAnsi="Times New Roman"/>
                <w:color w:val="000000"/>
              </w:rPr>
              <w:t xml:space="preserve">ekspertyzy będzie porównywalny z wynagrodzeniem członka zespołu opiniującego, niezbędne jest zabezpieczenie kwoty </w:t>
            </w:r>
            <w:r w:rsidRPr="00560F34">
              <w:rPr>
                <w:rFonts w:ascii="Times New Roman" w:hAnsi="Times New Roman"/>
                <w:b/>
                <w:color w:val="000000"/>
              </w:rPr>
              <w:t>264 000,00 zł rocznie</w:t>
            </w:r>
            <w:r w:rsidRPr="00560F34">
              <w:rPr>
                <w:rFonts w:ascii="Times New Roman" w:hAnsi="Times New Roman"/>
                <w:color w:val="000000"/>
              </w:rPr>
              <w:t xml:space="preserve"> (120 wniosków*2 200,00 zł).</w:t>
            </w:r>
          </w:p>
          <w:p w14:paraId="45D96359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3FC521C7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Przyjęte stawki dla zespołów oceniających (ok. 14 000,00 zł dla pięcioosobowego składu) oznaczają, że deficytowe będą opinie dla wniosków o niekomercyjne badania kliniczne </w:t>
            </w:r>
            <w:r w:rsidRPr="00560F34">
              <w:rPr>
                <w:rFonts w:ascii="Times New Roman" w:hAnsi="Times New Roman"/>
                <w:color w:val="000000"/>
              </w:rPr>
              <w:br/>
              <w:t xml:space="preserve">(10 000,00 zł) oraz dla wniosków o istotną zmianę badania klinicznego (w zależności od wniosku). Co pozwala na pokrycie deficytu z opłat za pozwolenia na badania komercyjne. </w:t>
            </w:r>
            <w:r w:rsidRPr="00560F34">
              <w:rPr>
                <w:rFonts w:ascii="Times New Roman" w:hAnsi="Times New Roman"/>
                <w:color w:val="000000"/>
              </w:rPr>
              <w:br/>
              <w:t xml:space="preserve">Z tym, że w wprowadzono w ustawie dodatkowe ograniczenie, że w przypadku ocenienia </w:t>
            </w:r>
            <w:r w:rsidRPr="00560F34">
              <w:rPr>
                <w:rFonts w:ascii="Times New Roman" w:hAnsi="Times New Roman"/>
                <w:color w:val="000000"/>
              </w:rPr>
              <w:br/>
              <w:t>w danym miesiącu większej ilości wniosków wynagrodzenie nie może przekroczyć ustawowych limitów.</w:t>
            </w:r>
          </w:p>
          <w:p w14:paraId="08AD9DF9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792024C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b/>
                <w:color w:val="000000"/>
              </w:rPr>
              <w:t xml:space="preserve">Łączne koszty osobowe wyniosą 4 579 550,40 zł rocznie. </w:t>
            </w:r>
          </w:p>
          <w:p w14:paraId="076ED0DD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Przewiduje się, że łączna roczna wysokość opłat wpływających do NKB pozwoli na samofinansowanie się NKB już od pierwszego roku przy założeniu wpływów z opłat </w:t>
            </w:r>
            <w:r w:rsidRPr="00560F34">
              <w:rPr>
                <w:rFonts w:ascii="Times New Roman" w:hAnsi="Times New Roman"/>
                <w:color w:val="000000"/>
              </w:rPr>
              <w:br/>
              <w:t>w wysokości 9 938 833,00 zł (</w:t>
            </w:r>
            <w:r w:rsidRPr="00560F34">
              <w:rPr>
                <w:rFonts w:ascii="Times New Roman" w:hAnsi="Times New Roman"/>
                <w:b/>
                <w:color w:val="000000"/>
              </w:rPr>
              <w:t>na plusie 5 359 282,60  zł</w:t>
            </w:r>
            <w:r w:rsidRPr="00560F34">
              <w:rPr>
                <w:rFonts w:ascii="Times New Roman" w:hAnsi="Times New Roman"/>
                <w:color w:val="000000"/>
              </w:rPr>
              <w:t>).</w:t>
            </w:r>
          </w:p>
          <w:p w14:paraId="414F6B0D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bookmarkStart w:id="9" w:name="_Hlk54767518"/>
          </w:p>
          <w:p w14:paraId="1ECAB77A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60F34">
              <w:rPr>
                <w:rFonts w:ascii="Times New Roman" w:hAnsi="Times New Roman"/>
                <w:b/>
                <w:color w:val="000000"/>
                <w:u w:val="single"/>
              </w:rPr>
              <w:t>Koszty obsługi administracyjnej prac NKB</w:t>
            </w:r>
            <w:bookmarkEnd w:id="9"/>
          </w:p>
          <w:p w14:paraId="61ED906B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10" w:name="_Hlk54767545"/>
            <w:r w:rsidRPr="00560F34">
              <w:rPr>
                <w:rFonts w:ascii="Times New Roman" w:hAnsi="Times New Roman"/>
                <w:color w:val="000000"/>
              </w:rPr>
              <w:t xml:space="preserve">Wyznaczanie komisji bioetycznych oraz obsługa ocen dokonywanych bezpośrednio przez zespoły oceniające NKB </w:t>
            </w:r>
            <w:bookmarkEnd w:id="10"/>
            <w:r w:rsidRPr="00560F34">
              <w:rPr>
                <w:rFonts w:ascii="Times New Roman" w:hAnsi="Times New Roman"/>
                <w:color w:val="000000"/>
              </w:rPr>
              <w:t>(art. 17 ust. 1 pkt 1 i 2 projektu ustawy).</w:t>
            </w:r>
          </w:p>
          <w:p w14:paraId="71CA558D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Praca z wnioskiem obejmuje:</w:t>
            </w:r>
          </w:p>
          <w:p w14:paraId="7A40E5A6" w14:textId="77777777" w:rsidR="00764117" w:rsidRPr="00560F34" w:rsidRDefault="00764117" w:rsidP="00764117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rejestrację i sprawdzenie kompletności wniosku;</w:t>
            </w:r>
          </w:p>
          <w:p w14:paraId="26B71302" w14:textId="77777777" w:rsidR="00764117" w:rsidRPr="00560F34" w:rsidRDefault="00764117" w:rsidP="00764117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analizę zakresu w celu ustalenia właściwej komisji bioetycznej albo ustalenie </w:t>
            </w:r>
            <w:r w:rsidRPr="00560F34">
              <w:rPr>
                <w:rFonts w:ascii="Times New Roman" w:hAnsi="Times New Roman"/>
                <w:color w:val="000000"/>
              </w:rPr>
              <w:br/>
              <w:t>z przewodniczącym NKB składu zespołu opiniującego;</w:t>
            </w:r>
          </w:p>
          <w:p w14:paraId="5860F763" w14:textId="77777777" w:rsidR="00764117" w:rsidRPr="00560F34" w:rsidRDefault="00764117" w:rsidP="00764117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akceptację i przygotowanie decyzji przewodniczącego NKB;</w:t>
            </w:r>
          </w:p>
          <w:p w14:paraId="1AFF6BA1" w14:textId="77777777" w:rsidR="00764117" w:rsidRPr="00560F34" w:rsidRDefault="00764117" w:rsidP="00764117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poinformowanie komisji albo wyznaczonych osób i wysłanie dokumentacji;</w:t>
            </w:r>
          </w:p>
          <w:p w14:paraId="53D0D116" w14:textId="77777777" w:rsidR="00764117" w:rsidRPr="00560F34" w:rsidRDefault="00764117" w:rsidP="00764117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monitorowanie terminu wydania opinii;</w:t>
            </w:r>
          </w:p>
          <w:p w14:paraId="0CF20B6B" w14:textId="78CD9B6A" w:rsidR="00764117" w:rsidRPr="00560F34" w:rsidRDefault="00764117" w:rsidP="00764117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zebranie oświadczeń o braku konfliktu interesów oraz wysłanie oświadczeń do C</w:t>
            </w:r>
            <w:r w:rsidR="008C0740">
              <w:rPr>
                <w:rFonts w:ascii="Times New Roman" w:hAnsi="Times New Roman"/>
                <w:color w:val="000000"/>
              </w:rPr>
              <w:t xml:space="preserve">entralnego </w:t>
            </w:r>
            <w:r w:rsidRPr="00560F34">
              <w:rPr>
                <w:rFonts w:ascii="Times New Roman" w:hAnsi="Times New Roman"/>
                <w:color w:val="000000"/>
              </w:rPr>
              <w:t>B</w:t>
            </w:r>
            <w:r w:rsidR="008C0740">
              <w:rPr>
                <w:rFonts w:ascii="Times New Roman" w:hAnsi="Times New Roman"/>
                <w:color w:val="000000"/>
              </w:rPr>
              <w:t xml:space="preserve">iura </w:t>
            </w:r>
            <w:r w:rsidRPr="00560F34">
              <w:rPr>
                <w:rFonts w:ascii="Times New Roman" w:hAnsi="Times New Roman"/>
                <w:color w:val="000000"/>
              </w:rPr>
              <w:t>A</w:t>
            </w:r>
            <w:r w:rsidR="008C0740">
              <w:rPr>
                <w:rFonts w:ascii="Times New Roman" w:hAnsi="Times New Roman"/>
                <w:color w:val="000000"/>
              </w:rPr>
              <w:t>ntykorupcyjnego</w:t>
            </w:r>
            <w:r w:rsidRPr="00560F34">
              <w:rPr>
                <w:rFonts w:ascii="Times New Roman" w:hAnsi="Times New Roman"/>
                <w:color w:val="000000"/>
              </w:rPr>
              <w:t xml:space="preserve"> i odbiór odpowiedzi;</w:t>
            </w:r>
          </w:p>
          <w:p w14:paraId="3CACB3DB" w14:textId="77777777" w:rsidR="00764117" w:rsidRPr="00560F34" w:rsidRDefault="00764117" w:rsidP="00764117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odbiór opinii i analizę kompletności;</w:t>
            </w:r>
          </w:p>
          <w:p w14:paraId="487CA3F0" w14:textId="77777777" w:rsidR="00764117" w:rsidRPr="00560F34" w:rsidRDefault="00764117" w:rsidP="00764117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przekazanie opinii do URPL po jej zatwierdzeniu.</w:t>
            </w:r>
          </w:p>
          <w:p w14:paraId="70A9FDAF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11" w:name="_Hlk54767582"/>
            <w:r w:rsidRPr="00560F34">
              <w:rPr>
                <w:rFonts w:ascii="Times New Roman" w:hAnsi="Times New Roman"/>
                <w:color w:val="000000"/>
              </w:rPr>
              <w:t>Oznacza to</w:t>
            </w:r>
            <w:r w:rsidRPr="00560F34">
              <w:rPr>
                <w:rFonts w:ascii="Times New Roman" w:hAnsi="Times New Roman"/>
                <w:b/>
                <w:color w:val="000000"/>
              </w:rPr>
              <w:t xml:space="preserve"> konieczność zabezpieczenia 2 etatów</w:t>
            </w:r>
            <w:r w:rsidRPr="00560F34">
              <w:rPr>
                <w:rFonts w:ascii="Times New Roman" w:hAnsi="Times New Roman"/>
                <w:color w:val="000000"/>
              </w:rPr>
              <w:t xml:space="preserve"> na wykonanie zadania.</w:t>
            </w:r>
          </w:p>
          <w:p w14:paraId="44761810" w14:textId="048854D1" w:rsidR="00764117" w:rsidRPr="00560F34" w:rsidRDefault="00764117" w:rsidP="00764117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12" w:name="_Hlk54767606"/>
            <w:bookmarkEnd w:id="11"/>
            <w:r w:rsidRPr="00560F34">
              <w:rPr>
                <w:rFonts w:ascii="Times New Roman" w:hAnsi="Times New Roman"/>
                <w:color w:val="000000"/>
              </w:rPr>
              <w:t xml:space="preserve">Organizacja i przeprowadzanie szkoleń dla członków komisji bioetycznych oraz osób obsługujących komisje (art. 17 ust. 1 pkt 3 projektu ustawy) oraz prowadzenie rejestru </w:t>
            </w:r>
            <w:r w:rsidRPr="00560F34">
              <w:rPr>
                <w:rFonts w:ascii="Times New Roman" w:hAnsi="Times New Roman"/>
                <w:color w:val="000000"/>
              </w:rPr>
              <w:br/>
              <w:t xml:space="preserve">i rozliczanie komisji bioetycznych (art. 19 projektu ustawy). </w:t>
            </w:r>
            <w:bookmarkEnd w:id="12"/>
            <w:r w:rsidRPr="00560F34">
              <w:rPr>
                <w:rFonts w:ascii="Times New Roman" w:hAnsi="Times New Roman"/>
                <w:color w:val="000000"/>
              </w:rPr>
              <w:t>Zadanie obejmuje:</w:t>
            </w:r>
          </w:p>
          <w:p w14:paraId="0185F076" w14:textId="7FBDE1CD" w:rsidR="00764117" w:rsidRPr="00560F34" w:rsidRDefault="00764117" w:rsidP="00036095">
            <w:pPr>
              <w:numPr>
                <w:ilvl w:val="0"/>
                <w:numId w:val="54"/>
              </w:num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60F34">
              <w:rPr>
                <w:rFonts w:ascii="Times New Roman" w:hAnsi="Times New Roman"/>
                <w:iCs/>
                <w:color w:val="000000"/>
              </w:rPr>
              <w:t>przyjęta przeciętna liczba członków komisji i obsługi – 10</w:t>
            </w:r>
            <w:r w:rsidR="008C0740">
              <w:rPr>
                <w:rFonts w:ascii="Times New Roman" w:hAnsi="Times New Roman"/>
                <w:iCs/>
                <w:color w:val="000000"/>
              </w:rPr>
              <w:t>;</w:t>
            </w:r>
          </w:p>
          <w:p w14:paraId="0A669FC2" w14:textId="77777777" w:rsidR="00764117" w:rsidRPr="00560F34" w:rsidRDefault="00764117" w:rsidP="00036095">
            <w:pPr>
              <w:numPr>
                <w:ilvl w:val="0"/>
                <w:numId w:val="5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zbieranie i analizę wniosków o wpis do rejestru;</w:t>
            </w:r>
          </w:p>
          <w:p w14:paraId="1E0B947F" w14:textId="77777777" w:rsidR="00764117" w:rsidRPr="00560F34" w:rsidRDefault="00764117" w:rsidP="00036095">
            <w:pPr>
              <w:numPr>
                <w:ilvl w:val="0"/>
                <w:numId w:val="5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weryfikację kompetencji komisji nie rzadziej niż co 4 lata;</w:t>
            </w:r>
          </w:p>
          <w:p w14:paraId="3D4C81E6" w14:textId="77777777" w:rsidR="00764117" w:rsidRPr="00560F34" w:rsidRDefault="00764117" w:rsidP="00036095">
            <w:pPr>
              <w:numPr>
                <w:ilvl w:val="0"/>
                <w:numId w:val="5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prowadzenie rozliczeń finansowych z komisjami (ustalanie należności za wykonane opinie).</w:t>
            </w:r>
          </w:p>
          <w:p w14:paraId="3B2027C3" w14:textId="5396680E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organizację i przeprowadzanie cyklicznych szkoleń w wymiarze ok. 700 osobodni rocznie: (</w:t>
            </w:r>
            <w:r w:rsidRPr="00560F34">
              <w:rPr>
                <w:rFonts w:ascii="Times New Roman" w:hAnsi="Times New Roman"/>
                <w:iCs/>
                <w:color w:val="000000"/>
              </w:rPr>
              <w:t>liczba komisji bioetycznych - 70 (wg stanu na dzień 24 marca 2020 r.</w:t>
            </w:r>
            <w:r w:rsidR="008C0740">
              <w:rPr>
                <w:rFonts w:ascii="Times New Roman" w:hAnsi="Times New Roman"/>
                <w:iCs/>
                <w:color w:val="000000"/>
              </w:rPr>
              <w:t>,</w:t>
            </w:r>
            <w:r w:rsidRPr="00560F34">
              <w:rPr>
                <w:rFonts w:ascii="Times New Roman" w:hAnsi="Times New Roman"/>
                <w:iCs/>
                <w:color w:val="000000"/>
              </w:rPr>
              <w:t xml:space="preserve"> źródło: Ośrodek Bioetyki Naczelnej Rady Lekarskiej)</w:t>
            </w:r>
            <w:r w:rsidR="008C0740">
              <w:rPr>
                <w:rFonts w:ascii="Times New Roman" w:hAnsi="Times New Roman"/>
                <w:iCs/>
                <w:color w:val="000000"/>
              </w:rPr>
              <w:t>.</w:t>
            </w:r>
          </w:p>
          <w:p w14:paraId="6E8D8692" w14:textId="00EC94DB" w:rsidR="00764117" w:rsidRPr="00D35736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13" w:name="_Hlk54767637"/>
            <w:r w:rsidRPr="00560F34">
              <w:rPr>
                <w:rFonts w:ascii="Times New Roman" w:hAnsi="Times New Roman"/>
                <w:color w:val="000000"/>
              </w:rPr>
              <w:t xml:space="preserve">W celu realizacji zadania konieczne jest zabezpieczenie </w:t>
            </w:r>
            <w:r w:rsidRPr="00560F34">
              <w:rPr>
                <w:rFonts w:ascii="Times New Roman" w:hAnsi="Times New Roman"/>
                <w:b/>
                <w:color w:val="000000"/>
              </w:rPr>
              <w:t>1 etatu</w:t>
            </w:r>
            <w:r w:rsidRPr="00560F34">
              <w:rPr>
                <w:rFonts w:ascii="Times New Roman" w:hAnsi="Times New Roman"/>
                <w:color w:val="000000"/>
              </w:rPr>
              <w:t>.</w:t>
            </w:r>
            <w:bookmarkEnd w:id="13"/>
          </w:p>
          <w:p w14:paraId="064CD25B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46708640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60F34">
              <w:rPr>
                <w:rFonts w:ascii="Times New Roman" w:hAnsi="Times New Roman"/>
                <w:b/>
                <w:color w:val="000000"/>
                <w:u w:val="single"/>
              </w:rPr>
              <w:t>Podsumowanie kosztów osobowych administracji + dodatkowe składniki wynagrodzenia wynikające z regulaminu wynagradzania:</w:t>
            </w:r>
          </w:p>
          <w:p w14:paraId="65DB1ECA" w14:textId="4C22D2AD" w:rsidR="00764117" w:rsidRPr="00560F34" w:rsidRDefault="00764117" w:rsidP="0003609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14" w:name="_Hlk54767656"/>
            <w:r w:rsidRPr="00560F34">
              <w:rPr>
                <w:rFonts w:ascii="Times New Roman" w:hAnsi="Times New Roman"/>
                <w:color w:val="000000"/>
              </w:rPr>
              <w:t xml:space="preserve">3 etaty x 8 500,00 zł brutto (średnie wynagrodzenie w ABM) = 25 500,00 zł/miesiąc, </w:t>
            </w:r>
            <w:r w:rsidRPr="00560F34">
              <w:rPr>
                <w:rFonts w:ascii="Times New Roman" w:hAnsi="Times New Roman"/>
                <w:color w:val="000000"/>
              </w:rPr>
              <w:br/>
              <w:t>z kosztami pracodawcy (ubezpieczenie społeczne + FP) = 30 508,20 zł/m</w:t>
            </w:r>
            <w:r w:rsidR="008C0740">
              <w:rPr>
                <w:rFonts w:ascii="Times New Roman" w:hAnsi="Times New Roman"/>
                <w:color w:val="000000"/>
              </w:rPr>
              <w:t>iesią</w:t>
            </w:r>
            <w:r w:rsidRPr="00560F34">
              <w:rPr>
                <w:rFonts w:ascii="Times New Roman" w:hAnsi="Times New Roman"/>
                <w:color w:val="000000"/>
              </w:rPr>
              <w:t xml:space="preserve">c, w skali roku </w:t>
            </w:r>
            <w:r w:rsidRPr="00560F34">
              <w:rPr>
                <w:rFonts w:ascii="Times New Roman" w:hAnsi="Times New Roman"/>
                <w:b/>
                <w:color w:val="000000"/>
              </w:rPr>
              <w:t>366 098,40 zł.</w:t>
            </w:r>
          </w:p>
          <w:p w14:paraId="00E34960" w14:textId="0F173329" w:rsidR="00764117" w:rsidRPr="00D35736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15" w:name="_Hlk54767731"/>
            <w:bookmarkEnd w:id="14"/>
            <w:r w:rsidRPr="00560F34">
              <w:rPr>
                <w:rFonts w:ascii="Times New Roman" w:hAnsi="Times New Roman"/>
                <w:b/>
                <w:color w:val="000000"/>
              </w:rPr>
              <w:t>Łączne koszty obsługi organizacyjno-techniczne NKB przez ABM w pierwszym roku wyniosą – 1 171 718,40 zł, a w latach kolejnych – 663 518,40 zł.</w:t>
            </w:r>
          </w:p>
          <w:bookmarkEnd w:id="15"/>
          <w:p w14:paraId="6B15A12C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37D4FD10" w14:textId="180CBB8A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60F34">
              <w:rPr>
                <w:rFonts w:ascii="Times New Roman" w:hAnsi="Times New Roman"/>
                <w:b/>
                <w:color w:val="000000"/>
              </w:rPr>
              <w:t>FUNDUSZ OCHRONY UCZESTNIKÓW BADAŃ MEDYCZNYCH WYDATKI</w:t>
            </w:r>
            <w:r w:rsidRPr="00560F34">
              <w:t xml:space="preserve"> </w:t>
            </w:r>
            <w:r w:rsidRPr="00560F34">
              <w:rPr>
                <w:rFonts w:ascii="Times New Roman" w:hAnsi="Times New Roman"/>
                <w:b/>
                <w:color w:val="000000"/>
              </w:rPr>
              <w:t>WYMAGAJĄCYCE ZABEZPIECZENIA W PLANIE FINANSOWYM ABM</w:t>
            </w:r>
          </w:p>
          <w:p w14:paraId="26C37486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16" w:name="_Hlk54767923"/>
            <w:bookmarkStart w:id="17" w:name="_Hlk54767793"/>
          </w:p>
          <w:p w14:paraId="335A124C" w14:textId="075DF8F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60F34">
              <w:rPr>
                <w:rFonts w:ascii="Times New Roman" w:hAnsi="Times New Roman"/>
                <w:b/>
                <w:bCs/>
                <w:color w:val="000000"/>
                <w:u w:val="single"/>
              </w:rPr>
              <w:t>Koszty osobowych administracji + dodatkowe składniki wynagrodzenia wynikające z regulaminu wynagradzania:</w:t>
            </w:r>
          </w:p>
          <w:p w14:paraId="2B218F97" w14:textId="061A65E6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2F8EC115" w14:textId="3B836AC3" w:rsidR="00764117" w:rsidRPr="00036095" w:rsidRDefault="00764117" w:rsidP="00036095">
            <w:pPr>
              <w:pStyle w:val="Akapitzlist"/>
              <w:numPr>
                <w:ilvl w:val="0"/>
                <w:numId w:val="5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7 etatów *8,5 tys. zł (średnie wynagrodzenie w ABM) = 59,5 tys. zł/miesiąc, z kosztami pracodawcy (ubezpieczenie społeczne +FP) = 71,4 tys. zł/m-c, w skali roku: 857 tys. zł;</w:t>
            </w:r>
          </w:p>
          <w:p w14:paraId="129219C6" w14:textId="0C46D780" w:rsidR="00764117" w:rsidRPr="00036095" w:rsidRDefault="008C0740" w:rsidP="00036095">
            <w:pPr>
              <w:pStyle w:val="Akapitzlist"/>
              <w:numPr>
                <w:ilvl w:val="0"/>
                <w:numId w:val="5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</w:t>
            </w:r>
            <w:r w:rsidR="00764117" w:rsidRPr="00036095">
              <w:rPr>
                <w:rFonts w:ascii="Times New Roman" w:hAnsi="Times New Roman"/>
                <w:color w:val="000000"/>
              </w:rPr>
              <w:t xml:space="preserve">odatkowe składniki wynagrodzenia (brutto brutto), łącznie wynoszą 127 tys. </w:t>
            </w:r>
            <w:r w:rsidRPr="008C0740">
              <w:rPr>
                <w:rFonts w:ascii="Times New Roman" w:hAnsi="Times New Roman"/>
                <w:color w:val="000000"/>
              </w:rPr>
              <w:t>Z</w:t>
            </w:r>
            <w:r w:rsidR="00764117" w:rsidRPr="00036095">
              <w:rPr>
                <w:rFonts w:ascii="Times New Roman" w:hAnsi="Times New Roman"/>
                <w:color w:val="000000"/>
              </w:rPr>
              <w:t>ł, w tym:</w:t>
            </w:r>
          </w:p>
          <w:p w14:paraId="09F37DED" w14:textId="4E53E408" w:rsidR="00764117" w:rsidRPr="00560F34" w:rsidRDefault="00764117" w:rsidP="00764117">
            <w:pPr>
              <w:spacing w:line="240" w:lineRule="auto"/>
              <w:ind w:left="510" w:hanging="142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a)</w:t>
            </w:r>
            <w:r w:rsidRPr="00560F34">
              <w:rPr>
                <w:rFonts w:ascii="Times New Roman" w:hAnsi="Times New Roman"/>
                <w:color w:val="000000"/>
              </w:rPr>
              <w:tab/>
              <w:t xml:space="preserve">ZFŚS – 1550,26 *7 etatów = 11 tys. </w:t>
            </w:r>
            <w:r w:rsidR="008C0740" w:rsidRPr="00560F34">
              <w:rPr>
                <w:rFonts w:ascii="Times New Roman" w:hAnsi="Times New Roman"/>
                <w:color w:val="000000"/>
              </w:rPr>
              <w:t>Z</w:t>
            </w:r>
            <w:r w:rsidRPr="00560F34">
              <w:rPr>
                <w:rFonts w:ascii="Times New Roman" w:hAnsi="Times New Roman"/>
                <w:color w:val="000000"/>
              </w:rPr>
              <w:t xml:space="preserve">ł, </w:t>
            </w:r>
          </w:p>
          <w:p w14:paraId="5D329B07" w14:textId="5485B103" w:rsidR="00764117" w:rsidRPr="00560F34" w:rsidRDefault="00764117" w:rsidP="00764117">
            <w:pPr>
              <w:spacing w:line="240" w:lineRule="auto"/>
              <w:ind w:left="510" w:hanging="142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b)</w:t>
            </w:r>
            <w:r w:rsidRPr="00560F34">
              <w:rPr>
                <w:rFonts w:ascii="Times New Roman" w:hAnsi="Times New Roman"/>
                <w:color w:val="000000"/>
              </w:rPr>
              <w:tab/>
              <w:t xml:space="preserve">13 pensja = 857 tys. </w:t>
            </w:r>
            <w:r w:rsidR="00984CCE">
              <w:rPr>
                <w:rFonts w:ascii="Times New Roman" w:hAnsi="Times New Roman"/>
                <w:color w:val="000000"/>
              </w:rPr>
              <w:t>z</w:t>
            </w:r>
            <w:r w:rsidR="00984CCE" w:rsidRPr="00560F34">
              <w:rPr>
                <w:rFonts w:ascii="Times New Roman" w:hAnsi="Times New Roman"/>
                <w:color w:val="000000"/>
              </w:rPr>
              <w:t xml:space="preserve">ł </w:t>
            </w:r>
            <w:r w:rsidRPr="00560F34">
              <w:rPr>
                <w:rFonts w:ascii="Times New Roman" w:hAnsi="Times New Roman"/>
                <w:color w:val="000000"/>
              </w:rPr>
              <w:t xml:space="preserve">*8,5% = 73 tys. </w:t>
            </w:r>
            <w:r w:rsidR="008C0740" w:rsidRPr="00560F34">
              <w:rPr>
                <w:rFonts w:ascii="Times New Roman" w:hAnsi="Times New Roman"/>
                <w:color w:val="000000"/>
              </w:rPr>
              <w:t>Z</w:t>
            </w:r>
            <w:r w:rsidRPr="00560F34">
              <w:rPr>
                <w:rFonts w:ascii="Times New Roman" w:hAnsi="Times New Roman"/>
                <w:color w:val="000000"/>
              </w:rPr>
              <w:t>ł,</w:t>
            </w:r>
          </w:p>
          <w:p w14:paraId="797242A4" w14:textId="0B2DEBE4" w:rsidR="00764117" w:rsidRPr="00560F34" w:rsidRDefault="00764117" w:rsidP="00764117">
            <w:pPr>
              <w:spacing w:line="240" w:lineRule="auto"/>
              <w:ind w:left="510" w:hanging="142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c)</w:t>
            </w:r>
            <w:r w:rsidRPr="00560F34">
              <w:rPr>
                <w:rFonts w:ascii="Times New Roman" w:hAnsi="Times New Roman"/>
                <w:color w:val="000000"/>
              </w:rPr>
              <w:tab/>
              <w:t xml:space="preserve">nagroda 5%= 857 tys. </w:t>
            </w:r>
            <w:r w:rsidR="00984CCE">
              <w:rPr>
                <w:rFonts w:ascii="Times New Roman" w:hAnsi="Times New Roman"/>
                <w:color w:val="000000"/>
              </w:rPr>
              <w:t>z</w:t>
            </w:r>
            <w:r w:rsidR="00984CCE" w:rsidRPr="00560F34">
              <w:rPr>
                <w:rFonts w:ascii="Times New Roman" w:hAnsi="Times New Roman"/>
                <w:color w:val="000000"/>
              </w:rPr>
              <w:t xml:space="preserve">ł </w:t>
            </w:r>
            <w:r w:rsidRPr="00560F34">
              <w:rPr>
                <w:rFonts w:ascii="Times New Roman" w:hAnsi="Times New Roman"/>
                <w:color w:val="000000"/>
              </w:rPr>
              <w:t xml:space="preserve">* 5% = 43 tys. </w:t>
            </w:r>
            <w:r w:rsidR="008C0740" w:rsidRPr="00560F34">
              <w:rPr>
                <w:rFonts w:ascii="Times New Roman" w:hAnsi="Times New Roman"/>
                <w:color w:val="000000"/>
              </w:rPr>
              <w:t>Z</w:t>
            </w:r>
            <w:r w:rsidRPr="00560F34">
              <w:rPr>
                <w:rFonts w:ascii="Times New Roman" w:hAnsi="Times New Roman"/>
                <w:color w:val="000000"/>
              </w:rPr>
              <w:t xml:space="preserve">ł. </w:t>
            </w:r>
          </w:p>
          <w:p w14:paraId="1C66C6F5" w14:textId="14C601D9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60F34">
              <w:rPr>
                <w:rFonts w:ascii="Times New Roman" w:hAnsi="Times New Roman"/>
                <w:b/>
                <w:bCs/>
                <w:color w:val="000000"/>
              </w:rPr>
              <w:t xml:space="preserve">Łącznie koszty wynagrodzeń dla dodatkowych pracowników Agencji Badań Medycznych obsługujących Fundusz wynoszą 984 tys. </w:t>
            </w:r>
            <w:r w:rsidR="0023234F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Pr="00560F34">
              <w:rPr>
                <w:rFonts w:ascii="Times New Roman" w:hAnsi="Times New Roman"/>
                <w:b/>
                <w:bCs/>
                <w:color w:val="000000"/>
              </w:rPr>
              <w:t>ł rocznie.</w:t>
            </w:r>
          </w:p>
          <w:p w14:paraId="61300A6B" w14:textId="77777777" w:rsidR="0054716B" w:rsidRPr="00560F34" w:rsidRDefault="0054716B" w:rsidP="0054716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BBEDB1A" w14:textId="6A3E97D9" w:rsidR="0054716B" w:rsidRPr="00560F34" w:rsidRDefault="0054716B" w:rsidP="0054716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Pozostałe koszty</w:t>
            </w:r>
            <w:r w:rsidR="008C0740">
              <w:rPr>
                <w:rFonts w:ascii="Times New Roman" w:hAnsi="Times New Roman"/>
                <w:color w:val="000000"/>
              </w:rPr>
              <w:t>:</w:t>
            </w:r>
            <w:r w:rsidRPr="00560F3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93F9349" w14:textId="2117650E" w:rsidR="0054716B" w:rsidRPr="00560F34" w:rsidRDefault="0054716B" w:rsidP="0054716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1) zestawy komputerowe</w:t>
            </w:r>
            <w:r w:rsidR="0023234F">
              <w:rPr>
                <w:rFonts w:ascii="Times New Roman" w:hAnsi="Times New Roman"/>
                <w:color w:val="000000"/>
              </w:rPr>
              <w:t xml:space="preserve"> </w:t>
            </w:r>
            <w:r w:rsidRPr="00560F34">
              <w:rPr>
                <w:rFonts w:ascii="Times New Roman" w:hAnsi="Times New Roman"/>
                <w:color w:val="000000"/>
              </w:rPr>
              <w:t>+ akcesoria komputerowe dla 7 osób</w:t>
            </w:r>
            <w:r w:rsidR="0023234F">
              <w:rPr>
                <w:rFonts w:ascii="Times New Roman" w:hAnsi="Times New Roman"/>
                <w:color w:val="000000"/>
              </w:rPr>
              <w:t xml:space="preserve"> </w:t>
            </w:r>
            <w:r w:rsidRPr="00560F34">
              <w:rPr>
                <w:rFonts w:ascii="Times New Roman" w:hAnsi="Times New Roman"/>
                <w:color w:val="000000"/>
              </w:rPr>
              <w:t>– 10 tys. zł*7 osób = 70 tys. zł jednorazowo;</w:t>
            </w:r>
          </w:p>
          <w:p w14:paraId="47023448" w14:textId="198C8D13" w:rsidR="0054716B" w:rsidRPr="00560F34" w:rsidRDefault="0054716B" w:rsidP="0054716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2)</w:t>
            </w:r>
            <w:r w:rsidRPr="00560F34">
              <w:rPr>
                <w:rFonts w:ascii="Times New Roman" w:hAnsi="Times New Roman"/>
                <w:color w:val="000000"/>
              </w:rPr>
              <w:tab/>
              <w:t>zbudowanie dedykowanego systemu IT wraz z zakupem specjalistycznego oprogramowania do obsługi bazy danych</w:t>
            </w:r>
            <w:r w:rsidR="0023234F">
              <w:rPr>
                <w:rFonts w:ascii="Times New Roman" w:hAnsi="Times New Roman"/>
                <w:color w:val="000000"/>
              </w:rPr>
              <w:t xml:space="preserve"> </w:t>
            </w:r>
            <w:r w:rsidRPr="00560F34">
              <w:rPr>
                <w:rFonts w:ascii="Times New Roman" w:hAnsi="Times New Roman"/>
                <w:color w:val="000000"/>
              </w:rPr>
              <w:t>– ok. 200 tys. zł jednorazowo;</w:t>
            </w:r>
          </w:p>
          <w:p w14:paraId="215C5BD9" w14:textId="7173A20E" w:rsidR="0054716B" w:rsidRPr="00560F34" w:rsidRDefault="0054716B" w:rsidP="0054716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3)</w:t>
            </w:r>
            <w:r w:rsidRPr="00560F34">
              <w:rPr>
                <w:rFonts w:ascii="Times New Roman" w:hAnsi="Times New Roman"/>
                <w:color w:val="000000"/>
              </w:rPr>
              <w:tab/>
              <w:t xml:space="preserve">zakup mebli i wyposażenia </w:t>
            </w:r>
            <w:r w:rsidR="0023234F" w:rsidRPr="00560F34">
              <w:rPr>
                <w:rFonts w:ascii="Times New Roman" w:hAnsi="Times New Roman"/>
                <w:color w:val="000000"/>
              </w:rPr>
              <w:t>–</w:t>
            </w:r>
            <w:r w:rsidR="0023234F">
              <w:rPr>
                <w:rFonts w:ascii="Times New Roman" w:hAnsi="Times New Roman"/>
                <w:color w:val="000000"/>
              </w:rPr>
              <w:t xml:space="preserve"> </w:t>
            </w:r>
            <w:r w:rsidRPr="00560F34">
              <w:rPr>
                <w:rFonts w:ascii="Times New Roman" w:hAnsi="Times New Roman"/>
                <w:color w:val="000000"/>
              </w:rPr>
              <w:t>2,8 tys. zł*7 osób = 20 tys. zł jednorazowo</w:t>
            </w:r>
            <w:r w:rsidR="0023234F">
              <w:rPr>
                <w:rFonts w:ascii="Times New Roman" w:hAnsi="Times New Roman"/>
                <w:color w:val="000000"/>
              </w:rPr>
              <w:t>.</w:t>
            </w:r>
          </w:p>
          <w:p w14:paraId="07D3BD5E" w14:textId="3DC3CE05" w:rsidR="00472927" w:rsidRPr="00560F34" w:rsidRDefault="00472927" w:rsidP="0054716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b/>
                <w:bCs/>
                <w:color w:val="000000"/>
              </w:rPr>
              <w:t>Łączny koszt w pierwszym roku: 290 tys. zł.</w:t>
            </w:r>
          </w:p>
          <w:p w14:paraId="215362B4" w14:textId="74DA7950" w:rsidR="00472927" w:rsidRPr="00560F34" w:rsidRDefault="00472927" w:rsidP="0054716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60F34">
              <w:rPr>
                <w:rFonts w:ascii="Times New Roman" w:hAnsi="Times New Roman"/>
                <w:b/>
                <w:bCs/>
                <w:color w:val="000000"/>
              </w:rPr>
              <w:t>Łączny koszt: 1 273, 8 tys. w pierwszym roku, 984 tys. w latach następnych.</w:t>
            </w:r>
          </w:p>
          <w:p w14:paraId="604DBBCC" w14:textId="77777777" w:rsidR="00472927" w:rsidRPr="00560F34" w:rsidRDefault="00472927" w:rsidP="0054716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bookmarkEnd w:id="16"/>
          <w:p w14:paraId="0F8BFD6B" w14:textId="4C549D50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Powyższe koszty związane są m.in. zatrudnieniem dodatkowego personelu do obsługi Funduszu Ochrony Uczestników Badań Medycznych i zakupem wyposażenia komputerowego oraz systemu informatycznego. Zgodnie z założeniami projektu Fundusz będzie się sam finansował ze składek wpłacanych przez sponsorów badań klinicznych. Z tego względu tylko w pierwszym okresie po utworzeniu Funduszu przewidziano dotację z budżetu państwa dla Funduszu. Przewidywane wydatki będą ponoszone z budżetu państwa, z części 46 – Zdrowie będącej w dyspozycji </w:t>
            </w:r>
            <w:r w:rsidR="0023234F">
              <w:rPr>
                <w:rFonts w:ascii="Times New Roman" w:hAnsi="Times New Roman"/>
                <w:color w:val="000000"/>
              </w:rPr>
              <w:t>m</w:t>
            </w:r>
            <w:r w:rsidRPr="00560F34">
              <w:rPr>
                <w:rFonts w:ascii="Times New Roman" w:hAnsi="Times New Roman"/>
                <w:color w:val="000000"/>
              </w:rPr>
              <w:t xml:space="preserve">inistra </w:t>
            </w:r>
            <w:r w:rsidR="0023234F">
              <w:rPr>
                <w:rFonts w:ascii="Times New Roman" w:hAnsi="Times New Roman"/>
                <w:color w:val="000000"/>
              </w:rPr>
              <w:t>właściwego do spraw z</w:t>
            </w:r>
            <w:r w:rsidRPr="00560F34">
              <w:rPr>
                <w:rFonts w:ascii="Times New Roman" w:hAnsi="Times New Roman"/>
                <w:color w:val="000000"/>
              </w:rPr>
              <w:t xml:space="preserve">drowia. </w:t>
            </w:r>
          </w:p>
          <w:p w14:paraId="0885A6C6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A5BB68D" w14:textId="2992D94B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Przyjęto ustalenie wysokości składki na Fundusz w zależności od liczby uczestników badania klinicznego przyjmujących badany produkt leczniczy lub znajdujących się w grupie kontrolnej: </w:t>
            </w:r>
          </w:p>
          <w:p w14:paraId="7B76F0AC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1) do 20 osób – 2 000 euro;</w:t>
            </w:r>
          </w:p>
          <w:p w14:paraId="1CFBF232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2) od 21 do 50 osób – 4 000 euro;</w:t>
            </w:r>
          </w:p>
          <w:p w14:paraId="08871773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3) od 51 - 100 osób – 6 000 euro;</w:t>
            </w:r>
          </w:p>
          <w:p w14:paraId="419B3B7E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4) powyżej 100 osób – 10 000 euro.</w:t>
            </w:r>
          </w:p>
          <w:p w14:paraId="7B462AC2" w14:textId="7BBF3F40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Do wyliczeń przyjęto liczbę badań klinicznych zarejestrowanych w </w:t>
            </w:r>
            <w:r w:rsidR="00455F6D">
              <w:rPr>
                <w:rFonts w:ascii="Times New Roman" w:hAnsi="Times New Roman"/>
                <w:color w:val="000000"/>
              </w:rPr>
              <w:t xml:space="preserve">Rzeczypospolitej </w:t>
            </w:r>
            <w:r w:rsidRPr="00560F34">
              <w:rPr>
                <w:rFonts w:ascii="Times New Roman" w:hAnsi="Times New Roman"/>
                <w:color w:val="000000"/>
              </w:rPr>
              <w:t>Pols</w:t>
            </w:r>
            <w:r w:rsidR="00455F6D">
              <w:rPr>
                <w:rFonts w:ascii="Times New Roman" w:hAnsi="Times New Roman"/>
                <w:color w:val="000000"/>
              </w:rPr>
              <w:t>kiej</w:t>
            </w:r>
            <w:r w:rsidRPr="00560F34">
              <w:rPr>
                <w:rFonts w:ascii="Times New Roman" w:hAnsi="Times New Roman"/>
                <w:color w:val="000000"/>
              </w:rPr>
              <w:t xml:space="preserve"> w 2019 r. (514) i stawkę składki 6 000 euro za jedno badanie kliniczne.</w:t>
            </w:r>
          </w:p>
          <w:p w14:paraId="4DE35A73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Szacuje się, że suma wpłaconych składek wyniesie około 3 084 000 euro (14 116 702 zł </w:t>
            </w:r>
            <w:r w:rsidRPr="00560F34">
              <w:rPr>
                <w:rFonts w:ascii="Times New Roman" w:hAnsi="Times New Roman"/>
                <w:color w:val="000000"/>
              </w:rPr>
              <w:br/>
              <w:t>w przeliczeniu po średnim kursie 4,5774 – Tabela A kursów średnich walut obcych nr 209/A/NBP/2020 z dnia 2020-10-26).</w:t>
            </w:r>
          </w:p>
          <w:p w14:paraId="2611BEED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Suma ta będzie powiększona o odsetki od środków zgromadzonych na rachunku Funduszu, które na dzień dzisiejszy są trudne do oszacowania, z uwag na trudność oszacowania środków pozostałych na koncie Funduszu po wypłacie ewentualnych świadczeń dla uczestników badań klinicznych.</w:t>
            </w:r>
          </w:p>
          <w:p w14:paraId="11D65913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Przyjęto, że do Funduszu będzie rozpatrywał 100 spraw rocznie. Przy czym przyjęto, że </w:t>
            </w:r>
            <w:r w:rsidRPr="00560F34">
              <w:rPr>
                <w:rFonts w:ascii="Times New Roman" w:hAnsi="Times New Roman"/>
                <w:color w:val="000000"/>
              </w:rPr>
              <w:br/>
              <w:t>w połowie przypadków nastąpi wypłata świadczenia. Maksymalna projektowana kwota świadczenia wyniesie: 100 000,00 zł w przypadku uszkodzenia ciała lub rozstroju zdrowia uczestnika badania klinicznego; śmierci uczestnika badania klinicznego –  300 000,00 zł.</w:t>
            </w:r>
          </w:p>
          <w:p w14:paraId="6723F29C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Przyjmując maksymalną wysokość świadczenia z tytułu uszkodzenia ciała lub rozstroju zdrowia (49 przypadków) i śmierci uczestnika badania klinicznego (1 przypadek), łączna suma wypłaconych rocznie świadczeń wyniesie 5 200 000,00 zł. </w:t>
            </w:r>
          </w:p>
          <w:p w14:paraId="24303E44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Przewiduje się, że wpłacane przez sponsorów badań klinicznych pozwolą Funduszowi na osiągnięcie samofinansowania. Dofinansowanie działalności Funduszu będzie konieczne tylko </w:t>
            </w:r>
            <w:bookmarkEnd w:id="17"/>
            <w:r w:rsidRPr="00560F34">
              <w:rPr>
                <w:rFonts w:ascii="Times New Roman" w:hAnsi="Times New Roman"/>
                <w:color w:val="000000"/>
              </w:rPr>
              <w:t xml:space="preserve">do czasu wpłynięcia składek w wysokości pozwalającej na pokrycie kosztów funkcjonowania </w:t>
            </w:r>
            <w:r w:rsidRPr="00560F34">
              <w:rPr>
                <w:rFonts w:ascii="Times New Roman" w:hAnsi="Times New Roman"/>
                <w:color w:val="000000"/>
              </w:rPr>
              <w:br/>
              <w:t>i ewentualnych świadczeń.</w:t>
            </w:r>
          </w:p>
          <w:p w14:paraId="24D176A1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DBC6D21" w14:textId="467101E6" w:rsidR="00764117" w:rsidRPr="00560F34" w:rsidRDefault="006D17E8" w:rsidP="007641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60F34">
              <w:rPr>
                <w:rFonts w:ascii="Times New Roman" w:hAnsi="Times New Roman"/>
                <w:b/>
                <w:bCs/>
                <w:color w:val="000000"/>
              </w:rPr>
              <w:t xml:space="preserve">SKUTKI FINANSOWE DLA PREZESA URZĘDU REJESTRACJI PRODUKTÓW LECZNICZYCH, WYROBÓW MEDYCZNYCH I PRODUKTÓW BIOBÓJCZYCH </w:t>
            </w:r>
          </w:p>
          <w:p w14:paraId="20B37CBB" w14:textId="2DD6E4BD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Realizacja zadań wynikających z wprowadzanych regulacji nie jest możliwa bez zwiększenia zatrudnienia w Departamencie Badań Klinicznych Produktów Leczniczych (DBL) w Urzędzie. Wszelkie postępowania w przedmiocie badania klinicznego Prezes Urzędu </w:t>
            </w:r>
            <w:r w:rsidR="00455F6D">
              <w:rPr>
                <w:rFonts w:ascii="Times New Roman" w:hAnsi="Times New Roman"/>
                <w:color w:val="000000"/>
              </w:rPr>
              <w:t>będzie</w:t>
            </w:r>
            <w:r w:rsidR="00455F6D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Pr="00560F34">
              <w:rPr>
                <w:rFonts w:ascii="Times New Roman" w:hAnsi="Times New Roman"/>
                <w:color w:val="000000"/>
              </w:rPr>
              <w:t>prowadzi</w:t>
            </w:r>
            <w:r w:rsidR="00455F6D">
              <w:rPr>
                <w:rFonts w:ascii="Times New Roman" w:hAnsi="Times New Roman"/>
                <w:color w:val="000000"/>
              </w:rPr>
              <w:t>ł</w:t>
            </w:r>
            <w:r w:rsidRPr="00560F34">
              <w:rPr>
                <w:rFonts w:ascii="Times New Roman" w:hAnsi="Times New Roman"/>
                <w:color w:val="000000"/>
              </w:rPr>
              <w:t xml:space="preserve"> zgodnie z zasadami i w terminach określonych w rozporządzeniu 536/2014 oraz </w:t>
            </w:r>
            <w:r w:rsidR="00455F6D">
              <w:rPr>
                <w:rFonts w:ascii="Times New Roman" w:hAnsi="Times New Roman"/>
                <w:color w:val="000000"/>
              </w:rPr>
              <w:t>projekcie</w:t>
            </w:r>
            <w:r w:rsidR="00455F6D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Pr="00560F34">
              <w:rPr>
                <w:rFonts w:ascii="Times New Roman" w:hAnsi="Times New Roman"/>
                <w:color w:val="000000"/>
              </w:rPr>
              <w:t>ustaw</w:t>
            </w:r>
            <w:r w:rsidR="00455F6D">
              <w:rPr>
                <w:rFonts w:ascii="Times New Roman" w:hAnsi="Times New Roman"/>
                <w:color w:val="000000"/>
              </w:rPr>
              <w:t>y</w:t>
            </w:r>
            <w:r w:rsidRPr="00560F34">
              <w:rPr>
                <w:rFonts w:ascii="Times New Roman" w:hAnsi="Times New Roman"/>
                <w:color w:val="000000"/>
              </w:rPr>
              <w:t xml:space="preserve">. Rozporządzenie 536/2014 szczegółowo określa zakres oceny wniosku i dokumentacji badania klinicznego. Dodatkowo zgodnie z Rozporządzeniem 536/2014 </w:t>
            </w:r>
            <w:r w:rsidR="00455F6D">
              <w:rPr>
                <w:rFonts w:ascii="Times New Roman" w:hAnsi="Times New Roman"/>
                <w:color w:val="000000"/>
              </w:rPr>
              <w:t>p</w:t>
            </w:r>
            <w:r w:rsidRPr="00560F34">
              <w:rPr>
                <w:rFonts w:ascii="Times New Roman" w:hAnsi="Times New Roman"/>
                <w:color w:val="000000"/>
              </w:rPr>
              <w:t xml:space="preserve">aństwa członkowskie zapewniają, aby osoby walidujące i oceniające wniosek nie pozostawały w konflikcie interesów, były niezależne od sponsora, ośrodka badań klinicznych oraz od badaczy biorących udział w </w:t>
            </w:r>
            <w:r w:rsidRPr="00560F34">
              <w:rPr>
                <w:rFonts w:ascii="Times New Roman" w:hAnsi="Times New Roman"/>
                <w:color w:val="000000"/>
              </w:rPr>
              <w:lastRenderedPageBreak/>
              <w:t xml:space="preserve">badaniu oraz osób finansujących dane badanie kliniczne, a także by nie podlegały one żadnym innym niepożądanym wpływom. Na potrzeby Rozporządzenia 536/14, gdzie czas na realizację każdego z etapów oceny jest bardzo krótki, konieczne jest zbudowanie w Urzędzie takiego zespołu ekspertów, aby zachowując określone przepisami terminy można było na każdym etapie odjąć dyskusję ze sponsorem i ekspertami oceniającymi z innych państw członkowskich biorących udział w procedurze. Realne zwiększenie zatrudnienie ekspertów oceniających dokumentację, którzy na bieżąco będą odbywać szkolenia oraz uczestniczyć  w grupach roboczych EMA, niewątpliwie usprawni i podniesie jakość oceny wniosków o badania kliniczne. W tym celu należy zbudować w DBL </w:t>
            </w:r>
            <w:r w:rsidR="00455F6D">
              <w:rPr>
                <w:rFonts w:ascii="Times New Roman" w:hAnsi="Times New Roman"/>
                <w:color w:val="000000"/>
              </w:rPr>
              <w:t xml:space="preserve">w Urzędzie </w:t>
            </w:r>
            <w:r w:rsidRPr="00560F34">
              <w:rPr>
                <w:rFonts w:ascii="Times New Roman" w:hAnsi="Times New Roman"/>
                <w:color w:val="000000"/>
              </w:rPr>
              <w:t>zespół ekspertów ds. oceny dokumentacji badania klinicznego (klinicznej – 10, nieklinicznej</w:t>
            </w:r>
            <w:r w:rsidR="00455F6D">
              <w:rPr>
                <w:rFonts w:ascii="Times New Roman" w:hAnsi="Times New Roman"/>
                <w:color w:val="000000"/>
              </w:rPr>
              <w:t xml:space="preserve"> </w:t>
            </w:r>
            <w:r w:rsidR="00455F6D" w:rsidRPr="00560F34">
              <w:rPr>
                <w:rFonts w:ascii="Times New Roman" w:hAnsi="Times New Roman"/>
                <w:color w:val="000000"/>
              </w:rPr>
              <w:t>–</w:t>
            </w:r>
            <w:r w:rsidRPr="00560F34">
              <w:rPr>
                <w:rFonts w:ascii="Times New Roman" w:hAnsi="Times New Roman"/>
                <w:color w:val="000000"/>
              </w:rPr>
              <w:t xml:space="preserve"> 2, jakościowej – 2, biostatystyk </w:t>
            </w:r>
            <w:r w:rsidR="00455F6D" w:rsidRPr="00560F34">
              <w:rPr>
                <w:rFonts w:ascii="Times New Roman" w:hAnsi="Times New Roman"/>
                <w:color w:val="000000"/>
              </w:rPr>
              <w:t>–</w:t>
            </w:r>
            <w:r w:rsidR="00455F6D">
              <w:rPr>
                <w:rFonts w:ascii="Times New Roman" w:hAnsi="Times New Roman"/>
                <w:color w:val="000000"/>
              </w:rPr>
              <w:t xml:space="preserve"> </w:t>
            </w:r>
            <w:r w:rsidRPr="00560F34">
              <w:rPr>
                <w:rFonts w:ascii="Times New Roman" w:hAnsi="Times New Roman"/>
                <w:color w:val="000000"/>
              </w:rPr>
              <w:t xml:space="preserve">1). Jeżeli zatrudnienie ekspertów nie będzie możliwe należy zabezpieczyć koszty na umowy o dzieło dla ekspertów zewnętrznych (tak jak ma to miejsce aktualnie). </w:t>
            </w:r>
          </w:p>
          <w:p w14:paraId="20C4E16F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Projekt ustawy zakłada nowe zasady dotyczące ustalania i uiszczania opłat. W tym zakresie konieczne będzie weryfikowanie znacznie większej liczby opłat niż dotychczas co jest związane z koniecznością powiększenia zespołu Biura Finansowo-Księgowego o 2 etaty. Obecnie weryfikacji wymagają jedynie opłaty za wnioski o rozpoczęcie badania klinicznego – ok. 500 rocznie. Wprowadzając opłaty za złożenie wniosku o wydanie pozwolenia na zmianę istotną można się spodziewać ok 3500 – 4000 takich wniosków rocznie, które będą musiały być </w:t>
            </w:r>
            <w:proofErr w:type="spellStart"/>
            <w:r w:rsidRPr="00560F34">
              <w:rPr>
                <w:rFonts w:ascii="Times New Roman" w:hAnsi="Times New Roman"/>
                <w:color w:val="000000"/>
              </w:rPr>
              <w:t>zwalidowane</w:t>
            </w:r>
            <w:proofErr w:type="spellEnd"/>
            <w:r w:rsidRPr="00560F34">
              <w:rPr>
                <w:rFonts w:ascii="Times New Roman" w:hAnsi="Times New Roman"/>
                <w:color w:val="000000"/>
              </w:rPr>
              <w:t xml:space="preserve">. Czas walidacji określonej przepisami Rozporządzenia 536/2014 to 5 dni. Cały proces wydawania pozwolenia na badanie oraz zmianę istotną oraz inne aktywności organu kompetentnego będą odbywać się przy użyciu nowatorskiego rozwiązania informatycznego – portalu i bazy danych przygotowywanych przez Europejską Agencję Leków. W związku z tym konieczne będzie wzmocnienie zespołu informatyków Urzędu o 2 etaty </w:t>
            </w:r>
          </w:p>
          <w:p w14:paraId="3C092E73" w14:textId="2811E96C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Kolejno wskazać należy na nałożony rozporządzeniem 536/2014 na państwa członkowskie obowiązek oceny bezpieczeństwa badanych produktów leczniczych. Aktualnie Prezes Urzędu gromadzi informacje o działaniach niepożądanych badanych produktów leczniczych; zgodnie z </w:t>
            </w:r>
            <w:r w:rsidR="00455F6D">
              <w:rPr>
                <w:rFonts w:ascii="Times New Roman" w:hAnsi="Times New Roman"/>
                <w:color w:val="000000"/>
              </w:rPr>
              <w:t>r</w:t>
            </w:r>
            <w:r w:rsidRPr="00560F34">
              <w:rPr>
                <w:rFonts w:ascii="Times New Roman" w:hAnsi="Times New Roman"/>
                <w:color w:val="000000"/>
              </w:rPr>
              <w:t xml:space="preserve">ozporządzeniem 536/2014 będzie musiał włączyć się do oceny bezpieczeństwa badanych produktów leczniczych w ramach procedury </w:t>
            </w:r>
            <w:proofErr w:type="spellStart"/>
            <w:r w:rsidRPr="00560F34">
              <w:rPr>
                <w:rFonts w:ascii="Times New Roman" w:hAnsi="Times New Roman"/>
                <w:color w:val="000000"/>
              </w:rPr>
              <w:t>worksharing</w:t>
            </w:r>
            <w:proofErr w:type="spellEnd"/>
            <w:r w:rsidRPr="00560F34">
              <w:rPr>
                <w:rFonts w:ascii="Times New Roman" w:hAnsi="Times New Roman"/>
                <w:color w:val="000000"/>
              </w:rPr>
              <w:t xml:space="preserve"> z innymi państwami członkowskimi.  Główne cele współpracy to: </w:t>
            </w:r>
          </w:p>
          <w:p w14:paraId="4747C46C" w14:textId="5234A801" w:rsidR="00764117" w:rsidRPr="00036095" w:rsidRDefault="00764117" w:rsidP="00036095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harmonizacja oceny bezpieczeństwa badanego leku Produkt (IMP) i uzyskanie wspólnej opinii na temat IMP używanego w badaniach klinicznych;</w:t>
            </w:r>
          </w:p>
          <w:p w14:paraId="30D730AF" w14:textId="491E0B0D" w:rsidR="00455F6D" w:rsidRDefault="00764117" w:rsidP="00764117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poprawienie przejrzystości działań w przypadku (potencjalnych) problemów z bezpieczeństwem IMP wśród państw członkowskich;</w:t>
            </w:r>
          </w:p>
          <w:p w14:paraId="75015C6C" w14:textId="209ABFA6" w:rsidR="00764117" w:rsidRPr="00455F6D" w:rsidRDefault="00764117" w:rsidP="00764117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55F6D">
              <w:rPr>
                <w:rFonts w:ascii="Times New Roman" w:hAnsi="Times New Roman"/>
                <w:color w:val="000000"/>
              </w:rPr>
              <w:t>uniknięcie wielokrotnej oceny tych samych dokumentów,  oszczędność zasobów i zwiększenie nadzoru nad bezpieczeństwem uczestników badań klinicznych prowadzonych w Unii Europejskiej;</w:t>
            </w:r>
          </w:p>
          <w:p w14:paraId="50439238" w14:textId="6BB7198B" w:rsidR="00764117" w:rsidRPr="00036095" w:rsidRDefault="00764117" w:rsidP="00036095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sprawne uruchamianie zharmonizowanych działań naprawczych w stosownych przypadkach.</w:t>
            </w:r>
          </w:p>
          <w:p w14:paraId="4B4D5944" w14:textId="6A5BEC52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Wyznaczanie Rzeczypospolitej Polskiej jako państwa członkowskiego oceniającego bezpieczeństwo dla nowych cząsteczek koordynującego wszystkie działania związane z bezpieczeństwem konkretnego IMP wymagać będzie odpowiednich zasobów osobowych. Przykładowo w 2019 r</w:t>
            </w:r>
            <w:r w:rsidR="00455F6D">
              <w:rPr>
                <w:rFonts w:ascii="Times New Roman" w:hAnsi="Times New Roman"/>
                <w:color w:val="000000"/>
              </w:rPr>
              <w:t>.</w:t>
            </w:r>
            <w:r w:rsidRPr="00560F34">
              <w:rPr>
                <w:rFonts w:ascii="Times New Roman" w:hAnsi="Times New Roman"/>
                <w:color w:val="000000"/>
              </w:rPr>
              <w:t xml:space="preserve"> do Urzędu wpłynęło ponad 24 000 raportów dotyczących wystąpienia ciężkich niepożądanych działań produktu leczniczego oraz ponad 900 rocznych raportów bezpieczeństwa. Wskazane wyżej czynności nie będą możliwe do realizacji w obecnym kształcie osobowym. Niezbędne minimum gwarantujące ciągłość pracy i wykonywanie elementarnych zadań nakładanych nowymi przepisami to 5 etatów.</w:t>
            </w:r>
          </w:p>
          <w:p w14:paraId="71666742" w14:textId="6385E552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Strategicznym celem rozporządzenia 536/2014 jest odwróceniu niekorzystnego trendu „wyprowadzania” badań klinicznych z Europy i zwiększenie liczby badań klinicznych prowadzonych w UE, w tym w </w:t>
            </w:r>
            <w:r w:rsidR="00D61C09">
              <w:rPr>
                <w:rFonts w:ascii="Times New Roman" w:hAnsi="Times New Roman"/>
                <w:color w:val="000000"/>
              </w:rPr>
              <w:t xml:space="preserve">Rzeczypospolitej </w:t>
            </w:r>
            <w:r w:rsidRPr="00560F34">
              <w:rPr>
                <w:rFonts w:ascii="Times New Roman" w:hAnsi="Times New Roman"/>
                <w:color w:val="000000"/>
              </w:rPr>
              <w:t>Pols</w:t>
            </w:r>
            <w:r w:rsidR="00D61C09">
              <w:rPr>
                <w:rFonts w:ascii="Times New Roman" w:hAnsi="Times New Roman"/>
                <w:color w:val="000000"/>
              </w:rPr>
              <w:t>kiej</w:t>
            </w:r>
            <w:r w:rsidRPr="00560F34">
              <w:rPr>
                <w:rFonts w:ascii="Times New Roman" w:hAnsi="Times New Roman"/>
                <w:color w:val="000000"/>
              </w:rPr>
              <w:t xml:space="preserve">. Powyższe nie będzie możliwe bez zapewnienia skutecznej i fachowej inspekcji, stąd konieczne jest również zwiększenie liczby inspektorów ds. badań klinicznych i wzmocnienie Departamentu Inspekcji Badań Klinicznych o  5 etatów. </w:t>
            </w:r>
          </w:p>
          <w:p w14:paraId="00943BDA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Nowe regulacje wprowadzające nieznane do tej pory na gruncie badań klinicznych  rozwiązania prawne, wymagające pogłębionej interpretacji czy analizy </w:t>
            </w:r>
            <w:proofErr w:type="spellStart"/>
            <w:r w:rsidRPr="00560F34">
              <w:rPr>
                <w:rFonts w:ascii="Times New Roman" w:hAnsi="Times New Roman"/>
                <w:color w:val="000000"/>
              </w:rPr>
              <w:t>formalno</w:t>
            </w:r>
            <w:proofErr w:type="spellEnd"/>
            <w:r w:rsidRPr="00560F34">
              <w:rPr>
                <w:rFonts w:ascii="Times New Roman" w:hAnsi="Times New Roman"/>
                <w:color w:val="000000"/>
              </w:rPr>
              <w:t xml:space="preserve"> – prawnej wydawanych rozstrzygnięć uzasadnia konieczność wzmocnienia kilkuosobowego w chwili obecnej zespołu Departamentu Prawnego  o dodatkowe  2 etaty.</w:t>
            </w:r>
          </w:p>
          <w:p w14:paraId="68EF8477" w14:textId="2F5015F2" w:rsidR="00764117" w:rsidRPr="00560F34" w:rsidRDefault="00764117" w:rsidP="00D61C0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>Podsumowując</w:t>
            </w:r>
            <w:r w:rsidR="006B4A4F">
              <w:rPr>
                <w:rFonts w:ascii="Times New Roman" w:hAnsi="Times New Roman"/>
                <w:color w:val="000000"/>
              </w:rPr>
              <w:t>:</w:t>
            </w:r>
            <w:r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D61C09">
              <w:rPr>
                <w:rFonts w:ascii="Times New Roman" w:hAnsi="Times New Roman"/>
                <w:color w:val="000000"/>
              </w:rPr>
              <w:t>e</w:t>
            </w:r>
            <w:r w:rsidRPr="00560F34">
              <w:rPr>
                <w:rFonts w:ascii="Times New Roman" w:hAnsi="Times New Roman"/>
                <w:color w:val="000000"/>
              </w:rPr>
              <w:t xml:space="preserve">taty dla </w:t>
            </w:r>
            <w:r w:rsidR="00D61C09">
              <w:rPr>
                <w:rFonts w:ascii="Times New Roman" w:hAnsi="Times New Roman"/>
                <w:color w:val="000000"/>
              </w:rPr>
              <w:t>URPL</w:t>
            </w:r>
            <w:r w:rsidRPr="00560F34">
              <w:rPr>
                <w:rFonts w:ascii="Times New Roman" w:hAnsi="Times New Roman"/>
                <w:color w:val="000000"/>
              </w:rPr>
              <w:t>:</w:t>
            </w:r>
          </w:p>
          <w:p w14:paraId="47B9BD5F" w14:textId="7379794F" w:rsidR="00764117" w:rsidRPr="00036095" w:rsidRDefault="00764117" w:rsidP="00036095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2022 r</w:t>
            </w:r>
            <w:r w:rsidR="00D61C09">
              <w:rPr>
                <w:rFonts w:ascii="Times New Roman" w:hAnsi="Times New Roman"/>
                <w:color w:val="000000"/>
              </w:rPr>
              <w:t>.</w:t>
            </w:r>
            <w:r w:rsidRPr="00036095">
              <w:rPr>
                <w:rFonts w:ascii="Times New Roman" w:hAnsi="Times New Roman"/>
                <w:color w:val="000000"/>
              </w:rPr>
              <w:t xml:space="preserve"> </w:t>
            </w:r>
            <w:r w:rsidR="00D61C09" w:rsidRPr="00560F34">
              <w:rPr>
                <w:rFonts w:ascii="Times New Roman" w:hAnsi="Times New Roman"/>
                <w:color w:val="000000"/>
              </w:rPr>
              <w:t>–</w:t>
            </w:r>
            <w:r w:rsidR="00D61C09">
              <w:rPr>
                <w:rFonts w:ascii="Times New Roman" w:hAnsi="Times New Roman"/>
                <w:color w:val="000000"/>
              </w:rPr>
              <w:t xml:space="preserve"> </w:t>
            </w:r>
            <w:r w:rsidR="00BD6C06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>etatów;</w:t>
            </w:r>
          </w:p>
          <w:p w14:paraId="3BA2ADD1" w14:textId="162FD26C" w:rsidR="00764117" w:rsidRPr="00036095" w:rsidRDefault="00D61C09" w:rsidP="00036095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764117" w:rsidRPr="00036095">
              <w:rPr>
                <w:rFonts w:ascii="Times New Roman" w:hAnsi="Times New Roman"/>
                <w:color w:val="000000"/>
              </w:rPr>
              <w:t xml:space="preserve">ocelowo – </w:t>
            </w:r>
            <w:r w:rsidR="00BD6C06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="00764117" w:rsidRPr="00036095">
              <w:rPr>
                <w:rFonts w:ascii="Times New Roman" w:hAnsi="Times New Roman"/>
                <w:color w:val="000000"/>
              </w:rPr>
              <w:t>etaty dla URPL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437C7B76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F30FA1" w14:textId="580588CB" w:rsidR="00764117" w:rsidRPr="00560F34" w:rsidRDefault="00D61C09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płacowe w 2022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 </w:t>
            </w:r>
            <w:r w:rsidR="008423B1" w:rsidRPr="00560F34">
              <w:rPr>
                <w:rFonts w:ascii="Times New Roman" w:hAnsi="Times New Roman"/>
                <w:color w:val="000000"/>
              </w:rPr>
              <w:t xml:space="preserve">2 457 536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09AB7220" w14:textId="1406750F" w:rsidR="00764117" w:rsidRPr="00036095" w:rsidRDefault="00764117" w:rsidP="00036095">
            <w:pPr>
              <w:pStyle w:val="Akapitzlist"/>
              <w:numPr>
                <w:ilvl w:val="0"/>
                <w:numId w:val="5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wynagrodzenia bezpośrednie </w:t>
            </w:r>
            <w:r w:rsidR="00BD6C06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 xml:space="preserve">etatów a’ 5295,8 zł x 12m-cy = </w:t>
            </w:r>
            <w:r w:rsidR="00BD6C06" w:rsidRPr="00036095">
              <w:rPr>
                <w:rFonts w:ascii="Times New Roman" w:hAnsi="Times New Roman"/>
                <w:color w:val="000000"/>
              </w:rPr>
              <w:t>1 970 038</w:t>
            </w:r>
            <w:r w:rsidRPr="00036095">
              <w:rPr>
                <w:rFonts w:ascii="Times New Roman" w:hAnsi="Times New Roman"/>
                <w:color w:val="000000"/>
              </w:rPr>
              <w:t xml:space="preserve"> zł;</w:t>
            </w:r>
          </w:p>
          <w:p w14:paraId="1145F8FD" w14:textId="70255AF5" w:rsidR="00764117" w:rsidRPr="00036095" w:rsidRDefault="00764117" w:rsidP="00036095">
            <w:pPr>
              <w:pStyle w:val="Akapitzlist"/>
              <w:numPr>
                <w:ilvl w:val="0"/>
                <w:numId w:val="5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lastRenderedPageBreak/>
              <w:t xml:space="preserve">składki na ZUS (16,24%) = </w:t>
            </w:r>
            <w:r w:rsidR="00BD6C06" w:rsidRPr="00036095">
              <w:rPr>
                <w:rFonts w:ascii="Times New Roman" w:hAnsi="Times New Roman"/>
                <w:color w:val="000000"/>
              </w:rPr>
              <w:t>319 934</w:t>
            </w:r>
            <w:r w:rsidRPr="00036095">
              <w:rPr>
                <w:rFonts w:ascii="Times New Roman" w:hAnsi="Times New Roman"/>
                <w:color w:val="000000"/>
              </w:rPr>
              <w:t xml:space="preserve"> zł;</w:t>
            </w:r>
          </w:p>
          <w:p w14:paraId="446DC0B3" w14:textId="211D0A25" w:rsidR="00764117" w:rsidRPr="00036095" w:rsidRDefault="00764117" w:rsidP="00036095">
            <w:pPr>
              <w:pStyle w:val="Akapitzlist"/>
              <w:numPr>
                <w:ilvl w:val="0"/>
                <w:numId w:val="5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FP (2,45%) = </w:t>
            </w:r>
            <w:r w:rsidR="00913F17" w:rsidRPr="00036095">
              <w:rPr>
                <w:rFonts w:ascii="Times New Roman" w:hAnsi="Times New Roman"/>
                <w:color w:val="000000"/>
              </w:rPr>
              <w:t>48 266</w:t>
            </w:r>
            <w:r w:rsidRPr="00036095">
              <w:rPr>
                <w:rFonts w:ascii="Times New Roman" w:hAnsi="Times New Roman"/>
                <w:color w:val="000000"/>
              </w:rPr>
              <w:t xml:space="preserve"> zł;</w:t>
            </w:r>
          </w:p>
          <w:p w14:paraId="4186751C" w14:textId="0F3E6600" w:rsidR="00764117" w:rsidRPr="00036095" w:rsidRDefault="00764117" w:rsidP="00036095">
            <w:pPr>
              <w:pStyle w:val="Akapitzlist"/>
              <w:numPr>
                <w:ilvl w:val="0"/>
                <w:numId w:val="5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PPK (1,5%) = </w:t>
            </w:r>
            <w:r w:rsidR="000A243B" w:rsidRPr="00036095">
              <w:rPr>
                <w:rFonts w:ascii="Times New Roman" w:hAnsi="Times New Roman"/>
                <w:color w:val="000000"/>
              </w:rPr>
              <w:t>30 437</w:t>
            </w:r>
            <w:r w:rsidRPr="00036095">
              <w:rPr>
                <w:rFonts w:ascii="Times New Roman" w:hAnsi="Times New Roman"/>
                <w:color w:val="000000"/>
              </w:rPr>
              <w:t xml:space="preserve"> z</w:t>
            </w:r>
            <w:r w:rsidR="000A243B" w:rsidRPr="00036095">
              <w:rPr>
                <w:rFonts w:ascii="Times New Roman" w:hAnsi="Times New Roman"/>
                <w:color w:val="000000"/>
              </w:rPr>
              <w:t>ł</w:t>
            </w:r>
            <w:r w:rsidR="00D61C09">
              <w:rPr>
                <w:rFonts w:ascii="Times New Roman" w:hAnsi="Times New Roman"/>
                <w:color w:val="000000"/>
              </w:rPr>
              <w:t>;</w:t>
            </w:r>
            <w:r w:rsidR="000A243B" w:rsidRPr="0003609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E478418" w14:textId="73E7FF02" w:rsidR="00764117" w:rsidRPr="00036095" w:rsidRDefault="00764117" w:rsidP="00036095">
            <w:pPr>
              <w:pStyle w:val="Akapitzlist"/>
              <w:numPr>
                <w:ilvl w:val="0"/>
                <w:numId w:val="5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Fundusz Nagród (3 %) = </w:t>
            </w:r>
            <w:r w:rsidR="00913F17" w:rsidRPr="00036095">
              <w:rPr>
                <w:rFonts w:ascii="Times New Roman" w:hAnsi="Times New Roman"/>
                <w:color w:val="000000"/>
              </w:rPr>
              <w:t>59 101</w:t>
            </w:r>
            <w:r w:rsidRPr="00036095">
              <w:rPr>
                <w:rFonts w:ascii="Times New Roman" w:hAnsi="Times New Roman"/>
                <w:color w:val="000000"/>
              </w:rPr>
              <w:t xml:space="preserve"> zł;</w:t>
            </w:r>
          </w:p>
          <w:p w14:paraId="78A36D26" w14:textId="6FB1E67C" w:rsidR="00764117" w:rsidRPr="00036095" w:rsidRDefault="00764117" w:rsidP="00036095">
            <w:pPr>
              <w:pStyle w:val="Akapitzlist"/>
              <w:numPr>
                <w:ilvl w:val="0"/>
                <w:numId w:val="5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PFRON =</w:t>
            </w:r>
            <w:r w:rsidR="00C610C0" w:rsidRPr="00036095">
              <w:rPr>
                <w:rFonts w:ascii="Times New Roman" w:hAnsi="Times New Roman"/>
                <w:color w:val="000000"/>
              </w:rPr>
              <w:t xml:space="preserve"> 29 760</w:t>
            </w:r>
            <w:r w:rsidRPr="00036095">
              <w:rPr>
                <w:rFonts w:ascii="Times New Roman" w:hAnsi="Times New Roman"/>
                <w:color w:val="000000"/>
              </w:rPr>
              <w:t>zł.</w:t>
            </w:r>
          </w:p>
          <w:p w14:paraId="6862F705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09F423E" w14:textId="4651E0CB" w:rsidR="00764117" w:rsidRPr="00560F34" w:rsidRDefault="00D61C09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płacowe w 2023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</w:t>
            </w:r>
            <w:r w:rsidR="00185E7D" w:rsidRPr="00560F34">
              <w:rPr>
                <w:rFonts w:ascii="Times New Roman" w:hAnsi="Times New Roman"/>
                <w:color w:val="000000"/>
              </w:rPr>
              <w:t xml:space="preserve"> 2 658 799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68BD0CAD" w14:textId="4E299387" w:rsidR="00764117" w:rsidRPr="00036095" w:rsidRDefault="00764117" w:rsidP="00036095">
            <w:pPr>
              <w:pStyle w:val="Akapitzlist"/>
              <w:numPr>
                <w:ilvl w:val="0"/>
                <w:numId w:val="5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wynagrodzenia bezpośrednie </w:t>
            </w:r>
            <w:r w:rsidR="00B0054B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 xml:space="preserve">etatów a’ 5295,8 zł x 12m-cy = </w:t>
            </w:r>
            <w:r w:rsidR="00B0054B" w:rsidRPr="00036095">
              <w:rPr>
                <w:rFonts w:ascii="Times New Roman" w:hAnsi="Times New Roman"/>
                <w:color w:val="000000"/>
              </w:rPr>
              <w:t xml:space="preserve">1 970 038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379C45FB" w14:textId="2C0D7C55" w:rsidR="00764117" w:rsidRPr="00036095" w:rsidRDefault="00764117" w:rsidP="00036095">
            <w:pPr>
              <w:pStyle w:val="Akapitzlist"/>
              <w:numPr>
                <w:ilvl w:val="0"/>
                <w:numId w:val="5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dodatkowe wynagrodzenie roczne za 2022 rok dla </w:t>
            </w:r>
            <w:r w:rsidR="00B0054B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 xml:space="preserve">etatów (8,5% x </w:t>
            </w:r>
            <w:r w:rsidR="006658FA" w:rsidRPr="00036095">
              <w:rPr>
                <w:rFonts w:ascii="Times New Roman" w:hAnsi="Times New Roman"/>
                <w:color w:val="000000"/>
              </w:rPr>
              <w:t xml:space="preserve">1 970 038 </w:t>
            </w:r>
            <w:r w:rsidRPr="00036095">
              <w:rPr>
                <w:rFonts w:ascii="Times New Roman" w:hAnsi="Times New Roman"/>
                <w:color w:val="000000"/>
              </w:rPr>
              <w:t xml:space="preserve">zł) = </w:t>
            </w:r>
            <w:r w:rsidR="006658FA" w:rsidRPr="00036095">
              <w:rPr>
                <w:rFonts w:ascii="Times New Roman" w:hAnsi="Times New Roman"/>
                <w:color w:val="000000"/>
              </w:rPr>
              <w:t>167 453</w:t>
            </w:r>
            <w:r w:rsidRPr="00036095">
              <w:rPr>
                <w:rFonts w:ascii="Times New Roman" w:hAnsi="Times New Roman"/>
                <w:color w:val="000000"/>
              </w:rPr>
              <w:t xml:space="preserve"> zł;</w:t>
            </w:r>
          </w:p>
          <w:p w14:paraId="01356EB3" w14:textId="4E2526AA" w:rsidR="00764117" w:rsidRPr="00036095" w:rsidRDefault="00764117" w:rsidP="00036095">
            <w:pPr>
              <w:pStyle w:val="Akapitzlist"/>
              <w:numPr>
                <w:ilvl w:val="0"/>
                <w:numId w:val="5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na ZUS (16,24%) = </w:t>
            </w:r>
            <w:r w:rsidR="006658FA" w:rsidRPr="00036095">
              <w:rPr>
                <w:rFonts w:ascii="Times New Roman" w:hAnsi="Times New Roman"/>
                <w:color w:val="000000"/>
              </w:rPr>
              <w:t>347 129</w:t>
            </w:r>
            <w:r w:rsidRPr="00036095">
              <w:rPr>
                <w:rFonts w:ascii="Times New Roman" w:hAnsi="Times New Roman"/>
                <w:color w:val="000000"/>
              </w:rPr>
              <w:t xml:space="preserve"> zł;</w:t>
            </w:r>
          </w:p>
          <w:p w14:paraId="79E48B8F" w14:textId="49336C6B" w:rsidR="00764117" w:rsidRPr="00036095" w:rsidRDefault="00764117" w:rsidP="00036095">
            <w:pPr>
              <w:pStyle w:val="Akapitzlist"/>
              <w:numPr>
                <w:ilvl w:val="0"/>
                <w:numId w:val="5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FP (2,45%) = </w:t>
            </w:r>
            <w:r w:rsidR="006658FA" w:rsidRPr="00036095">
              <w:rPr>
                <w:rFonts w:ascii="Times New Roman" w:hAnsi="Times New Roman"/>
                <w:color w:val="000000"/>
              </w:rPr>
              <w:t>52 369</w:t>
            </w:r>
            <w:r w:rsidRPr="00036095">
              <w:rPr>
                <w:rFonts w:ascii="Times New Roman" w:hAnsi="Times New Roman"/>
                <w:color w:val="000000"/>
              </w:rPr>
              <w:t xml:space="preserve"> zł;</w:t>
            </w:r>
          </w:p>
          <w:p w14:paraId="4FCAF88B" w14:textId="54D32EAC" w:rsidR="00764117" w:rsidRPr="00036095" w:rsidRDefault="00764117" w:rsidP="00036095">
            <w:pPr>
              <w:pStyle w:val="Akapitzlist"/>
              <w:numPr>
                <w:ilvl w:val="0"/>
                <w:numId w:val="5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PPK (1,5%) =</w:t>
            </w:r>
            <w:r w:rsidR="00E24B6D" w:rsidRPr="00036095">
              <w:rPr>
                <w:rFonts w:ascii="Times New Roman" w:hAnsi="Times New Roman"/>
                <w:color w:val="000000"/>
              </w:rPr>
              <w:t xml:space="preserve"> 32 949 zł</w:t>
            </w:r>
            <w:r w:rsidR="000909EC" w:rsidRPr="00036095">
              <w:rPr>
                <w:rFonts w:ascii="Times New Roman" w:hAnsi="Times New Roman"/>
                <w:color w:val="000000"/>
              </w:rPr>
              <w:t>;</w:t>
            </w:r>
          </w:p>
          <w:p w14:paraId="38ADBACC" w14:textId="44B2593F" w:rsidR="00764117" w:rsidRPr="00036095" w:rsidRDefault="00764117" w:rsidP="00036095">
            <w:pPr>
              <w:pStyle w:val="Akapitzlist"/>
              <w:numPr>
                <w:ilvl w:val="0"/>
                <w:numId w:val="5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Fundusz Nagród (3 %) =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59 101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7BE3F6D4" w14:textId="433CBCC7" w:rsidR="00764117" w:rsidRPr="00036095" w:rsidRDefault="00764117" w:rsidP="00036095">
            <w:pPr>
              <w:pStyle w:val="Akapitzlist"/>
              <w:numPr>
                <w:ilvl w:val="0"/>
                <w:numId w:val="5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PFRON =</w:t>
            </w:r>
            <w:r w:rsidR="00E24B6D" w:rsidRPr="00036095">
              <w:rPr>
                <w:rFonts w:ascii="Times New Roman" w:hAnsi="Times New Roman"/>
                <w:color w:val="000000"/>
              </w:rPr>
              <w:t xml:space="preserve"> 29 760 zł</w:t>
            </w:r>
            <w:r w:rsidR="00D61C09">
              <w:rPr>
                <w:rFonts w:ascii="Times New Roman" w:hAnsi="Times New Roman"/>
                <w:color w:val="000000"/>
              </w:rPr>
              <w:t>.</w:t>
            </w:r>
          </w:p>
          <w:p w14:paraId="786C618B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381113B" w14:textId="34D90532" w:rsidR="00764117" w:rsidRPr="00560F34" w:rsidRDefault="00D61C09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płacowe w 2024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 </w:t>
            </w:r>
            <w:r w:rsidR="00955B44" w:rsidRPr="00560F34">
              <w:rPr>
                <w:rFonts w:ascii="Times New Roman" w:hAnsi="Times New Roman"/>
                <w:color w:val="000000"/>
              </w:rPr>
              <w:t>2</w:t>
            </w:r>
            <w:r w:rsidR="00177243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955B44" w:rsidRPr="00560F34">
              <w:rPr>
                <w:rFonts w:ascii="Times New Roman" w:hAnsi="Times New Roman"/>
                <w:color w:val="000000"/>
              </w:rPr>
              <w:t>65</w:t>
            </w:r>
            <w:r w:rsidR="004E04A7" w:rsidRPr="00560F34">
              <w:rPr>
                <w:rFonts w:ascii="Times New Roman" w:hAnsi="Times New Roman"/>
                <w:color w:val="000000"/>
              </w:rPr>
              <w:t>8</w:t>
            </w:r>
            <w:r w:rsidR="00177243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955B44" w:rsidRPr="00560F34">
              <w:rPr>
                <w:rFonts w:ascii="Times New Roman" w:hAnsi="Times New Roman"/>
                <w:color w:val="000000"/>
              </w:rPr>
              <w:t xml:space="preserve">799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397F0C21" w14:textId="04A92C61" w:rsidR="00764117" w:rsidRPr="00036095" w:rsidRDefault="00764117" w:rsidP="0003609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wynagrodzenia bezpośrednie </w:t>
            </w:r>
            <w:r w:rsidR="00B0054B" w:rsidRPr="00036095">
              <w:rPr>
                <w:rFonts w:ascii="Times New Roman" w:hAnsi="Times New Roman"/>
                <w:color w:val="000000"/>
              </w:rPr>
              <w:t>31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a’ 5295,8 zł x 12m-cy = </w:t>
            </w:r>
            <w:r w:rsidR="00B0054B" w:rsidRPr="00036095">
              <w:rPr>
                <w:rFonts w:ascii="Times New Roman" w:hAnsi="Times New Roman"/>
                <w:color w:val="000000"/>
              </w:rPr>
              <w:t xml:space="preserve">1 970 038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5A012607" w14:textId="69183737" w:rsidR="00764117" w:rsidRPr="00036095" w:rsidRDefault="00764117" w:rsidP="0003609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dodatkowe wynagrodzenie roczne za 2023 rok dla </w:t>
            </w:r>
            <w:r w:rsidR="00B0054B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 xml:space="preserve">etatów (8,5% x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1 970 038 </w:t>
            </w:r>
            <w:r w:rsidRPr="00036095">
              <w:rPr>
                <w:rFonts w:ascii="Times New Roman" w:hAnsi="Times New Roman"/>
                <w:color w:val="000000"/>
              </w:rPr>
              <w:t xml:space="preserve">zł) =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 </w:t>
            </w:r>
            <w:r w:rsidR="00955B44" w:rsidRPr="00036095">
              <w:rPr>
                <w:rFonts w:ascii="Times New Roman" w:hAnsi="Times New Roman"/>
                <w:color w:val="000000"/>
              </w:rPr>
              <w:t xml:space="preserve">167 453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791CC4CA" w14:textId="610B18BD" w:rsidR="00764117" w:rsidRPr="00036095" w:rsidRDefault="00764117" w:rsidP="0003609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na ZUS (16,24%) = </w:t>
            </w:r>
            <w:r w:rsidR="000D3DF1" w:rsidRPr="00036095">
              <w:rPr>
                <w:rFonts w:ascii="Times New Roman" w:hAnsi="Times New Roman"/>
                <w:color w:val="000000"/>
              </w:rPr>
              <w:t xml:space="preserve"> </w:t>
            </w:r>
            <w:r w:rsidR="00955B44" w:rsidRPr="00036095">
              <w:rPr>
                <w:rFonts w:ascii="Times New Roman" w:hAnsi="Times New Roman"/>
                <w:color w:val="000000"/>
              </w:rPr>
              <w:t xml:space="preserve"> 347 129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5FB668F3" w14:textId="60D40B1E" w:rsidR="00764117" w:rsidRPr="00036095" w:rsidRDefault="00764117" w:rsidP="0003609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FP (2,45%) = </w:t>
            </w:r>
            <w:r w:rsidR="0040700F" w:rsidRPr="00036095">
              <w:rPr>
                <w:rFonts w:ascii="Times New Roman" w:hAnsi="Times New Roman"/>
                <w:color w:val="000000"/>
              </w:rPr>
              <w:t>52</w:t>
            </w:r>
            <w:r w:rsidR="000D3DF1" w:rsidRPr="00036095">
              <w:rPr>
                <w:rFonts w:ascii="Times New Roman" w:hAnsi="Times New Roman"/>
                <w:color w:val="000000"/>
              </w:rPr>
              <w:t> </w:t>
            </w:r>
            <w:r w:rsidR="0040700F" w:rsidRPr="00036095">
              <w:rPr>
                <w:rFonts w:ascii="Times New Roman" w:hAnsi="Times New Roman"/>
                <w:color w:val="000000"/>
              </w:rPr>
              <w:t>369</w:t>
            </w:r>
            <w:r w:rsidR="000D3DF1" w:rsidRPr="00036095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73E51DF2" w14:textId="41BB69B9" w:rsidR="00764117" w:rsidRPr="00036095" w:rsidRDefault="00764117" w:rsidP="0003609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PPK (1,5%) =</w:t>
            </w:r>
            <w:r w:rsidR="00955B44" w:rsidRPr="00036095">
              <w:rPr>
                <w:rFonts w:ascii="Times New Roman" w:hAnsi="Times New Roman"/>
                <w:color w:val="000000"/>
              </w:rPr>
              <w:t xml:space="preserve"> 32 949 zł</w:t>
            </w:r>
            <w:r w:rsidR="000909EC" w:rsidRPr="00036095">
              <w:rPr>
                <w:rFonts w:ascii="Times New Roman" w:hAnsi="Times New Roman"/>
                <w:color w:val="000000"/>
              </w:rPr>
              <w:t>;</w:t>
            </w:r>
          </w:p>
          <w:p w14:paraId="37BACDCB" w14:textId="4E2BB753" w:rsidR="00764117" w:rsidRPr="00036095" w:rsidRDefault="00764117" w:rsidP="0003609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Fundusz Nagród (3 %) = </w:t>
            </w:r>
            <w:r w:rsidR="0040700F" w:rsidRPr="00036095">
              <w:rPr>
                <w:rFonts w:ascii="Times New Roman" w:hAnsi="Times New Roman"/>
                <w:color w:val="000000"/>
              </w:rPr>
              <w:t>59 101</w:t>
            </w:r>
            <w:r w:rsidRPr="00036095">
              <w:rPr>
                <w:rFonts w:ascii="Times New Roman" w:hAnsi="Times New Roman"/>
                <w:color w:val="000000"/>
              </w:rPr>
              <w:t xml:space="preserve"> zł;</w:t>
            </w:r>
          </w:p>
          <w:p w14:paraId="1475A869" w14:textId="640211CE" w:rsidR="00764117" w:rsidRPr="00036095" w:rsidRDefault="00764117" w:rsidP="0003609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PFRON = </w:t>
            </w:r>
            <w:r w:rsidR="00955B44" w:rsidRPr="00036095">
              <w:rPr>
                <w:rFonts w:ascii="Times New Roman" w:hAnsi="Times New Roman"/>
                <w:color w:val="000000"/>
              </w:rPr>
              <w:t>29 760 zł</w:t>
            </w:r>
            <w:r w:rsidR="000909EC" w:rsidRPr="00036095">
              <w:rPr>
                <w:rFonts w:ascii="Times New Roman" w:hAnsi="Times New Roman"/>
                <w:color w:val="000000"/>
              </w:rPr>
              <w:t>.</w:t>
            </w:r>
          </w:p>
          <w:p w14:paraId="00CA7873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27B7F02" w14:textId="070313A8" w:rsidR="00764117" w:rsidRPr="00560F34" w:rsidRDefault="00D61C09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płacowe w 2025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 </w:t>
            </w:r>
            <w:r w:rsidR="00955B44" w:rsidRPr="00560F34">
              <w:rPr>
                <w:rFonts w:ascii="Times New Roman" w:hAnsi="Times New Roman"/>
                <w:color w:val="000000"/>
              </w:rPr>
              <w:t xml:space="preserve">2 658 799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06C46884" w14:textId="1C15D991" w:rsidR="00764117" w:rsidRPr="00036095" w:rsidRDefault="00764117" w:rsidP="00036095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wynagrodzenia bezpośrednie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 xml:space="preserve">etatów a’ 5295,8 zł x 12m-cy =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1 970 038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37EA477A" w14:textId="0D4858BC" w:rsidR="00764117" w:rsidRPr="00036095" w:rsidRDefault="00764117" w:rsidP="00036095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dodatkowe wynagrodzenie roczne za 2024 rok dla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 xml:space="preserve">etatów (8,5% x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1 970 038 </w:t>
            </w:r>
            <w:r w:rsidRPr="00036095">
              <w:rPr>
                <w:rFonts w:ascii="Times New Roman" w:hAnsi="Times New Roman"/>
                <w:color w:val="000000"/>
              </w:rPr>
              <w:t xml:space="preserve">zł) = </w:t>
            </w:r>
            <w:r w:rsidR="000D3DF1" w:rsidRPr="00036095">
              <w:rPr>
                <w:rFonts w:ascii="Times New Roman" w:hAnsi="Times New Roman"/>
                <w:color w:val="000000"/>
              </w:rPr>
              <w:t xml:space="preserve">167 453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31C4DDA6" w14:textId="09753202" w:rsidR="00764117" w:rsidRPr="00036095" w:rsidRDefault="00764117" w:rsidP="00036095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na ZUS (16,24%) = </w:t>
            </w:r>
            <w:r w:rsidR="00955B44" w:rsidRPr="00036095">
              <w:rPr>
                <w:rFonts w:ascii="Times New Roman" w:hAnsi="Times New Roman"/>
                <w:color w:val="000000"/>
              </w:rPr>
              <w:t xml:space="preserve">347 129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68780A56" w14:textId="3920093E" w:rsidR="00764117" w:rsidRPr="00036095" w:rsidRDefault="00764117" w:rsidP="00036095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FP (2,45%) = </w:t>
            </w:r>
            <w:r w:rsidR="000D3DF1" w:rsidRPr="00036095">
              <w:rPr>
                <w:rFonts w:ascii="Times New Roman" w:hAnsi="Times New Roman"/>
                <w:color w:val="000000"/>
              </w:rPr>
              <w:t xml:space="preserve">52 369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603167B2" w14:textId="1D0F5369" w:rsidR="00764117" w:rsidRPr="00036095" w:rsidRDefault="00764117" w:rsidP="00036095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PPK (1,5%) =</w:t>
            </w:r>
            <w:r w:rsidR="00955B44" w:rsidRPr="00036095">
              <w:rPr>
                <w:rFonts w:ascii="Times New Roman" w:hAnsi="Times New Roman"/>
                <w:color w:val="000000"/>
              </w:rPr>
              <w:t xml:space="preserve"> 32 949 zł</w:t>
            </w:r>
            <w:r w:rsidRPr="00036095">
              <w:rPr>
                <w:rFonts w:ascii="Times New Roman" w:hAnsi="Times New Roman"/>
                <w:color w:val="000000"/>
              </w:rPr>
              <w:t>;</w:t>
            </w:r>
          </w:p>
          <w:p w14:paraId="62640B6D" w14:textId="6FFFAC59" w:rsidR="00764117" w:rsidRPr="00036095" w:rsidRDefault="00764117" w:rsidP="00036095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Fundusz Nagród (3 %) = </w:t>
            </w:r>
            <w:r w:rsidR="000D3DF1" w:rsidRPr="00036095">
              <w:rPr>
                <w:rFonts w:ascii="Times New Roman" w:hAnsi="Times New Roman"/>
                <w:color w:val="000000"/>
              </w:rPr>
              <w:t xml:space="preserve">59 101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331746CA" w14:textId="5F1A2701" w:rsidR="00764117" w:rsidRPr="00036095" w:rsidRDefault="00764117" w:rsidP="00036095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PFRON = </w:t>
            </w:r>
            <w:r w:rsidR="00955B44" w:rsidRPr="00036095">
              <w:rPr>
                <w:rFonts w:ascii="Times New Roman" w:hAnsi="Times New Roman"/>
                <w:color w:val="000000"/>
              </w:rPr>
              <w:t xml:space="preserve">29 760 </w:t>
            </w:r>
            <w:r w:rsidRPr="00036095">
              <w:rPr>
                <w:rFonts w:ascii="Times New Roman" w:hAnsi="Times New Roman"/>
                <w:color w:val="000000"/>
              </w:rPr>
              <w:t>zł.</w:t>
            </w:r>
          </w:p>
          <w:p w14:paraId="42CA7BF2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F038655" w14:textId="28469A91" w:rsidR="00764117" w:rsidRPr="00560F34" w:rsidRDefault="00295F12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płacowe w 2026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 </w:t>
            </w:r>
            <w:r w:rsidR="00777DDB" w:rsidRPr="00560F34">
              <w:rPr>
                <w:rFonts w:ascii="Times New Roman" w:hAnsi="Times New Roman"/>
                <w:color w:val="000000"/>
              </w:rPr>
              <w:t xml:space="preserve">2 658 799 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zł, w tym:</w:t>
            </w:r>
          </w:p>
          <w:p w14:paraId="65452146" w14:textId="37A47D27" w:rsidR="00764117" w:rsidRPr="00036095" w:rsidRDefault="00764117" w:rsidP="00036095">
            <w:pPr>
              <w:pStyle w:val="Akapitzlist"/>
              <w:numPr>
                <w:ilvl w:val="0"/>
                <w:numId w:val="6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wynagrodzenia bezpośrednie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 xml:space="preserve">etatów a’ 5295,8 zł x 12m-cy =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1 970 038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281A75B0" w14:textId="3C620ECB" w:rsidR="00764117" w:rsidRPr="00036095" w:rsidRDefault="00764117" w:rsidP="00036095">
            <w:pPr>
              <w:pStyle w:val="Akapitzlist"/>
              <w:numPr>
                <w:ilvl w:val="0"/>
                <w:numId w:val="6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dodatkowe wynagrodzenie roczne za 2025 rok dla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 xml:space="preserve">etatów (8,5% x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1 970 038 </w:t>
            </w:r>
            <w:r w:rsidRPr="00036095">
              <w:rPr>
                <w:rFonts w:ascii="Times New Roman" w:hAnsi="Times New Roman"/>
                <w:color w:val="000000"/>
              </w:rPr>
              <w:t xml:space="preserve">zł) = </w:t>
            </w:r>
            <w:r w:rsidR="000D3DF1" w:rsidRPr="00036095">
              <w:rPr>
                <w:rFonts w:ascii="Times New Roman" w:hAnsi="Times New Roman"/>
                <w:color w:val="000000"/>
              </w:rPr>
              <w:t xml:space="preserve">167 453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1A21B310" w14:textId="2674CF45" w:rsidR="00764117" w:rsidRPr="00036095" w:rsidRDefault="00764117" w:rsidP="00036095">
            <w:pPr>
              <w:pStyle w:val="Akapitzlist"/>
              <w:numPr>
                <w:ilvl w:val="0"/>
                <w:numId w:val="6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składki na ZUS (16,24%) =</w:t>
            </w:r>
            <w:r w:rsidR="00777DDB" w:rsidRPr="00036095">
              <w:rPr>
                <w:rFonts w:ascii="Times New Roman" w:hAnsi="Times New Roman"/>
                <w:color w:val="000000"/>
              </w:rPr>
              <w:t xml:space="preserve"> 347 129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19DF234A" w14:textId="3E21082F" w:rsidR="00764117" w:rsidRPr="00036095" w:rsidRDefault="00764117" w:rsidP="00036095">
            <w:pPr>
              <w:pStyle w:val="Akapitzlist"/>
              <w:numPr>
                <w:ilvl w:val="0"/>
                <w:numId w:val="6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FP (2,45%) = </w:t>
            </w:r>
            <w:r w:rsidR="000D3DF1" w:rsidRPr="00036095">
              <w:rPr>
                <w:rFonts w:ascii="Times New Roman" w:hAnsi="Times New Roman"/>
                <w:color w:val="000000"/>
              </w:rPr>
              <w:t xml:space="preserve"> 52 369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20598362" w14:textId="1443D41C" w:rsidR="00764117" w:rsidRPr="00036095" w:rsidRDefault="00764117" w:rsidP="00036095">
            <w:pPr>
              <w:pStyle w:val="Akapitzlist"/>
              <w:numPr>
                <w:ilvl w:val="0"/>
                <w:numId w:val="6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PPK (1,5%) = </w:t>
            </w:r>
            <w:r w:rsidR="00777DDB" w:rsidRPr="00036095">
              <w:rPr>
                <w:rFonts w:ascii="Times New Roman" w:hAnsi="Times New Roman"/>
                <w:color w:val="000000"/>
              </w:rPr>
              <w:t>32 949 zł</w:t>
            </w:r>
            <w:r w:rsidR="000909EC" w:rsidRPr="00036095">
              <w:rPr>
                <w:rFonts w:ascii="Times New Roman" w:hAnsi="Times New Roman"/>
                <w:color w:val="000000"/>
              </w:rPr>
              <w:t>;</w:t>
            </w:r>
          </w:p>
          <w:p w14:paraId="2512149B" w14:textId="092CF245" w:rsidR="00764117" w:rsidRPr="00036095" w:rsidRDefault="00764117" w:rsidP="00036095">
            <w:pPr>
              <w:pStyle w:val="Akapitzlist"/>
              <w:numPr>
                <w:ilvl w:val="0"/>
                <w:numId w:val="6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Fundusz Nagród (3 %) = </w:t>
            </w:r>
            <w:r w:rsidR="000D3DF1" w:rsidRPr="00036095">
              <w:rPr>
                <w:rFonts w:ascii="Times New Roman" w:hAnsi="Times New Roman"/>
                <w:color w:val="000000"/>
              </w:rPr>
              <w:t xml:space="preserve">59 101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41AD3528" w14:textId="4D131FA3" w:rsidR="00764117" w:rsidRPr="00036095" w:rsidRDefault="00764117" w:rsidP="00036095">
            <w:pPr>
              <w:pStyle w:val="Akapitzlist"/>
              <w:numPr>
                <w:ilvl w:val="0"/>
                <w:numId w:val="6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PFRON = </w:t>
            </w:r>
            <w:r w:rsidR="000909EC" w:rsidRPr="00036095">
              <w:rPr>
                <w:rFonts w:ascii="Times New Roman" w:hAnsi="Times New Roman"/>
                <w:color w:val="000000"/>
              </w:rPr>
              <w:t xml:space="preserve">29 760 </w:t>
            </w:r>
            <w:r w:rsidR="00B960A7" w:rsidRPr="00036095">
              <w:rPr>
                <w:rFonts w:ascii="Times New Roman" w:hAnsi="Times New Roman"/>
                <w:color w:val="000000"/>
              </w:rPr>
              <w:t>z</w:t>
            </w:r>
            <w:r w:rsidRPr="00036095">
              <w:rPr>
                <w:rFonts w:ascii="Times New Roman" w:hAnsi="Times New Roman"/>
                <w:color w:val="000000"/>
              </w:rPr>
              <w:t>ł.</w:t>
            </w:r>
          </w:p>
          <w:p w14:paraId="2CDD17E0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8E9A5C5" w14:textId="420198A8" w:rsidR="00764117" w:rsidRPr="00560F34" w:rsidRDefault="00295F12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płacowe w 2027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</w:t>
            </w:r>
            <w:r w:rsidR="00BA605F" w:rsidRPr="00560F34">
              <w:rPr>
                <w:rFonts w:ascii="Times New Roman" w:hAnsi="Times New Roman"/>
                <w:color w:val="000000"/>
              </w:rPr>
              <w:t xml:space="preserve"> 2 780 187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768955A6" w14:textId="524A3A13" w:rsidR="00764117" w:rsidRPr="00036095" w:rsidRDefault="00764117" w:rsidP="00036095">
            <w:pPr>
              <w:pStyle w:val="Akapitzlist"/>
              <w:numPr>
                <w:ilvl w:val="0"/>
                <w:numId w:val="6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wynagrodzenia bezpośrednie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 xml:space="preserve">etatów a’ 5295,8 zł x 12m-cy =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1 970 038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0DA7AE67" w14:textId="04A2CAF7" w:rsidR="00764117" w:rsidRPr="00036095" w:rsidRDefault="00764117" w:rsidP="00036095">
            <w:pPr>
              <w:pStyle w:val="Akapitzlist"/>
              <w:numPr>
                <w:ilvl w:val="0"/>
                <w:numId w:val="6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wzrost wynagrodzenia o 5 % wysługi lat dla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>etatów (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1 970 038 </w:t>
            </w:r>
            <w:r w:rsidRPr="00036095">
              <w:rPr>
                <w:rFonts w:ascii="Times New Roman" w:hAnsi="Times New Roman"/>
                <w:color w:val="000000"/>
              </w:rPr>
              <w:t>zł x 5%)</w:t>
            </w:r>
            <w:r w:rsidR="00295F12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>=</w:t>
            </w:r>
            <w:r w:rsidR="000D3DF1" w:rsidRPr="00036095">
              <w:rPr>
                <w:rFonts w:ascii="Times New Roman" w:hAnsi="Times New Roman"/>
                <w:color w:val="000000"/>
              </w:rPr>
              <w:t xml:space="preserve"> 98 502</w:t>
            </w:r>
            <w:r w:rsidRPr="00036095">
              <w:rPr>
                <w:rFonts w:ascii="Times New Roman" w:hAnsi="Times New Roman"/>
                <w:color w:val="000000"/>
              </w:rPr>
              <w:t xml:space="preserve"> zł;</w:t>
            </w:r>
          </w:p>
          <w:p w14:paraId="74DA6AE0" w14:textId="6577A0FA" w:rsidR="00764117" w:rsidRPr="00036095" w:rsidRDefault="00764117" w:rsidP="00036095">
            <w:pPr>
              <w:pStyle w:val="Akapitzlist"/>
              <w:numPr>
                <w:ilvl w:val="0"/>
                <w:numId w:val="6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dodatkowe wynagrodzenie roczne za 2026 r</w:t>
            </w:r>
            <w:r w:rsidR="00295F12">
              <w:rPr>
                <w:rFonts w:ascii="Times New Roman" w:hAnsi="Times New Roman"/>
                <w:color w:val="000000"/>
              </w:rPr>
              <w:t>.</w:t>
            </w:r>
            <w:r w:rsidRPr="00036095">
              <w:rPr>
                <w:rFonts w:ascii="Times New Roman" w:hAnsi="Times New Roman"/>
                <w:color w:val="000000"/>
              </w:rPr>
              <w:t xml:space="preserve"> dla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 xml:space="preserve">etatów (8,5% x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1 970 038 </w:t>
            </w:r>
            <w:r w:rsidRPr="00036095">
              <w:rPr>
                <w:rFonts w:ascii="Times New Roman" w:hAnsi="Times New Roman"/>
                <w:color w:val="000000"/>
              </w:rPr>
              <w:t xml:space="preserve">zł) = </w:t>
            </w:r>
            <w:r w:rsidR="000D3DF1" w:rsidRPr="00036095">
              <w:rPr>
                <w:rFonts w:ascii="Times New Roman" w:hAnsi="Times New Roman"/>
                <w:color w:val="000000"/>
              </w:rPr>
              <w:t xml:space="preserve">167 453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7A42FBD2" w14:textId="39678424" w:rsidR="00764117" w:rsidRPr="00036095" w:rsidRDefault="00764117" w:rsidP="00036095">
            <w:pPr>
              <w:pStyle w:val="Akapitzlist"/>
              <w:numPr>
                <w:ilvl w:val="0"/>
                <w:numId w:val="6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na ZUS (16,24%) = </w:t>
            </w:r>
            <w:r w:rsidR="00F57C2A" w:rsidRPr="00036095">
              <w:rPr>
                <w:rFonts w:ascii="Times New Roman" w:hAnsi="Times New Roman"/>
                <w:color w:val="000000"/>
              </w:rPr>
              <w:t xml:space="preserve">363 125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76C3AF95" w14:textId="53453371" w:rsidR="00764117" w:rsidRPr="00036095" w:rsidRDefault="00764117" w:rsidP="00036095">
            <w:pPr>
              <w:pStyle w:val="Akapitzlist"/>
              <w:numPr>
                <w:ilvl w:val="0"/>
                <w:numId w:val="6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FP (2,45%) = </w:t>
            </w:r>
            <w:r w:rsidR="000A49C5" w:rsidRPr="00036095">
              <w:rPr>
                <w:rFonts w:ascii="Times New Roman" w:hAnsi="Times New Roman"/>
                <w:color w:val="000000"/>
              </w:rPr>
              <w:t xml:space="preserve">54 782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4C33D08D" w14:textId="6602EB9E" w:rsidR="00764117" w:rsidRPr="00036095" w:rsidRDefault="00764117" w:rsidP="00036095">
            <w:pPr>
              <w:pStyle w:val="Akapitzlist"/>
              <w:numPr>
                <w:ilvl w:val="0"/>
                <w:numId w:val="6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PPK (1,5%) = </w:t>
            </w:r>
            <w:r w:rsidR="006F585A" w:rsidRPr="00036095">
              <w:rPr>
                <w:rFonts w:ascii="Times New Roman" w:hAnsi="Times New Roman"/>
                <w:color w:val="000000"/>
              </w:rPr>
              <w:t xml:space="preserve">34 471 </w:t>
            </w:r>
            <w:r w:rsidRPr="00036095">
              <w:rPr>
                <w:rFonts w:ascii="Times New Roman" w:hAnsi="Times New Roman"/>
                <w:color w:val="000000"/>
              </w:rPr>
              <w:t xml:space="preserve">zł; </w:t>
            </w:r>
          </w:p>
          <w:p w14:paraId="7AD4A0F0" w14:textId="1916039D" w:rsidR="00764117" w:rsidRPr="00036095" w:rsidRDefault="00764117" w:rsidP="00036095">
            <w:pPr>
              <w:pStyle w:val="Akapitzlist"/>
              <w:numPr>
                <w:ilvl w:val="0"/>
                <w:numId w:val="6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Fundusz Nagród (3 %) = </w:t>
            </w:r>
            <w:r w:rsidR="00350199" w:rsidRPr="00036095">
              <w:rPr>
                <w:rFonts w:ascii="Times New Roman" w:hAnsi="Times New Roman"/>
                <w:color w:val="000000"/>
              </w:rPr>
              <w:t xml:space="preserve">62 056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4A2F10B9" w14:textId="7C955122" w:rsidR="00764117" w:rsidRPr="00036095" w:rsidRDefault="00764117" w:rsidP="00036095">
            <w:pPr>
              <w:pStyle w:val="Akapitzlist"/>
              <w:numPr>
                <w:ilvl w:val="0"/>
                <w:numId w:val="6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PFRON = </w:t>
            </w:r>
            <w:r w:rsidR="009B46F5" w:rsidRPr="00036095">
              <w:rPr>
                <w:rFonts w:ascii="Times New Roman" w:hAnsi="Times New Roman"/>
                <w:color w:val="000000"/>
              </w:rPr>
              <w:t xml:space="preserve">29 760 </w:t>
            </w:r>
            <w:r w:rsidRPr="00036095">
              <w:rPr>
                <w:rFonts w:ascii="Times New Roman" w:hAnsi="Times New Roman"/>
                <w:color w:val="000000"/>
              </w:rPr>
              <w:t>zł.</w:t>
            </w:r>
          </w:p>
          <w:p w14:paraId="788C18D6" w14:textId="77777777" w:rsidR="00D25E16" w:rsidRPr="00560F34" w:rsidRDefault="00D25E16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AA154AA" w14:textId="1C9C325A" w:rsidR="00764117" w:rsidRPr="00560F34" w:rsidRDefault="00295F12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płacowe w 2028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</w:t>
            </w:r>
            <w:r w:rsidR="00985821" w:rsidRPr="00560F34">
              <w:rPr>
                <w:rFonts w:ascii="Times New Roman" w:hAnsi="Times New Roman"/>
                <w:color w:val="000000"/>
              </w:rPr>
              <w:t xml:space="preserve"> 2 814 528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6A39ADDC" w14:textId="2F447A04" w:rsidR="00764117" w:rsidRPr="00036095" w:rsidRDefault="00764117" w:rsidP="00036095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wynagrodzenia bezpośrednie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 xml:space="preserve">etatów a’ 5295,8 zł x 12m-cy =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1 970 038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41CFC24A" w14:textId="7109C4B1" w:rsidR="00764117" w:rsidRPr="00036095" w:rsidRDefault="00764117" w:rsidP="00036095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wzrost wynagrodzenia o 6% wysługi lat dla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>etatów (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1 970 038 </w:t>
            </w:r>
            <w:r w:rsidRPr="00036095">
              <w:rPr>
                <w:rFonts w:ascii="Times New Roman" w:hAnsi="Times New Roman"/>
                <w:color w:val="000000"/>
              </w:rPr>
              <w:t xml:space="preserve">x 6%) = </w:t>
            </w:r>
            <w:r w:rsidR="00EE1011" w:rsidRPr="00036095">
              <w:rPr>
                <w:rFonts w:ascii="Times New Roman" w:hAnsi="Times New Roman"/>
                <w:color w:val="000000"/>
              </w:rPr>
              <w:t xml:space="preserve">118 202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5A5D63E7" w14:textId="04EA84CA" w:rsidR="00764117" w:rsidRPr="00036095" w:rsidRDefault="00764117" w:rsidP="00036095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lastRenderedPageBreak/>
              <w:t>dodatkowe wynagrodzenie roczne za 2027 r</w:t>
            </w:r>
            <w:r w:rsidR="00295F12">
              <w:rPr>
                <w:rFonts w:ascii="Times New Roman" w:hAnsi="Times New Roman"/>
                <w:color w:val="000000"/>
              </w:rPr>
              <w:t>.</w:t>
            </w:r>
            <w:r w:rsidRPr="00036095">
              <w:rPr>
                <w:rFonts w:ascii="Times New Roman" w:hAnsi="Times New Roman"/>
                <w:color w:val="000000"/>
              </w:rPr>
              <w:t xml:space="preserve"> dla </w:t>
            </w:r>
            <w:r w:rsidR="0040700F" w:rsidRPr="00036095">
              <w:rPr>
                <w:rFonts w:ascii="Times New Roman" w:hAnsi="Times New Roman"/>
                <w:color w:val="000000"/>
              </w:rPr>
              <w:t>31</w:t>
            </w:r>
            <w:r w:rsidRPr="00036095">
              <w:rPr>
                <w:rFonts w:ascii="Times New Roman" w:hAnsi="Times New Roman"/>
                <w:color w:val="000000"/>
              </w:rPr>
              <w:t xml:space="preserve">etatów (8,5% x </w:t>
            </w:r>
            <w:r w:rsidR="006F7982" w:rsidRPr="00036095">
              <w:rPr>
                <w:rFonts w:ascii="Times New Roman" w:hAnsi="Times New Roman"/>
                <w:color w:val="000000"/>
              </w:rPr>
              <w:t xml:space="preserve">2 068 540 </w:t>
            </w:r>
            <w:r w:rsidRPr="00036095">
              <w:rPr>
                <w:rFonts w:ascii="Times New Roman" w:hAnsi="Times New Roman"/>
                <w:color w:val="000000"/>
              </w:rPr>
              <w:t xml:space="preserve">zł) = </w:t>
            </w:r>
            <w:r w:rsidR="00EE1011" w:rsidRPr="00036095">
              <w:rPr>
                <w:rFonts w:ascii="Times New Roman" w:hAnsi="Times New Roman"/>
                <w:color w:val="000000"/>
              </w:rPr>
              <w:t xml:space="preserve">175 826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4BCE78A6" w14:textId="5615A6C2" w:rsidR="00764117" w:rsidRPr="00036095" w:rsidRDefault="00764117" w:rsidP="00036095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na ZUS (16,24%) = </w:t>
            </w:r>
            <w:r w:rsidR="00037664" w:rsidRPr="00036095">
              <w:rPr>
                <w:rFonts w:ascii="Times New Roman" w:hAnsi="Times New Roman"/>
                <w:color w:val="000000"/>
              </w:rPr>
              <w:t xml:space="preserve">367 684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4AF74914" w14:textId="17AB3898" w:rsidR="00764117" w:rsidRPr="00036095" w:rsidRDefault="00764117" w:rsidP="00036095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FP (2,45%) = </w:t>
            </w:r>
            <w:r w:rsidR="007726AA" w:rsidRPr="00036095">
              <w:rPr>
                <w:rFonts w:ascii="Times New Roman" w:hAnsi="Times New Roman"/>
                <w:color w:val="000000"/>
              </w:rPr>
              <w:t xml:space="preserve">55 470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0BBB56C4" w14:textId="1EA6EA13" w:rsidR="00764117" w:rsidRPr="00036095" w:rsidRDefault="00764117" w:rsidP="00036095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PPK (1,5%) = </w:t>
            </w:r>
            <w:r w:rsidR="000C1C52" w:rsidRPr="00036095">
              <w:rPr>
                <w:rFonts w:ascii="Times New Roman" w:hAnsi="Times New Roman"/>
                <w:color w:val="000000"/>
              </w:rPr>
              <w:t xml:space="preserve">34 901 </w:t>
            </w:r>
            <w:r w:rsidRPr="00036095">
              <w:rPr>
                <w:rFonts w:ascii="Times New Roman" w:hAnsi="Times New Roman"/>
                <w:color w:val="000000"/>
              </w:rPr>
              <w:t xml:space="preserve">zł; </w:t>
            </w:r>
          </w:p>
          <w:p w14:paraId="2CFC5028" w14:textId="046E9FFD" w:rsidR="00764117" w:rsidRPr="00036095" w:rsidRDefault="00764117" w:rsidP="00036095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Fundusz Nagród (3 %) = </w:t>
            </w:r>
            <w:r w:rsidR="007726AA" w:rsidRPr="00036095">
              <w:rPr>
                <w:rFonts w:ascii="Times New Roman" w:hAnsi="Times New Roman"/>
                <w:color w:val="000000"/>
              </w:rPr>
              <w:t>62 647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669BD5C9" w14:textId="49C22857" w:rsidR="00764117" w:rsidRPr="00036095" w:rsidRDefault="00764117" w:rsidP="00036095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PFRON = </w:t>
            </w:r>
            <w:r w:rsidR="00783DB7" w:rsidRPr="00036095">
              <w:rPr>
                <w:rFonts w:ascii="Times New Roman" w:hAnsi="Times New Roman"/>
                <w:color w:val="000000"/>
              </w:rPr>
              <w:t xml:space="preserve">29 760 </w:t>
            </w:r>
            <w:r w:rsidRPr="00036095">
              <w:rPr>
                <w:rFonts w:ascii="Times New Roman" w:hAnsi="Times New Roman"/>
                <w:color w:val="000000"/>
              </w:rPr>
              <w:t>zł.</w:t>
            </w:r>
          </w:p>
          <w:p w14:paraId="25D2AE3D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3657643" w14:textId="6425469A" w:rsidR="00764117" w:rsidRPr="00560F34" w:rsidRDefault="00295F12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płacowe w 2029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563A0C" w:rsidRPr="00813883">
              <w:rPr>
                <w:rFonts w:ascii="Times New Roman" w:hAnsi="Times New Roman"/>
                <w:color w:val="000000"/>
              </w:rPr>
              <w:t>2 840 809</w:t>
            </w:r>
            <w:r w:rsidR="00563A0C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66768D94" w14:textId="75D5874A" w:rsidR="00764117" w:rsidRPr="00036095" w:rsidRDefault="00764117" w:rsidP="00036095">
            <w:pPr>
              <w:pStyle w:val="Akapitzlist"/>
              <w:numPr>
                <w:ilvl w:val="0"/>
                <w:numId w:val="6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wynagrodzenia bezpośrednie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 xml:space="preserve">etatów a’ 5295,8 zł x 12m-cy =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1 970 038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6D224B2B" w14:textId="1BB419EC" w:rsidR="00764117" w:rsidRPr="00036095" w:rsidRDefault="00764117" w:rsidP="00036095">
            <w:pPr>
              <w:pStyle w:val="Akapitzlist"/>
              <w:numPr>
                <w:ilvl w:val="0"/>
                <w:numId w:val="6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wzrost wynagrodzenia o 7% wysługi lat dla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>etatów (</w:t>
            </w:r>
            <w:r w:rsidR="00673565" w:rsidRPr="00036095">
              <w:rPr>
                <w:rFonts w:ascii="Times New Roman" w:hAnsi="Times New Roman"/>
                <w:color w:val="000000"/>
              </w:rPr>
              <w:t xml:space="preserve">1 970 038 </w:t>
            </w:r>
            <w:r w:rsidRPr="00036095">
              <w:rPr>
                <w:rFonts w:ascii="Times New Roman" w:hAnsi="Times New Roman"/>
                <w:color w:val="000000"/>
              </w:rPr>
              <w:t xml:space="preserve">x 7%) = </w:t>
            </w:r>
            <w:r w:rsidR="00673565" w:rsidRPr="00036095">
              <w:rPr>
                <w:rFonts w:ascii="Times New Roman" w:hAnsi="Times New Roman"/>
                <w:color w:val="000000"/>
              </w:rPr>
              <w:t xml:space="preserve">137 903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57AA99BF" w14:textId="3083C3B6" w:rsidR="00764117" w:rsidRPr="00036095" w:rsidRDefault="00764117" w:rsidP="00036095">
            <w:pPr>
              <w:pStyle w:val="Akapitzlist"/>
              <w:numPr>
                <w:ilvl w:val="0"/>
                <w:numId w:val="6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dodatkowe wynagrodzenie roczne za 2028 r</w:t>
            </w:r>
            <w:r w:rsidR="00295F12">
              <w:rPr>
                <w:rFonts w:ascii="Times New Roman" w:hAnsi="Times New Roman"/>
                <w:color w:val="000000"/>
              </w:rPr>
              <w:t>.</w:t>
            </w:r>
            <w:r w:rsidRPr="00036095">
              <w:rPr>
                <w:rFonts w:ascii="Times New Roman" w:hAnsi="Times New Roman"/>
                <w:color w:val="000000"/>
              </w:rPr>
              <w:t xml:space="preserve"> dla </w:t>
            </w:r>
            <w:r w:rsidR="0040700F" w:rsidRPr="00036095">
              <w:rPr>
                <w:rFonts w:ascii="Times New Roman" w:hAnsi="Times New Roman"/>
                <w:color w:val="000000"/>
              </w:rPr>
              <w:t xml:space="preserve">31 </w:t>
            </w:r>
            <w:r w:rsidRPr="00036095">
              <w:rPr>
                <w:rFonts w:ascii="Times New Roman" w:hAnsi="Times New Roman"/>
                <w:color w:val="000000"/>
              </w:rPr>
              <w:t xml:space="preserve">etatów (8,5% x </w:t>
            </w:r>
            <w:r w:rsidR="00673565" w:rsidRPr="00036095">
              <w:rPr>
                <w:rFonts w:ascii="Times New Roman" w:hAnsi="Times New Roman"/>
                <w:color w:val="000000"/>
              </w:rPr>
              <w:t xml:space="preserve">2 088 240 </w:t>
            </w:r>
            <w:r w:rsidRPr="00036095">
              <w:rPr>
                <w:rFonts w:ascii="Times New Roman" w:hAnsi="Times New Roman"/>
                <w:color w:val="000000"/>
              </w:rPr>
              <w:t xml:space="preserve">zł) = </w:t>
            </w:r>
            <w:r w:rsidR="00E17FC9" w:rsidRPr="00036095">
              <w:rPr>
                <w:rFonts w:ascii="Times New Roman" w:hAnsi="Times New Roman"/>
                <w:color w:val="000000"/>
              </w:rPr>
              <w:t xml:space="preserve"> 177 500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46D9083B" w14:textId="46D5BD2E" w:rsidR="00764117" w:rsidRPr="00036095" w:rsidRDefault="00764117" w:rsidP="00036095">
            <w:pPr>
              <w:pStyle w:val="Akapitzlist"/>
              <w:numPr>
                <w:ilvl w:val="0"/>
                <w:numId w:val="6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na ZUS (16,24%) = </w:t>
            </w:r>
            <w:r w:rsidR="00266922" w:rsidRPr="00036095">
              <w:rPr>
                <w:rFonts w:ascii="Times New Roman" w:hAnsi="Times New Roman"/>
                <w:color w:val="000000"/>
              </w:rPr>
              <w:t xml:space="preserve">371 156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0F1DA317" w14:textId="4B04F31B" w:rsidR="00764117" w:rsidRPr="00036095" w:rsidRDefault="00764117" w:rsidP="00036095">
            <w:pPr>
              <w:pStyle w:val="Akapitzlist"/>
              <w:numPr>
                <w:ilvl w:val="0"/>
                <w:numId w:val="6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FP (2,45%) = </w:t>
            </w:r>
            <w:r w:rsidR="00266922" w:rsidRPr="00036095">
              <w:rPr>
                <w:rFonts w:ascii="Times New Roman" w:hAnsi="Times New Roman"/>
                <w:color w:val="000000"/>
              </w:rPr>
              <w:t xml:space="preserve">55 993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7F067328" w14:textId="4B4C081A" w:rsidR="00764117" w:rsidRPr="00036095" w:rsidRDefault="00764117" w:rsidP="00036095">
            <w:pPr>
              <w:pStyle w:val="Akapitzlist"/>
              <w:numPr>
                <w:ilvl w:val="0"/>
                <w:numId w:val="6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PPK (1,5%) = </w:t>
            </w:r>
            <w:r w:rsidR="00553D10" w:rsidRPr="00036095">
              <w:rPr>
                <w:rFonts w:ascii="Times New Roman" w:hAnsi="Times New Roman"/>
                <w:color w:val="000000"/>
              </w:rPr>
              <w:t xml:space="preserve">35 221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357CC283" w14:textId="3EDF9B4C" w:rsidR="00764117" w:rsidRPr="00036095" w:rsidRDefault="00764117" w:rsidP="00036095">
            <w:pPr>
              <w:pStyle w:val="Akapitzlist"/>
              <w:numPr>
                <w:ilvl w:val="0"/>
                <w:numId w:val="6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Fundusz Nagród (3 %) = </w:t>
            </w:r>
            <w:r w:rsidR="00752DE7" w:rsidRPr="00036095">
              <w:rPr>
                <w:rFonts w:ascii="Times New Roman" w:hAnsi="Times New Roman"/>
                <w:color w:val="000000"/>
              </w:rPr>
              <w:t xml:space="preserve">63 238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0E3EF488" w14:textId="22649BB0" w:rsidR="00764117" w:rsidRPr="00036095" w:rsidRDefault="00764117" w:rsidP="00036095">
            <w:pPr>
              <w:pStyle w:val="Akapitzlist"/>
              <w:numPr>
                <w:ilvl w:val="0"/>
                <w:numId w:val="6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PFRON = </w:t>
            </w:r>
            <w:r w:rsidR="00752DE7" w:rsidRPr="00036095">
              <w:rPr>
                <w:rFonts w:ascii="Times New Roman" w:hAnsi="Times New Roman"/>
                <w:color w:val="000000"/>
              </w:rPr>
              <w:t xml:space="preserve">29 760 </w:t>
            </w:r>
            <w:r w:rsidRPr="00036095">
              <w:rPr>
                <w:rFonts w:ascii="Times New Roman" w:hAnsi="Times New Roman"/>
                <w:color w:val="000000"/>
              </w:rPr>
              <w:t>zł.</w:t>
            </w:r>
          </w:p>
          <w:p w14:paraId="41B3574C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037D030" w14:textId="3253A542" w:rsidR="00764117" w:rsidRPr="00560F34" w:rsidRDefault="00295F12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płacowe w 2030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</w:t>
            </w:r>
            <w:r w:rsidR="001C6667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1C6667" w:rsidRPr="00813883">
              <w:rPr>
                <w:rFonts w:ascii="Times New Roman" w:hAnsi="Times New Roman"/>
                <w:color w:val="000000"/>
              </w:rPr>
              <w:t>2 867 109</w:t>
            </w:r>
            <w:r w:rsidR="001C6667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183A7F8E" w14:textId="2F8A95AA" w:rsidR="00764117" w:rsidRPr="00036095" w:rsidRDefault="00764117" w:rsidP="00036095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wynagrodzenia bezpośrednie 3</w:t>
            </w:r>
            <w:r w:rsidR="00563A0C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a’ 5295,8 zł x 12m-cy = </w:t>
            </w:r>
            <w:r w:rsidR="00563A0C" w:rsidRPr="00036095">
              <w:rPr>
                <w:rFonts w:ascii="Times New Roman" w:hAnsi="Times New Roman"/>
                <w:color w:val="000000"/>
              </w:rPr>
              <w:t xml:space="preserve">1 970 038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173C3451" w14:textId="729C59B2" w:rsidR="00764117" w:rsidRPr="00036095" w:rsidRDefault="00764117" w:rsidP="00036095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wzrost wynagrodzenia o 8% wysługi lat dla 3</w:t>
            </w:r>
            <w:r w:rsidR="00563A0C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(</w:t>
            </w:r>
            <w:r w:rsidR="00563A0C" w:rsidRPr="00036095">
              <w:rPr>
                <w:rFonts w:ascii="Times New Roman" w:hAnsi="Times New Roman"/>
                <w:color w:val="000000"/>
              </w:rPr>
              <w:t xml:space="preserve">1 970 038 </w:t>
            </w:r>
            <w:r w:rsidRPr="00036095">
              <w:rPr>
                <w:rFonts w:ascii="Times New Roman" w:hAnsi="Times New Roman"/>
                <w:color w:val="000000"/>
              </w:rPr>
              <w:t xml:space="preserve">x 8%) = </w:t>
            </w:r>
            <w:r w:rsidR="00563A0C" w:rsidRPr="00036095">
              <w:rPr>
                <w:rFonts w:ascii="Times New Roman" w:hAnsi="Times New Roman"/>
                <w:color w:val="000000"/>
              </w:rPr>
              <w:t>157 603</w:t>
            </w:r>
            <w:r w:rsidRPr="00036095">
              <w:rPr>
                <w:rFonts w:ascii="Times New Roman" w:hAnsi="Times New Roman"/>
                <w:color w:val="000000"/>
              </w:rPr>
              <w:t xml:space="preserve"> zł;</w:t>
            </w:r>
          </w:p>
          <w:p w14:paraId="7BAFD712" w14:textId="746C71BD" w:rsidR="00764117" w:rsidRPr="00036095" w:rsidRDefault="00764117" w:rsidP="00036095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dodatkowe wynagrodzenie roczne za 2029 r</w:t>
            </w:r>
            <w:r w:rsidR="00295F12">
              <w:rPr>
                <w:rFonts w:ascii="Times New Roman" w:hAnsi="Times New Roman"/>
                <w:color w:val="000000"/>
              </w:rPr>
              <w:t>.</w:t>
            </w:r>
            <w:r w:rsidRPr="00036095">
              <w:rPr>
                <w:rFonts w:ascii="Times New Roman" w:hAnsi="Times New Roman"/>
                <w:color w:val="000000"/>
              </w:rPr>
              <w:t xml:space="preserve"> dla 3</w:t>
            </w:r>
            <w:r w:rsidR="00F43ABA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(8,5% x </w:t>
            </w:r>
            <w:r w:rsidR="00563A0C" w:rsidRPr="00036095">
              <w:rPr>
                <w:rFonts w:ascii="Times New Roman" w:hAnsi="Times New Roman"/>
                <w:color w:val="000000"/>
              </w:rPr>
              <w:t xml:space="preserve">2 107 941 </w:t>
            </w:r>
            <w:r w:rsidRPr="00036095">
              <w:rPr>
                <w:rFonts w:ascii="Times New Roman" w:hAnsi="Times New Roman"/>
                <w:color w:val="000000"/>
              </w:rPr>
              <w:t xml:space="preserve">zł) = </w:t>
            </w:r>
            <w:r w:rsidR="00563A0C" w:rsidRPr="00036095">
              <w:rPr>
                <w:rFonts w:ascii="Times New Roman" w:hAnsi="Times New Roman"/>
                <w:color w:val="000000"/>
              </w:rPr>
              <w:t xml:space="preserve"> 179 175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23DAD0F7" w14:textId="60FD297B" w:rsidR="00764117" w:rsidRPr="00036095" w:rsidRDefault="00764117" w:rsidP="00036095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składki na ZUS (16,24%) =</w:t>
            </w:r>
            <w:r w:rsidR="004959C7" w:rsidRPr="00036095">
              <w:rPr>
                <w:rFonts w:ascii="Times New Roman" w:hAnsi="Times New Roman"/>
                <w:color w:val="000000"/>
              </w:rPr>
              <w:t xml:space="preserve"> 374 627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1C8F5E49" w14:textId="3EDC437E" w:rsidR="00764117" w:rsidRPr="00036095" w:rsidRDefault="00764117" w:rsidP="00036095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FP (2,45%) = </w:t>
            </w:r>
            <w:r w:rsidR="004959C7" w:rsidRPr="00036095">
              <w:rPr>
                <w:rFonts w:ascii="Times New Roman" w:hAnsi="Times New Roman"/>
                <w:color w:val="000000"/>
              </w:rPr>
              <w:t xml:space="preserve">56 517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4320E618" w14:textId="2315FCBC" w:rsidR="00764117" w:rsidRPr="00036095" w:rsidRDefault="00764117" w:rsidP="00036095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PPK (1,5%) =</w:t>
            </w:r>
            <w:r w:rsidR="00C93ADE" w:rsidRPr="00036095">
              <w:rPr>
                <w:rFonts w:ascii="Times New Roman" w:hAnsi="Times New Roman"/>
                <w:color w:val="000000"/>
              </w:rPr>
              <w:t xml:space="preserve"> 35 560 </w:t>
            </w:r>
            <w:r w:rsidRPr="00036095">
              <w:rPr>
                <w:rFonts w:ascii="Times New Roman" w:hAnsi="Times New Roman"/>
                <w:color w:val="000000"/>
              </w:rPr>
              <w:t xml:space="preserve">zł; </w:t>
            </w:r>
          </w:p>
          <w:p w14:paraId="6027FCCF" w14:textId="59B94B12" w:rsidR="00764117" w:rsidRPr="00036095" w:rsidRDefault="00764117" w:rsidP="00036095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Fundusz Nagród (3 %) = </w:t>
            </w:r>
            <w:r w:rsidR="004959C7" w:rsidRPr="00036095">
              <w:rPr>
                <w:rFonts w:ascii="Times New Roman" w:hAnsi="Times New Roman"/>
                <w:color w:val="000000"/>
              </w:rPr>
              <w:t>63</w:t>
            </w:r>
            <w:r w:rsidR="00C93ADE" w:rsidRPr="00036095">
              <w:rPr>
                <w:rFonts w:ascii="Times New Roman" w:hAnsi="Times New Roman"/>
                <w:color w:val="000000"/>
              </w:rPr>
              <w:t> </w:t>
            </w:r>
            <w:r w:rsidR="004959C7" w:rsidRPr="00036095">
              <w:rPr>
                <w:rFonts w:ascii="Times New Roman" w:hAnsi="Times New Roman"/>
                <w:color w:val="000000"/>
              </w:rPr>
              <w:t>829</w:t>
            </w:r>
            <w:r w:rsidRPr="00036095">
              <w:rPr>
                <w:rFonts w:ascii="Times New Roman" w:hAnsi="Times New Roman"/>
                <w:color w:val="000000"/>
              </w:rPr>
              <w:t xml:space="preserve"> zł;</w:t>
            </w:r>
          </w:p>
          <w:p w14:paraId="791A8616" w14:textId="71810420" w:rsidR="00764117" w:rsidRPr="00036095" w:rsidRDefault="00764117" w:rsidP="00036095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PFRON = </w:t>
            </w:r>
            <w:r w:rsidR="004959C7" w:rsidRPr="00036095">
              <w:rPr>
                <w:rFonts w:ascii="Times New Roman" w:hAnsi="Times New Roman"/>
                <w:color w:val="000000"/>
              </w:rPr>
              <w:t xml:space="preserve">29 760 </w:t>
            </w:r>
            <w:r w:rsidRPr="00036095">
              <w:rPr>
                <w:rFonts w:ascii="Times New Roman" w:hAnsi="Times New Roman"/>
                <w:color w:val="000000"/>
              </w:rPr>
              <w:t>zł.</w:t>
            </w:r>
          </w:p>
          <w:p w14:paraId="718BCAE1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996E19F" w14:textId="6C003CA0" w:rsidR="00764117" w:rsidRPr="00560F34" w:rsidRDefault="00295F12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płacowe w 2031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</w:t>
            </w:r>
            <w:r w:rsidR="00405DB7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405DB7" w:rsidRPr="00813883">
              <w:rPr>
                <w:rFonts w:ascii="Times New Roman" w:hAnsi="Times New Roman"/>
                <w:color w:val="000000"/>
              </w:rPr>
              <w:t>2 893 399</w:t>
            </w:r>
            <w:r w:rsidR="00405DB7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7C5A4C54" w14:textId="2CCF87ED" w:rsidR="00764117" w:rsidRPr="00036095" w:rsidRDefault="00764117" w:rsidP="00036095">
            <w:pPr>
              <w:pStyle w:val="Akapitzlist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wynagrodzenia bezpośrednie </w:t>
            </w:r>
            <w:r w:rsidR="001C6667" w:rsidRPr="00036095">
              <w:rPr>
                <w:rFonts w:ascii="Times New Roman" w:hAnsi="Times New Roman"/>
                <w:color w:val="000000"/>
              </w:rPr>
              <w:t>31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a’ 5295,8 zł x 12m-cy = </w:t>
            </w:r>
            <w:r w:rsidR="001C6667" w:rsidRPr="00036095">
              <w:rPr>
                <w:rFonts w:ascii="Times New Roman" w:hAnsi="Times New Roman"/>
                <w:color w:val="000000"/>
              </w:rPr>
              <w:t xml:space="preserve">1 970 038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2F2F1BDE" w14:textId="44D6D745" w:rsidR="00764117" w:rsidRPr="00036095" w:rsidRDefault="00764117" w:rsidP="00036095">
            <w:pPr>
              <w:pStyle w:val="Akapitzlist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wzrost wynagrodzenia o 9% wysługi lat dla 3</w:t>
            </w:r>
            <w:r w:rsidR="00F43ABA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(</w:t>
            </w:r>
            <w:r w:rsidR="001C6667" w:rsidRPr="00036095">
              <w:rPr>
                <w:rFonts w:ascii="Times New Roman" w:hAnsi="Times New Roman"/>
                <w:color w:val="000000"/>
              </w:rPr>
              <w:t xml:space="preserve">1 970 038 </w:t>
            </w:r>
            <w:r w:rsidRPr="00036095">
              <w:rPr>
                <w:rFonts w:ascii="Times New Roman" w:hAnsi="Times New Roman"/>
                <w:color w:val="000000"/>
              </w:rPr>
              <w:t xml:space="preserve">x 9%) = </w:t>
            </w:r>
            <w:r w:rsidR="001C6667" w:rsidRPr="00036095">
              <w:rPr>
                <w:rFonts w:ascii="Times New Roman" w:hAnsi="Times New Roman"/>
                <w:color w:val="000000"/>
              </w:rPr>
              <w:t xml:space="preserve">177 </w:t>
            </w:r>
            <w:r w:rsidR="00F43ABA" w:rsidRPr="00036095">
              <w:rPr>
                <w:rFonts w:ascii="Times New Roman" w:hAnsi="Times New Roman"/>
                <w:color w:val="000000"/>
              </w:rPr>
              <w:t>303</w:t>
            </w:r>
            <w:r w:rsidRPr="00036095">
              <w:rPr>
                <w:rFonts w:ascii="Times New Roman" w:hAnsi="Times New Roman"/>
                <w:color w:val="000000"/>
              </w:rPr>
              <w:t xml:space="preserve"> zł;</w:t>
            </w:r>
          </w:p>
          <w:p w14:paraId="3D4CD61C" w14:textId="7346AE0B" w:rsidR="00764117" w:rsidRPr="00036095" w:rsidRDefault="00764117" w:rsidP="00036095">
            <w:pPr>
              <w:pStyle w:val="Akapitzlist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dodatkowe wynagrodzenie roczne za 2030 r</w:t>
            </w:r>
            <w:r w:rsidR="00295F12">
              <w:rPr>
                <w:rFonts w:ascii="Times New Roman" w:hAnsi="Times New Roman"/>
                <w:color w:val="000000"/>
              </w:rPr>
              <w:t>.</w:t>
            </w:r>
            <w:r w:rsidRPr="00036095">
              <w:rPr>
                <w:rFonts w:ascii="Times New Roman" w:hAnsi="Times New Roman"/>
                <w:color w:val="000000"/>
              </w:rPr>
              <w:t xml:space="preserve"> dla 3</w:t>
            </w:r>
            <w:r w:rsidR="00F43ABA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(8,5% x </w:t>
            </w:r>
            <w:r w:rsidR="00F43ABA" w:rsidRPr="00036095">
              <w:rPr>
                <w:rFonts w:ascii="Times New Roman" w:hAnsi="Times New Roman"/>
                <w:color w:val="000000"/>
              </w:rPr>
              <w:t xml:space="preserve">2 127 641 </w:t>
            </w:r>
            <w:r w:rsidRPr="00036095">
              <w:rPr>
                <w:rFonts w:ascii="Times New Roman" w:hAnsi="Times New Roman"/>
                <w:color w:val="000000"/>
              </w:rPr>
              <w:t xml:space="preserve">zł) = </w:t>
            </w:r>
            <w:r w:rsidR="00F43ABA" w:rsidRPr="00036095">
              <w:rPr>
                <w:rFonts w:ascii="Times New Roman" w:hAnsi="Times New Roman"/>
                <w:color w:val="000000"/>
              </w:rPr>
              <w:t xml:space="preserve"> 180 850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47BECE6E" w14:textId="1BE605F8" w:rsidR="00764117" w:rsidRPr="00036095" w:rsidRDefault="00764117" w:rsidP="00036095">
            <w:pPr>
              <w:pStyle w:val="Akapitzlist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na ZUS (16,24%) = </w:t>
            </w:r>
            <w:r w:rsidR="00F43ABA" w:rsidRPr="00036095">
              <w:rPr>
                <w:rFonts w:ascii="Times New Roman" w:hAnsi="Times New Roman"/>
                <w:color w:val="000000"/>
              </w:rPr>
              <w:t xml:space="preserve">378 098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7E023F21" w14:textId="5C103265" w:rsidR="00764117" w:rsidRPr="00036095" w:rsidRDefault="00764117" w:rsidP="00036095">
            <w:pPr>
              <w:pStyle w:val="Akapitzlist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składki FP (2,45%) = </w:t>
            </w:r>
            <w:r w:rsidR="00F43ABA" w:rsidRPr="00036095">
              <w:rPr>
                <w:rFonts w:ascii="Times New Roman" w:hAnsi="Times New Roman"/>
                <w:color w:val="000000"/>
              </w:rPr>
              <w:t>57 041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373CC7C7" w14:textId="746A2195" w:rsidR="00764117" w:rsidRPr="00036095" w:rsidRDefault="00764117" w:rsidP="00036095">
            <w:pPr>
              <w:pStyle w:val="Akapitzlist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PPK (1,5%) = </w:t>
            </w:r>
            <w:r w:rsidR="00405DB7" w:rsidRPr="00036095">
              <w:rPr>
                <w:rFonts w:ascii="Times New Roman" w:hAnsi="Times New Roman"/>
                <w:color w:val="000000"/>
              </w:rPr>
              <w:t xml:space="preserve">35 889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31C901A0" w14:textId="14EFE8E0" w:rsidR="00764117" w:rsidRPr="00036095" w:rsidRDefault="00764117" w:rsidP="00036095">
            <w:pPr>
              <w:pStyle w:val="Akapitzlist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Fundusz Nagród (3 %) = </w:t>
            </w:r>
            <w:r w:rsidR="00F43ABA" w:rsidRPr="00036095">
              <w:rPr>
                <w:rFonts w:ascii="Times New Roman" w:hAnsi="Times New Roman"/>
                <w:color w:val="000000"/>
              </w:rPr>
              <w:t xml:space="preserve">64 420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075012EC" w14:textId="52C58EDF" w:rsidR="00764117" w:rsidRPr="00036095" w:rsidRDefault="00764117" w:rsidP="00036095">
            <w:pPr>
              <w:pStyle w:val="Akapitzlist"/>
              <w:numPr>
                <w:ilvl w:val="0"/>
                <w:numId w:val="6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PFRON = </w:t>
            </w:r>
            <w:r w:rsidR="00F43ABA" w:rsidRPr="00036095">
              <w:rPr>
                <w:rFonts w:ascii="Times New Roman" w:hAnsi="Times New Roman"/>
                <w:color w:val="000000"/>
              </w:rPr>
              <w:t xml:space="preserve">29 760 </w:t>
            </w:r>
            <w:r w:rsidRPr="00036095">
              <w:rPr>
                <w:rFonts w:ascii="Times New Roman" w:hAnsi="Times New Roman"/>
                <w:color w:val="000000"/>
              </w:rPr>
              <w:t>zł.</w:t>
            </w:r>
          </w:p>
          <w:p w14:paraId="78572567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5F29944" w14:textId="72CDC155" w:rsidR="00764117" w:rsidRPr="006B4A4F" w:rsidRDefault="008D0008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6B4A4F">
              <w:rPr>
                <w:rFonts w:ascii="Times New Roman" w:hAnsi="Times New Roman"/>
                <w:color w:val="000000"/>
              </w:rPr>
              <w:t>ydatki pozapłacowe w 2022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6B4A4F">
              <w:rPr>
                <w:rFonts w:ascii="Times New Roman" w:hAnsi="Times New Roman"/>
                <w:color w:val="000000"/>
              </w:rPr>
              <w:t xml:space="preserve"> –</w:t>
            </w:r>
            <w:r w:rsidR="001B2CB4" w:rsidRPr="006B4A4F">
              <w:rPr>
                <w:rFonts w:ascii="Times New Roman" w:hAnsi="Times New Roman"/>
                <w:color w:val="000000"/>
              </w:rPr>
              <w:t xml:space="preserve"> 408 311 </w:t>
            </w:r>
            <w:r w:rsidR="00764117" w:rsidRPr="006B4A4F">
              <w:rPr>
                <w:rFonts w:ascii="Times New Roman" w:hAnsi="Times New Roman"/>
                <w:color w:val="000000"/>
              </w:rPr>
              <w:t>zł, w tym:</w:t>
            </w:r>
          </w:p>
          <w:p w14:paraId="66EE7BA6" w14:textId="4CAFA9C3" w:rsidR="00764117" w:rsidRPr="00036095" w:rsidRDefault="00764117" w:rsidP="00036095">
            <w:pPr>
              <w:pStyle w:val="Akapitzlist"/>
              <w:numPr>
                <w:ilvl w:val="0"/>
                <w:numId w:val="6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wyposażenie (standardowe zestawy komputerowe, drukarki, meble itp.), materiały biurowe i eksploatacyjne dla </w:t>
            </w:r>
            <w:r w:rsidR="000A243B" w:rsidRPr="00036095">
              <w:rPr>
                <w:rFonts w:ascii="Times New Roman" w:hAnsi="Times New Roman"/>
                <w:color w:val="000000"/>
              </w:rPr>
              <w:t>31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9 000 zł = </w:t>
            </w:r>
            <w:r w:rsidR="00C641A9" w:rsidRPr="00036095">
              <w:rPr>
                <w:rFonts w:ascii="Times New Roman" w:hAnsi="Times New Roman"/>
                <w:color w:val="000000"/>
              </w:rPr>
              <w:t>279 000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660A871D" w14:textId="0A1075CF" w:rsidR="00764117" w:rsidRPr="00036095" w:rsidRDefault="00764117" w:rsidP="00036095">
            <w:pPr>
              <w:pStyle w:val="Akapitzlist"/>
              <w:numPr>
                <w:ilvl w:val="0"/>
                <w:numId w:val="6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pozostałe usługi (badania lekarskie dla 3</w:t>
            </w:r>
            <w:r w:rsidR="00C641A9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80 zł) = </w:t>
            </w:r>
            <w:r w:rsidR="00C641A9" w:rsidRPr="00036095">
              <w:rPr>
                <w:rFonts w:ascii="Times New Roman" w:hAnsi="Times New Roman"/>
                <w:color w:val="000000"/>
              </w:rPr>
              <w:t xml:space="preserve">2 480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3CEE4E62" w14:textId="510FA339" w:rsidR="00764117" w:rsidRPr="00036095" w:rsidRDefault="00764117" w:rsidP="00036095">
            <w:pPr>
              <w:pStyle w:val="Akapitzlist"/>
              <w:numPr>
                <w:ilvl w:val="0"/>
                <w:numId w:val="6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szkolenia zagraniczne (szkolenia dla 5 inspektorów) = 78</w:t>
            </w:r>
            <w:r w:rsidR="008D0008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>750 zł;</w:t>
            </w:r>
          </w:p>
          <w:p w14:paraId="1D41E031" w14:textId="3AC6006E" w:rsidR="00764117" w:rsidRPr="00036095" w:rsidRDefault="00764117" w:rsidP="00036095">
            <w:pPr>
              <w:pStyle w:val="Akapitzlist"/>
              <w:numPr>
                <w:ilvl w:val="0"/>
                <w:numId w:val="6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odpis na ZFŚS 3</w:t>
            </w:r>
            <w:r w:rsidR="00C641A9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1</w:t>
            </w:r>
            <w:r w:rsidR="00180CC3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 xml:space="preserve">551 zł = </w:t>
            </w:r>
            <w:r w:rsidR="00C641A9" w:rsidRPr="00036095">
              <w:rPr>
                <w:rFonts w:ascii="Times New Roman" w:hAnsi="Times New Roman"/>
                <w:color w:val="000000"/>
              </w:rPr>
              <w:t>48</w:t>
            </w:r>
            <w:r w:rsidR="001B2CB4" w:rsidRPr="00036095">
              <w:rPr>
                <w:rFonts w:ascii="Times New Roman" w:hAnsi="Times New Roman"/>
                <w:color w:val="000000"/>
              </w:rPr>
              <w:t xml:space="preserve"> </w:t>
            </w:r>
            <w:r w:rsidR="00C641A9" w:rsidRPr="00036095">
              <w:rPr>
                <w:rFonts w:ascii="Times New Roman" w:hAnsi="Times New Roman"/>
                <w:color w:val="000000"/>
              </w:rPr>
              <w:t>081</w:t>
            </w:r>
            <w:r w:rsidRPr="00036095">
              <w:rPr>
                <w:rFonts w:ascii="Times New Roman" w:hAnsi="Times New Roman"/>
                <w:color w:val="000000"/>
              </w:rPr>
              <w:t>zł</w:t>
            </w:r>
            <w:r w:rsidR="008D0008">
              <w:rPr>
                <w:rFonts w:ascii="Times New Roman" w:hAnsi="Times New Roman"/>
                <w:color w:val="000000"/>
              </w:rPr>
              <w:t>.</w:t>
            </w:r>
          </w:p>
          <w:p w14:paraId="0342826F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9928C81" w14:textId="22B3AD79" w:rsidR="00764117" w:rsidRPr="00560F34" w:rsidRDefault="008D0008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pozapłacowe w 2023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</w:t>
            </w:r>
            <w:r w:rsidR="001B2CB4" w:rsidRPr="00813883">
              <w:rPr>
                <w:rFonts w:ascii="Times New Roman" w:hAnsi="Times New Roman"/>
                <w:color w:val="000000"/>
              </w:rPr>
              <w:t>73</w:t>
            </w:r>
            <w:r w:rsidR="00177243" w:rsidRPr="00813883">
              <w:rPr>
                <w:rFonts w:ascii="Times New Roman" w:hAnsi="Times New Roman"/>
                <w:color w:val="000000"/>
              </w:rPr>
              <w:t> </w:t>
            </w:r>
            <w:r w:rsidR="001B2CB4" w:rsidRPr="00813883">
              <w:rPr>
                <w:rFonts w:ascii="Times New Roman" w:hAnsi="Times New Roman"/>
                <w:color w:val="000000"/>
              </w:rPr>
              <w:t>501</w:t>
            </w:r>
            <w:r w:rsidR="00177243" w:rsidRPr="00813883">
              <w:rPr>
                <w:rFonts w:ascii="Times New Roman" w:hAnsi="Times New Roman"/>
                <w:color w:val="000000"/>
              </w:rPr>
              <w:t xml:space="preserve"> </w:t>
            </w:r>
            <w:r w:rsidR="00764117" w:rsidRPr="00813883">
              <w:rPr>
                <w:rFonts w:ascii="Times New Roman" w:hAnsi="Times New Roman"/>
                <w:color w:val="000000"/>
              </w:rPr>
              <w:t>zł</w:t>
            </w:r>
            <w:r w:rsidR="00764117" w:rsidRPr="00560F34">
              <w:rPr>
                <w:rFonts w:ascii="Times New Roman" w:hAnsi="Times New Roman"/>
                <w:color w:val="000000"/>
              </w:rPr>
              <w:t>, w tym:</w:t>
            </w:r>
          </w:p>
          <w:p w14:paraId="762502D6" w14:textId="07076CF5" w:rsidR="00764117" w:rsidRPr="00036095" w:rsidRDefault="00764117" w:rsidP="00036095">
            <w:pPr>
              <w:pStyle w:val="Akapitzlist"/>
              <w:numPr>
                <w:ilvl w:val="0"/>
                <w:numId w:val="6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materiały biurowe i eksploatacyjne dla 3</w:t>
            </w:r>
            <w:r w:rsidR="001B2CB4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820 zł = </w:t>
            </w:r>
            <w:r w:rsidR="001B2CB4" w:rsidRPr="00036095">
              <w:rPr>
                <w:rFonts w:ascii="Times New Roman" w:hAnsi="Times New Roman"/>
                <w:color w:val="000000"/>
              </w:rPr>
              <w:t xml:space="preserve">25 420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04EAB1A6" w14:textId="5BB0767C" w:rsidR="00764117" w:rsidRPr="00036095" w:rsidRDefault="00764117" w:rsidP="00036095">
            <w:pPr>
              <w:pStyle w:val="Akapitzlist"/>
              <w:numPr>
                <w:ilvl w:val="0"/>
                <w:numId w:val="6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odpis na ZFŚS 3</w:t>
            </w:r>
            <w:r w:rsidR="001B2CB4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1</w:t>
            </w:r>
            <w:r w:rsidR="008D0008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 xml:space="preserve">551 zł = </w:t>
            </w:r>
            <w:r w:rsidR="001B2CB4" w:rsidRPr="00036095">
              <w:rPr>
                <w:rFonts w:ascii="Times New Roman" w:hAnsi="Times New Roman"/>
                <w:color w:val="000000"/>
              </w:rPr>
              <w:t>48 081</w:t>
            </w:r>
            <w:r w:rsidRPr="00036095">
              <w:rPr>
                <w:rFonts w:ascii="Times New Roman" w:hAnsi="Times New Roman"/>
                <w:color w:val="000000"/>
              </w:rPr>
              <w:t>zł</w:t>
            </w:r>
            <w:r w:rsidR="008D0008">
              <w:rPr>
                <w:rFonts w:ascii="Times New Roman" w:hAnsi="Times New Roman"/>
                <w:color w:val="000000"/>
              </w:rPr>
              <w:t>.</w:t>
            </w:r>
          </w:p>
          <w:p w14:paraId="3AADE1FB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BC32842" w14:textId="6F4D89FD" w:rsidR="00764117" w:rsidRPr="00560F34" w:rsidRDefault="008D0008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pozapłacowe w 2024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 </w:t>
            </w:r>
            <w:r w:rsidR="001B2CB4" w:rsidRPr="00813883">
              <w:rPr>
                <w:rFonts w:ascii="Times New Roman" w:hAnsi="Times New Roman"/>
                <w:color w:val="000000"/>
              </w:rPr>
              <w:t>74</w:t>
            </w:r>
            <w:r w:rsidR="0080174C" w:rsidRPr="00813883">
              <w:rPr>
                <w:rFonts w:ascii="Times New Roman" w:hAnsi="Times New Roman"/>
                <w:color w:val="000000"/>
              </w:rPr>
              <w:t> </w:t>
            </w:r>
            <w:r w:rsidR="001B2CB4" w:rsidRPr="00813883">
              <w:rPr>
                <w:rFonts w:ascii="Times New Roman" w:hAnsi="Times New Roman"/>
                <w:color w:val="000000"/>
              </w:rPr>
              <w:t>13</w:t>
            </w:r>
            <w:r w:rsidR="0080174C" w:rsidRPr="00813883">
              <w:rPr>
                <w:rFonts w:ascii="Times New Roman" w:hAnsi="Times New Roman"/>
                <w:color w:val="000000"/>
              </w:rPr>
              <w:t xml:space="preserve">7 </w:t>
            </w:r>
            <w:r w:rsidR="001B2CB4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48EC5028" w14:textId="5FD6D0CE" w:rsidR="00764117" w:rsidRPr="00036095" w:rsidRDefault="00764117" w:rsidP="00036095">
            <w:pPr>
              <w:pStyle w:val="Akapitzlist"/>
              <w:numPr>
                <w:ilvl w:val="0"/>
                <w:numId w:val="7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materiały biurowe i eksploatacyjne dla 3</w:t>
            </w:r>
            <w:r w:rsidR="001B2CB4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840,5 zł = </w:t>
            </w:r>
            <w:r w:rsidR="001B2CB4" w:rsidRPr="00036095">
              <w:rPr>
                <w:rFonts w:ascii="Times New Roman" w:hAnsi="Times New Roman"/>
                <w:color w:val="000000"/>
              </w:rPr>
              <w:t>26 0</w:t>
            </w:r>
            <w:r w:rsidR="0080174C" w:rsidRPr="00036095">
              <w:rPr>
                <w:rFonts w:ascii="Times New Roman" w:hAnsi="Times New Roman"/>
                <w:color w:val="000000"/>
              </w:rPr>
              <w:t>56</w:t>
            </w:r>
            <w:r w:rsidR="001B2CB4" w:rsidRPr="00036095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2CCBE2C1" w14:textId="1FA2172F" w:rsidR="00764117" w:rsidRPr="00036095" w:rsidRDefault="00764117" w:rsidP="00036095">
            <w:pPr>
              <w:pStyle w:val="Akapitzlist"/>
              <w:numPr>
                <w:ilvl w:val="0"/>
                <w:numId w:val="7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odpis na ZFŚS 3</w:t>
            </w:r>
            <w:r w:rsidR="001B2CB4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1</w:t>
            </w:r>
            <w:r w:rsidR="00180CC3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 xml:space="preserve">551 zł = </w:t>
            </w:r>
            <w:r w:rsidR="001B2CB4" w:rsidRPr="00036095">
              <w:rPr>
                <w:rFonts w:ascii="Times New Roman" w:hAnsi="Times New Roman"/>
                <w:color w:val="000000"/>
              </w:rPr>
              <w:t>48 081</w:t>
            </w:r>
            <w:r w:rsidRPr="00036095">
              <w:rPr>
                <w:rFonts w:ascii="Times New Roman" w:hAnsi="Times New Roman"/>
                <w:color w:val="000000"/>
              </w:rPr>
              <w:t>zł</w:t>
            </w:r>
            <w:r w:rsidR="008D0008">
              <w:rPr>
                <w:rFonts w:ascii="Times New Roman" w:hAnsi="Times New Roman"/>
                <w:color w:val="000000"/>
              </w:rPr>
              <w:t>.</w:t>
            </w:r>
          </w:p>
          <w:p w14:paraId="24C6BFE3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7BC1CA9" w14:textId="72173454" w:rsidR="00764117" w:rsidRPr="00560F34" w:rsidRDefault="008D0008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pozapłacowe w 2025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</w:t>
            </w:r>
            <w:r w:rsidR="007D5DA3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7D5DA3" w:rsidRPr="00813883">
              <w:rPr>
                <w:rFonts w:ascii="Times New Roman" w:hAnsi="Times New Roman"/>
                <w:color w:val="000000"/>
              </w:rPr>
              <w:t>77</w:t>
            </w:r>
            <w:r w:rsidR="0080174C" w:rsidRPr="00813883">
              <w:rPr>
                <w:rFonts w:ascii="Times New Roman" w:hAnsi="Times New Roman"/>
                <w:color w:val="000000"/>
              </w:rPr>
              <w:t> </w:t>
            </w:r>
            <w:r w:rsidR="007D5DA3" w:rsidRPr="00813883">
              <w:rPr>
                <w:rFonts w:ascii="Times New Roman" w:hAnsi="Times New Roman"/>
                <w:color w:val="000000"/>
              </w:rPr>
              <w:t>26</w:t>
            </w:r>
            <w:r w:rsidR="0080174C" w:rsidRPr="00813883">
              <w:rPr>
                <w:rFonts w:ascii="Times New Roman" w:hAnsi="Times New Roman"/>
                <w:color w:val="000000"/>
              </w:rPr>
              <w:t xml:space="preserve">8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06A47E41" w14:textId="0357DBE7" w:rsidR="00764117" w:rsidRPr="00036095" w:rsidRDefault="00764117" w:rsidP="00036095">
            <w:pPr>
              <w:pStyle w:val="Akapitzlist"/>
              <w:numPr>
                <w:ilvl w:val="0"/>
                <w:numId w:val="7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materiały biurowe i eksploatacyjne dla 3</w:t>
            </w:r>
            <w:r w:rsidR="007D5DA3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861,51 zł = </w:t>
            </w:r>
            <w:r w:rsidR="007D5DA3" w:rsidRPr="00036095">
              <w:rPr>
                <w:rFonts w:ascii="Times New Roman" w:hAnsi="Times New Roman"/>
                <w:color w:val="000000"/>
              </w:rPr>
              <w:t>26</w:t>
            </w:r>
            <w:r w:rsidR="008D0008">
              <w:rPr>
                <w:rFonts w:ascii="Times New Roman" w:hAnsi="Times New Roman"/>
                <w:color w:val="000000"/>
              </w:rPr>
              <w:t> </w:t>
            </w:r>
            <w:r w:rsidR="007D5DA3" w:rsidRPr="00036095">
              <w:rPr>
                <w:rFonts w:ascii="Times New Roman" w:hAnsi="Times New Roman"/>
                <w:color w:val="000000"/>
              </w:rPr>
              <w:t>70</w:t>
            </w:r>
            <w:r w:rsidR="0080174C" w:rsidRPr="00036095">
              <w:rPr>
                <w:rFonts w:ascii="Times New Roman" w:hAnsi="Times New Roman"/>
                <w:color w:val="000000"/>
              </w:rPr>
              <w:t>7</w:t>
            </w:r>
            <w:r w:rsidR="008D0008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6F8C24A7" w14:textId="61C30275" w:rsidR="00764117" w:rsidRPr="00036095" w:rsidRDefault="00764117" w:rsidP="00036095">
            <w:pPr>
              <w:pStyle w:val="Akapitzlist"/>
              <w:numPr>
                <w:ilvl w:val="0"/>
                <w:numId w:val="7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pozostałe usługi (badania lekarskie dla 3</w:t>
            </w:r>
            <w:r w:rsidR="007D5DA3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80 zł) = </w:t>
            </w:r>
            <w:r w:rsidR="007D5DA3" w:rsidRPr="00036095">
              <w:rPr>
                <w:rFonts w:ascii="Times New Roman" w:hAnsi="Times New Roman"/>
                <w:color w:val="000000"/>
              </w:rPr>
              <w:t xml:space="preserve">2 480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6E671ED7" w14:textId="689061B4" w:rsidR="00764117" w:rsidRPr="00036095" w:rsidRDefault="00764117" w:rsidP="00036095">
            <w:pPr>
              <w:pStyle w:val="Akapitzlist"/>
              <w:numPr>
                <w:ilvl w:val="0"/>
                <w:numId w:val="7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odpis na ZFŚS 3</w:t>
            </w:r>
            <w:r w:rsidR="007D5DA3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1</w:t>
            </w:r>
            <w:r w:rsidR="00180CC3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 xml:space="preserve">551 zł = </w:t>
            </w:r>
            <w:r w:rsidR="007D5DA3" w:rsidRPr="00036095">
              <w:rPr>
                <w:rFonts w:ascii="Times New Roman" w:hAnsi="Times New Roman"/>
                <w:color w:val="000000"/>
              </w:rPr>
              <w:t xml:space="preserve">48 081 </w:t>
            </w:r>
            <w:r w:rsidRPr="00036095">
              <w:rPr>
                <w:rFonts w:ascii="Times New Roman" w:hAnsi="Times New Roman"/>
                <w:color w:val="000000"/>
              </w:rPr>
              <w:t>zł</w:t>
            </w:r>
            <w:r w:rsidR="008D0008">
              <w:rPr>
                <w:rFonts w:ascii="Times New Roman" w:hAnsi="Times New Roman"/>
                <w:color w:val="000000"/>
              </w:rPr>
              <w:t>.</w:t>
            </w:r>
          </w:p>
          <w:p w14:paraId="051707D5" w14:textId="23C24B88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0F3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F94353E" w14:textId="0FF743FC" w:rsidR="00764117" w:rsidRPr="00560F34" w:rsidRDefault="008D0008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pozapłacowe w 2026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</w:t>
            </w:r>
            <w:r w:rsidR="007D5DA3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7D5DA3" w:rsidRPr="00813883">
              <w:rPr>
                <w:rFonts w:ascii="Times New Roman" w:hAnsi="Times New Roman"/>
                <w:color w:val="000000"/>
              </w:rPr>
              <w:t>75</w:t>
            </w:r>
            <w:r w:rsidR="0080174C" w:rsidRPr="00813883">
              <w:rPr>
                <w:rFonts w:ascii="Times New Roman" w:hAnsi="Times New Roman"/>
                <w:color w:val="000000"/>
              </w:rPr>
              <w:t> </w:t>
            </w:r>
            <w:r w:rsidR="007D5DA3" w:rsidRPr="00813883">
              <w:rPr>
                <w:rFonts w:ascii="Times New Roman" w:hAnsi="Times New Roman"/>
                <w:color w:val="000000"/>
              </w:rPr>
              <w:t>45</w:t>
            </w:r>
            <w:r w:rsidR="0080174C" w:rsidRPr="00813883">
              <w:rPr>
                <w:rFonts w:ascii="Times New Roman" w:hAnsi="Times New Roman"/>
                <w:color w:val="000000"/>
              </w:rPr>
              <w:t xml:space="preserve">6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53CB7492" w14:textId="0CB30D56" w:rsidR="00764117" w:rsidRPr="00036095" w:rsidRDefault="00764117" w:rsidP="00036095">
            <w:pPr>
              <w:pStyle w:val="Akapitzlist"/>
              <w:numPr>
                <w:ilvl w:val="0"/>
                <w:numId w:val="7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materiały biurowe i eksploatacyjne dla 3</w:t>
            </w:r>
            <w:r w:rsidR="007D5DA3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883,05 zł = </w:t>
            </w:r>
            <w:r w:rsidR="007D5DA3" w:rsidRPr="00036095">
              <w:rPr>
                <w:rFonts w:ascii="Times New Roman" w:hAnsi="Times New Roman"/>
                <w:color w:val="000000"/>
              </w:rPr>
              <w:t>27 37</w:t>
            </w:r>
            <w:r w:rsidR="0080174C" w:rsidRPr="00036095">
              <w:rPr>
                <w:rFonts w:ascii="Times New Roman" w:hAnsi="Times New Roman"/>
                <w:color w:val="000000"/>
              </w:rPr>
              <w:t>5</w:t>
            </w:r>
            <w:r w:rsidR="007D5DA3" w:rsidRPr="00036095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3F43F834" w14:textId="17CB4913" w:rsidR="00764117" w:rsidRPr="00036095" w:rsidRDefault="00764117" w:rsidP="00036095">
            <w:pPr>
              <w:pStyle w:val="Akapitzlist"/>
              <w:numPr>
                <w:ilvl w:val="0"/>
                <w:numId w:val="7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odpis na ZFŚS 3</w:t>
            </w:r>
            <w:r w:rsidR="007D5DA3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1</w:t>
            </w:r>
            <w:r w:rsidR="00180CC3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 xml:space="preserve">551 zł = </w:t>
            </w:r>
            <w:r w:rsidR="007D5DA3" w:rsidRPr="00036095">
              <w:rPr>
                <w:rFonts w:ascii="Times New Roman" w:hAnsi="Times New Roman"/>
                <w:color w:val="000000"/>
              </w:rPr>
              <w:t xml:space="preserve">48 081 </w:t>
            </w:r>
            <w:r w:rsidRPr="00036095">
              <w:rPr>
                <w:rFonts w:ascii="Times New Roman" w:hAnsi="Times New Roman"/>
                <w:color w:val="000000"/>
              </w:rPr>
              <w:t>zł</w:t>
            </w:r>
            <w:r w:rsidR="008D0008" w:rsidRPr="00036095">
              <w:rPr>
                <w:rFonts w:ascii="Times New Roman" w:hAnsi="Times New Roman"/>
                <w:color w:val="000000"/>
              </w:rPr>
              <w:t>.</w:t>
            </w:r>
          </w:p>
          <w:p w14:paraId="2D95C3B3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5817793" w14:textId="7BDC0772" w:rsidR="00764117" w:rsidRPr="00560F34" w:rsidRDefault="008D0008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pozapłacowe w 2027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</w:t>
            </w:r>
            <w:r w:rsidR="004166C4" w:rsidRPr="00813883">
              <w:rPr>
                <w:rFonts w:ascii="Times New Roman" w:hAnsi="Times New Roman"/>
                <w:color w:val="000000"/>
              </w:rPr>
              <w:t>76 140</w:t>
            </w:r>
            <w:r w:rsidR="004166C4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32D54288" w14:textId="5644DD55" w:rsidR="00764117" w:rsidRPr="00036095" w:rsidRDefault="00764117" w:rsidP="00036095">
            <w:pPr>
              <w:pStyle w:val="Akapitzlist"/>
              <w:numPr>
                <w:ilvl w:val="0"/>
                <w:numId w:val="7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materiały biurowe i eksploatacyjne dla 3</w:t>
            </w:r>
            <w:r w:rsidR="004166C4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905,13 zł = </w:t>
            </w:r>
            <w:r w:rsidR="004166C4" w:rsidRPr="00036095">
              <w:rPr>
                <w:rFonts w:ascii="Times New Roman" w:hAnsi="Times New Roman"/>
                <w:color w:val="000000"/>
              </w:rPr>
              <w:t xml:space="preserve">28 059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3A66261C" w14:textId="13451910" w:rsidR="00764117" w:rsidRPr="00036095" w:rsidRDefault="00764117" w:rsidP="00036095">
            <w:pPr>
              <w:pStyle w:val="Akapitzlist"/>
              <w:numPr>
                <w:ilvl w:val="0"/>
                <w:numId w:val="7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odpis na ZFŚS 3</w:t>
            </w:r>
            <w:r w:rsidR="007D5DA3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1</w:t>
            </w:r>
            <w:r w:rsidR="00180CC3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 xml:space="preserve">551 zł = </w:t>
            </w:r>
            <w:r w:rsidR="007D5DA3" w:rsidRPr="00036095">
              <w:rPr>
                <w:rFonts w:ascii="Times New Roman" w:hAnsi="Times New Roman"/>
                <w:color w:val="000000"/>
              </w:rPr>
              <w:t xml:space="preserve">48 081 </w:t>
            </w:r>
            <w:r w:rsidRPr="00036095">
              <w:rPr>
                <w:rFonts w:ascii="Times New Roman" w:hAnsi="Times New Roman"/>
                <w:color w:val="000000"/>
              </w:rPr>
              <w:t>zł</w:t>
            </w:r>
            <w:r w:rsidR="008D0008">
              <w:rPr>
                <w:rFonts w:ascii="Times New Roman" w:hAnsi="Times New Roman"/>
                <w:color w:val="000000"/>
              </w:rPr>
              <w:t>.</w:t>
            </w:r>
          </w:p>
          <w:p w14:paraId="7BD0DDAE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6D5506D" w14:textId="094C5173" w:rsidR="00764117" w:rsidRPr="00560F34" w:rsidRDefault="008D0008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pozapłacowe w 2028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</w:t>
            </w:r>
            <w:r w:rsidR="004166C4" w:rsidRPr="00813883">
              <w:rPr>
                <w:rFonts w:ascii="Times New Roman" w:hAnsi="Times New Roman"/>
                <w:color w:val="000000"/>
              </w:rPr>
              <w:t>79</w:t>
            </w:r>
            <w:r w:rsidR="0080174C" w:rsidRPr="00813883">
              <w:rPr>
                <w:rFonts w:ascii="Times New Roman" w:hAnsi="Times New Roman"/>
                <w:color w:val="000000"/>
              </w:rPr>
              <w:t> </w:t>
            </w:r>
            <w:r w:rsidR="004166C4" w:rsidRPr="00813883">
              <w:rPr>
                <w:rFonts w:ascii="Times New Roman" w:hAnsi="Times New Roman"/>
                <w:color w:val="000000"/>
              </w:rPr>
              <w:t>32</w:t>
            </w:r>
            <w:r w:rsidR="0080174C" w:rsidRPr="00813883">
              <w:rPr>
                <w:rFonts w:ascii="Times New Roman" w:hAnsi="Times New Roman"/>
                <w:color w:val="000000"/>
              </w:rPr>
              <w:t xml:space="preserve">2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107B34F3" w14:textId="4FDD55F5" w:rsidR="00764117" w:rsidRPr="00036095" w:rsidRDefault="00764117" w:rsidP="00036095">
            <w:pPr>
              <w:pStyle w:val="Akapitzlist"/>
              <w:numPr>
                <w:ilvl w:val="0"/>
                <w:numId w:val="7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materiały biurowe i eksploatacyjne dla 3</w:t>
            </w:r>
            <w:r w:rsidR="004166C4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927,76 zł  = </w:t>
            </w:r>
            <w:r w:rsidR="004166C4" w:rsidRPr="00036095">
              <w:rPr>
                <w:rFonts w:ascii="Times New Roman" w:hAnsi="Times New Roman"/>
                <w:color w:val="000000"/>
              </w:rPr>
              <w:t>28 76</w:t>
            </w:r>
            <w:r w:rsidR="0080174C" w:rsidRPr="00036095">
              <w:rPr>
                <w:rFonts w:ascii="Times New Roman" w:hAnsi="Times New Roman"/>
                <w:color w:val="000000"/>
              </w:rPr>
              <w:t>1</w:t>
            </w:r>
            <w:r w:rsidR="004166C4" w:rsidRPr="00036095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61AB0F77" w14:textId="79378625" w:rsidR="00764117" w:rsidRPr="00036095" w:rsidRDefault="00764117" w:rsidP="00036095">
            <w:pPr>
              <w:pStyle w:val="Akapitzlist"/>
              <w:numPr>
                <w:ilvl w:val="0"/>
                <w:numId w:val="7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pozostałe usługi (badania lekarskie dla 3</w:t>
            </w:r>
            <w:r w:rsidR="004166C4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80 zł) = </w:t>
            </w:r>
            <w:r w:rsidR="004166C4" w:rsidRPr="00036095">
              <w:rPr>
                <w:rFonts w:ascii="Times New Roman" w:hAnsi="Times New Roman"/>
                <w:color w:val="000000"/>
              </w:rPr>
              <w:t xml:space="preserve">2 480 </w:t>
            </w:r>
            <w:r w:rsidRPr="00036095">
              <w:rPr>
                <w:rFonts w:ascii="Times New Roman" w:hAnsi="Times New Roman"/>
                <w:color w:val="000000"/>
              </w:rPr>
              <w:t>zł.;</w:t>
            </w:r>
          </w:p>
          <w:p w14:paraId="7A7D231E" w14:textId="3EF08EEE" w:rsidR="00764117" w:rsidRPr="00036095" w:rsidRDefault="00764117" w:rsidP="00036095">
            <w:pPr>
              <w:pStyle w:val="Akapitzlist"/>
              <w:numPr>
                <w:ilvl w:val="0"/>
                <w:numId w:val="7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odpis na ZFŚS 3</w:t>
            </w:r>
            <w:r w:rsidR="005C48F8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1</w:t>
            </w:r>
            <w:r w:rsidR="00180CC3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 xml:space="preserve">551 zł = </w:t>
            </w:r>
            <w:r w:rsidR="004166C4" w:rsidRPr="00036095">
              <w:rPr>
                <w:rFonts w:ascii="Times New Roman" w:hAnsi="Times New Roman"/>
                <w:color w:val="000000"/>
              </w:rPr>
              <w:t xml:space="preserve">48 081 </w:t>
            </w:r>
            <w:r w:rsidRPr="00036095">
              <w:rPr>
                <w:rFonts w:ascii="Times New Roman" w:hAnsi="Times New Roman"/>
                <w:color w:val="000000"/>
              </w:rPr>
              <w:t>zł</w:t>
            </w:r>
            <w:r w:rsidR="008D0008" w:rsidRPr="00036095">
              <w:rPr>
                <w:rFonts w:ascii="Times New Roman" w:hAnsi="Times New Roman"/>
                <w:color w:val="000000"/>
              </w:rPr>
              <w:t>.</w:t>
            </w:r>
          </w:p>
          <w:p w14:paraId="2DB91C67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183617A" w14:textId="258FC770" w:rsidR="00764117" w:rsidRPr="00560F34" w:rsidRDefault="008D0008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pozapłacowe w 2029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</w:t>
            </w:r>
            <w:r w:rsidR="004166C4" w:rsidRPr="00813883">
              <w:rPr>
                <w:rFonts w:ascii="Times New Roman" w:hAnsi="Times New Roman"/>
                <w:color w:val="000000"/>
              </w:rPr>
              <w:t>77 560</w:t>
            </w:r>
            <w:r w:rsidR="004166C4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183F58CB" w14:textId="76C7F0D5" w:rsidR="00764117" w:rsidRPr="00036095" w:rsidRDefault="00764117" w:rsidP="00036095">
            <w:pPr>
              <w:pStyle w:val="Akapitzlist"/>
              <w:numPr>
                <w:ilvl w:val="0"/>
                <w:numId w:val="7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materiały biurowe i eksploatacyjne dla 3</w:t>
            </w:r>
            <w:r w:rsidR="004166C4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950,95 zł = </w:t>
            </w:r>
            <w:r w:rsidR="004166C4" w:rsidRPr="00036095">
              <w:rPr>
                <w:rFonts w:ascii="Times New Roman" w:hAnsi="Times New Roman"/>
                <w:color w:val="000000"/>
              </w:rPr>
              <w:t xml:space="preserve">29 479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513E248F" w14:textId="50841120" w:rsidR="00764117" w:rsidRPr="00036095" w:rsidRDefault="00764117" w:rsidP="00036095">
            <w:pPr>
              <w:pStyle w:val="Akapitzlist"/>
              <w:numPr>
                <w:ilvl w:val="0"/>
                <w:numId w:val="7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odpis na ZFŚS 3</w:t>
            </w:r>
            <w:r w:rsidR="004166C4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1</w:t>
            </w:r>
            <w:r w:rsidR="00180CC3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 xml:space="preserve">551 zł = </w:t>
            </w:r>
            <w:r w:rsidR="004166C4" w:rsidRPr="00036095">
              <w:rPr>
                <w:rFonts w:ascii="Times New Roman" w:hAnsi="Times New Roman"/>
                <w:color w:val="000000"/>
              </w:rPr>
              <w:t xml:space="preserve">48 081 </w:t>
            </w:r>
            <w:r w:rsidRPr="00036095">
              <w:rPr>
                <w:rFonts w:ascii="Times New Roman" w:hAnsi="Times New Roman"/>
                <w:color w:val="000000"/>
              </w:rPr>
              <w:t>zł</w:t>
            </w:r>
            <w:r w:rsidR="00180CC3">
              <w:rPr>
                <w:rFonts w:ascii="Times New Roman" w:hAnsi="Times New Roman"/>
                <w:color w:val="000000"/>
              </w:rPr>
              <w:t>.</w:t>
            </w:r>
          </w:p>
          <w:p w14:paraId="580D605C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4367E2B" w14:textId="75B7173D" w:rsidR="00764117" w:rsidRPr="00560F34" w:rsidRDefault="00180CC3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>ydatki pozapłacowe w 2030 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 –</w:t>
            </w:r>
            <w:r w:rsidR="00F31450" w:rsidRPr="00813883">
              <w:rPr>
                <w:rFonts w:ascii="Times New Roman" w:hAnsi="Times New Roman"/>
                <w:color w:val="000000"/>
              </w:rPr>
              <w:t>78 297</w:t>
            </w:r>
            <w:r w:rsidR="00F31450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51FDC2E2" w14:textId="78EFD5EE" w:rsidR="00180CC3" w:rsidRPr="00036095" w:rsidRDefault="00764117" w:rsidP="00036095">
            <w:pPr>
              <w:pStyle w:val="Akapitzlist"/>
              <w:numPr>
                <w:ilvl w:val="0"/>
                <w:numId w:val="7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materiały biurowe i eksploatacyjne dla 3</w:t>
            </w:r>
            <w:r w:rsidR="004166C4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974,72 zł = </w:t>
            </w:r>
            <w:r w:rsidR="00F31450" w:rsidRPr="00036095">
              <w:rPr>
                <w:rFonts w:ascii="Times New Roman" w:hAnsi="Times New Roman"/>
                <w:color w:val="000000"/>
              </w:rPr>
              <w:t xml:space="preserve">30 216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66D2F2EA" w14:textId="48D8A5DF" w:rsidR="00764117" w:rsidRPr="00036095" w:rsidRDefault="00764117" w:rsidP="00036095">
            <w:pPr>
              <w:pStyle w:val="Akapitzlist"/>
              <w:numPr>
                <w:ilvl w:val="0"/>
                <w:numId w:val="7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odpis na ZFŚS 3</w:t>
            </w:r>
            <w:r w:rsidR="00F31450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1</w:t>
            </w:r>
            <w:r w:rsidR="00180CC3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 xml:space="preserve">551 zł = </w:t>
            </w:r>
            <w:r w:rsidR="00F31450" w:rsidRPr="00036095">
              <w:rPr>
                <w:rFonts w:ascii="Times New Roman" w:hAnsi="Times New Roman"/>
                <w:color w:val="000000"/>
              </w:rPr>
              <w:t xml:space="preserve">48 081 </w:t>
            </w:r>
            <w:r w:rsidRPr="00036095">
              <w:rPr>
                <w:rFonts w:ascii="Times New Roman" w:hAnsi="Times New Roman"/>
                <w:color w:val="000000"/>
              </w:rPr>
              <w:t>zł</w:t>
            </w:r>
            <w:r w:rsidR="00180CC3">
              <w:rPr>
                <w:rFonts w:ascii="Times New Roman" w:hAnsi="Times New Roman"/>
                <w:color w:val="000000"/>
              </w:rPr>
              <w:t>.</w:t>
            </w:r>
          </w:p>
          <w:p w14:paraId="0963A3A1" w14:textId="77777777" w:rsidR="00F31450" w:rsidRPr="00560F34" w:rsidRDefault="00F31450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5BDD61F" w14:textId="1666903C" w:rsidR="00764117" w:rsidRPr="00560F34" w:rsidRDefault="00180CC3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764117" w:rsidRPr="00560F34">
              <w:rPr>
                <w:rFonts w:ascii="Times New Roman" w:hAnsi="Times New Roman"/>
                <w:color w:val="000000"/>
              </w:rPr>
              <w:t xml:space="preserve">ydatki pozapłacowe w 2031 </w:t>
            </w:r>
            <w:proofErr w:type="spellStart"/>
            <w:r w:rsidR="00764117" w:rsidRPr="00560F34">
              <w:rPr>
                <w:rFonts w:ascii="Times New Roman" w:hAnsi="Times New Roman"/>
                <w:color w:val="000000"/>
              </w:rPr>
              <w:t>r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64117" w:rsidRPr="00560F34">
              <w:rPr>
                <w:rFonts w:ascii="Times New Roman" w:hAnsi="Times New Roman"/>
                <w:color w:val="000000"/>
              </w:rPr>
              <w:t>u</w:t>
            </w:r>
            <w:proofErr w:type="spellEnd"/>
            <w:r w:rsidR="00764117" w:rsidRPr="00560F34">
              <w:rPr>
                <w:rFonts w:ascii="Times New Roman" w:hAnsi="Times New Roman"/>
                <w:color w:val="000000"/>
              </w:rPr>
              <w:t xml:space="preserve"> –</w:t>
            </w:r>
            <w:r w:rsidR="00F31450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F31450" w:rsidRPr="00813883">
              <w:rPr>
                <w:rFonts w:ascii="Times New Roman" w:hAnsi="Times New Roman"/>
                <w:color w:val="000000"/>
              </w:rPr>
              <w:t>81</w:t>
            </w:r>
            <w:r w:rsidR="0080174C" w:rsidRPr="00813883">
              <w:rPr>
                <w:rFonts w:ascii="Times New Roman" w:hAnsi="Times New Roman"/>
                <w:color w:val="000000"/>
              </w:rPr>
              <w:t> </w:t>
            </w:r>
            <w:r w:rsidR="00F31450" w:rsidRPr="00813883">
              <w:rPr>
                <w:rFonts w:ascii="Times New Roman" w:hAnsi="Times New Roman"/>
                <w:color w:val="000000"/>
              </w:rPr>
              <w:t>53</w:t>
            </w:r>
            <w:r w:rsidR="0080174C" w:rsidRPr="00813883">
              <w:rPr>
                <w:rFonts w:ascii="Times New Roman" w:hAnsi="Times New Roman"/>
                <w:color w:val="000000"/>
              </w:rPr>
              <w:t xml:space="preserve">3 </w:t>
            </w:r>
            <w:r w:rsidR="00F31450" w:rsidRPr="00560F34">
              <w:rPr>
                <w:rFonts w:ascii="Times New Roman" w:hAnsi="Times New Roman"/>
                <w:color w:val="000000"/>
              </w:rPr>
              <w:t xml:space="preserve"> </w:t>
            </w:r>
            <w:r w:rsidR="00764117" w:rsidRPr="00560F34">
              <w:rPr>
                <w:rFonts w:ascii="Times New Roman" w:hAnsi="Times New Roman"/>
                <w:color w:val="000000"/>
              </w:rPr>
              <w:t>zł, w tym:</w:t>
            </w:r>
          </w:p>
          <w:p w14:paraId="1ECC384F" w14:textId="6A7A1C10" w:rsidR="00764117" w:rsidRPr="00036095" w:rsidRDefault="00764117" w:rsidP="00036095">
            <w:pPr>
              <w:pStyle w:val="Akapitzlist"/>
              <w:numPr>
                <w:ilvl w:val="0"/>
                <w:numId w:val="7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materiały biurowe i eksploatacyjne dla 3</w:t>
            </w:r>
            <w:r w:rsidR="00F31450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999,09 zł = </w:t>
            </w:r>
            <w:r w:rsidR="00F31450" w:rsidRPr="00036095">
              <w:rPr>
                <w:rFonts w:ascii="Times New Roman" w:hAnsi="Times New Roman"/>
                <w:color w:val="000000"/>
              </w:rPr>
              <w:t>30 97</w:t>
            </w:r>
            <w:r w:rsidR="0080174C" w:rsidRPr="00036095">
              <w:rPr>
                <w:rFonts w:ascii="Times New Roman" w:hAnsi="Times New Roman"/>
                <w:color w:val="000000"/>
              </w:rPr>
              <w:t>2</w:t>
            </w:r>
            <w:r w:rsidR="00F31450" w:rsidRPr="00036095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1B98E866" w14:textId="5B728ADA" w:rsidR="00764117" w:rsidRPr="00036095" w:rsidRDefault="00764117" w:rsidP="00036095">
            <w:pPr>
              <w:pStyle w:val="Akapitzlist"/>
              <w:numPr>
                <w:ilvl w:val="0"/>
                <w:numId w:val="7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pozostałe usługi (badania lekarskie dla 3</w:t>
            </w:r>
            <w:r w:rsidR="00F31450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80 zł) = </w:t>
            </w:r>
            <w:r w:rsidR="00F31450" w:rsidRPr="00036095">
              <w:rPr>
                <w:rFonts w:ascii="Times New Roman" w:hAnsi="Times New Roman"/>
                <w:color w:val="000000"/>
              </w:rPr>
              <w:t xml:space="preserve">2 480 </w:t>
            </w:r>
            <w:r w:rsidRPr="00036095">
              <w:rPr>
                <w:rFonts w:ascii="Times New Roman" w:hAnsi="Times New Roman"/>
                <w:color w:val="000000"/>
              </w:rPr>
              <w:t>zł;</w:t>
            </w:r>
          </w:p>
          <w:p w14:paraId="54183F49" w14:textId="7A80C9F8" w:rsidR="00764117" w:rsidRPr="00036095" w:rsidRDefault="00764117" w:rsidP="00036095">
            <w:pPr>
              <w:pStyle w:val="Akapitzlist"/>
              <w:numPr>
                <w:ilvl w:val="0"/>
                <w:numId w:val="7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odpis na ZFŚS 3</w:t>
            </w:r>
            <w:r w:rsidR="00F31450" w:rsidRPr="00036095">
              <w:rPr>
                <w:rFonts w:ascii="Times New Roman" w:hAnsi="Times New Roman"/>
                <w:color w:val="000000"/>
              </w:rPr>
              <w:t>1</w:t>
            </w:r>
            <w:r w:rsidRPr="00036095">
              <w:rPr>
                <w:rFonts w:ascii="Times New Roman" w:hAnsi="Times New Roman"/>
                <w:color w:val="000000"/>
              </w:rPr>
              <w:t xml:space="preserve"> etatów x 1</w:t>
            </w:r>
            <w:r w:rsidR="00180CC3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 xml:space="preserve">551 zł = </w:t>
            </w:r>
            <w:r w:rsidR="00F31450" w:rsidRPr="00036095">
              <w:rPr>
                <w:rFonts w:ascii="Times New Roman" w:hAnsi="Times New Roman"/>
                <w:color w:val="000000"/>
              </w:rPr>
              <w:t xml:space="preserve">48 081 </w:t>
            </w:r>
            <w:r w:rsidRPr="00036095">
              <w:rPr>
                <w:rFonts w:ascii="Times New Roman" w:hAnsi="Times New Roman"/>
                <w:color w:val="000000"/>
              </w:rPr>
              <w:t>zł</w:t>
            </w:r>
            <w:r w:rsidR="00180CC3">
              <w:rPr>
                <w:rFonts w:ascii="Times New Roman" w:hAnsi="Times New Roman"/>
                <w:color w:val="000000"/>
              </w:rPr>
              <w:t>.</w:t>
            </w:r>
          </w:p>
          <w:p w14:paraId="18CA3B71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140B022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60F34">
              <w:rPr>
                <w:rFonts w:ascii="Times New Roman" w:hAnsi="Times New Roman"/>
                <w:b/>
                <w:bCs/>
                <w:color w:val="000000"/>
              </w:rPr>
              <w:t>Suma kosztów bieżących</w:t>
            </w:r>
          </w:p>
          <w:p w14:paraId="69B1CF4E" w14:textId="77777777" w:rsidR="00764117" w:rsidRPr="00560F34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60F34">
              <w:rPr>
                <w:rFonts w:ascii="Times New Roman" w:hAnsi="Times New Roman"/>
                <w:b/>
                <w:bCs/>
                <w:color w:val="000000"/>
              </w:rPr>
              <w:t>w latach 2022 – 2031</w:t>
            </w:r>
          </w:p>
          <w:p w14:paraId="656AE410" w14:textId="5A572C3C" w:rsidR="00764117" w:rsidRPr="00560F34" w:rsidRDefault="005C48F8" w:rsidP="007641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13883">
              <w:rPr>
                <w:rFonts w:ascii="Times New Roman" w:hAnsi="Times New Roman"/>
                <w:b/>
                <w:bCs/>
                <w:color w:val="000000"/>
              </w:rPr>
              <w:t>27 288 764</w:t>
            </w:r>
            <w:r w:rsidRPr="00560F3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764117" w:rsidRPr="00560F34">
              <w:rPr>
                <w:rFonts w:ascii="Times New Roman" w:hAnsi="Times New Roman"/>
                <w:b/>
                <w:bCs/>
                <w:color w:val="000000"/>
              </w:rPr>
              <w:t>zł – wydatki płacowe</w:t>
            </w:r>
          </w:p>
          <w:p w14:paraId="50BC15E6" w14:textId="506FC8EB" w:rsidR="00764117" w:rsidRPr="00560F34" w:rsidRDefault="005C48F8" w:rsidP="0076411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13883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9D5E1F" w:rsidRPr="00813883">
              <w:rPr>
                <w:rFonts w:ascii="Times New Roman" w:hAnsi="Times New Roman"/>
                <w:b/>
                <w:bCs/>
                <w:color w:val="000000"/>
              </w:rPr>
              <w:t xml:space="preserve"> 101 52</w:t>
            </w:r>
            <w:r w:rsidR="004E04A7" w:rsidRPr="00813883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9D5E1F" w:rsidRPr="00560F3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764117" w:rsidRPr="00560F34">
              <w:rPr>
                <w:rFonts w:ascii="Times New Roman" w:hAnsi="Times New Roman"/>
                <w:b/>
                <w:bCs/>
                <w:color w:val="000000"/>
              </w:rPr>
              <w:t>zł – wydatki bieżące pozapłacowe</w:t>
            </w:r>
          </w:p>
          <w:p w14:paraId="691F3A2A" w14:textId="040FE335" w:rsidR="00764117" w:rsidRPr="00560F34" w:rsidRDefault="009D5E1F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3883">
              <w:rPr>
                <w:rFonts w:ascii="Times New Roman" w:hAnsi="Times New Roman"/>
                <w:b/>
                <w:bCs/>
                <w:color w:val="000000"/>
              </w:rPr>
              <w:t>28 390 28</w:t>
            </w:r>
            <w:r w:rsidR="004E04A7" w:rsidRPr="00813883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60F3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764117" w:rsidRPr="00560F34">
              <w:rPr>
                <w:rFonts w:ascii="Times New Roman" w:hAnsi="Times New Roman"/>
                <w:b/>
                <w:bCs/>
                <w:color w:val="000000"/>
              </w:rPr>
              <w:t>zł – wydatki bieżące ogółem</w:t>
            </w:r>
          </w:p>
        </w:tc>
      </w:tr>
      <w:tr w:rsidR="00764117" w:rsidRPr="008B4FE6" w14:paraId="2D6ED4E9" w14:textId="77777777" w:rsidTr="006B4A4F">
        <w:trPr>
          <w:trHeight w:val="345"/>
        </w:trPr>
        <w:tc>
          <w:tcPr>
            <w:tcW w:w="10944" w:type="dxa"/>
            <w:gridSpan w:val="28"/>
            <w:shd w:val="clear" w:color="auto" w:fill="99CCFF"/>
          </w:tcPr>
          <w:p w14:paraId="27777922" w14:textId="3BE173FB" w:rsidR="00764117" w:rsidRPr="008B4FE6" w:rsidRDefault="0054716B" w:rsidP="0076411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 </w:t>
            </w:r>
          </w:p>
        </w:tc>
      </w:tr>
      <w:tr w:rsidR="00764117" w:rsidRPr="00150343" w14:paraId="3A095206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FFFFFF"/>
          </w:tcPr>
          <w:p w14:paraId="0FEAB408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764117" w:rsidRPr="00150343" w14:paraId="26BC2664" w14:textId="77777777" w:rsidTr="006B4A4F">
        <w:trPr>
          <w:trHeight w:val="142"/>
        </w:trPr>
        <w:tc>
          <w:tcPr>
            <w:tcW w:w="3918" w:type="dxa"/>
            <w:gridSpan w:val="7"/>
            <w:shd w:val="clear" w:color="auto" w:fill="FFFFFF"/>
          </w:tcPr>
          <w:p w14:paraId="129C9616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C367EAB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A63432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81" w:type="dxa"/>
            <w:gridSpan w:val="4"/>
            <w:shd w:val="clear" w:color="auto" w:fill="FFFFFF"/>
          </w:tcPr>
          <w:p w14:paraId="102D4659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3F07244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5C5B71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42CD57E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57" w:type="dxa"/>
            <w:shd w:val="clear" w:color="auto" w:fill="FFFFFF"/>
          </w:tcPr>
          <w:p w14:paraId="37071BA4" w14:textId="77777777" w:rsidR="00764117" w:rsidRPr="00036095" w:rsidRDefault="00764117" w:rsidP="0076411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036095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036095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764117" w:rsidRPr="00150343" w14:paraId="3A603FA0" w14:textId="77777777" w:rsidTr="006B4A4F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1B198C91" w14:textId="77777777" w:rsidR="00764117" w:rsidRPr="00036095" w:rsidRDefault="00764117" w:rsidP="00764117">
            <w:pPr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3E326008" w14:textId="77777777" w:rsidR="00764117" w:rsidRPr="00036095" w:rsidRDefault="00764117" w:rsidP="00764117">
            <w:pPr>
              <w:rPr>
                <w:rFonts w:ascii="Times New Roman" w:hAnsi="Times New Roman"/>
                <w:spacing w:val="-2"/>
              </w:rPr>
            </w:pPr>
            <w:r w:rsidRPr="0003609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2D9AE614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323" w:type="dxa"/>
            <w:gridSpan w:val="6"/>
            <w:shd w:val="clear" w:color="auto" w:fill="FFFFFF"/>
          </w:tcPr>
          <w:p w14:paraId="2A795892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C47A193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30E3149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gridSpan w:val="4"/>
            <w:shd w:val="clear" w:color="auto" w:fill="FFFFFF"/>
          </w:tcPr>
          <w:p w14:paraId="42858FCA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8EA2329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9538926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4C16BEB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shd w:val="clear" w:color="auto" w:fill="FFFFFF"/>
          </w:tcPr>
          <w:p w14:paraId="4B55EC8A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4117" w:rsidRPr="00150343" w14:paraId="04673065" w14:textId="77777777" w:rsidTr="006B4A4F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1975C0A2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3" w:type="dxa"/>
            <w:gridSpan w:val="6"/>
            <w:shd w:val="clear" w:color="auto" w:fill="FFFFFF"/>
          </w:tcPr>
          <w:p w14:paraId="556BC2B8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219EBB5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743095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gridSpan w:val="4"/>
            <w:shd w:val="clear" w:color="auto" w:fill="FFFFFF"/>
          </w:tcPr>
          <w:p w14:paraId="1F7895F4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01D729A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C26A4B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1748BE6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shd w:val="clear" w:color="auto" w:fill="FFFFFF"/>
          </w:tcPr>
          <w:p w14:paraId="0F27C96E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4117" w:rsidRPr="00150343" w14:paraId="6BF62A5F" w14:textId="77777777" w:rsidTr="006B4A4F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05B84559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3" w:type="dxa"/>
            <w:gridSpan w:val="6"/>
            <w:shd w:val="clear" w:color="auto" w:fill="FFFFFF"/>
          </w:tcPr>
          <w:p w14:paraId="094912B8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35FD6D6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EC1C036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gridSpan w:val="4"/>
            <w:shd w:val="clear" w:color="auto" w:fill="FFFFFF"/>
          </w:tcPr>
          <w:p w14:paraId="09F7A3BF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C519ED7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4790BE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E88C5ED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dxa"/>
            <w:shd w:val="clear" w:color="auto" w:fill="FFFFFF"/>
          </w:tcPr>
          <w:p w14:paraId="101E0D70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4117" w:rsidRPr="00150343" w14:paraId="4EC3E146" w14:textId="77777777" w:rsidTr="006B4A4F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3AF9DBB0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323" w:type="dxa"/>
            <w:gridSpan w:val="6"/>
            <w:shd w:val="clear" w:color="auto" w:fill="FFFFFF"/>
          </w:tcPr>
          <w:p w14:paraId="1E6DC8DB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26" w:type="dxa"/>
            <w:gridSpan w:val="21"/>
            <w:shd w:val="clear" w:color="auto" w:fill="FFFFFF"/>
          </w:tcPr>
          <w:p w14:paraId="74BF2BD5" w14:textId="6891FC9A" w:rsidR="00764117" w:rsidRPr="00036095" w:rsidRDefault="00764117" w:rsidP="00984C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>Projektowane rozwiązania będą miały wpływ na rozwój innowacyjnych rozwiązań w przedsiębiorstwach. Wprowadzone regulację będą miały pozytywny wpływ na cały obszar badań klinicznych, a ich rozwój wpłynie na koniunkturę wielu gałęzi polskiej gospodarki. Oczywiście największą skalę korzyści odczuje sektor medyczny. Jednak w usługi na rzecz podmiotów prowadzących badania kliniczne zaangażowane są także różne firmy spoza branży medycznej, w tym kancelarie prawne, firmy transportowe (np.: transport próbek do badania etc.), księgowe, dostawcy sprzętu medycznego etc. Szacuje się, że firmy farmaceutyczne przez podatki i opłaty rejestracyjne rocznie zasilają polski budżet kwotą około 240 mln zł. Rozwój sektora badań klinicznych to także rozwój kapitału ludzkiego, dostęp do know-how i większe możliwości rozwoju zawodowego personelu medycznego. Jednym z przewidywanych skutków wprowadzanej ustawy jest wzrost liczby prowadzonych badań klinicznych, służących rozwojowi i stworzeniu nowych produktów leczniczych i wyrobów medycznych oraz terapii.</w:t>
            </w:r>
            <w:r w:rsidRPr="00036095">
              <w:rPr>
                <w:rFonts w:ascii="Times New Roman" w:hAnsi="Times New Roman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Zwiększenie liczby badań prowadzonych w Polsce przyniesie również dodatkowe dochody ośrodkom badawczym, a także zwiększy wpływy do budżetu państwa. Dzięki realizowanym badaniom klinicznym, każdego roku budżet państwa zyskuje średnio ok. 1 mln złotych 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lastRenderedPageBreak/>
              <w:t>(P</w:t>
            </w:r>
            <w:r w:rsidR="00D35736">
              <w:rPr>
                <w:rFonts w:ascii="Times New Roman" w:hAnsi="Times New Roman"/>
                <w:color w:val="000000"/>
                <w:spacing w:val="-2"/>
              </w:rPr>
              <w:t>lan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 Rozwoju Badań Klinicznych 2020 – 2025 </w:t>
            </w:r>
            <w:r w:rsidR="00984CCE">
              <w:rPr>
                <w:rFonts w:ascii="Times New Roman" w:hAnsi="Times New Roman"/>
                <w:color w:val="000000"/>
                <w:spacing w:val="-2"/>
              </w:rPr>
              <w:t>stanowiący z</w:t>
            </w:r>
            <w:r w:rsidR="00984CCE" w:rsidRPr="00984CCE">
              <w:rPr>
                <w:rFonts w:ascii="Times New Roman" w:hAnsi="Times New Roman"/>
                <w:color w:val="000000"/>
                <w:spacing w:val="-2"/>
              </w:rPr>
              <w:t>ałącznik do uchwały nr 90 Rady Ministrów</w:t>
            </w:r>
            <w:r w:rsidR="00984CC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84CCE" w:rsidRPr="00984CCE">
              <w:rPr>
                <w:rFonts w:ascii="Times New Roman" w:hAnsi="Times New Roman"/>
                <w:color w:val="000000"/>
                <w:spacing w:val="-2"/>
              </w:rPr>
              <w:t>z dnia 20 września 2019 r. (</w:t>
            </w:r>
            <w:r w:rsidR="00D35736">
              <w:rPr>
                <w:rFonts w:ascii="Times New Roman" w:hAnsi="Times New Roman"/>
                <w:color w:val="000000"/>
                <w:spacing w:val="-2"/>
              </w:rPr>
              <w:t xml:space="preserve">M.P. </w:t>
            </w:r>
            <w:r w:rsidR="00984CCE" w:rsidRPr="00984CCE">
              <w:rPr>
                <w:rFonts w:ascii="Times New Roman" w:hAnsi="Times New Roman"/>
                <w:color w:val="000000"/>
                <w:spacing w:val="-2"/>
              </w:rPr>
              <w:t>poz. 1024)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67EEFD8" w14:textId="7606FEAF" w:rsidR="00764117" w:rsidRPr="00036095" w:rsidRDefault="00764117" w:rsidP="000360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Porównując dane z innych krajów naszego regionu, można stwierdzić, że </w:t>
            </w:r>
            <w:r w:rsidR="00180CC3">
              <w:rPr>
                <w:rFonts w:ascii="Times New Roman" w:hAnsi="Times New Roman"/>
                <w:color w:val="000000"/>
                <w:spacing w:val="-2"/>
              </w:rPr>
              <w:t xml:space="preserve">Rzeczpospolita 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Polska mogłaby istotnie zwiększyć liczbę prowadzonych badań klinicznych. Możliwość dalszego rozwoju wynika przede wszystkim z różnicy w nasyceniu rynku badań klinicznych. W </w:t>
            </w:r>
            <w:r w:rsidR="00180CC3">
              <w:rPr>
                <w:rFonts w:ascii="Times New Roman" w:hAnsi="Times New Roman"/>
                <w:color w:val="000000"/>
                <w:spacing w:val="-2"/>
              </w:rPr>
              <w:t xml:space="preserve">Rzeczypospolitej 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>Pols</w:t>
            </w:r>
            <w:r w:rsidR="00180CC3"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 mogłoby ono wzrosnąć co najmniej do poziomu nasycenia w przodujących pod tym względem krajach CEE, takich jak Węgry czy Czechy. Liczba badań w </w:t>
            </w:r>
            <w:r w:rsidR="00180CC3">
              <w:rPr>
                <w:rFonts w:ascii="Times New Roman" w:hAnsi="Times New Roman"/>
                <w:color w:val="000000"/>
                <w:spacing w:val="-2"/>
              </w:rPr>
              <w:t xml:space="preserve">Rzeczypospolitej 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>Pols</w:t>
            </w:r>
            <w:r w:rsidR="00180CC3"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 na mln mieszkańców wynosi 10,4, czyli ponad dwukrotnie mniej niż w ww. najskuteczniejszych krajach naszego regionu. Oznacza to, że gdyby w </w:t>
            </w:r>
            <w:r w:rsidR="00180CC3">
              <w:rPr>
                <w:rFonts w:ascii="Times New Roman" w:hAnsi="Times New Roman"/>
                <w:color w:val="000000"/>
                <w:spacing w:val="-2"/>
              </w:rPr>
              <w:t xml:space="preserve">Rzeczypospolitej 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>Pols</w:t>
            </w:r>
            <w:r w:rsidR="00180CC3"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 zaistniały podobne warunki do wzrostu liczby badań klinicznych, liczba ta mogłaby wzrosnąć do poziomów prezentowanych przez Czechy – 24,5 lub Węgry – 22,5 badań na mln mieszkańców (źródło: ClinicalTrials.gov.).</w:t>
            </w:r>
          </w:p>
        </w:tc>
      </w:tr>
      <w:tr w:rsidR="00764117" w:rsidRPr="00150343" w14:paraId="41D65D30" w14:textId="77777777" w:rsidTr="006B4A4F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4BA60FEC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3" w:type="dxa"/>
            <w:gridSpan w:val="6"/>
            <w:shd w:val="clear" w:color="auto" w:fill="FFFFFF"/>
          </w:tcPr>
          <w:p w14:paraId="3CBDB43D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26" w:type="dxa"/>
            <w:gridSpan w:val="21"/>
            <w:shd w:val="clear" w:color="auto" w:fill="FFFFFF"/>
          </w:tcPr>
          <w:p w14:paraId="54B86A64" w14:textId="77777777" w:rsidR="00764117" w:rsidRPr="00036095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Projektowane rozwiązania będą miały wpływ na rozwój innowacyjnych rozwiązań w przedsiębiorstwach, jednakże z uwagi na koszty związane z prowadzeniem badań klinicznych, w zakresie mikro i małych przedsiębiorstw – ograniczony, gdyż są oni głownie dostarczycielami usług i towarów dla dużych przedsiębiorców prowadzących badania kliniczne. </w:t>
            </w:r>
          </w:p>
        </w:tc>
      </w:tr>
      <w:tr w:rsidR="00764117" w:rsidRPr="00150343" w14:paraId="0357CFA8" w14:textId="77777777" w:rsidTr="006B4A4F">
        <w:trPr>
          <w:trHeight w:val="596"/>
        </w:trPr>
        <w:tc>
          <w:tcPr>
            <w:tcW w:w="1595" w:type="dxa"/>
            <w:vMerge/>
            <w:shd w:val="clear" w:color="auto" w:fill="FFFFFF"/>
          </w:tcPr>
          <w:p w14:paraId="57C1D2A1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3" w:type="dxa"/>
            <w:gridSpan w:val="6"/>
            <w:shd w:val="clear" w:color="auto" w:fill="FFFFFF"/>
          </w:tcPr>
          <w:p w14:paraId="41BA3C4F" w14:textId="77777777" w:rsidR="00764117" w:rsidRPr="00036095" w:rsidRDefault="00764117" w:rsidP="0076411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</w:rPr>
              <w:t>rodzina, obywatele oraz gospodarstwa domowe</w:t>
            </w:r>
            <w:r w:rsidRPr="0003609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26" w:type="dxa"/>
            <w:gridSpan w:val="21"/>
            <w:shd w:val="clear" w:color="auto" w:fill="FFFFFF"/>
          </w:tcPr>
          <w:p w14:paraId="20A88A07" w14:textId="28FB6C34" w:rsidR="00764117" w:rsidRPr="00036095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>Projektowane rozwiązani</w:t>
            </w:r>
            <w:r w:rsidR="00180CC3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 będ</w:t>
            </w:r>
            <w:r w:rsidR="00180CC3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 miał</w:t>
            </w:r>
            <w:r w:rsidR="00180CC3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 wpływ na rozwój badań naukowych 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br/>
              <w:t>w dziedzinie nauk medycznych i nauk o zdrowiu, a tym samym na rozwój nowoczesnych technologii medycznych, które będą wykorzystywane w procesie terapeutycznym.</w:t>
            </w:r>
          </w:p>
          <w:p w14:paraId="7CC3F486" w14:textId="77777777" w:rsidR="00764117" w:rsidRPr="00036095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Korzyści z badań klinicznych kończące się rejestracją nowoczesnych produktów leczniczych to najbardziej oczywista korzyść wynikająca z prowadzenia badania. Dla niektórych pacjentów uczestnictwo w badaniu klinicznym może się okazać najlepszym lub jedynym dostępnym sposobem terapii. Dostęp do innowacyjnego leczenia ma bezpośredni wpływ na poprawę stanu zdrowia społeczeństwa. Szeroki dostęp do nowoczesnej terapii przekłada się z kolei na zmniejszenie wydatków związanych z ochroną zdrowia i ubezpieczeniami społecznymi. </w:t>
            </w:r>
          </w:p>
          <w:p w14:paraId="0A29DEDF" w14:textId="6063CBC7" w:rsidR="00764117" w:rsidRPr="00036095" w:rsidRDefault="00764117" w:rsidP="000360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Szeroki dostęp nowoczesnego, skutecznego i bezpiecznego leczenia wpłynął znacząco na ograniczenie wydatków związanych z ochroną zdrowia 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br/>
              <w:t>i ubezpieczeniami społecznymi oraz pozwolił na redukcję kosztów gospodarczych wynikających z absencji chorobowej.</w:t>
            </w:r>
            <w:r w:rsidRPr="00036095">
              <w:rPr>
                <w:rFonts w:ascii="Times New Roman" w:hAnsi="Times New Roman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W </w:t>
            </w:r>
            <w:proofErr w:type="spellStart"/>
            <w:r w:rsidRPr="00036095">
              <w:rPr>
                <w:rFonts w:ascii="Times New Roman" w:hAnsi="Times New Roman"/>
                <w:color w:val="000000"/>
                <w:spacing w:val="-2"/>
                <w:lang w:val="en-US"/>
              </w:rPr>
              <w:t>raporcie</w:t>
            </w:r>
            <w:proofErr w:type="spellEnd"/>
            <w:r w:rsidRPr="00036095">
              <w:rPr>
                <w:rFonts w:ascii="Times New Roman" w:hAnsi="Times New Roman"/>
                <w:color w:val="000000"/>
                <w:spacing w:val="-2"/>
                <w:lang w:val="en-US"/>
              </w:rPr>
              <w:t>, OECD</w:t>
            </w:r>
            <w:r w:rsidRPr="00036095">
              <w:rPr>
                <w:rFonts w:ascii="Times New Roman" w:hAnsi="Times New Roman"/>
                <w:lang w:val="en-US"/>
              </w:rPr>
              <w:t xml:space="preserve"> (</w:t>
            </w:r>
            <w:r w:rsidRPr="00036095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Lichtenberg F.R., Pharmaceutical innovation and longevity growth in 30 developing OECD and high–income countries, 2000-2009. </w:t>
            </w:r>
            <w:proofErr w:type="spellStart"/>
            <w:r w:rsidRPr="00036095">
              <w:rPr>
                <w:rFonts w:ascii="Times New Roman" w:hAnsi="Times New Roman"/>
                <w:color w:val="000000"/>
                <w:spacing w:val="-2"/>
              </w:rPr>
              <w:t>Working</w:t>
            </w:r>
            <w:proofErr w:type="spellEnd"/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 Paper 18235, </w:t>
            </w:r>
            <w:proofErr w:type="spellStart"/>
            <w:r w:rsidRPr="00036095">
              <w:rPr>
                <w:rFonts w:ascii="Times New Roman" w:hAnsi="Times New Roman"/>
                <w:color w:val="000000"/>
                <w:spacing w:val="-2"/>
              </w:rPr>
              <w:t>National</w:t>
            </w:r>
            <w:proofErr w:type="spellEnd"/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036095">
              <w:rPr>
                <w:rFonts w:ascii="Times New Roman" w:hAnsi="Times New Roman"/>
                <w:color w:val="000000"/>
                <w:spacing w:val="-2"/>
              </w:rPr>
              <w:t>Bureau</w:t>
            </w:r>
            <w:proofErr w:type="spellEnd"/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 of </w:t>
            </w:r>
            <w:proofErr w:type="spellStart"/>
            <w:r w:rsidRPr="00036095">
              <w:rPr>
                <w:rFonts w:ascii="Times New Roman" w:hAnsi="Times New Roman"/>
                <w:color w:val="000000"/>
                <w:spacing w:val="-2"/>
              </w:rPr>
              <w:t>Economic</w:t>
            </w:r>
            <w:proofErr w:type="spellEnd"/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036095">
              <w:rPr>
                <w:rFonts w:ascii="Times New Roman" w:hAnsi="Times New Roman"/>
                <w:color w:val="000000"/>
                <w:spacing w:val="-2"/>
              </w:rPr>
              <w:t>Research</w:t>
            </w:r>
            <w:proofErr w:type="spellEnd"/>
            <w:r w:rsidRPr="00036095">
              <w:rPr>
                <w:rFonts w:ascii="Times New Roman" w:hAnsi="Times New Roman"/>
                <w:color w:val="000000"/>
                <w:spacing w:val="-2"/>
              </w:rPr>
              <w:t>, 2012),  wskazuje się, że na podstawie danych z 30 państw, w latach 2000-2009 wzrost średniej oczekiwanej długości życia aż w 73% spowodowany był dopuszczonymi na rynek innowacyjnymi lekami. Proces ten dalej postępuje, oczekiwana długość życia w 2022</w:t>
            </w:r>
            <w:r w:rsidR="00180CC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>r. ma wynieść 74,4 roku, co spowoduje, iż osób powyżej 65</w:t>
            </w:r>
            <w:r w:rsidR="00180CC3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 roku życia na świecie będzie prawie 670 milionów, co będzie stanowiło udział 11,6% w całkowitej populacji. </w:t>
            </w:r>
          </w:p>
        </w:tc>
      </w:tr>
      <w:tr w:rsidR="00764117" w:rsidRPr="00150343" w14:paraId="3D2E6649" w14:textId="77777777" w:rsidTr="006B4A4F">
        <w:trPr>
          <w:trHeight w:val="142"/>
        </w:trPr>
        <w:tc>
          <w:tcPr>
            <w:tcW w:w="1595" w:type="dxa"/>
            <w:shd w:val="clear" w:color="auto" w:fill="FFFFFF"/>
          </w:tcPr>
          <w:p w14:paraId="576679A8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323" w:type="dxa"/>
            <w:gridSpan w:val="6"/>
            <w:shd w:val="clear" w:color="auto" w:fill="FFFFFF"/>
          </w:tcPr>
          <w:p w14:paraId="1156095C" w14:textId="6F8D87C1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6" w:type="dxa"/>
            <w:gridSpan w:val="21"/>
            <w:shd w:val="clear" w:color="auto" w:fill="FFFFFF"/>
          </w:tcPr>
          <w:p w14:paraId="2CB1D468" w14:textId="690A7DE3" w:rsidR="00764117" w:rsidRPr="00036095" w:rsidRDefault="00D35736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764117" w:rsidRPr="00150343" w14:paraId="49B404B0" w14:textId="77777777" w:rsidTr="006B4A4F">
        <w:trPr>
          <w:trHeight w:val="1643"/>
        </w:trPr>
        <w:tc>
          <w:tcPr>
            <w:tcW w:w="2242" w:type="dxa"/>
            <w:gridSpan w:val="2"/>
            <w:shd w:val="clear" w:color="auto" w:fill="FFFFFF"/>
          </w:tcPr>
          <w:p w14:paraId="3C3D3DDC" w14:textId="77777777" w:rsidR="00764117" w:rsidRPr="00036095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2" w:type="dxa"/>
            <w:gridSpan w:val="26"/>
            <w:shd w:val="clear" w:color="auto" w:fill="FFFFFF"/>
            <w:vAlign w:val="center"/>
          </w:tcPr>
          <w:p w14:paraId="147AE748" w14:textId="77777777" w:rsidR="00764117" w:rsidRPr="00036095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Badania kliniczne są jednym z kluczowych elementów prac rozwojowych nad nowym lekiem. Mają one stanowić ostateczne potwierdzenie efektywności terapeutycznej nowego leku oraz jego bezpieczeństwa dla pacjentów. Według szacunków badania kliniczne odpowiadają za 60-80% kosztów związanych z wprowadzeniem nowego leku na rynek. Średni kapitalizowany koszt przeprowadzenia badania klinicznego w przeliczeniu na jedną zarejestrowaną cząsteczkę wzrósł </w:t>
            </w:r>
            <w:r w:rsidRPr="00036095">
              <w:rPr>
                <w:rFonts w:ascii="Times New Roman" w:hAnsi="Times New Roman"/>
                <w:color w:val="000000"/>
              </w:rPr>
              <w:br/>
              <w:t>z około 70 mln USD w latach 70-tych ubiegłego wieku, do niemal 1,5 mld USD w latach 2000-2010.</w:t>
            </w:r>
          </w:p>
          <w:p w14:paraId="1C7EDB69" w14:textId="4C83FF18" w:rsidR="00764117" w:rsidRPr="00036095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 xml:space="preserve">W projektach realizowanych w </w:t>
            </w:r>
            <w:r w:rsidR="00180CC3">
              <w:rPr>
                <w:rFonts w:ascii="Times New Roman" w:hAnsi="Times New Roman"/>
                <w:color w:val="000000"/>
              </w:rPr>
              <w:t xml:space="preserve">Rzeczypospolitej </w:t>
            </w:r>
            <w:r w:rsidRPr="00036095">
              <w:rPr>
                <w:rFonts w:ascii="Times New Roman" w:hAnsi="Times New Roman"/>
                <w:color w:val="000000"/>
              </w:rPr>
              <w:t>Pols</w:t>
            </w:r>
            <w:r w:rsidR="00180CC3">
              <w:rPr>
                <w:rFonts w:ascii="Times New Roman" w:hAnsi="Times New Roman"/>
                <w:color w:val="000000"/>
              </w:rPr>
              <w:t>kiej</w:t>
            </w:r>
            <w:r w:rsidRPr="00036095">
              <w:rPr>
                <w:rFonts w:ascii="Times New Roman" w:hAnsi="Times New Roman"/>
                <w:color w:val="000000"/>
              </w:rPr>
              <w:t xml:space="preserve"> dominują badania późnych faz (III i IV), przy czym faza III odpowiada za około 60% wszystkich realizowanych badań. Udział badań faz wczesnych – szczególnie badań fazy I, uważanych za najbardziej innowacyjną z faz badań klinicznych – jest na poziomie 6%. Jest to wyraźnie niżej, niż ma to miejsce w przypadku np. Austrii (13%), co świadczy o niewykorzystanym potencjale polskiego rynku w tym obszarze (źródło </w:t>
            </w:r>
            <w:r w:rsidR="00180CC3" w:rsidRPr="00DD7A7E">
              <w:rPr>
                <w:rFonts w:ascii="Times New Roman" w:hAnsi="Times New Roman"/>
                <w:color w:val="000000"/>
              </w:rPr>
              <w:t>–</w:t>
            </w:r>
            <w:r w:rsidRPr="00036095">
              <w:rPr>
                <w:rFonts w:ascii="Times New Roman" w:hAnsi="Times New Roman"/>
                <w:color w:val="000000"/>
              </w:rPr>
              <w:t xml:space="preserve"> Wpływ na gospodarkę i potencjał rozwoju branży innowacyjnych firm farmaceutycznych w </w:t>
            </w:r>
            <w:r w:rsidR="00180CC3">
              <w:rPr>
                <w:rFonts w:ascii="Times New Roman" w:hAnsi="Times New Roman"/>
                <w:color w:val="000000"/>
              </w:rPr>
              <w:t xml:space="preserve">Rzeczypospolitej </w:t>
            </w:r>
            <w:r w:rsidRPr="00036095">
              <w:rPr>
                <w:rFonts w:ascii="Times New Roman" w:hAnsi="Times New Roman"/>
                <w:color w:val="000000"/>
              </w:rPr>
              <w:t>Pols</w:t>
            </w:r>
            <w:r w:rsidR="00180CC3">
              <w:rPr>
                <w:rFonts w:ascii="Times New Roman" w:hAnsi="Times New Roman"/>
                <w:color w:val="000000"/>
              </w:rPr>
              <w:t>kiej</w:t>
            </w:r>
            <w:r w:rsidRPr="00036095">
              <w:rPr>
                <w:rFonts w:ascii="Times New Roman" w:hAnsi="Times New Roman"/>
                <w:color w:val="000000"/>
              </w:rPr>
              <w:t xml:space="preserve">, Raport przygotowany przez PEX </w:t>
            </w:r>
            <w:proofErr w:type="spellStart"/>
            <w:r w:rsidRPr="00036095">
              <w:rPr>
                <w:rFonts w:ascii="Times New Roman" w:hAnsi="Times New Roman"/>
                <w:color w:val="000000"/>
              </w:rPr>
              <w:t>PharmaSequence</w:t>
            </w:r>
            <w:proofErr w:type="spellEnd"/>
            <w:r w:rsidRPr="00036095">
              <w:rPr>
                <w:rFonts w:ascii="Times New Roman" w:hAnsi="Times New Roman"/>
                <w:color w:val="000000"/>
              </w:rPr>
              <w:t xml:space="preserve"> dla Związku Pracodawców Innowacyjnych Firm Farmaceutycznych INFARMA, Warszawa, 2017).</w:t>
            </w:r>
          </w:p>
        </w:tc>
      </w:tr>
      <w:tr w:rsidR="00764117" w:rsidRPr="008B4FE6" w14:paraId="0F0B5BDC" w14:textId="77777777" w:rsidTr="006B4A4F">
        <w:trPr>
          <w:trHeight w:val="342"/>
        </w:trPr>
        <w:tc>
          <w:tcPr>
            <w:tcW w:w="10944" w:type="dxa"/>
            <w:gridSpan w:val="28"/>
            <w:shd w:val="clear" w:color="auto" w:fill="99CCFF"/>
            <w:vAlign w:val="center"/>
          </w:tcPr>
          <w:p w14:paraId="1A24C0F6" w14:textId="77777777" w:rsidR="00764117" w:rsidRPr="008B4FE6" w:rsidRDefault="00764117" w:rsidP="007641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764117" w:rsidRPr="008B4FE6" w14:paraId="5BFD4C65" w14:textId="77777777" w:rsidTr="006B4A4F">
        <w:trPr>
          <w:trHeight w:val="151"/>
        </w:trPr>
        <w:tc>
          <w:tcPr>
            <w:tcW w:w="10944" w:type="dxa"/>
            <w:gridSpan w:val="28"/>
            <w:shd w:val="clear" w:color="auto" w:fill="FFFFFF"/>
          </w:tcPr>
          <w:p w14:paraId="41CFCD21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64117" w:rsidRPr="008B4FE6" w14:paraId="31D0C2D2" w14:textId="77777777" w:rsidTr="006B4A4F">
        <w:trPr>
          <w:trHeight w:val="946"/>
        </w:trPr>
        <w:tc>
          <w:tcPr>
            <w:tcW w:w="5140" w:type="dxa"/>
            <w:gridSpan w:val="11"/>
            <w:shd w:val="clear" w:color="auto" w:fill="FFFFFF"/>
          </w:tcPr>
          <w:p w14:paraId="1F689DA1" w14:textId="77777777" w:rsidR="00764117" w:rsidRDefault="00764117" w:rsidP="00764117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04" w:type="dxa"/>
            <w:gridSpan w:val="17"/>
            <w:shd w:val="clear" w:color="auto" w:fill="FFFFFF"/>
          </w:tcPr>
          <w:p w14:paraId="0B73E24A" w14:textId="77777777" w:rsidR="00764117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7BCD838" w14:textId="77777777" w:rsidR="00764117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2BFC40C" w14:textId="77777777" w:rsidR="00764117" w:rsidRDefault="00764117" w:rsidP="007641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64117" w:rsidRPr="008B4FE6" w14:paraId="471EB8D7" w14:textId="77777777" w:rsidTr="006B4A4F">
        <w:trPr>
          <w:trHeight w:val="1245"/>
        </w:trPr>
        <w:tc>
          <w:tcPr>
            <w:tcW w:w="5140" w:type="dxa"/>
            <w:gridSpan w:val="11"/>
            <w:shd w:val="clear" w:color="auto" w:fill="FFFFFF"/>
          </w:tcPr>
          <w:p w14:paraId="30CED08D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9237809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0C09756" w14:textId="77777777" w:rsidR="00764117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77A7C35" w14:textId="77777777" w:rsidR="00764117" w:rsidRPr="008B4FE6" w:rsidRDefault="00764117" w:rsidP="0076411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04" w:type="dxa"/>
            <w:gridSpan w:val="17"/>
            <w:shd w:val="clear" w:color="auto" w:fill="FFFFFF"/>
          </w:tcPr>
          <w:p w14:paraId="60FBDF69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9B69709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CCD1095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201F593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3036F340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4117" w:rsidRPr="008B4FE6" w14:paraId="3083E733" w14:textId="77777777" w:rsidTr="006B4A4F">
        <w:trPr>
          <w:trHeight w:val="870"/>
        </w:trPr>
        <w:tc>
          <w:tcPr>
            <w:tcW w:w="5140" w:type="dxa"/>
            <w:gridSpan w:val="11"/>
            <w:shd w:val="clear" w:color="auto" w:fill="FFFFFF"/>
          </w:tcPr>
          <w:p w14:paraId="00A5DABD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04" w:type="dxa"/>
            <w:gridSpan w:val="17"/>
            <w:shd w:val="clear" w:color="auto" w:fill="FFFFFF"/>
          </w:tcPr>
          <w:p w14:paraId="75C534D6" w14:textId="77777777" w:rsidR="00764117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88EE14" w14:textId="77777777" w:rsidR="00764117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5224FB5" w14:textId="77777777" w:rsidR="00764117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4F146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nie dotyczy</w:t>
            </w:r>
          </w:p>
          <w:p w14:paraId="10588F73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4117" w:rsidRPr="008B4FE6" w14:paraId="021FB31F" w14:textId="77777777" w:rsidTr="006B4A4F">
        <w:trPr>
          <w:trHeight w:val="630"/>
        </w:trPr>
        <w:tc>
          <w:tcPr>
            <w:tcW w:w="10944" w:type="dxa"/>
            <w:gridSpan w:val="28"/>
            <w:shd w:val="clear" w:color="auto" w:fill="FFFFFF"/>
          </w:tcPr>
          <w:p w14:paraId="4F4960C0" w14:textId="77777777" w:rsidR="00764117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32C31C41" w14:textId="77777777" w:rsidR="00764117" w:rsidRPr="008B4FE6" w:rsidRDefault="00764117" w:rsidP="0076411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4117" w:rsidRPr="008B4FE6" w14:paraId="23A77ACB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15276702" w14:textId="77777777" w:rsidR="00764117" w:rsidRPr="008B4FE6" w:rsidRDefault="00764117" w:rsidP="0076411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64117" w:rsidRPr="008B4FE6" w14:paraId="0AE19E43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auto"/>
          </w:tcPr>
          <w:p w14:paraId="6B1E77AA" w14:textId="24CBE197" w:rsidR="00764117" w:rsidRPr="00036095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6095">
              <w:rPr>
                <w:rFonts w:ascii="Times New Roman" w:hAnsi="Times New Roman"/>
                <w:color w:val="000000"/>
              </w:rPr>
              <w:t>Projekt</w:t>
            </w:r>
            <w:r w:rsidR="00180CC3">
              <w:rPr>
                <w:rFonts w:ascii="Times New Roman" w:hAnsi="Times New Roman"/>
                <w:color w:val="000000"/>
              </w:rPr>
              <w:t xml:space="preserve">owane rozwiązania </w:t>
            </w:r>
            <w:r w:rsidRPr="00036095">
              <w:rPr>
                <w:rFonts w:ascii="Times New Roman" w:hAnsi="Times New Roman"/>
                <w:color w:val="000000"/>
              </w:rPr>
              <w:t>będ</w:t>
            </w:r>
            <w:r w:rsidR="00180CC3">
              <w:rPr>
                <w:rFonts w:ascii="Times New Roman" w:hAnsi="Times New Roman"/>
                <w:color w:val="000000"/>
              </w:rPr>
              <w:t>ą</w:t>
            </w:r>
            <w:r w:rsidRPr="00036095">
              <w:rPr>
                <w:rFonts w:ascii="Times New Roman" w:hAnsi="Times New Roman"/>
                <w:color w:val="000000"/>
              </w:rPr>
              <w:t xml:space="preserve"> miał</w:t>
            </w:r>
            <w:r w:rsidR="00180CC3">
              <w:rPr>
                <w:rFonts w:ascii="Times New Roman" w:hAnsi="Times New Roman"/>
                <w:color w:val="000000"/>
              </w:rPr>
              <w:t>y</w:t>
            </w:r>
            <w:r w:rsidRPr="00036095">
              <w:rPr>
                <w:rFonts w:ascii="Times New Roman" w:hAnsi="Times New Roman"/>
                <w:color w:val="000000"/>
              </w:rPr>
              <w:t xml:space="preserve"> pozytywny wpływ na rynek pracy. Dzięki </w:t>
            </w:r>
            <w:r w:rsidR="00180CC3">
              <w:rPr>
                <w:rFonts w:ascii="Times New Roman" w:hAnsi="Times New Roman"/>
                <w:color w:val="000000"/>
              </w:rPr>
              <w:t>projektowanym</w:t>
            </w:r>
            <w:r w:rsidR="00180CC3" w:rsidRPr="00036095">
              <w:rPr>
                <w:rFonts w:ascii="Times New Roman" w:hAnsi="Times New Roman"/>
                <w:color w:val="000000"/>
              </w:rPr>
              <w:t xml:space="preserve"> </w:t>
            </w:r>
            <w:r w:rsidRPr="00036095">
              <w:rPr>
                <w:rFonts w:ascii="Times New Roman" w:hAnsi="Times New Roman"/>
                <w:color w:val="000000"/>
              </w:rPr>
              <w:t>regulacj</w:t>
            </w:r>
            <w:r w:rsidR="00180CC3">
              <w:rPr>
                <w:rFonts w:ascii="Times New Roman" w:hAnsi="Times New Roman"/>
                <w:color w:val="000000"/>
              </w:rPr>
              <w:t>om</w:t>
            </w:r>
            <w:r w:rsidRPr="00036095">
              <w:rPr>
                <w:rFonts w:ascii="Times New Roman" w:hAnsi="Times New Roman"/>
                <w:color w:val="000000"/>
              </w:rPr>
              <w:t xml:space="preserve"> nastąpi rozwój badań klinicznych prowadzonych w kraju a co za tym idzie istniejących ośrodków badawczych, jak również przyspieszy się proces tworzenia nowych. Oznacza to rozwój medycznego rynku pracy, zarówno dla lekarzy, pielęgniarek, położnych, a także absolwentów zdrowia publicznego. Wdrażanie projektów związanych z badaniami klinicznymi spowoduje również wzrost liczby miejsc pracy dla osób zajmujących się koordynowaniem i administrowaniem badań klinicznych.</w:t>
            </w:r>
          </w:p>
        </w:tc>
      </w:tr>
      <w:tr w:rsidR="00764117" w:rsidRPr="008B4FE6" w14:paraId="4FD7EB27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0C811A3A" w14:textId="77777777" w:rsidR="00764117" w:rsidRPr="008B4FE6" w:rsidRDefault="00764117" w:rsidP="0076411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  <w:r>
              <w:rPr>
                <w:rFonts w:ascii="Times New Roman" w:hAnsi="Times New Roman"/>
                <w:b/>
                <w:color w:val="000000"/>
              </w:rPr>
              <w:t xml:space="preserve"> - </w:t>
            </w:r>
          </w:p>
        </w:tc>
      </w:tr>
      <w:tr w:rsidR="00764117" w:rsidRPr="008B4FE6" w14:paraId="0DBF0E4B" w14:textId="77777777" w:rsidTr="006B4A4F">
        <w:trPr>
          <w:trHeight w:val="1031"/>
        </w:trPr>
        <w:tc>
          <w:tcPr>
            <w:tcW w:w="3546" w:type="dxa"/>
            <w:gridSpan w:val="5"/>
            <w:shd w:val="clear" w:color="auto" w:fill="FFFFFF"/>
          </w:tcPr>
          <w:p w14:paraId="296506F8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3C91CBB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55FF418" w14:textId="77777777" w:rsidR="00764117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D242577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960" w:type="dxa"/>
            <w:gridSpan w:val="14"/>
            <w:shd w:val="clear" w:color="auto" w:fill="FFFFFF"/>
          </w:tcPr>
          <w:p w14:paraId="6EBE4408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444E636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2407079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438" w:type="dxa"/>
            <w:gridSpan w:val="9"/>
            <w:shd w:val="clear" w:color="auto" w:fill="FFFFFF"/>
          </w:tcPr>
          <w:p w14:paraId="6D27970A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2DA469B" w14:textId="77777777" w:rsidR="00764117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AD37869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6604">
              <w:rPr>
                <w:rFonts w:ascii="Times New Roman" w:hAnsi="Times New Roman"/>
                <w:color w:val="000000"/>
              </w:rPr>
            </w:r>
            <w:r w:rsidR="00D0660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64117" w:rsidRPr="008B4FE6" w14:paraId="3A717BE7" w14:textId="77777777" w:rsidTr="006B4A4F">
        <w:trPr>
          <w:trHeight w:val="712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759404EC" w14:textId="77777777" w:rsidR="00764117" w:rsidRPr="008B4FE6" w:rsidRDefault="00764117" w:rsidP="00764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02" w:type="dxa"/>
            <w:gridSpan w:val="26"/>
            <w:shd w:val="clear" w:color="auto" w:fill="FFFFFF"/>
            <w:vAlign w:val="center"/>
          </w:tcPr>
          <w:p w14:paraId="4A8DBBFB" w14:textId="28153573" w:rsidR="00764117" w:rsidRPr="00036095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>Przez wsparcie działalności naukowej w obszarze medycyny i nauk o zdrowiu przewidziany jest pozytywny wpływ proponowanych rozwiązań na zdrowie publiczne.</w:t>
            </w:r>
            <w:r w:rsidRPr="00036095">
              <w:rPr>
                <w:rFonts w:ascii="Times New Roman" w:hAnsi="Times New Roman"/>
              </w:rPr>
              <w:t xml:space="preserve"> Należy także zauważyć, </w:t>
            </w:r>
            <w:r w:rsidR="00150343">
              <w:rPr>
                <w:rFonts w:ascii="Times New Roman" w:hAnsi="Times New Roman"/>
              </w:rPr>
              <w:t xml:space="preserve">że </w:t>
            </w:r>
            <w:r w:rsidRPr="00036095">
              <w:rPr>
                <w:rFonts w:ascii="Times New Roman" w:hAnsi="Times New Roman"/>
              </w:rPr>
              <w:t xml:space="preserve">głównym celem komercyjnych badań klinicznych jest wprowadzenie 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>nowych leków. Szeroki dostęp nowoczesnego, skutecznego i bezpiecznego leczenia wpłynął znacząco na ograniczenie wydatków związanych z ochroną zdrowia i ubezpieczeniami społecznymi oraz pozwolił na redukcję kosztów gospodarczych wynikających z absencji chorobowej.</w:t>
            </w:r>
          </w:p>
        </w:tc>
      </w:tr>
      <w:tr w:rsidR="00764117" w:rsidRPr="008B4FE6" w14:paraId="75FADDA8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2EAB2017" w14:textId="77777777" w:rsidR="00764117" w:rsidRPr="00627221" w:rsidRDefault="00764117" w:rsidP="007641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764117" w:rsidRPr="008B4FE6" w14:paraId="5A2AAB57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FFFFFF"/>
          </w:tcPr>
          <w:p w14:paraId="341664ED" w14:textId="3F9F9229" w:rsidR="00764117" w:rsidRPr="00832940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32940">
              <w:rPr>
                <w:rFonts w:ascii="Times New Roman" w:hAnsi="Times New Roman"/>
                <w:spacing w:val="-2"/>
              </w:rPr>
              <w:t>Ustawa w</w:t>
            </w:r>
            <w:r w:rsidR="00D35736" w:rsidRPr="00832940">
              <w:rPr>
                <w:rFonts w:ascii="Times New Roman" w:hAnsi="Times New Roman"/>
                <w:spacing w:val="-2"/>
              </w:rPr>
              <w:t>ejdzie</w:t>
            </w:r>
            <w:r w:rsidRPr="00832940">
              <w:rPr>
                <w:rFonts w:ascii="Times New Roman" w:hAnsi="Times New Roman"/>
                <w:spacing w:val="-2"/>
              </w:rPr>
              <w:t xml:space="preserve"> w życie pierwszego dnia miesiąca następującego po upływie 6 miesięcy od dnia publikacji zawiadomienia, </w:t>
            </w:r>
            <w:r w:rsidRPr="00832940">
              <w:rPr>
                <w:rFonts w:ascii="Times New Roman" w:hAnsi="Times New Roman"/>
                <w:spacing w:val="-2"/>
              </w:rPr>
              <w:br/>
              <w:t xml:space="preserve">o którym mowa w art. 82 ust. 3 rozporządzenia 536/2014, z wyjątkiem art. </w:t>
            </w:r>
            <w:r w:rsidR="00725148" w:rsidRPr="00832940">
              <w:rPr>
                <w:rFonts w:ascii="Times New Roman" w:hAnsi="Times New Roman"/>
                <w:spacing w:val="-2"/>
              </w:rPr>
              <w:t>34–52, art. 54–55 i art. 78 pkt 12</w:t>
            </w:r>
            <w:r w:rsidRPr="00832940">
              <w:rPr>
                <w:rFonts w:ascii="Times New Roman" w:hAnsi="Times New Roman"/>
                <w:spacing w:val="-2"/>
              </w:rPr>
              <w:t xml:space="preserve">, które wchodzą </w:t>
            </w:r>
            <w:r w:rsidRPr="00832940">
              <w:rPr>
                <w:rFonts w:ascii="Times New Roman" w:hAnsi="Times New Roman"/>
                <w:spacing w:val="-2"/>
              </w:rPr>
              <w:br/>
              <w:t>w życie po upływie 3 miesięcy od dnia ogłoszenia ustawy.</w:t>
            </w:r>
          </w:p>
        </w:tc>
      </w:tr>
      <w:tr w:rsidR="00764117" w:rsidRPr="008B4FE6" w14:paraId="30940BEF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31FC213E" w14:textId="77777777" w:rsidR="00764117" w:rsidRPr="008B4FE6" w:rsidRDefault="00764117" w:rsidP="007641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18" w:name="_Hlk70513122"/>
            <w:bookmarkStart w:id="19" w:name="_Hlk70513036"/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  <w:bookmarkEnd w:id="18"/>
          </w:p>
        </w:tc>
      </w:tr>
      <w:tr w:rsidR="00764117" w:rsidRPr="008B4FE6" w14:paraId="06F664DD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FFFFFF"/>
          </w:tcPr>
          <w:p w14:paraId="703AB3ED" w14:textId="786156E2" w:rsidR="00150343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Przewiduje się ewaluację efektów projektu </w:t>
            </w:r>
            <w:r w:rsidR="00150343">
              <w:rPr>
                <w:rFonts w:ascii="Times New Roman" w:hAnsi="Times New Roman"/>
                <w:color w:val="000000"/>
                <w:spacing w:val="-2"/>
              </w:rPr>
              <w:t xml:space="preserve">ustawy 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>po czterech latach od wejścia w życie ustawy</w:t>
            </w:r>
            <w:r w:rsidRPr="00036095">
              <w:t xml:space="preserve"> </w:t>
            </w:r>
            <w:r w:rsidR="00CE03CE">
              <w:rPr>
                <w:rFonts w:ascii="Times New Roman" w:hAnsi="Times New Roman"/>
                <w:color w:val="000000"/>
                <w:spacing w:val="-2"/>
              </w:rPr>
              <w:t xml:space="preserve">w oparciu o wskaźniki, które będą </w:t>
            </w:r>
            <w:r w:rsidR="00CE03CE" w:rsidRPr="00CE03CE">
              <w:rPr>
                <w:rFonts w:ascii="Times New Roman" w:hAnsi="Times New Roman"/>
                <w:color w:val="000000"/>
                <w:spacing w:val="-2"/>
              </w:rPr>
              <w:t>monitorowan</w:t>
            </w:r>
            <w:r w:rsidR="00CE03CE">
              <w:rPr>
                <w:rFonts w:ascii="Times New Roman" w:hAnsi="Times New Roman"/>
                <w:color w:val="000000"/>
                <w:spacing w:val="-2"/>
              </w:rPr>
              <w:t xml:space="preserve">e </w:t>
            </w:r>
            <w:r w:rsidR="00CE03CE" w:rsidRPr="00CE03CE">
              <w:rPr>
                <w:rFonts w:ascii="Times New Roman" w:hAnsi="Times New Roman"/>
                <w:color w:val="000000"/>
                <w:spacing w:val="-2"/>
              </w:rPr>
              <w:t xml:space="preserve">na podstawie danych z portalu i bazy </w:t>
            </w:r>
            <w:r w:rsidR="00CE03CE">
              <w:rPr>
                <w:rFonts w:ascii="Times New Roman" w:hAnsi="Times New Roman"/>
                <w:color w:val="000000"/>
                <w:spacing w:val="-2"/>
              </w:rPr>
              <w:t xml:space="preserve">UE </w:t>
            </w:r>
            <w:r w:rsidR="00CE03CE" w:rsidRPr="00CE03CE">
              <w:rPr>
                <w:rFonts w:ascii="Times New Roman" w:hAnsi="Times New Roman"/>
                <w:color w:val="000000"/>
                <w:spacing w:val="-2"/>
              </w:rPr>
              <w:t>oraz informacji od URPL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3A9AA372" w14:textId="0228BF2C" w:rsidR="00764117" w:rsidRPr="00036095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Dane służące do analiz będą pochodziły z rzetelnych i niezależnych źródeł, przy zastosowaniu następujących mierników: </w:t>
            </w:r>
          </w:p>
          <w:p w14:paraId="2E461258" w14:textId="002FBDAE" w:rsidR="00150343" w:rsidRDefault="00150343" w:rsidP="00150343">
            <w:pPr>
              <w:pStyle w:val="Akapitzlist"/>
              <w:numPr>
                <w:ilvl w:val="0"/>
                <w:numId w:val="7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l</w:t>
            </w:r>
            <w:r w:rsidR="00764117" w:rsidRPr="00036095">
              <w:rPr>
                <w:rFonts w:ascii="Times New Roman" w:hAnsi="Times New Roman"/>
                <w:color w:val="000000"/>
                <w:spacing w:val="-2"/>
              </w:rPr>
              <w:t xml:space="preserve">iczba badań klinicznych zarejestrowanych w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Rzeczypospolitej </w:t>
            </w:r>
            <w:r w:rsidR="00764117" w:rsidRPr="00036095">
              <w:rPr>
                <w:rFonts w:ascii="Times New Roman" w:hAnsi="Times New Roman"/>
                <w:color w:val="000000"/>
                <w:spacing w:val="-2"/>
              </w:rPr>
              <w:t>Pols</w:t>
            </w:r>
            <w:r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="00764117" w:rsidRPr="00036095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</w:p>
          <w:p w14:paraId="04312A10" w14:textId="77777777" w:rsidR="00150343" w:rsidRDefault="00764117" w:rsidP="00150343">
            <w:pPr>
              <w:pStyle w:val="Akapitzlist"/>
              <w:numPr>
                <w:ilvl w:val="0"/>
                <w:numId w:val="7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dynamika wzrostu rok do roku, </w:t>
            </w:r>
          </w:p>
          <w:p w14:paraId="18AF8586" w14:textId="77777777" w:rsidR="00150343" w:rsidRDefault="00764117" w:rsidP="00150343">
            <w:pPr>
              <w:pStyle w:val="Akapitzlist"/>
              <w:numPr>
                <w:ilvl w:val="0"/>
                <w:numId w:val="7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>dynamika wzrostu w stosunku do skumulowanego rocznego wskaźnika wzrostu w okresie 3 poprzedzających lat,</w:t>
            </w:r>
          </w:p>
          <w:p w14:paraId="23963706" w14:textId="428C765B" w:rsidR="00150343" w:rsidRDefault="00764117" w:rsidP="00150343">
            <w:pPr>
              <w:pStyle w:val="Akapitzlist"/>
              <w:numPr>
                <w:ilvl w:val="0"/>
                <w:numId w:val="7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dynamika wzrostu rok do roku  w stosunku do dynamiki wzrostu regionu lub krajów o porównywalnym poziomie PKB, w przeliczeniu na mln mieszkańców – dynamika wzrostu rok do roku, </w:t>
            </w:r>
          </w:p>
          <w:p w14:paraId="6EF7F89B" w14:textId="77777777" w:rsidR="00150343" w:rsidRDefault="00764117" w:rsidP="00150343">
            <w:pPr>
              <w:pStyle w:val="Akapitzlist"/>
              <w:numPr>
                <w:ilvl w:val="0"/>
                <w:numId w:val="7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udział </w:t>
            </w:r>
            <w:r w:rsidR="00150343">
              <w:rPr>
                <w:rFonts w:ascii="Times New Roman" w:hAnsi="Times New Roman"/>
                <w:color w:val="000000"/>
                <w:spacing w:val="-2"/>
              </w:rPr>
              <w:t xml:space="preserve">Rzeczypospolitej 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>Polski</w:t>
            </w:r>
            <w:r w:rsidR="00150343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 w rynku badań klinicznych Europy Środkowo-Wschodniej (wg liczby badań),</w:t>
            </w:r>
          </w:p>
          <w:p w14:paraId="597D1B2A" w14:textId="21A5591A" w:rsidR="00764117" w:rsidRPr="00036095" w:rsidRDefault="00764117" w:rsidP="00036095">
            <w:pPr>
              <w:pStyle w:val="Akapitzlist"/>
              <w:numPr>
                <w:ilvl w:val="0"/>
                <w:numId w:val="7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>uwzględnienie fazy badania klinicznego, tj. badania II, III i IV fazy w odniesieniu do w/w wskaźników;</w:t>
            </w:r>
          </w:p>
          <w:p w14:paraId="7457C99C" w14:textId="4FECB341" w:rsidR="00150343" w:rsidRDefault="00150343" w:rsidP="00150343">
            <w:pPr>
              <w:pStyle w:val="Akapitzlist"/>
              <w:numPr>
                <w:ilvl w:val="0"/>
                <w:numId w:val="7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l</w:t>
            </w:r>
            <w:r w:rsidR="00764117" w:rsidRPr="00036095">
              <w:rPr>
                <w:rFonts w:ascii="Times New Roman" w:hAnsi="Times New Roman"/>
                <w:color w:val="000000"/>
                <w:spacing w:val="-2"/>
              </w:rPr>
              <w:t xml:space="preserve">iczba niekomercyjnych badań klinicznych zarejestrowanych w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Rzeczypospolitej </w:t>
            </w:r>
            <w:r w:rsidR="00764117" w:rsidRPr="00036095">
              <w:rPr>
                <w:rFonts w:ascii="Times New Roman" w:hAnsi="Times New Roman"/>
                <w:color w:val="000000"/>
                <w:spacing w:val="-2"/>
              </w:rPr>
              <w:t>Pols</w:t>
            </w:r>
            <w:r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="00764117" w:rsidRPr="00036095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</w:p>
          <w:p w14:paraId="4735A2B0" w14:textId="77777777" w:rsidR="00150343" w:rsidRDefault="00764117" w:rsidP="00150343">
            <w:pPr>
              <w:pStyle w:val="Akapitzlist"/>
              <w:numPr>
                <w:ilvl w:val="0"/>
                <w:numId w:val="8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dynamika wzrostu rok do roku, </w:t>
            </w:r>
          </w:p>
          <w:p w14:paraId="2B122568" w14:textId="46A5983C" w:rsidR="00150343" w:rsidRDefault="00764117" w:rsidP="00150343">
            <w:pPr>
              <w:pStyle w:val="Akapitzlist"/>
              <w:numPr>
                <w:ilvl w:val="0"/>
                <w:numId w:val="8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 xml:space="preserve">dynamika wzrostu w stosunku do skumulowanego rocznego wskaźnika wzrostu w okresie 3 poprzedzających lat, </w:t>
            </w:r>
          </w:p>
          <w:p w14:paraId="0D1F5B18" w14:textId="48BF163B" w:rsidR="00764117" w:rsidRPr="00E36BDB" w:rsidRDefault="00764117" w:rsidP="00E36BDB">
            <w:pPr>
              <w:pStyle w:val="Akapitzlist"/>
              <w:numPr>
                <w:ilvl w:val="0"/>
                <w:numId w:val="8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36095">
              <w:rPr>
                <w:rFonts w:ascii="Times New Roman" w:hAnsi="Times New Roman"/>
                <w:color w:val="000000"/>
                <w:spacing w:val="-2"/>
              </w:rPr>
              <w:t>uwzględnienie fazy badania klinicznego, tj. badania II, III i IV fazy w odniesieniu do w/w wskaźników</w:t>
            </w:r>
            <w:r w:rsidR="00CE03C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bookmarkEnd w:id="19"/>
      <w:tr w:rsidR="00764117" w:rsidRPr="008B4FE6" w14:paraId="445F6D07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99CCFF"/>
          </w:tcPr>
          <w:p w14:paraId="35882E27" w14:textId="77777777" w:rsidR="00764117" w:rsidRPr="008B4FE6" w:rsidRDefault="00764117" w:rsidP="007641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64117" w:rsidRPr="008B4FE6" w14:paraId="7472671E" w14:textId="77777777" w:rsidTr="006B4A4F">
        <w:trPr>
          <w:trHeight w:val="142"/>
        </w:trPr>
        <w:tc>
          <w:tcPr>
            <w:tcW w:w="10944" w:type="dxa"/>
            <w:gridSpan w:val="28"/>
            <w:shd w:val="clear" w:color="auto" w:fill="FFFFFF"/>
          </w:tcPr>
          <w:p w14:paraId="1BE67DBC" w14:textId="77777777" w:rsidR="00764117" w:rsidRPr="00B37C80" w:rsidRDefault="00764117" w:rsidP="007641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63EAD139" w14:textId="77777777" w:rsidR="006176ED" w:rsidRPr="00522D94" w:rsidRDefault="006176ED" w:rsidP="00D35736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99E0" w14:textId="77777777" w:rsidR="007C23DA" w:rsidRDefault="007C23DA" w:rsidP="00044739">
      <w:pPr>
        <w:spacing w:line="240" w:lineRule="auto"/>
      </w:pPr>
      <w:r>
        <w:separator/>
      </w:r>
    </w:p>
  </w:endnote>
  <w:endnote w:type="continuationSeparator" w:id="0">
    <w:p w14:paraId="0519C5F9" w14:textId="77777777" w:rsidR="007C23DA" w:rsidRDefault="007C23D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1931" w14:textId="77777777" w:rsidR="007C23DA" w:rsidRDefault="007C23DA" w:rsidP="00044739">
      <w:pPr>
        <w:spacing w:line="240" w:lineRule="auto"/>
      </w:pPr>
      <w:r>
        <w:separator/>
      </w:r>
    </w:p>
  </w:footnote>
  <w:footnote w:type="continuationSeparator" w:id="0">
    <w:p w14:paraId="22ED2825" w14:textId="77777777" w:rsidR="007C23DA" w:rsidRDefault="007C23D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7077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6759"/>
    <w:multiLevelType w:val="hybridMultilevel"/>
    <w:tmpl w:val="1B889D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F07BD"/>
    <w:multiLevelType w:val="hybridMultilevel"/>
    <w:tmpl w:val="26B2B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92AE5"/>
    <w:multiLevelType w:val="hybridMultilevel"/>
    <w:tmpl w:val="BC1854D6"/>
    <w:lvl w:ilvl="0" w:tplc="B72C94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DF1"/>
    <w:multiLevelType w:val="hybridMultilevel"/>
    <w:tmpl w:val="99282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0D6FF9"/>
    <w:multiLevelType w:val="hybridMultilevel"/>
    <w:tmpl w:val="248C80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40582C"/>
    <w:multiLevelType w:val="hybridMultilevel"/>
    <w:tmpl w:val="9BC21114"/>
    <w:lvl w:ilvl="0" w:tplc="6002A4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824B2"/>
    <w:multiLevelType w:val="hybridMultilevel"/>
    <w:tmpl w:val="DAD83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301639"/>
    <w:multiLevelType w:val="hybridMultilevel"/>
    <w:tmpl w:val="670E0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A5F20"/>
    <w:multiLevelType w:val="hybridMultilevel"/>
    <w:tmpl w:val="6400E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AC5582"/>
    <w:multiLevelType w:val="hybridMultilevel"/>
    <w:tmpl w:val="31F26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F46AF"/>
    <w:multiLevelType w:val="hybridMultilevel"/>
    <w:tmpl w:val="FA38E0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A61CF1"/>
    <w:multiLevelType w:val="hybridMultilevel"/>
    <w:tmpl w:val="1384F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9E5A10"/>
    <w:multiLevelType w:val="hybridMultilevel"/>
    <w:tmpl w:val="C6FE9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7" w15:restartNumberingAfterBreak="0">
    <w:nsid w:val="1653196B"/>
    <w:multiLevelType w:val="hybridMultilevel"/>
    <w:tmpl w:val="A9466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B5904"/>
    <w:multiLevelType w:val="hybridMultilevel"/>
    <w:tmpl w:val="C0341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BD6C04"/>
    <w:multiLevelType w:val="hybridMultilevel"/>
    <w:tmpl w:val="38521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1632A"/>
    <w:multiLevelType w:val="hybridMultilevel"/>
    <w:tmpl w:val="7D769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0C1553E"/>
    <w:multiLevelType w:val="hybridMultilevel"/>
    <w:tmpl w:val="C3E26E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6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20FD3"/>
    <w:multiLevelType w:val="hybridMultilevel"/>
    <w:tmpl w:val="0E589A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EF706C"/>
    <w:multiLevelType w:val="hybridMultilevel"/>
    <w:tmpl w:val="B9D6FD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48270D"/>
    <w:multiLevelType w:val="hybridMultilevel"/>
    <w:tmpl w:val="3DD0A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8067AB"/>
    <w:multiLevelType w:val="hybridMultilevel"/>
    <w:tmpl w:val="BB2E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044587"/>
    <w:multiLevelType w:val="hybridMultilevel"/>
    <w:tmpl w:val="1B889D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47700E2"/>
    <w:multiLevelType w:val="hybridMultilevel"/>
    <w:tmpl w:val="F58CA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749CC"/>
    <w:multiLevelType w:val="hybridMultilevel"/>
    <w:tmpl w:val="1CEAA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BE5861"/>
    <w:multiLevelType w:val="hybridMultilevel"/>
    <w:tmpl w:val="AF34DD9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37B14DD4"/>
    <w:multiLevelType w:val="hybridMultilevel"/>
    <w:tmpl w:val="69E4E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30466C"/>
    <w:multiLevelType w:val="hybridMultilevel"/>
    <w:tmpl w:val="D8CA45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3F957E5"/>
    <w:multiLevelType w:val="hybridMultilevel"/>
    <w:tmpl w:val="657EE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773151"/>
    <w:multiLevelType w:val="hybridMultilevel"/>
    <w:tmpl w:val="1E0C2C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44" w15:restartNumberingAfterBreak="0">
    <w:nsid w:val="4BC63930"/>
    <w:multiLevelType w:val="hybridMultilevel"/>
    <w:tmpl w:val="7D76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6D5D7C"/>
    <w:multiLevelType w:val="hybridMultilevel"/>
    <w:tmpl w:val="248C80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520C5F0A"/>
    <w:multiLevelType w:val="hybridMultilevel"/>
    <w:tmpl w:val="B54231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3F7F41"/>
    <w:multiLevelType w:val="hybridMultilevel"/>
    <w:tmpl w:val="878CA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64857"/>
    <w:multiLevelType w:val="hybridMultilevel"/>
    <w:tmpl w:val="E42045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5A7A402E"/>
    <w:multiLevelType w:val="hybridMultilevel"/>
    <w:tmpl w:val="F550A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ADE368C"/>
    <w:multiLevelType w:val="hybridMultilevel"/>
    <w:tmpl w:val="19B218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7" w15:restartNumberingAfterBreak="0">
    <w:nsid w:val="65EE19DC"/>
    <w:multiLevelType w:val="hybridMultilevel"/>
    <w:tmpl w:val="873A58C8"/>
    <w:lvl w:ilvl="0" w:tplc="0090FE7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603022"/>
    <w:multiLevelType w:val="hybridMultilevel"/>
    <w:tmpl w:val="8B92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493642"/>
    <w:multiLevelType w:val="hybridMultilevel"/>
    <w:tmpl w:val="99282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86956BA"/>
    <w:multiLevelType w:val="hybridMultilevel"/>
    <w:tmpl w:val="99282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8C81BC0"/>
    <w:multiLevelType w:val="hybridMultilevel"/>
    <w:tmpl w:val="DB6EB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A447BAD"/>
    <w:multiLevelType w:val="hybridMultilevel"/>
    <w:tmpl w:val="248C80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25427D"/>
    <w:multiLevelType w:val="hybridMultilevel"/>
    <w:tmpl w:val="99282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C8209EC"/>
    <w:multiLevelType w:val="hybridMultilevel"/>
    <w:tmpl w:val="456ED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E4B71D0"/>
    <w:multiLevelType w:val="hybridMultilevel"/>
    <w:tmpl w:val="87B23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F19602F"/>
    <w:multiLevelType w:val="hybridMultilevel"/>
    <w:tmpl w:val="C59809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23F19F1"/>
    <w:multiLevelType w:val="hybridMultilevel"/>
    <w:tmpl w:val="B79C50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2435066"/>
    <w:multiLevelType w:val="hybridMultilevel"/>
    <w:tmpl w:val="E6303D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60C0C70"/>
    <w:multiLevelType w:val="hybridMultilevel"/>
    <w:tmpl w:val="F864D5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AA3A3A"/>
    <w:multiLevelType w:val="hybridMultilevel"/>
    <w:tmpl w:val="E1CC0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6BA7FD2"/>
    <w:multiLevelType w:val="hybridMultilevel"/>
    <w:tmpl w:val="CCD0D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74E414D"/>
    <w:multiLevelType w:val="hybridMultilevel"/>
    <w:tmpl w:val="5D481D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9C54D8A"/>
    <w:multiLevelType w:val="hybridMultilevel"/>
    <w:tmpl w:val="D3283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A513B52"/>
    <w:multiLevelType w:val="hybridMultilevel"/>
    <w:tmpl w:val="410E31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B855FFE"/>
    <w:multiLevelType w:val="hybridMultilevel"/>
    <w:tmpl w:val="FD0091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BF1197D"/>
    <w:multiLevelType w:val="hybridMultilevel"/>
    <w:tmpl w:val="2138C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0E6686"/>
    <w:multiLevelType w:val="hybridMultilevel"/>
    <w:tmpl w:val="D36458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7EA72278"/>
    <w:multiLevelType w:val="hybridMultilevel"/>
    <w:tmpl w:val="40A6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7"/>
  </w:num>
  <w:num w:numId="4">
    <w:abstractNumId w:val="55"/>
  </w:num>
  <w:num w:numId="5">
    <w:abstractNumId w:val="10"/>
  </w:num>
  <w:num w:numId="6">
    <w:abstractNumId w:val="26"/>
  </w:num>
  <w:num w:numId="7">
    <w:abstractNumId w:val="42"/>
  </w:num>
  <w:num w:numId="8">
    <w:abstractNumId w:val="22"/>
  </w:num>
  <w:num w:numId="9">
    <w:abstractNumId w:val="46"/>
  </w:num>
  <w:num w:numId="10">
    <w:abstractNumId w:val="39"/>
  </w:num>
  <w:num w:numId="11">
    <w:abstractNumId w:val="43"/>
  </w:num>
  <w:num w:numId="12">
    <w:abstractNumId w:val="16"/>
  </w:num>
  <w:num w:numId="13">
    <w:abstractNumId w:val="38"/>
  </w:num>
  <w:num w:numId="14">
    <w:abstractNumId w:val="56"/>
  </w:num>
  <w:num w:numId="15">
    <w:abstractNumId w:val="50"/>
  </w:num>
  <w:num w:numId="16">
    <w:abstractNumId w:val="54"/>
  </w:num>
  <w:num w:numId="17">
    <w:abstractNumId w:val="24"/>
  </w:num>
  <w:num w:numId="18">
    <w:abstractNumId w:val="67"/>
  </w:num>
  <w:num w:numId="19">
    <w:abstractNumId w:val="76"/>
  </w:num>
  <w:num w:numId="20">
    <w:abstractNumId w:val="53"/>
  </w:num>
  <w:num w:numId="21">
    <w:abstractNumId w:val="25"/>
  </w:num>
  <w:num w:numId="22">
    <w:abstractNumId w:val="78"/>
  </w:num>
  <w:num w:numId="23">
    <w:abstractNumId w:val="17"/>
  </w:num>
  <w:num w:numId="24">
    <w:abstractNumId w:val="44"/>
  </w:num>
  <w:num w:numId="25">
    <w:abstractNumId w:val="2"/>
  </w:num>
  <w:num w:numId="26">
    <w:abstractNumId w:val="4"/>
  </w:num>
  <w:num w:numId="27">
    <w:abstractNumId w:val="79"/>
  </w:num>
  <w:num w:numId="28">
    <w:abstractNumId w:val="1"/>
  </w:num>
  <w:num w:numId="29">
    <w:abstractNumId w:val="20"/>
  </w:num>
  <w:num w:numId="30">
    <w:abstractNumId w:val="8"/>
  </w:num>
  <w:num w:numId="31">
    <w:abstractNumId w:val="75"/>
  </w:num>
  <w:num w:numId="32">
    <w:abstractNumId w:val="34"/>
  </w:num>
  <w:num w:numId="33">
    <w:abstractNumId w:val="7"/>
  </w:num>
  <w:num w:numId="34">
    <w:abstractNumId w:val="57"/>
  </w:num>
  <w:num w:numId="35">
    <w:abstractNumId w:val="64"/>
  </w:num>
  <w:num w:numId="36">
    <w:abstractNumId w:val="32"/>
  </w:num>
  <w:num w:numId="37">
    <w:abstractNumId w:val="0"/>
  </w:num>
  <w:num w:numId="38">
    <w:abstractNumId w:val="58"/>
  </w:num>
  <w:num w:numId="39">
    <w:abstractNumId w:val="27"/>
  </w:num>
  <w:num w:numId="40">
    <w:abstractNumId w:val="45"/>
  </w:num>
  <w:num w:numId="41">
    <w:abstractNumId w:val="12"/>
  </w:num>
  <w:num w:numId="42">
    <w:abstractNumId w:val="40"/>
  </w:num>
  <w:num w:numId="43">
    <w:abstractNumId w:val="35"/>
  </w:num>
  <w:num w:numId="44">
    <w:abstractNumId w:val="80"/>
  </w:num>
  <w:num w:numId="45">
    <w:abstractNumId w:val="13"/>
  </w:num>
  <w:num w:numId="46">
    <w:abstractNumId w:val="62"/>
  </w:num>
  <w:num w:numId="47">
    <w:abstractNumId w:val="6"/>
  </w:num>
  <w:num w:numId="48">
    <w:abstractNumId w:val="59"/>
  </w:num>
  <w:num w:numId="49">
    <w:abstractNumId w:val="48"/>
  </w:num>
  <w:num w:numId="50">
    <w:abstractNumId w:val="60"/>
  </w:num>
  <w:num w:numId="51">
    <w:abstractNumId w:val="63"/>
  </w:num>
  <w:num w:numId="52">
    <w:abstractNumId w:val="5"/>
  </w:num>
  <w:num w:numId="53">
    <w:abstractNumId w:val="68"/>
  </w:num>
  <w:num w:numId="54">
    <w:abstractNumId w:val="31"/>
  </w:num>
  <w:num w:numId="55">
    <w:abstractNumId w:val="33"/>
  </w:num>
  <w:num w:numId="56">
    <w:abstractNumId w:val="15"/>
  </w:num>
  <w:num w:numId="57">
    <w:abstractNumId w:val="65"/>
  </w:num>
  <w:num w:numId="58">
    <w:abstractNumId w:val="52"/>
  </w:num>
  <w:num w:numId="59">
    <w:abstractNumId w:val="36"/>
  </w:num>
  <w:num w:numId="60">
    <w:abstractNumId w:val="49"/>
  </w:num>
  <w:num w:numId="61">
    <w:abstractNumId w:val="28"/>
  </w:num>
  <w:num w:numId="62">
    <w:abstractNumId w:val="70"/>
  </w:num>
  <w:num w:numId="63">
    <w:abstractNumId w:val="23"/>
  </w:num>
  <w:num w:numId="64">
    <w:abstractNumId w:val="14"/>
  </w:num>
  <w:num w:numId="65">
    <w:abstractNumId w:val="29"/>
  </w:num>
  <w:num w:numId="66">
    <w:abstractNumId w:val="66"/>
  </w:num>
  <w:num w:numId="67">
    <w:abstractNumId w:val="71"/>
  </w:num>
  <w:num w:numId="68">
    <w:abstractNumId w:val="61"/>
  </w:num>
  <w:num w:numId="69">
    <w:abstractNumId w:val="73"/>
  </w:num>
  <w:num w:numId="70">
    <w:abstractNumId w:val="77"/>
  </w:num>
  <w:num w:numId="71">
    <w:abstractNumId w:val="18"/>
  </w:num>
  <w:num w:numId="72">
    <w:abstractNumId w:val="41"/>
  </w:num>
  <w:num w:numId="73">
    <w:abstractNumId w:val="72"/>
  </w:num>
  <w:num w:numId="74">
    <w:abstractNumId w:val="51"/>
  </w:num>
  <w:num w:numId="75">
    <w:abstractNumId w:val="47"/>
  </w:num>
  <w:num w:numId="76">
    <w:abstractNumId w:val="11"/>
  </w:num>
  <w:num w:numId="77">
    <w:abstractNumId w:val="74"/>
  </w:num>
  <w:num w:numId="78">
    <w:abstractNumId w:val="69"/>
  </w:num>
  <w:num w:numId="79">
    <w:abstractNumId w:val="19"/>
  </w:num>
  <w:num w:numId="80">
    <w:abstractNumId w:val="9"/>
  </w:num>
  <w:num w:numId="81">
    <w:abstractNumId w:val="3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015"/>
    <w:rsid w:val="000022D5"/>
    <w:rsid w:val="00004C6A"/>
    <w:rsid w:val="000060E8"/>
    <w:rsid w:val="00012D11"/>
    <w:rsid w:val="00013EB5"/>
    <w:rsid w:val="000207D8"/>
    <w:rsid w:val="000237D9"/>
    <w:rsid w:val="00023836"/>
    <w:rsid w:val="00024DF9"/>
    <w:rsid w:val="00025BD2"/>
    <w:rsid w:val="00032BB1"/>
    <w:rsid w:val="00033A74"/>
    <w:rsid w:val="000356A9"/>
    <w:rsid w:val="00036095"/>
    <w:rsid w:val="0003629C"/>
    <w:rsid w:val="00037664"/>
    <w:rsid w:val="00044138"/>
    <w:rsid w:val="0004459C"/>
    <w:rsid w:val="00044739"/>
    <w:rsid w:val="00051637"/>
    <w:rsid w:val="00053BDA"/>
    <w:rsid w:val="00056681"/>
    <w:rsid w:val="000648A7"/>
    <w:rsid w:val="0006618B"/>
    <w:rsid w:val="000670C0"/>
    <w:rsid w:val="00071B99"/>
    <w:rsid w:val="000756E5"/>
    <w:rsid w:val="0007704E"/>
    <w:rsid w:val="00080EC8"/>
    <w:rsid w:val="00084429"/>
    <w:rsid w:val="00086D94"/>
    <w:rsid w:val="000909EC"/>
    <w:rsid w:val="000944AC"/>
    <w:rsid w:val="00094CB9"/>
    <w:rsid w:val="000956B2"/>
    <w:rsid w:val="000969E7"/>
    <w:rsid w:val="000A23DE"/>
    <w:rsid w:val="000A243B"/>
    <w:rsid w:val="000A4020"/>
    <w:rsid w:val="000A49C5"/>
    <w:rsid w:val="000B54FB"/>
    <w:rsid w:val="000B72CB"/>
    <w:rsid w:val="000C029E"/>
    <w:rsid w:val="000C1C0B"/>
    <w:rsid w:val="000C1C52"/>
    <w:rsid w:val="000C29B0"/>
    <w:rsid w:val="000C76FC"/>
    <w:rsid w:val="000D0597"/>
    <w:rsid w:val="000D38FC"/>
    <w:rsid w:val="000D3DF1"/>
    <w:rsid w:val="000D4D90"/>
    <w:rsid w:val="000E2D10"/>
    <w:rsid w:val="000F02F6"/>
    <w:rsid w:val="000F3204"/>
    <w:rsid w:val="000F4AC5"/>
    <w:rsid w:val="0010498B"/>
    <w:rsid w:val="0010548B"/>
    <w:rsid w:val="001072D1"/>
    <w:rsid w:val="00107DA3"/>
    <w:rsid w:val="001105A9"/>
    <w:rsid w:val="00111694"/>
    <w:rsid w:val="00113497"/>
    <w:rsid w:val="00115FA7"/>
    <w:rsid w:val="00117017"/>
    <w:rsid w:val="001221D0"/>
    <w:rsid w:val="0012323F"/>
    <w:rsid w:val="00126095"/>
    <w:rsid w:val="00130E8E"/>
    <w:rsid w:val="001320BE"/>
    <w:rsid w:val="0013216E"/>
    <w:rsid w:val="00132D0E"/>
    <w:rsid w:val="00134109"/>
    <w:rsid w:val="001401B5"/>
    <w:rsid w:val="001422B9"/>
    <w:rsid w:val="0014665F"/>
    <w:rsid w:val="00150343"/>
    <w:rsid w:val="00153464"/>
    <w:rsid w:val="001541B3"/>
    <w:rsid w:val="00154512"/>
    <w:rsid w:val="00155B15"/>
    <w:rsid w:val="001625A6"/>
    <w:rsid w:val="001625BE"/>
    <w:rsid w:val="00163F2A"/>
    <w:rsid w:val="001643A4"/>
    <w:rsid w:val="001713B7"/>
    <w:rsid w:val="001727BB"/>
    <w:rsid w:val="00177243"/>
    <w:rsid w:val="00180CC3"/>
    <w:rsid w:val="00180D25"/>
    <w:rsid w:val="00181AAD"/>
    <w:rsid w:val="0018318D"/>
    <w:rsid w:val="0018572C"/>
    <w:rsid w:val="00185E7D"/>
    <w:rsid w:val="00187E79"/>
    <w:rsid w:val="00187F0D"/>
    <w:rsid w:val="00192CC5"/>
    <w:rsid w:val="001956A7"/>
    <w:rsid w:val="00196DFA"/>
    <w:rsid w:val="001A118A"/>
    <w:rsid w:val="001A2103"/>
    <w:rsid w:val="001A27F4"/>
    <w:rsid w:val="001A2C79"/>
    <w:rsid w:val="001A2D95"/>
    <w:rsid w:val="001A5177"/>
    <w:rsid w:val="001B011A"/>
    <w:rsid w:val="001B2CB4"/>
    <w:rsid w:val="001B3460"/>
    <w:rsid w:val="001B4CA1"/>
    <w:rsid w:val="001B75D8"/>
    <w:rsid w:val="001B7D00"/>
    <w:rsid w:val="001C1060"/>
    <w:rsid w:val="001C3C63"/>
    <w:rsid w:val="001C6667"/>
    <w:rsid w:val="001D08E6"/>
    <w:rsid w:val="001D4732"/>
    <w:rsid w:val="001D560A"/>
    <w:rsid w:val="001D6A3C"/>
    <w:rsid w:val="001D6D51"/>
    <w:rsid w:val="001F59DC"/>
    <w:rsid w:val="001F5D11"/>
    <w:rsid w:val="001F653A"/>
    <w:rsid w:val="001F6979"/>
    <w:rsid w:val="001F7B5C"/>
    <w:rsid w:val="0020276E"/>
    <w:rsid w:val="00202941"/>
    <w:rsid w:val="00202BC6"/>
    <w:rsid w:val="00205141"/>
    <w:rsid w:val="0020516B"/>
    <w:rsid w:val="002134F0"/>
    <w:rsid w:val="00213559"/>
    <w:rsid w:val="00213EFD"/>
    <w:rsid w:val="00216C40"/>
    <w:rsid w:val="002172F1"/>
    <w:rsid w:val="00223C7B"/>
    <w:rsid w:val="00224AB1"/>
    <w:rsid w:val="00226789"/>
    <w:rsid w:val="0022687A"/>
    <w:rsid w:val="00226BF1"/>
    <w:rsid w:val="00230728"/>
    <w:rsid w:val="0023234F"/>
    <w:rsid w:val="002328CD"/>
    <w:rsid w:val="00233476"/>
    <w:rsid w:val="00234040"/>
    <w:rsid w:val="00235CD2"/>
    <w:rsid w:val="00240DBD"/>
    <w:rsid w:val="00243C58"/>
    <w:rsid w:val="00250A76"/>
    <w:rsid w:val="002534F9"/>
    <w:rsid w:val="00254DED"/>
    <w:rsid w:val="00255619"/>
    <w:rsid w:val="002558A3"/>
    <w:rsid w:val="00255DAD"/>
    <w:rsid w:val="00256108"/>
    <w:rsid w:val="002601C0"/>
    <w:rsid w:val="00260F33"/>
    <w:rsid w:val="002613BD"/>
    <w:rsid w:val="002624F1"/>
    <w:rsid w:val="002629FF"/>
    <w:rsid w:val="00263181"/>
    <w:rsid w:val="0026686F"/>
    <w:rsid w:val="00266922"/>
    <w:rsid w:val="00270C81"/>
    <w:rsid w:val="00271558"/>
    <w:rsid w:val="00274862"/>
    <w:rsid w:val="00282D72"/>
    <w:rsid w:val="00283402"/>
    <w:rsid w:val="00285FAB"/>
    <w:rsid w:val="00290FD6"/>
    <w:rsid w:val="00294259"/>
    <w:rsid w:val="00295F12"/>
    <w:rsid w:val="002A2C81"/>
    <w:rsid w:val="002A3EB4"/>
    <w:rsid w:val="002A59EE"/>
    <w:rsid w:val="002A74AA"/>
    <w:rsid w:val="002B0439"/>
    <w:rsid w:val="002B238C"/>
    <w:rsid w:val="002B3CC7"/>
    <w:rsid w:val="002B3D1A"/>
    <w:rsid w:val="002B73F4"/>
    <w:rsid w:val="002C23C9"/>
    <w:rsid w:val="002C27D0"/>
    <w:rsid w:val="002C2C9B"/>
    <w:rsid w:val="002D0FFF"/>
    <w:rsid w:val="002D17D6"/>
    <w:rsid w:val="002D18D7"/>
    <w:rsid w:val="002D21CE"/>
    <w:rsid w:val="002E3DA3"/>
    <w:rsid w:val="002E450F"/>
    <w:rsid w:val="002E6B38"/>
    <w:rsid w:val="002E6D63"/>
    <w:rsid w:val="002E6E2B"/>
    <w:rsid w:val="002F03E0"/>
    <w:rsid w:val="002F040C"/>
    <w:rsid w:val="002F2909"/>
    <w:rsid w:val="002F396B"/>
    <w:rsid w:val="002F500B"/>
    <w:rsid w:val="00300991"/>
    <w:rsid w:val="00301959"/>
    <w:rsid w:val="00303658"/>
    <w:rsid w:val="00305B8A"/>
    <w:rsid w:val="00315223"/>
    <w:rsid w:val="00315E7B"/>
    <w:rsid w:val="00317B6E"/>
    <w:rsid w:val="0032256D"/>
    <w:rsid w:val="0032345D"/>
    <w:rsid w:val="0032409E"/>
    <w:rsid w:val="00326107"/>
    <w:rsid w:val="00331494"/>
    <w:rsid w:val="003317B8"/>
    <w:rsid w:val="00331BF9"/>
    <w:rsid w:val="0033495E"/>
    <w:rsid w:val="00334A79"/>
    <w:rsid w:val="00334D8D"/>
    <w:rsid w:val="00337345"/>
    <w:rsid w:val="0033787C"/>
    <w:rsid w:val="00337DD2"/>
    <w:rsid w:val="003404D1"/>
    <w:rsid w:val="003443FF"/>
    <w:rsid w:val="00350199"/>
    <w:rsid w:val="00355808"/>
    <w:rsid w:val="0036156E"/>
    <w:rsid w:val="00362C7E"/>
    <w:rsid w:val="00363309"/>
    <w:rsid w:val="00363601"/>
    <w:rsid w:val="00364515"/>
    <w:rsid w:val="003711DA"/>
    <w:rsid w:val="00371C26"/>
    <w:rsid w:val="00371DAE"/>
    <w:rsid w:val="00373244"/>
    <w:rsid w:val="00374D4C"/>
    <w:rsid w:val="00376AC9"/>
    <w:rsid w:val="00380A11"/>
    <w:rsid w:val="00391BBF"/>
    <w:rsid w:val="00393032"/>
    <w:rsid w:val="003930A8"/>
    <w:rsid w:val="00394B69"/>
    <w:rsid w:val="00397078"/>
    <w:rsid w:val="003A07F5"/>
    <w:rsid w:val="003A144D"/>
    <w:rsid w:val="003A68DA"/>
    <w:rsid w:val="003A6953"/>
    <w:rsid w:val="003B08A1"/>
    <w:rsid w:val="003B6083"/>
    <w:rsid w:val="003B6D91"/>
    <w:rsid w:val="003B6E86"/>
    <w:rsid w:val="003B7739"/>
    <w:rsid w:val="003C3838"/>
    <w:rsid w:val="003C5516"/>
    <w:rsid w:val="003C5847"/>
    <w:rsid w:val="003D0681"/>
    <w:rsid w:val="003D06EB"/>
    <w:rsid w:val="003D12F6"/>
    <w:rsid w:val="003D1426"/>
    <w:rsid w:val="003D74A9"/>
    <w:rsid w:val="003E2F4E"/>
    <w:rsid w:val="003E386C"/>
    <w:rsid w:val="003E720A"/>
    <w:rsid w:val="003F3A72"/>
    <w:rsid w:val="00400768"/>
    <w:rsid w:val="00403E6E"/>
    <w:rsid w:val="00404C67"/>
    <w:rsid w:val="00405038"/>
    <w:rsid w:val="0040514F"/>
    <w:rsid w:val="00405DB7"/>
    <w:rsid w:val="0040700F"/>
    <w:rsid w:val="00412893"/>
    <w:rsid w:val="004129B4"/>
    <w:rsid w:val="004132EF"/>
    <w:rsid w:val="00414C71"/>
    <w:rsid w:val="00415273"/>
    <w:rsid w:val="004166C4"/>
    <w:rsid w:val="00417EF0"/>
    <w:rsid w:val="00422181"/>
    <w:rsid w:val="004244A8"/>
    <w:rsid w:val="00425F72"/>
    <w:rsid w:val="00427736"/>
    <w:rsid w:val="0043555E"/>
    <w:rsid w:val="00441787"/>
    <w:rsid w:val="00444F2D"/>
    <w:rsid w:val="00446C07"/>
    <w:rsid w:val="00452034"/>
    <w:rsid w:val="004541D8"/>
    <w:rsid w:val="00455F6D"/>
    <w:rsid w:val="00455FA6"/>
    <w:rsid w:val="00457D8C"/>
    <w:rsid w:val="00466C70"/>
    <w:rsid w:val="00466CA4"/>
    <w:rsid w:val="004702C9"/>
    <w:rsid w:val="00472660"/>
    <w:rsid w:val="00472927"/>
    <w:rsid w:val="00472E45"/>
    <w:rsid w:val="00473F9C"/>
    <w:rsid w:val="00473FEA"/>
    <w:rsid w:val="0047579D"/>
    <w:rsid w:val="00476B96"/>
    <w:rsid w:val="00483262"/>
    <w:rsid w:val="00483D8E"/>
    <w:rsid w:val="00484107"/>
    <w:rsid w:val="0048559A"/>
    <w:rsid w:val="00485CC5"/>
    <w:rsid w:val="0049343F"/>
    <w:rsid w:val="004959C7"/>
    <w:rsid w:val="004964FC"/>
    <w:rsid w:val="00497A50"/>
    <w:rsid w:val="004A145E"/>
    <w:rsid w:val="004A1F15"/>
    <w:rsid w:val="004A2A81"/>
    <w:rsid w:val="004A453B"/>
    <w:rsid w:val="004A7BD7"/>
    <w:rsid w:val="004B68CD"/>
    <w:rsid w:val="004B7D45"/>
    <w:rsid w:val="004C0B91"/>
    <w:rsid w:val="004C15C2"/>
    <w:rsid w:val="004C36D8"/>
    <w:rsid w:val="004C46FA"/>
    <w:rsid w:val="004D1248"/>
    <w:rsid w:val="004D1E3C"/>
    <w:rsid w:val="004D4169"/>
    <w:rsid w:val="004D65C4"/>
    <w:rsid w:val="004D6E14"/>
    <w:rsid w:val="004E04A7"/>
    <w:rsid w:val="004F1461"/>
    <w:rsid w:val="004F1891"/>
    <w:rsid w:val="004F4B12"/>
    <w:rsid w:val="004F4E17"/>
    <w:rsid w:val="004F6096"/>
    <w:rsid w:val="0050082F"/>
    <w:rsid w:val="00500C56"/>
    <w:rsid w:val="00501713"/>
    <w:rsid w:val="005021B2"/>
    <w:rsid w:val="005022C3"/>
    <w:rsid w:val="00506568"/>
    <w:rsid w:val="0051551B"/>
    <w:rsid w:val="00517A59"/>
    <w:rsid w:val="00520C57"/>
    <w:rsid w:val="00520CFD"/>
    <w:rsid w:val="00522D94"/>
    <w:rsid w:val="00525CB9"/>
    <w:rsid w:val="00533D89"/>
    <w:rsid w:val="00536564"/>
    <w:rsid w:val="00544597"/>
    <w:rsid w:val="00544FFE"/>
    <w:rsid w:val="0054716B"/>
    <w:rsid w:val="005473F5"/>
    <w:rsid w:val="005477E7"/>
    <w:rsid w:val="00552794"/>
    <w:rsid w:val="00553D10"/>
    <w:rsid w:val="00555C8E"/>
    <w:rsid w:val="00560F34"/>
    <w:rsid w:val="00563199"/>
    <w:rsid w:val="00563A0C"/>
    <w:rsid w:val="00564874"/>
    <w:rsid w:val="00565359"/>
    <w:rsid w:val="00567963"/>
    <w:rsid w:val="0057009A"/>
    <w:rsid w:val="00571260"/>
    <w:rsid w:val="0057189C"/>
    <w:rsid w:val="00573FC1"/>
    <w:rsid w:val="005741EE"/>
    <w:rsid w:val="0057668E"/>
    <w:rsid w:val="00591010"/>
    <w:rsid w:val="00595E83"/>
    <w:rsid w:val="00596530"/>
    <w:rsid w:val="005967F3"/>
    <w:rsid w:val="00597801"/>
    <w:rsid w:val="005A06DF"/>
    <w:rsid w:val="005A2459"/>
    <w:rsid w:val="005A5527"/>
    <w:rsid w:val="005A5AE6"/>
    <w:rsid w:val="005A6297"/>
    <w:rsid w:val="005B1206"/>
    <w:rsid w:val="005B37E8"/>
    <w:rsid w:val="005C0056"/>
    <w:rsid w:val="005C48F8"/>
    <w:rsid w:val="005D2DF0"/>
    <w:rsid w:val="005D3F48"/>
    <w:rsid w:val="005D61D6"/>
    <w:rsid w:val="005E0D13"/>
    <w:rsid w:val="005E5047"/>
    <w:rsid w:val="005E7205"/>
    <w:rsid w:val="005E7371"/>
    <w:rsid w:val="005F115F"/>
    <w:rsid w:val="005F116C"/>
    <w:rsid w:val="005F2131"/>
    <w:rsid w:val="0060047C"/>
    <w:rsid w:val="00600685"/>
    <w:rsid w:val="00601935"/>
    <w:rsid w:val="00602A52"/>
    <w:rsid w:val="006035D2"/>
    <w:rsid w:val="00605EF6"/>
    <w:rsid w:val="00606455"/>
    <w:rsid w:val="0061045E"/>
    <w:rsid w:val="0061488B"/>
    <w:rsid w:val="00614929"/>
    <w:rsid w:val="00616511"/>
    <w:rsid w:val="00616C1B"/>
    <w:rsid w:val="006176ED"/>
    <w:rsid w:val="006202F3"/>
    <w:rsid w:val="0062097A"/>
    <w:rsid w:val="00621DA6"/>
    <w:rsid w:val="00623342"/>
    <w:rsid w:val="00623B7F"/>
    <w:rsid w:val="00623CFE"/>
    <w:rsid w:val="00627221"/>
    <w:rsid w:val="00627EE8"/>
    <w:rsid w:val="00631366"/>
    <w:rsid w:val="006316FA"/>
    <w:rsid w:val="0063264B"/>
    <w:rsid w:val="00633120"/>
    <w:rsid w:val="00633BD7"/>
    <w:rsid w:val="00634458"/>
    <w:rsid w:val="006370D2"/>
    <w:rsid w:val="0064074F"/>
    <w:rsid w:val="00641F55"/>
    <w:rsid w:val="0064216A"/>
    <w:rsid w:val="0064229F"/>
    <w:rsid w:val="00645E4A"/>
    <w:rsid w:val="00653688"/>
    <w:rsid w:val="0066091B"/>
    <w:rsid w:val="006633DA"/>
    <w:rsid w:val="00663756"/>
    <w:rsid w:val="0066461E"/>
    <w:rsid w:val="006658FA"/>
    <w:rsid w:val="006660E9"/>
    <w:rsid w:val="00667249"/>
    <w:rsid w:val="00667558"/>
    <w:rsid w:val="00671523"/>
    <w:rsid w:val="0067350D"/>
    <w:rsid w:val="00673565"/>
    <w:rsid w:val="006754EF"/>
    <w:rsid w:val="00676C8D"/>
    <w:rsid w:val="00676F1F"/>
    <w:rsid w:val="00677381"/>
    <w:rsid w:val="00677414"/>
    <w:rsid w:val="0068027B"/>
    <w:rsid w:val="006832CF"/>
    <w:rsid w:val="006844C4"/>
    <w:rsid w:val="0068601E"/>
    <w:rsid w:val="006866FA"/>
    <w:rsid w:val="0069486B"/>
    <w:rsid w:val="006969A1"/>
    <w:rsid w:val="006A36CE"/>
    <w:rsid w:val="006A4904"/>
    <w:rsid w:val="006A4F58"/>
    <w:rsid w:val="006A548F"/>
    <w:rsid w:val="006A6C8A"/>
    <w:rsid w:val="006A701A"/>
    <w:rsid w:val="006B1233"/>
    <w:rsid w:val="006B4A4F"/>
    <w:rsid w:val="006B64DC"/>
    <w:rsid w:val="006B7A91"/>
    <w:rsid w:val="006D0F20"/>
    <w:rsid w:val="006D17E8"/>
    <w:rsid w:val="006D4704"/>
    <w:rsid w:val="006D6A2D"/>
    <w:rsid w:val="006E1D35"/>
    <w:rsid w:val="006E1D92"/>
    <w:rsid w:val="006E1E18"/>
    <w:rsid w:val="006E31CE"/>
    <w:rsid w:val="006E34D3"/>
    <w:rsid w:val="006E66ED"/>
    <w:rsid w:val="006F041A"/>
    <w:rsid w:val="006F1435"/>
    <w:rsid w:val="006F585A"/>
    <w:rsid w:val="006F78C4"/>
    <w:rsid w:val="006F7982"/>
    <w:rsid w:val="007031A0"/>
    <w:rsid w:val="0070324C"/>
    <w:rsid w:val="0070566B"/>
    <w:rsid w:val="00705A29"/>
    <w:rsid w:val="00707498"/>
    <w:rsid w:val="00711A65"/>
    <w:rsid w:val="00714133"/>
    <w:rsid w:val="00714DA4"/>
    <w:rsid w:val="007158B2"/>
    <w:rsid w:val="0071598F"/>
    <w:rsid w:val="00716081"/>
    <w:rsid w:val="0072153D"/>
    <w:rsid w:val="00722808"/>
    <w:rsid w:val="00722B48"/>
    <w:rsid w:val="00724164"/>
    <w:rsid w:val="00725148"/>
    <w:rsid w:val="00725DE7"/>
    <w:rsid w:val="0072636A"/>
    <w:rsid w:val="00726B44"/>
    <w:rsid w:val="007318DD"/>
    <w:rsid w:val="00733167"/>
    <w:rsid w:val="007340EC"/>
    <w:rsid w:val="00734F91"/>
    <w:rsid w:val="0073526A"/>
    <w:rsid w:val="00740B31"/>
    <w:rsid w:val="00740D2C"/>
    <w:rsid w:val="00741DCF"/>
    <w:rsid w:val="00744BF9"/>
    <w:rsid w:val="00752623"/>
    <w:rsid w:val="00752DE7"/>
    <w:rsid w:val="00760A00"/>
    <w:rsid w:val="00760F1F"/>
    <w:rsid w:val="007633A9"/>
    <w:rsid w:val="00764117"/>
    <w:rsid w:val="0076423E"/>
    <w:rsid w:val="0076451C"/>
    <w:rsid w:val="007646CB"/>
    <w:rsid w:val="0076658F"/>
    <w:rsid w:val="0077040A"/>
    <w:rsid w:val="007726AA"/>
    <w:rsid w:val="00772D64"/>
    <w:rsid w:val="0077485B"/>
    <w:rsid w:val="00777DDB"/>
    <w:rsid w:val="00782246"/>
    <w:rsid w:val="00783DB7"/>
    <w:rsid w:val="0078742A"/>
    <w:rsid w:val="00792609"/>
    <w:rsid w:val="00792887"/>
    <w:rsid w:val="007943E2"/>
    <w:rsid w:val="007945B0"/>
    <w:rsid w:val="00794E91"/>
    <w:rsid w:val="00794F2C"/>
    <w:rsid w:val="007A3BC7"/>
    <w:rsid w:val="007A5AC4"/>
    <w:rsid w:val="007B0FDD"/>
    <w:rsid w:val="007B4802"/>
    <w:rsid w:val="007B6668"/>
    <w:rsid w:val="007B6B33"/>
    <w:rsid w:val="007B6E9D"/>
    <w:rsid w:val="007C23DA"/>
    <w:rsid w:val="007C2701"/>
    <w:rsid w:val="007D2192"/>
    <w:rsid w:val="007D2978"/>
    <w:rsid w:val="007D5DA3"/>
    <w:rsid w:val="007E5C9E"/>
    <w:rsid w:val="007F0021"/>
    <w:rsid w:val="007F2F52"/>
    <w:rsid w:val="007F4F3E"/>
    <w:rsid w:val="0080174C"/>
    <w:rsid w:val="00801F71"/>
    <w:rsid w:val="00802514"/>
    <w:rsid w:val="00805F28"/>
    <w:rsid w:val="00805FAC"/>
    <w:rsid w:val="00806588"/>
    <w:rsid w:val="0080749F"/>
    <w:rsid w:val="00811D46"/>
    <w:rsid w:val="008125B0"/>
    <w:rsid w:val="00813883"/>
    <w:rsid w:val="008144CB"/>
    <w:rsid w:val="00821717"/>
    <w:rsid w:val="00822A00"/>
    <w:rsid w:val="00824210"/>
    <w:rsid w:val="008263C0"/>
    <w:rsid w:val="008279FE"/>
    <w:rsid w:val="00832940"/>
    <w:rsid w:val="00834AFF"/>
    <w:rsid w:val="00841422"/>
    <w:rsid w:val="00841D3B"/>
    <w:rsid w:val="008423B1"/>
    <w:rsid w:val="008425DE"/>
    <w:rsid w:val="0084314C"/>
    <w:rsid w:val="00843171"/>
    <w:rsid w:val="00843AFC"/>
    <w:rsid w:val="0084729A"/>
    <w:rsid w:val="008575C3"/>
    <w:rsid w:val="0086147A"/>
    <w:rsid w:val="00863D28"/>
    <w:rsid w:val="008648C3"/>
    <w:rsid w:val="00866E63"/>
    <w:rsid w:val="0087299B"/>
    <w:rsid w:val="0087655F"/>
    <w:rsid w:val="00880F26"/>
    <w:rsid w:val="00890847"/>
    <w:rsid w:val="008948CE"/>
    <w:rsid w:val="00896C2E"/>
    <w:rsid w:val="00896F4A"/>
    <w:rsid w:val="008A285B"/>
    <w:rsid w:val="008A5095"/>
    <w:rsid w:val="008A608F"/>
    <w:rsid w:val="008B1A9A"/>
    <w:rsid w:val="008B4FE6"/>
    <w:rsid w:val="008B6C37"/>
    <w:rsid w:val="008C0740"/>
    <w:rsid w:val="008C1508"/>
    <w:rsid w:val="008C2FFE"/>
    <w:rsid w:val="008C5F30"/>
    <w:rsid w:val="008D0008"/>
    <w:rsid w:val="008D0B17"/>
    <w:rsid w:val="008D472D"/>
    <w:rsid w:val="008E18F7"/>
    <w:rsid w:val="008E1E10"/>
    <w:rsid w:val="008E291B"/>
    <w:rsid w:val="008E4972"/>
    <w:rsid w:val="008E4EFE"/>
    <w:rsid w:val="008E4F2F"/>
    <w:rsid w:val="008E5B01"/>
    <w:rsid w:val="008E74B0"/>
    <w:rsid w:val="008F1DBC"/>
    <w:rsid w:val="008F6477"/>
    <w:rsid w:val="009008A8"/>
    <w:rsid w:val="009063B0"/>
    <w:rsid w:val="00907106"/>
    <w:rsid w:val="00910117"/>
    <w:rsid w:val="009107FD"/>
    <w:rsid w:val="0091137C"/>
    <w:rsid w:val="00911567"/>
    <w:rsid w:val="009130CD"/>
    <w:rsid w:val="00913F17"/>
    <w:rsid w:val="00914843"/>
    <w:rsid w:val="00917AAE"/>
    <w:rsid w:val="009221E7"/>
    <w:rsid w:val="009251A9"/>
    <w:rsid w:val="00930699"/>
    <w:rsid w:val="00930A14"/>
    <w:rsid w:val="00931BDC"/>
    <w:rsid w:val="00931F69"/>
    <w:rsid w:val="00932B5A"/>
    <w:rsid w:val="00934123"/>
    <w:rsid w:val="00955480"/>
    <w:rsid w:val="00955774"/>
    <w:rsid w:val="00955B44"/>
    <w:rsid w:val="009560B5"/>
    <w:rsid w:val="0095795A"/>
    <w:rsid w:val="009703D6"/>
    <w:rsid w:val="0097181B"/>
    <w:rsid w:val="00976DC5"/>
    <w:rsid w:val="00980BD5"/>
    <w:rsid w:val="009818C7"/>
    <w:rsid w:val="00982DD4"/>
    <w:rsid w:val="009841E5"/>
    <w:rsid w:val="0098479F"/>
    <w:rsid w:val="00984A8A"/>
    <w:rsid w:val="00984CCE"/>
    <w:rsid w:val="009857B6"/>
    <w:rsid w:val="00985821"/>
    <w:rsid w:val="00985A8D"/>
    <w:rsid w:val="00986610"/>
    <w:rsid w:val="009877DC"/>
    <w:rsid w:val="00991F96"/>
    <w:rsid w:val="0099501E"/>
    <w:rsid w:val="009952C8"/>
    <w:rsid w:val="00995C8A"/>
    <w:rsid w:val="00996F0A"/>
    <w:rsid w:val="009A1D86"/>
    <w:rsid w:val="009A6475"/>
    <w:rsid w:val="009A7D20"/>
    <w:rsid w:val="009B049C"/>
    <w:rsid w:val="009B11C8"/>
    <w:rsid w:val="009B2BCF"/>
    <w:rsid w:val="009B2FF8"/>
    <w:rsid w:val="009B46F5"/>
    <w:rsid w:val="009B5BA3"/>
    <w:rsid w:val="009D0027"/>
    <w:rsid w:val="009D0655"/>
    <w:rsid w:val="009D4F33"/>
    <w:rsid w:val="009D5E1F"/>
    <w:rsid w:val="009E1392"/>
    <w:rsid w:val="009E1E98"/>
    <w:rsid w:val="009E3ABE"/>
    <w:rsid w:val="009E3C4B"/>
    <w:rsid w:val="009E5160"/>
    <w:rsid w:val="009F0637"/>
    <w:rsid w:val="009F4D42"/>
    <w:rsid w:val="009F5512"/>
    <w:rsid w:val="009F62A6"/>
    <w:rsid w:val="009F658D"/>
    <w:rsid w:val="009F674F"/>
    <w:rsid w:val="009F799E"/>
    <w:rsid w:val="00A02020"/>
    <w:rsid w:val="00A056CB"/>
    <w:rsid w:val="00A07A29"/>
    <w:rsid w:val="00A10FF1"/>
    <w:rsid w:val="00A1163C"/>
    <w:rsid w:val="00A1506B"/>
    <w:rsid w:val="00A1592A"/>
    <w:rsid w:val="00A17CB2"/>
    <w:rsid w:val="00A23191"/>
    <w:rsid w:val="00A235E3"/>
    <w:rsid w:val="00A319C0"/>
    <w:rsid w:val="00A33560"/>
    <w:rsid w:val="00A364E4"/>
    <w:rsid w:val="00A371A5"/>
    <w:rsid w:val="00A37AE6"/>
    <w:rsid w:val="00A4575A"/>
    <w:rsid w:val="00A47BDF"/>
    <w:rsid w:val="00A51CD7"/>
    <w:rsid w:val="00A52ADB"/>
    <w:rsid w:val="00A533E8"/>
    <w:rsid w:val="00A542D9"/>
    <w:rsid w:val="00A56E64"/>
    <w:rsid w:val="00A624C3"/>
    <w:rsid w:val="00A642B9"/>
    <w:rsid w:val="00A6641C"/>
    <w:rsid w:val="00A717EA"/>
    <w:rsid w:val="00A72273"/>
    <w:rsid w:val="00A767D2"/>
    <w:rsid w:val="00A77616"/>
    <w:rsid w:val="00A8055D"/>
    <w:rsid w:val="00A805DA"/>
    <w:rsid w:val="00A811B4"/>
    <w:rsid w:val="00A843CD"/>
    <w:rsid w:val="00A86C25"/>
    <w:rsid w:val="00A87BA0"/>
    <w:rsid w:val="00A87CDE"/>
    <w:rsid w:val="00A92BAF"/>
    <w:rsid w:val="00A94737"/>
    <w:rsid w:val="00A94BA3"/>
    <w:rsid w:val="00A96CBA"/>
    <w:rsid w:val="00A97C99"/>
    <w:rsid w:val="00AA2D90"/>
    <w:rsid w:val="00AA538F"/>
    <w:rsid w:val="00AB1ACD"/>
    <w:rsid w:val="00AB277F"/>
    <w:rsid w:val="00AB4099"/>
    <w:rsid w:val="00AB449A"/>
    <w:rsid w:val="00AC378E"/>
    <w:rsid w:val="00AD14F9"/>
    <w:rsid w:val="00AD16B7"/>
    <w:rsid w:val="00AD35D6"/>
    <w:rsid w:val="00AD58C5"/>
    <w:rsid w:val="00AE024A"/>
    <w:rsid w:val="00AE36C4"/>
    <w:rsid w:val="00AE472C"/>
    <w:rsid w:val="00AE5375"/>
    <w:rsid w:val="00AE61CA"/>
    <w:rsid w:val="00AE6CF8"/>
    <w:rsid w:val="00AF04CC"/>
    <w:rsid w:val="00AF3719"/>
    <w:rsid w:val="00AF4CAC"/>
    <w:rsid w:val="00AF786C"/>
    <w:rsid w:val="00B00140"/>
    <w:rsid w:val="00B0054B"/>
    <w:rsid w:val="00B03E0D"/>
    <w:rsid w:val="00B054F8"/>
    <w:rsid w:val="00B07EA9"/>
    <w:rsid w:val="00B13380"/>
    <w:rsid w:val="00B17057"/>
    <w:rsid w:val="00B2219A"/>
    <w:rsid w:val="00B35392"/>
    <w:rsid w:val="00B3581B"/>
    <w:rsid w:val="00B36B81"/>
    <w:rsid w:val="00B36FEE"/>
    <w:rsid w:val="00B37C80"/>
    <w:rsid w:val="00B41D30"/>
    <w:rsid w:val="00B434B6"/>
    <w:rsid w:val="00B43932"/>
    <w:rsid w:val="00B46E99"/>
    <w:rsid w:val="00B5063D"/>
    <w:rsid w:val="00B5092B"/>
    <w:rsid w:val="00B5194E"/>
    <w:rsid w:val="00B51AF5"/>
    <w:rsid w:val="00B531FC"/>
    <w:rsid w:val="00B53E93"/>
    <w:rsid w:val="00B55347"/>
    <w:rsid w:val="00B57E5E"/>
    <w:rsid w:val="00B61F37"/>
    <w:rsid w:val="00B71F09"/>
    <w:rsid w:val="00B7770F"/>
    <w:rsid w:val="00B77850"/>
    <w:rsid w:val="00B77A89"/>
    <w:rsid w:val="00B77B27"/>
    <w:rsid w:val="00B8134E"/>
    <w:rsid w:val="00B81B55"/>
    <w:rsid w:val="00B84613"/>
    <w:rsid w:val="00B86FAA"/>
    <w:rsid w:val="00B87AF0"/>
    <w:rsid w:val="00B87CD7"/>
    <w:rsid w:val="00B9037B"/>
    <w:rsid w:val="00B910BD"/>
    <w:rsid w:val="00B93834"/>
    <w:rsid w:val="00B9410B"/>
    <w:rsid w:val="00B960A7"/>
    <w:rsid w:val="00B96469"/>
    <w:rsid w:val="00B96715"/>
    <w:rsid w:val="00BA0DA2"/>
    <w:rsid w:val="00BA16FC"/>
    <w:rsid w:val="00BA2981"/>
    <w:rsid w:val="00BA42EE"/>
    <w:rsid w:val="00BA48F9"/>
    <w:rsid w:val="00BA605F"/>
    <w:rsid w:val="00BA7BBA"/>
    <w:rsid w:val="00BB0DCA"/>
    <w:rsid w:val="00BB2573"/>
    <w:rsid w:val="00BB2666"/>
    <w:rsid w:val="00BB2F38"/>
    <w:rsid w:val="00BB6B80"/>
    <w:rsid w:val="00BC3773"/>
    <w:rsid w:val="00BC381A"/>
    <w:rsid w:val="00BD0962"/>
    <w:rsid w:val="00BD1EED"/>
    <w:rsid w:val="00BD318F"/>
    <w:rsid w:val="00BD51B4"/>
    <w:rsid w:val="00BD6C06"/>
    <w:rsid w:val="00BE1EE6"/>
    <w:rsid w:val="00BE3FFD"/>
    <w:rsid w:val="00BE5006"/>
    <w:rsid w:val="00BF0DA2"/>
    <w:rsid w:val="00BF109C"/>
    <w:rsid w:val="00BF191A"/>
    <w:rsid w:val="00BF2FA5"/>
    <w:rsid w:val="00BF34FA"/>
    <w:rsid w:val="00BF3904"/>
    <w:rsid w:val="00BF5A81"/>
    <w:rsid w:val="00BF7E9A"/>
    <w:rsid w:val="00C004B6"/>
    <w:rsid w:val="00C017A9"/>
    <w:rsid w:val="00C047A7"/>
    <w:rsid w:val="00C05DE5"/>
    <w:rsid w:val="00C12757"/>
    <w:rsid w:val="00C215B6"/>
    <w:rsid w:val="00C2546B"/>
    <w:rsid w:val="00C26302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10C0"/>
    <w:rsid w:val="00C635D0"/>
    <w:rsid w:val="00C641A9"/>
    <w:rsid w:val="00C64F7D"/>
    <w:rsid w:val="00C67309"/>
    <w:rsid w:val="00C72B46"/>
    <w:rsid w:val="00C7439B"/>
    <w:rsid w:val="00C7614E"/>
    <w:rsid w:val="00C77BF1"/>
    <w:rsid w:val="00C80D60"/>
    <w:rsid w:val="00C8138B"/>
    <w:rsid w:val="00C82FBD"/>
    <w:rsid w:val="00C85267"/>
    <w:rsid w:val="00C8721B"/>
    <w:rsid w:val="00C9372C"/>
    <w:rsid w:val="00C93ADE"/>
    <w:rsid w:val="00C9470E"/>
    <w:rsid w:val="00C95CEB"/>
    <w:rsid w:val="00CA1054"/>
    <w:rsid w:val="00CA63EB"/>
    <w:rsid w:val="00CA69F1"/>
    <w:rsid w:val="00CA6E33"/>
    <w:rsid w:val="00CB08C7"/>
    <w:rsid w:val="00CB39D8"/>
    <w:rsid w:val="00CB5EA1"/>
    <w:rsid w:val="00CB6991"/>
    <w:rsid w:val="00CC1F14"/>
    <w:rsid w:val="00CC4579"/>
    <w:rsid w:val="00CC6194"/>
    <w:rsid w:val="00CC6305"/>
    <w:rsid w:val="00CC78A5"/>
    <w:rsid w:val="00CD0516"/>
    <w:rsid w:val="00CD756B"/>
    <w:rsid w:val="00CE03CE"/>
    <w:rsid w:val="00CE2DD9"/>
    <w:rsid w:val="00CE4047"/>
    <w:rsid w:val="00CE47DF"/>
    <w:rsid w:val="00CE734F"/>
    <w:rsid w:val="00CE744E"/>
    <w:rsid w:val="00CF112E"/>
    <w:rsid w:val="00CF3DA8"/>
    <w:rsid w:val="00CF463B"/>
    <w:rsid w:val="00CF5F4F"/>
    <w:rsid w:val="00D0527E"/>
    <w:rsid w:val="00D06604"/>
    <w:rsid w:val="00D06F5E"/>
    <w:rsid w:val="00D16641"/>
    <w:rsid w:val="00D1785D"/>
    <w:rsid w:val="00D218DC"/>
    <w:rsid w:val="00D23101"/>
    <w:rsid w:val="00D24E56"/>
    <w:rsid w:val="00D25E16"/>
    <w:rsid w:val="00D27A3D"/>
    <w:rsid w:val="00D31643"/>
    <w:rsid w:val="00D31AEB"/>
    <w:rsid w:val="00D32ECD"/>
    <w:rsid w:val="00D35736"/>
    <w:rsid w:val="00D35BEC"/>
    <w:rsid w:val="00D361E4"/>
    <w:rsid w:val="00D37422"/>
    <w:rsid w:val="00D42A8F"/>
    <w:rsid w:val="00D439F6"/>
    <w:rsid w:val="00D43F76"/>
    <w:rsid w:val="00D44EF5"/>
    <w:rsid w:val="00D459C6"/>
    <w:rsid w:val="00D45B28"/>
    <w:rsid w:val="00D47036"/>
    <w:rsid w:val="00D50729"/>
    <w:rsid w:val="00D50C19"/>
    <w:rsid w:val="00D51EF2"/>
    <w:rsid w:val="00D5379E"/>
    <w:rsid w:val="00D61C09"/>
    <w:rsid w:val="00D62596"/>
    <w:rsid w:val="00D62643"/>
    <w:rsid w:val="00D631EB"/>
    <w:rsid w:val="00D64C0F"/>
    <w:rsid w:val="00D66832"/>
    <w:rsid w:val="00D72EFE"/>
    <w:rsid w:val="00D76227"/>
    <w:rsid w:val="00D77DF1"/>
    <w:rsid w:val="00D80433"/>
    <w:rsid w:val="00D81691"/>
    <w:rsid w:val="00D81D33"/>
    <w:rsid w:val="00D846FF"/>
    <w:rsid w:val="00D86AFF"/>
    <w:rsid w:val="00D86B60"/>
    <w:rsid w:val="00D95A44"/>
    <w:rsid w:val="00D95D16"/>
    <w:rsid w:val="00D97C76"/>
    <w:rsid w:val="00DA1F18"/>
    <w:rsid w:val="00DB02B4"/>
    <w:rsid w:val="00DB03CF"/>
    <w:rsid w:val="00DB538D"/>
    <w:rsid w:val="00DC1538"/>
    <w:rsid w:val="00DC275C"/>
    <w:rsid w:val="00DC4887"/>
    <w:rsid w:val="00DC4B0D"/>
    <w:rsid w:val="00DC7FE1"/>
    <w:rsid w:val="00DD0EC7"/>
    <w:rsid w:val="00DD34C5"/>
    <w:rsid w:val="00DD3AE1"/>
    <w:rsid w:val="00DD3F3F"/>
    <w:rsid w:val="00DD4DC6"/>
    <w:rsid w:val="00DD5572"/>
    <w:rsid w:val="00DD74B5"/>
    <w:rsid w:val="00DE5D80"/>
    <w:rsid w:val="00DF58CD"/>
    <w:rsid w:val="00DF65DE"/>
    <w:rsid w:val="00E019A5"/>
    <w:rsid w:val="00E02EC8"/>
    <w:rsid w:val="00E037F5"/>
    <w:rsid w:val="00E04743"/>
    <w:rsid w:val="00E04ECB"/>
    <w:rsid w:val="00E05A09"/>
    <w:rsid w:val="00E0602C"/>
    <w:rsid w:val="00E06CA1"/>
    <w:rsid w:val="00E10A4A"/>
    <w:rsid w:val="00E12E1E"/>
    <w:rsid w:val="00E172B8"/>
    <w:rsid w:val="00E17FB4"/>
    <w:rsid w:val="00E17FC9"/>
    <w:rsid w:val="00E20B75"/>
    <w:rsid w:val="00E214F2"/>
    <w:rsid w:val="00E2371E"/>
    <w:rsid w:val="00E24B6D"/>
    <w:rsid w:val="00E24BD7"/>
    <w:rsid w:val="00E26523"/>
    <w:rsid w:val="00E26809"/>
    <w:rsid w:val="00E307B8"/>
    <w:rsid w:val="00E323FC"/>
    <w:rsid w:val="00E3412D"/>
    <w:rsid w:val="00E36BDB"/>
    <w:rsid w:val="00E40545"/>
    <w:rsid w:val="00E40C02"/>
    <w:rsid w:val="00E432C9"/>
    <w:rsid w:val="00E43E69"/>
    <w:rsid w:val="00E46BED"/>
    <w:rsid w:val="00E57322"/>
    <w:rsid w:val="00E61232"/>
    <w:rsid w:val="00E617BE"/>
    <w:rsid w:val="00E628CB"/>
    <w:rsid w:val="00E62AD9"/>
    <w:rsid w:val="00E638C8"/>
    <w:rsid w:val="00E65E47"/>
    <w:rsid w:val="00E7117F"/>
    <w:rsid w:val="00E7133D"/>
    <w:rsid w:val="00E72BB2"/>
    <w:rsid w:val="00E7509B"/>
    <w:rsid w:val="00E761F5"/>
    <w:rsid w:val="00E8150C"/>
    <w:rsid w:val="00E86590"/>
    <w:rsid w:val="00E907FF"/>
    <w:rsid w:val="00E90D13"/>
    <w:rsid w:val="00E921CB"/>
    <w:rsid w:val="00E94B67"/>
    <w:rsid w:val="00EA42D1"/>
    <w:rsid w:val="00EA42EF"/>
    <w:rsid w:val="00EB2DD1"/>
    <w:rsid w:val="00EB6B37"/>
    <w:rsid w:val="00EC29FE"/>
    <w:rsid w:val="00EC31F3"/>
    <w:rsid w:val="00EC3C70"/>
    <w:rsid w:val="00EC6569"/>
    <w:rsid w:val="00EC7DE3"/>
    <w:rsid w:val="00ED3A3D"/>
    <w:rsid w:val="00ED538A"/>
    <w:rsid w:val="00ED5973"/>
    <w:rsid w:val="00ED6FBC"/>
    <w:rsid w:val="00EE1011"/>
    <w:rsid w:val="00EE2F16"/>
    <w:rsid w:val="00EE3861"/>
    <w:rsid w:val="00EE5FD6"/>
    <w:rsid w:val="00EF2E73"/>
    <w:rsid w:val="00EF7683"/>
    <w:rsid w:val="00EF7A2D"/>
    <w:rsid w:val="00EF7BA5"/>
    <w:rsid w:val="00F04F8D"/>
    <w:rsid w:val="00F10AD0"/>
    <w:rsid w:val="00F116CC"/>
    <w:rsid w:val="00F12883"/>
    <w:rsid w:val="00F12BD1"/>
    <w:rsid w:val="00F15327"/>
    <w:rsid w:val="00F168CF"/>
    <w:rsid w:val="00F20FA8"/>
    <w:rsid w:val="00F2555C"/>
    <w:rsid w:val="00F31450"/>
    <w:rsid w:val="00F31DF3"/>
    <w:rsid w:val="00F33AE5"/>
    <w:rsid w:val="00F34775"/>
    <w:rsid w:val="00F34D8A"/>
    <w:rsid w:val="00F3597D"/>
    <w:rsid w:val="00F378C3"/>
    <w:rsid w:val="00F4376D"/>
    <w:rsid w:val="00F43ABA"/>
    <w:rsid w:val="00F44CAA"/>
    <w:rsid w:val="00F45399"/>
    <w:rsid w:val="00F465EA"/>
    <w:rsid w:val="00F53F07"/>
    <w:rsid w:val="00F54E7B"/>
    <w:rsid w:val="00F55A88"/>
    <w:rsid w:val="00F57971"/>
    <w:rsid w:val="00F57C2A"/>
    <w:rsid w:val="00F666AE"/>
    <w:rsid w:val="00F73602"/>
    <w:rsid w:val="00F74005"/>
    <w:rsid w:val="00F76884"/>
    <w:rsid w:val="00F80C65"/>
    <w:rsid w:val="00F83B4A"/>
    <w:rsid w:val="00F83D24"/>
    <w:rsid w:val="00F83DD9"/>
    <w:rsid w:val="00F83F40"/>
    <w:rsid w:val="00F946F9"/>
    <w:rsid w:val="00F94BC3"/>
    <w:rsid w:val="00FA117A"/>
    <w:rsid w:val="00FA6FF6"/>
    <w:rsid w:val="00FA7CA2"/>
    <w:rsid w:val="00FB1ACD"/>
    <w:rsid w:val="00FB3268"/>
    <w:rsid w:val="00FB3541"/>
    <w:rsid w:val="00FB386A"/>
    <w:rsid w:val="00FB41EE"/>
    <w:rsid w:val="00FB4B74"/>
    <w:rsid w:val="00FB6126"/>
    <w:rsid w:val="00FB6F9A"/>
    <w:rsid w:val="00FC0786"/>
    <w:rsid w:val="00FC49EF"/>
    <w:rsid w:val="00FE36E2"/>
    <w:rsid w:val="00FE6D33"/>
    <w:rsid w:val="00FF11AD"/>
    <w:rsid w:val="00FF27FB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B1BDA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Listapunktowana">
    <w:name w:val="List Bullet"/>
    <w:basedOn w:val="Normalny"/>
    <w:uiPriority w:val="99"/>
    <w:unhideWhenUsed/>
    <w:rsid w:val="008279FE"/>
    <w:pPr>
      <w:numPr>
        <w:numId w:val="37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71F0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77DDB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88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rkm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0BD5-1BB9-4F07-82B5-D70E393C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10986</Words>
  <Characters>65737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76570</CharactersWithSpaces>
  <SharedDoc>false</SharedDoc>
  <HLinks>
    <vt:vector size="6" baseType="variant"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mailto:dep-ns@mz.gov.pl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2021-04-30T10:43:00Z</dcterms:created>
  <dcterms:modified xsi:type="dcterms:W3CDTF">2021-04-30T10:43:00Z</dcterms:modified>
</cp:coreProperties>
</file>