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523C4B" w:rsidP="003E2302">
      <w:pPr>
        <w:pStyle w:val="OZNPROJEKTUwskazaniedatylubwersjiprojektu"/>
      </w:pPr>
      <w:r>
        <w:t xml:space="preserve">Projekt z dnia </w:t>
      </w:r>
      <w:r w:rsidR="00EE09CE">
        <w:t>30</w:t>
      </w:r>
      <w:r>
        <w:t xml:space="preserve"> </w:t>
      </w:r>
      <w:r w:rsidR="002B0797">
        <w:t>kwietnia</w:t>
      </w:r>
      <w:r>
        <w:t xml:space="preserve"> 202</w:t>
      </w:r>
      <w:r w:rsidR="00B90661">
        <w:t>1</w:t>
      </w:r>
      <w:r>
        <w:t xml:space="preserve"> r.</w:t>
      </w:r>
    </w:p>
    <w:p w:rsidR="0035329F" w:rsidP="0035329F">
      <w:pPr>
        <w:pStyle w:val="OZNRODZAKTUtznustawalubrozporzdzenieiorganwydajcy"/>
      </w:pPr>
    </w:p>
    <w:p w:rsidR="00B62E3D" w:rsidRPr="00B62E3D" w:rsidP="00B62E3D">
      <w:pPr>
        <w:pStyle w:val="DATAAKTUdatauchwalenialubwydaniaaktu"/>
      </w:pPr>
    </w:p>
    <w:p w:rsidR="004067BD" w:rsidRPr="004067BD" w:rsidP="004067BD">
      <w:pPr>
        <w:pStyle w:val="OZNRODZAKTUtznustawalubrozporzdzenieiorganwydajcy"/>
      </w:pPr>
      <w:r w:rsidRPr="004067BD">
        <w:t>ROZPORZĄDZENIE</w:t>
      </w:r>
    </w:p>
    <w:p w:rsidR="004067BD" w:rsidRPr="00A56282" w:rsidP="004067BD">
      <w:pPr>
        <w:pStyle w:val="OZNRODZAKTUtznustawalubrozporzdzenieiorganwydajcy"/>
        <w:rPr>
          <w:rStyle w:val="IGindeksgrny"/>
        </w:rPr>
      </w:pPr>
      <w:r w:rsidRPr="004067BD">
        <w:t>MINISTRA ZDROWIA</w:t>
      </w:r>
      <w:r>
        <w:rPr>
          <w:rStyle w:val="IGindeksgrny"/>
        </w:rPr>
        <w:footnoteReference w:id="2"/>
      </w:r>
      <w:r w:rsidRPr="00A56282">
        <w:rPr>
          <w:rStyle w:val="IGindeksgrny"/>
        </w:rPr>
        <w:t>)</w:t>
      </w:r>
    </w:p>
    <w:p w:rsidR="004067BD" w:rsidRPr="004067BD" w:rsidP="004067BD">
      <w:pPr>
        <w:pStyle w:val="DATAAKTUdatauchwalenialubwydaniaaktu"/>
      </w:pPr>
      <w:r w:rsidRPr="004067BD">
        <w:t xml:space="preserve">z dnia </w:t>
      </w:r>
      <w:r w:rsidR="00834E3B">
        <w:t xml:space="preserve">…….. </w:t>
      </w:r>
      <w:r w:rsidRPr="004067BD">
        <w:t>20</w:t>
      </w:r>
      <w:r w:rsidR="00A56282">
        <w:t>2</w:t>
      </w:r>
      <w:r w:rsidR="00B90661">
        <w:t>1</w:t>
      </w:r>
      <w:r w:rsidRPr="004067BD">
        <w:t xml:space="preserve"> r.</w:t>
      </w:r>
    </w:p>
    <w:p w:rsidR="00644BC3" w:rsidP="00644BC3">
      <w:pPr>
        <w:pStyle w:val="TYTUAKTUprzedmiotregulacjiustawylubrozporzdzenia"/>
      </w:pPr>
      <w:bookmarkStart w:id="0" w:name="_Hlk52546166"/>
      <w:r>
        <w:t>zmieniające rozporządzenie w sprawie recept</w:t>
      </w:r>
    </w:p>
    <w:p w:rsidR="000A532B" w:rsidRPr="000A532B" w:rsidP="000A532B">
      <w:pPr>
        <w:pStyle w:val="NIEARTTEKSTtekstnieartykuowanynppodstprawnarozplubpreambua"/>
      </w:pPr>
      <w:r w:rsidRPr="000A532B">
        <w:t xml:space="preserve">Na podstawie art. </w:t>
      </w:r>
      <w:r w:rsidR="006D55B7">
        <w:t>96a</w:t>
      </w:r>
      <w:r w:rsidRPr="000A532B">
        <w:t xml:space="preserve"> ust. </w:t>
      </w:r>
      <w:r w:rsidR="006D55B7">
        <w:t>1</w:t>
      </w:r>
      <w:r w:rsidRPr="000A532B">
        <w:t>2 ustawy z dnia 6 września 2001 r. – Prawo farmaceutyczne (Dz. U. z 2020 r. poz. 944</w:t>
      </w:r>
      <w:r w:rsidR="00FF097E">
        <w:t>,</w:t>
      </w:r>
      <w:r w:rsidR="007220EC">
        <w:t xml:space="preserve"> 1493 i 2112</w:t>
      </w:r>
      <w:r w:rsidR="00FF097E">
        <w:t xml:space="preserve"> </w:t>
      </w:r>
      <w:r w:rsidR="007220EC">
        <w:t>oraz z 2021 r. poz. 97</w:t>
      </w:r>
      <w:r w:rsidRPr="000A532B">
        <w:t>) zarządza się, co następuje:</w:t>
      </w:r>
    </w:p>
    <w:p w:rsidR="00AE3E5F" w:rsidP="00FF097E">
      <w:pPr>
        <w:pStyle w:val="ARTartustawynprozporzdzenia"/>
      </w:pPr>
      <w:r w:rsidRPr="00FF097E">
        <w:rPr>
          <w:b/>
        </w:rPr>
        <w:t>§ 1.</w:t>
      </w:r>
      <w:bookmarkEnd w:id="0"/>
      <w:r w:rsidR="007220EC">
        <w:rPr>
          <w:b/>
        </w:rPr>
        <w:t xml:space="preserve"> </w:t>
      </w:r>
      <w:r w:rsidR="006D55B7">
        <w:t>W rozporządzeniu Ministra Zdrowia z dnia 23 grudnia 2020 r. w sprawie recept</w:t>
      </w:r>
      <w:r w:rsidR="00FF097E">
        <w:t xml:space="preserve"> (Dz. U. poz. 2424) </w:t>
      </w:r>
      <w:r>
        <w:t>wprowadza się następujące zmiany:</w:t>
      </w:r>
    </w:p>
    <w:p w:rsidR="00AE3E5F" w:rsidP="007220EC">
      <w:pPr>
        <w:pStyle w:val="PKTpunkt"/>
      </w:pPr>
      <w:r>
        <w:t>1)</w:t>
      </w:r>
      <w:r>
        <w:tab/>
      </w:r>
      <w:r>
        <w:t xml:space="preserve">w </w:t>
      </w:r>
      <w:r w:rsidRPr="00FF097E">
        <w:t>§</w:t>
      </w:r>
      <w:r>
        <w:t xml:space="preserve"> 2 w ust. 2 </w:t>
      </w:r>
      <w:r w:rsidRPr="007220EC">
        <w:t>pkt</w:t>
      </w:r>
      <w:r>
        <w:t xml:space="preserve"> 2 otrzymuje brzmienie:</w:t>
      </w:r>
    </w:p>
    <w:p w:rsidR="00AE3E5F" w:rsidRPr="00172330" w:rsidP="007220EC">
      <w:pPr>
        <w:pStyle w:val="ZPKTzmpktartykuempunktem"/>
      </w:pPr>
      <w:r>
        <w:t>„2)</w:t>
      </w:r>
      <w:r w:rsidR="007220EC">
        <w:tab/>
      </w:r>
      <w:r w:rsidRPr="007220EC">
        <w:t>sposobie</w:t>
      </w:r>
      <w:r>
        <w:t xml:space="preserve"> dawkowania, rozumie się przez to informację o liczbie jednostek dawkowania i częstotliwości ich stosowania</w:t>
      </w:r>
      <w:r w:rsidR="007220EC">
        <w:t>.</w:t>
      </w:r>
      <w:r>
        <w:t>”</w:t>
      </w:r>
      <w:r w:rsidR="00E26FFD">
        <w:t>;</w:t>
      </w:r>
    </w:p>
    <w:p w:rsidR="00F230B8" w:rsidP="007220EC">
      <w:pPr>
        <w:pStyle w:val="PKTpunkt"/>
      </w:pPr>
      <w:r>
        <w:t>2)</w:t>
      </w:r>
      <w:r>
        <w:tab/>
      </w:r>
      <w:r w:rsidR="00AE3E5F">
        <w:t xml:space="preserve">w </w:t>
      </w:r>
      <w:r w:rsidRPr="00FF097E" w:rsidR="00AE3E5F">
        <w:t>§</w:t>
      </w:r>
      <w:r w:rsidR="00AE3E5F">
        <w:t xml:space="preserve"> 8</w:t>
      </w:r>
      <w:r w:rsidR="00E26FFD">
        <w:t xml:space="preserve"> </w:t>
      </w:r>
      <w:r>
        <w:t xml:space="preserve">w </w:t>
      </w:r>
      <w:r w:rsidR="00E26FFD">
        <w:t>ust. 1</w:t>
      </w:r>
      <w:bookmarkStart w:id="1" w:name="highlightHit_105"/>
      <w:bookmarkEnd w:id="1"/>
      <w:r>
        <w:t>:</w:t>
      </w:r>
    </w:p>
    <w:p w:rsidR="00AE3E5F" w:rsidP="00F230B8">
      <w:pPr>
        <w:pStyle w:val="LITlitera"/>
        <w:numPr>
          <w:ilvl w:val="0"/>
          <w:numId w:val="34"/>
        </w:numPr>
      </w:pPr>
      <w:r>
        <w:t xml:space="preserve">pkt </w:t>
      </w:r>
      <w:r>
        <w:t>4 otrzymuje brzmienie:</w:t>
      </w:r>
    </w:p>
    <w:p w:rsidR="001133C4" w:rsidP="007220EC">
      <w:pPr>
        <w:pStyle w:val="ZLITPKTzmpktliter"/>
      </w:pPr>
      <w:r>
        <w:t>„</w:t>
      </w:r>
      <w:r>
        <w:t>4)</w:t>
      </w:r>
      <w:r>
        <w:tab/>
      </w:r>
      <w:r w:rsidRPr="00CF4859">
        <w:t>sposób dawkowania</w:t>
      </w:r>
      <w:r w:rsidR="00695B18">
        <w:t xml:space="preserve"> (</w:t>
      </w:r>
      <w:r w:rsidR="00A27937">
        <w:t xml:space="preserve">a </w:t>
      </w:r>
      <w:r w:rsidR="002D2706">
        <w:t xml:space="preserve">w </w:t>
      </w:r>
      <w:r w:rsidR="00A27937">
        <w:t xml:space="preserve">przypadku wyrobów medycznych i środków spożywczych specjalnego przeznaczenia żywieniowego </w:t>
      </w:r>
      <w:r w:rsidR="00695B18">
        <w:t xml:space="preserve">– </w:t>
      </w:r>
      <w:r w:rsidR="00A27937">
        <w:t>sposób stosowania</w:t>
      </w:r>
      <w:r w:rsidR="00695B18">
        <w:t>)</w:t>
      </w:r>
      <w:r w:rsidRPr="00CF4859">
        <w:t xml:space="preserve"> – osoba wydająca wydaje maksymalnie taką ilość produktu leczniczego,</w:t>
      </w:r>
      <w:r>
        <w:t xml:space="preserve"> </w:t>
      </w:r>
      <w:r w:rsidRPr="00CF4859">
        <w:t>środka spożywczego specjalnego przeznaczenia żywieniowego lub wyrobu medycznego, która</w:t>
      </w:r>
      <w:r>
        <w:t>:</w:t>
      </w:r>
    </w:p>
    <w:p w:rsidR="007220EC" w:rsidP="007220EC">
      <w:pPr>
        <w:pStyle w:val="ZLITLITwPKTzmlitwpktliter"/>
      </w:pPr>
      <w:r>
        <w:t>a)</w:t>
      </w:r>
      <w:r>
        <w:tab/>
      </w:r>
      <w:r w:rsidR="001133C4">
        <w:t xml:space="preserve">w przypadku gdy ten produkt leczniczy, środek spożywczy specjalnego przeznaczenia żywieniowego lub wyrób medyczny podlega refundacji – </w:t>
      </w:r>
      <w:r w:rsidRPr="00CF4859" w:rsidR="001133C4">
        <w:t>nie jest większa od ilości zawartej w dwóch najmniejszych opakowaniach tego produktu, środka lub wyrobu, określonych w wykazie dla tego produktu, środka lub wyrobu</w:t>
      </w:r>
      <w:r w:rsidR="001133C4">
        <w:t xml:space="preserve">, a w przypadku leku recepturowego </w:t>
      </w:r>
      <w:r w:rsidR="001133C4">
        <w:t xml:space="preserve">maksymalnie podwójną ilości leku, o której mowa w przepisach wydanych na podstawie art. 6 ust. 10 ustawy o refundacji, </w:t>
      </w:r>
    </w:p>
    <w:p w:rsidR="00E26FFD" w:rsidP="007220EC">
      <w:pPr>
        <w:pStyle w:val="ZLITLITwPKTzmlitwpktliter"/>
      </w:pPr>
      <w:r>
        <w:t>b)</w:t>
      </w:r>
      <w:r>
        <w:tab/>
      </w:r>
      <w:r w:rsidR="001133C4">
        <w:t xml:space="preserve">w przypadku gdy ten produkt leczniczy, środek spożywczy specjalnego przeznaczenia żywieniowego lub wyrób medyczny nie podlega refundacji </w:t>
      </w:r>
      <w:r w:rsidRPr="00CF4859" w:rsidR="001133C4">
        <w:t xml:space="preserve">– </w:t>
      </w:r>
      <w:r w:rsidR="001133C4">
        <w:t>jest</w:t>
      </w:r>
      <w:r w:rsidRPr="00CF4859" w:rsidR="001133C4">
        <w:t xml:space="preserve"> nie większ</w:t>
      </w:r>
      <w:r w:rsidR="00A27937">
        <w:t>a</w:t>
      </w:r>
      <w:r w:rsidRPr="00CF4859" w:rsidR="001133C4">
        <w:t xml:space="preserve"> niż ilość zawarta w dwóch najmniejszych opakowaniach </w:t>
      </w:r>
      <w:r w:rsidR="001133C4">
        <w:t xml:space="preserve">dostępnych w obrocie </w:t>
      </w:r>
      <w:r w:rsidRPr="00CF4859" w:rsidR="001133C4">
        <w:t xml:space="preserve">na terytorium Rzeczypospolitej Polskiej </w:t>
      </w:r>
    </w:p>
    <w:p w:rsidR="001133C4" w:rsidRPr="00CF4859" w:rsidP="00B62E3D">
      <w:pPr>
        <w:pStyle w:val="ZLITCZWSPLITwPKTzmczciwsplitwpktliter"/>
      </w:pPr>
      <w:r>
        <w:t xml:space="preserve">– </w:t>
      </w:r>
      <w:r w:rsidRPr="00CF4859">
        <w:t>z wyłączeniem:</w:t>
      </w:r>
    </w:p>
    <w:p w:rsidR="001133C4" w:rsidRPr="00B62E3D" w:rsidP="00B62E3D">
      <w:pPr>
        <w:pStyle w:val="ZLITTIRwPKTzmtirwpktliter"/>
      </w:pPr>
      <w:r w:rsidRPr="00B62E3D">
        <w:t>–</w:t>
      </w:r>
      <w:r w:rsidRPr="00B62E3D">
        <w:tab/>
        <w:t xml:space="preserve">przypadku, w którym sposób dawkowania musi być wpisany zgodnie z ustawą o przeciwdziałaniu narkomanii, </w:t>
      </w:r>
    </w:p>
    <w:p w:rsidR="00AE3E5F" w:rsidRPr="00B62E3D" w:rsidP="00B62E3D">
      <w:pPr>
        <w:pStyle w:val="ZLITTIRwPKTzmtirwpktliter"/>
      </w:pPr>
      <w:r w:rsidRPr="00B62E3D">
        <w:t>–</w:t>
      </w:r>
      <w:r w:rsidRPr="00B62E3D">
        <w:tab/>
        <w:t>leku recepturowego do stosowania zewnętrznego na skórę, w przypadku którego realizacja recepty jest możliwa, jeżeli osoba wystawiająca określiła na tej recepcie częstotliwość stosowania;</w:t>
      </w:r>
      <w:r w:rsidRPr="00B62E3D">
        <w:t>”</w:t>
      </w:r>
      <w:r w:rsidR="004630EF">
        <w:t>,</w:t>
      </w:r>
    </w:p>
    <w:p w:rsidR="00FF097E" w:rsidRPr="00FF097E" w:rsidP="00B62E3D">
      <w:pPr>
        <w:pStyle w:val="LITlitera"/>
      </w:pPr>
      <w:r>
        <w:t>b)</w:t>
      </w:r>
      <w:r>
        <w:tab/>
      </w:r>
      <w:r w:rsidR="00AE3E5F">
        <w:t xml:space="preserve">w </w:t>
      </w:r>
      <w:r>
        <w:t>pkt 8 lit. c otrzymuje brzmienie:</w:t>
      </w:r>
    </w:p>
    <w:p w:rsidR="00FF097E" w:rsidP="00B62E3D">
      <w:pPr>
        <w:pStyle w:val="ZLITLITzmlitliter"/>
      </w:pPr>
      <w:r w:rsidRPr="00F230B8">
        <w:t>„c)</w:t>
      </w:r>
      <w:r w:rsidRPr="00F230B8">
        <w:tab/>
        <w:t>w przypadku gdy recepta zawiera kod uprawnień dodatkowych pacjenta, osoba wydająca wydaje produkt leczniczy, środek spożywczy specjalnego przeznaczenia żywieniowego lub wyrób medyczny za odpłatnością wynikającą z określonego przez nią uprawnienia dodatkowego pacjenta</w:t>
      </w:r>
      <w:r w:rsidRPr="00F230B8" w:rsidR="00E26FFD">
        <w:t xml:space="preserve">, </w:t>
      </w:r>
      <w:r w:rsidRPr="00F230B8" w:rsidR="00364BD3">
        <w:t xml:space="preserve">przy </w:t>
      </w:r>
      <w:r w:rsidRPr="00F230B8" w:rsidR="00295DD9">
        <w:t xml:space="preserve">czym w drodze odstępstwa </w:t>
      </w:r>
      <w:r w:rsidRPr="00F230B8" w:rsidR="00E26FFD">
        <w:t>jeżeli kod uprawnienia dodatkowego występuje w zbiegu z oznaczeniem „X” albo „100%” dotyczącym odpłatności, osoba wydająca realizuje receptę zgodnie z tym oznaczeniem</w:t>
      </w:r>
      <w:r w:rsidRPr="00F230B8" w:rsidR="00364BD3">
        <w:t xml:space="preserve"> (pełnopłatnie)</w:t>
      </w:r>
      <w:r w:rsidRPr="00F230B8" w:rsidR="00E26FFD">
        <w:t>, z wyjątkiem przypadku, kiedy oznaczenie to występuje w zbiegu</w:t>
      </w:r>
      <w:r w:rsidRPr="00F230B8" w:rsidR="00364BD3">
        <w:t xml:space="preserve"> z kodem uprawnienia dodatkowego, o którym mowa w lp. 2 albo 9 załącznika nr 1 albo w lp. 6</w:t>
      </w:r>
      <w:r w:rsidRPr="00F230B8" w:rsidR="005A21E3">
        <w:t xml:space="preserve"> tego załącznika, jeżeli na recepcie</w:t>
      </w:r>
      <w:r w:rsidRPr="00F230B8" w:rsidR="00364BD3">
        <w:t xml:space="preserve"> przepis</w:t>
      </w:r>
      <w:r w:rsidRPr="00F230B8" w:rsidR="005A21E3">
        <w:t>ano</w:t>
      </w:r>
      <w:r w:rsidRPr="00F230B8" w:rsidR="00364BD3">
        <w:t xml:space="preserve"> lek określon</w:t>
      </w:r>
      <w:r w:rsidRPr="00F230B8" w:rsidR="005A21E3">
        <w:t>y</w:t>
      </w:r>
      <w:r w:rsidRPr="00F230B8" w:rsidR="00364BD3">
        <w:t xml:space="preserve"> w przepisach wydanych na podstawie art. 43 ust. </w:t>
      </w:r>
      <w:r w:rsidRPr="00F230B8" w:rsidR="005A21E3">
        <w:t>4 ustawy o świadczeniach</w:t>
      </w:r>
      <w:r w:rsidRPr="00F230B8" w:rsidR="00364BD3">
        <w:t xml:space="preserve"> </w:t>
      </w:r>
      <w:r w:rsidRPr="00F230B8" w:rsidR="005A21E3">
        <w:t>– w takiej sytuacji recepta realizowana jest zgodnie z uprawnieniem reprezentowanym przez ten kod.”</w:t>
      </w:r>
      <w:r w:rsidR="004630EF">
        <w:t>;</w:t>
      </w:r>
    </w:p>
    <w:p w:rsidR="005A21E3" w:rsidP="00B62E3D">
      <w:pPr>
        <w:pStyle w:val="PKTpunkt"/>
      </w:pPr>
      <w:r>
        <w:t>3)</w:t>
      </w:r>
      <w:r>
        <w:tab/>
      </w:r>
      <w:r>
        <w:t xml:space="preserve">w </w:t>
      </w:r>
      <w:r w:rsidRPr="00FF097E">
        <w:t>§</w:t>
      </w:r>
      <w:r>
        <w:t xml:space="preserve"> 15 w ust. 1 pkt 8 otrzymuje brzmienie:</w:t>
      </w:r>
    </w:p>
    <w:p w:rsidR="00A16956" w:rsidP="00B62E3D">
      <w:pPr>
        <w:pStyle w:val="ZPKTzmpktartykuempunktem"/>
      </w:pPr>
      <w:r>
        <w:t>„8)</w:t>
      </w:r>
      <w:r w:rsidR="00B62E3D">
        <w:tab/>
      </w:r>
      <w:r w:rsidRPr="00B4762A">
        <w:t xml:space="preserve">dane osoby wystawiającej receptę określone w art. 96a ust. 1 pkt. </w:t>
      </w:r>
      <w:r w:rsidRPr="00E841A9">
        <w:t>3</w:t>
      </w:r>
      <w:r w:rsidRPr="00E841A9" w:rsidR="00850FD9">
        <w:t xml:space="preserve"> lit. a, b i d</w:t>
      </w:r>
      <w:r w:rsidRPr="00E841A9">
        <w:t xml:space="preserve"> </w:t>
      </w:r>
      <w:r w:rsidRPr="00B4762A">
        <w:t>ustawy – Prawo farmaceutyczne w formie nadruku lub pieczęci i podpis osoby wystawiającej receptę.</w:t>
      </w:r>
      <w:r w:rsidR="00850FD9">
        <w:t>”</w:t>
      </w:r>
      <w:r>
        <w:t>;</w:t>
      </w:r>
    </w:p>
    <w:p w:rsidR="005A21E3" w:rsidP="00B62E3D">
      <w:pPr>
        <w:pStyle w:val="PKTpunkt"/>
      </w:pPr>
      <w:r>
        <w:t>4)</w:t>
      </w:r>
      <w:r>
        <w:tab/>
      </w:r>
      <w:r w:rsidR="00A16956">
        <w:t xml:space="preserve">w załączniku nr 3 </w:t>
      </w:r>
      <w:r>
        <w:t xml:space="preserve">do rozporządzenia </w:t>
      </w:r>
      <w:r w:rsidR="00A16956">
        <w:t xml:space="preserve">w pkt 4 </w:t>
      </w:r>
      <w:r w:rsidR="00E841A9">
        <w:t>w lit. d średnik zastępuje się przecinkiem i dodaje się lit. e w brzmieniu:</w:t>
      </w:r>
    </w:p>
    <w:p w:rsidR="00E841A9" w:rsidRPr="00B4762A" w:rsidP="00B62E3D">
      <w:pPr>
        <w:pStyle w:val="ZLITzmlitartykuempunktem"/>
      </w:pPr>
      <w:r w:rsidRPr="00252507">
        <w:t>„e)</w:t>
      </w:r>
      <w:r>
        <w:tab/>
      </w:r>
      <w:r w:rsidRPr="00252507">
        <w:t>„7” – dla recept na leki posiadające kategorię dostępności „Rp” zawierające środki odurzające lub substancje psychotropowe, o których mowa w ustawie o przeciwdziałaniu narkomanii, nie podlegające refundacji</w:t>
      </w:r>
      <w:r>
        <w:t>;</w:t>
      </w:r>
      <w:r w:rsidRPr="00252507">
        <w:t>”.</w:t>
      </w:r>
    </w:p>
    <w:p w:rsidR="00E93F90" w:rsidRPr="00E571B4" w:rsidP="00B62E3D">
      <w:pPr>
        <w:pStyle w:val="ARTartustawynprozporzdzenia"/>
      </w:pPr>
      <w:r w:rsidRPr="00E858B2">
        <w:rPr>
          <w:rStyle w:val="Ppogrubienie"/>
        </w:rPr>
        <w:t xml:space="preserve">§ </w:t>
      </w:r>
      <w:r w:rsidR="00EF2438">
        <w:rPr>
          <w:rStyle w:val="Ppogrubienie"/>
        </w:rPr>
        <w:t>2</w:t>
      </w:r>
      <w:r w:rsidR="00596158">
        <w:rPr>
          <w:rStyle w:val="Ppogrubienie"/>
        </w:rPr>
        <w:t>.</w:t>
      </w:r>
      <w:r w:rsidR="00B62E3D">
        <w:rPr>
          <w:rStyle w:val="Ppogrubienie"/>
        </w:rPr>
        <w:t xml:space="preserve"> </w:t>
      </w:r>
      <w:r w:rsidRPr="00E858B2">
        <w:t xml:space="preserve">Rozporządzenie </w:t>
      </w:r>
      <w:r w:rsidRPr="00B62E3D">
        <w:t>wchodzi</w:t>
      </w:r>
      <w:r w:rsidRPr="00E858B2">
        <w:t xml:space="preserve"> w życie </w:t>
      </w:r>
      <w:r w:rsidR="00F230B8">
        <w:t>z dniem 1 lipca 2021 r</w:t>
      </w:r>
      <w:r w:rsidR="006D55B7">
        <w:t>.</w:t>
      </w:r>
    </w:p>
    <w:p w:rsidR="00CF4859" w:rsidRPr="00CF4859" w:rsidP="00CF4859">
      <w:pPr>
        <w:pStyle w:val="ARTartustawynprozporzdzenia"/>
      </w:pPr>
    </w:p>
    <w:p w:rsidR="00CB0F20" w:rsidP="003235C2">
      <w:pPr>
        <w:pStyle w:val="NAZORGWYDnazwaorganuwydajcegoprojektowanyakt"/>
      </w:pPr>
      <w:r w:rsidRPr="007E0A36">
        <w:t>minister zdrowia</w:t>
      </w:r>
    </w:p>
    <w:p w:rsidR="00B62E3D" w:rsidRPr="00BD13D3" w:rsidP="00B62E3D">
      <w:pPr>
        <w:pStyle w:val="NIEARTTEKSTtekstnieartykuowanynppodstprawnarozplubpreambua"/>
        <w:rPr>
          <w:rStyle w:val="Kkursywa"/>
        </w:rPr>
      </w:pPr>
    </w:p>
    <w:p w:rsidR="00B62E3D" w:rsidRPr="00BD13D3" w:rsidP="00B62E3D">
      <w:pPr>
        <w:pStyle w:val="NOTATKILEGISLATORA"/>
      </w:pPr>
      <w:bookmarkStart w:id="2" w:name="EZDPracownikAtrybut2"/>
      <w:r w:rsidRPr="00BD13D3">
        <w:t>ZA ZGODNOŚĆ POD WZGLĘDEM PRAWNYM, LEGISLACYJNYM I REDAKCYJNYM</w:t>
      </w:r>
      <w:bookmarkEnd w:id="2"/>
    </w:p>
    <w:p w:rsidR="00B62E3D" w:rsidRPr="00BD13D3" w:rsidP="00B62E3D">
      <w:pPr>
        <w:pStyle w:val="USTustnpkodeksu"/>
      </w:pPr>
      <w:bookmarkStart w:id="3" w:name="EZDPracownikNazwa"/>
      <w:r w:rsidRPr="00BD13D3">
        <w:t>Damian Jakubik</w:t>
      </w:r>
      <w:bookmarkEnd w:id="3"/>
    </w:p>
    <w:p w:rsidR="00B62E3D" w:rsidRPr="00BD13D3" w:rsidP="00B62E3D">
      <w:pPr>
        <w:pStyle w:val="USTustnpkodeksu"/>
      </w:pPr>
      <w:bookmarkStart w:id="4" w:name="EZDPracownikStanowisko"/>
      <w:r w:rsidRPr="00BD13D3">
        <w:t>Dyrektor</w:t>
      </w:r>
      <w:bookmarkEnd w:id="4"/>
    </w:p>
    <w:p w:rsidR="00B62E3D" w:rsidRPr="00BD13D3" w:rsidP="00B62E3D">
      <w:pPr>
        <w:pStyle w:val="USTustnpkodeksu"/>
      </w:pPr>
      <w:bookmarkStart w:id="5" w:name="EZDPracownikAtrybut3"/>
      <w:r w:rsidRPr="00BD13D3">
        <w:t>Departamentu Prawnego Ministerstwa Zdrowia</w:t>
      </w:r>
      <w:bookmarkEnd w:id="5"/>
    </w:p>
    <w:p w:rsidR="00B62E3D" w:rsidRPr="00BD13D3" w:rsidP="00B62E3D">
      <w:pPr>
        <w:pStyle w:val="NOTATKILEGISLATORA"/>
      </w:pPr>
      <w:bookmarkStart w:id="6" w:name="EZDPracownikAtrybut4"/>
      <w:r w:rsidRPr="00BD13D3">
        <w:t>/podpisano kwalifikowanym podpisem elektronicznym/</w:t>
      </w:r>
      <w:bookmarkEnd w:id="6"/>
    </w:p>
    <w:p w:rsidR="00B62E3D" w:rsidRPr="00BD13D3" w:rsidP="00B62E3D">
      <w:pPr>
        <w:pStyle w:val="NIEARTTEKSTtekstnieartykuowanynppodstprawnarozplubpreambua"/>
      </w:pPr>
    </w:p>
    <w:p w:rsidR="00B62E3D" w:rsidP="00B62E3D">
      <w:pPr>
        <w:pStyle w:val="NOTATKILEGISLATORA"/>
      </w:pPr>
    </w:p>
    <w:p w:rsidR="00B62E3D" w:rsidRPr="00BD13D3" w:rsidP="00B62E3D">
      <w:pPr>
        <w:pStyle w:val="NOTATKILEGISLATORA"/>
      </w:pPr>
    </w:p>
    <w:p w:rsidR="00CB0F20">
      <w:pPr>
        <w:widowControl/>
        <w:autoSpaceDE/>
        <w:autoSpaceDN/>
        <w:adjustRightInd/>
        <w:rPr>
          <w:rFonts w:ascii="Times" w:eastAsia="Times New Roman" w:hAnsi="Times" w:cs="Times New Roman"/>
          <w:b/>
          <w:bCs/>
          <w:caps/>
          <w:kern w:val="24"/>
          <w:szCs w:val="24"/>
        </w:rPr>
      </w:pPr>
      <w:r>
        <w:br w:type="page"/>
      </w:r>
    </w:p>
    <w:p w:rsidR="00CB0F20" w:rsidP="00CB0F20">
      <w:pPr>
        <w:pStyle w:val="ROZDZODDZPRZEDMprzedmiotregulacjirozdziauluboddziau"/>
      </w:pPr>
      <w:r>
        <w:t>UZASADNIENIE</w:t>
      </w:r>
    </w:p>
    <w:p w:rsidR="004067BD" w:rsidRPr="00CB0F20" w:rsidP="005E6B4D">
      <w:pPr>
        <w:pStyle w:val="NIEARTTEKSTtekstnieartykuowanynppodstprawnarozplubpreambua"/>
        <w:ind w:firstLine="0"/>
      </w:pPr>
      <w:r w:rsidRPr="00CB0F20">
        <w:t xml:space="preserve">Projektowane rozporządzenie stanowi wykonanie upoważnienia ustawowego zawartego w art. </w:t>
      </w:r>
      <w:r w:rsidR="0059686C">
        <w:t>96a</w:t>
      </w:r>
      <w:r w:rsidRPr="00CB0F20">
        <w:t xml:space="preserve"> ust. </w:t>
      </w:r>
      <w:r w:rsidR="0059686C">
        <w:t>1</w:t>
      </w:r>
      <w:r w:rsidRPr="00CB0F20">
        <w:t>2 ustawy z dnia 6 września 2001 r. – Prawo farmaceutyczne (Dz. U. z 2020 r. poz. 944</w:t>
      </w:r>
      <w:r w:rsidR="0059686C">
        <w:t xml:space="preserve">, </w:t>
      </w:r>
      <w:r w:rsidR="00A676CE">
        <w:t>z późn. zm.</w:t>
      </w:r>
      <w:r w:rsidRPr="00CB0F20">
        <w:t>)</w:t>
      </w:r>
      <w:r w:rsidR="00846D41">
        <w:t>, zwanej dalej „ustawą”</w:t>
      </w:r>
      <w:r w:rsidRPr="00CB0F20">
        <w:t>.</w:t>
      </w:r>
    </w:p>
    <w:p w:rsidR="001555F4" w:rsidP="005E6B4D">
      <w:pPr>
        <w:pStyle w:val="NIEARTTEKSTtekstnieartykuowanynppodstprawnarozplubpreambua"/>
        <w:ind w:firstLine="0"/>
      </w:pPr>
      <w:r>
        <w:t>P</w:t>
      </w:r>
      <w:r w:rsidR="0059686C">
        <w:t>rojekt</w:t>
      </w:r>
      <w:r>
        <w:t xml:space="preserve"> rozporządzenia zmieniający </w:t>
      </w:r>
      <w:r w:rsidR="0059686C">
        <w:t>rozporządzeni</w:t>
      </w:r>
      <w:r>
        <w:t>e</w:t>
      </w:r>
      <w:r w:rsidR="0059686C">
        <w:t xml:space="preserve"> Ministra Zdrowia z dnia 23 grudnia 2020 r. w sprawie recept (Dz. U. poz. 2424), zwan</w:t>
      </w:r>
      <w:r w:rsidR="00D449AD">
        <w:t>e</w:t>
      </w:r>
      <w:r w:rsidR="0059686C">
        <w:t xml:space="preserve"> dalej „</w:t>
      </w:r>
      <w:r w:rsidR="00570B95">
        <w:t xml:space="preserve">zmienianym </w:t>
      </w:r>
      <w:r w:rsidR="0059686C">
        <w:t>rozporządzeniem”</w:t>
      </w:r>
      <w:r>
        <w:t xml:space="preserve">, dotyczy wprowadzenia postanowień mających na celu uproszczenie procedur związanych realizacją recept, w tym przywrócenia rozwiązań stosowanych w tym zakresie przed dniem wejścia </w:t>
      </w:r>
      <w:r>
        <w:br/>
        <w:t>w życie zmienianego rozporządzenia.</w:t>
      </w:r>
      <w:r w:rsidR="004A5FD6">
        <w:t xml:space="preserve"> </w:t>
      </w:r>
    </w:p>
    <w:p w:rsidR="001555F4" w:rsidP="005E6B4D">
      <w:pPr>
        <w:pStyle w:val="USTustnpkodeksu"/>
        <w:spacing w:before="240"/>
        <w:ind w:firstLine="0"/>
      </w:pPr>
      <w:r w:rsidRPr="00F230B8">
        <w:rPr>
          <w:b/>
          <w:bCs w:val="0"/>
        </w:rPr>
        <w:t>1.</w:t>
      </w:r>
      <w:r w:rsidR="004A5FD6">
        <w:t xml:space="preserve"> </w:t>
      </w:r>
      <w:r w:rsidR="003117DD">
        <w:t>W</w:t>
      </w:r>
      <w:r w:rsidR="004A5FD6">
        <w:t xml:space="preserve"> </w:t>
      </w:r>
      <w:r w:rsidRPr="004A5FD6" w:rsidR="004A5FD6">
        <w:t>§ 2 ust. 2 pkt 2</w:t>
      </w:r>
      <w:r w:rsidR="004A5FD6">
        <w:t xml:space="preserve"> </w:t>
      </w:r>
      <w:r w:rsidR="009E5FA3">
        <w:t xml:space="preserve">zmienianego rozporządzenia </w:t>
      </w:r>
      <w:r w:rsidR="003117DD">
        <w:t xml:space="preserve">proponuje się wykreślenie sformułowania </w:t>
      </w:r>
      <w:r>
        <w:t>„w określonym czasie”</w:t>
      </w:r>
      <w:r w:rsidR="00D449AD">
        <w:t>. D</w:t>
      </w:r>
      <w:r>
        <w:t xml:space="preserve">otychczas </w:t>
      </w:r>
      <w:r w:rsidR="00D449AD">
        <w:t xml:space="preserve">przepis ten </w:t>
      </w:r>
      <w:r>
        <w:t xml:space="preserve">interpretowany </w:t>
      </w:r>
      <w:r w:rsidR="00D449AD">
        <w:t xml:space="preserve">był </w:t>
      </w:r>
      <w:r>
        <w:t xml:space="preserve">w taki sposób, że podając sposób dawkowania przez określenie liczby jednostek dawkowania </w:t>
      </w:r>
      <w:r w:rsidR="008A747C">
        <w:t>i ich stosowania z określoną częstotliwością, należy nadto podać docelowy czas kuracji</w:t>
      </w:r>
      <w:r w:rsidR="003117DD">
        <w:t xml:space="preserve">. Taka interpretacja nie jest jednak zgodna z wolą projektodawcy, bowiem w </w:t>
      </w:r>
      <w:r w:rsidR="008A747C">
        <w:t xml:space="preserve">obecnym </w:t>
      </w:r>
      <w:r w:rsidRPr="001555F4" w:rsidR="008A747C">
        <w:t>§ 2 ust. 2 pkt 2</w:t>
      </w:r>
      <w:r w:rsidR="008A747C">
        <w:t xml:space="preserve"> </w:t>
      </w:r>
      <w:r w:rsidR="00570B95">
        <w:t xml:space="preserve">zmienianego </w:t>
      </w:r>
      <w:r w:rsidR="008A747C">
        <w:t xml:space="preserve">rozporządzenia </w:t>
      </w:r>
      <w:r w:rsidR="00570B95">
        <w:t>w sformułowaniu „informacja o liczbie jednostek dawkowania i częstotliwości ich stosowania w określonym czasie”</w:t>
      </w:r>
      <w:r w:rsidR="003117DD">
        <w:t xml:space="preserve"> wyrazy </w:t>
      </w:r>
      <w:r w:rsidR="00570B95">
        <w:t>„w określonym czasie” odnosił</w:t>
      </w:r>
      <w:r w:rsidR="003117DD">
        <w:t>y</w:t>
      </w:r>
      <w:r w:rsidR="00570B95">
        <w:t xml:space="preserve"> się w istocie do częstotliwości stosowania, której miał być elementem. O ile więc np. sposób dawkowania był określony przez osobę wystawiającą receptę poprzez wskazanie stosowania dwóch jednostek dawkowania (np. dwóch tabletek) dwa razy na dobę, to okresem, o którym mowa w tym przepisie, miała być owa doba, a nie cały okres stosowania tego leku. W związku z </w:t>
      </w:r>
      <w:r w:rsidR="003117DD">
        <w:t xml:space="preserve">powyższymi </w:t>
      </w:r>
      <w:r w:rsidR="00570B95">
        <w:t xml:space="preserve">rozbieżnościami </w:t>
      </w:r>
      <w:r w:rsidR="003117DD">
        <w:t>zaproponowano ww. zmianę przepisu.</w:t>
      </w:r>
    </w:p>
    <w:p w:rsidR="0086435E" w:rsidP="005E6B4D">
      <w:pPr>
        <w:pStyle w:val="USTustnpkodeksu"/>
        <w:spacing w:before="240"/>
        <w:ind w:firstLine="0"/>
      </w:pPr>
      <w:r w:rsidRPr="00F230B8">
        <w:rPr>
          <w:b/>
          <w:bCs w:val="0"/>
        </w:rPr>
        <w:t>2.</w:t>
      </w:r>
      <w:r>
        <w:t xml:space="preserve"> </w:t>
      </w:r>
      <w:r w:rsidR="003117DD">
        <w:t xml:space="preserve">W </w:t>
      </w:r>
      <w:r w:rsidR="00BA07BF">
        <w:t xml:space="preserve">§ 8 w ust. 1 </w:t>
      </w:r>
      <w:r w:rsidR="009E5FA3">
        <w:t xml:space="preserve">zmienianego rozporządzenia </w:t>
      </w:r>
      <w:r w:rsidR="003117DD">
        <w:t xml:space="preserve">proponuje się </w:t>
      </w:r>
      <w:r w:rsidR="00BA07BF">
        <w:t xml:space="preserve">doprecyzowanie </w:t>
      </w:r>
      <w:r w:rsidR="003117DD">
        <w:t xml:space="preserve">obowiązującej </w:t>
      </w:r>
      <w:r w:rsidR="00BA07BF">
        <w:t>regulacji</w:t>
      </w:r>
      <w:r w:rsidR="003117DD">
        <w:t xml:space="preserve"> </w:t>
      </w:r>
      <w:r w:rsidR="00846D41">
        <w:t xml:space="preserve">pkt 4 </w:t>
      </w:r>
      <w:r w:rsidR="003117DD">
        <w:t>w taki sposób. że</w:t>
      </w:r>
      <w:r>
        <w:t xml:space="preserve"> w przypadku, w którym na recepcie nie wpisano, wpisano w sposób nieczytelny, błędny lub niezgodny z art. 96a ustawy</w:t>
      </w:r>
      <w:r w:rsidR="00C14F93">
        <w:t xml:space="preserve"> spos</w:t>
      </w:r>
      <w:r w:rsidR="003117DD">
        <w:t>ób</w:t>
      </w:r>
      <w:r w:rsidR="00C14F93">
        <w:t xml:space="preserve"> dawkowania dla refundowanego produktu leczniczego, wyrobu medycznego, lub środka spożywczego specjalnego przeznaczenia żywieniowego można wydać maksymalnie dwa najmniejsze opakowania tego produktu, wyrobu lub środka określone w wykazie refundacyjnym, a nie jak </w:t>
      </w:r>
      <w:r w:rsidR="003117DD">
        <w:t xml:space="preserve">obecnie </w:t>
      </w:r>
      <w:r w:rsidR="00C14F93">
        <w:t xml:space="preserve">w zmienianym rozporządzeniu – dwa najmniejsze opakowania dostępne w obrocie. </w:t>
      </w:r>
      <w:r w:rsidR="003117DD">
        <w:t xml:space="preserve">W przypadku </w:t>
      </w:r>
      <w:r w:rsidR="00F16B01">
        <w:t xml:space="preserve">innych produktów leczniczych, wyrobów medycznych lub środków specjalnego przeznaczenia żywieniowego </w:t>
      </w:r>
      <w:r w:rsidR="003117DD">
        <w:t>będzie można jak dotychczas wyda</w:t>
      </w:r>
      <w:r w:rsidR="00F16B01">
        <w:t>ć</w:t>
      </w:r>
      <w:r w:rsidR="003117DD">
        <w:t xml:space="preserve"> </w:t>
      </w:r>
      <w:r w:rsidR="00C14F93">
        <w:t xml:space="preserve">najmniejsze dwa opakowania dostępne w obrocie. </w:t>
      </w:r>
    </w:p>
    <w:p w:rsidR="0059686C" w:rsidP="005E6B4D">
      <w:pPr>
        <w:pStyle w:val="USTustnpkodeksu"/>
        <w:spacing w:before="240"/>
        <w:ind w:firstLine="0"/>
      </w:pPr>
      <w:r w:rsidRPr="00F230B8">
        <w:rPr>
          <w:b/>
          <w:bCs w:val="0"/>
        </w:rPr>
        <w:t>3.</w:t>
      </w:r>
      <w:r>
        <w:t xml:space="preserve"> </w:t>
      </w:r>
      <w:r w:rsidR="00F16B01">
        <w:t xml:space="preserve">W </w:t>
      </w:r>
      <w:r w:rsidRPr="00BA07BF" w:rsidR="00BA07BF">
        <w:t xml:space="preserve">§ 8 ust. 1 </w:t>
      </w:r>
      <w:r w:rsidR="00846D41">
        <w:t xml:space="preserve">w </w:t>
      </w:r>
      <w:r w:rsidRPr="00BA07BF" w:rsidR="00BA07BF">
        <w:t>pkt 8</w:t>
      </w:r>
      <w:r w:rsidR="00A95386">
        <w:t xml:space="preserve"> </w:t>
      </w:r>
      <w:r w:rsidRPr="009E5FA3" w:rsidR="009E5FA3">
        <w:t xml:space="preserve">zmienianego rozporządzenia </w:t>
      </w:r>
      <w:r w:rsidR="00F16B01">
        <w:t xml:space="preserve">proponuje się zmianę, której celem jest odzwierciedlenie praktyki realizacji recept, </w:t>
      </w:r>
      <w:r w:rsidR="007154CC">
        <w:t>jaka mi</w:t>
      </w:r>
      <w:r w:rsidR="00B62E3D">
        <w:t>a</w:t>
      </w:r>
      <w:r w:rsidR="007154CC">
        <w:t xml:space="preserve">ła miejsce na podstawie </w:t>
      </w:r>
      <w:r w:rsidRPr="00FF097E">
        <w:t>§</w:t>
      </w:r>
      <w:r>
        <w:t xml:space="preserve"> 10 ust. 1 pkt 8 lit. c rozporządzenia Ministra Zdrowia z dnia 13 kwietnia 2018 r. w sprawie recept (Dz. U. poz. 745, z późn. zm.).</w:t>
      </w:r>
    </w:p>
    <w:p w:rsidR="00F06756" w:rsidP="00CB0F20">
      <w:pPr>
        <w:pStyle w:val="USTustnpkodeksu"/>
        <w:ind w:firstLine="0"/>
      </w:pPr>
      <w:r>
        <w:t xml:space="preserve">W </w:t>
      </w:r>
      <w:r w:rsidR="00F16B01">
        <w:t xml:space="preserve">ww. regulacji wskazano, że </w:t>
      </w:r>
      <w:r>
        <w:t xml:space="preserve">w przypadku, </w:t>
      </w:r>
      <w:r w:rsidR="00527D72">
        <w:t>w którym</w:t>
      </w:r>
      <w:r>
        <w:t xml:space="preserve"> na recepcie nie wpisano, wpisano w sposób nieczytelny, błędny lub niezgodny z art. 96a ustawy </w:t>
      </w:r>
      <w:r w:rsidR="00527D72">
        <w:t xml:space="preserve">dane </w:t>
      </w:r>
      <w:r>
        <w:t xml:space="preserve">w zakresie wskazania odpłatności, </w:t>
      </w:r>
      <w:r w:rsidR="00527D72">
        <w:t xml:space="preserve">recepta </w:t>
      </w:r>
      <w:r>
        <w:t xml:space="preserve">może być zrealizowana, </w:t>
      </w:r>
      <w:r w:rsidR="00F16B01">
        <w:t xml:space="preserve">o ile </w:t>
      </w:r>
      <w:r>
        <w:t>podano</w:t>
      </w:r>
      <w:r w:rsidR="00527D72">
        <w:t xml:space="preserve"> na niej</w:t>
      </w:r>
      <w:r>
        <w:t xml:space="preserve"> kod uprawnienia dodatkowego</w:t>
      </w:r>
      <w:r w:rsidR="00F16B01">
        <w:t>. W</w:t>
      </w:r>
      <w:r>
        <w:t>ówczas recepta mogła być zrealizowana w sposób zgodny z dan</w:t>
      </w:r>
      <w:r w:rsidR="00527D72">
        <w:t>ym</w:t>
      </w:r>
      <w:r>
        <w:t xml:space="preserve"> uprawnieni</w:t>
      </w:r>
      <w:r w:rsidR="00527D72">
        <w:t>em</w:t>
      </w:r>
      <w:r>
        <w:t xml:space="preserve"> dodatkow</w:t>
      </w:r>
      <w:r w:rsidR="00527D72">
        <w:t>ym</w:t>
      </w:r>
      <w:r>
        <w:t xml:space="preserve"> reprezentowan</w:t>
      </w:r>
      <w:r w:rsidR="00527D72">
        <w:t>ym</w:t>
      </w:r>
      <w:r>
        <w:t xml:space="preserve"> na</w:t>
      </w:r>
      <w:r w:rsidR="00527D72">
        <w:t xml:space="preserve"> tej</w:t>
      </w:r>
      <w:r>
        <w:t xml:space="preserve"> recepcie przez stosowny kod uprawnienia dodatkowego. </w:t>
      </w:r>
    </w:p>
    <w:p w:rsidR="0059686C" w:rsidP="00CB0F20">
      <w:pPr>
        <w:pStyle w:val="USTustnpkodeksu"/>
        <w:ind w:firstLine="0"/>
      </w:pPr>
      <w:r>
        <w:t>W zmienianym rozporządzeniu w analogicznym przepisie doprecyzowano</w:t>
      </w:r>
      <w:r w:rsidR="003F3D14">
        <w:t xml:space="preserve"> –</w:t>
      </w:r>
      <w:r w:rsidR="007B0920">
        <w:t xml:space="preserve"> przez nowelizację, która weszła w życie z dniem 1 stycznia 2021 r.</w:t>
      </w:r>
      <w:r w:rsidR="003F3D14">
        <w:t xml:space="preserve"> –</w:t>
      </w:r>
      <w:r>
        <w:t xml:space="preserve"> że w sytuacji zbiegu tych oznaczeń, pod uwagę powinien być brany ww. kod i wynikające z niego uprawnienie, a nie oznaczenie „X” albo „100%”.</w:t>
      </w:r>
      <w:r w:rsidR="00311153">
        <w:t xml:space="preserve"> Było</w:t>
      </w:r>
      <w:r w:rsidR="006B2970">
        <w:t xml:space="preserve"> </w:t>
      </w:r>
      <w:r w:rsidR="00311153">
        <w:t>to podyktowane przekonaniem projektodawcy o zasadności uwzględniania w takiej sytuacj</w:t>
      </w:r>
      <w:r w:rsidR="0095443E">
        <w:t>i</w:t>
      </w:r>
      <w:r w:rsidR="00311153">
        <w:t xml:space="preserve"> opcji bardziej korzystnej dla pacjenta.</w:t>
      </w:r>
    </w:p>
    <w:p w:rsidR="008E0831" w:rsidP="008E0831">
      <w:pPr>
        <w:pStyle w:val="USTustnpkodeksu"/>
        <w:ind w:firstLine="0"/>
      </w:pPr>
      <w:r>
        <w:t xml:space="preserve">Powyżej opisane rozwiązanie zostało negatywnie ocenione przez przedstawicieli zawodu farmaceuty, w tym samorząd </w:t>
      </w:r>
      <w:r w:rsidR="00846D41">
        <w:t>zawodowy,</w:t>
      </w:r>
      <w:r>
        <w:t xml:space="preserve"> oraz </w:t>
      </w:r>
      <w:r>
        <w:t>przez Narodowy Fundusz Zdrowia</w:t>
      </w:r>
      <w:r w:rsidR="007359E5">
        <w:t xml:space="preserve"> (NFZ)</w:t>
      </w:r>
      <w:r>
        <w:t xml:space="preserve">, jako rozwiązanie, które może implikować problemy </w:t>
      </w:r>
      <w:r>
        <w:t xml:space="preserve">po stronie </w:t>
      </w:r>
      <w:r>
        <w:t>osób wystawiających i realizujących recepty</w:t>
      </w:r>
      <w:r w:rsidR="00F16B01">
        <w:t>.</w:t>
      </w:r>
      <w:r>
        <w:t xml:space="preserve"> </w:t>
      </w:r>
      <w:r w:rsidR="00F16B01">
        <w:t xml:space="preserve">Podniesiono również, że takie rozwiązanie może powodować </w:t>
      </w:r>
      <w:r>
        <w:t xml:space="preserve">większe </w:t>
      </w:r>
      <w:r w:rsidR="007359E5">
        <w:t>obciążenie finansowe</w:t>
      </w:r>
      <w:r w:rsidR="00F16B01">
        <w:t xml:space="preserve"> dla NFZ.</w:t>
      </w:r>
    </w:p>
    <w:p w:rsidR="007359E5" w:rsidP="007359E5">
      <w:pPr>
        <w:pStyle w:val="USTustnpkodeksu"/>
        <w:spacing w:before="120"/>
        <w:ind w:firstLine="0"/>
      </w:pPr>
      <w:r>
        <w:t>Mając powyższe na uwadze projektodawca pr</w:t>
      </w:r>
      <w:r w:rsidR="00F16B01">
        <w:t>oponuje przywrócenie rozwiązania obowiązującego w przepisach rozporządzenia z dnia 13 kwietnia 2018 r. w sprawie recept</w:t>
      </w:r>
      <w:r>
        <w:t xml:space="preserve">, </w:t>
      </w:r>
      <w:r w:rsidR="00F16B01">
        <w:t>zgodnie z</w:t>
      </w:r>
      <w:r>
        <w:t xml:space="preserve"> którym przy zbiegu na jednej recepcie oznaczenia kodu uprawnienia dodatkowego pacjenta oraz oznaczenia</w:t>
      </w:r>
      <w:r w:rsidR="008E0831">
        <w:t xml:space="preserve"> 100%, względnie „X”, należy realizować receptę zgodnie z tym oznaczeniem, a nie zgodnie z ww. kodem.</w:t>
      </w:r>
    </w:p>
    <w:p w:rsidR="007154CC" w:rsidP="007359E5">
      <w:pPr>
        <w:pStyle w:val="USTustnpkodeksu"/>
        <w:spacing w:before="240"/>
        <w:ind w:firstLine="0"/>
      </w:pPr>
      <w:r w:rsidRPr="00F230B8">
        <w:rPr>
          <w:b/>
          <w:bCs w:val="0"/>
        </w:rPr>
        <w:t>4.</w:t>
      </w:r>
      <w:r>
        <w:t xml:space="preserve"> </w:t>
      </w:r>
      <w:r w:rsidR="00F16B01">
        <w:t>W</w:t>
      </w:r>
      <w:r w:rsidR="001E388D">
        <w:t xml:space="preserve"> </w:t>
      </w:r>
      <w:r w:rsidRPr="001E388D" w:rsidR="001E388D">
        <w:t xml:space="preserve">§ 15 </w:t>
      </w:r>
      <w:r w:rsidR="001E388D">
        <w:t xml:space="preserve">w </w:t>
      </w:r>
      <w:r w:rsidRPr="001E388D" w:rsidR="001E388D">
        <w:t>ust. 1</w:t>
      </w:r>
      <w:r>
        <w:t xml:space="preserve"> </w:t>
      </w:r>
      <w:r w:rsidRPr="009E5FA3" w:rsidR="009E5FA3">
        <w:t xml:space="preserve">zmienianego rozporządzenia </w:t>
      </w:r>
      <w:r w:rsidR="00F16B01">
        <w:t xml:space="preserve">proponuje się zmianę pkt 8 zmierzającą do </w:t>
      </w:r>
      <w:r w:rsidR="001E388D">
        <w:t>doprecyzowania</w:t>
      </w:r>
      <w:r w:rsidR="00B64E94">
        <w:t xml:space="preserve"> </w:t>
      </w:r>
      <w:r>
        <w:t>odesłania</w:t>
      </w:r>
      <w:r w:rsidR="00846D41">
        <w:t xml:space="preserve"> do art. 96a ustawy</w:t>
      </w:r>
      <w:r w:rsidR="001E388D">
        <w:t>.</w:t>
      </w:r>
      <w:r>
        <w:t xml:space="preserve"> W dotychczasowym brzmieniu zmieniany przepis odsyłał do całego pkt 3 w art. 96a ust. 1 ustawy. Zmieniany przepis określa wymagania dla osoby wystawiającej receptę w kraju trzecim (innym niż państwa członkowskie Unii Europejskiej lub państwa członkowskie Europejskiego Obszaru Gospodarczego)</w:t>
      </w:r>
      <w:r w:rsidR="0092044C">
        <w:t xml:space="preserve">, w związku z czym osoba taka nie może spełniać wymagań art. 96a ust. 1 pkt 3 lit. c ustawy z dnia 6 września </w:t>
      </w:r>
      <w:r w:rsidR="0092044C">
        <w:t>2001 r. w zakresie legitymowania się numerem Prawa Wykonywania Zawodu, a w przypadku jego braku numerem PESEL</w:t>
      </w:r>
      <w:r w:rsidR="001E388D">
        <w:t>.</w:t>
      </w:r>
    </w:p>
    <w:p w:rsidR="0092044C" w:rsidP="00CB0F20">
      <w:pPr>
        <w:pStyle w:val="USTustnpkodeksu"/>
        <w:ind w:firstLine="0"/>
      </w:pPr>
      <w:r>
        <w:t xml:space="preserve">Z kolei </w:t>
      </w:r>
      <w:r w:rsidR="00BF6531">
        <w:t xml:space="preserve">w </w:t>
      </w:r>
      <w:r>
        <w:t>art. 96a ust. 1 pkt 3 lit. e ustawy odnosi się częściowo do recept wystawianych w postaci elektronicznej, które musz</w:t>
      </w:r>
      <w:r w:rsidR="00810BC9">
        <w:t>ą</w:t>
      </w:r>
      <w:r>
        <w:t xml:space="preserve"> być opatrzone określonymi rodzajami podpisów bądź które musz</w:t>
      </w:r>
      <w:r w:rsidR="00810BC9">
        <w:t>ą</w:t>
      </w:r>
      <w:r>
        <w:t xml:space="preserve"> być wystawione w określony sposób, których to wymagań recepty wystawiane w krajach trzecich nie spełnią, w </w:t>
      </w:r>
      <w:r w:rsidR="002C2D99">
        <w:t>związku</w:t>
      </w:r>
      <w:r>
        <w:t xml:space="preserve"> z</w:t>
      </w:r>
      <w:r w:rsidR="002C2D99">
        <w:t xml:space="preserve"> </w:t>
      </w:r>
      <w:r>
        <w:t xml:space="preserve">czym wymagania te nie mogą mieć do tych recept zastosowania. </w:t>
      </w:r>
    </w:p>
    <w:p w:rsidR="002C2D99" w:rsidP="00CB0F20">
      <w:pPr>
        <w:pStyle w:val="USTustnpkodeksu"/>
        <w:ind w:firstLine="0"/>
      </w:pPr>
      <w:bookmarkStart w:id="7" w:name="_Hlk70493431"/>
      <w:r w:rsidRPr="00846D41">
        <w:t xml:space="preserve">Dlatego też proponuje się wyłączyć z docelowego odesłania dwie ww. lit. (tj. lit. c i </w:t>
      </w:r>
      <w:r w:rsidRPr="00846D41" w:rsidR="00846D41">
        <w:t>e</w:t>
      </w:r>
      <w:r w:rsidRPr="00846D41">
        <w:t xml:space="preserve"> w pkt 3 art. 96a ustawy), związku z czym zmieniany przepis będzie odsyłał do wymagań określonych w art. 96a ust. 1 pkt 3 lit a, b i d ustawy.</w:t>
      </w:r>
    </w:p>
    <w:p w:rsidR="004776C4" w:rsidP="007359E5">
      <w:pPr>
        <w:pStyle w:val="USTustnpkodeksu"/>
        <w:spacing w:before="240"/>
        <w:ind w:firstLine="0"/>
        <w:rPr>
          <w:rFonts w:ascii="Times New Roman" w:hAnsi="Times New Roman"/>
        </w:rPr>
      </w:pPr>
      <w:bookmarkEnd w:id="7"/>
      <w:r w:rsidRPr="00F230B8">
        <w:rPr>
          <w:b/>
          <w:bCs w:val="0"/>
        </w:rPr>
        <w:t>5.</w:t>
      </w:r>
      <w:r>
        <w:t xml:space="preserve"> </w:t>
      </w:r>
      <w:r w:rsidR="00846D41">
        <w:t xml:space="preserve">W załączniku nr 3 do </w:t>
      </w:r>
      <w:r w:rsidR="009E5FA3">
        <w:t xml:space="preserve">zmienianego </w:t>
      </w:r>
      <w:r w:rsidR="00846D41">
        <w:t xml:space="preserve">rozporządzenia proponuje się zmianę </w:t>
      </w:r>
      <w:r w:rsidRPr="00AD1A5C" w:rsidR="00AD1A5C">
        <w:t>pkt 4 lit. a</w:t>
      </w:r>
      <w:r w:rsidR="00846D41">
        <w:t xml:space="preserve">. Wprowadzenie tej zmiany ma na celu skorelowanie tej regulacji z przepisami </w:t>
      </w:r>
      <w:r w:rsidR="003454CC">
        <w:rPr>
          <w:rFonts w:ascii="Times New Roman" w:hAnsi="Times New Roman"/>
        </w:rPr>
        <w:t>§ 4 zmienianego rozporządzenia w zakresie przekazywania wojewódzkiemu inspektorowi farmaceutycznemu przez właściwego miejscowo dyrektora oddziału wojewódzkiego Narodowego Funduszu Zdrowia unikalnych zakresów liczb identyfikujących recepty. Jeżeli więc np. wojewódzki inspektor farmaceutyczny będzie wydawał lekarzowi weterynarii zakresy liczb będące unikalnymi numerami identyfikującymi recepty, to numery te będą</w:t>
      </w:r>
      <w:r w:rsidR="00E841A9">
        <w:rPr>
          <w:rFonts w:ascii="Times New Roman" w:hAnsi="Times New Roman"/>
        </w:rPr>
        <w:t xml:space="preserve"> musiały być budowane w inny sposób niż przewidywały to kolejne litery w pkt 4 zmienianego załącznika.</w:t>
      </w:r>
    </w:p>
    <w:p w:rsidR="00A52D03" w:rsidP="007359E5">
      <w:pPr>
        <w:pStyle w:val="NIEARTTEKSTtekstnieartykuowanynppodstprawnarozplubpreambua"/>
        <w:spacing w:before="240"/>
        <w:ind w:firstLine="0"/>
      </w:pPr>
      <w:r>
        <w:t>P</w:t>
      </w:r>
      <w:r>
        <w:t>rojekt rozporządzenia nie jest objęty prawem Unii Europejskiej.</w:t>
      </w:r>
    </w:p>
    <w:p w:rsidR="00A52D03" w:rsidRPr="00A52D03" w:rsidP="007359E5">
      <w:pPr>
        <w:pStyle w:val="NIEARTTEKSTtekstnieartykuowanynppodstprawnarozplubpreambua"/>
        <w:spacing w:before="240"/>
        <w:ind w:firstLine="0"/>
      </w:pPr>
      <w:r w:rsidRPr="00A52D03">
        <w:t>Projekt rozporządzenia nie podlega obowiązkowi przedstawienia właściwym organom i instytucjom Unii Europejskiej, w tym Europejskiemu Bankowi Centralnemu, w celu uzyskania opinii, dokonania powiadomienia, konsultacji albo uzgodnienia.</w:t>
      </w:r>
    </w:p>
    <w:p w:rsidR="00A52D03" w:rsidP="007359E5">
      <w:pPr>
        <w:pStyle w:val="NIEARTTEKSTtekstnieartykuowanynppodstprawnarozplubpreambua"/>
        <w:spacing w:before="240"/>
        <w:ind w:firstLine="0"/>
      </w:pPr>
      <w:r w:rsidRPr="00A52D03">
        <w:t>Projektowane rozporządzenie nie zawiera przepisów technicznych w rozumieniu przepisów rozporządzenia Rady Ministrów z dnia 23 grudnia 2002 r. w sprawie sposobu funkcjonowania krajowego systemu notyfikacji norm i aktów prawnych (Dz. U. poz. 2039 oraz z 2004 r. poz. 597) i w związku z tym nie podlega notyfikacji.</w:t>
      </w:r>
    </w:p>
    <w:p w:rsidR="004067BD" w:rsidP="007359E5">
      <w:pPr>
        <w:pStyle w:val="NIEARTTEKSTtekstnieartykuowanynppodstprawnarozplubpreambua"/>
        <w:spacing w:before="240"/>
        <w:ind w:firstLine="0"/>
      </w:pPr>
      <w:r>
        <w:t>Projektowane rozporządzenie wywrze wpływ na mikro- małych i średnich przedsiębiorców</w:t>
      </w:r>
      <w:r w:rsidR="001050C0">
        <w:t xml:space="preserve"> przez koniczność dostosowania się do regulacji w zmienionym brzmieniu. </w:t>
      </w:r>
    </w:p>
    <w:p w:rsidR="00475502" w:rsidRPr="00475502" w:rsidP="00475502">
      <w:pPr>
        <w:pStyle w:val="ARTartustawynprozporzdzenia"/>
        <w:ind w:firstLine="0"/>
      </w:pPr>
      <w:r>
        <w:t>Jednocześnie należy wskazać, że n</w:t>
      </w:r>
      <w:r w:rsidRPr="00F61518">
        <w:t>ie ma możliwości podjęcia alternatywnych w stosunku do projektowanego rozporządzenia środków umożliwiających osiągnięcie zamierzonego celu.</w:t>
      </w:r>
    </w:p>
    <w:sectPr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altName w:val="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92036">
      <w:r>
        <w:separator/>
      </w:r>
    </w:p>
  </w:footnote>
  <w:footnote w:type="continuationSeparator" w:id="1">
    <w:p w:rsidR="00C92036">
      <w:r>
        <w:continuationSeparator/>
      </w:r>
    </w:p>
  </w:footnote>
  <w:footnote w:id="2">
    <w:p w:rsidR="004132A2" w:rsidRPr="003C4252" w:rsidP="004067BD">
      <w:pPr>
        <w:pStyle w:val="ODNONIKtreodnonika"/>
      </w:pPr>
      <w:r>
        <w:rPr>
          <w:rStyle w:val="FootnoteReference"/>
        </w:rPr>
        <w:footnoteRef/>
      </w:r>
      <w:r>
        <w:rPr>
          <w:rStyle w:val="IGindeksgrny"/>
        </w:rPr>
        <w:t>)</w:t>
      </w:r>
      <w:r>
        <w:tab/>
      </w:r>
      <w:r w:rsidRPr="001C41FE">
        <w:t>Minister Zdrowia kieruje działem administracji rządowej – zdrowie, na podstawie § 1 ust. 2 rozporządzenia Prezesa Rady Ministrów z dnia 27 sierpnia 2020 r. w sprawie szczegółowego zakresu działania Ministra Zdrowia (Dz. U. poz. 1470 i 1541)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2A2" w:rsidRPr="00B371CC" w:rsidP="00B371CC">
    <w:pPr>
      <w:pStyle w:val="Header"/>
      <w:jc w:val="center"/>
    </w:pPr>
    <w:r>
      <w:t xml:space="preserve">– </w:t>
    </w:r>
    <w:r>
      <w:fldChar w:fldCharType="begin"/>
    </w:r>
    <w:r>
      <w:instrText xml:space="preserve"> PAGE  \* MERGEFORMAT </w:instrText>
    </w:r>
    <w:r>
      <w:fldChar w:fldCharType="separate"/>
    </w:r>
    <w:r w:rsidR="00B93D08">
      <w:rPr>
        <w:noProof/>
      </w:rPr>
      <w:t>8</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40315"/>
    <w:multiLevelType w:val="hybridMultilevel"/>
    <w:tmpl w:val="A6AA487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74177E1"/>
    <w:multiLevelType w:val="hybridMultilevel"/>
    <w:tmpl w:val="45727EE0"/>
    <w:lvl w:ilvl="0">
      <w:start w:val="1"/>
      <w:numFmt w:val="decimal"/>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
    <w:nsid w:val="0AAF09F8"/>
    <w:multiLevelType w:val="hybridMultilevel"/>
    <w:tmpl w:val="360258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6D69B7"/>
    <w:multiLevelType w:val="hybridMultilevel"/>
    <w:tmpl w:val="8B1063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EC305A"/>
    <w:multiLevelType w:val="hybridMultilevel"/>
    <w:tmpl w:val="8B106338"/>
    <w:lvl w:ilvl="0">
      <w:start w:val="1"/>
      <w:numFmt w:val="lowerLetter"/>
      <w:lvlText w:val="%1)"/>
      <w:lvlJc w:val="left"/>
      <w:pPr>
        <w:ind w:left="92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04235C"/>
    <w:multiLevelType w:val="hybridMultilevel"/>
    <w:tmpl w:val="B6B865E6"/>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nsid w:val="19BA1D2F"/>
    <w:multiLevelType w:val="hybridMultilevel"/>
    <w:tmpl w:val="3602587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A932D54"/>
    <w:multiLevelType w:val="hybridMultilevel"/>
    <w:tmpl w:val="65C83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C2F719D"/>
    <w:multiLevelType w:val="hybridMultilevel"/>
    <w:tmpl w:val="CC6288B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1F330D2"/>
    <w:multiLevelType w:val="hybridMultilevel"/>
    <w:tmpl w:val="B6B865E6"/>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0">
    <w:nsid w:val="25875929"/>
    <w:multiLevelType w:val="hybridMultilevel"/>
    <w:tmpl w:val="F26EEE7C"/>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11">
    <w:nsid w:val="2E570978"/>
    <w:multiLevelType w:val="hybridMultilevel"/>
    <w:tmpl w:val="B3AAF1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5E5447E"/>
    <w:multiLevelType w:val="hybridMultilevel"/>
    <w:tmpl w:val="8B1063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AC020A"/>
    <w:multiLevelType w:val="hybridMultilevel"/>
    <w:tmpl w:val="B3007880"/>
    <w:lvl w:ilvl="0">
      <w:start w:val="1"/>
      <w:numFmt w:val="low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42480355"/>
    <w:multiLevelType w:val="hybridMultilevel"/>
    <w:tmpl w:val="00BEF7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48D12BA5"/>
    <w:multiLevelType w:val="hybridMultilevel"/>
    <w:tmpl w:val="3E3CDE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3B0217"/>
    <w:multiLevelType w:val="hybridMultilevel"/>
    <w:tmpl w:val="4B26681C"/>
    <w:lvl w:ilvl="0">
      <w:start w:val="1"/>
      <w:numFmt w:val="lowerLetter"/>
      <w:lvlText w:val="%1)"/>
      <w:lvlJc w:val="left"/>
      <w:pPr>
        <w:ind w:left="1381" w:hanging="360"/>
      </w:pPr>
      <w:rPr>
        <w:rFonts w:hint="default"/>
      </w:rPr>
    </w:lvl>
    <w:lvl w:ilvl="1" w:tentative="1">
      <w:start w:val="1"/>
      <w:numFmt w:val="lowerLetter"/>
      <w:lvlText w:val="%2."/>
      <w:lvlJc w:val="left"/>
      <w:pPr>
        <w:ind w:left="2101" w:hanging="360"/>
      </w:pPr>
    </w:lvl>
    <w:lvl w:ilvl="2" w:tentative="1">
      <w:start w:val="1"/>
      <w:numFmt w:val="lowerRoman"/>
      <w:lvlText w:val="%3."/>
      <w:lvlJc w:val="right"/>
      <w:pPr>
        <w:ind w:left="2821" w:hanging="180"/>
      </w:pPr>
    </w:lvl>
    <w:lvl w:ilvl="3" w:tentative="1">
      <w:start w:val="1"/>
      <w:numFmt w:val="decimal"/>
      <w:lvlText w:val="%4."/>
      <w:lvlJc w:val="left"/>
      <w:pPr>
        <w:ind w:left="3541" w:hanging="360"/>
      </w:pPr>
    </w:lvl>
    <w:lvl w:ilvl="4" w:tentative="1">
      <w:start w:val="1"/>
      <w:numFmt w:val="lowerLetter"/>
      <w:lvlText w:val="%5."/>
      <w:lvlJc w:val="left"/>
      <w:pPr>
        <w:ind w:left="4261" w:hanging="360"/>
      </w:pPr>
    </w:lvl>
    <w:lvl w:ilvl="5" w:tentative="1">
      <w:start w:val="1"/>
      <w:numFmt w:val="lowerRoman"/>
      <w:lvlText w:val="%6."/>
      <w:lvlJc w:val="right"/>
      <w:pPr>
        <w:ind w:left="4981" w:hanging="180"/>
      </w:pPr>
    </w:lvl>
    <w:lvl w:ilvl="6" w:tentative="1">
      <w:start w:val="1"/>
      <w:numFmt w:val="decimal"/>
      <w:lvlText w:val="%7."/>
      <w:lvlJc w:val="left"/>
      <w:pPr>
        <w:ind w:left="5701" w:hanging="360"/>
      </w:pPr>
    </w:lvl>
    <w:lvl w:ilvl="7" w:tentative="1">
      <w:start w:val="1"/>
      <w:numFmt w:val="lowerLetter"/>
      <w:lvlText w:val="%8."/>
      <w:lvlJc w:val="left"/>
      <w:pPr>
        <w:ind w:left="6421" w:hanging="360"/>
      </w:pPr>
    </w:lvl>
    <w:lvl w:ilvl="8" w:tentative="1">
      <w:start w:val="1"/>
      <w:numFmt w:val="lowerRoman"/>
      <w:lvlText w:val="%9."/>
      <w:lvlJc w:val="right"/>
      <w:pPr>
        <w:ind w:left="7141" w:hanging="180"/>
      </w:pPr>
    </w:lvl>
  </w:abstractNum>
  <w:abstractNum w:abstractNumId="17">
    <w:nsid w:val="4E706FCC"/>
    <w:multiLevelType w:val="hybridMultilevel"/>
    <w:tmpl w:val="8B1063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56970DE"/>
    <w:multiLevelType w:val="hybridMultilevel"/>
    <w:tmpl w:val="929839A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562F0C95"/>
    <w:multiLevelType w:val="hybridMultilevel"/>
    <w:tmpl w:val="4D588E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2922BD"/>
    <w:multiLevelType w:val="hybridMultilevel"/>
    <w:tmpl w:val="D3A86250"/>
    <w:lvl w:ilvl="0">
      <w:start w:val="1"/>
      <w:numFmt w:val="decimal"/>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abstractNum w:abstractNumId="21">
    <w:nsid w:val="5A7D2D39"/>
    <w:multiLevelType w:val="hybridMultilevel"/>
    <w:tmpl w:val="4EC6938C"/>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5AC21687"/>
    <w:multiLevelType w:val="hybridMultilevel"/>
    <w:tmpl w:val="FB7C7E7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F533C9D"/>
    <w:multiLevelType w:val="hybridMultilevel"/>
    <w:tmpl w:val="E9F62AF0"/>
    <w:lvl w:ilvl="0">
      <w:start w:val="1"/>
      <w:numFmt w:val="lowerLetter"/>
      <w:lvlText w:val="%1)"/>
      <w:lvlJc w:val="left"/>
      <w:pPr>
        <w:ind w:left="1040" w:hanging="360"/>
      </w:pPr>
      <w:rPr>
        <w:rFonts w:hint="default"/>
      </w:rPr>
    </w:lvl>
    <w:lvl w:ilvl="1" w:tentative="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24">
    <w:nsid w:val="60D35913"/>
    <w:multiLevelType w:val="hybridMultilevel"/>
    <w:tmpl w:val="8B10633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B207607"/>
    <w:multiLevelType w:val="hybridMultilevel"/>
    <w:tmpl w:val="00BEF7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702B67DC"/>
    <w:multiLevelType w:val="hybridMultilevel"/>
    <w:tmpl w:val="5C2A23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8407E58"/>
    <w:multiLevelType w:val="hybridMultilevel"/>
    <w:tmpl w:val="C75CB74E"/>
    <w:lvl w:ilvl="0">
      <w:start w:val="1"/>
      <w:numFmt w:val="decimal"/>
      <w:lvlText w:val="%1)"/>
      <w:lvlJc w:val="left"/>
      <w:pPr>
        <w:ind w:left="360" w:hanging="360"/>
      </w:pPr>
    </w:lvl>
    <w:lvl w:ilvl="1">
      <w:start w:val="1"/>
      <w:numFmt w:val="decimal"/>
      <w:lvlText w:val="%2)"/>
      <w:lvlJc w:val="left"/>
      <w:pPr>
        <w:ind w:left="1116" w:hanging="396"/>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792965F5"/>
    <w:multiLevelType w:val="hybridMultilevel"/>
    <w:tmpl w:val="DD14FFBA"/>
    <w:lvl w:ilvl="0">
      <w:start w:val="8"/>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7ADB6F12"/>
    <w:multiLevelType w:val="hybridMultilevel"/>
    <w:tmpl w:val="A2C4B0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7B471614"/>
    <w:multiLevelType w:val="hybridMultilevel"/>
    <w:tmpl w:val="00BEF7E0"/>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nsid w:val="7CC42BA6"/>
    <w:multiLevelType w:val="hybridMultilevel"/>
    <w:tmpl w:val="1D2223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D3524BF"/>
    <w:multiLevelType w:val="hybridMultilevel"/>
    <w:tmpl w:val="606C90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ind w:left="1980" w:hanging="36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7E3758FD"/>
    <w:multiLevelType w:val="hybridMultilevel"/>
    <w:tmpl w:val="71540676"/>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E404067"/>
    <w:multiLevelType w:val="hybridMultilevel"/>
    <w:tmpl w:val="A5CABEAE"/>
    <w:lvl w:ilvl="0">
      <w:start w:val="1"/>
      <w:numFmt w:val="lowerLetter"/>
      <w:lvlText w:val="%1)"/>
      <w:lvlJc w:val="left"/>
      <w:pPr>
        <w:ind w:left="870" w:hanging="360"/>
      </w:pPr>
      <w:rPr>
        <w:rFonts w:hint="default"/>
      </w:rPr>
    </w:lvl>
    <w:lvl w:ilvl="1" w:tentative="1">
      <w:start w:val="1"/>
      <w:numFmt w:val="lowerLetter"/>
      <w:lvlText w:val="%2."/>
      <w:lvlJc w:val="left"/>
      <w:pPr>
        <w:ind w:left="1590" w:hanging="360"/>
      </w:pPr>
    </w:lvl>
    <w:lvl w:ilvl="2" w:tentative="1">
      <w:start w:val="1"/>
      <w:numFmt w:val="lowerRoman"/>
      <w:lvlText w:val="%3."/>
      <w:lvlJc w:val="right"/>
      <w:pPr>
        <w:ind w:left="2310" w:hanging="180"/>
      </w:pPr>
    </w:lvl>
    <w:lvl w:ilvl="3" w:tentative="1">
      <w:start w:val="1"/>
      <w:numFmt w:val="decimal"/>
      <w:lvlText w:val="%4."/>
      <w:lvlJc w:val="left"/>
      <w:pPr>
        <w:ind w:left="3030" w:hanging="360"/>
      </w:pPr>
    </w:lvl>
    <w:lvl w:ilvl="4" w:tentative="1">
      <w:start w:val="1"/>
      <w:numFmt w:val="lowerLetter"/>
      <w:lvlText w:val="%5."/>
      <w:lvlJc w:val="left"/>
      <w:pPr>
        <w:ind w:left="3750" w:hanging="360"/>
      </w:pPr>
    </w:lvl>
    <w:lvl w:ilvl="5" w:tentative="1">
      <w:start w:val="1"/>
      <w:numFmt w:val="lowerRoman"/>
      <w:lvlText w:val="%6."/>
      <w:lvlJc w:val="right"/>
      <w:pPr>
        <w:ind w:left="4470" w:hanging="180"/>
      </w:pPr>
    </w:lvl>
    <w:lvl w:ilvl="6" w:tentative="1">
      <w:start w:val="1"/>
      <w:numFmt w:val="decimal"/>
      <w:lvlText w:val="%7."/>
      <w:lvlJc w:val="left"/>
      <w:pPr>
        <w:ind w:left="5190" w:hanging="360"/>
      </w:pPr>
    </w:lvl>
    <w:lvl w:ilvl="7" w:tentative="1">
      <w:start w:val="1"/>
      <w:numFmt w:val="lowerLetter"/>
      <w:lvlText w:val="%8."/>
      <w:lvlJc w:val="left"/>
      <w:pPr>
        <w:ind w:left="5910" w:hanging="360"/>
      </w:pPr>
    </w:lvl>
    <w:lvl w:ilvl="8" w:tentative="1">
      <w:start w:val="1"/>
      <w:numFmt w:val="lowerRoman"/>
      <w:lvlText w:val="%9."/>
      <w:lvlJc w:val="right"/>
      <w:pPr>
        <w:ind w:left="6630" w:hanging="180"/>
      </w:pPr>
    </w:lvl>
  </w:abstractNum>
  <w:num w:numId="1">
    <w:abstractNumId w:val="14"/>
  </w:num>
  <w:num w:numId="2">
    <w:abstractNumId w:val="17"/>
  </w:num>
  <w:num w:numId="3">
    <w:abstractNumId w:val="3"/>
  </w:num>
  <w:num w:numId="4">
    <w:abstractNumId w:val="24"/>
  </w:num>
  <w:num w:numId="5">
    <w:abstractNumId w:val="30"/>
  </w:num>
  <w:num w:numId="6">
    <w:abstractNumId w:val="12"/>
  </w:num>
  <w:num w:numId="7">
    <w:abstractNumId w:val="27"/>
  </w:num>
  <w:num w:numId="8">
    <w:abstractNumId w:val="4"/>
  </w:num>
  <w:num w:numId="9">
    <w:abstractNumId w:val="25"/>
  </w:num>
  <w:num w:numId="10">
    <w:abstractNumId w:val="7"/>
  </w:num>
  <w:num w:numId="11">
    <w:abstractNumId w:val="8"/>
  </w:num>
  <w:num w:numId="12">
    <w:abstractNumId w:val="21"/>
  </w:num>
  <w:num w:numId="13">
    <w:abstractNumId w:val="18"/>
  </w:num>
  <w:num w:numId="14">
    <w:abstractNumId w:val="33"/>
  </w:num>
  <w:num w:numId="15">
    <w:abstractNumId w:val="29"/>
  </w:num>
  <w:num w:numId="16">
    <w:abstractNumId w:val="32"/>
  </w:num>
  <w:num w:numId="17">
    <w:abstractNumId w:val="15"/>
  </w:num>
  <w:num w:numId="18">
    <w:abstractNumId w:val="5"/>
  </w:num>
  <w:num w:numId="19">
    <w:abstractNumId w:val="9"/>
  </w:num>
  <w:num w:numId="20">
    <w:abstractNumId w:val="22"/>
  </w:num>
  <w:num w:numId="21">
    <w:abstractNumId w:val="2"/>
  </w:num>
  <w:num w:numId="22">
    <w:abstractNumId w:val="6"/>
  </w:num>
  <w:num w:numId="23">
    <w:abstractNumId w:val="1"/>
  </w:num>
  <w:num w:numId="24">
    <w:abstractNumId w:val="31"/>
  </w:num>
  <w:num w:numId="25">
    <w:abstractNumId w:val="20"/>
  </w:num>
  <w:num w:numId="26">
    <w:abstractNumId w:val="19"/>
  </w:num>
  <w:num w:numId="27">
    <w:abstractNumId w:val="26"/>
  </w:num>
  <w:num w:numId="28">
    <w:abstractNumId w:val="23"/>
  </w:num>
  <w:num w:numId="29">
    <w:abstractNumId w:val="11"/>
  </w:num>
  <w:num w:numId="30">
    <w:abstractNumId w:val="10"/>
  </w:num>
  <w:num w:numId="31">
    <w:abstractNumId w:val="28"/>
  </w:num>
  <w:num w:numId="32">
    <w:abstractNumId w:val="0"/>
  </w:num>
  <w:num w:numId="33">
    <w:abstractNumId w:val="13"/>
  </w:num>
  <w:num w:numId="34">
    <w:abstractNumId w:val="3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7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1"/>
  <w:documentProtection w:edit="trackedChanges"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smallFrac/>
  </m:mathPr>
  <w:themeFontLang w:val="pl-P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qFormat/>
    <w:rsid w:val="00FD25A7"/>
    <w:pPr>
      <w:widowControl w:val="0"/>
      <w:autoSpaceDE w:val="0"/>
      <w:autoSpaceDN w:val="0"/>
      <w:adjustRightInd w:val="0"/>
    </w:pPr>
    <w:rPr>
      <w:rFonts w:ascii="Times New Roman" w:hAnsi="Times New Roman" w:eastAsiaTheme="minorEastAsia" w:cs="Arial"/>
      <w:szCs w:val="20"/>
    </w:rPr>
  </w:style>
  <w:style w:type="paragraph" w:styleId="Heading1">
    <w:name w:val="heading 1"/>
    <w:basedOn w:val="Normal"/>
    <w:next w:val="Normal"/>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FootnoteReference">
    <w:name w:val="footnote reference"/>
    <w:uiPriority w:val="99"/>
    <w:rsid w:val="004C3F97"/>
    <w:rPr>
      <w:rFonts w:cs="Times New Roman"/>
      <w:vertAlign w:val="superscript"/>
    </w:rPr>
  </w:style>
  <w:style w:type="paragraph" w:styleId="Header">
    <w:name w:val="header"/>
    <w:basedOn w:val="Normal"/>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Header"/>
    <w:uiPriority w:val="99"/>
    <w:semiHidden/>
    <w:rsid w:val="00060076"/>
    <w:rPr>
      <w:rFonts w:eastAsiaTheme="minorEastAsia" w:cs="Arial"/>
      <w:kern w:val="1"/>
      <w:sz w:val="20"/>
      <w:szCs w:val="20"/>
      <w:lang w:eastAsia="ar-SA"/>
    </w:rPr>
  </w:style>
  <w:style w:type="paragraph" w:styleId="Footer">
    <w:name w:val="footer"/>
    <w:basedOn w:val="Normal"/>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Footer"/>
    <w:uiPriority w:val="99"/>
    <w:semiHidden/>
    <w:rsid w:val="00060076"/>
    <w:rPr>
      <w:rFonts w:eastAsiaTheme="minorEastAsia" w:cs="Arial"/>
      <w:kern w:val="1"/>
      <w:sz w:val="20"/>
      <w:szCs w:val="20"/>
      <w:lang w:eastAsia="ar-SA"/>
    </w:rPr>
  </w:style>
  <w:style w:type="paragraph" w:styleId="BalloonText">
    <w:name w:val="Balloon Text"/>
    <w:basedOn w:val="Normal"/>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BalloonText"/>
    <w:uiPriority w:val="99"/>
    <w:semiHidden/>
    <w:rsid w:val="004C3F97"/>
    <w:rPr>
      <w:rFonts w:ascii="Tahoma" w:hAnsi="Tahoma" w:eastAsiaTheme="minorEastAsi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efaultParagraphFont"/>
    <w:link w:val="Heading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NoSpacing">
    <w:name w:val="No Spacing"/>
    <w:uiPriority w:val="1"/>
    <w:qFormat/>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FootnoteText">
    <w:name w:val="footnote text"/>
    <w:basedOn w:val="Normal"/>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efaultParagraphFont"/>
    <w:link w:val="FootnoteText"/>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CommentReference">
    <w:name w:val="annotation reference"/>
    <w:basedOn w:val="DefaultParagraphFont"/>
    <w:uiPriority w:val="99"/>
    <w:semiHidden/>
    <w:rsid w:val="00023F13"/>
    <w:rPr>
      <w:sz w:val="16"/>
      <w:szCs w:val="16"/>
    </w:rPr>
  </w:style>
  <w:style w:type="paragraph" w:styleId="CommentText">
    <w:name w:val="annotation text"/>
    <w:basedOn w:val="Normal"/>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efaultParagraphFont"/>
    <w:link w:val="CommentText"/>
    <w:uiPriority w:val="99"/>
    <w:semiHidden/>
    <w:rsid w:val="004504C0"/>
    <w:rPr>
      <w:sz w:val="20"/>
    </w:rPr>
  </w:style>
  <w:style w:type="paragraph" w:styleId="CommentSubject">
    <w:name w:val="annotation subject"/>
    <w:basedOn w:val="CommentText"/>
    <w:next w:val="CommentText"/>
    <w:link w:val="TematkomentarzaZnak"/>
    <w:uiPriority w:val="99"/>
    <w:semiHidden/>
    <w:rsid w:val="00023F13"/>
    <w:rPr>
      <w:b/>
      <w:bCs/>
    </w:rPr>
  </w:style>
  <w:style w:type="character" w:customStyle="1" w:styleId="TematkomentarzaZnak">
    <w:name w:val="Temat komentarza Znak"/>
    <w:basedOn w:val="TekstkomentarzaZnak"/>
    <w:link w:val="CommentSubject"/>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hAnsi="Times New Roman" w:eastAsiaTheme="minorEastAsia"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hAnsi="Times New Roman" w:eastAsiaTheme="minorEastAsia"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hAnsi="Times New Roman" w:eastAsiaTheme="minorEastAsia"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hAnsi="Times New Roman" w:eastAsiaTheme="minorEastAsia"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efaultParagraphFont"/>
    <w:uiPriority w:val="2"/>
    <w:qFormat/>
    <w:rsid w:val="00A12520"/>
    <w:rPr>
      <w:b w:val="0"/>
      <w:i w:val="0"/>
      <w:vanish w:val="0"/>
      <w:spacing w:val="0"/>
      <w:vertAlign w:val="superscript"/>
    </w:rPr>
  </w:style>
  <w:style w:type="character" w:customStyle="1" w:styleId="IDindeksdolny">
    <w:name w:val="_ID_ – indeks dolny"/>
    <w:basedOn w:val="DefaultParagraphFont"/>
    <w:uiPriority w:val="3"/>
    <w:qFormat/>
    <w:rsid w:val="00591124"/>
    <w:rPr>
      <w:b w:val="0"/>
      <w:i w:val="0"/>
      <w:vanish w:val="0"/>
      <w:spacing w:val="0"/>
      <w:vertAlign w:val="subscript"/>
    </w:rPr>
  </w:style>
  <w:style w:type="character" w:customStyle="1" w:styleId="IDPindeksdolnyipogrubienie">
    <w:name w:val="_ID_P_ – indeks dolny i pogrubienie"/>
    <w:basedOn w:val="DefaultParagraphFont"/>
    <w:uiPriority w:val="3"/>
    <w:qFormat/>
    <w:rsid w:val="00591124"/>
    <w:rPr>
      <w:b/>
      <w:vanish w:val="0"/>
      <w:spacing w:val="0"/>
      <w:vertAlign w:val="subscript"/>
    </w:rPr>
  </w:style>
  <w:style w:type="character" w:customStyle="1" w:styleId="IDKindeksdolnyikursywa">
    <w:name w:val="_ID_K_ – indeks dolny i kursywa"/>
    <w:basedOn w:val="DefaultParagraphFont"/>
    <w:uiPriority w:val="3"/>
    <w:qFormat/>
    <w:rsid w:val="00591124"/>
    <w:rPr>
      <w:i/>
      <w:vanish w:val="0"/>
      <w:spacing w:val="0"/>
      <w:vertAlign w:val="subscript"/>
    </w:rPr>
  </w:style>
  <w:style w:type="character" w:customStyle="1" w:styleId="IGPindeksgrnyipogrubienie">
    <w:name w:val="_IG_P_ – indeks górny i pogrubienie"/>
    <w:basedOn w:val="DefaultParagraphFont"/>
    <w:uiPriority w:val="2"/>
    <w:qFormat/>
    <w:rsid w:val="00A12520"/>
    <w:rPr>
      <w:b/>
      <w:vanish w:val="0"/>
      <w:spacing w:val="0"/>
      <w:vertAlign w:val="superscript"/>
    </w:rPr>
  </w:style>
  <w:style w:type="character" w:customStyle="1" w:styleId="IGKindeksgrnyikursywa">
    <w:name w:val="_IG_K_ – indeks górny i kursywa"/>
    <w:basedOn w:val="DefaultParagraphFont"/>
    <w:uiPriority w:val="2"/>
    <w:qFormat/>
    <w:rsid w:val="00A12520"/>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591124"/>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591124"/>
    <w:rPr>
      <w:b/>
      <w:i/>
      <w:vanish w:val="0"/>
      <w:spacing w:val="0"/>
      <w:vertAlign w:val="subscript"/>
    </w:rPr>
  </w:style>
  <w:style w:type="character" w:customStyle="1" w:styleId="Ppogrubienie">
    <w:name w:val="_P_ – pogrubienie"/>
    <w:basedOn w:val="DefaultParagraphFont"/>
    <w:uiPriority w:val="1"/>
    <w:qFormat/>
    <w:rsid w:val="006A748A"/>
    <w:rPr>
      <w:b/>
    </w:rPr>
  </w:style>
  <w:style w:type="character" w:customStyle="1" w:styleId="Kkursywa">
    <w:name w:val="_K_ – kursywa"/>
    <w:basedOn w:val="DefaultParagraphFont"/>
    <w:uiPriority w:val="1"/>
    <w:qFormat/>
    <w:rsid w:val="006A748A"/>
    <w:rPr>
      <w:i/>
    </w:rPr>
  </w:style>
  <w:style w:type="character" w:customStyle="1" w:styleId="PKpogrubieniekursywa">
    <w:name w:val="_P_K_ – pogrubienie kursywa"/>
    <w:basedOn w:val="DefaultParagraphFont"/>
    <w:uiPriority w:val="1"/>
    <w:qFormat/>
    <w:rsid w:val="006A748A"/>
    <w:rPr>
      <w:b/>
      <w:i/>
    </w:rPr>
  </w:style>
  <w:style w:type="character" w:customStyle="1" w:styleId="TEKSTOZNACZONYWDOKUMENCIERDOWYMJAKOUKRYTY">
    <w:name w:val="_TEKST_OZNACZONY_W_DOKUMENCIE_ŹRÓDŁOWYM_JAKO_UKRYTY_"/>
    <w:basedOn w:val="DefaultParagraphFont"/>
    <w:uiPriority w:val="4"/>
    <w:unhideWhenUsed/>
    <w:qFormat/>
    <w:rsid w:val="009D55AA"/>
    <w:rPr>
      <w:vanish w:val="0"/>
      <w:color w:val="FF0000"/>
      <w:u w:val="single" w:color="FF0000"/>
    </w:rPr>
  </w:style>
  <w:style w:type="character" w:customStyle="1" w:styleId="BEZWERSALIKW">
    <w:name w:val="_BEZ_WERSALIKÓW_"/>
    <w:basedOn w:val="DefaultParagraphFont"/>
    <w:uiPriority w:val="4"/>
    <w:qFormat/>
    <w:rsid w:val="00390E89"/>
    <w:rPr>
      <w:caps/>
    </w:rPr>
  </w:style>
  <w:style w:type="character" w:customStyle="1" w:styleId="IIGPindeksgrnyindeksugrnegoipogrubienie">
    <w:name w:val="_IIG_P_ – indeks górny indeksu górnego i pogrubienie"/>
    <w:basedOn w:val="DefaultParagraphFont"/>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hAnsi="Times New Roman" w:eastAsiaTheme="minorEastAsia"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leGrid">
    <w:name w:val="Table Grid"/>
    <w:basedOn w:val="TableNormal"/>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PrEx>
      <w:jc w:val="center"/>
    </w:tblPrEx>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PrEx>
      <w:jc w:val="center"/>
    </w:tblPrEx>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color w:val="808080"/>
    </w:rPr>
  </w:style>
  <w:style w:type="paragraph" w:styleId="Revision">
    <w:name w:val="Revision"/>
    <w:hidden/>
    <w:uiPriority w:val="99"/>
    <w:semiHidden/>
    <w:rsid w:val="00D95E62"/>
    <w:pPr>
      <w:spacing w:line="240" w:lineRule="auto"/>
    </w:pPr>
    <w:rPr>
      <w:rFonts w:ascii="Times New Roman" w:hAnsi="Times New Roman" w:eastAsiaTheme="minorEastAsia" w:cs="Arial"/>
      <w:szCs w:val="20"/>
    </w:rPr>
  </w:style>
  <w:style w:type="character" w:styleId="Hyperlink">
    <w:name w:val="Hyperlink"/>
    <w:basedOn w:val="DefaultParagraphFont"/>
    <w:uiPriority w:val="99"/>
    <w:semiHidden/>
    <w:unhideWhenUsed/>
    <w:rsid w:val="00937BC5"/>
    <w:rPr>
      <w:color w:val="0000FF"/>
      <w:u w:val="single"/>
    </w:rPr>
  </w:style>
  <w:style w:type="paragraph" w:styleId="ListParagraph">
    <w:name w:val="List Paragraph"/>
    <w:basedOn w:val="Normal"/>
    <w:uiPriority w:val="34"/>
    <w:qFormat/>
    <w:rsid w:val="00CF4859"/>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budziszewska\Desktop\Szablon%20aktu%20prawnego%204_0.dotm" TargetMode="Externa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 ma:contentTypeID="0x01010021C3323CFF675344B8EF6C966370A71E" ma:contentTypeVersion="10" ma:contentTypeDescription="Utwórz nowy dokument." ma:contentTypeScope="" ma:versionID="0c9ebe59beaa6fc281390fd6b3490298">
  <xsd:schema xmlns:xsd="http://www.w3.org/2001/XMLSchema" xmlns:xs="http://www.w3.org/2001/XMLSchema" xmlns:p="http://schemas.microsoft.com/office/2006/metadata/properties" xmlns:ns3="4c71069b-9d34-49e2-bced-9d22fbee6483" xmlns:ns4="7858d509-e5d1-4f82-875b-27ffdb52bab1" targetNamespace="http://schemas.microsoft.com/office/2006/metadata/properties" ma:root="true" ma:fieldsID="f2a89dd148647f6725bb8645f28ff540" ns3:_="" ns4:_="">
    <xsd:import namespace="4c71069b-9d34-49e2-bced-9d22fbee6483"/>
    <xsd:import namespace="7858d509-e5d1-4f82-875b-27ffdb52ba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069b-9d34-49e2-bced-9d22fbee6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8d509-e5d1-4f82-875b-27ffdb52bab1"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C469B-C912-4046-8EB5-D5ED112965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549A1D-68DA-40D2-B57C-C6A7236C0873}">
  <ds:schemaRefs>
    <ds:schemaRef ds:uri="http://schemas.microsoft.com/sharepoint/v3/contenttype/forms"/>
  </ds:schemaRefs>
</ds:datastoreItem>
</file>

<file path=customXml/itemProps4.xml><?xml version="1.0" encoding="utf-8"?>
<ds:datastoreItem xmlns:ds="http://schemas.openxmlformats.org/officeDocument/2006/customXml" ds:itemID="{C773A5DC-8E12-478B-97BB-C0A16560DC95}">
  <ds:schemaRefs>
    <ds:schemaRef ds:uri="http://schemas.openxmlformats.org/officeDocument/2006/bibliography"/>
  </ds:schemaRefs>
</ds:datastoreItem>
</file>

<file path=customXml/itemProps5.xml><?xml version="1.0" encoding="utf-8"?>
<ds:datastoreItem xmlns:ds="http://schemas.openxmlformats.org/officeDocument/2006/customXml" ds:itemID="{06FC9081-E2BF-42A9-B55C-725D03012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069b-9d34-49e2-bced-9d22fbee6483"/>
    <ds:schemaRef ds:uri="7858d509-e5d1-4f82-875b-27ffdb52b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34</TotalTime>
  <Pages>6</Pages>
  <Words>1535</Words>
  <Characters>9215</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Maliszewska Dorota</dc:creator>
  <cp:lastModifiedBy>Skowrońska-Kotra Anna</cp:lastModifiedBy>
  <cp:revision>6</cp:revision>
  <cp:lastPrinted>2012-04-23T06:39:00Z</cp:lastPrinted>
  <dcterms:created xsi:type="dcterms:W3CDTF">2021-04-30T10:19:00Z</dcterms:created>
  <dcterms:modified xsi:type="dcterms:W3CDTF">2021-04-30T11:26:00Z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0x01010021C3323CFF675344B8EF6C966370A71E</vt:lpwstr>
  </property>
  <property fmtid="{D5CDD505-2E9C-101B-9397-08002B2CF9AE}" pid="3" name="Data ogłoszenia">
    <vt:lpwstr>&lt;data ogłoszenia&gt;</vt:lpwstr>
  </property>
  <property fmtid="{D5CDD505-2E9C-101B-9397-08002B2CF9AE}" pid="4" name="Data wydania obwieszczenia">
    <vt:lpwstr>&lt;data wydania obwieszczenia&gt;</vt:lpwstr>
  </property>
</Properties>
</file>