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1690" w14:textId="5309665C" w:rsidR="003976D6" w:rsidRPr="003976D6" w:rsidRDefault="00E8234D" w:rsidP="006E1CC9">
      <w:pPr>
        <w:pStyle w:val="OZNRODZAKTUtznustawalubrozporzdzenieiorganwydajcy"/>
        <w:spacing w:after="0" w:line="276" w:lineRule="auto"/>
      </w:pPr>
      <w:bookmarkStart w:id="0" w:name="_GoBack"/>
      <w:bookmarkEnd w:id="0"/>
      <w:r>
        <w:t xml:space="preserve">     </w:t>
      </w:r>
    </w:p>
    <w:p w14:paraId="3DC85307" w14:textId="77777777" w:rsidR="004A4FC3" w:rsidRDefault="004A4FC3" w:rsidP="006E1CC9">
      <w:pPr>
        <w:pStyle w:val="OZNRODZAKTUtznustawalubrozporzdzenieiorganwydajcy"/>
        <w:spacing w:after="0" w:line="276" w:lineRule="auto"/>
      </w:pPr>
    </w:p>
    <w:p w14:paraId="36D08541" w14:textId="77777777" w:rsidR="003976D6" w:rsidRPr="003976D6" w:rsidRDefault="003976D6" w:rsidP="006E1CC9">
      <w:pPr>
        <w:pStyle w:val="OZNRODZAKTUtznustawalubrozporzdzenieiorganwydajcy"/>
        <w:spacing w:after="0" w:line="276" w:lineRule="auto"/>
      </w:pPr>
      <w:r w:rsidRPr="003976D6">
        <w:t>uzasadnienie</w:t>
      </w:r>
    </w:p>
    <w:p w14:paraId="0E88A485" w14:textId="379EF79C" w:rsidR="007168A4" w:rsidRPr="007168A4" w:rsidRDefault="00B537A5" w:rsidP="006E1CC9">
      <w:pPr>
        <w:pStyle w:val="ARTartustawynprozporzdzenia"/>
        <w:spacing w:line="276" w:lineRule="auto"/>
      </w:pPr>
      <w:r>
        <w:t xml:space="preserve">      </w:t>
      </w:r>
      <w:r w:rsidR="00D008B8">
        <w:t xml:space="preserve">     </w:t>
      </w:r>
      <w:r w:rsidR="002C46A7">
        <w:t xml:space="preserve">  </w:t>
      </w:r>
    </w:p>
    <w:p w14:paraId="4ABFF874" w14:textId="77777777" w:rsidR="006E1CC9" w:rsidRDefault="003976D6" w:rsidP="006E1CC9">
      <w:pPr>
        <w:pStyle w:val="ARTartustawynprozporzdzeni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>Projektowane rozporządzenie zmienia rozporządzenie Ministra Finansów z dnia 7 kwietnia 2020 r. w sprawie określenia innych terminów wykonania niektórych obowiązków sprawozdawczych i informacyjnych (Dz. U. poz. 622, z późn. zm.), zwane dalej "</w:t>
      </w:r>
      <w:r w:rsidR="007168A4">
        <w:rPr>
          <w:szCs w:val="24"/>
        </w:rPr>
        <w:t xml:space="preserve">zmienianym </w:t>
      </w:r>
      <w:r w:rsidRPr="003976D6">
        <w:rPr>
          <w:szCs w:val="24"/>
        </w:rPr>
        <w:t>rozporządzeniem".</w:t>
      </w:r>
      <w:r w:rsidR="007168A4" w:rsidRPr="007168A4">
        <w:rPr>
          <w:szCs w:val="24"/>
        </w:rPr>
        <w:t xml:space="preserve"> </w:t>
      </w:r>
    </w:p>
    <w:p w14:paraId="64E2A467" w14:textId="77777777" w:rsidR="006E1CC9" w:rsidRDefault="006E1CC9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2F78804D" w14:textId="3D53C95D" w:rsidR="003976D6" w:rsidRDefault="007168A4" w:rsidP="006E1CC9">
      <w:pPr>
        <w:pStyle w:val="ARTartustawynprozporzdzeni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 xml:space="preserve">Celem rozporządzenia jest dodanie w </w:t>
      </w:r>
      <w:r>
        <w:rPr>
          <w:szCs w:val="24"/>
        </w:rPr>
        <w:t xml:space="preserve">zmienianym </w:t>
      </w:r>
      <w:r w:rsidRPr="003976D6">
        <w:rPr>
          <w:szCs w:val="24"/>
        </w:rPr>
        <w:t xml:space="preserve"> rozporządzeniu przepisu przedłużającego termin na dostosowanie działalności towarzystw funduszy inwestycyjnych, zwanych dalej "TFI", do wymogów wynikających z ustawy z dnia 16 października 2019 r. o zmianie ustawy o ofercie publicznej i warunkach wprowadzania instrumentów finansowych do zorganizowanego systemu obrotu oraz o spółkach publicznych oraz niektórych innych ustaw (Dz. U. poz. 2217, z późn. zm.), zwanej dalej "ustawą zmieniającą". </w:t>
      </w:r>
      <w:r>
        <w:rPr>
          <w:szCs w:val="24"/>
        </w:rPr>
        <w:t>Przepis a</w:t>
      </w:r>
      <w:r w:rsidRPr="003976D6">
        <w:rPr>
          <w:szCs w:val="24"/>
        </w:rPr>
        <w:t xml:space="preserve">rt. 39 ust. 1 ustawy zmieniającej zobowiązał TFI do dostosowania działalności do nowych wymogów wynikających ze </w:t>
      </w:r>
      <w:r>
        <w:rPr>
          <w:szCs w:val="24"/>
        </w:rPr>
        <w:t xml:space="preserve">zmienionych </w:t>
      </w:r>
      <w:r w:rsidRPr="003976D6">
        <w:rPr>
          <w:szCs w:val="24"/>
        </w:rPr>
        <w:t xml:space="preserve">przepisów ustawy z dnia 27 maja 2004 r. o funduszach inwestycyjnych i zarządzaniu alternatywnymi funduszami inwestycyjnymi (Dz. U. z 2021 r. poz. 605), </w:t>
      </w:r>
      <w:r>
        <w:rPr>
          <w:szCs w:val="24"/>
        </w:rPr>
        <w:t xml:space="preserve">zwanej dalej </w:t>
      </w:r>
      <w:r w:rsidR="003F743D">
        <w:rPr>
          <w:szCs w:val="24"/>
        </w:rPr>
        <w:t>„</w:t>
      </w:r>
      <w:r>
        <w:rPr>
          <w:szCs w:val="24"/>
        </w:rPr>
        <w:t xml:space="preserve">ustawą o TFI”, </w:t>
      </w:r>
      <w:r w:rsidRPr="003976D6">
        <w:rPr>
          <w:szCs w:val="24"/>
        </w:rPr>
        <w:t>w terminie 18 miesięcy od dnia wejścia w życie ustawy zmieniającej, tj. do dnia 30 maja 2021 r.</w:t>
      </w:r>
      <w:r w:rsidR="003F743D">
        <w:rPr>
          <w:szCs w:val="24"/>
        </w:rPr>
        <w:t xml:space="preserve"> </w:t>
      </w:r>
      <w:r w:rsidR="003976D6" w:rsidRPr="003976D6">
        <w:rPr>
          <w:szCs w:val="24"/>
        </w:rPr>
        <w:t xml:space="preserve">Prace legislacyjne nad ustawą zmieniającą, w tym sposób określenia terminu dostosowawczego, nie mogły uwzględniać czynnika negatywnie oddziałującego na działalność TFI, tj. stanu pandemii spowodowanej wirusem COVID-19, który pojawił się po wejściu w życie ustawy zmieniającej. W konsekwencji ogłoszonego stanu pandemii oraz szeregu ograniczeń wprowadzonych dla przeciwdziałania rozprzestrzeniania się pandemii, w tym przyjęciu zdalnego modelu pracy w wielu instytucjach, utrudnione zostało dostosowywanie TFI oraz zarządzających alternatywnymi spółkami inwestycyjnymi do zmienionych przepisów ustawy </w:t>
      </w:r>
      <w:r>
        <w:rPr>
          <w:szCs w:val="24"/>
        </w:rPr>
        <w:t>o TFI</w:t>
      </w:r>
      <w:r w:rsidR="003976D6" w:rsidRPr="003976D6">
        <w:rPr>
          <w:szCs w:val="24"/>
        </w:rPr>
        <w:t xml:space="preserve">. W szczególności zaistniała potrzeba dłuższego okresu na realizację przez TFI czynności mających na celu zapewnienie, aby członkowie zarządu TFI spełniali wymogi przewidziane w ustawie </w:t>
      </w:r>
      <w:r>
        <w:rPr>
          <w:szCs w:val="24"/>
        </w:rPr>
        <w:t>o TFI</w:t>
      </w:r>
      <w:r w:rsidR="003976D6" w:rsidRPr="003976D6">
        <w:rPr>
          <w:szCs w:val="24"/>
        </w:rPr>
        <w:t>.</w:t>
      </w:r>
    </w:p>
    <w:p w14:paraId="2BCFE774" w14:textId="77777777" w:rsidR="003F743D" w:rsidRPr="003976D6" w:rsidRDefault="003F743D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74AA76AA" w14:textId="02A82DB2" w:rsidR="00DC1AF2" w:rsidRDefault="003976D6" w:rsidP="006E1CC9">
      <w:pPr>
        <w:pStyle w:val="ARTartustawynprozporzdzeni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 xml:space="preserve">Dostosowanie działalności TFI do nowych wymogów wymaga weryfikacji i rewizji obowiązującego do chwili wejścia w życie ustawy zmieniającej ładu korporacyjnego w tych podmiotach. Polega to na przeprowadzeniu oceny członków organów statutowych TFI </w:t>
      </w:r>
      <w:r w:rsidR="007168A4">
        <w:rPr>
          <w:szCs w:val="24"/>
        </w:rPr>
        <w:t xml:space="preserve">pod kątem </w:t>
      </w:r>
      <w:r w:rsidRPr="003976D6">
        <w:rPr>
          <w:szCs w:val="24"/>
        </w:rPr>
        <w:t xml:space="preserve">wymogów określonych w art. 11 ustawy zmieniającej (tj. w przepisie wprowadzającym zmiany w ustawie </w:t>
      </w:r>
      <w:r w:rsidR="007168A4">
        <w:rPr>
          <w:szCs w:val="24"/>
        </w:rPr>
        <w:t>o TFI</w:t>
      </w:r>
      <w:r w:rsidR="003F743D">
        <w:rPr>
          <w:szCs w:val="24"/>
        </w:rPr>
        <w:t>)</w:t>
      </w:r>
      <w:r w:rsidRPr="003976D6">
        <w:rPr>
          <w:szCs w:val="24"/>
        </w:rPr>
        <w:t>.</w:t>
      </w:r>
      <w:r w:rsidR="007168A4">
        <w:rPr>
          <w:szCs w:val="24"/>
        </w:rPr>
        <w:t xml:space="preserve"> U</w:t>
      </w:r>
      <w:r w:rsidR="007168A4" w:rsidRPr="003976D6">
        <w:rPr>
          <w:szCs w:val="24"/>
        </w:rPr>
        <w:t xml:space="preserve">stawa zmieniająca wprowadziła w szczególności konieczność uzyskania zgody Komisji Nadzoru Finansowego na powołanie członków zarządu TFI odpowiedzialnych za nadzorowanie kluczowych obszarów działalności tych podmiotów tj. inwestycji i ryzyka (art. 42b ust. 1 ustawy </w:t>
      </w:r>
      <w:r w:rsidR="007168A4">
        <w:rPr>
          <w:szCs w:val="24"/>
        </w:rPr>
        <w:t>o TFI</w:t>
      </w:r>
      <w:r w:rsidR="007168A4" w:rsidRPr="003976D6">
        <w:rPr>
          <w:szCs w:val="24"/>
        </w:rPr>
        <w:t xml:space="preserve">, dodany przez art. 11 pkt 11 ustawy zmieniającej). Jak wynika z informacji przekazanych projektodawcy przez Komisję Nadzoru Finansowego, czynności te wiążą się z koniecznością przeprowadzenia do </w:t>
      </w:r>
      <w:r w:rsidR="003F743D">
        <w:rPr>
          <w:szCs w:val="24"/>
        </w:rPr>
        <w:t xml:space="preserve">dnia </w:t>
      </w:r>
      <w:r w:rsidR="007168A4" w:rsidRPr="003976D6">
        <w:rPr>
          <w:szCs w:val="24"/>
        </w:rPr>
        <w:t>30 maja 2021 r. jeszcze 112 postępowań administracyjnych w przedmiocie wyrażenia tej zgody przez Komisję Nadzoru Finansowego.</w:t>
      </w:r>
      <w:r w:rsidR="007168A4" w:rsidRPr="007168A4">
        <w:rPr>
          <w:szCs w:val="24"/>
        </w:rPr>
        <w:t xml:space="preserve"> </w:t>
      </w:r>
      <w:r w:rsidR="007168A4" w:rsidRPr="003976D6">
        <w:rPr>
          <w:szCs w:val="24"/>
        </w:rPr>
        <w:t xml:space="preserve">Proces oceny dotyczy ponad 600 osób i wymaga przeprowadzenia dokonania szeregu czynności sprawdzających zarówno po stronie TFI, jak </w:t>
      </w:r>
      <w:r w:rsidR="007168A4" w:rsidRPr="003976D6">
        <w:rPr>
          <w:szCs w:val="24"/>
        </w:rPr>
        <w:lastRenderedPageBreak/>
        <w:t>i</w:t>
      </w:r>
      <w:r w:rsidR="003F743D">
        <w:rPr>
          <w:szCs w:val="24"/>
        </w:rPr>
        <w:t> Komisji N</w:t>
      </w:r>
      <w:r w:rsidR="007168A4" w:rsidRPr="003976D6">
        <w:rPr>
          <w:szCs w:val="24"/>
        </w:rPr>
        <w:t xml:space="preserve">adzoru Finansowego. W sytuacji trwającej epidemii działania te są znacznie utrudnione, a czasami niemożliwe do przeprowadzenia w zaplanowanym terminie. Z tych względów potrzebna i uzasadniona jest zmiana terminu wynikającego z przepisu art. 39 ust. 1 ustawy zmieniającej polegająca na przedłużeniu obowiązku dostosowawczego o </w:t>
      </w:r>
      <w:r w:rsidR="000A7875">
        <w:rPr>
          <w:szCs w:val="24"/>
        </w:rPr>
        <w:t xml:space="preserve">4 </w:t>
      </w:r>
      <w:r w:rsidR="007168A4" w:rsidRPr="003976D6">
        <w:rPr>
          <w:szCs w:val="24"/>
        </w:rPr>
        <w:t>miesi</w:t>
      </w:r>
      <w:r w:rsidR="000A7875">
        <w:rPr>
          <w:szCs w:val="24"/>
        </w:rPr>
        <w:t xml:space="preserve">ące; </w:t>
      </w:r>
      <w:r w:rsidR="00DC1AF2">
        <w:rPr>
          <w:szCs w:val="24"/>
        </w:rPr>
        <w:t>z</w:t>
      </w:r>
      <w:r w:rsidR="00AA65AD">
        <w:rPr>
          <w:szCs w:val="24"/>
        </w:rPr>
        <w:t xml:space="preserve">miana polega na dodaniu: </w:t>
      </w:r>
      <w:r w:rsidR="007168A4" w:rsidRPr="003976D6">
        <w:rPr>
          <w:szCs w:val="24"/>
        </w:rPr>
        <w:t xml:space="preserve"> </w:t>
      </w:r>
    </w:p>
    <w:p w14:paraId="136C0B48" w14:textId="5EE8CA61" w:rsidR="00DC1AF2" w:rsidRDefault="00AA65AD" w:rsidP="006E1CC9">
      <w:pPr>
        <w:pStyle w:val="ARTartustawynprozporzdzenia"/>
        <w:numPr>
          <w:ilvl w:val="0"/>
          <w:numId w:val="4"/>
        </w:numPr>
        <w:spacing w:before="0" w:line="276" w:lineRule="auto"/>
        <w:rPr>
          <w:szCs w:val="24"/>
        </w:rPr>
      </w:pPr>
      <w:r w:rsidRPr="00AA65AD">
        <w:rPr>
          <w:szCs w:val="24"/>
        </w:rPr>
        <w:t xml:space="preserve">pkt 11a </w:t>
      </w:r>
      <w:r w:rsidR="003976D6" w:rsidRPr="00AA65AD">
        <w:rPr>
          <w:szCs w:val="24"/>
        </w:rPr>
        <w:t xml:space="preserve">w § 1 </w:t>
      </w:r>
      <w:r w:rsidRPr="00AA65AD">
        <w:rPr>
          <w:szCs w:val="24"/>
        </w:rPr>
        <w:t xml:space="preserve">zmienianego </w:t>
      </w:r>
      <w:r w:rsidR="003976D6" w:rsidRPr="00AA65AD">
        <w:rPr>
          <w:szCs w:val="24"/>
        </w:rPr>
        <w:t xml:space="preserve">rozporządzenia </w:t>
      </w:r>
      <w:r w:rsidRPr="00AA65AD">
        <w:rPr>
          <w:szCs w:val="24"/>
        </w:rPr>
        <w:t xml:space="preserve"> –  </w:t>
      </w:r>
      <w:r w:rsidR="003976D6" w:rsidRPr="00AA65AD">
        <w:rPr>
          <w:szCs w:val="24"/>
        </w:rPr>
        <w:t>odwołania do ustawy zmieniającej w przepisie określającym przedmiot regulacji nowelizowanego rozporządzenia</w:t>
      </w:r>
      <w:r w:rsidRPr="00AA65AD">
        <w:rPr>
          <w:szCs w:val="24"/>
        </w:rPr>
        <w:t xml:space="preserve"> (</w:t>
      </w:r>
      <w:r w:rsidRPr="00AA65AD">
        <w:rPr>
          <w:rStyle w:val="Ppogrubienie"/>
          <w:b w:val="0"/>
          <w:szCs w:val="24"/>
        </w:rPr>
        <w:t xml:space="preserve">w </w:t>
      </w:r>
      <w:r w:rsidR="003F743D">
        <w:rPr>
          <w:rStyle w:val="Ppogrubienie"/>
          <w:szCs w:val="24"/>
        </w:rPr>
        <w:t>§ </w:t>
      </w:r>
      <w:r w:rsidRPr="00AA65AD">
        <w:rPr>
          <w:rStyle w:val="Ppogrubienie"/>
          <w:szCs w:val="24"/>
        </w:rPr>
        <w:t>1 pkt 1</w:t>
      </w:r>
      <w:r w:rsidRPr="00AA65AD">
        <w:rPr>
          <w:b/>
          <w:szCs w:val="24"/>
        </w:rPr>
        <w:t xml:space="preserve"> projektu</w:t>
      </w:r>
      <w:r w:rsidRPr="00AA65AD">
        <w:rPr>
          <w:szCs w:val="24"/>
        </w:rPr>
        <w:t>);</w:t>
      </w:r>
      <w:r>
        <w:rPr>
          <w:szCs w:val="24"/>
        </w:rPr>
        <w:t xml:space="preserve"> </w:t>
      </w:r>
    </w:p>
    <w:p w14:paraId="36171460" w14:textId="7935717C" w:rsidR="003976D6" w:rsidRPr="00DC1AF2" w:rsidRDefault="00AA65AD" w:rsidP="006E1CC9">
      <w:pPr>
        <w:pStyle w:val="ARTartustawynprozporzdzenia"/>
        <w:numPr>
          <w:ilvl w:val="0"/>
          <w:numId w:val="4"/>
        </w:numPr>
        <w:spacing w:before="0" w:line="276" w:lineRule="auto"/>
        <w:rPr>
          <w:szCs w:val="24"/>
        </w:rPr>
      </w:pPr>
      <w:r>
        <w:t xml:space="preserve">§ 12a </w:t>
      </w:r>
      <w:r w:rsidRPr="00AA65AD">
        <w:rPr>
          <w:szCs w:val="24"/>
        </w:rPr>
        <w:t>–</w:t>
      </w:r>
      <w:r>
        <w:t xml:space="preserve"> </w:t>
      </w:r>
      <w:r w:rsidR="003976D6" w:rsidRPr="00AA65AD">
        <w:rPr>
          <w:szCs w:val="24"/>
        </w:rPr>
        <w:t>przedłuż</w:t>
      </w:r>
      <w:r w:rsidRPr="00AA65AD">
        <w:rPr>
          <w:szCs w:val="24"/>
        </w:rPr>
        <w:t xml:space="preserve">eniu </w:t>
      </w:r>
      <w:r w:rsidR="003976D6" w:rsidRPr="00AA65AD">
        <w:rPr>
          <w:szCs w:val="24"/>
        </w:rPr>
        <w:t>termin</w:t>
      </w:r>
      <w:r w:rsidRPr="00AA65AD">
        <w:rPr>
          <w:szCs w:val="24"/>
        </w:rPr>
        <w:t>u</w:t>
      </w:r>
      <w:r w:rsidR="003976D6" w:rsidRPr="00AA65AD">
        <w:rPr>
          <w:szCs w:val="24"/>
        </w:rPr>
        <w:t xml:space="preserve"> dostosowani</w:t>
      </w:r>
      <w:r w:rsidRPr="00AA65AD">
        <w:rPr>
          <w:szCs w:val="24"/>
        </w:rPr>
        <w:t>a</w:t>
      </w:r>
      <w:r w:rsidR="003976D6" w:rsidRPr="00AA65AD">
        <w:rPr>
          <w:szCs w:val="24"/>
        </w:rPr>
        <w:t xml:space="preserve"> działalności TFI do nowych wymogów wynikających z ustawy zmieniającej o </w:t>
      </w:r>
      <w:r w:rsidR="000A7875">
        <w:rPr>
          <w:szCs w:val="24"/>
        </w:rPr>
        <w:t xml:space="preserve">4 miesiące </w:t>
      </w:r>
      <w:r w:rsidRPr="00AA65AD">
        <w:rPr>
          <w:rStyle w:val="Ppogrubienie"/>
          <w:b w:val="0"/>
          <w:szCs w:val="24"/>
        </w:rPr>
        <w:t>(</w:t>
      </w:r>
      <w:r w:rsidRPr="00AA65AD">
        <w:rPr>
          <w:rStyle w:val="Ppogrubienie"/>
          <w:szCs w:val="24"/>
        </w:rPr>
        <w:t>§ 1 pkt 2 projektu</w:t>
      </w:r>
      <w:r w:rsidRPr="00AA65AD">
        <w:rPr>
          <w:rStyle w:val="Ppogrubienie"/>
          <w:b w:val="0"/>
          <w:szCs w:val="24"/>
        </w:rPr>
        <w:t>).</w:t>
      </w:r>
    </w:p>
    <w:p w14:paraId="35176F7B" w14:textId="77777777" w:rsidR="00AA65AD" w:rsidRDefault="00AA65AD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0D80D731" w14:textId="1EBB2DC4" w:rsidR="00155B6D" w:rsidRPr="003976D6" w:rsidRDefault="003976D6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 xml:space="preserve">Zgodnie z </w:t>
      </w:r>
      <w:r w:rsidRPr="003976D6">
        <w:rPr>
          <w:rStyle w:val="Ppogrubienie"/>
          <w:szCs w:val="24"/>
        </w:rPr>
        <w:t>§ 2</w:t>
      </w:r>
      <w:r w:rsidRPr="003976D6">
        <w:rPr>
          <w:szCs w:val="24"/>
        </w:rPr>
        <w:t xml:space="preserve"> </w:t>
      </w:r>
      <w:r w:rsidRPr="00AA65AD">
        <w:rPr>
          <w:b/>
          <w:szCs w:val="24"/>
        </w:rPr>
        <w:t>projekt</w:t>
      </w:r>
      <w:r w:rsidR="00AA65AD" w:rsidRPr="00AA65AD">
        <w:rPr>
          <w:b/>
          <w:szCs w:val="24"/>
        </w:rPr>
        <w:t>u</w:t>
      </w:r>
      <w:r w:rsidR="00AA65AD">
        <w:rPr>
          <w:szCs w:val="24"/>
        </w:rPr>
        <w:t xml:space="preserve"> </w:t>
      </w:r>
      <w:r w:rsidRPr="003976D6">
        <w:rPr>
          <w:szCs w:val="24"/>
        </w:rPr>
        <w:t xml:space="preserve"> rozporządzenie wejdzie w życie z dniem następującym po dniu ogłoszenia. Tak określony termin wejścia w życie nie jest niezgodny z zasadami demokratycznego państwa prawa</w:t>
      </w:r>
      <w:r w:rsidR="00AA65AD">
        <w:rPr>
          <w:szCs w:val="24"/>
        </w:rPr>
        <w:t xml:space="preserve"> – </w:t>
      </w:r>
      <w:r w:rsidRPr="003976D6">
        <w:rPr>
          <w:szCs w:val="24"/>
        </w:rPr>
        <w:t xml:space="preserve">okres </w:t>
      </w:r>
      <w:r w:rsidRPr="003976D6">
        <w:rPr>
          <w:rStyle w:val="Kkursywa"/>
          <w:szCs w:val="24"/>
        </w:rPr>
        <w:t>vacatio legis</w:t>
      </w:r>
      <w:r w:rsidRPr="003976D6">
        <w:rPr>
          <w:szCs w:val="24"/>
        </w:rPr>
        <w:t xml:space="preserve"> jest spowodowany koniecznością wejścia w życie tego rozporządzenia przed dniem 30 maja 2021 r., tj. przed upływem terminu przewidzianego w ustawie zmieniającej na dostosowanie działalności TFI do nowych wymogów</w:t>
      </w:r>
      <w:r w:rsidR="00AA65AD">
        <w:rPr>
          <w:szCs w:val="24"/>
        </w:rPr>
        <w:t>. Z</w:t>
      </w:r>
      <w:r w:rsidRPr="003976D6">
        <w:rPr>
          <w:szCs w:val="24"/>
        </w:rPr>
        <w:t>miana rozporządzenia jest korzystna dla podmiotów objętych zakresem zastosowania rozporządzenia.</w:t>
      </w:r>
      <w:r w:rsidR="00155B6D" w:rsidRPr="00155B6D">
        <w:rPr>
          <w:szCs w:val="24"/>
        </w:rPr>
        <w:t xml:space="preserve"> </w:t>
      </w:r>
      <w:r w:rsidR="00155B6D">
        <w:rPr>
          <w:szCs w:val="24"/>
        </w:rPr>
        <w:t xml:space="preserve">W związku z tym </w:t>
      </w:r>
      <w:r w:rsidR="00155B6D" w:rsidRPr="003976D6">
        <w:rPr>
          <w:szCs w:val="24"/>
        </w:rPr>
        <w:t xml:space="preserve">odstąpiono </w:t>
      </w:r>
      <w:r w:rsidR="00155B6D">
        <w:rPr>
          <w:szCs w:val="24"/>
        </w:rPr>
        <w:t xml:space="preserve">także </w:t>
      </w:r>
      <w:r w:rsidR="00155B6D" w:rsidRPr="003976D6">
        <w:rPr>
          <w:szCs w:val="24"/>
        </w:rPr>
        <w:t>od wynikającej z przepisów uchwały nr 20 Rady Ministrów z dnia 18 lutego 2014 r. w sprawie zaleceń ujednolicenia terminów wejścia w życie niektórych aktów normatywnych (M.P. poz. 205) zasady ustalania na dzień 1 stycznia albo 1 czerwca daty wejścia w życie przepisów określających warunki prowadzenia działalności gospodarczej.</w:t>
      </w:r>
    </w:p>
    <w:p w14:paraId="2E756883" w14:textId="2916E6FA" w:rsidR="003976D6" w:rsidRDefault="003976D6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127C48EB" w14:textId="4661E397" w:rsidR="003976D6" w:rsidRPr="003976D6" w:rsidRDefault="003976D6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>Projektowane rozporządzenie nie wymaga przedstawiania organom i instytucjom Unii Europejskiej w celu uzyskania opinii, dokonania powiadomienia, konsultacji albo uzgodnienia. W szczególności, zgodnie z art. 2 ust. 1 decyzji Rady 98/415/WE z dnia 29 czerwca 1998 r. w sprawie konsultacji Europejskiego Banku Centralnego</w:t>
      </w:r>
      <w:r w:rsidR="003F743D">
        <w:rPr>
          <w:szCs w:val="24"/>
        </w:rPr>
        <w:t xml:space="preserve"> udzielanych władzom krajowym w </w:t>
      </w:r>
      <w:r w:rsidRPr="003976D6">
        <w:rPr>
          <w:szCs w:val="24"/>
        </w:rPr>
        <w:t>sprawie projektów przepisów prawnych (Dz. Urz. WE L 189 z 03.07.1998, str. 42), projekt rozporządzenia nie podlega konsultacji z Europejskim Bankiem Centralnym.</w:t>
      </w:r>
    </w:p>
    <w:p w14:paraId="346502DB" w14:textId="77777777" w:rsidR="003F743D" w:rsidRDefault="003F743D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</w:p>
    <w:p w14:paraId="3066A957" w14:textId="77777777" w:rsidR="00DC1AF2" w:rsidRDefault="003976D6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>Stosownie do art. 4 ustawy z dnia 7 lipca 2005 r. o działalności lobbingowej w procesie stanowienia prawa (Dz. U. z 2017 r. poz. 248) projekt został zamieszczony w wykazie prac legislacyjnych Ministra Finansów, Funduszy i Polityki Regionalnej.</w:t>
      </w:r>
      <w:r w:rsidR="007168A4">
        <w:rPr>
          <w:szCs w:val="24"/>
        </w:rPr>
        <w:t xml:space="preserve"> </w:t>
      </w:r>
    </w:p>
    <w:p w14:paraId="222B4DB9" w14:textId="77777777" w:rsidR="003F743D" w:rsidRDefault="003F743D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</w:p>
    <w:p w14:paraId="15C5D83B" w14:textId="6D7B3BDB" w:rsidR="003976D6" w:rsidRDefault="003976D6" w:rsidP="006E1CC9">
      <w:pPr>
        <w:pStyle w:val="NIEARTTEKSTtekstnieartykuowanynppodstprawnarozplubpreambu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>Zgodnie z art. 5 ustawy z dnia 7 lipca 2005 r. o działalności lobbingowej w procesie stanowienia prawa oraz § 52 uchwały nr 190 Rady Ministrów z dnia 29 października 2013 r. – Regulamin pracy Rady Ministrów (M.P. z 2016 r. poz. 1006, z późn. zm.) projekt rozporządzenia zosta</w:t>
      </w:r>
      <w:r w:rsidR="00DC1AF2">
        <w:rPr>
          <w:szCs w:val="24"/>
        </w:rPr>
        <w:t>ł</w:t>
      </w:r>
      <w:r w:rsidRPr="003976D6">
        <w:rPr>
          <w:szCs w:val="24"/>
        </w:rPr>
        <w:t xml:space="preserve"> udostępniony w Biuletynie Informacji Publicznej na stronie podmiotowej Rządowego Centrum Legislacji w serwisie Rządowy Proces Legislacyjny.</w:t>
      </w:r>
    </w:p>
    <w:p w14:paraId="72517497" w14:textId="77777777" w:rsidR="003F743D" w:rsidRPr="003F743D" w:rsidRDefault="003F743D" w:rsidP="003F743D">
      <w:pPr>
        <w:pStyle w:val="ARTartustawynprozporzdzenia"/>
      </w:pPr>
    </w:p>
    <w:p w14:paraId="5084455D" w14:textId="2DD02175" w:rsidR="00DC1AF2" w:rsidRDefault="00AA65AD" w:rsidP="006E1CC9">
      <w:pPr>
        <w:pStyle w:val="ARTartustawynprozporzdzeni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 xml:space="preserve">Zawarte w projekcie regulacje nie stanowią przepisów technicznych w rozumieniu rozporządzenia Rady Ministrów z dnia 23 grudnia 2002 r. w sprawie sposobu funkcjonowania </w:t>
      </w:r>
      <w:r w:rsidRPr="003976D6">
        <w:rPr>
          <w:szCs w:val="24"/>
        </w:rPr>
        <w:lastRenderedPageBreak/>
        <w:t>krajowego systemu notyfikacji norm i aktów prawnych (Dz. U. poz. 2039, z późn. zm.), dlatego projekt rozporządzenia nie podlega procedurze notyfikacji</w:t>
      </w:r>
      <w:r w:rsidR="00DC1AF2">
        <w:rPr>
          <w:szCs w:val="24"/>
        </w:rPr>
        <w:t>.</w:t>
      </w:r>
    </w:p>
    <w:p w14:paraId="39F2C283" w14:textId="77777777" w:rsidR="003F743D" w:rsidRDefault="003F743D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7F27C774" w14:textId="39AEDB56" w:rsidR="00AA65AD" w:rsidRDefault="00155B6D" w:rsidP="006E1CC9">
      <w:pPr>
        <w:pStyle w:val="ARTartustawynprozporzdzenia"/>
        <w:spacing w:before="0" w:line="276" w:lineRule="auto"/>
        <w:ind w:firstLine="0"/>
        <w:rPr>
          <w:szCs w:val="24"/>
        </w:rPr>
      </w:pPr>
      <w:r>
        <w:rPr>
          <w:szCs w:val="24"/>
        </w:rPr>
        <w:t xml:space="preserve">Wejście </w:t>
      </w:r>
      <w:r w:rsidR="00AA65AD">
        <w:rPr>
          <w:szCs w:val="24"/>
        </w:rPr>
        <w:t xml:space="preserve">w życie </w:t>
      </w:r>
      <w:r w:rsidR="00AA65AD" w:rsidRPr="003976D6">
        <w:rPr>
          <w:szCs w:val="24"/>
        </w:rPr>
        <w:t>rozporządzenia będzie miał</w:t>
      </w:r>
      <w:r>
        <w:rPr>
          <w:szCs w:val="24"/>
        </w:rPr>
        <w:t>o</w:t>
      </w:r>
      <w:r w:rsidR="00AA65AD" w:rsidRPr="003976D6">
        <w:rPr>
          <w:szCs w:val="24"/>
        </w:rPr>
        <w:t xml:space="preserve"> korzystny wpływ na działalność TFI będących mikro-, małymi i średnimi przedsiębiorcami. Podmioty te uzyskają dodatkowe</w:t>
      </w:r>
      <w:r w:rsidR="000A7875">
        <w:rPr>
          <w:szCs w:val="24"/>
        </w:rPr>
        <w:t xml:space="preserve"> 4 miesiące n</w:t>
      </w:r>
      <w:r w:rsidR="00AA65AD" w:rsidRPr="003976D6">
        <w:rPr>
          <w:szCs w:val="24"/>
        </w:rPr>
        <w:t>a dostosowanie swojej działalności do nowych wymogów wynikających z ustawy zmieniającej</w:t>
      </w:r>
      <w:r w:rsidR="00AA65AD">
        <w:rPr>
          <w:szCs w:val="24"/>
        </w:rPr>
        <w:t>.</w:t>
      </w:r>
    </w:p>
    <w:p w14:paraId="311CE698" w14:textId="77777777" w:rsidR="003F743D" w:rsidRDefault="003F743D" w:rsidP="006E1CC9">
      <w:pPr>
        <w:pStyle w:val="ARTartustawynprozporzdzenia"/>
        <w:spacing w:before="0" w:line="276" w:lineRule="auto"/>
        <w:ind w:firstLine="0"/>
        <w:rPr>
          <w:szCs w:val="24"/>
        </w:rPr>
      </w:pPr>
    </w:p>
    <w:p w14:paraId="140D6619" w14:textId="341BA507" w:rsidR="00AA65AD" w:rsidRPr="003976D6" w:rsidRDefault="00AA65AD" w:rsidP="006E1CC9">
      <w:pPr>
        <w:pStyle w:val="ARTartustawynprozporzdzenia"/>
        <w:spacing w:before="0" w:line="276" w:lineRule="auto"/>
        <w:ind w:firstLine="0"/>
        <w:rPr>
          <w:szCs w:val="24"/>
        </w:rPr>
      </w:pPr>
      <w:r w:rsidRPr="003976D6">
        <w:rPr>
          <w:szCs w:val="24"/>
        </w:rPr>
        <w:t>Projekt rozporządzenia nie jest sprzeczny z prawem Unii Europejskiej.</w:t>
      </w:r>
    </w:p>
    <w:p w14:paraId="611283B4" w14:textId="77777777" w:rsidR="00AA65AD" w:rsidRPr="007168A4" w:rsidRDefault="00AA65AD" w:rsidP="006E1CC9">
      <w:pPr>
        <w:pStyle w:val="NIEARTTEKSTtekstnieartykuowanynppodstprawnarozplubpreambua"/>
        <w:spacing w:before="0" w:line="276" w:lineRule="auto"/>
        <w:ind w:firstLine="0"/>
      </w:pPr>
    </w:p>
    <w:p w14:paraId="1E537A31" w14:textId="77777777" w:rsidR="00AA65AD" w:rsidRDefault="00AA65AD" w:rsidP="006E1CC9">
      <w:pPr>
        <w:spacing w:line="276" w:lineRule="auto"/>
      </w:pPr>
    </w:p>
    <w:p w14:paraId="2CD4F4BC" w14:textId="77777777" w:rsidR="00AA65AD" w:rsidRPr="00AA65AD" w:rsidRDefault="00AA65AD" w:rsidP="006E1CC9">
      <w:pPr>
        <w:pStyle w:val="NIEARTTEKSTtekstnieartykuowanynppodstprawnarozplubpreambua"/>
        <w:spacing w:before="0" w:line="276" w:lineRule="auto"/>
        <w:ind w:firstLine="0"/>
      </w:pPr>
    </w:p>
    <w:p w14:paraId="75F42ED0" w14:textId="5870EC58" w:rsidR="00150C17" w:rsidRDefault="00150C17" w:rsidP="006E1CC9">
      <w:pPr>
        <w:spacing w:line="276" w:lineRule="auto"/>
      </w:pPr>
    </w:p>
    <w:sectPr w:rsidR="00150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E5E3" w14:textId="77777777" w:rsidR="00BD1088" w:rsidRDefault="00BD1088" w:rsidP="004A4FC3">
      <w:pPr>
        <w:spacing w:after="0" w:line="240" w:lineRule="auto"/>
      </w:pPr>
      <w:r>
        <w:separator/>
      </w:r>
    </w:p>
  </w:endnote>
  <w:endnote w:type="continuationSeparator" w:id="0">
    <w:p w14:paraId="00F77EE6" w14:textId="77777777" w:rsidR="00BD1088" w:rsidRDefault="00BD1088" w:rsidP="004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18168"/>
      <w:docPartObj>
        <w:docPartGallery w:val="Page Numbers (Bottom of Page)"/>
        <w:docPartUnique/>
      </w:docPartObj>
    </w:sdtPr>
    <w:sdtEndPr/>
    <w:sdtContent>
      <w:p w14:paraId="108866B8" w14:textId="3F1F55F3" w:rsidR="004A4FC3" w:rsidRDefault="004A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BC">
          <w:rPr>
            <w:noProof/>
          </w:rPr>
          <w:t>1</w:t>
        </w:r>
        <w:r>
          <w:fldChar w:fldCharType="end"/>
        </w:r>
      </w:p>
    </w:sdtContent>
  </w:sdt>
  <w:p w14:paraId="51EC4CC7" w14:textId="77777777" w:rsidR="004A4FC3" w:rsidRDefault="004A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6EA4" w14:textId="77777777" w:rsidR="00BD1088" w:rsidRDefault="00BD1088" w:rsidP="004A4FC3">
      <w:pPr>
        <w:spacing w:after="0" w:line="240" w:lineRule="auto"/>
      </w:pPr>
      <w:r>
        <w:separator/>
      </w:r>
    </w:p>
  </w:footnote>
  <w:footnote w:type="continuationSeparator" w:id="0">
    <w:p w14:paraId="270CFAFC" w14:textId="77777777" w:rsidR="00BD1088" w:rsidRDefault="00BD1088" w:rsidP="004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2E6"/>
    <w:multiLevelType w:val="hybridMultilevel"/>
    <w:tmpl w:val="2188EA18"/>
    <w:lvl w:ilvl="0" w:tplc="AD065B40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68B1721"/>
    <w:multiLevelType w:val="hybridMultilevel"/>
    <w:tmpl w:val="E2E2AE26"/>
    <w:lvl w:ilvl="0" w:tplc="2332B4B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FF15D22"/>
    <w:multiLevelType w:val="hybridMultilevel"/>
    <w:tmpl w:val="70584E10"/>
    <w:lvl w:ilvl="0" w:tplc="2332B4BE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9E05F0F"/>
    <w:multiLevelType w:val="hybridMultilevel"/>
    <w:tmpl w:val="F48AD66A"/>
    <w:lvl w:ilvl="0" w:tplc="2332B4B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D6"/>
    <w:rsid w:val="000A7875"/>
    <w:rsid w:val="00137728"/>
    <w:rsid w:val="00150C17"/>
    <w:rsid w:val="00151E38"/>
    <w:rsid w:val="00155B6D"/>
    <w:rsid w:val="00181A0C"/>
    <w:rsid w:val="001F7281"/>
    <w:rsid w:val="002C46A7"/>
    <w:rsid w:val="0034788F"/>
    <w:rsid w:val="0035188C"/>
    <w:rsid w:val="003976D6"/>
    <w:rsid w:val="003F743D"/>
    <w:rsid w:val="0043634C"/>
    <w:rsid w:val="004A4FC3"/>
    <w:rsid w:val="00605EBC"/>
    <w:rsid w:val="006E1CC9"/>
    <w:rsid w:val="007168A4"/>
    <w:rsid w:val="007848DF"/>
    <w:rsid w:val="00851E95"/>
    <w:rsid w:val="00AA65AD"/>
    <w:rsid w:val="00B537A5"/>
    <w:rsid w:val="00BD1088"/>
    <w:rsid w:val="00D008B8"/>
    <w:rsid w:val="00DC1AF2"/>
    <w:rsid w:val="00E74ABB"/>
    <w:rsid w:val="00E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E0B"/>
  <w15:chartTrackingRefBased/>
  <w15:docId w15:val="{ED32D847-18EB-4749-9688-4CAA32D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76D6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6D6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976D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976D6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76D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976D6"/>
    <w:rPr>
      <w:sz w:val="16"/>
      <w:szCs w:val="16"/>
    </w:rPr>
  </w:style>
  <w:style w:type="character" w:customStyle="1" w:styleId="Ppogrubienie">
    <w:name w:val="_P_ – pogrubienie"/>
    <w:basedOn w:val="Domylnaczcionkaakapitu"/>
    <w:uiPriority w:val="1"/>
    <w:qFormat/>
    <w:rsid w:val="003976D6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3976D6"/>
    <w:rPr>
      <w:i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FC3"/>
  </w:style>
  <w:style w:type="paragraph" w:styleId="Stopka">
    <w:name w:val="footer"/>
    <w:basedOn w:val="Normalny"/>
    <w:link w:val="StopkaZnak"/>
    <w:uiPriority w:val="99"/>
    <w:unhideWhenUsed/>
    <w:rsid w:val="004A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F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8A4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8A4"/>
    <w:rPr>
      <w:rFonts w:ascii="Times" w:eastAsia="Times New Roman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Policha Katarzyna</dc:creator>
  <cp:keywords/>
  <dc:description/>
  <cp:lastModifiedBy>KGHM</cp:lastModifiedBy>
  <cp:revision>2</cp:revision>
  <dcterms:created xsi:type="dcterms:W3CDTF">2021-05-20T09:42:00Z</dcterms:created>
  <dcterms:modified xsi:type="dcterms:W3CDTF">2021-05-20T09:42:00Z</dcterms:modified>
</cp:coreProperties>
</file>