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251F" w14:textId="6473BEA4" w:rsidR="000B524D" w:rsidRDefault="000B524D" w:rsidP="000B524D">
      <w:pPr>
        <w:pStyle w:val="OZNPROJEKTUwskazaniedatylubwersjiprojektu"/>
        <w:keepNext/>
      </w:pPr>
      <w:r w:rsidRPr="000B524D">
        <w:t>Projekt</w:t>
      </w:r>
      <w:r>
        <w:t xml:space="preserve"> z dnia </w:t>
      </w:r>
      <w:r w:rsidR="003E4E81">
        <w:t>2</w:t>
      </w:r>
      <w:r w:rsidR="00D00DB3">
        <w:t>7</w:t>
      </w:r>
      <w:r w:rsidR="00730AD4">
        <w:t xml:space="preserve"> maja</w:t>
      </w:r>
      <w:r w:rsidRPr="000B524D">
        <w:t xml:space="preserve"> 2021 r.</w:t>
      </w:r>
    </w:p>
    <w:p w14:paraId="06B9022F" w14:textId="77777777" w:rsidR="00C35C74" w:rsidRDefault="00C35C74" w:rsidP="000B524D">
      <w:pPr>
        <w:pStyle w:val="OZNRODZAKTUtznustawalubrozporzdzenieiorganwydajcy"/>
      </w:pPr>
    </w:p>
    <w:p w14:paraId="2625C8B1" w14:textId="77777777" w:rsidR="000B524D" w:rsidRPr="000B524D" w:rsidRDefault="000B524D" w:rsidP="000B524D">
      <w:pPr>
        <w:pStyle w:val="OZNRODZAKTUtznustawalubrozporzdzenieiorganwydajcy"/>
      </w:pPr>
      <w:r w:rsidRPr="000B524D">
        <w:t xml:space="preserve">Rozporządzenie </w:t>
      </w:r>
      <w:r w:rsidRPr="000B524D">
        <w:br/>
        <w:t>Rady ministrów</w:t>
      </w:r>
    </w:p>
    <w:p w14:paraId="1290EB25" w14:textId="77777777" w:rsidR="000B524D" w:rsidRPr="000B524D" w:rsidRDefault="000B524D" w:rsidP="000B524D">
      <w:pPr>
        <w:pStyle w:val="DATAAKTUdatauchwalenialubwydaniaaktu"/>
      </w:pPr>
      <w:r>
        <w:t>z dnia .................... 2021 r.</w:t>
      </w:r>
    </w:p>
    <w:p w14:paraId="5C99B0CC" w14:textId="76A81B71" w:rsidR="000B524D" w:rsidRPr="000B524D" w:rsidRDefault="000B524D" w:rsidP="000B524D">
      <w:pPr>
        <w:pStyle w:val="TYTUAKTUprzedmiotregulacjiustawylubrozporzdzenia"/>
      </w:pPr>
      <w:r w:rsidRPr="000B524D">
        <w:t>w sprawie ustalenia mapy pomocy regionalnej na lata 2022</w:t>
      </w:r>
      <w:r w:rsidR="007119AA" w:rsidRPr="0013278E">
        <w:t>–</w:t>
      </w:r>
      <w:r w:rsidRPr="000B524D">
        <w:t>2027</w:t>
      </w:r>
    </w:p>
    <w:p w14:paraId="0F207175" w14:textId="2628A485" w:rsidR="000B524D" w:rsidRPr="000B524D" w:rsidRDefault="000B524D" w:rsidP="000B524D">
      <w:pPr>
        <w:pStyle w:val="NIEARTTEKSTtekstnieartykuowanynppodstprawnarozplubpreambua"/>
      </w:pPr>
      <w:r>
        <w:t xml:space="preserve">Na podstawie </w:t>
      </w:r>
      <w:r w:rsidRPr="000B524D">
        <w:t>art. 10 ust. 2 ustawy z dnia 30 kwietnia 2004 r. o postępowaniu w sprawach dotyczących pomocy publicznej (Dz. U. z 202</w:t>
      </w:r>
      <w:r w:rsidR="005543D5">
        <w:t>1</w:t>
      </w:r>
      <w:r w:rsidRPr="000B524D">
        <w:t> r. poz. </w:t>
      </w:r>
      <w:r w:rsidR="005543D5">
        <w:t>743</w:t>
      </w:r>
      <w:r w:rsidRPr="000B524D">
        <w:t>) zarządza się, co następuje:</w:t>
      </w:r>
    </w:p>
    <w:p w14:paraId="6AAD45D5" w14:textId="77777777" w:rsidR="000B524D" w:rsidRPr="000B524D" w:rsidRDefault="000B524D" w:rsidP="000B524D">
      <w:pPr>
        <w:pStyle w:val="ARTartustawynprozporzdzenia"/>
      </w:pPr>
      <w:r w:rsidRPr="000B524D">
        <w:rPr>
          <w:rStyle w:val="Ppogrubienie"/>
        </w:rPr>
        <w:t>§ 1.</w:t>
      </w:r>
      <w:r>
        <w:t> </w:t>
      </w:r>
      <w:r w:rsidRPr="000B524D">
        <w:t>Rozporządzenie określa obszary kraju, na których jest dopuszczalne udzielanie pomocy regionalnej, maksymalne wielkości tej pomocy, a także rodzaje działalności gospodarczej, dla których udzielanie pomocy regionalnej nie jest dozwolone.</w:t>
      </w:r>
    </w:p>
    <w:p w14:paraId="497BC98A" w14:textId="39A4D0A8" w:rsidR="000B524D" w:rsidRPr="000B524D" w:rsidRDefault="00262614" w:rsidP="000B524D">
      <w:pPr>
        <w:pStyle w:val="ARTartustawynprozporzdzenia"/>
      </w:pPr>
      <w:r>
        <w:rPr>
          <w:rStyle w:val="Ppogrubienie"/>
        </w:rPr>
        <w:t>§ 2</w:t>
      </w:r>
      <w:r w:rsidR="000B524D" w:rsidRPr="000B524D">
        <w:rPr>
          <w:rStyle w:val="Ppogrubienie"/>
        </w:rPr>
        <w:t>.</w:t>
      </w:r>
      <w:r w:rsidR="000B524D">
        <w:t> </w:t>
      </w:r>
      <w:r w:rsidR="000B524D" w:rsidRPr="000B524D">
        <w:t>Udzielanie pomocy regionalnej jest dopusz</w:t>
      </w:r>
      <w:r w:rsidR="009C5B21">
        <w:t>czalne w jednostkach terytorialnych</w:t>
      </w:r>
      <w:r w:rsidRPr="00262614">
        <w:t xml:space="preserve"> </w:t>
      </w:r>
      <w:r>
        <w:t>wskazanych w § </w:t>
      </w:r>
      <w:r w:rsidRPr="00262614">
        <w:t>3</w:t>
      </w:r>
      <w:r>
        <w:t>, określonych zgodnie z rozporządzeniem</w:t>
      </w:r>
      <w:r w:rsidRPr="00262614">
        <w:t xml:space="preserve"> </w:t>
      </w:r>
      <w:r w:rsidR="009C5B21">
        <w:t>Komisji (UE) 2019/1755 z dnia 8</w:t>
      </w:r>
      <w:r w:rsidR="00CB6EB4">
        <w:t> </w:t>
      </w:r>
      <w:r w:rsidRPr="00262614">
        <w:t>sierpnia 2019 r. zmieniającym załączniki do rozporządzenia (WE) nr 1059/2003 Parlamentu Europejskiego i Rady w sprawie ustalenia wspólnej klasyfikacji Jednostek Terytorialnych do Celów Statystycznych (NUTS) (Dz. Urz. UE L 270 z 24.10.2019, str.1)</w:t>
      </w:r>
      <w:r>
        <w:t>,</w:t>
      </w:r>
      <w:r w:rsidR="005543D5">
        <w:t xml:space="preserve"> </w:t>
      </w:r>
      <w:r w:rsidR="000B524D" w:rsidRPr="000B524D">
        <w:t>w ramach maksymalnych intensywności pomocy regionalnej.</w:t>
      </w:r>
    </w:p>
    <w:p w14:paraId="2CEF97FD" w14:textId="6F8420AF" w:rsidR="000B524D" w:rsidRPr="000B524D" w:rsidRDefault="00DC742D" w:rsidP="000B524D">
      <w:pPr>
        <w:pStyle w:val="ARTartustawynprozporzdzenia"/>
        <w:keepNext/>
      </w:pPr>
      <w:r>
        <w:rPr>
          <w:rStyle w:val="Ppogrubienie"/>
        </w:rPr>
        <w:t>§ 3</w:t>
      </w:r>
      <w:r w:rsidR="000B524D" w:rsidRPr="000B524D">
        <w:rPr>
          <w:rStyle w:val="Ppogrubienie"/>
        </w:rPr>
        <w:t>.</w:t>
      </w:r>
      <w:r w:rsidR="000B524D">
        <w:t> </w:t>
      </w:r>
      <w:r w:rsidR="000B524D" w:rsidRPr="000B524D">
        <w:t>1. Maksymalna intensywność pomocy regionalnej liczona jako stosunek wartości pomocy regionalnej, wyrażonej w ekwiwalencie dotacji brutto, do kosztów kwalifikujących się do objęci</w:t>
      </w:r>
      <w:r w:rsidR="009276B2">
        <w:t>a tą pomocą, z zastrzeżeniem § 4</w:t>
      </w:r>
      <w:r w:rsidR="000B524D" w:rsidRPr="000B524D">
        <w:t> </w:t>
      </w:r>
      <w:r w:rsidR="005F559F">
        <w:t>i</w:t>
      </w:r>
      <w:r w:rsidR="005F559F" w:rsidRPr="000B524D">
        <w:t xml:space="preserve"> </w:t>
      </w:r>
      <w:r w:rsidR="009276B2">
        <w:t>§ 5</w:t>
      </w:r>
      <w:r w:rsidR="000B524D" w:rsidRPr="000B524D">
        <w:t>, wynosi:</w:t>
      </w:r>
    </w:p>
    <w:p w14:paraId="7EA68B1D" w14:textId="14F6F687" w:rsidR="000B524D" w:rsidRPr="000B524D" w:rsidRDefault="000B524D" w:rsidP="000B524D">
      <w:pPr>
        <w:pStyle w:val="PKTpunkt"/>
      </w:pPr>
      <w:r>
        <w:t>1)</w:t>
      </w:r>
      <w:r>
        <w:tab/>
      </w:r>
      <w:r w:rsidRPr="000B524D">
        <w:t>50% – na obszarach należących do województw: lubelskiego, podkarpackiego,</w:t>
      </w:r>
      <w:r w:rsidR="00D37E50">
        <w:t xml:space="preserve"> podlaskiego, świętokrzyskiego,</w:t>
      </w:r>
      <w:r w:rsidRPr="000B524D">
        <w:t> warmińsko-mazurskiego</w:t>
      </w:r>
      <w:r w:rsidR="00D37E50">
        <w:t xml:space="preserve"> oraz podregionu siedleckiego</w:t>
      </w:r>
      <w:r w:rsidRPr="000B524D">
        <w:t>;</w:t>
      </w:r>
    </w:p>
    <w:p w14:paraId="5633DF4E" w14:textId="23228E88" w:rsidR="000B524D" w:rsidRPr="000B524D" w:rsidRDefault="000B524D" w:rsidP="000B524D">
      <w:pPr>
        <w:pStyle w:val="PKTpunkt"/>
      </w:pPr>
      <w:r>
        <w:t>2)</w:t>
      </w:r>
      <w:r>
        <w:tab/>
      </w:r>
      <w:r w:rsidRPr="000B524D">
        <w:t>40% – na obszarach należących do województw: kujawsko-pomorskiego, lubuskiego, łódzkiego, małopolskiego, opolskiego, zachodniopomorskiego oraz regionu mazowieckiego regionalnego</w:t>
      </w:r>
      <w:r w:rsidR="003D7ABC">
        <w:t xml:space="preserve"> z wyjątkiem </w:t>
      </w:r>
      <w:bookmarkStart w:id="0" w:name="_GoBack"/>
      <w:bookmarkEnd w:id="0"/>
      <w:r w:rsidR="003D7ABC">
        <w:t>podregionu siedleckiego</w:t>
      </w:r>
      <w:r w:rsidRPr="000B524D">
        <w:t>;</w:t>
      </w:r>
    </w:p>
    <w:p w14:paraId="1F0A9246" w14:textId="77B05CB1" w:rsidR="000B524D" w:rsidRPr="000B524D" w:rsidRDefault="000B524D" w:rsidP="000B524D">
      <w:pPr>
        <w:pStyle w:val="PKTpunkt"/>
      </w:pPr>
      <w:r>
        <w:t>3)</w:t>
      </w:r>
      <w:r>
        <w:tab/>
      </w:r>
      <w:r w:rsidRPr="000B524D">
        <w:t>30% – na obszarach należących do województw: pomorskiego</w:t>
      </w:r>
      <w:r w:rsidR="005F559F">
        <w:t xml:space="preserve"> i</w:t>
      </w:r>
      <w:r w:rsidRPr="000B524D">
        <w:t xml:space="preserve"> śląskiego;</w:t>
      </w:r>
    </w:p>
    <w:p w14:paraId="739A4039" w14:textId="77777777" w:rsidR="000B524D" w:rsidRPr="000B524D" w:rsidRDefault="000B524D" w:rsidP="000B524D">
      <w:pPr>
        <w:pStyle w:val="PKTpunkt"/>
      </w:pPr>
      <w:r>
        <w:t>4)</w:t>
      </w:r>
      <w:r>
        <w:tab/>
      </w:r>
      <w:r w:rsidRPr="000B524D">
        <w:t>25% – na obszarach należących do województw</w:t>
      </w:r>
      <w:r w:rsidR="005F559F">
        <w:t>:</w:t>
      </w:r>
      <w:r w:rsidRPr="000B524D">
        <w:t xml:space="preserve"> dolnośląskiego i wielkopolskiego</w:t>
      </w:r>
      <w:r w:rsidR="005F559F">
        <w:t>,</w:t>
      </w:r>
      <w:r w:rsidRPr="000B524D">
        <w:t xml:space="preserve"> z wyłączeniem obszarów wskazanych w pkt 5 i 6;</w:t>
      </w:r>
    </w:p>
    <w:p w14:paraId="7F9EBEC4" w14:textId="28764898" w:rsidR="000B524D" w:rsidRPr="000B524D" w:rsidRDefault="000B524D" w:rsidP="000B524D">
      <w:pPr>
        <w:pStyle w:val="PKTpunkt"/>
      </w:pPr>
      <w:r>
        <w:lastRenderedPageBreak/>
        <w:t>5)</w:t>
      </w:r>
      <w:r>
        <w:tab/>
      </w:r>
      <w:r w:rsidRPr="000B524D">
        <w:t>20% – na obszar</w:t>
      </w:r>
      <w:r w:rsidR="00D34E1C">
        <w:t>ach</w:t>
      </w:r>
      <w:r w:rsidRPr="000B524D">
        <w:t xml:space="preserve"> należący</w:t>
      </w:r>
      <w:r w:rsidR="00D34E1C">
        <w:t>ch</w:t>
      </w:r>
      <w:r w:rsidRPr="000B524D">
        <w:t xml:space="preserve"> do miast Poznania i Wrocławia oraz podregionu poznańskiego w okresie od dnia 1 stycznia 2022 r. do dnia 31 grudnia 2024 r.;</w:t>
      </w:r>
    </w:p>
    <w:p w14:paraId="08097359" w14:textId="0E1B9696" w:rsidR="000B524D" w:rsidRPr="000B524D" w:rsidRDefault="000B524D" w:rsidP="000B524D">
      <w:pPr>
        <w:pStyle w:val="PKTpunkt"/>
      </w:pPr>
      <w:r>
        <w:t>6)</w:t>
      </w:r>
      <w:r>
        <w:tab/>
      </w:r>
      <w:r w:rsidRPr="000B524D">
        <w:t>15% – na obszar</w:t>
      </w:r>
      <w:r w:rsidR="00D34E1C">
        <w:t>ach</w:t>
      </w:r>
      <w:r w:rsidRPr="000B524D">
        <w:t xml:space="preserve"> należący</w:t>
      </w:r>
      <w:r w:rsidR="00D34E1C">
        <w:t>ch</w:t>
      </w:r>
      <w:r w:rsidRPr="000B524D">
        <w:t xml:space="preserve"> do miast Poznania i Wrocławia oraz podregionu poznańskiego w okresie od dnia 1 stycznia 2025 r. do dnia 31 grudnia 2027 r.</w:t>
      </w:r>
    </w:p>
    <w:p w14:paraId="6D9AC079" w14:textId="45634CB6" w:rsidR="000B524D" w:rsidRPr="00D34E1C" w:rsidRDefault="000B524D" w:rsidP="000B524D">
      <w:pPr>
        <w:pStyle w:val="USTustnpkodeksu"/>
      </w:pPr>
      <w:r>
        <w:t>2. </w:t>
      </w:r>
      <w:r w:rsidRPr="000B524D">
        <w:t xml:space="preserve">W </w:t>
      </w:r>
      <w:r w:rsidRPr="00006661">
        <w:t xml:space="preserve">regionie warszawskim stołecznym </w:t>
      </w:r>
      <w:r w:rsidRPr="000B524D">
        <w:t>maksymalna intensywność pomocy regionalnej liczona jako stosunek wartości pomocy regionalnej, wyrażonej w ekwiwalencie dotacji brutto, do kosztów kwalifikujących się do objęci</w:t>
      </w:r>
      <w:r w:rsidR="00A174A4">
        <w:t>a tą pomocą, z zastrzeżeniem § 4</w:t>
      </w:r>
      <w:r w:rsidRPr="000B524D">
        <w:t> </w:t>
      </w:r>
      <w:r w:rsidR="009A40DC">
        <w:t>i</w:t>
      </w:r>
      <w:r w:rsidR="009A40DC" w:rsidRPr="000B524D">
        <w:t xml:space="preserve"> </w:t>
      </w:r>
      <w:r w:rsidR="00A174A4">
        <w:t>§ 5</w:t>
      </w:r>
      <w:r w:rsidRPr="000B524D">
        <w:t xml:space="preserve">, wynosi 25% dla obszarów należących </w:t>
      </w:r>
      <w:r w:rsidRPr="00D34E1C">
        <w:t xml:space="preserve">do </w:t>
      </w:r>
      <w:r w:rsidRPr="00A057A0">
        <w:t>powiatów</w:t>
      </w:r>
      <w:r w:rsidR="00D34E1C" w:rsidRPr="00A057A0">
        <w:t xml:space="preserve"> i </w:t>
      </w:r>
      <w:r w:rsidRPr="00A057A0">
        <w:t>gmin</w:t>
      </w:r>
      <w:r w:rsidR="0044202C">
        <w:t>.</w:t>
      </w:r>
    </w:p>
    <w:p w14:paraId="64D6C310" w14:textId="50E36A69" w:rsidR="000B524D" w:rsidRPr="000B524D" w:rsidRDefault="00DC742D" w:rsidP="000B524D">
      <w:pPr>
        <w:pStyle w:val="ARTartustawynprozporzdzenia"/>
      </w:pPr>
      <w:r>
        <w:rPr>
          <w:rStyle w:val="Ppogrubienie"/>
        </w:rPr>
        <w:t>§ 4</w:t>
      </w:r>
      <w:r w:rsidR="000B524D" w:rsidRPr="000B524D">
        <w:rPr>
          <w:rStyle w:val="Ppogrubienie"/>
        </w:rPr>
        <w:t>.</w:t>
      </w:r>
      <w:r w:rsidR="000B524D">
        <w:t> </w:t>
      </w:r>
      <w:r w:rsidR="000B524D" w:rsidRPr="000B524D">
        <w:t xml:space="preserve">Maksymalną wartość pomocy regionalnej udzielanej na realizację dużego projektu inwestycyjnego ustala </w:t>
      </w:r>
      <w:r w:rsidR="000B524D" w:rsidRPr="00530B0B">
        <w:t xml:space="preserve">się </w:t>
      </w:r>
      <w:r w:rsidR="00530B0B">
        <w:t>według następującego wzoru</w:t>
      </w:r>
      <w:r w:rsidR="000B524D" w:rsidRPr="00530B0B">
        <w:t>:</w:t>
      </w:r>
    </w:p>
    <w:p w14:paraId="1E06263D" w14:textId="0A887405" w:rsidR="000B524D" w:rsidRPr="000B524D" w:rsidRDefault="000B524D" w:rsidP="000B524D">
      <w:pPr>
        <w:pStyle w:val="WMATFIZCHEMwzrmatfizlubchem"/>
      </w:pPr>
      <w:r w:rsidRPr="000B524D">
        <w:t>I = R × (50 mln euro + 0,5 × B + 0,34 × C)</w:t>
      </w:r>
    </w:p>
    <w:p w14:paraId="6CF5BB70" w14:textId="77777777" w:rsidR="000B524D" w:rsidRPr="000B524D" w:rsidRDefault="000B524D" w:rsidP="000B524D">
      <w:pPr>
        <w:pStyle w:val="LEGWMATFIZCHEMlegendawzorumatfizlubchem"/>
      </w:pPr>
      <w:r w:rsidRPr="000B524D">
        <w:t>gdzie poszczególne symbole oznaczają:</w:t>
      </w:r>
    </w:p>
    <w:p w14:paraId="2A24AA41" w14:textId="77777777" w:rsidR="000B524D" w:rsidRPr="000B524D" w:rsidRDefault="000B524D" w:rsidP="000B524D">
      <w:pPr>
        <w:pStyle w:val="LEGWMATFIZCHEMlegendawzorumatfizlubchem"/>
      </w:pPr>
      <w:r w:rsidRPr="000B524D">
        <w:t>I – maksymalną wartość pomocy dla dużego projektu inwestycyjnego,</w:t>
      </w:r>
    </w:p>
    <w:p w14:paraId="5BA44F1C" w14:textId="77777777" w:rsidR="000B524D" w:rsidRPr="000B524D" w:rsidRDefault="000B524D" w:rsidP="000B524D">
      <w:pPr>
        <w:pStyle w:val="LEGWMATFIZCHEMlegendawzorumatfizlubchem"/>
      </w:pPr>
      <w:r w:rsidRPr="000B524D">
        <w:t>R – intensywność pomocy, o której mowa w § 4 – w zależności od obszaru, na którym ma być zlokalizowana inwestycja,</w:t>
      </w:r>
    </w:p>
    <w:p w14:paraId="497BDAA9" w14:textId="77777777" w:rsidR="000B524D" w:rsidRPr="000B524D" w:rsidRDefault="000B524D" w:rsidP="000B524D">
      <w:pPr>
        <w:pStyle w:val="LEGWMATFIZCHEMlegendawzorumatfizlubchem"/>
      </w:pPr>
      <w:r w:rsidRPr="000B524D">
        <w:t>B – wielkość kosztów kwalifikujących się do objęcia pomocą przekraczającą równowartość 50 mln euro, ustaloną według kursu średniego walut obcych, ogłaszanego przez Narodowy Bank Polski, obowiązującego w dniu udzielenia pomocy – nieprzekraczającą równowartości 100 mln euro,</w:t>
      </w:r>
    </w:p>
    <w:p w14:paraId="2F80580B" w14:textId="77777777" w:rsidR="000B524D" w:rsidRPr="000B524D" w:rsidRDefault="000B524D" w:rsidP="000B524D">
      <w:pPr>
        <w:pStyle w:val="LEGWMATFIZCHEMlegendawzorumatfizlubchem"/>
      </w:pPr>
      <w:r w:rsidRPr="000B524D">
        <w:t>C – wielkość kosztów kwalifikujących się do objęcia pomocą przekraczającą równowartość 100 mln euro.</w:t>
      </w:r>
    </w:p>
    <w:p w14:paraId="69BE5EE2" w14:textId="44464429" w:rsidR="000B524D" w:rsidRPr="000B524D" w:rsidRDefault="00DC742D" w:rsidP="000B524D">
      <w:pPr>
        <w:pStyle w:val="ARTartustawynprozporzdzenia"/>
      </w:pPr>
      <w:r>
        <w:rPr>
          <w:rStyle w:val="Ppogrubienie"/>
        </w:rPr>
        <w:t>§ 5</w:t>
      </w:r>
      <w:r w:rsidR="000B524D" w:rsidRPr="000B524D">
        <w:rPr>
          <w:rStyle w:val="Ppogrubienie"/>
        </w:rPr>
        <w:t>.</w:t>
      </w:r>
      <w:r w:rsidR="000B524D">
        <w:t> </w:t>
      </w:r>
      <w:r w:rsidR="000B524D" w:rsidRPr="000B524D">
        <w:t>Maksymalną intensywność pomocy regionalnej udzielanej małym lub średnim przedsiębiorcom, w rozumieniu ustalonym przez Komisję Europejską</w:t>
      </w:r>
      <w:r w:rsidR="001C5561">
        <w:rPr>
          <w:rStyle w:val="Odwoanieprzypisudolnego"/>
        </w:rPr>
        <w:footnoteReference w:id="1"/>
      </w:r>
      <w:r w:rsidR="001C5561">
        <w:rPr>
          <w:rStyle w:val="IGindeksgrny"/>
        </w:rPr>
        <w:t>)</w:t>
      </w:r>
      <w:r w:rsidR="000B524D" w:rsidRPr="000B524D">
        <w:t>, z wyłączeniem nowych inwestycji o kosztach kwalifikowanych przekraczających 50 mln euro, podwyższa się o 20 punktów procentowych brutto w przypadku małych przedsiębiorców oraz o 10 punktów procentowych brutto w przypadku średnich przedsiębiorców, w stosunku do maksymalnej intensywności określonej dla poszc</w:t>
      </w:r>
      <w:r w:rsidR="009276B2">
        <w:t>zególnych obszarów zgodnie z § 3</w:t>
      </w:r>
      <w:r w:rsidR="000B524D" w:rsidRPr="000B524D">
        <w:t>.</w:t>
      </w:r>
    </w:p>
    <w:p w14:paraId="474AE97B" w14:textId="635D49E1" w:rsidR="000B524D" w:rsidRPr="000B524D" w:rsidRDefault="00DC742D" w:rsidP="000B524D">
      <w:pPr>
        <w:pStyle w:val="ARTartustawynprozporzdzenia"/>
        <w:keepNext/>
      </w:pPr>
      <w:r>
        <w:rPr>
          <w:rStyle w:val="Ppogrubienie"/>
        </w:rPr>
        <w:lastRenderedPageBreak/>
        <w:t>§ 6</w:t>
      </w:r>
      <w:r w:rsidR="000B524D" w:rsidRPr="000B524D">
        <w:rPr>
          <w:rStyle w:val="Ppogrubienie"/>
        </w:rPr>
        <w:t>.</w:t>
      </w:r>
      <w:r w:rsidR="000B524D">
        <w:t> </w:t>
      </w:r>
      <w:r w:rsidR="000B524D" w:rsidRPr="000B524D">
        <w:t>Nie jest dozwolone w zakresie określonym przez Komisję Europejską</w:t>
      </w:r>
      <w:r w:rsidR="001C5561">
        <w:rPr>
          <w:rStyle w:val="Odwoanieprzypisudolnego"/>
        </w:rPr>
        <w:footnoteReference w:id="2"/>
      </w:r>
      <w:r w:rsidR="001C5561">
        <w:rPr>
          <w:rStyle w:val="IGindeksgrny"/>
        </w:rPr>
        <w:t>)</w:t>
      </w:r>
      <w:r w:rsidR="000B524D" w:rsidRPr="000B524D">
        <w:t> udzielanie pomocy regionalnej:</w:t>
      </w:r>
    </w:p>
    <w:p w14:paraId="1FEBE44F" w14:textId="6B817EB3" w:rsidR="000B524D" w:rsidRPr="000B524D" w:rsidRDefault="000B524D" w:rsidP="000B524D">
      <w:pPr>
        <w:pStyle w:val="PKTpunkt"/>
      </w:pPr>
      <w:r>
        <w:t>1)</w:t>
      </w:r>
      <w:r>
        <w:tab/>
      </w:r>
      <w:r w:rsidR="003E4E81" w:rsidRPr="003E4E81">
        <w:rPr>
          <w:lang w:bidi="pl-PL"/>
        </w:rPr>
        <w:t>przedsiębiorcom znajdującym się w trudnej sytuacji w rozumieniu właściwych przepisów unijnych dotyczących pomocy państwa na ratowanie i restrukturyzację przedsiębiorstw niefinansowych znajdujących się w trudnej sytuacji</w:t>
      </w:r>
      <w:r w:rsidRPr="000B524D">
        <w:t>;</w:t>
      </w:r>
    </w:p>
    <w:p w14:paraId="37A26F42" w14:textId="4EB17A07" w:rsidR="000B524D" w:rsidRDefault="000B524D" w:rsidP="000B524D">
      <w:pPr>
        <w:pStyle w:val="PKTpunkt"/>
      </w:pPr>
      <w:r>
        <w:t>2)</w:t>
      </w:r>
      <w:r>
        <w:tab/>
      </w:r>
      <w:r w:rsidRPr="000B524D">
        <w:t>w sektorze żelaza i stali;</w:t>
      </w:r>
    </w:p>
    <w:p w14:paraId="081E0898" w14:textId="033C67CB" w:rsidR="00D63511" w:rsidRPr="000B524D" w:rsidRDefault="00D63511" w:rsidP="000B524D">
      <w:pPr>
        <w:pStyle w:val="PKTpunkt"/>
      </w:pPr>
      <w:r>
        <w:t>3)</w:t>
      </w:r>
      <w:r>
        <w:tab/>
        <w:t>w sektorze węgla brunatnego i węglowym;</w:t>
      </w:r>
    </w:p>
    <w:p w14:paraId="3F210647" w14:textId="77777777" w:rsidR="000B524D" w:rsidRPr="000B524D" w:rsidRDefault="000B524D" w:rsidP="000B524D">
      <w:pPr>
        <w:pStyle w:val="PKTpunkt"/>
      </w:pPr>
      <w:r>
        <w:t>4)</w:t>
      </w:r>
      <w:r>
        <w:tab/>
      </w:r>
      <w:r w:rsidRPr="000B524D">
        <w:t>w sektorze rybołówstwa i akwakultury;</w:t>
      </w:r>
    </w:p>
    <w:p w14:paraId="70FAA8C8" w14:textId="06AC8812" w:rsidR="000B524D" w:rsidRPr="000B524D" w:rsidRDefault="000B524D" w:rsidP="000B524D">
      <w:pPr>
        <w:pStyle w:val="PKTpunkt"/>
      </w:pPr>
      <w:r>
        <w:t>5)</w:t>
      </w:r>
      <w:r>
        <w:tab/>
      </w:r>
      <w:r w:rsidRPr="000B524D">
        <w:t>w sektorze rolnictwa rozumianym jako produkcja pierwotna, przetwórstwo i wprowadzanie do obrotu produktów rolnych, o których mowa w </w:t>
      </w:r>
      <w:r w:rsidR="00E86388">
        <w:t>z</w:t>
      </w:r>
      <w:r w:rsidR="00DC742D">
        <w:t>ałączniku I do </w:t>
      </w:r>
      <w:r w:rsidRPr="000B524D">
        <w:t>Traktatu o funkcjonowaniu Unii Europejskiej;</w:t>
      </w:r>
    </w:p>
    <w:p w14:paraId="5B29FC70" w14:textId="77777777" w:rsidR="000B524D" w:rsidRPr="000B524D" w:rsidRDefault="000B524D" w:rsidP="000B524D">
      <w:pPr>
        <w:pStyle w:val="PKTpunkt"/>
      </w:pPr>
      <w:r>
        <w:t>6)</w:t>
      </w:r>
      <w:r>
        <w:tab/>
      </w:r>
      <w:r w:rsidRPr="000B524D">
        <w:t>w sektorze leśnictwa;</w:t>
      </w:r>
    </w:p>
    <w:p w14:paraId="74C63139" w14:textId="77777777" w:rsidR="000B524D" w:rsidRPr="000B524D" w:rsidRDefault="000B524D" w:rsidP="000B524D">
      <w:pPr>
        <w:pStyle w:val="PKTpunkt"/>
      </w:pPr>
      <w:r>
        <w:t>7)</w:t>
      </w:r>
      <w:r>
        <w:tab/>
      </w:r>
      <w:r w:rsidRPr="000B524D">
        <w:t>w sektorze transportu;</w:t>
      </w:r>
    </w:p>
    <w:p w14:paraId="725B3E0E" w14:textId="77777777" w:rsidR="000B524D" w:rsidRDefault="000B524D" w:rsidP="000B524D">
      <w:pPr>
        <w:pStyle w:val="PKTpunkt"/>
      </w:pPr>
      <w:r>
        <w:t>8)</w:t>
      </w:r>
      <w:r>
        <w:tab/>
      </w:r>
      <w:r w:rsidRPr="000B524D">
        <w:t>w sektorze energetyki;</w:t>
      </w:r>
    </w:p>
    <w:p w14:paraId="3F668F8B" w14:textId="137C4CE7" w:rsidR="00D63511" w:rsidRPr="000B524D" w:rsidRDefault="00D63511" w:rsidP="000B524D">
      <w:pPr>
        <w:pStyle w:val="PKTpunkt"/>
      </w:pPr>
      <w:r>
        <w:t>9)</w:t>
      </w:r>
      <w:r>
        <w:tab/>
        <w:t>w sektorze sieci szerokopasmowych;</w:t>
      </w:r>
    </w:p>
    <w:p w14:paraId="3168A416" w14:textId="7554CDDD" w:rsidR="000B524D" w:rsidRPr="000B524D" w:rsidRDefault="00D63511" w:rsidP="000B524D">
      <w:pPr>
        <w:pStyle w:val="PKTpunkt"/>
      </w:pPr>
      <w:r>
        <w:t>10</w:t>
      </w:r>
      <w:r w:rsidR="000B524D">
        <w:t>)</w:t>
      </w:r>
      <w:r w:rsidR="000B524D">
        <w:tab/>
      </w:r>
      <w:r w:rsidR="000B524D" w:rsidRPr="000B524D">
        <w:t>portom lotniczym.</w:t>
      </w:r>
    </w:p>
    <w:p w14:paraId="166BA35B" w14:textId="4331E9D6" w:rsidR="000B524D" w:rsidRPr="000B524D" w:rsidRDefault="00DC742D" w:rsidP="000B524D">
      <w:pPr>
        <w:pStyle w:val="ARTartustawynprozporzdzenia"/>
      </w:pPr>
      <w:r>
        <w:rPr>
          <w:rStyle w:val="Ppogrubienie"/>
        </w:rPr>
        <w:t>§ 7</w:t>
      </w:r>
      <w:r w:rsidR="000B524D" w:rsidRPr="000B524D">
        <w:rPr>
          <w:rStyle w:val="Ppogrubienie"/>
        </w:rPr>
        <w:t>.</w:t>
      </w:r>
      <w:r w:rsidR="000B524D">
        <w:t> </w:t>
      </w:r>
      <w:r w:rsidR="000B524D" w:rsidRPr="000B524D">
        <w:t>Rozporządzenie obowiązuje do dnia 31 grudnia 2027 r.</w:t>
      </w:r>
    </w:p>
    <w:p w14:paraId="3A6698D9" w14:textId="18464D66" w:rsidR="000B524D" w:rsidRPr="000B524D" w:rsidRDefault="00DC742D" w:rsidP="000B524D">
      <w:pPr>
        <w:pStyle w:val="ARTartustawynprozporzdzenia"/>
      </w:pPr>
      <w:r>
        <w:rPr>
          <w:rStyle w:val="Ppogrubienie"/>
        </w:rPr>
        <w:t>§ 8</w:t>
      </w:r>
      <w:r w:rsidR="000B524D" w:rsidRPr="000B524D">
        <w:rPr>
          <w:rStyle w:val="Ppogrubienie"/>
        </w:rPr>
        <w:t>.</w:t>
      </w:r>
      <w:r w:rsidR="000B524D">
        <w:t> </w:t>
      </w:r>
      <w:r w:rsidR="000B524D" w:rsidRPr="000B524D">
        <w:t>Rozporządzenie wchodzi w życie z dniem 1 stycznia 2022 r.</w:t>
      </w:r>
    </w:p>
    <w:p w14:paraId="0D029EEB" w14:textId="77777777" w:rsidR="000B524D" w:rsidRDefault="000B524D" w:rsidP="000B524D">
      <w:pPr>
        <w:pStyle w:val="NAZORGWYDnazwaorganuwydajcegoprojektowanyakt"/>
      </w:pPr>
    </w:p>
    <w:p w14:paraId="389747EE" w14:textId="77777777" w:rsidR="000B524D" w:rsidRDefault="000B524D" w:rsidP="000B524D">
      <w:pPr>
        <w:pStyle w:val="NAZORGWYDnazwaorganuwydajcegoprojektowanyakt"/>
      </w:pPr>
    </w:p>
    <w:p w14:paraId="1EAF55E5" w14:textId="77777777" w:rsidR="00261A16" w:rsidRPr="00737F6A" w:rsidRDefault="000B524D" w:rsidP="000B524D">
      <w:pPr>
        <w:pStyle w:val="NAZORGWYDnazwaorganuwydajcegoprojektowanyakt"/>
      </w:pPr>
      <w:r w:rsidRPr="000B524D">
        <w:t>PREZES RADY MINISTRÓW</w:t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A374B" w14:textId="77777777" w:rsidR="000666CA" w:rsidRDefault="000666CA">
      <w:r>
        <w:separator/>
      </w:r>
    </w:p>
  </w:endnote>
  <w:endnote w:type="continuationSeparator" w:id="0">
    <w:p w14:paraId="7002A589" w14:textId="77777777" w:rsidR="000666CA" w:rsidRDefault="0006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A50CD" w14:textId="77777777" w:rsidR="000666CA" w:rsidRDefault="000666CA">
      <w:r>
        <w:separator/>
      </w:r>
    </w:p>
  </w:footnote>
  <w:footnote w:type="continuationSeparator" w:id="0">
    <w:p w14:paraId="5F883178" w14:textId="77777777" w:rsidR="000666CA" w:rsidRDefault="000666CA">
      <w:r>
        <w:continuationSeparator/>
      </w:r>
    </w:p>
  </w:footnote>
  <w:footnote w:id="1">
    <w:p w14:paraId="7B49BBDF" w14:textId="04CAB391" w:rsidR="001C5561" w:rsidRPr="001C5561" w:rsidRDefault="001C5561" w:rsidP="001C556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1C5561">
        <w:t xml:space="preserve">Definicje małego i średniego przedsiębiorcy są określone w </w:t>
      </w:r>
      <w:r w:rsidR="00610FF5">
        <w:t>z</w:t>
      </w:r>
      <w:r w:rsidRPr="001C5561">
        <w:t xml:space="preserve">aleceniu Komisji </w:t>
      </w:r>
      <w:r w:rsidR="00E12766" w:rsidRPr="00E12766">
        <w:t>2003/361/WE</w:t>
      </w:r>
      <w:r w:rsidR="00E12766" w:rsidRPr="00E12766" w:rsidDel="00E12766">
        <w:t xml:space="preserve"> </w:t>
      </w:r>
      <w:r w:rsidRPr="001C5561">
        <w:t xml:space="preserve">z dnia 6 maja 2003 r. dotyczącym definicji </w:t>
      </w:r>
      <w:r w:rsidR="00F6650D">
        <w:t>przedsiębiorstw mikro</w:t>
      </w:r>
      <w:r w:rsidR="00E12766" w:rsidRPr="00E12766">
        <w:t xml:space="preserve">, </w:t>
      </w:r>
      <w:r w:rsidRPr="001C5561">
        <w:t>małych i średnich (Dz. U</w:t>
      </w:r>
      <w:r w:rsidR="00DC742D">
        <w:t>rz. UE L 124 z 20.05.2003, str. </w:t>
      </w:r>
      <w:r w:rsidRPr="001C5561">
        <w:t>36).</w:t>
      </w:r>
    </w:p>
  </w:footnote>
  <w:footnote w:id="2">
    <w:p w14:paraId="56B96680" w14:textId="0C2FDF44" w:rsidR="001C5561" w:rsidRPr="001C5561" w:rsidRDefault="001C5561" w:rsidP="00730AD4">
      <w:pPr>
        <w:pStyle w:val="ODNONIKtreodnonika"/>
        <w:rPr>
          <w:lang w:bidi="pl-PL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1C5561">
        <w:t xml:space="preserve">Przypadki, w których nie jest dozwolone udzielanie pomocy regionalnej, określone zostały szczegółowo w </w:t>
      </w:r>
      <w:r w:rsidR="00FF3E41" w:rsidRPr="00FF3E41">
        <w:t>Wytycznych w sprawie regionalnej pomocy państwa (Dz. Urz. UE C 153 z 29.04.2021 r.)</w:t>
      </w:r>
      <w:r w:rsidR="00730AD4">
        <w:t>,</w:t>
      </w:r>
      <w:r w:rsidRPr="001C5561">
        <w:t xml:space="preserve"> w rozporządzeniu Komisji (UE) nr 651/2014 z dnia 17 czerwca 2014 r. uznającym niektóre rodzaje pomocy za zgodne z rynkiem wewnętrznym w zastosowaniu art. 107 i 108 Traktatu (Dz. Urz. UE L </w:t>
      </w:r>
      <w:r w:rsidR="00FF3E41">
        <w:t>187 z 26.06.2014, str. </w:t>
      </w:r>
      <w:r w:rsidRPr="001C5561">
        <w:t>1</w:t>
      </w:r>
      <w:r w:rsidR="002D7C5E">
        <w:t xml:space="preserve">, z </w:t>
      </w:r>
      <w:proofErr w:type="spellStart"/>
      <w:r w:rsidR="002D7C5E">
        <w:t>późn</w:t>
      </w:r>
      <w:proofErr w:type="spellEnd"/>
      <w:r w:rsidR="002D7C5E">
        <w:t>. zm.</w:t>
      </w:r>
      <w:r w:rsidRPr="001C5561">
        <w:t>)</w:t>
      </w:r>
      <w:r w:rsidR="00730AD4">
        <w:t xml:space="preserve"> oraz w innych rozporządzeniach Komisji Europejskiej wydanych na podstawie art. 1 </w:t>
      </w:r>
      <w:r w:rsidR="00730AD4">
        <w:rPr>
          <w:lang w:bidi="pl-PL"/>
        </w:rPr>
        <w:t>r</w:t>
      </w:r>
      <w:r w:rsidR="00730AD4" w:rsidRPr="00730AD4">
        <w:rPr>
          <w:lang w:bidi="pl-PL"/>
        </w:rPr>
        <w:t>ozporządzenie Rady (UE) 2015/1588 z dnia 13 lipca 2015 r. w sprawie stosowania art. 107 i 108 Traktatu o funkcjonowaniu Unii Europejskiej do niektórych kategorii horyzontalnej pomocy państwa (Dz. Urz. UE L 248 z 24.9.2015)</w:t>
      </w:r>
      <w:r w:rsidR="00730AD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F4595" w14:textId="4AA45D3D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D7AB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98"/>
    <w:rsid w:val="000012DA"/>
    <w:rsid w:val="0000246E"/>
    <w:rsid w:val="00003862"/>
    <w:rsid w:val="00006661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83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6CA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24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78E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4C7"/>
    <w:rsid w:val="001C5561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2614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4F45"/>
    <w:rsid w:val="002D5000"/>
    <w:rsid w:val="002D598D"/>
    <w:rsid w:val="002D7188"/>
    <w:rsid w:val="002D7C5E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7ABC"/>
    <w:rsid w:val="003E0D1A"/>
    <w:rsid w:val="003E2DA3"/>
    <w:rsid w:val="003E4E81"/>
    <w:rsid w:val="003F020D"/>
    <w:rsid w:val="003F03D9"/>
    <w:rsid w:val="003F2FBE"/>
    <w:rsid w:val="003F318D"/>
    <w:rsid w:val="003F5BAE"/>
    <w:rsid w:val="003F6ED7"/>
    <w:rsid w:val="00401C84"/>
    <w:rsid w:val="00401F4A"/>
    <w:rsid w:val="00403210"/>
    <w:rsid w:val="004035BB"/>
    <w:rsid w:val="004035EB"/>
    <w:rsid w:val="00405C96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2E2B"/>
    <w:rsid w:val="00434D01"/>
    <w:rsid w:val="00435D26"/>
    <w:rsid w:val="00440C99"/>
    <w:rsid w:val="0044175C"/>
    <w:rsid w:val="0044202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76CA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402"/>
    <w:rsid w:val="00526DFC"/>
    <w:rsid w:val="00526F43"/>
    <w:rsid w:val="00527651"/>
    <w:rsid w:val="00530B0B"/>
    <w:rsid w:val="005363AB"/>
    <w:rsid w:val="00544EF4"/>
    <w:rsid w:val="00545E53"/>
    <w:rsid w:val="005479D9"/>
    <w:rsid w:val="005543D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59F"/>
    <w:rsid w:val="005F7812"/>
    <w:rsid w:val="005F7A88"/>
    <w:rsid w:val="00603A1A"/>
    <w:rsid w:val="006046D5"/>
    <w:rsid w:val="00607A93"/>
    <w:rsid w:val="00610C08"/>
    <w:rsid w:val="00610FF5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0C2C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6E94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9AA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AD4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014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70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5A4"/>
    <w:rsid w:val="007D6DCE"/>
    <w:rsid w:val="007D72C4"/>
    <w:rsid w:val="007E2CFE"/>
    <w:rsid w:val="007E59C9"/>
    <w:rsid w:val="007F0072"/>
    <w:rsid w:val="007F2EB6"/>
    <w:rsid w:val="007F54C3"/>
    <w:rsid w:val="00800497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437"/>
    <w:rsid w:val="00912889"/>
    <w:rsid w:val="00912B9D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6B2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40DC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B21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57A0"/>
    <w:rsid w:val="00A079C1"/>
    <w:rsid w:val="00A12520"/>
    <w:rsid w:val="00A130FD"/>
    <w:rsid w:val="00A13D6D"/>
    <w:rsid w:val="00A14769"/>
    <w:rsid w:val="00A16151"/>
    <w:rsid w:val="00A16EC6"/>
    <w:rsid w:val="00A174A4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32F"/>
    <w:rsid w:val="00AE4179"/>
    <w:rsid w:val="00AE4425"/>
    <w:rsid w:val="00AE4FBE"/>
    <w:rsid w:val="00AE5897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863"/>
    <w:rsid w:val="00B41CD9"/>
    <w:rsid w:val="00B427E6"/>
    <w:rsid w:val="00B428A6"/>
    <w:rsid w:val="00B43E1F"/>
    <w:rsid w:val="00B45FBC"/>
    <w:rsid w:val="00B46A2D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0D3D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C7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56F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6EB4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0DB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E1C"/>
    <w:rsid w:val="00D37E50"/>
    <w:rsid w:val="00D402FB"/>
    <w:rsid w:val="00D47D7A"/>
    <w:rsid w:val="00D50ABD"/>
    <w:rsid w:val="00D55290"/>
    <w:rsid w:val="00D57791"/>
    <w:rsid w:val="00D6046A"/>
    <w:rsid w:val="00D62870"/>
    <w:rsid w:val="00D63511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688"/>
    <w:rsid w:val="00D848B9"/>
    <w:rsid w:val="00D90E69"/>
    <w:rsid w:val="00D91368"/>
    <w:rsid w:val="00D93106"/>
    <w:rsid w:val="00D933E9"/>
    <w:rsid w:val="00D93D38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175"/>
    <w:rsid w:val="00DC2C2E"/>
    <w:rsid w:val="00DC4AF0"/>
    <w:rsid w:val="00DC742D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A98"/>
    <w:rsid w:val="00E11420"/>
    <w:rsid w:val="00E12766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6388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C22"/>
    <w:rsid w:val="00F6650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7E0"/>
    <w:rsid w:val="00F85BF8"/>
    <w:rsid w:val="00F871CE"/>
    <w:rsid w:val="00F87802"/>
    <w:rsid w:val="00F92C0A"/>
    <w:rsid w:val="00F9415B"/>
    <w:rsid w:val="00FA13C2"/>
    <w:rsid w:val="00FA201E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3E41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3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0B524D"/>
    <w:pPr>
      <w:spacing w:line="240" w:lineRule="auto"/>
      <w:jc w:val="both"/>
    </w:pPr>
    <w:rPr>
      <w:rFonts w:ascii="Times New Roman" w:hAnsi="Times New Roman"/>
      <w:sz w:val="22"/>
      <w:lang w:bidi="pl-PL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B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B0B"/>
    <w:rPr>
      <w:rFonts w:ascii="Times New Roman" w:hAnsi="Times New Roman"/>
      <w:sz w:val="20"/>
      <w:szCs w:val="20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B0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30AD4"/>
    <w:rPr>
      <w:sz w:val="24"/>
    </w:rPr>
  </w:style>
  <w:style w:type="character" w:styleId="Hipercze">
    <w:name w:val="Hyperlink"/>
    <w:basedOn w:val="Domylnaczcionkaakapitu"/>
    <w:uiPriority w:val="99"/>
    <w:unhideWhenUsed/>
    <w:rsid w:val="00730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0B524D"/>
    <w:pPr>
      <w:spacing w:line="240" w:lineRule="auto"/>
      <w:jc w:val="both"/>
    </w:pPr>
    <w:rPr>
      <w:rFonts w:ascii="Times New Roman" w:hAnsi="Times New Roman"/>
      <w:sz w:val="22"/>
      <w:lang w:bidi="pl-PL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B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B0B"/>
    <w:rPr>
      <w:rFonts w:ascii="Times New Roman" w:hAnsi="Times New Roman"/>
      <w:sz w:val="20"/>
      <w:szCs w:val="20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B0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30AD4"/>
    <w:rPr>
      <w:sz w:val="24"/>
    </w:rPr>
  </w:style>
  <w:style w:type="character" w:styleId="Hipercze">
    <w:name w:val="Hyperlink"/>
    <w:basedOn w:val="Domylnaczcionkaakapitu"/>
    <w:uiPriority w:val="99"/>
    <w:unhideWhenUsed/>
    <w:rsid w:val="00730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nawroc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C73853-E0B1-4C51-99DC-6D5945FF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Tomasz Nawrocki</dc:creator>
  <cp:lastModifiedBy>Marcin Machoń</cp:lastModifiedBy>
  <cp:revision>6</cp:revision>
  <cp:lastPrinted>2012-04-23T06:39:00Z</cp:lastPrinted>
  <dcterms:created xsi:type="dcterms:W3CDTF">2021-05-25T07:07:00Z</dcterms:created>
  <dcterms:modified xsi:type="dcterms:W3CDTF">2021-05-31T09:27:00Z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