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3CE5" w14:textId="5AB01B4E" w:rsidR="0028350F" w:rsidRPr="0028350F" w:rsidRDefault="0028350F" w:rsidP="0028350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350F">
        <w:rPr>
          <w:rFonts w:ascii="Times New Roman" w:hAnsi="Times New Roman"/>
          <w:b/>
          <w:sz w:val="28"/>
          <w:szCs w:val="28"/>
        </w:rPr>
        <w:t>Uzasadnienie</w:t>
      </w:r>
    </w:p>
    <w:p w14:paraId="5994F994" w14:textId="66B6B613" w:rsidR="0028350F" w:rsidRPr="00473E39" w:rsidRDefault="0028350F" w:rsidP="0028350F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  <w:rPr>
          <w:i/>
        </w:rPr>
      </w:pPr>
      <w:r w:rsidRPr="007936D7">
        <w:rPr>
          <w:bCs/>
        </w:rPr>
        <w:t>Podstawą wydania niniejszego rozporządzenia jes</w:t>
      </w:r>
      <w:r w:rsidRPr="00B93F84">
        <w:rPr>
          <w:bCs/>
        </w:rPr>
        <w:t xml:space="preserve">t art. 10 </w:t>
      </w:r>
      <w:r w:rsidRPr="00B93F84">
        <w:t xml:space="preserve">ust. 2 ustawy z dnia 30 kwietnia 2004 r. o postępowaniu w sprawach dotyczących pomocy </w:t>
      </w:r>
      <w:r w:rsidR="00F1415F" w:rsidRPr="00B93F84">
        <w:t>publicznej (D</w:t>
      </w:r>
      <w:r w:rsidR="00EF71F7">
        <w:t>z. U. z 2021</w:t>
      </w:r>
      <w:r w:rsidR="003A780B" w:rsidRPr="00B93F84">
        <w:t xml:space="preserve"> r. poz. </w:t>
      </w:r>
      <w:r w:rsidR="00EF71F7">
        <w:t>743</w:t>
      </w:r>
      <w:r w:rsidRPr="00B93F84">
        <w:t xml:space="preserve">). </w:t>
      </w:r>
    </w:p>
    <w:p w14:paraId="43377B2E" w14:textId="77777777" w:rsidR="0028350F" w:rsidRPr="007936D7" w:rsidRDefault="0028350F" w:rsidP="0028350F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  <w:rPr>
          <w:bCs/>
        </w:rPr>
      </w:pPr>
      <w:r w:rsidRPr="007936D7">
        <w:t>Celem rozporządzenia je</w:t>
      </w:r>
      <w:r>
        <w:t>st określenie obszarów kraju, w</w:t>
      </w:r>
      <w:r w:rsidRPr="007936D7">
        <w:t xml:space="preserve"> których dopuszczalne jest udzielanie pomocy regionalnej, maksymalnych </w:t>
      </w:r>
      <w:r>
        <w:t>intensywności</w:t>
      </w:r>
      <w:r w:rsidRPr="007936D7">
        <w:t xml:space="preserve"> pomocy dla tych obszarów, przy uwzględnieniu w szczególności poziomu produktu krajowego brutto na jednego mieszkańca na danym obszarze oraz rodzajów działalności gospodarczej, </w:t>
      </w:r>
      <w:r>
        <w:t>czy też sytuacji w</w:t>
      </w:r>
      <w:r w:rsidRPr="007936D7">
        <w:t xml:space="preserve"> których udzielanie pomocy</w:t>
      </w:r>
      <w:r>
        <w:t xml:space="preserve"> regionalnej</w:t>
      </w:r>
      <w:r w:rsidRPr="007936D7">
        <w:t xml:space="preserve"> nie jest dozwolone.</w:t>
      </w:r>
    </w:p>
    <w:p w14:paraId="427D7A70" w14:textId="5402E47E" w:rsidR="0028350F" w:rsidRPr="007936D7" w:rsidRDefault="0028350F" w:rsidP="0028350F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  <w:rPr>
          <w:u w:val="single"/>
        </w:rPr>
      </w:pPr>
      <w:r w:rsidRPr="007936D7">
        <w:rPr>
          <w:bCs/>
        </w:rPr>
        <w:t>Projekt rozporządzenia został opracowany w z</w:t>
      </w:r>
      <w:r w:rsidR="0034776A">
        <w:rPr>
          <w:bCs/>
        </w:rPr>
        <w:t>wiązku z pkt 189</w:t>
      </w:r>
      <w:r>
        <w:rPr>
          <w:bCs/>
        </w:rPr>
        <w:t xml:space="preserve"> </w:t>
      </w:r>
      <w:r w:rsidR="00E31FA7">
        <w:t>w</w:t>
      </w:r>
      <w:r w:rsidR="00E31FA7" w:rsidRPr="00E31FA7">
        <w:t>ytycznych w sprawie regionalnej pomocy państwa (Dz. Urz. UE C 153 z 29.04.2021</w:t>
      </w:r>
      <w:r w:rsidR="000A72B6">
        <w:t>, str. 1</w:t>
      </w:r>
      <w:r w:rsidR="00E31FA7" w:rsidRPr="00E31FA7">
        <w:t>)</w:t>
      </w:r>
      <w:r w:rsidRPr="00675B01">
        <w:rPr>
          <w:bCs/>
        </w:rPr>
        <w:t>, zwanych dal</w:t>
      </w:r>
      <w:r>
        <w:rPr>
          <w:bCs/>
        </w:rPr>
        <w:t xml:space="preserve">ej </w:t>
      </w:r>
      <w:r w:rsidR="000A72B6">
        <w:rPr>
          <w:bCs/>
        </w:rPr>
        <w:t>„</w:t>
      </w:r>
      <w:r>
        <w:rPr>
          <w:bCs/>
        </w:rPr>
        <w:t>Wytycznymi</w:t>
      </w:r>
      <w:r w:rsidR="000A72B6">
        <w:rPr>
          <w:bCs/>
        </w:rPr>
        <w:t>”</w:t>
      </w:r>
      <w:r>
        <w:rPr>
          <w:bCs/>
        </w:rPr>
        <w:t xml:space="preserve">, który stanowi, iż po opublikowaniu Wytycznych w Dzienniku </w:t>
      </w:r>
      <w:r w:rsidRPr="007936D7">
        <w:t>Ur</w:t>
      </w:r>
      <w:r>
        <w:t xml:space="preserve">zędowym Unii Europejskiej, </w:t>
      </w:r>
      <w:r w:rsidR="002F6748">
        <w:rPr>
          <w:bCs/>
        </w:rPr>
        <w:t>państwa c</w:t>
      </w:r>
      <w:r w:rsidRPr="00675B01">
        <w:rPr>
          <w:bCs/>
        </w:rPr>
        <w:t xml:space="preserve">złonkowskie </w:t>
      </w:r>
      <w:r>
        <w:rPr>
          <w:bCs/>
        </w:rPr>
        <w:t>powinny</w:t>
      </w:r>
      <w:r>
        <w:t xml:space="preserve"> notyfikować Komisji Europejskiej krajowe </w:t>
      </w:r>
      <w:r w:rsidRPr="007936D7">
        <w:t>map</w:t>
      </w:r>
      <w:r>
        <w:t>y</w:t>
      </w:r>
      <w:r w:rsidRPr="007936D7">
        <w:t xml:space="preserve"> pomocy regionalnej, </w:t>
      </w:r>
      <w:r>
        <w:t>określające</w:t>
      </w:r>
      <w:r w:rsidR="00BC4F93">
        <w:t xml:space="preserve"> regiony kwalifikujące się do </w:t>
      </w:r>
      <w:r w:rsidRPr="007936D7">
        <w:t>objęcia</w:t>
      </w:r>
      <w:r>
        <w:t xml:space="preserve"> pomocą r</w:t>
      </w:r>
      <w:r w:rsidR="00F92973">
        <w:t>egionalną w latach 2022-2027, o </w:t>
      </w:r>
      <w:r>
        <w:t>któryc</w:t>
      </w:r>
      <w:r w:rsidR="008E1D5C">
        <w:t>h mowa w art. </w:t>
      </w:r>
      <w:r w:rsidR="002F6748">
        <w:t>107 ust. 3 lit. a i c</w:t>
      </w:r>
      <w:r>
        <w:t xml:space="preserve"> TFUE</w:t>
      </w:r>
      <w:r w:rsidRPr="007936D7">
        <w:t xml:space="preserve">. Pomoc regionalna może być bowiem udzielana jedynie w zakresie wynikającym z zatwierdzonej przez Komisję mapy pomocy regionalnej. </w:t>
      </w:r>
      <w:r>
        <w:t>N</w:t>
      </w:r>
      <w:r w:rsidR="0001461E">
        <w:t>otyfikowane przez poszczególne państwa c</w:t>
      </w:r>
      <w:r>
        <w:t>złonkowskie i z</w:t>
      </w:r>
      <w:r w:rsidRPr="007936D7">
        <w:t>atwierd</w:t>
      </w:r>
      <w:r>
        <w:t>zone przez Komisję mapy</w:t>
      </w:r>
      <w:r w:rsidRPr="007936D7">
        <w:t xml:space="preserve"> pomocy regionalnej </w:t>
      </w:r>
      <w:r>
        <w:t>są publikowane</w:t>
      </w:r>
      <w:r w:rsidRPr="007936D7">
        <w:t xml:space="preserve"> w Dzienniku Ur</w:t>
      </w:r>
      <w:r>
        <w:t>zędowym Unii Europejskiej i stanowią</w:t>
      </w:r>
      <w:r w:rsidRPr="007936D7">
        <w:t xml:space="preserve"> integralną część Wytycznych. </w:t>
      </w:r>
    </w:p>
    <w:p w14:paraId="62CEF5A6" w14:textId="2A21C814" w:rsidR="0028350F" w:rsidRPr="007936D7" w:rsidRDefault="0028350F" w:rsidP="0028350F">
      <w:pPr>
        <w:pStyle w:val="Tekstpodstawowy"/>
        <w:spacing w:before="120" w:line="340" w:lineRule="exact"/>
        <w:jc w:val="both"/>
      </w:pPr>
      <w:r w:rsidRPr="007936D7">
        <w:t xml:space="preserve">Celem regionalnej pomocy publicznej jest pobudzenie długookresowego rozwoju obszarów charakteryzujących się </w:t>
      </w:r>
      <w:r>
        <w:t xml:space="preserve">najniższym </w:t>
      </w:r>
      <w:r w:rsidRPr="007936D7">
        <w:t>poziomem Produktu Krajowego Br</w:t>
      </w:r>
      <w:r>
        <w:t>utto (PKB) na jednego mieszkańca, a zatem znajdujących się w najbardziej niekorzystnym położeniu</w:t>
      </w:r>
      <w:r w:rsidRPr="007936D7">
        <w:t xml:space="preserve">. Obszary kwalifikujące się do udzielania pomocy regionalnej oraz intensywność </w:t>
      </w:r>
      <w:r>
        <w:t>pomocy na tych obszarach zostały określone</w:t>
      </w:r>
      <w:r w:rsidRPr="007936D7">
        <w:t xml:space="preserve"> na poziomie N</w:t>
      </w:r>
      <w:r w:rsidR="00A1075A">
        <w:t>U</w:t>
      </w:r>
      <w:r w:rsidRPr="007936D7">
        <w:t xml:space="preserve">TS </w:t>
      </w:r>
      <w:r>
        <w:t>2</w:t>
      </w:r>
      <w:r w:rsidRPr="007936D7">
        <w:t xml:space="preserve"> </w:t>
      </w:r>
      <w:r>
        <w:t>(</w:t>
      </w:r>
      <w:r w:rsidR="00F1415F">
        <w:t>regionów),</w:t>
      </w:r>
      <w:r>
        <w:t xml:space="preserve"> N</w:t>
      </w:r>
      <w:r w:rsidR="00A1075A">
        <w:t>U</w:t>
      </w:r>
      <w:r>
        <w:t>TS 3 (podregionów)</w:t>
      </w:r>
      <w:r w:rsidR="00F1415F">
        <w:t xml:space="preserve">, jak również w przypadku regionu warszawskiego stołecznego </w:t>
      </w:r>
      <w:r w:rsidR="00F1415F" w:rsidRPr="0008090A">
        <w:t>na poziomie powiat</w:t>
      </w:r>
      <w:r w:rsidR="0008090A" w:rsidRPr="0008090A">
        <w:t>ów</w:t>
      </w:r>
      <w:r w:rsidR="00F1415F" w:rsidRPr="0008090A">
        <w:t xml:space="preserve"> i gmin</w:t>
      </w:r>
      <w:r w:rsidRPr="0008090A">
        <w:t>.</w:t>
      </w:r>
      <w:r w:rsidR="00A1075A" w:rsidRPr="0008090A">
        <w:t xml:space="preserve"> W</w:t>
      </w:r>
      <w:r w:rsidR="0008090A">
        <w:t> </w:t>
      </w:r>
      <w:r w:rsidR="00A1075A" w:rsidRPr="0008090A">
        <w:t xml:space="preserve">projekcie rozporządzenia </w:t>
      </w:r>
      <w:r w:rsidR="000A72B6" w:rsidRPr="0008090A">
        <w:t xml:space="preserve">został </w:t>
      </w:r>
      <w:r w:rsidR="00A1075A" w:rsidRPr="000225AB">
        <w:t>zastosowany</w:t>
      </w:r>
      <w:r w:rsidR="00A1075A" w:rsidRPr="00A1075A">
        <w:t xml:space="preserve"> podział terytorialny kraju określony w</w:t>
      </w:r>
      <w:r w:rsidR="0008090A">
        <w:t> </w:t>
      </w:r>
      <w:r w:rsidR="00A1075A" w:rsidRPr="00A1075A">
        <w:t xml:space="preserve">rozporządzeniu Komisji (UE) </w:t>
      </w:r>
      <w:r w:rsidR="00926D69" w:rsidRPr="00926D69">
        <w:t>2019/1755</w:t>
      </w:r>
      <w:r w:rsidR="00926D69">
        <w:t xml:space="preserve"> </w:t>
      </w:r>
      <w:r w:rsidR="00926D69" w:rsidRPr="00926D69">
        <w:t>z dnia 8 sierpnia 2019 r.</w:t>
      </w:r>
      <w:r w:rsidR="00A1075A" w:rsidRPr="00A1075A">
        <w:t xml:space="preserve"> zmieniającym załączniki do rozporządzenia (WE) nr 1059/2003 Parlamentu Europejskiego i Rady w sprawie ustalenia wspólnej klasyfikacji Jednostek Terytorialnych do Celów Statysty</w:t>
      </w:r>
      <w:r w:rsidR="00926D69">
        <w:t>cznych (NUTS) (Dz. Urz. UE L 270</w:t>
      </w:r>
      <w:r w:rsidR="00A1075A" w:rsidRPr="00A1075A">
        <w:t xml:space="preserve"> z </w:t>
      </w:r>
      <w:r w:rsidR="00926D69" w:rsidRPr="00926D69">
        <w:t>24.10.2019</w:t>
      </w:r>
      <w:r w:rsidR="00926D69">
        <w:t>, str.</w:t>
      </w:r>
      <w:r w:rsidR="000A72B6">
        <w:t xml:space="preserve"> </w:t>
      </w:r>
      <w:r w:rsidR="00926D69">
        <w:t>1</w:t>
      </w:r>
      <w:r w:rsidR="00A1075A" w:rsidRPr="00A1075A">
        <w:t>).</w:t>
      </w:r>
      <w:r w:rsidR="0048127D">
        <w:t xml:space="preserve"> Zgodnie bowiem z przypisem 30 do pkt 27 Wytycznych d</w:t>
      </w:r>
      <w:r w:rsidR="0048127D" w:rsidRPr="0048127D">
        <w:t xml:space="preserve">ane </w:t>
      </w:r>
      <w:r w:rsidR="0048127D">
        <w:t xml:space="preserve">w nich </w:t>
      </w:r>
      <w:r w:rsidR="0048127D" w:rsidRPr="0048127D">
        <w:t>wykorzystane opierają się na nomenklaturze NUTS 2021</w:t>
      </w:r>
      <w:r w:rsidR="0048127D">
        <w:t>, zawartej w ww. rozporządzeniu.</w:t>
      </w:r>
    </w:p>
    <w:p w14:paraId="38B2CEC7" w14:textId="250CF84D" w:rsidR="0028350F" w:rsidRPr="0028350F" w:rsidRDefault="005C1669" w:rsidP="0028350F">
      <w:pPr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3</w:t>
      </w:r>
      <w:r w:rsidR="0028350F" w:rsidRPr="0028350F">
        <w:rPr>
          <w:rFonts w:ascii="Times New Roman" w:hAnsi="Times New Roman"/>
          <w:sz w:val="24"/>
          <w:szCs w:val="24"/>
        </w:rPr>
        <w:t xml:space="preserve"> rozporządzenia określono maksymalną intensywność pomocy regionalnej w</w:t>
      </w:r>
      <w:r w:rsidR="0008090A">
        <w:rPr>
          <w:rFonts w:ascii="Times New Roman" w:hAnsi="Times New Roman"/>
          <w:sz w:val="24"/>
          <w:szCs w:val="24"/>
        </w:rPr>
        <w:t> </w:t>
      </w:r>
      <w:r w:rsidR="0028350F" w:rsidRPr="0028350F">
        <w:rPr>
          <w:rFonts w:ascii="Times New Roman" w:hAnsi="Times New Roman"/>
          <w:sz w:val="24"/>
          <w:szCs w:val="24"/>
        </w:rPr>
        <w:t xml:space="preserve">poszczególnych regionach, obliczaną jako stosunek wartości pomocy regionalnej wyrażonej w ekwiwalencie dotacji brutto do kosztów kwalifikujących się do objęcia tą pomocą. Ustalona ona została zgodnie z Wytycznymi, gdzie maksymalną intensywność </w:t>
      </w:r>
      <w:r w:rsidR="0028350F" w:rsidRPr="0028350F">
        <w:rPr>
          <w:rFonts w:ascii="Times New Roman" w:hAnsi="Times New Roman"/>
          <w:sz w:val="24"/>
          <w:szCs w:val="24"/>
        </w:rPr>
        <w:lastRenderedPageBreak/>
        <w:t>pomocy określono w</w:t>
      </w:r>
      <w:r w:rsidR="0008090A">
        <w:rPr>
          <w:rFonts w:ascii="Times New Roman" w:hAnsi="Times New Roman"/>
          <w:sz w:val="24"/>
          <w:szCs w:val="24"/>
        </w:rPr>
        <w:t> </w:t>
      </w:r>
      <w:r w:rsidR="0028350F" w:rsidRPr="0028350F">
        <w:rPr>
          <w:rFonts w:ascii="Times New Roman" w:hAnsi="Times New Roman"/>
          <w:sz w:val="24"/>
          <w:szCs w:val="24"/>
        </w:rPr>
        <w:t>oparciu o dane statystyczne EUROSTATU</w:t>
      </w:r>
      <w:r w:rsidR="0028350F" w:rsidRPr="0028350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8350F" w:rsidRPr="0028350F">
        <w:rPr>
          <w:rFonts w:ascii="Times New Roman" w:hAnsi="Times New Roman"/>
          <w:sz w:val="24"/>
          <w:szCs w:val="24"/>
          <w:vertAlign w:val="superscript"/>
        </w:rPr>
        <w:t>)</w:t>
      </w:r>
      <w:r w:rsidR="0028350F" w:rsidRPr="0028350F">
        <w:rPr>
          <w:rFonts w:ascii="Times New Roman" w:hAnsi="Times New Roman"/>
          <w:sz w:val="24"/>
          <w:szCs w:val="24"/>
        </w:rPr>
        <w:t xml:space="preserve">, dotyczące poziomu PKB na mieszkańca. </w:t>
      </w:r>
    </w:p>
    <w:p w14:paraId="3EB36A3B" w14:textId="33972D1F" w:rsidR="0028350F" w:rsidRPr="0028350F" w:rsidRDefault="005C3304" w:rsidP="0028350F">
      <w:pPr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pkt 179</w:t>
      </w:r>
      <w:r w:rsidR="0028350F" w:rsidRPr="0028350F">
        <w:rPr>
          <w:rFonts w:ascii="Times New Roman" w:hAnsi="Times New Roman"/>
          <w:sz w:val="24"/>
          <w:szCs w:val="24"/>
        </w:rPr>
        <w:t xml:space="preserve"> Wytycznych, w przypadku regionów na poziomie N</w:t>
      </w:r>
      <w:r w:rsidR="00A1075A">
        <w:rPr>
          <w:rFonts w:ascii="Times New Roman" w:hAnsi="Times New Roman"/>
          <w:sz w:val="24"/>
          <w:szCs w:val="24"/>
        </w:rPr>
        <w:t>U</w:t>
      </w:r>
      <w:r w:rsidR="0028350F" w:rsidRPr="0028350F">
        <w:rPr>
          <w:rFonts w:ascii="Times New Roman" w:hAnsi="Times New Roman"/>
          <w:sz w:val="24"/>
          <w:szCs w:val="24"/>
        </w:rPr>
        <w:t>TS 2, objętych możliwością udzielania pomocy regionalnej na podstawie art. 107 ust. 3 lit. a TFUE, maksymalna intensywność pomocy, liczona jako stosunek ekwiwalentu dotacji brutto do kosztów kwalifikujących się do objęcia pomocą, nie może przekroczyć:</w:t>
      </w:r>
    </w:p>
    <w:p w14:paraId="42E2C854" w14:textId="31437B92" w:rsidR="000225AB" w:rsidRPr="0028350F" w:rsidRDefault="00F1415F" w:rsidP="000225AB">
      <w:pPr>
        <w:pStyle w:val="TxBrp2"/>
        <w:numPr>
          <w:ilvl w:val="0"/>
          <w:numId w:val="10"/>
        </w:numPr>
        <w:tabs>
          <w:tab w:val="clear" w:pos="578"/>
          <w:tab w:val="left" w:pos="284"/>
        </w:tabs>
        <w:spacing w:before="120" w:line="340" w:lineRule="exact"/>
        <w:ind w:left="284" w:hanging="284"/>
        <w:rPr>
          <w:lang w:val="pl-PL"/>
        </w:rPr>
      </w:pPr>
      <w:r>
        <w:rPr>
          <w:lang w:val="pl-PL"/>
        </w:rPr>
        <w:t>30</w:t>
      </w:r>
      <w:r w:rsidR="0028350F" w:rsidRPr="0028350F">
        <w:rPr>
          <w:lang w:val="pl-PL"/>
        </w:rPr>
        <w:t xml:space="preserve">% dla regionów, których PKB na jednego mieszkańca wynosi </w:t>
      </w:r>
      <w:r w:rsidR="00EC1E69">
        <w:rPr>
          <w:lang w:val="pl-PL"/>
        </w:rPr>
        <w:t>powyżej 65</w:t>
      </w:r>
      <w:r w:rsidR="0028350F" w:rsidRPr="0028350F">
        <w:rPr>
          <w:lang w:val="pl-PL"/>
        </w:rPr>
        <w:t>% średniego PKB na jednego mieszkańca dla UE – 27,</w:t>
      </w:r>
    </w:p>
    <w:p w14:paraId="60FC55C6" w14:textId="635DCC78" w:rsidR="000225AB" w:rsidRPr="000225AB" w:rsidRDefault="00F1415F" w:rsidP="000225AB">
      <w:pPr>
        <w:pStyle w:val="TxBrp2"/>
        <w:numPr>
          <w:ilvl w:val="0"/>
          <w:numId w:val="10"/>
        </w:numPr>
        <w:tabs>
          <w:tab w:val="clear" w:pos="578"/>
          <w:tab w:val="left" w:pos="284"/>
        </w:tabs>
        <w:spacing w:before="120" w:line="340" w:lineRule="exact"/>
        <w:ind w:left="284" w:hanging="284"/>
        <w:rPr>
          <w:lang w:val="pl-PL"/>
        </w:rPr>
      </w:pPr>
      <w:r w:rsidRPr="000225AB">
        <w:rPr>
          <w:lang w:val="pl-PL"/>
        </w:rPr>
        <w:t>40</w:t>
      </w:r>
      <w:r w:rsidR="0028350F" w:rsidRPr="000225AB">
        <w:rPr>
          <w:lang w:val="pl-PL"/>
        </w:rPr>
        <w:t xml:space="preserve">% dla regionów, których PKB na jednego mieszkańca </w:t>
      </w:r>
      <w:r w:rsidR="00EC1E69" w:rsidRPr="000225AB">
        <w:rPr>
          <w:lang w:val="pl-PL"/>
        </w:rPr>
        <w:t>wynosi od 55</w:t>
      </w:r>
      <w:r w:rsidR="0028350F" w:rsidRPr="000225AB">
        <w:rPr>
          <w:lang w:val="pl-PL"/>
        </w:rPr>
        <w:t xml:space="preserve">% do </w:t>
      </w:r>
      <w:r w:rsidR="00EC1E69" w:rsidRPr="000225AB">
        <w:rPr>
          <w:lang w:val="pl-PL"/>
        </w:rPr>
        <w:t>65</w:t>
      </w:r>
      <w:r w:rsidR="0028350F" w:rsidRPr="000225AB">
        <w:rPr>
          <w:lang w:val="pl-PL"/>
        </w:rPr>
        <w:t xml:space="preserve">% </w:t>
      </w:r>
      <w:r w:rsidR="00EC1E69" w:rsidRPr="000225AB">
        <w:rPr>
          <w:lang w:val="pl-PL"/>
        </w:rPr>
        <w:t xml:space="preserve">włącznie </w:t>
      </w:r>
      <w:r w:rsidR="0028350F" w:rsidRPr="00635619">
        <w:rPr>
          <w:lang w:val="pl-PL"/>
        </w:rPr>
        <w:t>średniego PKB na jednego mieszkańca dla UE – 27,</w:t>
      </w:r>
    </w:p>
    <w:p w14:paraId="0B476596" w14:textId="2079FFE5" w:rsidR="0028350F" w:rsidRPr="000225AB" w:rsidRDefault="0028350F" w:rsidP="000225AB">
      <w:pPr>
        <w:pStyle w:val="TxBrp2"/>
        <w:numPr>
          <w:ilvl w:val="0"/>
          <w:numId w:val="10"/>
        </w:numPr>
        <w:tabs>
          <w:tab w:val="clear" w:pos="578"/>
          <w:tab w:val="left" w:pos="284"/>
        </w:tabs>
        <w:spacing w:before="120" w:line="340" w:lineRule="exact"/>
        <w:ind w:left="284" w:hanging="284"/>
        <w:rPr>
          <w:lang w:val="pl-PL"/>
        </w:rPr>
      </w:pPr>
      <w:r w:rsidRPr="000225AB">
        <w:rPr>
          <w:lang w:val="pl-PL"/>
        </w:rPr>
        <w:t xml:space="preserve">50% dla regionów, których PKB na jednego mieszkańca wynosi </w:t>
      </w:r>
      <w:r w:rsidR="00EC1E69" w:rsidRPr="000225AB">
        <w:rPr>
          <w:lang w:val="pl-PL"/>
        </w:rPr>
        <w:t>poniżej 55</w:t>
      </w:r>
      <w:r w:rsidRPr="000225AB">
        <w:rPr>
          <w:lang w:val="pl-PL"/>
        </w:rPr>
        <w:t>% średniego PKB na jednego mieszkańca dla UE – 27 lub mniej.</w:t>
      </w:r>
    </w:p>
    <w:p w14:paraId="4D10DBD2" w14:textId="4CB8E4EC" w:rsidR="0028350F" w:rsidRPr="0028350F" w:rsidRDefault="005C3304" w:rsidP="0028350F">
      <w:pPr>
        <w:pStyle w:val="TxBrp2"/>
        <w:tabs>
          <w:tab w:val="clear" w:pos="578"/>
          <w:tab w:val="left" w:pos="0"/>
        </w:tabs>
        <w:spacing w:after="120" w:line="340" w:lineRule="exact"/>
        <w:ind w:left="0"/>
        <w:rPr>
          <w:lang w:val="pl-PL"/>
        </w:rPr>
      </w:pPr>
      <w:r>
        <w:rPr>
          <w:lang w:val="pl-PL"/>
        </w:rPr>
        <w:t>Zgodnie z pkt 166</w:t>
      </w:r>
      <w:r w:rsidR="0028350F" w:rsidRPr="0028350F">
        <w:rPr>
          <w:lang w:val="pl-PL"/>
        </w:rPr>
        <w:t xml:space="preserve"> Wytycznych, regiony na poziomie N</w:t>
      </w:r>
      <w:r w:rsidR="00A1075A">
        <w:rPr>
          <w:lang w:val="pl-PL"/>
        </w:rPr>
        <w:t>U</w:t>
      </w:r>
      <w:r w:rsidR="0028350F" w:rsidRPr="0028350F">
        <w:rPr>
          <w:lang w:val="pl-PL"/>
        </w:rPr>
        <w:t xml:space="preserve">TS 2, </w:t>
      </w:r>
      <w:r w:rsidR="00270CCE">
        <w:rPr>
          <w:lang w:val="pl-PL"/>
        </w:rPr>
        <w:t>które w latach 2017-2020</w:t>
      </w:r>
      <w:r w:rsidR="0028350F" w:rsidRPr="0028350F">
        <w:rPr>
          <w:lang w:val="pl-PL"/>
        </w:rPr>
        <w:t xml:space="preserve"> kwalifikowały się do udzielania pomocy regionalnej w oparciu o art. 107 ust. 3 lit. a TFUE, zostaną objęte możliwością udzielania pomocy regionalnej na podstawie art. 107 ust. 3 lit. c TFUE. W przypadku tego typu regionów maksymalna inten</w:t>
      </w:r>
      <w:r>
        <w:rPr>
          <w:lang w:val="pl-PL"/>
        </w:rPr>
        <w:t>sywność pomocy zgodnie z pkt 182 i 183</w:t>
      </w:r>
      <w:r w:rsidR="0028350F" w:rsidRPr="0028350F">
        <w:rPr>
          <w:lang w:val="pl-PL"/>
        </w:rPr>
        <w:t xml:space="preserve"> Wytycznych nie może przekroczyć:</w:t>
      </w:r>
    </w:p>
    <w:p w14:paraId="1ACDE733" w14:textId="6C3321E6" w:rsidR="0028350F" w:rsidRPr="000225AB" w:rsidRDefault="00F1415F" w:rsidP="000225AB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5AB">
        <w:rPr>
          <w:rFonts w:ascii="Times New Roman" w:hAnsi="Times New Roman"/>
          <w:sz w:val="24"/>
          <w:szCs w:val="24"/>
        </w:rPr>
        <w:t>20</w:t>
      </w:r>
      <w:r w:rsidR="0028350F" w:rsidRPr="000225AB">
        <w:rPr>
          <w:rFonts w:ascii="Times New Roman" w:hAnsi="Times New Roman"/>
          <w:sz w:val="24"/>
          <w:szCs w:val="24"/>
        </w:rPr>
        <w:t xml:space="preserve">% </w:t>
      </w:r>
      <w:r w:rsidR="000225AB" w:rsidRPr="0032043F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–</w:t>
      </w:r>
      <w:r w:rsidR="0028350F" w:rsidRPr="000225AB">
        <w:rPr>
          <w:rFonts w:ascii="Times New Roman" w:hAnsi="Times New Roman"/>
          <w:sz w:val="24"/>
          <w:szCs w:val="24"/>
        </w:rPr>
        <w:t xml:space="preserve"> w okresie od dnia 1 </w:t>
      </w:r>
      <w:r w:rsidR="00137741" w:rsidRPr="000225AB">
        <w:rPr>
          <w:rFonts w:ascii="Times New Roman" w:hAnsi="Times New Roman"/>
          <w:sz w:val="24"/>
          <w:szCs w:val="24"/>
        </w:rPr>
        <w:t>stycznia 2022</w:t>
      </w:r>
      <w:r w:rsidR="0028350F" w:rsidRPr="000225AB">
        <w:rPr>
          <w:rFonts w:ascii="Times New Roman" w:hAnsi="Times New Roman"/>
          <w:sz w:val="24"/>
          <w:szCs w:val="24"/>
        </w:rPr>
        <w:t xml:space="preserve"> r. do dnia </w:t>
      </w:r>
      <w:r w:rsidR="00137741" w:rsidRPr="000225AB">
        <w:rPr>
          <w:rFonts w:ascii="Times New Roman" w:hAnsi="Times New Roman"/>
          <w:sz w:val="24"/>
          <w:szCs w:val="24"/>
        </w:rPr>
        <w:t>31 grudnia 2024</w:t>
      </w:r>
      <w:r w:rsidR="0028350F" w:rsidRPr="000225AB">
        <w:rPr>
          <w:rFonts w:ascii="Times New Roman" w:hAnsi="Times New Roman"/>
          <w:sz w:val="24"/>
          <w:szCs w:val="24"/>
        </w:rPr>
        <w:t xml:space="preserve"> r.;</w:t>
      </w:r>
    </w:p>
    <w:p w14:paraId="682B562F" w14:textId="00A8718A" w:rsidR="0028350F" w:rsidRPr="000225AB" w:rsidRDefault="00F1415F" w:rsidP="000225AB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5AB">
        <w:rPr>
          <w:rFonts w:ascii="Times New Roman" w:hAnsi="Times New Roman"/>
          <w:sz w:val="24"/>
          <w:szCs w:val="24"/>
        </w:rPr>
        <w:t>15</w:t>
      </w:r>
      <w:r w:rsidR="0028350F" w:rsidRPr="000225AB">
        <w:rPr>
          <w:rFonts w:ascii="Times New Roman" w:hAnsi="Times New Roman"/>
          <w:sz w:val="24"/>
          <w:szCs w:val="24"/>
        </w:rPr>
        <w:t xml:space="preserve">% </w:t>
      </w:r>
      <w:r w:rsidR="000225AB" w:rsidRPr="0032043F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–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28350F" w:rsidRPr="000225AB">
        <w:rPr>
          <w:rFonts w:ascii="Times New Roman" w:hAnsi="Times New Roman"/>
          <w:sz w:val="24"/>
          <w:szCs w:val="24"/>
        </w:rPr>
        <w:t xml:space="preserve">w okresie od dnia </w:t>
      </w:r>
      <w:r w:rsidR="00137741" w:rsidRPr="000225AB">
        <w:rPr>
          <w:rFonts w:ascii="Times New Roman" w:hAnsi="Times New Roman"/>
          <w:sz w:val="24"/>
          <w:szCs w:val="24"/>
        </w:rPr>
        <w:t>1 stycznia 2025</w:t>
      </w:r>
      <w:r w:rsidR="0028350F" w:rsidRPr="000225AB">
        <w:rPr>
          <w:rFonts w:ascii="Times New Roman" w:hAnsi="Times New Roman"/>
          <w:sz w:val="24"/>
          <w:szCs w:val="24"/>
        </w:rPr>
        <w:t xml:space="preserve"> r. do dnia </w:t>
      </w:r>
      <w:r w:rsidR="00137741" w:rsidRPr="000225AB">
        <w:rPr>
          <w:rFonts w:ascii="Times New Roman" w:hAnsi="Times New Roman"/>
          <w:sz w:val="24"/>
          <w:szCs w:val="24"/>
        </w:rPr>
        <w:t>31 grudnia 2027</w:t>
      </w:r>
      <w:r w:rsidR="0028350F" w:rsidRPr="000225AB">
        <w:rPr>
          <w:rFonts w:ascii="Times New Roman" w:hAnsi="Times New Roman"/>
          <w:sz w:val="24"/>
          <w:szCs w:val="24"/>
        </w:rPr>
        <w:t xml:space="preserve"> r.</w:t>
      </w:r>
    </w:p>
    <w:p w14:paraId="61962DED" w14:textId="401460BE" w:rsidR="0028350F" w:rsidRDefault="00A07D6A" w:rsidP="0028350F">
      <w:pPr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</w:t>
      </w:r>
      <w:r w:rsidR="005C3304">
        <w:rPr>
          <w:rFonts w:ascii="Times New Roman" w:hAnsi="Times New Roman"/>
          <w:sz w:val="24"/>
          <w:szCs w:val="24"/>
        </w:rPr>
        <w:t xml:space="preserve"> zgodnie z pkt 184</w:t>
      </w:r>
      <w:r w:rsidR="0028350F" w:rsidRPr="0032043F">
        <w:rPr>
          <w:rFonts w:ascii="Times New Roman" w:hAnsi="Times New Roman"/>
          <w:sz w:val="24"/>
          <w:szCs w:val="24"/>
        </w:rPr>
        <w:t xml:space="preserve"> Wytycznych, jeśli tzw. </w:t>
      </w:r>
      <w:r w:rsidR="00C005DE">
        <w:rPr>
          <w:rFonts w:ascii="Times New Roman" w:hAnsi="Times New Roman"/>
          <w:sz w:val="24"/>
          <w:szCs w:val="24"/>
        </w:rPr>
        <w:t>obszar „a” sąsiaduje z obszarem</w:t>
      </w:r>
      <w:r w:rsidR="0028350F" w:rsidRPr="0032043F">
        <w:rPr>
          <w:rFonts w:ascii="Times New Roman" w:hAnsi="Times New Roman"/>
          <w:sz w:val="24"/>
          <w:szCs w:val="24"/>
        </w:rPr>
        <w:t xml:space="preserve"> „c”, maksymalną intensywność pomocy dopuszczalną w </w:t>
      </w:r>
      <w:r w:rsidR="00C005DE">
        <w:rPr>
          <w:rFonts w:ascii="Times New Roman" w:hAnsi="Times New Roman"/>
          <w:sz w:val="24"/>
          <w:szCs w:val="24"/>
        </w:rPr>
        <w:t>obszarze</w:t>
      </w:r>
      <w:r w:rsidR="0028350F" w:rsidRPr="0032043F">
        <w:rPr>
          <w:rFonts w:ascii="Times New Roman" w:hAnsi="Times New Roman"/>
          <w:sz w:val="24"/>
          <w:szCs w:val="24"/>
        </w:rPr>
        <w:t xml:space="preserve"> „c” (na poziomie N</w:t>
      </w:r>
      <w:r w:rsidR="00A1075A">
        <w:rPr>
          <w:rFonts w:ascii="Times New Roman" w:hAnsi="Times New Roman"/>
          <w:sz w:val="24"/>
          <w:szCs w:val="24"/>
        </w:rPr>
        <w:t>U</w:t>
      </w:r>
      <w:r w:rsidR="0028350F" w:rsidRPr="0032043F">
        <w:rPr>
          <w:rFonts w:ascii="Times New Roman" w:hAnsi="Times New Roman"/>
          <w:sz w:val="24"/>
          <w:szCs w:val="24"/>
        </w:rPr>
        <w:t>TS 3 lub części N</w:t>
      </w:r>
      <w:r w:rsidR="00A1075A">
        <w:rPr>
          <w:rFonts w:ascii="Times New Roman" w:hAnsi="Times New Roman"/>
          <w:sz w:val="24"/>
          <w:szCs w:val="24"/>
        </w:rPr>
        <w:t>U</w:t>
      </w:r>
      <w:r w:rsidR="0028350F" w:rsidRPr="0032043F">
        <w:rPr>
          <w:rFonts w:ascii="Times New Roman" w:hAnsi="Times New Roman"/>
          <w:sz w:val="24"/>
          <w:szCs w:val="24"/>
        </w:rPr>
        <w:t>TS 3) można zwiększyć tak, aby różnica pomiędzy regionem "a", a sąsiadującym z</w:t>
      </w:r>
      <w:r w:rsidR="0008090A">
        <w:rPr>
          <w:rFonts w:ascii="Times New Roman" w:hAnsi="Times New Roman"/>
          <w:sz w:val="24"/>
          <w:szCs w:val="24"/>
        </w:rPr>
        <w:t> </w:t>
      </w:r>
      <w:r w:rsidR="0028350F" w:rsidRPr="0032043F">
        <w:rPr>
          <w:rFonts w:ascii="Times New Roman" w:hAnsi="Times New Roman"/>
          <w:sz w:val="24"/>
          <w:szCs w:val="24"/>
        </w:rPr>
        <w:t>nim regionem "c" nie przekraczała 15 punktów procentowych. Z możliwości tej skorzystano w podregionach</w:t>
      </w:r>
      <w:r w:rsidR="00EC1E69" w:rsidRPr="0032043F">
        <w:rPr>
          <w:rFonts w:ascii="Times New Roman" w:hAnsi="Times New Roman"/>
          <w:sz w:val="24"/>
          <w:szCs w:val="24"/>
        </w:rPr>
        <w:t xml:space="preserve"> województw dolnośląskiego oraz wielkopolskiego, z wyłączeniem miast Poznania i Wrocławia oraz podregionu poznańskiego, które to nie sąsiadują z żadnym </w:t>
      </w:r>
      <w:r w:rsidR="00C005DE">
        <w:rPr>
          <w:rFonts w:ascii="Times New Roman" w:hAnsi="Times New Roman"/>
          <w:sz w:val="24"/>
          <w:szCs w:val="24"/>
        </w:rPr>
        <w:t>obszarem</w:t>
      </w:r>
      <w:r w:rsidR="00EC1E69" w:rsidRPr="0032043F">
        <w:rPr>
          <w:rFonts w:ascii="Times New Roman" w:hAnsi="Times New Roman"/>
          <w:sz w:val="24"/>
          <w:szCs w:val="24"/>
        </w:rPr>
        <w:t xml:space="preserve"> „a”</w:t>
      </w:r>
      <w:r w:rsidR="0028350F" w:rsidRPr="0032043F">
        <w:rPr>
          <w:rFonts w:ascii="Times New Roman" w:hAnsi="Times New Roman"/>
          <w:sz w:val="24"/>
          <w:szCs w:val="24"/>
        </w:rPr>
        <w:t xml:space="preserve">. </w:t>
      </w:r>
      <w:r w:rsidR="00C005DE">
        <w:rPr>
          <w:rFonts w:ascii="Times New Roman" w:hAnsi="Times New Roman"/>
          <w:sz w:val="24"/>
          <w:szCs w:val="24"/>
        </w:rPr>
        <w:t xml:space="preserve">Ponadto, powyższe rozwiązanie znalazło również zastosowanie przy ustalaniu maksymalnej intensywności pomocy regionalnej dla niektórych obszarów regionu warszawskiego stołecznego. </w:t>
      </w:r>
    </w:p>
    <w:p w14:paraId="2E1D9FA2" w14:textId="69270784" w:rsidR="001522E1" w:rsidRDefault="001522E1" w:rsidP="0028350F">
      <w:pPr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pkt </w:t>
      </w:r>
      <w:r w:rsidR="00117A4A">
        <w:rPr>
          <w:rFonts w:ascii="Times New Roman" w:hAnsi="Times New Roman"/>
          <w:sz w:val="24"/>
          <w:szCs w:val="24"/>
        </w:rPr>
        <w:t>188 Wytycznych państwa członkowskie mogą</w:t>
      </w:r>
      <w:r w:rsidR="00847F9E">
        <w:rPr>
          <w:rFonts w:ascii="Times New Roman" w:hAnsi="Times New Roman"/>
          <w:sz w:val="24"/>
          <w:szCs w:val="24"/>
        </w:rPr>
        <w:t>,</w:t>
      </w:r>
      <w:r w:rsidR="00117A4A">
        <w:rPr>
          <w:rFonts w:ascii="Times New Roman" w:hAnsi="Times New Roman"/>
          <w:sz w:val="24"/>
          <w:szCs w:val="24"/>
        </w:rPr>
        <w:t xml:space="preserve"> </w:t>
      </w:r>
      <w:r w:rsidR="00847F9E">
        <w:rPr>
          <w:rFonts w:ascii="Times New Roman" w:hAnsi="Times New Roman"/>
          <w:sz w:val="24"/>
          <w:szCs w:val="24"/>
        </w:rPr>
        <w:t>w</w:t>
      </w:r>
      <w:r w:rsidR="00847F9E" w:rsidRPr="00847F9E">
        <w:rPr>
          <w:rFonts w:ascii="Times New Roman" w:hAnsi="Times New Roman"/>
          <w:sz w:val="24"/>
          <w:szCs w:val="24"/>
        </w:rPr>
        <w:t xml:space="preserve"> przypadku </w:t>
      </w:r>
      <w:r w:rsidR="00847F9E">
        <w:rPr>
          <w:rFonts w:ascii="Times New Roman" w:hAnsi="Times New Roman"/>
          <w:sz w:val="24"/>
          <w:szCs w:val="24"/>
        </w:rPr>
        <w:t>podregionów NUTS </w:t>
      </w:r>
      <w:r w:rsidR="00847F9E" w:rsidRPr="00847F9E">
        <w:rPr>
          <w:rFonts w:ascii="Times New Roman" w:hAnsi="Times New Roman"/>
          <w:sz w:val="24"/>
          <w:szCs w:val="24"/>
        </w:rPr>
        <w:t>3, w których w latach 2009–2018 ubyło ponad 10 % ludności</w:t>
      </w:r>
      <w:r w:rsidR="0007415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847F9E" w:rsidRPr="00847F9E">
        <w:rPr>
          <w:rFonts w:ascii="Times New Roman" w:hAnsi="Times New Roman"/>
          <w:sz w:val="24"/>
          <w:szCs w:val="24"/>
        </w:rPr>
        <w:t xml:space="preserve">, </w:t>
      </w:r>
      <w:r w:rsidR="00847F9E">
        <w:rPr>
          <w:rFonts w:ascii="Times New Roman" w:hAnsi="Times New Roman"/>
          <w:sz w:val="24"/>
          <w:szCs w:val="24"/>
        </w:rPr>
        <w:t xml:space="preserve">zwiększyć </w:t>
      </w:r>
      <w:r w:rsidR="00847F9E" w:rsidRPr="00847F9E">
        <w:rPr>
          <w:rFonts w:ascii="Times New Roman" w:hAnsi="Times New Roman"/>
          <w:sz w:val="24"/>
          <w:szCs w:val="24"/>
        </w:rPr>
        <w:t>maksymalne poziomy intensywności</w:t>
      </w:r>
      <w:r w:rsidR="00847F9E">
        <w:rPr>
          <w:rFonts w:ascii="Times New Roman" w:hAnsi="Times New Roman"/>
          <w:sz w:val="24"/>
          <w:szCs w:val="24"/>
        </w:rPr>
        <w:t xml:space="preserve"> pomocy w obszarach „a” </w:t>
      </w:r>
      <w:r w:rsidR="00847F9E" w:rsidRPr="00847F9E">
        <w:rPr>
          <w:rFonts w:ascii="Times New Roman" w:hAnsi="Times New Roman"/>
          <w:sz w:val="24"/>
          <w:szCs w:val="24"/>
        </w:rPr>
        <w:t xml:space="preserve">o 10 punktów procentowych, a </w:t>
      </w:r>
      <w:r w:rsidR="00847F9E">
        <w:rPr>
          <w:rFonts w:ascii="Times New Roman" w:hAnsi="Times New Roman"/>
          <w:sz w:val="24"/>
          <w:szCs w:val="24"/>
        </w:rPr>
        <w:t>w obszarach</w:t>
      </w:r>
      <w:r w:rsidR="00847F9E" w:rsidRPr="00847F9E">
        <w:rPr>
          <w:rFonts w:ascii="Times New Roman" w:hAnsi="Times New Roman"/>
          <w:sz w:val="24"/>
          <w:szCs w:val="24"/>
        </w:rPr>
        <w:t xml:space="preserve"> </w:t>
      </w:r>
      <w:r w:rsidR="00847F9E">
        <w:rPr>
          <w:rFonts w:ascii="Times New Roman" w:hAnsi="Times New Roman"/>
          <w:sz w:val="24"/>
          <w:szCs w:val="24"/>
        </w:rPr>
        <w:t xml:space="preserve">„c” </w:t>
      </w:r>
      <w:r w:rsidR="00847F9E" w:rsidRPr="00847F9E">
        <w:rPr>
          <w:rFonts w:ascii="Times New Roman" w:hAnsi="Times New Roman"/>
          <w:sz w:val="24"/>
          <w:szCs w:val="24"/>
        </w:rPr>
        <w:t>o 5 punktów procentowyc</w:t>
      </w:r>
      <w:r w:rsidR="00847F9E">
        <w:rPr>
          <w:rFonts w:ascii="Times New Roman" w:hAnsi="Times New Roman"/>
          <w:sz w:val="24"/>
          <w:szCs w:val="24"/>
        </w:rPr>
        <w:t>h. W przypadku Polski jedynym podregionem, w którym we wskazanym powyżej okresie ubyło ponad 10% ludności, jest podregion siedlecki.</w:t>
      </w:r>
      <w:r w:rsidR="002E64BC">
        <w:rPr>
          <w:rFonts w:ascii="Times New Roman" w:hAnsi="Times New Roman"/>
          <w:sz w:val="24"/>
          <w:szCs w:val="24"/>
        </w:rPr>
        <w:t xml:space="preserve"> W związku z powyższym na jego obszarze maksymalna intensywność pomocy została odpowiednio zwiększona.</w:t>
      </w:r>
    </w:p>
    <w:p w14:paraId="5EC7CFA3" w14:textId="1935A9E6" w:rsidR="00A70B47" w:rsidRPr="00521504" w:rsidRDefault="00A70B47" w:rsidP="0028350F">
      <w:pPr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A70B47">
        <w:rPr>
          <w:rFonts w:ascii="Times New Roman" w:hAnsi="Times New Roman"/>
          <w:sz w:val="24"/>
          <w:szCs w:val="24"/>
        </w:rPr>
        <w:lastRenderedPageBreak/>
        <w:t xml:space="preserve">Maksymalne poziomy intensywności pomocy </w:t>
      </w:r>
      <w:r>
        <w:rPr>
          <w:rFonts w:ascii="Times New Roman" w:hAnsi="Times New Roman"/>
          <w:sz w:val="24"/>
          <w:szCs w:val="24"/>
        </w:rPr>
        <w:t>w obszarach „a” zgodnie z pkt 187 Wytycznych</w:t>
      </w:r>
      <w:r w:rsidRPr="00A70B47">
        <w:rPr>
          <w:rFonts w:ascii="Times New Roman" w:hAnsi="Times New Roman"/>
          <w:sz w:val="24"/>
          <w:szCs w:val="24"/>
        </w:rPr>
        <w:t xml:space="preserve"> można zwiększyć o 10 punktów procentowych w przypadku terytoriów wybranych do objęcia wsparciem z Funduszu na rzecz Sprawiedliwej Transformacji w ramach terytorialnego planu </w:t>
      </w:r>
      <w:r w:rsidRPr="00521504">
        <w:rPr>
          <w:rFonts w:ascii="Times New Roman" w:hAnsi="Times New Roman"/>
          <w:sz w:val="24"/>
          <w:szCs w:val="24"/>
        </w:rPr>
        <w:t>sprawiedliwej transformacji państwa członkowskiego zatwierdzonego przez Komisję. Do</w:t>
      </w:r>
      <w:r w:rsidR="00C53A49" w:rsidRPr="00521504">
        <w:rPr>
          <w:rFonts w:ascii="Times New Roman" w:hAnsi="Times New Roman"/>
          <w:sz w:val="24"/>
          <w:szCs w:val="24"/>
        </w:rPr>
        <w:t xml:space="preserve"> chwili obecnej tego rodzaju obszary dla Polski nie zostały jednak jeszcze zatwierdzone przez Komisję. W związku z powyższym uwzględnienie </w:t>
      </w:r>
      <w:r w:rsidR="00500350" w:rsidRPr="00521504">
        <w:rPr>
          <w:rFonts w:ascii="Times New Roman" w:hAnsi="Times New Roman"/>
          <w:sz w:val="24"/>
          <w:szCs w:val="24"/>
        </w:rPr>
        <w:t>ww.</w:t>
      </w:r>
      <w:r w:rsidR="00C53A49" w:rsidRPr="00521504">
        <w:rPr>
          <w:rFonts w:ascii="Times New Roman" w:hAnsi="Times New Roman"/>
          <w:sz w:val="24"/>
          <w:szCs w:val="24"/>
        </w:rPr>
        <w:t xml:space="preserve"> obszarów w mapie pomocy regionalnej na lata 2022-2027 będzie wymagać późniejszej nowelizacji </w:t>
      </w:r>
      <w:r w:rsidR="0008090A" w:rsidRPr="00521504">
        <w:rPr>
          <w:rFonts w:ascii="Times New Roman" w:hAnsi="Times New Roman"/>
          <w:sz w:val="24"/>
          <w:szCs w:val="24"/>
        </w:rPr>
        <w:t>rozporządzenia</w:t>
      </w:r>
      <w:r w:rsidR="00C53A49" w:rsidRPr="00521504">
        <w:rPr>
          <w:rFonts w:ascii="Times New Roman" w:hAnsi="Times New Roman"/>
          <w:sz w:val="24"/>
          <w:szCs w:val="24"/>
        </w:rPr>
        <w:t>.</w:t>
      </w:r>
    </w:p>
    <w:p w14:paraId="01D48C14" w14:textId="31484B16" w:rsidR="003A780B" w:rsidRPr="00521504" w:rsidRDefault="005C3304" w:rsidP="0028350F">
      <w:pPr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521504">
        <w:rPr>
          <w:rFonts w:ascii="Times New Roman" w:hAnsi="Times New Roman"/>
          <w:sz w:val="24"/>
          <w:szCs w:val="24"/>
        </w:rPr>
        <w:t>Natomiast zgodnie z pkt 174</w:t>
      </w:r>
      <w:r w:rsidR="00CA04EE" w:rsidRPr="00521504">
        <w:rPr>
          <w:rFonts w:ascii="Times New Roman" w:hAnsi="Times New Roman"/>
          <w:sz w:val="24"/>
          <w:szCs w:val="24"/>
        </w:rPr>
        <w:t xml:space="preserve"> Wytycznych państwa członkowskie mają również możliwość wyznaczenia tzw. niezdefiniowanych obsza</w:t>
      </w:r>
      <w:r w:rsidR="00EB5B86" w:rsidRPr="00521504">
        <w:rPr>
          <w:rFonts w:ascii="Times New Roman" w:hAnsi="Times New Roman"/>
          <w:sz w:val="24"/>
          <w:szCs w:val="24"/>
        </w:rPr>
        <w:t>rów „c” w ramach przysługującego</w:t>
      </w:r>
      <w:r w:rsidR="00CA04EE" w:rsidRPr="00521504">
        <w:rPr>
          <w:rFonts w:ascii="Times New Roman" w:hAnsi="Times New Roman"/>
          <w:sz w:val="24"/>
          <w:szCs w:val="24"/>
        </w:rPr>
        <w:t xml:space="preserve"> im</w:t>
      </w:r>
      <w:r w:rsidR="00EB5B86" w:rsidRPr="00521504">
        <w:rPr>
          <w:rFonts w:ascii="Times New Roman" w:hAnsi="Times New Roman"/>
          <w:sz w:val="24"/>
          <w:szCs w:val="24"/>
        </w:rPr>
        <w:t xml:space="preserve"> odsetka ludności.</w:t>
      </w:r>
      <w:r w:rsidR="00CA04EE" w:rsidRPr="00521504">
        <w:rPr>
          <w:rFonts w:ascii="Times New Roman" w:hAnsi="Times New Roman"/>
          <w:sz w:val="24"/>
          <w:szCs w:val="24"/>
        </w:rPr>
        <w:t xml:space="preserve"> Kryteria wyznaczania nieokreślonych obszarów „c” musi zostać dokonane zgodnie z</w:t>
      </w:r>
      <w:r w:rsidR="00BC4F93">
        <w:rPr>
          <w:rFonts w:ascii="Times New Roman" w:hAnsi="Times New Roman"/>
          <w:sz w:val="24"/>
          <w:szCs w:val="24"/>
        </w:rPr>
        <w:t> </w:t>
      </w:r>
      <w:r w:rsidRPr="00521504">
        <w:rPr>
          <w:rFonts w:ascii="Times New Roman" w:hAnsi="Times New Roman"/>
          <w:sz w:val="24"/>
          <w:szCs w:val="24"/>
        </w:rPr>
        <w:t>kryteriami wskazanymi w pkt 175</w:t>
      </w:r>
      <w:r w:rsidR="00EB5B86" w:rsidRPr="00521504">
        <w:rPr>
          <w:rFonts w:ascii="Times New Roman" w:hAnsi="Times New Roman"/>
          <w:sz w:val="24"/>
          <w:szCs w:val="24"/>
        </w:rPr>
        <w:t xml:space="preserve"> Wytycznych</w:t>
      </w:r>
      <w:r w:rsidR="00CA04EE" w:rsidRPr="00521504">
        <w:rPr>
          <w:rFonts w:ascii="Times New Roman" w:hAnsi="Times New Roman"/>
          <w:sz w:val="24"/>
          <w:szCs w:val="24"/>
        </w:rPr>
        <w:t xml:space="preserve">, w ramach odpowiedniego odsetka ludności, określonego dla danego państwa członkowskiego </w:t>
      </w:r>
      <w:r w:rsidRPr="00521504">
        <w:rPr>
          <w:rFonts w:ascii="Times New Roman" w:hAnsi="Times New Roman"/>
          <w:sz w:val="24"/>
          <w:szCs w:val="24"/>
        </w:rPr>
        <w:t>zgodnie z pkt 171-173</w:t>
      </w:r>
      <w:r w:rsidR="00A07D6A" w:rsidRPr="00521504">
        <w:rPr>
          <w:rFonts w:ascii="Times New Roman" w:hAnsi="Times New Roman"/>
          <w:sz w:val="24"/>
          <w:szCs w:val="24"/>
        </w:rPr>
        <w:t xml:space="preserve"> Wytycznych</w:t>
      </w:r>
      <w:r w:rsidR="00EB5B86" w:rsidRPr="00521504">
        <w:rPr>
          <w:rFonts w:ascii="Times New Roman" w:hAnsi="Times New Roman"/>
          <w:sz w:val="24"/>
          <w:szCs w:val="24"/>
        </w:rPr>
        <w:t>. W </w:t>
      </w:r>
      <w:r w:rsidR="00CA04EE" w:rsidRPr="00521504">
        <w:rPr>
          <w:rFonts w:ascii="Times New Roman" w:hAnsi="Times New Roman"/>
          <w:sz w:val="24"/>
          <w:szCs w:val="24"/>
        </w:rPr>
        <w:t xml:space="preserve">przypadku Polski, z uwagi na fakt, iż większość terytorium kraju kwalifikuje się do pomocy regionalnej jako obszary „a” oraz wstępnie określone obszary „c”, odsetek ludności dla niezdefiniowanych obszarów „c” </w:t>
      </w:r>
      <w:r w:rsidR="00F03D83" w:rsidRPr="00521504">
        <w:rPr>
          <w:rFonts w:ascii="Times New Roman" w:hAnsi="Times New Roman"/>
          <w:sz w:val="24"/>
          <w:szCs w:val="24"/>
        </w:rPr>
        <w:t>jest niewielki i wynosi ok. 0,82</w:t>
      </w:r>
      <w:r w:rsidR="00CA04EE" w:rsidRPr="00521504">
        <w:rPr>
          <w:rFonts w:ascii="Times New Roman" w:hAnsi="Times New Roman"/>
          <w:sz w:val="24"/>
          <w:szCs w:val="24"/>
        </w:rPr>
        <w:t>% ludności kraju.</w:t>
      </w:r>
    </w:p>
    <w:p w14:paraId="596CC9AB" w14:textId="77777777" w:rsidR="0028350F" w:rsidRPr="00521504" w:rsidRDefault="0028350F" w:rsidP="0028350F">
      <w:pPr>
        <w:pStyle w:val="TxBrp2"/>
        <w:tabs>
          <w:tab w:val="clear" w:pos="578"/>
          <w:tab w:val="left" w:pos="0"/>
        </w:tabs>
        <w:spacing w:after="120" w:line="340" w:lineRule="exact"/>
        <w:ind w:left="0"/>
        <w:rPr>
          <w:lang w:val="pl-PL"/>
        </w:rPr>
      </w:pPr>
      <w:r w:rsidRPr="00521504">
        <w:rPr>
          <w:lang w:val="pl-PL"/>
        </w:rPr>
        <w:t>W oparciu o ww. zasady określone w Wytycznych maksymalną intensywność pomocy regionalnej dla poszczególnych regionów ustalono na poziomie:</w:t>
      </w:r>
    </w:p>
    <w:p w14:paraId="1CFEBE0F" w14:textId="3D7545D0" w:rsidR="009B235D" w:rsidRPr="00521504" w:rsidRDefault="0032043F" w:rsidP="009B235D">
      <w:pPr>
        <w:pStyle w:val="Akapitzlist"/>
        <w:numPr>
          <w:ilvl w:val="0"/>
          <w:numId w:val="12"/>
        </w:numPr>
        <w:suppressAutoHyphens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</w:pP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50% – na obszarach należących do województw: lubelskiego, podkarpackiego,</w:t>
      </w:r>
      <w:r w:rsidR="00847F9E"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 xml:space="preserve"> podlaskiego, świętokrzyskiego,</w:t>
      </w: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 warmińsko-mazurskiego</w:t>
      </w:r>
      <w:r w:rsidR="00847F9E"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 xml:space="preserve"> oraz podregionu siedleckiego</w:t>
      </w: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007686DF" w14:textId="57040697" w:rsidR="009B235D" w:rsidRPr="00521504" w:rsidRDefault="0032043F" w:rsidP="009B235D">
      <w:pPr>
        <w:pStyle w:val="Akapitzlist"/>
        <w:numPr>
          <w:ilvl w:val="0"/>
          <w:numId w:val="12"/>
        </w:numPr>
        <w:suppressAutoHyphens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</w:pP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40% – na obszarach należących do województw: kujawsko-pomorskiego, lubuskiego, łódzkiego, małopolskiego, opolskiego, zachodniopomorskiego oraz regionu mazowieckiego regionalnego;</w:t>
      </w:r>
    </w:p>
    <w:p w14:paraId="6A90C148" w14:textId="507DBA60" w:rsidR="009B235D" w:rsidRPr="00521504" w:rsidRDefault="0032043F" w:rsidP="009B235D">
      <w:pPr>
        <w:pStyle w:val="Akapitzlist"/>
        <w:numPr>
          <w:ilvl w:val="0"/>
          <w:numId w:val="12"/>
        </w:numPr>
        <w:suppressAutoHyphens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</w:pP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30% – na obszarach należących do województw: pomorskiego, śląskiego;</w:t>
      </w:r>
    </w:p>
    <w:p w14:paraId="3588F494" w14:textId="0263E7D2" w:rsidR="009B235D" w:rsidRPr="00521504" w:rsidRDefault="0032043F" w:rsidP="009B235D">
      <w:pPr>
        <w:pStyle w:val="Akapitzlist"/>
        <w:numPr>
          <w:ilvl w:val="0"/>
          <w:numId w:val="12"/>
        </w:numPr>
        <w:suppressAutoHyphens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</w:pP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25% – na obszarach należących do województw dolnośląskiego i wielkopolskiego z wyłączeniem obszarów wskazanych w pkt 5 i 6;</w:t>
      </w:r>
    </w:p>
    <w:p w14:paraId="772CDA85" w14:textId="4DC108D4" w:rsidR="009B235D" w:rsidRPr="00521504" w:rsidRDefault="0032043F" w:rsidP="009B235D">
      <w:pPr>
        <w:pStyle w:val="Akapitzlist"/>
        <w:numPr>
          <w:ilvl w:val="0"/>
          <w:numId w:val="12"/>
        </w:numPr>
        <w:suppressAutoHyphens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</w:pP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20% – na obszarze należącym do miast Poznania i Wrocławia oraz podregionu poznańskiego w okresie od dnia 1 stycznia 2022 r. do dnia 31 grudnia 2024 r.;</w:t>
      </w:r>
    </w:p>
    <w:p w14:paraId="14B0BB02" w14:textId="0EA8AC47" w:rsidR="0032043F" w:rsidRPr="00521504" w:rsidRDefault="0032043F" w:rsidP="009B235D">
      <w:pPr>
        <w:pStyle w:val="Akapitzlist"/>
        <w:numPr>
          <w:ilvl w:val="0"/>
          <w:numId w:val="12"/>
        </w:numPr>
        <w:suppressAutoHyphens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u w:color="000000"/>
          <w:lang w:eastAsia="pl-PL" w:bidi="pl-PL"/>
        </w:rPr>
      </w:pPr>
      <w:r w:rsidRPr="00521504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t>15% – na obszarze należącym do miast Poznania i Wrocławia oraz podregionu poznańskiego w okresie od dnia 1 stycznia 2025 r. do dnia 31 grudnia 2027 r.</w:t>
      </w:r>
    </w:p>
    <w:p w14:paraId="48D38BC0" w14:textId="3E53F794" w:rsidR="00DD34AF" w:rsidRDefault="00DD34AF" w:rsidP="0028350F">
      <w:pPr>
        <w:pStyle w:val="Tekstpodstawowy"/>
        <w:spacing w:before="120" w:line="340" w:lineRule="exact"/>
        <w:jc w:val="both"/>
      </w:pPr>
      <w:r w:rsidRPr="00DD34AF">
        <w:t>Z uwagi na to, iż realizacja dużych projektów inwestycyjnych przy wsparciu państwa może ograniczyć lub zniekształcić konkurencję, a także uniemożliwić lub istotnie utrudnić powstanie konkurencji na rynkach właściwych przyjmuje się, iż maksymalna intensywność pomocy w przypadku dużych projektów inwestycyjnych powinna być niższa od standardowej intensywności dopuszczalnej dla danego obszaru. W</w:t>
      </w:r>
      <w:r>
        <w:t xml:space="preserve"> związku z tym, zgodnie z pkt 19 </w:t>
      </w:r>
      <w:proofErr w:type="spellStart"/>
      <w:r>
        <w:t>ppkt</w:t>
      </w:r>
      <w:proofErr w:type="spellEnd"/>
      <w:r>
        <w:t xml:space="preserve"> 3</w:t>
      </w:r>
      <w:r w:rsidRPr="00DD34AF">
        <w:t xml:space="preserve"> Wytycznych w § 4 określono wzór, według którego ma być obliczana pomoc dla dużych projektów inwestycyjnych. Maksymalna intensywność regionalnej pomocy inwestycyjnej ulega w tym przypadku odpowiedniemu zmniejszeniu, jeżeli wartość wydatków kwalifikujących się do objęcia pomocą przekracza kwotę 50 000 000 euro.</w:t>
      </w:r>
    </w:p>
    <w:p w14:paraId="719E1DF1" w14:textId="0ABFBE59" w:rsidR="0028350F" w:rsidRPr="0032043F" w:rsidRDefault="005C1669" w:rsidP="0028350F">
      <w:pPr>
        <w:pStyle w:val="Tekstpodstawowy"/>
        <w:spacing w:before="120" w:line="340" w:lineRule="exact"/>
        <w:jc w:val="both"/>
      </w:pPr>
      <w:r>
        <w:lastRenderedPageBreak/>
        <w:t>Zgodnie z § 5</w:t>
      </w:r>
      <w:r w:rsidR="0028350F" w:rsidRPr="0032043F">
        <w:t xml:space="preserve"> projektu rozporządzenia, maksymalną inte</w:t>
      </w:r>
      <w:r w:rsidR="00A07D6A">
        <w:t>nsywność pomocy podwyższa się o </w:t>
      </w:r>
      <w:r w:rsidR="0028350F" w:rsidRPr="0032043F">
        <w:t>10 punktów procentowych w przypadku pomocy dla średniego przedsiębiorstwa oraz o 20 punktów procentowych w przypadku pomocy dla małego przedsiębiorstwa. Ro</w:t>
      </w:r>
      <w:r w:rsidR="00F03D83">
        <w:t>związanie takie wynika z pkt 186</w:t>
      </w:r>
      <w:r w:rsidR="0028350F" w:rsidRPr="0032043F">
        <w:t xml:space="preserve"> Wytycznych.</w:t>
      </w:r>
      <w:r w:rsidR="00CA04EE">
        <w:t xml:space="preserve"> Jednak nie dotyczy ono tzw. dużych projektów inwe</w:t>
      </w:r>
      <w:r w:rsidR="00DD34AF">
        <w:t>stycyjnych, o których mowa w § 4</w:t>
      </w:r>
      <w:r w:rsidR="00CA04EE" w:rsidRPr="0032043F">
        <w:t xml:space="preserve"> projektu rozporządzenia</w:t>
      </w:r>
      <w:r w:rsidR="00CA04EE">
        <w:t>.</w:t>
      </w:r>
    </w:p>
    <w:p w14:paraId="35D71EC1" w14:textId="63A8C264" w:rsidR="0028350F" w:rsidRPr="0028350F" w:rsidRDefault="0028350F" w:rsidP="0028350F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</w:pPr>
      <w:r w:rsidRPr="0028350F">
        <w:t>Częściowej zmianie, w porównaniu do obecnej mapy pomocy regionalnej, ulegnie także katalog sektorów, w których nie jest dopuszczalne udzielanie pomocy regionalnej. Zgodnie</w:t>
      </w:r>
      <w:r w:rsidR="000225AB">
        <w:t xml:space="preserve"> </w:t>
      </w:r>
      <w:r w:rsidR="00BC4F93">
        <w:t>z </w:t>
      </w:r>
      <w:r w:rsidR="005C1669">
        <w:t>§</w:t>
      </w:r>
      <w:r w:rsidR="000225AB">
        <w:t> </w:t>
      </w:r>
      <w:r w:rsidR="005C1669">
        <w:t>6</w:t>
      </w:r>
      <w:r w:rsidRPr="0028350F">
        <w:t xml:space="preserve"> projektu rozporządzenia niedopuszczalne jest udzielanie pomocy: w sektorze żelaza i</w:t>
      </w:r>
      <w:r w:rsidR="000225AB">
        <w:t> </w:t>
      </w:r>
      <w:r w:rsidRPr="0028350F">
        <w:t>stali</w:t>
      </w:r>
      <w:r w:rsidR="00A63463">
        <w:t>,</w:t>
      </w:r>
      <w:r w:rsidR="00F03D83">
        <w:t xml:space="preserve"> węgla brunatnego, </w:t>
      </w:r>
      <w:r w:rsidR="00A63463">
        <w:t>węglowym</w:t>
      </w:r>
      <w:r w:rsidRPr="0028350F">
        <w:t xml:space="preserve">, transportu, </w:t>
      </w:r>
      <w:r w:rsidR="00F03D83">
        <w:t xml:space="preserve">sieci szerokopasmowych, </w:t>
      </w:r>
      <w:r w:rsidRPr="0028350F">
        <w:t>energetyki, rybołówstwa i akwakultury, rolnictwa i leśnictwa, jak również pomocy udzielanej portom lotniczym. Po</w:t>
      </w:r>
      <w:r w:rsidR="00F03D83">
        <w:t>wyższy zakaz wynika z pkt 10 i 11</w:t>
      </w:r>
      <w:r w:rsidRPr="0028350F">
        <w:t xml:space="preserve"> Wytycznych</w:t>
      </w:r>
      <w:r w:rsidR="00F03D83">
        <w:rPr>
          <w:bCs/>
        </w:rPr>
        <w:t>. Ponadto zgodnie z pkt 17</w:t>
      </w:r>
      <w:r w:rsidR="00EB5B86">
        <w:rPr>
          <w:bCs/>
        </w:rPr>
        <w:t xml:space="preserve"> </w:t>
      </w:r>
      <w:r w:rsidRPr="0028350F">
        <w:rPr>
          <w:bCs/>
        </w:rPr>
        <w:t>Wytycznych pomoc regionalna nie będzie mogła być udzielana</w:t>
      </w:r>
      <w:r w:rsidR="00F03D83">
        <w:rPr>
          <w:bCs/>
        </w:rPr>
        <w:t xml:space="preserve"> przedsiębiorcom znajdującym się w trudnej sytuacji </w:t>
      </w:r>
      <w:r w:rsidRPr="0028350F">
        <w:rPr>
          <w:bCs/>
        </w:rPr>
        <w:t xml:space="preserve">w rozumieniu właściwych </w:t>
      </w:r>
      <w:r w:rsidRPr="0028350F">
        <w:t>przepisów unijnych dotyczących</w:t>
      </w:r>
      <w:r w:rsidRPr="0028350F">
        <w:rPr>
          <w:bCs/>
        </w:rPr>
        <w:t xml:space="preserve"> </w:t>
      </w:r>
      <w:r w:rsidR="00F03D83" w:rsidRPr="00F03D83">
        <w:t>pomocy państwa na ratowanie i restrukturyzację przedsiębiorstw niefinansowych znaj</w:t>
      </w:r>
      <w:r w:rsidR="00F03D83">
        <w:t>dujących się w</w:t>
      </w:r>
      <w:r w:rsidR="0008090A">
        <w:t> </w:t>
      </w:r>
      <w:r w:rsidR="00F03D83">
        <w:t>trudnej sytuacji.</w:t>
      </w:r>
    </w:p>
    <w:p w14:paraId="18C3A882" w14:textId="77E5DA3C" w:rsidR="0028350F" w:rsidRPr="0028350F" w:rsidRDefault="0028350F" w:rsidP="0028350F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</w:pPr>
      <w:r w:rsidRPr="0028350F">
        <w:t xml:space="preserve">Termin wejścia w życie rozporządzenia </w:t>
      </w:r>
      <w:r w:rsidR="00521504">
        <w:t xml:space="preserve">został </w:t>
      </w:r>
      <w:r w:rsidRPr="0028350F">
        <w:t xml:space="preserve">określony na dzień </w:t>
      </w:r>
      <w:r w:rsidR="0032043F">
        <w:t>1 stycznia 2022 r., który jest zgodny z początkiem okresu obowiązywania Wytycznych.</w:t>
      </w:r>
    </w:p>
    <w:p w14:paraId="25244743" w14:textId="19A086EB" w:rsidR="0028350F" w:rsidRPr="0028350F" w:rsidRDefault="0028350F" w:rsidP="0028350F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</w:pPr>
      <w:r w:rsidRPr="0028350F">
        <w:t>Stosownie do okresu na jaki przyjęto Wytyczne, obowiązywanie przedmiotowego rozporządzenia zostało ograniczone do dn</w:t>
      </w:r>
      <w:r w:rsidR="00137741">
        <w:t>ia 31 grudnia 2027</w:t>
      </w:r>
      <w:r w:rsidR="0032651C">
        <w:t xml:space="preserve"> r</w:t>
      </w:r>
      <w:r w:rsidRPr="0028350F">
        <w:t xml:space="preserve">. </w:t>
      </w:r>
    </w:p>
    <w:p w14:paraId="7BCEAC7A" w14:textId="47F223B6" w:rsidR="0028350F" w:rsidRPr="0028350F" w:rsidRDefault="0028350F" w:rsidP="0028350F">
      <w:pPr>
        <w:pStyle w:val="Tekstprzypisudolnego"/>
        <w:spacing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28350F">
        <w:rPr>
          <w:rFonts w:ascii="Times New Roman" w:hAnsi="Times New Roman"/>
          <w:sz w:val="24"/>
          <w:szCs w:val="24"/>
        </w:rPr>
        <w:t>Należy również zauważyć, iż przedmiotowe rozporządzenie będzie miało zastosowanie zarówno do pomocy regionalnej udzielanej na warunkach określonych w Wytycznych, jak również w rozporządzeniu Komisji Europejskiej (UE) nr 651/2014 z dnia 17 czerwca 2014 r. uznającym niektóre rodzaje pomocy za zgodne z rynkiem wewnętrznym w zastosowaniu art. 107 i 108 Traktatu</w:t>
      </w:r>
      <w:r w:rsidR="00B93F84">
        <w:rPr>
          <w:rFonts w:ascii="Times New Roman" w:hAnsi="Times New Roman"/>
          <w:sz w:val="24"/>
          <w:szCs w:val="24"/>
        </w:rPr>
        <w:t xml:space="preserve"> (</w:t>
      </w:r>
      <w:r w:rsidR="00B93F84" w:rsidRPr="00B93F84">
        <w:rPr>
          <w:rFonts w:ascii="Times New Roman" w:hAnsi="Times New Roman"/>
          <w:sz w:val="24"/>
          <w:szCs w:val="24"/>
        </w:rPr>
        <w:t>Dz. Urz. UE L 187 z 26.6.2014</w:t>
      </w:r>
      <w:r w:rsidR="00216909">
        <w:rPr>
          <w:rFonts w:ascii="Times New Roman" w:hAnsi="Times New Roman"/>
          <w:sz w:val="24"/>
          <w:szCs w:val="24"/>
        </w:rPr>
        <w:t xml:space="preserve">, str. 1, z </w:t>
      </w:r>
      <w:proofErr w:type="spellStart"/>
      <w:r w:rsidR="00216909">
        <w:rPr>
          <w:rFonts w:ascii="Times New Roman" w:hAnsi="Times New Roman"/>
          <w:sz w:val="24"/>
          <w:szCs w:val="24"/>
        </w:rPr>
        <w:t>późn</w:t>
      </w:r>
      <w:proofErr w:type="spellEnd"/>
      <w:r w:rsidR="00216909">
        <w:rPr>
          <w:rFonts w:ascii="Times New Roman" w:hAnsi="Times New Roman"/>
          <w:sz w:val="24"/>
          <w:szCs w:val="24"/>
        </w:rPr>
        <w:t>. zm.</w:t>
      </w:r>
      <w:r w:rsidR="00B93F84">
        <w:rPr>
          <w:rFonts w:ascii="Times New Roman" w:hAnsi="Times New Roman"/>
          <w:sz w:val="24"/>
          <w:szCs w:val="24"/>
        </w:rPr>
        <w:t>)</w:t>
      </w:r>
      <w:r w:rsidRPr="0028350F">
        <w:rPr>
          <w:rFonts w:ascii="Times New Roman" w:hAnsi="Times New Roman"/>
          <w:sz w:val="24"/>
          <w:szCs w:val="24"/>
        </w:rPr>
        <w:t>. Użyte zarówno w</w:t>
      </w:r>
      <w:r w:rsidR="0008090A">
        <w:rPr>
          <w:rFonts w:ascii="Times New Roman" w:hAnsi="Times New Roman"/>
          <w:sz w:val="24"/>
          <w:szCs w:val="24"/>
        </w:rPr>
        <w:t> </w:t>
      </w:r>
      <w:r w:rsidRPr="0028350F">
        <w:rPr>
          <w:rFonts w:ascii="Times New Roman" w:hAnsi="Times New Roman"/>
          <w:sz w:val="24"/>
          <w:szCs w:val="24"/>
        </w:rPr>
        <w:t>Wytycznych jak i ww. rozporządzeniu definicje dotyczące m</w:t>
      </w:r>
      <w:r w:rsidR="005E48AF">
        <w:rPr>
          <w:rFonts w:ascii="Times New Roman" w:hAnsi="Times New Roman"/>
          <w:sz w:val="24"/>
          <w:szCs w:val="24"/>
        </w:rPr>
        <w:t xml:space="preserve">.in. wielkości przedsiębiorstwa oraz sektora </w:t>
      </w:r>
      <w:r w:rsidRPr="0028350F">
        <w:rPr>
          <w:rFonts w:ascii="Times New Roman" w:hAnsi="Times New Roman"/>
          <w:sz w:val="24"/>
          <w:szCs w:val="24"/>
        </w:rPr>
        <w:t>żelaza i s</w:t>
      </w:r>
      <w:r w:rsidR="005E48AF">
        <w:rPr>
          <w:rFonts w:ascii="Times New Roman" w:hAnsi="Times New Roman"/>
          <w:sz w:val="24"/>
          <w:szCs w:val="24"/>
        </w:rPr>
        <w:t xml:space="preserve">tali </w:t>
      </w:r>
      <w:r w:rsidRPr="0028350F">
        <w:rPr>
          <w:rFonts w:ascii="Times New Roman" w:hAnsi="Times New Roman"/>
          <w:sz w:val="24"/>
          <w:szCs w:val="24"/>
        </w:rPr>
        <w:t>są ze sobą zbieżne.</w:t>
      </w:r>
    </w:p>
    <w:p w14:paraId="42BBCE0A" w14:textId="77777777" w:rsidR="0028350F" w:rsidRPr="0028350F" w:rsidRDefault="0028350F" w:rsidP="0032651C">
      <w:pPr>
        <w:spacing w:after="120" w:line="340" w:lineRule="exact"/>
        <w:rPr>
          <w:rFonts w:ascii="Times New Roman" w:hAnsi="Times New Roman"/>
          <w:sz w:val="24"/>
          <w:szCs w:val="24"/>
        </w:rPr>
      </w:pPr>
      <w:r w:rsidRPr="0028350F">
        <w:rPr>
          <w:rFonts w:ascii="Times New Roman" w:hAnsi="Times New Roman"/>
          <w:sz w:val="24"/>
          <w:szCs w:val="24"/>
        </w:rPr>
        <w:t>Projekt rozporządzenia jest zgodny z prawem Unii Europejskiej.</w:t>
      </w:r>
    </w:p>
    <w:p w14:paraId="10A4D67A" w14:textId="54CB343C" w:rsidR="003F0C4C" w:rsidRPr="0028350F" w:rsidRDefault="002D0F22" w:rsidP="0032651C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</w:pPr>
      <w:r>
        <w:t>Zgodnie z pkt 189</w:t>
      </w:r>
      <w:r w:rsidR="0028350F" w:rsidRPr="0028350F">
        <w:t xml:space="preserve"> Wytycznych projekt rozporządzenia </w:t>
      </w:r>
      <w:r w:rsidR="00137741">
        <w:t>będzie</w:t>
      </w:r>
      <w:r w:rsidR="0028350F" w:rsidRPr="0028350F">
        <w:t xml:space="preserve"> przedmiotem notyfikacji Komisji Europejskiej w trybie art. 10</w:t>
      </w:r>
      <w:r w:rsidR="00137741">
        <w:t>8 ust. 3 TFUE</w:t>
      </w:r>
      <w:r w:rsidR="00A07D6A">
        <w:t xml:space="preserve"> i art. 20</w:t>
      </w:r>
      <w:r w:rsidR="0028350F" w:rsidRPr="0028350F">
        <w:t xml:space="preserve"> ustawy o postępowaniu w sprawach dotyczących pomocy publicznej. </w:t>
      </w:r>
      <w:r w:rsidR="003F0C4C">
        <w:t>P</w:t>
      </w:r>
      <w:r w:rsidR="003F0C4C" w:rsidRPr="003F0C4C">
        <w:t xml:space="preserve">rojekt rozporządzenia nie wymaga przedłożenia </w:t>
      </w:r>
      <w:r w:rsidR="003F0C4C">
        <w:t xml:space="preserve">innym </w:t>
      </w:r>
      <w:r w:rsidR="003F0C4C" w:rsidRPr="003F0C4C">
        <w:t>właściwym instytucjom i organom Unii Europejskiej</w:t>
      </w:r>
      <w:r w:rsidR="0034520C">
        <w:t>, w tym</w:t>
      </w:r>
      <w:r w:rsidR="003F0C4C" w:rsidRPr="003F0C4C">
        <w:t xml:space="preserve"> Europejskiemu Bankowi Centralnemu</w:t>
      </w:r>
      <w:r w:rsidR="0034520C">
        <w:t>,</w:t>
      </w:r>
      <w:r w:rsidR="003F0C4C" w:rsidRPr="003F0C4C">
        <w:t xml:space="preserve"> w celu uzyskania opinii, dokonania </w:t>
      </w:r>
      <w:r w:rsidR="0034520C">
        <w:t xml:space="preserve">powiadomienia, </w:t>
      </w:r>
      <w:r w:rsidR="003F0C4C" w:rsidRPr="003F0C4C">
        <w:t xml:space="preserve">konsultacji </w:t>
      </w:r>
      <w:r w:rsidR="0034520C">
        <w:t xml:space="preserve">albo </w:t>
      </w:r>
      <w:r w:rsidR="003F0C4C" w:rsidRPr="003F0C4C">
        <w:t>uzgodnie</w:t>
      </w:r>
      <w:r w:rsidR="0034520C">
        <w:t>nia</w:t>
      </w:r>
      <w:r w:rsidR="003F0C4C" w:rsidRPr="003F0C4C">
        <w:t>.</w:t>
      </w:r>
    </w:p>
    <w:p w14:paraId="4E470FF1" w14:textId="6B512E2F" w:rsidR="0028350F" w:rsidRPr="0028350F" w:rsidRDefault="0028350F" w:rsidP="0032651C">
      <w:pPr>
        <w:pStyle w:val="Stopka"/>
        <w:tabs>
          <w:tab w:val="clear" w:pos="4536"/>
          <w:tab w:val="clear" w:pos="9072"/>
        </w:tabs>
        <w:spacing w:before="120" w:after="120" w:line="340" w:lineRule="exact"/>
        <w:jc w:val="both"/>
        <w:rPr>
          <w:spacing w:val="-6"/>
        </w:rPr>
      </w:pPr>
      <w:r w:rsidRPr="0028350F">
        <w:t>Rozporządzenie nie zawiera przepisów technicznych wymagających notyfikacji w rozumieniu rozporządzenia Rady Ministrów z dnia 23 grudnia 2002 r. w sprawie sposobu funkcjonowania krajowego systemu notyfikacji norm i aktów prawnych (</w:t>
      </w:r>
      <w:r w:rsidR="0032651C" w:rsidRPr="0032651C">
        <w:t>Dz. U.</w:t>
      </w:r>
      <w:r w:rsidR="0035440B">
        <w:t xml:space="preserve"> poz. 2039 oraz z 2004 r. poz. </w:t>
      </w:r>
      <w:r w:rsidR="0032651C" w:rsidRPr="0032651C">
        <w:t>597</w:t>
      </w:r>
      <w:r w:rsidRPr="0028350F">
        <w:t>).</w:t>
      </w:r>
    </w:p>
    <w:p w14:paraId="00FB70F8" w14:textId="50F7ACA2" w:rsidR="0032651C" w:rsidRPr="009A0EEA" w:rsidRDefault="0032651C" w:rsidP="0032651C">
      <w:pPr>
        <w:pStyle w:val="NormalnyWeb"/>
        <w:spacing w:before="120" w:beforeAutospacing="0" w:after="0" w:afterAutospacing="0" w:line="340" w:lineRule="exact"/>
        <w:jc w:val="both"/>
        <w:rPr>
          <w:rStyle w:val="Uwydatnienie"/>
          <w:i w:val="0"/>
        </w:rPr>
      </w:pPr>
      <w:r>
        <w:lastRenderedPageBreak/>
        <w:t xml:space="preserve">Projekt </w:t>
      </w:r>
      <w:r w:rsidRPr="00C13E2C">
        <w:t xml:space="preserve">będzie miał </w:t>
      </w:r>
      <w:r>
        <w:t>pozytywny wpływ</w:t>
      </w:r>
      <w:r w:rsidRPr="009A0EEA">
        <w:t xml:space="preserve"> na </w:t>
      </w:r>
      <w:proofErr w:type="spellStart"/>
      <w:r w:rsidRPr="009A0EEA">
        <w:t>mikroprzedsiębiorców</w:t>
      </w:r>
      <w:proofErr w:type="spellEnd"/>
      <w:r w:rsidRPr="009A0EEA">
        <w:t xml:space="preserve">, </w:t>
      </w:r>
      <w:r w:rsidRPr="009A0EEA">
        <w:rPr>
          <w:rStyle w:val="Uwydatnienie"/>
          <w:i w:val="0"/>
        </w:rPr>
        <w:t>małych i średnich przedsiębiorców</w:t>
      </w:r>
      <w:r>
        <w:rPr>
          <w:rStyle w:val="Uwydatnienie"/>
          <w:i w:val="0"/>
        </w:rPr>
        <w:t>, ponieważ umożliwi korzystanie przez przedsiębiorców</w:t>
      </w:r>
      <w:r w:rsidRPr="0032651C">
        <w:rPr>
          <w:rStyle w:val="Uwydatnienie"/>
          <w:i w:val="0"/>
        </w:rPr>
        <w:t xml:space="preserve"> z regionalnej pomocy publicznej przeznaczonej na wspieranie nowych inwestycji oraz tworzenie nowych miejsc pracy. </w:t>
      </w:r>
      <w:r>
        <w:rPr>
          <w:rStyle w:val="Uwydatnienie"/>
          <w:i w:val="0"/>
        </w:rPr>
        <w:t>Intensywność pomocy regionalnej dla ww. przedsiębiorców będzie mogła być natomiast wyższa niż dla dużych podmiotów.</w:t>
      </w:r>
    </w:p>
    <w:p w14:paraId="1BA17802" w14:textId="10535A37" w:rsidR="0028350F" w:rsidRDefault="0032651C" w:rsidP="009B235D">
      <w:pPr>
        <w:pStyle w:val="NormalnyWeb"/>
        <w:spacing w:before="120" w:beforeAutospacing="0" w:after="0" w:afterAutospacing="0" w:line="340" w:lineRule="exact"/>
        <w:jc w:val="both"/>
      </w:pPr>
      <w:r w:rsidRPr="009A0EEA">
        <w:t>Projekt zosta</w:t>
      </w:r>
      <w:r>
        <w:t xml:space="preserve">nie </w:t>
      </w:r>
      <w:r w:rsidRPr="009A0EEA">
        <w:t>udostępniony</w:t>
      </w:r>
      <w:r>
        <w:t>,</w:t>
      </w:r>
      <w:r w:rsidRPr="009A0EEA">
        <w:t xml:space="preserve"> </w:t>
      </w:r>
      <w:r w:rsidRPr="00DB76EA">
        <w:t>w momencie skierowania projektu do uzgodnień i opiniowania</w:t>
      </w:r>
      <w:r>
        <w:t>,</w:t>
      </w:r>
      <w:r w:rsidRPr="00DB04E2">
        <w:t xml:space="preserve"> </w:t>
      </w:r>
      <w:r w:rsidRPr="009A0EEA">
        <w:t>w Biuletynie Informacji Publicznej UOKiK, zgodnie z ustawą z dnia 7 lipca 2005 r. o</w:t>
      </w:r>
      <w:r w:rsidR="0008090A">
        <w:t> </w:t>
      </w:r>
      <w:r w:rsidRPr="009A0EEA">
        <w:t xml:space="preserve">działalności lobbingowej w </w:t>
      </w:r>
      <w:r>
        <w:t>procesie stanowienia prawa (Dz. </w:t>
      </w:r>
      <w:r w:rsidRPr="009A0EEA">
        <w:t>U.</w:t>
      </w:r>
      <w:r>
        <w:t> </w:t>
      </w:r>
      <w:r w:rsidRPr="009A0EEA">
        <w:t>z 2017 r. poz. 248) oraz w</w:t>
      </w:r>
      <w:r w:rsidR="0008090A">
        <w:t> </w:t>
      </w:r>
      <w:r w:rsidRPr="009A0EEA">
        <w:t>Biuletynie Informacji Publicznej na stronie podmiotowej Rządowego Centrum Legislacji w</w:t>
      </w:r>
      <w:r w:rsidR="0008090A">
        <w:t> </w:t>
      </w:r>
      <w:r w:rsidRPr="009A0EEA">
        <w:t>serwisie „Rządowy Pr</w:t>
      </w:r>
      <w:r>
        <w:t>oces Legislacyjny”, zgodnie z § 52 ust. </w:t>
      </w:r>
      <w:r w:rsidRPr="009A0EEA">
        <w:t>1 uchwały nr</w:t>
      </w:r>
      <w:r>
        <w:t> </w:t>
      </w:r>
      <w:r w:rsidRPr="009A0EEA">
        <w:t>190 Rady Ministrów z dnia 29 października 2013 r. – Regulamin pracy Rady Ministrów (M.P. z 2016 r. poz. 1006, z </w:t>
      </w:r>
      <w:proofErr w:type="spellStart"/>
      <w:r w:rsidRPr="009A0EEA">
        <w:t>późn</w:t>
      </w:r>
      <w:proofErr w:type="spellEnd"/>
      <w:r w:rsidRPr="009A0EEA">
        <w:t>.</w:t>
      </w:r>
      <w:r>
        <w:t> </w:t>
      </w:r>
      <w:r w:rsidRPr="009A0EEA">
        <w:t>zm.).</w:t>
      </w:r>
    </w:p>
    <w:sectPr w:rsidR="002835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812C" w14:textId="77777777" w:rsidR="006D497F" w:rsidRDefault="006D497F" w:rsidP="00EB2144">
      <w:pPr>
        <w:spacing w:after="0" w:line="240" w:lineRule="auto"/>
      </w:pPr>
      <w:r>
        <w:separator/>
      </w:r>
    </w:p>
  </w:endnote>
  <w:endnote w:type="continuationSeparator" w:id="0">
    <w:p w14:paraId="516080F3" w14:textId="77777777" w:rsidR="006D497F" w:rsidRDefault="006D497F" w:rsidP="00E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654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7EEB2D" w14:textId="7725315F" w:rsidR="00C91C24" w:rsidRPr="00C91C24" w:rsidRDefault="00C91C24" w:rsidP="009B235D">
        <w:pPr>
          <w:pStyle w:val="Stopka"/>
          <w:jc w:val="center"/>
          <w:rPr>
            <w:sz w:val="20"/>
            <w:szCs w:val="20"/>
          </w:rPr>
        </w:pPr>
        <w:r w:rsidRPr="00C91C24">
          <w:rPr>
            <w:sz w:val="20"/>
            <w:szCs w:val="20"/>
          </w:rPr>
          <w:fldChar w:fldCharType="begin"/>
        </w:r>
        <w:r w:rsidRPr="00C91C24">
          <w:rPr>
            <w:sz w:val="20"/>
            <w:szCs w:val="20"/>
          </w:rPr>
          <w:instrText>PAGE   \* MERGEFORMAT</w:instrText>
        </w:r>
        <w:r w:rsidRPr="00C91C24">
          <w:rPr>
            <w:sz w:val="20"/>
            <w:szCs w:val="20"/>
          </w:rPr>
          <w:fldChar w:fldCharType="separate"/>
        </w:r>
        <w:r w:rsidR="00635619">
          <w:rPr>
            <w:noProof/>
            <w:sz w:val="20"/>
            <w:szCs w:val="20"/>
          </w:rPr>
          <w:t>5</w:t>
        </w:r>
        <w:r w:rsidRPr="00C91C24">
          <w:rPr>
            <w:sz w:val="20"/>
            <w:szCs w:val="20"/>
          </w:rPr>
          <w:fldChar w:fldCharType="end"/>
        </w:r>
      </w:p>
    </w:sdtContent>
  </w:sdt>
  <w:p w14:paraId="0EE058E4" w14:textId="77777777" w:rsidR="00C91C24" w:rsidRDefault="00C91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E0453" w14:textId="77777777" w:rsidR="006D497F" w:rsidRDefault="006D497F" w:rsidP="00EB2144">
      <w:pPr>
        <w:spacing w:after="0" w:line="240" w:lineRule="auto"/>
      </w:pPr>
      <w:r>
        <w:separator/>
      </w:r>
    </w:p>
  </w:footnote>
  <w:footnote w:type="continuationSeparator" w:id="0">
    <w:p w14:paraId="344AE0FD" w14:textId="77777777" w:rsidR="006D497F" w:rsidRDefault="006D497F" w:rsidP="00EB2144">
      <w:pPr>
        <w:spacing w:after="0" w:line="240" w:lineRule="auto"/>
      </w:pPr>
      <w:r>
        <w:continuationSeparator/>
      </w:r>
    </w:p>
  </w:footnote>
  <w:footnote w:id="1">
    <w:p w14:paraId="6F91D09D" w14:textId="77777777" w:rsidR="0028350F" w:rsidRPr="00270CCE" w:rsidRDefault="0028350F" w:rsidP="0028350F">
      <w:pPr>
        <w:pStyle w:val="Tekstprzypisudolnego"/>
        <w:rPr>
          <w:rFonts w:ascii="Times New Roman" w:hAnsi="Times New Roman"/>
          <w:sz w:val="18"/>
          <w:szCs w:val="18"/>
        </w:rPr>
      </w:pPr>
      <w:r w:rsidRPr="00270CC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70CCE">
        <w:rPr>
          <w:rFonts w:ascii="Times New Roman" w:hAnsi="Times New Roman"/>
          <w:sz w:val="18"/>
          <w:szCs w:val="18"/>
          <w:vertAlign w:val="superscript"/>
        </w:rPr>
        <w:t>)</w:t>
      </w:r>
      <w:r w:rsidRPr="00270CCE">
        <w:rPr>
          <w:rFonts w:ascii="Times New Roman" w:hAnsi="Times New Roman"/>
          <w:sz w:val="18"/>
          <w:szCs w:val="18"/>
        </w:rPr>
        <w:t xml:space="preserve"> Załącznik I do Wytycznych. </w:t>
      </w:r>
    </w:p>
  </w:footnote>
  <w:footnote w:id="2">
    <w:p w14:paraId="195831D1" w14:textId="129FD663" w:rsidR="0007415E" w:rsidRPr="0007415E" w:rsidRDefault="0007415E" w:rsidP="0032664B">
      <w:pPr>
        <w:pStyle w:val="Tekstprzypisudolnego"/>
        <w:jc w:val="both"/>
        <w:rPr>
          <w:rFonts w:ascii="Times New Roman" w:hAnsi="Times New Roman"/>
        </w:rPr>
      </w:pPr>
      <w:r w:rsidRPr="0007415E">
        <w:rPr>
          <w:rStyle w:val="Odwoanieprzypisudolnego"/>
          <w:rFonts w:ascii="Times New Roman" w:hAnsi="Times New Roman"/>
        </w:rPr>
        <w:footnoteRef/>
      </w:r>
      <w:r w:rsidRPr="0007415E">
        <w:rPr>
          <w:rFonts w:ascii="Times New Roman" w:hAnsi="Times New Roman"/>
        </w:rPr>
        <w:t xml:space="preserve"> Metoda określania objętych pomocą obszarów, na których ubywa ludności</w:t>
      </w:r>
      <w:r w:rsidR="00C53A49">
        <w:rPr>
          <w:rFonts w:ascii="Times New Roman" w:hAnsi="Times New Roman"/>
        </w:rPr>
        <w:t>,</w:t>
      </w:r>
      <w:r w:rsidRPr="0007415E">
        <w:rPr>
          <w:rFonts w:ascii="Times New Roman" w:hAnsi="Times New Roman"/>
        </w:rPr>
        <w:t xml:space="preserve"> wskazana została w </w:t>
      </w:r>
      <w:r w:rsidR="00CA4BF4">
        <w:rPr>
          <w:rFonts w:ascii="Times New Roman" w:hAnsi="Times New Roman"/>
        </w:rPr>
        <w:t>z</w:t>
      </w:r>
      <w:r w:rsidRPr="0007415E">
        <w:rPr>
          <w:rFonts w:ascii="Times New Roman" w:hAnsi="Times New Roman"/>
        </w:rPr>
        <w:t>ałączniku IV do Wytycznych.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72AD8"/>
    <w:multiLevelType w:val="hybridMultilevel"/>
    <w:tmpl w:val="95DE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92C"/>
    <w:multiLevelType w:val="hybridMultilevel"/>
    <w:tmpl w:val="62B2B3B8"/>
    <w:lvl w:ilvl="0" w:tplc="4BBAA714">
      <w:start w:val="1"/>
      <w:numFmt w:val="bullet"/>
      <w:lvlText w:val="−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67"/>
        </w:tabs>
        <w:ind w:left="8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87"/>
        </w:tabs>
        <w:ind w:left="9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807"/>
        </w:tabs>
        <w:ind w:left="9807" w:hanging="360"/>
      </w:pPr>
      <w:rPr>
        <w:rFonts w:ascii="Wingdings" w:hAnsi="Wingdings" w:hint="default"/>
      </w:rPr>
    </w:lvl>
  </w:abstractNum>
  <w:abstractNum w:abstractNumId="3">
    <w:nsid w:val="0D581248"/>
    <w:multiLevelType w:val="hybridMultilevel"/>
    <w:tmpl w:val="17C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FF9"/>
    <w:multiLevelType w:val="hybridMultilevel"/>
    <w:tmpl w:val="F782FDB8"/>
    <w:lvl w:ilvl="0" w:tplc="4BBAA714">
      <w:start w:val="1"/>
      <w:numFmt w:val="bullet"/>
      <w:lvlText w:val="−"/>
      <w:lvlJc w:val="left"/>
      <w:pPr>
        <w:tabs>
          <w:tab w:val="num" w:pos="1608"/>
        </w:tabs>
        <w:ind w:left="16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8C27824"/>
    <w:multiLevelType w:val="hybridMultilevel"/>
    <w:tmpl w:val="6664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7DA7"/>
    <w:multiLevelType w:val="hybridMultilevel"/>
    <w:tmpl w:val="6744F904"/>
    <w:lvl w:ilvl="0" w:tplc="4BBAA714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BCB7E23"/>
    <w:multiLevelType w:val="hybridMultilevel"/>
    <w:tmpl w:val="A8B6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343AD"/>
    <w:multiLevelType w:val="hybridMultilevel"/>
    <w:tmpl w:val="501CD920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2B1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4C0889"/>
    <w:multiLevelType w:val="hybridMultilevel"/>
    <w:tmpl w:val="5D1EBB58"/>
    <w:lvl w:ilvl="0" w:tplc="DDEEAAA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Nawrocki">
    <w15:presenceInfo w15:providerId="AD" w15:userId="S-1-5-21-1082187097-184105820-1976642607-3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4E"/>
    <w:rsid w:val="00001367"/>
    <w:rsid w:val="00011FFE"/>
    <w:rsid w:val="0001461E"/>
    <w:rsid w:val="000225AB"/>
    <w:rsid w:val="000262B6"/>
    <w:rsid w:val="0002791A"/>
    <w:rsid w:val="00035686"/>
    <w:rsid w:val="000403D4"/>
    <w:rsid w:val="000463B0"/>
    <w:rsid w:val="000602C5"/>
    <w:rsid w:val="00061859"/>
    <w:rsid w:val="00062CB8"/>
    <w:rsid w:val="000703A7"/>
    <w:rsid w:val="0007415E"/>
    <w:rsid w:val="00076D3C"/>
    <w:rsid w:val="0008075B"/>
    <w:rsid w:val="0008090A"/>
    <w:rsid w:val="00083A54"/>
    <w:rsid w:val="00084B8D"/>
    <w:rsid w:val="00093211"/>
    <w:rsid w:val="0009480C"/>
    <w:rsid w:val="000A4EAB"/>
    <w:rsid w:val="000A72B6"/>
    <w:rsid w:val="000A72BC"/>
    <w:rsid w:val="000B0F5E"/>
    <w:rsid w:val="000C4B7A"/>
    <w:rsid w:val="000D1F6F"/>
    <w:rsid w:val="000D4E01"/>
    <w:rsid w:val="000D526F"/>
    <w:rsid w:val="000D57D3"/>
    <w:rsid w:val="000E7C17"/>
    <w:rsid w:val="000F0987"/>
    <w:rsid w:val="000F3A28"/>
    <w:rsid w:val="000F540E"/>
    <w:rsid w:val="000F5CC3"/>
    <w:rsid w:val="00100868"/>
    <w:rsid w:val="001068D6"/>
    <w:rsid w:val="00114FD4"/>
    <w:rsid w:val="00116F4A"/>
    <w:rsid w:val="00117A4A"/>
    <w:rsid w:val="00120592"/>
    <w:rsid w:val="00131AAF"/>
    <w:rsid w:val="001333B1"/>
    <w:rsid w:val="00137741"/>
    <w:rsid w:val="0014176C"/>
    <w:rsid w:val="00141D43"/>
    <w:rsid w:val="00144134"/>
    <w:rsid w:val="001461F8"/>
    <w:rsid w:val="001522E1"/>
    <w:rsid w:val="001528EA"/>
    <w:rsid w:val="001555AD"/>
    <w:rsid w:val="00160606"/>
    <w:rsid w:val="00161D74"/>
    <w:rsid w:val="001648D0"/>
    <w:rsid w:val="00177A7F"/>
    <w:rsid w:val="00186EB8"/>
    <w:rsid w:val="00197DE6"/>
    <w:rsid w:val="001B0757"/>
    <w:rsid w:val="001B6BCD"/>
    <w:rsid w:val="001C51F3"/>
    <w:rsid w:val="001C768C"/>
    <w:rsid w:val="001D36A9"/>
    <w:rsid w:val="001E5ABB"/>
    <w:rsid w:val="001F4811"/>
    <w:rsid w:val="001F5588"/>
    <w:rsid w:val="0020020E"/>
    <w:rsid w:val="00206FFD"/>
    <w:rsid w:val="00215782"/>
    <w:rsid w:val="00216909"/>
    <w:rsid w:val="00217989"/>
    <w:rsid w:val="00220F3E"/>
    <w:rsid w:val="002215EB"/>
    <w:rsid w:val="00225FCE"/>
    <w:rsid w:val="00234BC2"/>
    <w:rsid w:val="00236750"/>
    <w:rsid w:val="002426C9"/>
    <w:rsid w:val="00242BF3"/>
    <w:rsid w:val="00250063"/>
    <w:rsid w:val="00252A08"/>
    <w:rsid w:val="00256AE9"/>
    <w:rsid w:val="00267703"/>
    <w:rsid w:val="00270CCE"/>
    <w:rsid w:val="00274118"/>
    <w:rsid w:val="00277294"/>
    <w:rsid w:val="0028350F"/>
    <w:rsid w:val="002A61B1"/>
    <w:rsid w:val="002A71A0"/>
    <w:rsid w:val="002B7309"/>
    <w:rsid w:val="002C292F"/>
    <w:rsid w:val="002C3494"/>
    <w:rsid w:val="002D0F22"/>
    <w:rsid w:val="002E64BC"/>
    <w:rsid w:val="002F0373"/>
    <w:rsid w:val="002F1DDB"/>
    <w:rsid w:val="002F6748"/>
    <w:rsid w:val="002F7E04"/>
    <w:rsid w:val="00300549"/>
    <w:rsid w:val="003015EC"/>
    <w:rsid w:val="00306776"/>
    <w:rsid w:val="0032043F"/>
    <w:rsid w:val="00323547"/>
    <w:rsid w:val="00323DF1"/>
    <w:rsid w:val="0032651C"/>
    <w:rsid w:val="0032664B"/>
    <w:rsid w:val="003277FF"/>
    <w:rsid w:val="00340E0E"/>
    <w:rsid w:val="0034520C"/>
    <w:rsid w:val="0034776A"/>
    <w:rsid w:val="00350D25"/>
    <w:rsid w:val="0035440B"/>
    <w:rsid w:val="00356038"/>
    <w:rsid w:val="00357DB0"/>
    <w:rsid w:val="003631B2"/>
    <w:rsid w:val="00377CCA"/>
    <w:rsid w:val="00382DBB"/>
    <w:rsid w:val="00386777"/>
    <w:rsid w:val="003879B0"/>
    <w:rsid w:val="00393525"/>
    <w:rsid w:val="003972BA"/>
    <w:rsid w:val="003A3401"/>
    <w:rsid w:val="003A3B1A"/>
    <w:rsid w:val="003A780B"/>
    <w:rsid w:val="003B0473"/>
    <w:rsid w:val="003B0D30"/>
    <w:rsid w:val="003B33D2"/>
    <w:rsid w:val="003C57E6"/>
    <w:rsid w:val="003D0BE3"/>
    <w:rsid w:val="003D2011"/>
    <w:rsid w:val="003D317E"/>
    <w:rsid w:val="003D5856"/>
    <w:rsid w:val="003E5C2E"/>
    <w:rsid w:val="003E7E51"/>
    <w:rsid w:val="003F0C4C"/>
    <w:rsid w:val="003F1805"/>
    <w:rsid w:val="003F36A2"/>
    <w:rsid w:val="003F46E9"/>
    <w:rsid w:val="00404A2F"/>
    <w:rsid w:val="0040590A"/>
    <w:rsid w:val="0040618C"/>
    <w:rsid w:val="00430215"/>
    <w:rsid w:val="00433485"/>
    <w:rsid w:val="00435A83"/>
    <w:rsid w:val="004369E7"/>
    <w:rsid w:val="00436ADB"/>
    <w:rsid w:val="0044499E"/>
    <w:rsid w:val="00445F86"/>
    <w:rsid w:val="00446619"/>
    <w:rsid w:val="00450373"/>
    <w:rsid w:val="004569B7"/>
    <w:rsid w:val="00461991"/>
    <w:rsid w:val="00462683"/>
    <w:rsid w:val="00467EBF"/>
    <w:rsid w:val="00471396"/>
    <w:rsid w:val="00476ED2"/>
    <w:rsid w:val="00480967"/>
    <w:rsid w:val="0048127D"/>
    <w:rsid w:val="00481CFA"/>
    <w:rsid w:val="004902E3"/>
    <w:rsid w:val="004950A1"/>
    <w:rsid w:val="004A4999"/>
    <w:rsid w:val="004B264B"/>
    <w:rsid w:val="004B2ACF"/>
    <w:rsid w:val="004D43BB"/>
    <w:rsid w:val="004E3B0B"/>
    <w:rsid w:val="004F573E"/>
    <w:rsid w:val="004F7F69"/>
    <w:rsid w:val="00500350"/>
    <w:rsid w:val="0051165D"/>
    <w:rsid w:val="00512291"/>
    <w:rsid w:val="0051798B"/>
    <w:rsid w:val="00521504"/>
    <w:rsid w:val="0052195D"/>
    <w:rsid w:val="00540291"/>
    <w:rsid w:val="00540DF0"/>
    <w:rsid w:val="00543045"/>
    <w:rsid w:val="00543F92"/>
    <w:rsid w:val="005469AD"/>
    <w:rsid w:val="005517BD"/>
    <w:rsid w:val="00556BCE"/>
    <w:rsid w:val="00571451"/>
    <w:rsid w:val="00571DED"/>
    <w:rsid w:val="00577833"/>
    <w:rsid w:val="00584990"/>
    <w:rsid w:val="00585EC8"/>
    <w:rsid w:val="005875FC"/>
    <w:rsid w:val="00592F49"/>
    <w:rsid w:val="005957E9"/>
    <w:rsid w:val="005B03C1"/>
    <w:rsid w:val="005B2DC5"/>
    <w:rsid w:val="005C1669"/>
    <w:rsid w:val="005C3304"/>
    <w:rsid w:val="005D51FF"/>
    <w:rsid w:val="005D7FA2"/>
    <w:rsid w:val="005E48AF"/>
    <w:rsid w:val="005F7D54"/>
    <w:rsid w:val="0060479C"/>
    <w:rsid w:val="006149A0"/>
    <w:rsid w:val="00617424"/>
    <w:rsid w:val="006300B6"/>
    <w:rsid w:val="006300E5"/>
    <w:rsid w:val="0063229F"/>
    <w:rsid w:val="00635619"/>
    <w:rsid w:val="006506D8"/>
    <w:rsid w:val="00682B64"/>
    <w:rsid w:val="0068636F"/>
    <w:rsid w:val="0069129A"/>
    <w:rsid w:val="006B3F9E"/>
    <w:rsid w:val="006C1E3F"/>
    <w:rsid w:val="006C312D"/>
    <w:rsid w:val="006C7F29"/>
    <w:rsid w:val="006D068F"/>
    <w:rsid w:val="006D497F"/>
    <w:rsid w:val="006D59F3"/>
    <w:rsid w:val="006D6B5D"/>
    <w:rsid w:val="006E4ADC"/>
    <w:rsid w:val="006E67E7"/>
    <w:rsid w:val="006F595C"/>
    <w:rsid w:val="006F5FA1"/>
    <w:rsid w:val="0070009B"/>
    <w:rsid w:val="00706381"/>
    <w:rsid w:val="00711757"/>
    <w:rsid w:val="00717DB4"/>
    <w:rsid w:val="007241FE"/>
    <w:rsid w:val="00724FC1"/>
    <w:rsid w:val="007302A4"/>
    <w:rsid w:val="00733642"/>
    <w:rsid w:val="00734444"/>
    <w:rsid w:val="007423A4"/>
    <w:rsid w:val="0074486B"/>
    <w:rsid w:val="00747AE1"/>
    <w:rsid w:val="00747E0B"/>
    <w:rsid w:val="00753E85"/>
    <w:rsid w:val="0075485F"/>
    <w:rsid w:val="00761930"/>
    <w:rsid w:val="00765D65"/>
    <w:rsid w:val="00786014"/>
    <w:rsid w:val="00786834"/>
    <w:rsid w:val="00790C97"/>
    <w:rsid w:val="00797FD1"/>
    <w:rsid w:val="007B7581"/>
    <w:rsid w:val="007C1C0A"/>
    <w:rsid w:val="007C2637"/>
    <w:rsid w:val="007C6262"/>
    <w:rsid w:val="007D083F"/>
    <w:rsid w:val="007D624E"/>
    <w:rsid w:val="007E16EC"/>
    <w:rsid w:val="007E17CF"/>
    <w:rsid w:val="007E7D10"/>
    <w:rsid w:val="007F06B1"/>
    <w:rsid w:val="007F5F60"/>
    <w:rsid w:val="007F6449"/>
    <w:rsid w:val="0080384E"/>
    <w:rsid w:val="00810D57"/>
    <w:rsid w:val="00816B8D"/>
    <w:rsid w:val="00821BBA"/>
    <w:rsid w:val="00827208"/>
    <w:rsid w:val="00845865"/>
    <w:rsid w:val="00847F9E"/>
    <w:rsid w:val="008644D2"/>
    <w:rsid w:val="00867930"/>
    <w:rsid w:val="008803E6"/>
    <w:rsid w:val="008807EB"/>
    <w:rsid w:val="00882023"/>
    <w:rsid w:val="0088465D"/>
    <w:rsid w:val="008900F2"/>
    <w:rsid w:val="008A30E2"/>
    <w:rsid w:val="008A5AEA"/>
    <w:rsid w:val="008B01B4"/>
    <w:rsid w:val="008B02A2"/>
    <w:rsid w:val="008B1374"/>
    <w:rsid w:val="008B2C84"/>
    <w:rsid w:val="008C547B"/>
    <w:rsid w:val="008C6359"/>
    <w:rsid w:val="008C780B"/>
    <w:rsid w:val="008D5807"/>
    <w:rsid w:val="008E0C29"/>
    <w:rsid w:val="008E1D5C"/>
    <w:rsid w:val="008E2004"/>
    <w:rsid w:val="008F1C25"/>
    <w:rsid w:val="008F381D"/>
    <w:rsid w:val="008F6561"/>
    <w:rsid w:val="009066A3"/>
    <w:rsid w:val="00910891"/>
    <w:rsid w:val="00912DAD"/>
    <w:rsid w:val="00920507"/>
    <w:rsid w:val="00921DE4"/>
    <w:rsid w:val="00921F18"/>
    <w:rsid w:val="009224CE"/>
    <w:rsid w:val="00924B6B"/>
    <w:rsid w:val="00926D69"/>
    <w:rsid w:val="00946FDF"/>
    <w:rsid w:val="0095414B"/>
    <w:rsid w:val="00966A2D"/>
    <w:rsid w:val="00973D67"/>
    <w:rsid w:val="00974692"/>
    <w:rsid w:val="00974C8D"/>
    <w:rsid w:val="00982547"/>
    <w:rsid w:val="009843C1"/>
    <w:rsid w:val="00991A2D"/>
    <w:rsid w:val="00994118"/>
    <w:rsid w:val="00996091"/>
    <w:rsid w:val="009A0EEA"/>
    <w:rsid w:val="009A237F"/>
    <w:rsid w:val="009A2993"/>
    <w:rsid w:val="009A42AC"/>
    <w:rsid w:val="009A590E"/>
    <w:rsid w:val="009B05C6"/>
    <w:rsid w:val="009B235D"/>
    <w:rsid w:val="009B3363"/>
    <w:rsid w:val="009B4AFE"/>
    <w:rsid w:val="009B505F"/>
    <w:rsid w:val="009B7639"/>
    <w:rsid w:val="009C3927"/>
    <w:rsid w:val="009C3B28"/>
    <w:rsid w:val="009C5D0E"/>
    <w:rsid w:val="009C7BC1"/>
    <w:rsid w:val="009E6C5D"/>
    <w:rsid w:val="009E7D40"/>
    <w:rsid w:val="009F4E68"/>
    <w:rsid w:val="00A0682F"/>
    <w:rsid w:val="00A07D6A"/>
    <w:rsid w:val="00A1075A"/>
    <w:rsid w:val="00A20E23"/>
    <w:rsid w:val="00A23B9F"/>
    <w:rsid w:val="00A26097"/>
    <w:rsid w:val="00A33CF4"/>
    <w:rsid w:val="00A34538"/>
    <w:rsid w:val="00A447F5"/>
    <w:rsid w:val="00A52A4B"/>
    <w:rsid w:val="00A6072B"/>
    <w:rsid w:val="00A63463"/>
    <w:rsid w:val="00A656F5"/>
    <w:rsid w:val="00A70B47"/>
    <w:rsid w:val="00A717A6"/>
    <w:rsid w:val="00A74F6A"/>
    <w:rsid w:val="00A77CC5"/>
    <w:rsid w:val="00A80E91"/>
    <w:rsid w:val="00A90FAD"/>
    <w:rsid w:val="00A930F8"/>
    <w:rsid w:val="00A95092"/>
    <w:rsid w:val="00AB49B5"/>
    <w:rsid w:val="00AB5428"/>
    <w:rsid w:val="00AC3D0B"/>
    <w:rsid w:val="00AE00BC"/>
    <w:rsid w:val="00AE057D"/>
    <w:rsid w:val="00AE6CE3"/>
    <w:rsid w:val="00AE6EDB"/>
    <w:rsid w:val="00AF4AB4"/>
    <w:rsid w:val="00AF5D3B"/>
    <w:rsid w:val="00AF60E8"/>
    <w:rsid w:val="00AF7622"/>
    <w:rsid w:val="00B033F1"/>
    <w:rsid w:val="00B13AE4"/>
    <w:rsid w:val="00B141AE"/>
    <w:rsid w:val="00B23B77"/>
    <w:rsid w:val="00B32903"/>
    <w:rsid w:val="00B332B7"/>
    <w:rsid w:val="00B364E4"/>
    <w:rsid w:val="00B40935"/>
    <w:rsid w:val="00B41F27"/>
    <w:rsid w:val="00B4330D"/>
    <w:rsid w:val="00B45A7C"/>
    <w:rsid w:val="00B46AE2"/>
    <w:rsid w:val="00B528CE"/>
    <w:rsid w:val="00B5460C"/>
    <w:rsid w:val="00B63B80"/>
    <w:rsid w:val="00B63F0C"/>
    <w:rsid w:val="00B652BE"/>
    <w:rsid w:val="00B65B78"/>
    <w:rsid w:val="00B93F84"/>
    <w:rsid w:val="00B96593"/>
    <w:rsid w:val="00B978D0"/>
    <w:rsid w:val="00BA635F"/>
    <w:rsid w:val="00BB3AD5"/>
    <w:rsid w:val="00BC1162"/>
    <w:rsid w:val="00BC18C3"/>
    <w:rsid w:val="00BC24CE"/>
    <w:rsid w:val="00BC4F93"/>
    <w:rsid w:val="00BC79BE"/>
    <w:rsid w:val="00BE16D4"/>
    <w:rsid w:val="00BE1C4B"/>
    <w:rsid w:val="00BE1E15"/>
    <w:rsid w:val="00BE25BA"/>
    <w:rsid w:val="00C005DE"/>
    <w:rsid w:val="00C03953"/>
    <w:rsid w:val="00C07EB6"/>
    <w:rsid w:val="00C13E2C"/>
    <w:rsid w:val="00C1673A"/>
    <w:rsid w:val="00C20CD5"/>
    <w:rsid w:val="00C22442"/>
    <w:rsid w:val="00C251A7"/>
    <w:rsid w:val="00C25C24"/>
    <w:rsid w:val="00C30983"/>
    <w:rsid w:val="00C316EE"/>
    <w:rsid w:val="00C378E4"/>
    <w:rsid w:val="00C407A1"/>
    <w:rsid w:val="00C43A7A"/>
    <w:rsid w:val="00C46D3D"/>
    <w:rsid w:val="00C535F5"/>
    <w:rsid w:val="00C53A49"/>
    <w:rsid w:val="00C540BF"/>
    <w:rsid w:val="00C5452C"/>
    <w:rsid w:val="00C54E57"/>
    <w:rsid w:val="00C621F7"/>
    <w:rsid w:val="00C63B46"/>
    <w:rsid w:val="00C726DE"/>
    <w:rsid w:val="00C82D44"/>
    <w:rsid w:val="00C83224"/>
    <w:rsid w:val="00C916DB"/>
    <w:rsid w:val="00C91C24"/>
    <w:rsid w:val="00CA04EE"/>
    <w:rsid w:val="00CA4BF4"/>
    <w:rsid w:val="00CB21B8"/>
    <w:rsid w:val="00CB2739"/>
    <w:rsid w:val="00CB5B75"/>
    <w:rsid w:val="00CC0A36"/>
    <w:rsid w:val="00CC3AF3"/>
    <w:rsid w:val="00CC77A0"/>
    <w:rsid w:val="00CD12F0"/>
    <w:rsid w:val="00CD407B"/>
    <w:rsid w:val="00CD7E23"/>
    <w:rsid w:val="00CF3AF7"/>
    <w:rsid w:val="00CF5524"/>
    <w:rsid w:val="00D0242E"/>
    <w:rsid w:val="00D02F79"/>
    <w:rsid w:val="00D04293"/>
    <w:rsid w:val="00D05C44"/>
    <w:rsid w:val="00D14F1A"/>
    <w:rsid w:val="00D24305"/>
    <w:rsid w:val="00D2565B"/>
    <w:rsid w:val="00D313E7"/>
    <w:rsid w:val="00D31D40"/>
    <w:rsid w:val="00D353A1"/>
    <w:rsid w:val="00D40606"/>
    <w:rsid w:val="00D40D3A"/>
    <w:rsid w:val="00D41B20"/>
    <w:rsid w:val="00D41C91"/>
    <w:rsid w:val="00D435B7"/>
    <w:rsid w:val="00D52741"/>
    <w:rsid w:val="00D52A95"/>
    <w:rsid w:val="00D554DA"/>
    <w:rsid w:val="00D60E3A"/>
    <w:rsid w:val="00D65494"/>
    <w:rsid w:val="00D70AE8"/>
    <w:rsid w:val="00D84526"/>
    <w:rsid w:val="00D94080"/>
    <w:rsid w:val="00DA449A"/>
    <w:rsid w:val="00DA5DE8"/>
    <w:rsid w:val="00DB04E2"/>
    <w:rsid w:val="00DB35E1"/>
    <w:rsid w:val="00DB76EA"/>
    <w:rsid w:val="00DB7DDF"/>
    <w:rsid w:val="00DC25DE"/>
    <w:rsid w:val="00DD2AF1"/>
    <w:rsid w:val="00DD2C62"/>
    <w:rsid w:val="00DD34AF"/>
    <w:rsid w:val="00DD387F"/>
    <w:rsid w:val="00DD3F9B"/>
    <w:rsid w:val="00DD74A2"/>
    <w:rsid w:val="00DE1A09"/>
    <w:rsid w:val="00DE2201"/>
    <w:rsid w:val="00DE3398"/>
    <w:rsid w:val="00DE6B3D"/>
    <w:rsid w:val="00DF1C84"/>
    <w:rsid w:val="00DF468C"/>
    <w:rsid w:val="00E07881"/>
    <w:rsid w:val="00E114F2"/>
    <w:rsid w:val="00E119AA"/>
    <w:rsid w:val="00E11E2D"/>
    <w:rsid w:val="00E21FA8"/>
    <w:rsid w:val="00E25238"/>
    <w:rsid w:val="00E25503"/>
    <w:rsid w:val="00E2598A"/>
    <w:rsid w:val="00E31FA7"/>
    <w:rsid w:val="00E31FBC"/>
    <w:rsid w:val="00E32F52"/>
    <w:rsid w:val="00E3358D"/>
    <w:rsid w:val="00E347CE"/>
    <w:rsid w:val="00E36982"/>
    <w:rsid w:val="00E50E99"/>
    <w:rsid w:val="00E53137"/>
    <w:rsid w:val="00E56FAC"/>
    <w:rsid w:val="00E61D2B"/>
    <w:rsid w:val="00E746F2"/>
    <w:rsid w:val="00E9052E"/>
    <w:rsid w:val="00E9248A"/>
    <w:rsid w:val="00E9271B"/>
    <w:rsid w:val="00E955D0"/>
    <w:rsid w:val="00EA6FE9"/>
    <w:rsid w:val="00EB2144"/>
    <w:rsid w:val="00EB4B5C"/>
    <w:rsid w:val="00EB5842"/>
    <w:rsid w:val="00EB5B86"/>
    <w:rsid w:val="00EC1E69"/>
    <w:rsid w:val="00EC5A50"/>
    <w:rsid w:val="00ED076E"/>
    <w:rsid w:val="00ED7BAD"/>
    <w:rsid w:val="00EE0F5E"/>
    <w:rsid w:val="00EE305A"/>
    <w:rsid w:val="00EE45C9"/>
    <w:rsid w:val="00EF71F7"/>
    <w:rsid w:val="00F03D83"/>
    <w:rsid w:val="00F13129"/>
    <w:rsid w:val="00F1415F"/>
    <w:rsid w:val="00F147ED"/>
    <w:rsid w:val="00F163E0"/>
    <w:rsid w:val="00F26274"/>
    <w:rsid w:val="00F27716"/>
    <w:rsid w:val="00F345E6"/>
    <w:rsid w:val="00F40811"/>
    <w:rsid w:val="00F44565"/>
    <w:rsid w:val="00F52300"/>
    <w:rsid w:val="00F56D28"/>
    <w:rsid w:val="00F57745"/>
    <w:rsid w:val="00F61605"/>
    <w:rsid w:val="00F73C56"/>
    <w:rsid w:val="00F75571"/>
    <w:rsid w:val="00F75983"/>
    <w:rsid w:val="00F77002"/>
    <w:rsid w:val="00F8663F"/>
    <w:rsid w:val="00F90437"/>
    <w:rsid w:val="00F92072"/>
    <w:rsid w:val="00F92973"/>
    <w:rsid w:val="00F96B82"/>
    <w:rsid w:val="00F973B7"/>
    <w:rsid w:val="00FB21E5"/>
    <w:rsid w:val="00FC4D6A"/>
    <w:rsid w:val="00FD1CA7"/>
    <w:rsid w:val="00FD1DD0"/>
    <w:rsid w:val="00FD67D1"/>
    <w:rsid w:val="00FE29BA"/>
    <w:rsid w:val="00FE69D2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A1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131A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54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23547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323547"/>
    <w:pPr>
      <w:spacing w:after="0"/>
      <w:ind w:left="720"/>
    </w:pPr>
  </w:style>
  <w:style w:type="paragraph" w:styleId="Nagwekspisutreci">
    <w:name w:val="TOC Heading"/>
    <w:basedOn w:val="Nagwek1"/>
    <w:next w:val="Normalny"/>
    <w:qFormat/>
    <w:rsid w:val="00323547"/>
  </w:style>
  <w:style w:type="paragraph" w:styleId="Tekstpodstawowywcity3">
    <w:name w:val="Body Text Indent 3"/>
    <w:basedOn w:val="Normalny"/>
    <w:link w:val="Tekstpodstawowywcity3Znak"/>
    <w:rsid w:val="00DD2AF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2AF1"/>
    <w:rPr>
      <w:rFonts w:eastAsia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5C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5C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C2E"/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E5C2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403D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592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144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144"/>
    <w:rPr>
      <w:vertAlign w:val="superscript"/>
    </w:rPr>
  </w:style>
  <w:style w:type="paragraph" w:customStyle="1" w:styleId="ZnakZnak1">
    <w:name w:val="Znak Znak1"/>
    <w:basedOn w:val="Normalny"/>
    <w:rsid w:val="001461F8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"/>
    <w:basedOn w:val="Normalny"/>
    <w:link w:val="TekstprzypisudolnegoZnak"/>
    <w:semiHidden/>
    <w:unhideWhenUsed/>
    <w:rsid w:val="00BA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semiHidden/>
    <w:rsid w:val="00BA635F"/>
    <w:rPr>
      <w:rFonts w:ascii="Calibri" w:hAnsi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BA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9E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80E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4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F9B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9B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DD3F9B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24"/>
    <w:rPr>
      <w:rFonts w:ascii="Calibri" w:hAnsi="Calibri"/>
      <w:sz w:val="22"/>
      <w:szCs w:val="22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A26097"/>
    <w:pPr>
      <w:suppressAutoHyphens w:val="0"/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350F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350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350F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50F"/>
    <w:rPr>
      <w:rFonts w:eastAsia="Times New Roman"/>
      <w:sz w:val="24"/>
      <w:szCs w:val="24"/>
      <w:lang w:eastAsia="pl-PL"/>
    </w:rPr>
  </w:style>
  <w:style w:type="paragraph" w:customStyle="1" w:styleId="TxBrp2">
    <w:name w:val="TxBr_p2"/>
    <w:basedOn w:val="Normalny"/>
    <w:rsid w:val="0028350F"/>
    <w:pPr>
      <w:widowControl w:val="0"/>
      <w:tabs>
        <w:tab w:val="left" w:pos="578"/>
      </w:tabs>
      <w:suppressAutoHyphens w:val="0"/>
      <w:autoSpaceDE w:val="0"/>
      <w:autoSpaceDN w:val="0"/>
      <w:adjustRightInd w:val="0"/>
      <w:spacing w:after="0" w:line="272" w:lineRule="atLeast"/>
      <w:ind w:left="958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131A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54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23547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323547"/>
    <w:pPr>
      <w:spacing w:after="0"/>
      <w:ind w:left="720"/>
    </w:pPr>
  </w:style>
  <w:style w:type="paragraph" w:styleId="Nagwekspisutreci">
    <w:name w:val="TOC Heading"/>
    <w:basedOn w:val="Nagwek1"/>
    <w:next w:val="Normalny"/>
    <w:qFormat/>
    <w:rsid w:val="00323547"/>
  </w:style>
  <w:style w:type="paragraph" w:styleId="Tekstpodstawowywcity3">
    <w:name w:val="Body Text Indent 3"/>
    <w:basedOn w:val="Normalny"/>
    <w:link w:val="Tekstpodstawowywcity3Znak"/>
    <w:rsid w:val="00DD2AF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2AF1"/>
    <w:rPr>
      <w:rFonts w:eastAsia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5C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5C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C2E"/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E5C2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403D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592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144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144"/>
    <w:rPr>
      <w:vertAlign w:val="superscript"/>
    </w:rPr>
  </w:style>
  <w:style w:type="paragraph" w:customStyle="1" w:styleId="ZnakZnak1">
    <w:name w:val="Znak Znak1"/>
    <w:basedOn w:val="Normalny"/>
    <w:rsid w:val="001461F8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"/>
    <w:basedOn w:val="Normalny"/>
    <w:link w:val="TekstprzypisudolnegoZnak"/>
    <w:semiHidden/>
    <w:unhideWhenUsed/>
    <w:rsid w:val="00BA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semiHidden/>
    <w:rsid w:val="00BA635F"/>
    <w:rPr>
      <w:rFonts w:ascii="Calibri" w:hAnsi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BA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9E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80E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4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F9B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9B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DD3F9B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24"/>
    <w:rPr>
      <w:rFonts w:ascii="Calibri" w:hAnsi="Calibri"/>
      <w:sz w:val="22"/>
      <w:szCs w:val="22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A26097"/>
    <w:pPr>
      <w:suppressAutoHyphens w:val="0"/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350F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350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350F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50F"/>
    <w:rPr>
      <w:rFonts w:eastAsia="Times New Roman"/>
      <w:sz w:val="24"/>
      <w:szCs w:val="24"/>
      <w:lang w:eastAsia="pl-PL"/>
    </w:rPr>
  </w:style>
  <w:style w:type="paragraph" w:customStyle="1" w:styleId="TxBrp2">
    <w:name w:val="TxBr_p2"/>
    <w:basedOn w:val="Normalny"/>
    <w:rsid w:val="0028350F"/>
    <w:pPr>
      <w:widowControl w:val="0"/>
      <w:tabs>
        <w:tab w:val="left" w:pos="578"/>
      </w:tabs>
      <w:suppressAutoHyphens w:val="0"/>
      <w:autoSpaceDE w:val="0"/>
      <w:autoSpaceDN w:val="0"/>
      <w:adjustRightInd w:val="0"/>
      <w:spacing w:after="0" w:line="272" w:lineRule="atLeast"/>
      <w:ind w:left="958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3D95-4643-41FA-B962-E1AE67F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Grzegorzewska</dc:creator>
  <cp:lastModifiedBy>Marcin Machoń</cp:lastModifiedBy>
  <cp:revision>14</cp:revision>
  <cp:lastPrinted>2019-08-29T12:15:00Z</cp:lastPrinted>
  <dcterms:created xsi:type="dcterms:W3CDTF">2021-05-26T12:13:00Z</dcterms:created>
  <dcterms:modified xsi:type="dcterms:W3CDTF">2021-05-31T08:56:00Z</dcterms:modified>
</cp:coreProperties>
</file>