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5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647"/>
        <w:gridCol w:w="285"/>
        <w:gridCol w:w="605"/>
        <w:gridCol w:w="414"/>
        <w:gridCol w:w="155"/>
        <w:gridCol w:w="187"/>
        <w:gridCol w:w="383"/>
        <w:gridCol w:w="554"/>
        <w:gridCol w:w="16"/>
        <w:gridCol w:w="269"/>
        <w:gridCol w:w="205"/>
        <w:gridCol w:w="95"/>
        <w:gridCol w:w="353"/>
        <w:gridCol w:w="217"/>
        <w:gridCol w:w="570"/>
        <w:gridCol w:w="80"/>
        <w:gridCol w:w="71"/>
        <w:gridCol w:w="315"/>
        <w:gridCol w:w="104"/>
        <w:gridCol w:w="113"/>
        <w:gridCol w:w="405"/>
        <w:gridCol w:w="52"/>
        <w:gridCol w:w="570"/>
        <w:gridCol w:w="316"/>
        <w:gridCol w:w="254"/>
        <w:gridCol w:w="570"/>
        <w:gridCol w:w="6"/>
        <w:gridCol w:w="108"/>
        <w:gridCol w:w="1471"/>
      </w:tblGrid>
      <w:tr w:rsidR="007A0164" w:rsidRPr="007A0164" w14:paraId="1FCFA2CC" w14:textId="77777777" w:rsidTr="00484B45">
        <w:trPr>
          <w:trHeight w:val="1611"/>
        </w:trPr>
        <w:tc>
          <w:tcPr>
            <w:tcW w:w="66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28EB" w14:textId="77777777" w:rsidR="007A0164" w:rsidRPr="009A51B1" w:rsidRDefault="007A0164" w:rsidP="009A51B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lang w:eastAsia="pl-PL"/>
              </w:rPr>
            </w:pPr>
            <w:bookmarkStart w:id="0" w:name="_GoBack"/>
            <w:bookmarkEnd w:id="0"/>
            <w:r w:rsidRPr="009A51B1">
              <w:rPr>
                <w:rFonts w:ascii="Times New Roman" w:eastAsia="Times New Roman" w:hAnsi="Times New Roman" w:cs="Arial"/>
                <w:b/>
                <w:lang w:eastAsia="pl-PL"/>
              </w:rPr>
              <w:t>Nazwa projektu</w:t>
            </w:r>
            <w:r w:rsidR="007D4773" w:rsidRPr="009A51B1">
              <w:rPr>
                <w:rFonts w:ascii="Times New Roman" w:eastAsia="Times New Roman" w:hAnsi="Times New Roman" w:cs="Arial"/>
                <w:b/>
                <w:lang w:eastAsia="pl-PL"/>
              </w:rPr>
              <w:t xml:space="preserve"> </w:t>
            </w:r>
          </w:p>
          <w:p w14:paraId="2FDE0618" w14:textId="739C9970" w:rsidR="009A51B1" w:rsidRPr="009A51B1" w:rsidRDefault="007A0164" w:rsidP="009A51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1B1">
              <w:rPr>
                <w:rFonts w:ascii="Times New Roman" w:eastAsia="Times New Roman" w:hAnsi="Times New Roman" w:cs="Arial"/>
                <w:lang w:eastAsia="pl-PL"/>
              </w:rPr>
              <w:t>Rozporządzenie Ministra Finansów</w:t>
            </w:r>
            <w:r w:rsidR="00CD521E" w:rsidRPr="009A51B1">
              <w:rPr>
                <w:rFonts w:ascii="Times New Roman" w:eastAsia="Times New Roman" w:hAnsi="Times New Roman" w:cs="Arial"/>
                <w:lang w:eastAsia="pl-PL"/>
              </w:rPr>
              <w:t xml:space="preserve">, Funduszy i Polityki Regionalnej </w:t>
            </w:r>
            <w:r w:rsidR="00721BEC" w:rsidRPr="009A51B1">
              <w:rPr>
                <w:rFonts w:ascii="Times New Roman" w:eastAsia="Times New Roman" w:hAnsi="Times New Roman" w:cs="Arial"/>
                <w:lang w:eastAsia="pl-PL"/>
              </w:rPr>
              <w:t xml:space="preserve">zmieniające rozporządzenie w sprawie </w:t>
            </w:r>
            <w:r w:rsidR="007763F3" w:rsidRPr="009A51B1">
              <w:rPr>
                <w:rFonts w:ascii="Times New Roman" w:hAnsi="Times New Roman" w:cs="Times New Roman"/>
              </w:rPr>
              <w:t xml:space="preserve">dodatkowych sprawozdań finansowych i statycznych zakładów ubezpieczeń i zakładów reasekuracji </w:t>
            </w:r>
          </w:p>
          <w:p w14:paraId="28F1CBF1" w14:textId="77777777" w:rsidR="007A0164" w:rsidRPr="009A51B1" w:rsidRDefault="007A0164" w:rsidP="009A51B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9A51B1">
              <w:rPr>
                <w:rFonts w:ascii="Times New Roman" w:eastAsia="Times New Roman" w:hAnsi="Times New Roman" w:cs="Arial"/>
                <w:b/>
                <w:lang w:eastAsia="pl-PL"/>
              </w:rPr>
              <w:t>Ministerstwo wiodące i ministerstwa współpracujące</w:t>
            </w:r>
            <w:r w:rsidR="00FB628B" w:rsidRPr="009A51B1">
              <w:rPr>
                <w:rFonts w:ascii="Times New Roman" w:eastAsia="Times New Roman" w:hAnsi="Times New Roman" w:cs="Arial"/>
                <w:b/>
                <w:lang w:eastAsia="pl-PL"/>
              </w:rPr>
              <w:t xml:space="preserve"> </w:t>
            </w:r>
          </w:p>
          <w:p w14:paraId="5F29B2DE" w14:textId="77777777" w:rsidR="007A0164" w:rsidRPr="009A51B1" w:rsidRDefault="007A0164" w:rsidP="009A51B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pl-PL"/>
              </w:rPr>
            </w:pPr>
            <w:r w:rsidRPr="009A51B1">
              <w:rPr>
                <w:rFonts w:ascii="Times New Roman" w:eastAsia="Times New Roman" w:hAnsi="Times New Roman" w:cs="Arial"/>
                <w:lang w:eastAsia="pl-PL"/>
              </w:rPr>
              <w:t>Ministerstwo Finansów</w:t>
            </w:r>
          </w:p>
          <w:p w14:paraId="5DBFD214" w14:textId="77777777" w:rsidR="007A0164" w:rsidRPr="009A51B1" w:rsidRDefault="007A0164" w:rsidP="009A51B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9A51B1">
              <w:rPr>
                <w:rFonts w:ascii="Times New Roman" w:eastAsia="Times New Roman" w:hAnsi="Times New Roman" w:cs="Arial"/>
                <w:b/>
                <w:lang w:eastAsia="pl-PL"/>
              </w:rPr>
              <w:t xml:space="preserve">Osoba odpowiedzialna za projekt w randze Ministra, Sekretarza Stanu lub Podsekretarza Stanu </w:t>
            </w:r>
          </w:p>
          <w:p w14:paraId="22EB2488" w14:textId="63CFA446" w:rsidR="00E036AB" w:rsidRPr="009A51B1" w:rsidRDefault="009C1C46" w:rsidP="009A51B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pl-PL"/>
              </w:rPr>
            </w:pPr>
            <w:r w:rsidRPr="009A51B1">
              <w:rPr>
                <w:rFonts w:ascii="Times New Roman" w:eastAsia="Times New Roman" w:hAnsi="Times New Roman" w:cs="Arial"/>
                <w:lang w:eastAsia="pl-PL"/>
              </w:rPr>
              <w:t xml:space="preserve">Piotr </w:t>
            </w:r>
            <w:r w:rsidR="000D3D48" w:rsidRPr="009A51B1">
              <w:rPr>
                <w:rFonts w:ascii="Times New Roman" w:eastAsia="Times New Roman" w:hAnsi="Times New Roman" w:cs="Arial"/>
                <w:lang w:eastAsia="pl-PL"/>
              </w:rPr>
              <w:t>Patkowski</w:t>
            </w:r>
            <w:r w:rsidR="009A51B1">
              <w:rPr>
                <w:rFonts w:ascii="Times New Roman" w:eastAsia="Times New Roman" w:hAnsi="Times New Roman" w:cs="Arial"/>
                <w:lang w:eastAsia="pl-PL"/>
              </w:rPr>
              <w:t xml:space="preserve">, Podsekretarz Stanu w Ministerstwie Finansów </w:t>
            </w:r>
            <w:r w:rsidR="000D3D48" w:rsidRPr="009A51B1">
              <w:rPr>
                <w:rFonts w:ascii="Times New Roman" w:eastAsia="Times New Roman" w:hAnsi="Times New Roman" w:cs="Arial"/>
                <w:lang w:eastAsia="pl-PL"/>
              </w:rPr>
              <w:t xml:space="preserve"> </w:t>
            </w:r>
          </w:p>
          <w:p w14:paraId="31E53206" w14:textId="77777777" w:rsidR="007A0164" w:rsidRPr="009A51B1" w:rsidRDefault="007A0164" w:rsidP="009A51B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9A51B1">
              <w:rPr>
                <w:rFonts w:ascii="Times New Roman" w:eastAsia="Times New Roman" w:hAnsi="Times New Roman" w:cs="Arial"/>
                <w:b/>
                <w:lang w:eastAsia="pl-PL"/>
              </w:rPr>
              <w:t>Kontakt do opiekuna merytorycznego projektu</w:t>
            </w:r>
          </w:p>
          <w:p w14:paraId="5016D545" w14:textId="536BD6CA" w:rsidR="0051725D" w:rsidRPr="000431FE" w:rsidRDefault="000D3D48" w:rsidP="009A51B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lang w:val="en-GB" w:eastAsia="pl-PL"/>
              </w:rPr>
            </w:pPr>
            <w:r w:rsidRPr="009A51B1">
              <w:rPr>
                <w:rFonts w:ascii="Times New Roman" w:eastAsia="Times New Roman" w:hAnsi="Times New Roman" w:cs="Arial"/>
                <w:lang w:eastAsia="pl-PL"/>
              </w:rPr>
              <w:t xml:space="preserve">Andrzej Rowiński, </w:t>
            </w:r>
            <w:r w:rsidR="007A0164" w:rsidRPr="009A51B1">
              <w:rPr>
                <w:rFonts w:ascii="Times New Roman" w:eastAsia="Times New Roman" w:hAnsi="Times New Roman" w:cs="Arial"/>
                <w:lang w:eastAsia="pl-PL"/>
              </w:rPr>
              <w:t xml:space="preserve"> tel. </w:t>
            </w:r>
            <w:r w:rsidR="002C6622" w:rsidRPr="000431FE">
              <w:rPr>
                <w:rFonts w:ascii="Times New Roman" w:eastAsia="Times New Roman" w:hAnsi="Times New Roman" w:cs="Arial"/>
                <w:lang w:val="en-GB" w:eastAsia="pl-PL"/>
              </w:rPr>
              <w:t>(</w:t>
            </w:r>
            <w:r w:rsidR="007A0164" w:rsidRPr="000431FE">
              <w:rPr>
                <w:rFonts w:ascii="Times New Roman" w:eastAsia="Times New Roman" w:hAnsi="Times New Roman" w:cs="Arial"/>
                <w:lang w:val="en-GB" w:eastAsia="pl-PL"/>
              </w:rPr>
              <w:t>22</w:t>
            </w:r>
            <w:r w:rsidR="002C6622" w:rsidRPr="000431FE">
              <w:rPr>
                <w:rFonts w:ascii="Times New Roman" w:eastAsia="Times New Roman" w:hAnsi="Times New Roman" w:cs="Arial"/>
                <w:lang w:val="en-GB" w:eastAsia="pl-PL"/>
              </w:rPr>
              <w:t xml:space="preserve">) </w:t>
            </w:r>
            <w:r w:rsidR="007A0164" w:rsidRPr="000431FE">
              <w:rPr>
                <w:rFonts w:ascii="Times New Roman" w:eastAsia="Times New Roman" w:hAnsi="Times New Roman" w:cs="Arial"/>
                <w:lang w:val="en-GB" w:eastAsia="pl-PL"/>
              </w:rPr>
              <w:t>694</w:t>
            </w:r>
            <w:r w:rsidR="002C6622" w:rsidRPr="000431FE">
              <w:rPr>
                <w:rFonts w:ascii="Times New Roman" w:eastAsia="Times New Roman" w:hAnsi="Times New Roman" w:cs="Arial"/>
                <w:lang w:val="en-GB" w:eastAsia="pl-PL"/>
              </w:rPr>
              <w:t>-</w:t>
            </w:r>
            <w:r w:rsidRPr="000431FE">
              <w:rPr>
                <w:rFonts w:ascii="Times New Roman" w:eastAsia="Times New Roman" w:hAnsi="Times New Roman" w:cs="Arial"/>
                <w:lang w:val="en-GB" w:eastAsia="pl-PL"/>
              </w:rPr>
              <w:t>44</w:t>
            </w:r>
            <w:r w:rsidR="002C6622" w:rsidRPr="000431FE">
              <w:rPr>
                <w:rFonts w:ascii="Times New Roman" w:eastAsia="Times New Roman" w:hAnsi="Times New Roman" w:cs="Arial"/>
                <w:lang w:val="en-GB" w:eastAsia="pl-PL"/>
              </w:rPr>
              <w:t>-</w:t>
            </w:r>
            <w:r w:rsidRPr="000431FE">
              <w:rPr>
                <w:rFonts w:ascii="Times New Roman" w:eastAsia="Times New Roman" w:hAnsi="Times New Roman" w:cs="Arial"/>
                <w:lang w:val="en-GB" w:eastAsia="pl-PL"/>
              </w:rPr>
              <w:t>12</w:t>
            </w:r>
            <w:r w:rsidR="00522E49" w:rsidRPr="000431FE">
              <w:rPr>
                <w:rFonts w:ascii="Times New Roman" w:eastAsia="Times New Roman" w:hAnsi="Times New Roman" w:cs="Arial"/>
                <w:lang w:val="en-GB" w:eastAsia="pl-PL"/>
              </w:rPr>
              <w:t xml:space="preserve"> </w:t>
            </w:r>
          </w:p>
          <w:p w14:paraId="2A1CF6FB" w14:textId="1AFF7D3C" w:rsidR="007A0164" w:rsidRPr="000431FE" w:rsidRDefault="0051725D" w:rsidP="009A51B1">
            <w:pPr>
              <w:spacing w:after="0" w:line="240" w:lineRule="auto"/>
              <w:jc w:val="both"/>
              <w:rPr>
                <w:rStyle w:val="Hipercze"/>
                <w:rFonts w:ascii="Times New Roman" w:eastAsia="Times New Roman" w:hAnsi="Times New Roman" w:cs="Arial"/>
                <w:color w:val="auto"/>
                <w:u w:val="none"/>
                <w:lang w:val="en-GB" w:eastAsia="pl-PL"/>
              </w:rPr>
            </w:pPr>
            <w:r w:rsidRPr="000431FE">
              <w:rPr>
                <w:rFonts w:ascii="Times New Roman" w:eastAsia="Times New Roman" w:hAnsi="Times New Roman" w:cs="Arial"/>
                <w:lang w:val="en-GB" w:eastAsia="pl-PL"/>
              </w:rPr>
              <w:t>e-</w:t>
            </w:r>
            <w:r w:rsidR="007A0164" w:rsidRPr="000431FE">
              <w:rPr>
                <w:rFonts w:ascii="Times New Roman" w:eastAsia="Times New Roman" w:hAnsi="Times New Roman" w:cs="Arial"/>
                <w:lang w:val="en-GB" w:eastAsia="pl-PL"/>
              </w:rPr>
              <w:t xml:space="preserve">mail: </w:t>
            </w:r>
            <w:r w:rsidR="000D3D48" w:rsidRPr="000431FE">
              <w:rPr>
                <w:rFonts w:ascii="Times New Roman" w:eastAsia="Times New Roman" w:hAnsi="Times New Roman" w:cs="Arial"/>
                <w:lang w:val="en-GB" w:eastAsia="pl-PL"/>
              </w:rPr>
              <w:t>andrzej.rowinski@mf.gov.pl</w:t>
            </w:r>
            <w:r w:rsidR="000D3D48" w:rsidRPr="000431FE">
              <w:rPr>
                <w:rStyle w:val="Hipercze"/>
                <w:rFonts w:ascii="Times New Roman" w:eastAsia="Times New Roman" w:hAnsi="Times New Roman" w:cs="Arial"/>
                <w:color w:val="auto"/>
                <w:u w:val="none"/>
                <w:lang w:val="en-GB" w:eastAsia="pl-PL"/>
              </w:rPr>
              <w:t xml:space="preserve"> </w:t>
            </w:r>
            <w:r w:rsidR="00A6334B" w:rsidRPr="000431FE">
              <w:rPr>
                <w:rStyle w:val="Hipercze"/>
                <w:rFonts w:ascii="Times New Roman" w:eastAsia="Times New Roman" w:hAnsi="Times New Roman" w:cs="Arial"/>
                <w:color w:val="auto"/>
                <w:u w:val="none"/>
                <w:lang w:val="en-GB" w:eastAsia="pl-PL"/>
              </w:rPr>
              <w:t xml:space="preserve">   </w:t>
            </w:r>
          </w:p>
          <w:p w14:paraId="343BD0C1" w14:textId="77777777" w:rsidR="00067A4A" w:rsidRPr="000431FE" w:rsidRDefault="00067A4A" w:rsidP="00A54B70">
            <w:pPr>
              <w:spacing w:after="0" w:line="280" w:lineRule="atLeast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u w:val="single"/>
                <w:lang w:val="en-GB" w:eastAsia="pl-PL"/>
              </w:rPr>
            </w:pPr>
          </w:p>
        </w:tc>
        <w:tc>
          <w:tcPr>
            <w:tcW w:w="4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01F6E" w14:textId="77777777" w:rsidR="009A51B1" w:rsidRDefault="007A0164" w:rsidP="009A51B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9A51B1">
              <w:rPr>
                <w:rFonts w:ascii="Times New Roman" w:eastAsia="Times New Roman" w:hAnsi="Times New Roman" w:cs="Arial"/>
                <w:b/>
                <w:lang w:eastAsia="pl-PL"/>
              </w:rPr>
              <w:t>Data sporządzenia</w:t>
            </w:r>
            <w:r w:rsidR="004C1DDA" w:rsidRPr="009A51B1">
              <w:rPr>
                <w:rFonts w:ascii="Times New Roman" w:eastAsia="Times New Roman" w:hAnsi="Times New Roman" w:cs="Arial"/>
                <w:b/>
                <w:lang w:eastAsia="pl-PL"/>
              </w:rPr>
              <w:t>:</w:t>
            </w:r>
            <w:r w:rsidRPr="009A51B1">
              <w:rPr>
                <w:rFonts w:ascii="Times New Roman" w:eastAsia="Times New Roman" w:hAnsi="Times New Roman" w:cs="Arial"/>
                <w:b/>
                <w:lang w:eastAsia="pl-PL"/>
              </w:rPr>
              <w:t xml:space="preserve"> </w:t>
            </w:r>
          </w:p>
          <w:p w14:paraId="75C44038" w14:textId="23809107" w:rsidR="007A0164" w:rsidRPr="009A51B1" w:rsidRDefault="00043A5E" w:rsidP="009A51B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>11</w:t>
            </w:r>
            <w:r w:rsidR="001214CD">
              <w:rPr>
                <w:rFonts w:ascii="Times New Roman" w:eastAsia="Times New Roman" w:hAnsi="Times New Roman" w:cs="Arial"/>
                <w:lang w:eastAsia="pl-PL"/>
              </w:rPr>
              <w:t xml:space="preserve"> czerwca </w:t>
            </w:r>
            <w:r w:rsidR="004C1DDA" w:rsidRPr="009A51B1">
              <w:rPr>
                <w:rFonts w:ascii="Times New Roman" w:eastAsia="Times New Roman" w:hAnsi="Times New Roman" w:cs="Arial"/>
                <w:lang w:eastAsia="pl-PL"/>
              </w:rPr>
              <w:t>202</w:t>
            </w:r>
            <w:r w:rsidR="000D3D48" w:rsidRPr="009A51B1">
              <w:rPr>
                <w:rFonts w:ascii="Times New Roman" w:eastAsia="Times New Roman" w:hAnsi="Times New Roman" w:cs="Arial"/>
                <w:lang w:eastAsia="pl-PL"/>
              </w:rPr>
              <w:t>1</w:t>
            </w:r>
            <w:r w:rsidR="004C1DDA" w:rsidRPr="009A51B1">
              <w:rPr>
                <w:rFonts w:ascii="Times New Roman" w:eastAsia="Times New Roman" w:hAnsi="Times New Roman" w:cs="Arial"/>
                <w:lang w:eastAsia="pl-PL"/>
              </w:rPr>
              <w:t xml:space="preserve"> </w:t>
            </w:r>
            <w:r w:rsidR="00CD5E2C" w:rsidRPr="009A51B1">
              <w:rPr>
                <w:rFonts w:ascii="Times New Roman" w:eastAsia="Times New Roman" w:hAnsi="Times New Roman" w:cs="Arial"/>
                <w:lang w:eastAsia="pl-PL"/>
              </w:rPr>
              <w:t>r.</w:t>
            </w:r>
            <w:r w:rsidR="00E20805" w:rsidRPr="009A51B1">
              <w:rPr>
                <w:rFonts w:ascii="Times New Roman" w:eastAsia="Times New Roman" w:hAnsi="Times New Roman" w:cs="Arial"/>
                <w:lang w:eastAsia="pl-PL"/>
              </w:rPr>
              <w:t xml:space="preserve"> </w:t>
            </w:r>
          </w:p>
          <w:p w14:paraId="04E0A8D2" w14:textId="77777777" w:rsidR="007A0164" w:rsidRPr="009A51B1" w:rsidRDefault="007A0164" w:rsidP="009A51B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pl-PL"/>
              </w:rPr>
            </w:pPr>
          </w:p>
          <w:p w14:paraId="39B93929" w14:textId="77777777" w:rsidR="007A0164" w:rsidRPr="009A51B1" w:rsidRDefault="007A0164" w:rsidP="009A51B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pl-PL"/>
              </w:rPr>
            </w:pPr>
            <w:r w:rsidRPr="009A51B1">
              <w:rPr>
                <w:rFonts w:ascii="Times New Roman" w:eastAsia="Times New Roman" w:hAnsi="Times New Roman" w:cs="Arial"/>
                <w:b/>
                <w:lang w:eastAsia="pl-PL"/>
              </w:rPr>
              <w:t>Źródło</w:t>
            </w:r>
            <w:r w:rsidRPr="009A51B1">
              <w:rPr>
                <w:rFonts w:ascii="Times New Roman" w:eastAsia="Times New Roman" w:hAnsi="Times New Roman" w:cs="Arial"/>
                <w:lang w:eastAsia="pl-PL"/>
              </w:rPr>
              <w:t>:</w:t>
            </w:r>
          </w:p>
          <w:p w14:paraId="11D2AE91" w14:textId="3B21F2CD" w:rsidR="004E09F8" w:rsidRPr="009A51B1" w:rsidRDefault="0064158D" w:rsidP="009A51B1">
            <w:pPr>
              <w:pStyle w:val="Tekstpodstawowywcity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Przepis art. 336 ust. 3 u</w:t>
            </w:r>
            <w:r w:rsidR="004E09F8" w:rsidRPr="009A51B1">
              <w:rPr>
                <w:rFonts w:ascii="Times New Roman" w:hAnsi="Times New Roman" w:cs="Times New Roman"/>
              </w:rPr>
              <w:t>staw</w:t>
            </w:r>
            <w:r>
              <w:rPr>
                <w:rFonts w:ascii="Times New Roman" w:hAnsi="Times New Roman" w:cs="Times New Roman"/>
              </w:rPr>
              <w:t>y</w:t>
            </w:r>
            <w:r w:rsidR="004E09F8" w:rsidRPr="009A51B1">
              <w:rPr>
                <w:rFonts w:ascii="Times New Roman" w:hAnsi="Times New Roman" w:cs="Times New Roman"/>
              </w:rPr>
              <w:t xml:space="preserve"> z dnia 11 września 2015 r. o działalności ubezpieczeniowej i reasekuracyjnej (Dz. U. </w:t>
            </w:r>
            <w:r w:rsidR="00535641" w:rsidRPr="009A51B1">
              <w:rPr>
                <w:rFonts w:ascii="Times New Roman" w:hAnsi="Times New Roman" w:cs="Times New Roman"/>
              </w:rPr>
              <w:t>z 2</w:t>
            </w:r>
            <w:r w:rsidR="00CD521E" w:rsidRPr="009A51B1">
              <w:rPr>
                <w:rFonts w:ascii="Times New Roman" w:hAnsi="Times New Roman" w:cs="Times New Roman"/>
              </w:rPr>
              <w:t>020</w:t>
            </w:r>
            <w:r w:rsidR="00535641" w:rsidRPr="009A51B1">
              <w:rPr>
                <w:rFonts w:ascii="Times New Roman" w:hAnsi="Times New Roman" w:cs="Times New Roman"/>
              </w:rPr>
              <w:t xml:space="preserve"> r. </w:t>
            </w:r>
            <w:r w:rsidR="004E09F8" w:rsidRPr="009A51B1">
              <w:rPr>
                <w:rFonts w:ascii="Times New Roman" w:hAnsi="Times New Roman" w:cs="Times New Roman"/>
              </w:rPr>
              <w:t xml:space="preserve">poz. </w:t>
            </w:r>
            <w:r w:rsidR="00CD521E" w:rsidRPr="009A51B1">
              <w:rPr>
                <w:rFonts w:ascii="Times New Roman" w:hAnsi="Times New Roman" w:cs="Times New Roman"/>
              </w:rPr>
              <w:t>85</w:t>
            </w:r>
            <w:r w:rsidR="007763F3" w:rsidRPr="009A51B1">
              <w:rPr>
                <w:rFonts w:ascii="Times New Roman" w:hAnsi="Times New Roman" w:cs="Times New Roman"/>
              </w:rPr>
              <w:t>,</w:t>
            </w:r>
            <w:r w:rsidR="00D14856" w:rsidRPr="009A51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51B1">
              <w:rPr>
                <w:rFonts w:ascii="Times New Roman" w:hAnsi="Times New Roman" w:cs="Times New Roman"/>
              </w:rPr>
              <w:t>z późn. zm.</w:t>
            </w:r>
            <w:r w:rsidR="004E09F8" w:rsidRPr="009A51B1">
              <w:rPr>
                <w:rFonts w:ascii="Times New Roman" w:hAnsi="Times New Roman" w:cs="Times New Roman"/>
              </w:rPr>
              <w:t xml:space="preserve">) </w:t>
            </w:r>
            <w:r w:rsidR="006D7D18" w:rsidRPr="009A51B1">
              <w:rPr>
                <w:rFonts w:ascii="Times New Roman" w:hAnsi="Times New Roman" w:cs="Times New Roman"/>
              </w:rPr>
              <w:t xml:space="preserve"> </w:t>
            </w:r>
          </w:p>
          <w:p w14:paraId="5A7FADE4" w14:textId="77777777" w:rsidR="004A4DFC" w:rsidRPr="009A51B1" w:rsidRDefault="004A4DFC" w:rsidP="009A51B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lang w:eastAsia="pl-PL"/>
              </w:rPr>
            </w:pPr>
          </w:p>
          <w:p w14:paraId="4595FFAB" w14:textId="4909E71B" w:rsidR="00602336" w:rsidRPr="009A51B1" w:rsidRDefault="007A0164" w:rsidP="009A51B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pl-PL"/>
              </w:rPr>
            </w:pPr>
            <w:r w:rsidRPr="009A51B1">
              <w:rPr>
                <w:rFonts w:ascii="Times New Roman" w:eastAsia="Times New Roman" w:hAnsi="Times New Roman" w:cs="Arial"/>
                <w:b/>
                <w:lang w:eastAsia="pl-PL"/>
              </w:rPr>
              <w:t xml:space="preserve">Nr w wykazie prac </w:t>
            </w:r>
            <w:r w:rsidR="004E78E4" w:rsidRPr="009A51B1">
              <w:rPr>
                <w:rFonts w:ascii="Times New Roman" w:eastAsia="Times New Roman" w:hAnsi="Times New Roman" w:cs="Arial"/>
                <w:b/>
                <w:lang w:eastAsia="pl-PL"/>
              </w:rPr>
              <w:t xml:space="preserve"> </w:t>
            </w:r>
            <w:r w:rsidR="009A51B1">
              <w:rPr>
                <w:rFonts w:ascii="Times New Roman" w:eastAsia="Times New Roman" w:hAnsi="Times New Roman" w:cs="Arial"/>
                <w:b/>
                <w:lang w:eastAsia="pl-PL"/>
              </w:rPr>
              <w:t xml:space="preserve">legislacyjnych </w:t>
            </w:r>
            <w:r w:rsidR="009A51B1" w:rsidRPr="009A51B1">
              <w:rPr>
                <w:rFonts w:ascii="Times New Roman" w:eastAsia="Times New Roman" w:hAnsi="Times New Roman" w:cs="Arial"/>
                <w:b/>
                <w:lang w:eastAsia="pl-PL"/>
              </w:rPr>
              <w:t>Ministra Finansów, Funduszy i Polityki Regionalnej</w:t>
            </w:r>
            <w:r w:rsidR="00796DD9">
              <w:rPr>
                <w:rFonts w:ascii="Times New Roman" w:eastAsia="Times New Roman" w:hAnsi="Times New Roman" w:cs="Arial"/>
                <w:b/>
                <w:lang w:eastAsia="pl-PL"/>
              </w:rPr>
              <w:t>:</w:t>
            </w:r>
          </w:p>
          <w:p w14:paraId="54F3648F" w14:textId="77777777" w:rsidR="001554AF" w:rsidRDefault="001554AF" w:rsidP="00223E4C">
            <w:pPr>
              <w:spacing w:after="0" w:line="28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5C180048" w14:textId="3E41F933" w:rsidR="007A0164" w:rsidRPr="007A0164" w:rsidRDefault="00E118F5" w:rsidP="00223E4C">
            <w:pPr>
              <w:spacing w:after="0" w:line="28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327</w:t>
            </w:r>
            <w:r w:rsidR="00B516D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</w:t>
            </w:r>
            <w:r w:rsidR="00532A3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</w:t>
            </w:r>
          </w:p>
        </w:tc>
      </w:tr>
      <w:tr w:rsidR="007A0164" w:rsidRPr="007A0164" w14:paraId="0DC9F4D7" w14:textId="77777777" w:rsidTr="00484B45">
        <w:trPr>
          <w:trHeight w:val="142"/>
        </w:trPr>
        <w:tc>
          <w:tcPr>
            <w:tcW w:w="10985" w:type="dxa"/>
            <w:gridSpan w:val="30"/>
            <w:shd w:val="clear" w:color="auto" w:fill="99CCFF"/>
          </w:tcPr>
          <w:p w14:paraId="7BA54160" w14:textId="77777777" w:rsidR="007A0164" w:rsidRPr="00F12F3B" w:rsidRDefault="007A0164" w:rsidP="00F12F3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OCENA SKUTKÓW REGULACJI</w:t>
            </w:r>
          </w:p>
        </w:tc>
      </w:tr>
      <w:tr w:rsidR="007A0164" w:rsidRPr="007A0164" w14:paraId="212A34DA" w14:textId="77777777" w:rsidTr="00484B45">
        <w:trPr>
          <w:trHeight w:val="333"/>
        </w:trPr>
        <w:tc>
          <w:tcPr>
            <w:tcW w:w="10985" w:type="dxa"/>
            <w:gridSpan w:val="30"/>
            <w:shd w:val="clear" w:color="auto" w:fill="99CCFF"/>
            <w:vAlign w:val="center"/>
          </w:tcPr>
          <w:p w14:paraId="17C2A46A" w14:textId="77777777" w:rsidR="007A0164" w:rsidRPr="00F12F3B" w:rsidRDefault="00CD3BA5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1. </w:t>
            </w:r>
            <w:r w:rsidR="007A0164"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Jaki problem jest rozwiązywany?</w:t>
            </w:r>
          </w:p>
        </w:tc>
      </w:tr>
      <w:tr w:rsidR="007A0164" w:rsidRPr="007A0164" w14:paraId="6BFA9C84" w14:textId="77777777" w:rsidTr="00484B45">
        <w:trPr>
          <w:trHeight w:val="142"/>
        </w:trPr>
        <w:tc>
          <w:tcPr>
            <w:tcW w:w="10985" w:type="dxa"/>
            <w:gridSpan w:val="30"/>
            <w:shd w:val="clear" w:color="auto" w:fill="FFFFFF"/>
          </w:tcPr>
          <w:p w14:paraId="109F44B3" w14:textId="49BC1953" w:rsidR="00C3361F" w:rsidRDefault="00A20139" w:rsidP="00864ABC">
            <w:pPr>
              <w:pStyle w:val="Tekstpodstawowy4"/>
              <w:shd w:val="clear" w:color="auto" w:fill="auto"/>
              <w:spacing w:after="0" w:line="240" w:lineRule="auto"/>
              <w:ind w:right="23" w:firstLine="0"/>
              <w:jc w:val="both"/>
              <w:rPr>
                <w:sz w:val="22"/>
                <w:szCs w:val="22"/>
                <w:lang w:eastAsia="pl-PL"/>
              </w:rPr>
            </w:pPr>
            <w:r w:rsidRPr="001E555A">
              <w:rPr>
                <w:sz w:val="22"/>
                <w:szCs w:val="22"/>
              </w:rPr>
              <w:t xml:space="preserve">Konieczność wydania </w:t>
            </w:r>
            <w:r w:rsidR="0096463A" w:rsidRPr="001E555A">
              <w:rPr>
                <w:sz w:val="22"/>
                <w:szCs w:val="22"/>
              </w:rPr>
              <w:t xml:space="preserve">nowego </w:t>
            </w:r>
            <w:r w:rsidRPr="001E555A">
              <w:rPr>
                <w:sz w:val="22"/>
                <w:szCs w:val="22"/>
              </w:rPr>
              <w:t>rozporządzenia Ministra Finansów, Funduszy i Polityki Regionalnej w sprawie dodatkowych sprawozdań finansowych i statycznych zakładów ubezpieczeń i zakładów reasekuracji</w:t>
            </w:r>
            <w:r w:rsidR="00A20395">
              <w:rPr>
                <w:sz w:val="22"/>
                <w:szCs w:val="22"/>
              </w:rPr>
              <w:t>,</w:t>
            </w:r>
            <w:r w:rsidRPr="001E555A">
              <w:rPr>
                <w:sz w:val="22"/>
                <w:szCs w:val="22"/>
              </w:rPr>
              <w:t xml:space="preserve"> które zastąpi dotychczas obowiązujące rozporządzenie Ministra Finansów z dnia 29 kwietnia 2016 r. w sprawie dodatkowych sprawozdań finansowych i statycznych zakładów ubezpieczeń i zakładów reasekuracji (Dz. U. z 2018 r. poz. 392</w:t>
            </w:r>
            <w:r w:rsidR="00F36060">
              <w:rPr>
                <w:sz w:val="22"/>
                <w:szCs w:val="22"/>
              </w:rPr>
              <w:t xml:space="preserve"> oraz z 2019 r. poz. 1187</w:t>
            </w:r>
            <w:r w:rsidRPr="001E555A">
              <w:rPr>
                <w:sz w:val="22"/>
                <w:szCs w:val="22"/>
              </w:rPr>
              <w:t>) jest odpowiedzią na wnioski wynikające z doświadczeń Komisji Nadzoru Finansowego (KNF) sprawującej  nadzór nad działalnością zakładów ubezpieczeń i zakładów reasekuracji</w:t>
            </w:r>
            <w:r w:rsidRPr="001E555A">
              <w:rPr>
                <w:sz w:val="22"/>
                <w:szCs w:val="22"/>
                <w:lang w:eastAsia="pl-PL"/>
              </w:rPr>
              <w:t xml:space="preserve">. </w:t>
            </w:r>
          </w:p>
          <w:p w14:paraId="300C05ED" w14:textId="39AD55A9" w:rsidR="00E7149C" w:rsidRDefault="00A20139" w:rsidP="00A20395">
            <w:pPr>
              <w:pStyle w:val="Tekstpodstawowy4"/>
              <w:shd w:val="clear" w:color="auto" w:fill="auto"/>
              <w:spacing w:after="0" w:line="240" w:lineRule="auto"/>
              <w:ind w:left="23" w:right="23" w:firstLine="0"/>
              <w:jc w:val="both"/>
              <w:rPr>
                <w:sz w:val="24"/>
                <w:szCs w:val="24"/>
                <w:lang w:eastAsia="pl-PL"/>
              </w:rPr>
            </w:pPr>
            <w:r w:rsidRPr="001E555A">
              <w:rPr>
                <w:sz w:val="22"/>
                <w:szCs w:val="22"/>
                <w:lang w:eastAsia="pl-PL"/>
              </w:rPr>
              <w:t>Nadzór nad krajowymi zakładami ubezpieczeń i zakładami reasekuracji jest sprawowa</w:t>
            </w:r>
            <w:r w:rsidR="00864ABC">
              <w:rPr>
                <w:sz w:val="22"/>
                <w:szCs w:val="22"/>
                <w:lang w:eastAsia="pl-PL"/>
              </w:rPr>
              <w:t>ny przez organ nadzoru na bazie </w:t>
            </w:r>
            <w:r w:rsidRPr="001E555A">
              <w:rPr>
                <w:sz w:val="22"/>
                <w:szCs w:val="22"/>
                <w:lang w:eastAsia="pl-PL"/>
              </w:rPr>
              <w:t xml:space="preserve">oceny ryzyka. </w:t>
            </w:r>
            <w:r w:rsidRPr="001E555A">
              <w:rPr>
                <w:sz w:val="22"/>
                <w:szCs w:val="22"/>
              </w:rPr>
              <w:t xml:space="preserve">Zgodnie z art. 335 ust. 4 pkt 1 ustawy z dnia 11 września 2015 r. o działalności </w:t>
            </w:r>
            <w:r w:rsidR="00864ABC">
              <w:rPr>
                <w:sz w:val="22"/>
                <w:szCs w:val="22"/>
              </w:rPr>
              <w:t>ubezpieczeniowej i </w:t>
            </w:r>
            <w:r w:rsidRPr="001E555A">
              <w:rPr>
                <w:sz w:val="22"/>
                <w:szCs w:val="22"/>
              </w:rPr>
              <w:t>reasekuracyjnej</w:t>
            </w:r>
            <w:r w:rsidR="0096463A" w:rsidRPr="001E555A">
              <w:rPr>
                <w:sz w:val="22"/>
                <w:szCs w:val="22"/>
              </w:rPr>
              <w:t xml:space="preserve"> </w:t>
            </w:r>
            <w:r w:rsidR="00C3361F">
              <w:rPr>
                <w:sz w:val="22"/>
                <w:szCs w:val="22"/>
              </w:rPr>
              <w:t xml:space="preserve">(„ustawa), </w:t>
            </w:r>
            <w:r w:rsidRPr="001E555A">
              <w:rPr>
                <w:sz w:val="22"/>
                <w:szCs w:val="22"/>
              </w:rPr>
              <w:t>KNF może żądać od zakładów ubezpieczeń i zakładów reas</w:t>
            </w:r>
            <w:r w:rsidR="00864ABC">
              <w:rPr>
                <w:sz w:val="22"/>
                <w:szCs w:val="22"/>
              </w:rPr>
              <w:t>ekuracji przekazywania danych i </w:t>
            </w:r>
            <w:r w:rsidRPr="001E555A">
              <w:rPr>
                <w:sz w:val="22"/>
                <w:szCs w:val="22"/>
              </w:rPr>
              <w:t xml:space="preserve">informacji niezbędnych dla celów nadzoru w określonych okresach. Ma to miejsce w przypadku gdy organ nadzoru identyfikuje konieczność uzyskania szczegółowych informacji </w:t>
            </w:r>
            <w:r w:rsidR="00C71FDA">
              <w:rPr>
                <w:sz w:val="22"/>
                <w:szCs w:val="22"/>
              </w:rPr>
              <w:t xml:space="preserve">w </w:t>
            </w:r>
            <w:r w:rsidRPr="001E555A">
              <w:rPr>
                <w:sz w:val="22"/>
                <w:szCs w:val="22"/>
              </w:rPr>
              <w:t>obszarach potencjalnego istotnego ryzyka w działalności zakładu ubezpieczeń i zakładu reasekuracji, nieobjętych bieżącą sprawozdawczością.</w:t>
            </w:r>
            <w:r w:rsidR="005C2522" w:rsidRPr="00114A9B">
              <w:rPr>
                <w:sz w:val="24"/>
                <w:szCs w:val="24"/>
                <w:lang w:eastAsia="pl-PL"/>
              </w:rPr>
              <w:t xml:space="preserve"> </w:t>
            </w:r>
          </w:p>
          <w:p w14:paraId="4223B25A" w14:textId="584C1C6E" w:rsidR="00DC5007" w:rsidRPr="000431FE" w:rsidRDefault="00864ABC" w:rsidP="00A20395">
            <w:pPr>
              <w:pStyle w:val="Tekstpodstawowy4"/>
              <w:shd w:val="clear" w:color="auto" w:fill="auto"/>
              <w:spacing w:after="0" w:line="240" w:lineRule="auto"/>
              <w:ind w:left="23" w:right="23" w:firstLine="0"/>
              <w:jc w:val="both"/>
              <w:rPr>
                <w:sz w:val="22"/>
                <w:szCs w:val="22"/>
              </w:rPr>
            </w:pPr>
            <w:r w:rsidRPr="00864ABC">
              <w:rPr>
                <w:sz w:val="22"/>
                <w:szCs w:val="22"/>
                <w:lang w:eastAsia="pl-PL"/>
              </w:rPr>
              <w:t>Praktyka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  <w:r w:rsidR="00DC5007" w:rsidRPr="000431FE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rzędu </w:t>
            </w:r>
            <w:r w:rsidR="00DC5007" w:rsidRPr="000431FE">
              <w:rPr>
                <w:sz w:val="22"/>
                <w:szCs w:val="22"/>
              </w:rPr>
              <w:t xml:space="preserve">KNF </w:t>
            </w:r>
            <w:r>
              <w:rPr>
                <w:sz w:val="22"/>
                <w:szCs w:val="22"/>
              </w:rPr>
              <w:t>wykazała</w:t>
            </w:r>
            <w:r w:rsidR="00DC5007" w:rsidRPr="000431FE">
              <w:rPr>
                <w:sz w:val="22"/>
                <w:szCs w:val="22"/>
              </w:rPr>
              <w:t>, ż</w:t>
            </w:r>
            <w:r>
              <w:rPr>
                <w:sz w:val="22"/>
                <w:szCs w:val="22"/>
              </w:rPr>
              <w:t>e</w:t>
            </w:r>
            <w:r w:rsidR="00DC5007" w:rsidRPr="000431FE">
              <w:rPr>
                <w:sz w:val="22"/>
                <w:szCs w:val="22"/>
              </w:rPr>
              <w:t xml:space="preserve"> przekazywane dane i informacje nie</w:t>
            </w:r>
            <w:r>
              <w:rPr>
                <w:sz w:val="22"/>
                <w:szCs w:val="22"/>
              </w:rPr>
              <w:t xml:space="preserve"> są </w:t>
            </w:r>
            <w:r w:rsidR="00DC5007" w:rsidRPr="000431FE">
              <w:rPr>
                <w:sz w:val="22"/>
                <w:szCs w:val="22"/>
              </w:rPr>
              <w:t>wystarczające do sprawowania efektywnego nadzoru nad niektórymi obszarami działalności zakładów ubezpieczeń działalnością zakładów ubezpieczeń. Dotyczy to przede</w:t>
            </w:r>
            <w:r>
              <w:rPr>
                <w:sz w:val="22"/>
                <w:szCs w:val="22"/>
              </w:rPr>
              <w:t xml:space="preserve"> wszystkim</w:t>
            </w:r>
            <w:r w:rsidR="00DC5007" w:rsidRPr="000431FE">
              <w:rPr>
                <w:sz w:val="22"/>
                <w:szCs w:val="22"/>
              </w:rPr>
              <w:t>:</w:t>
            </w:r>
          </w:p>
          <w:p w14:paraId="4E9626E0" w14:textId="71E054E2" w:rsidR="00DC5007" w:rsidRDefault="00DC5007" w:rsidP="00864ABC">
            <w:pPr>
              <w:pStyle w:val="Tekstpodstawowy4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right="23"/>
              <w:jc w:val="both"/>
              <w:rPr>
                <w:sz w:val="22"/>
                <w:szCs w:val="22"/>
              </w:rPr>
            </w:pPr>
            <w:r w:rsidRPr="000431FE">
              <w:rPr>
                <w:sz w:val="22"/>
                <w:szCs w:val="22"/>
                <w:lang w:eastAsia="pl-PL"/>
              </w:rPr>
              <w:t xml:space="preserve">danych i informacji o produktach z </w:t>
            </w:r>
            <w:r w:rsidR="00864ABC" w:rsidRPr="000431FE">
              <w:rPr>
                <w:sz w:val="22"/>
                <w:szCs w:val="22"/>
              </w:rPr>
              <w:t>ubezpieczeniowy</w:t>
            </w:r>
            <w:r w:rsidR="00864ABC">
              <w:rPr>
                <w:sz w:val="22"/>
                <w:szCs w:val="22"/>
              </w:rPr>
              <w:t xml:space="preserve">mi </w:t>
            </w:r>
            <w:r w:rsidR="00864ABC" w:rsidRPr="000431FE">
              <w:rPr>
                <w:sz w:val="22"/>
                <w:szCs w:val="22"/>
              </w:rPr>
              <w:t>fundusz</w:t>
            </w:r>
            <w:r w:rsidR="00864ABC">
              <w:rPr>
                <w:sz w:val="22"/>
                <w:szCs w:val="22"/>
              </w:rPr>
              <w:t xml:space="preserve">ami </w:t>
            </w:r>
            <w:r w:rsidR="00864ABC" w:rsidRPr="000431FE">
              <w:rPr>
                <w:sz w:val="22"/>
                <w:szCs w:val="22"/>
              </w:rPr>
              <w:t>kapitałowy</w:t>
            </w:r>
            <w:r w:rsidR="00864ABC">
              <w:rPr>
                <w:sz w:val="22"/>
                <w:szCs w:val="22"/>
              </w:rPr>
              <w:t>mi (</w:t>
            </w:r>
            <w:r w:rsidRPr="000431FE">
              <w:rPr>
                <w:sz w:val="22"/>
                <w:szCs w:val="22"/>
                <w:lang w:eastAsia="pl-PL"/>
              </w:rPr>
              <w:t>UFK</w:t>
            </w:r>
            <w:r w:rsidR="00864ABC">
              <w:rPr>
                <w:sz w:val="22"/>
                <w:szCs w:val="22"/>
                <w:lang w:eastAsia="pl-PL"/>
              </w:rPr>
              <w:t xml:space="preserve">) </w:t>
            </w:r>
            <w:r w:rsidRPr="000431FE">
              <w:rPr>
                <w:sz w:val="22"/>
                <w:szCs w:val="22"/>
                <w:lang w:eastAsia="pl-PL"/>
              </w:rPr>
              <w:t xml:space="preserve"> i </w:t>
            </w:r>
            <w:r w:rsidRPr="000431FE">
              <w:rPr>
                <w:sz w:val="22"/>
                <w:szCs w:val="22"/>
              </w:rPr>
              <w:t>aktyw</w:t>
            </w:r>
            <w:r w:rsidR="00E7149C">
              <w:rPr>
                <w:sz w:val="22"/>
                <w:szCs w:val="22"/>
              </w:rPr>
              <w:t xml:space="preserve">ach </w:t>
            </w:r>
            <w:r w:rsidRPr="000431FE">
              <w:rPr>
                <w:sz w:val="22"/>
                <w:szCs w:val="22"/>
              </w:rPr>
              <w:t>netto UFK,</w:t>
            </w:r>
          </w:p>
          <w:p w14:paraId="5201EC8C" w14:textId="305FA28B" w:rsidR="00DC5007" w:rsidRDefault="00DC5007" w:rsidP="00E7149C">
            <w:pPr>
              <w:pStyle w:val="Tekstpodstawowy4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right="23"/>
              <w:jc w:val="both"/>
              <w:rPr>
                <w:sz w:val="22"/>
                <w:szCs w:val="22"/>
              </w:rPr>
            </w:pPr>
            <w:r w:rsidRPr="00E7149C">
              <w:rPr>
                <w:sz w:val="22"/>
                <w:szCs w:val="22"/>
                <w:lang w:eastAsia="pl-PL"/>
              </w:rPr>
              <w:t>danych s</w:t>
            </w:r>
            <w:r w:rsidRPr="00E7149C">
              <w:rPr>
                <w:sz w:val="22"/>
                <w:szCs w:val="22"/>
              </w:rPr>
              <w:t xml:space="preserve">tatystycznych </w:t>
            </w:r>
            <w:r w:rsidR="00E7149C">
              <w:rPr>
                <w:sz w:val="22"/>
                <w:szCs w:val="22"/>
              </w:rPr>
              <w:t xml:space="preserve">niezbędnych </w:t>
            </w:r>
            <w:r w:rsidRPr="00E7149C">
              <w:rPr>
                <w:sz w:val="22"/>
                <w:szCs w:val="22"/>
              </w:rPr>
              <w:t xml:space="preserve">do monitorowania produktów ubezpieczeniowych </w:t>
            </w:r>
            <w:r w:rsidR="00E7149C">
              <w:rPr>
                <w:sz w:val="22"/>
                <w:szCs w:val="22"/>
              </w:rPr>
              <w:t xml:space="preserve">innych niż produkty z UFK </w:t>
            </w:r>
            <w:r w:rsidRPr="00E7149C">
              <w:rPr>
                <w:sz w:val="22"/>
                <w:szCs w:val="22"/>
              </w:rPr>
              <w:t>oferowanych prz</w:t>
            </w:r>
            <w:r w:rsidR="00E7149C">
              <w:rPr>
                <w:sz w:val="22"/>
                <w:szCs w:val="22"/>
              </w:rPr>
              <w:t xml:space="preserve">ez zakłady ubezpieczeń działu I, według załącznika do ustawy, </w:t>
            </w:r>
            <w:r w:rsidRPr="00E7149C">
              <w:rPr>
                <w:sz w:val="22"/>
                <w:szCs w:val="22"/>
              </w:rPr>
              <w:t>oraz produktów ubezpieczeniowych oferowanych prze zakłady ubezpieczeń działu II</w:t>
            </w:r>
            <w:r w:rsidR="00E7149C">
              <w:rPr>
                <w:sz w:val="22"/>
                <w:szCs w:val="22"/>
              </w:rPr>
              <w:t xml:space="preserve">, według załącznika do ustawy, </w:t>
            </w:r>
            <w:r w:rsidRPr="00E7149C">
              <w:rPr>
                <w:sz w:val="22"/>
                <w:szCs w:val="22"/>
              </w:rPr>
              <w:t xml:space="preserve">przede wszystkim </w:t>
            </w:r>
            <w:r w:rsidR="00E7149C">
              <w:rPr>
                <w:sz w:val="22"/>
                <w:szCs w:val="22"/>
              </w:rPr>
              <w:t xml:space="preserve">ubezpieczenia odpowiedzialności cywilnej (OC) </w:t>
            </w:r>
            <w:r w:rsidR="00E7149C" w:rsidRPr="000431FE">
              <w:rPr>
                <w:sz w:val="22"/>
                <w:szCs w:val="22"/>
              </w:rPr>
              <w:t>posiadaczy pojazdów mechanicznych</w:t>
            </w:r>
            <w:r w:rsidRPr="00E7149C">
              <w:rPr>
                <w:sz w:val="22"/>
                <w:szCs w:val="22"/>
              </w:rPr>
              <w:t>,</w:t>
            </w:r>
          </w:p>
          <w:p w14:paraId="40A62A91" w14:textId="77777777" w:rsidR="00E7149C" w:rsidRDefault="00DC5007" w:rsidP="00E7149C">
            <w:pPr>
              <w:pStyle w:val="Tekstpodstawowy4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right="23"/>
              <w:jc w:val="both"/>
              <w:rPr>
                <w:sz w:val="22"/>
                <w:szCs w:val="22"/>
              </w:rPr>
            </w:pPr>
            <w:r w:rsidRPr="00E7149C">
              <w:rPr>
                <w:sz w:val="22"/>
                <w:szCs w:val="22"/>
                <w:lang w:eastAsia="pl-PL"/>
              </w:rPr>
              <w:t>danych i informacji o współpracy zakładów ubezpieczeń z dystrybutorami ubezpieczeń</w:t>
            </w:r>
            <w:r w:rsidR="00E7149C">
              <w:rPr>
                <w:sz w:val="22"/>
                <w:szCs w:val="22"/>
                <w:lang w:eastAsia="pl-PL"/>
              </w:rPr>
              <w:t>,</w:t>
            </w:r>
          </w:p>
          <w:p w14:paraId="6FB4A41D" w14:textId="6B0749F1" w:rsidR="00DC5007" w:rsidRPr="00E7149C" w:rsidRDefault="00E7149C" w:rsidP="00E7149C">
            <w:pPr>
              <w:pStyle w:val="Tekstpodstawowy4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right="23"/>
              <w:jc w:val="both"/>
              <w:rPr>
                <w:sz w:val="22"/>
                <w:szCs w:val="22"/>
              </w:rPr>
            </w:pPr>
            <w:r w:rsidRPr="00E7149C">
              <w:rPr>
                <w:sz w:val="22"/>
                <w:szCs w:val="22"/>
              </w:rPr>
              <w:t>dan</w:t>
            </w:r>
            <w:r w:rsidR="00995AC9">
              <w:rPr>
                <w:sz w:val="22"/>
                <w:szCs w:val="22"/>
              </w:rPr>
              <w:t>ych</w:t>
            </w:r>
            <w:r w:rsidRPr="00E7149C">
              <w:rPr>
                <w:sz w:val="22"/>
                <w:szCs w:val="22"/>
              </w:rPr>
              <w:t xml:space="preserve"> i inform</w:t>
            </w:r>
            <w:r w:rsidR="00995AC9">
              <w:rPr>
                <w:sz w:val="22"/>
                <w:szCs w:val="22"/>
              </w:rPr>
              <w:t>acji</w:t>
            </w:r>
            <w:r w:rsidRPr="00E7149C">
              <w:rPr>
                <w:sz w:val="22"/>
                <w:szCs w:val="22"/>
              </w:rPr>
              <w:t xml:space="preserve"> dotycząc</w:t>
            </w:r>
            <w:r w:rsidR="00995AC9">
              <w:rPr>
                <w:sz w:val="22"/>
                <w:szCs w:val="22"/>
              </w:rPr>
              <w:t>ych</w:t>
            </w:r>
            <w:r w:rsidRPr="00E7149C">
              <w:rPr>
                <w:sz w:val="22"/>
                <w:szCs w:val="22"/>
              </w:rPr>
              <w:t xml:space="preserve"> reasekuracji biernej</w:t>
            </w:r>
            <w:r>
              <w:rPr>
                <w:sz w:val="22"/>
                <w:szCs w:val="22"/>
              </w:rPr>
              <w:t xml:space="preserve">, </w:t>
            </w:r>
            <w:r w:rsidRPr="00E7149C">
              <w:rPr>
                <w:sz w:val="22"/>
                <w:szCs w:val="22"/>
              </w:rPr>
              <w:t xml:space="preserve"> a w przypadku zakładów reasekuracji działu II </w:t>
            </w:r>
            <w:r>
              <w:rPr>
                <w:sz w:val="22"/>
                <w:szCs w:val="22"/>
              </w:rPr>
              <w:t>–</w:t>
            </w:r>
            <w:r w:rsidRPr="00E7149C">
              <w:rPr>
                <w:sz w:val="22"/>
                <w:szCs w:val="22"/>
              </w:rPr>
              <w:t xml:space="preserve"> retrocesji biernej.</w:t>
            </w:r>
          </w:p>
          <w:p w14:paraId="4944B5AD" w14:textId="2A7BCFA1" w:rsidR="00283ABF" w:rsidRPr="001E555A" w:rsidRDefault="00DC5007" w:rsidP="00E7149C">
            <w:pPr>
              <w:pStyle w:val="Tekstpodstawowy4"/>
              <w:shd w:val="clear" w:color="auto" w:fill="auto"/>
              <w:spacing w:after="0" w:line="240" w:lineRule="auto"/>
              <w:ind w:left="23" w:right="23" w:firstLine="0"/>
              <w:jc w:val="both"/>
              <w:rPr>
                <w:sz w:val="22"/>
                <w:szCs w:val="22"/>
              </w:rPr>
            </w:pPr>
            <w:r w:rsidRPr="000431FE">
              <w:rPr>
                <w:sz w:val="22"/>
                <w:szCs w:val="22"/>
              </w:rPr>
              <w:t xml:space="preserve">W związku z </w:t>
            </w:r>
            <w:r w:rsidR="00E7149C">
              <w:rPr>
                <w:sz w:val="22"/>
                <w:szCs w:val="22"/>
              </w:rPr>
              <w:t xml:space="preserve">tym </w:t>
            </w:r>
            <w:r w:rsidRPr="000431FE">
              <w:rPr>
                <w:sz w:val="22"/>
                <w:szCs w:val="22"/>
              </w:rPr>
              <w:t xml:space="preserve">konieczne jest  rozszerzenie wymogów sprawozdawczych </w:t>
            </w:r>
            <w:r w:rsidR="00E7149C">
              <w:rPr>
                <w:sz w:val="22"/>
                <w:szCs w:val="22"/>
              </w:rPr>
              <w:t xml:space="preserve">– </w:t>
            </w:r>
            <w:r w:rsidRPr="000431FE">
              <w:rPr>
                <w:sz w:val="22"/>
                <w:szCs w:val="22"/>
              </w:rPr>
              <w:t xml:space="preserve">dane i informacje przekazywane dotychczas na żądanie </w:t>
            </w:r>
            <w:r w:rsidR="00E7149C">
              <w:rPr>
                <w:sz w:val="22"/>
                <w:szCs w:val="22"/>
              </w:rPr>
              <w:t xml:space="preserve">Urzędu KNF </w:t>
            </w:r>
            <w:r w:rsidRPr="000431FE">
              <w:rPr>
                <w:sz w:val="22"/>
                <w:szCs w:val="22"/>
              </w:rPr>
              <w:t>powinny zostać włączone do regularnej sprawozdawczości.</w:t>
            </w:r>
            <w:r w:rsidR="00E7149C">
              <w:rPr>
                <w:sz w:val="22"/>
                <w:szCs w:val="22"/>
              </w:rPr>
              <w:t xml:space="preserve"> Raportowanie w cyklu rocznym i </w:t>
            </w:r>
            <w:r w:rsidR="00A20139" w:rsidRPr="001E555A">
              <w:rPr>
                <w:sz w:val="22"/>
                <w:szCs w:val="22"/>
              </w:rPr>
              <w:t xml:space="preserve">kwartalnym pozwoli </w:t>
            </w:r>
            <w:r w:rsidR="00E7149C">
              <w:rPr>
                <w:sz w:val="22"/>
                <w:szCs w:val="22"/>
              </w:rPr>
              <w:t xml:space="preserve">także </w:t>
            </w:r>
            <w:r w:rsidR="00A20139" w:rsidRPr="001E555A">
              <w:rPr>
                <w:sz w:val="22"/>
                <w:szCs w:val="22"/>
              </w:rPr>
              <w:t xml:space="preserve">zakładom na optymalizację planów pracy oraz spowoduje ograniczenie przesyłania do </w:t>
            </w:r>
            <w:r w:rsidR="00E7149C">
              <w:rPr>
                <w:sz w:val="22"/>
                <w:szCs w:val="22"/>
              </w:rPr>
              <w:t xml:space="preserve">Urzędu </w:t>
            </w:r>
            <w:r w:rsidR="00A20139" w:rsidRPr="001E555A">
              <w:rPr>
                <w:sz w:val="22"/>
                <w:szCs w:val="22"/>
              </w:rPr>
              <w:t xml:space="preserve">KNF dodatkowych danych.  </w:t>
            </w:r>
          </w:p>
        </w:tc>
      </w:tr>
      <w:tr w:rsidR="007A0164" w:rsidRPr="004A4DFC" w14:paraId="007D03AB" w14:textId="77777777" w:rsidTr="00484B45">
        <w:trPr>
          <w:trHeight w:val="392"/>
        </w:trPr>
        <w:tc>
          <w:tcPr>
            <w:tcW w:w="10985" w:type="dxa"/>
            <w:gridSpan w:val="30"/>
            <w:shd w:val="clear" w:color="auto" w:fill="99CCFF"/>
            <w:vAlign w:val="center"/>
          </w:tcPr>
          <w:p w14:paraId="085358A9" w14:textId="77777777" w:rsidR="007A0164" w:rsidRPr="001E555A" w:rsidRDefault="00CD3BA5" w:rsidP="00B87A9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555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2. </w:t>
            </w:r>
            <w:r w:rsidR="007A0164" w:rsidRPr="001E555A">
              <w:rPr>
                <w:rFonts w:ascii="Times New Roman" w:eastAsia="Times New Roman" w:hAnsi="Times New Roman" w:cs="Times New Roman"/>
                <w:b/>
                <w:lang w:eastAsia="pl-PL"/>
              </w:rPr>
              <w:t>Rekomendowane rozwiązanie, w tym planowane narzędzia interwencji, i oczekiwany efekt</w:t>
            </w:r>
          </w:p>
        </w:tc>
      </w:tr>
      <w:tr w:rsidR="007A0164" w:rsidRPr="00F11F3B" w14:paraId="589D8665" w14:textId="77777777" w:rsidTr="00484B45">
        <w:trPr>
          <w:trHeight w:val="142"/>
        </w:trPr>
        <w:tc>
          <w:tcPr>
            <w:tcW w:w="10985" w:type="dxa"/>
            <w:gridSpan w:val="30"/>
            <w:shd w:val="clear" w:color="auto" w:fill="auto"/>
          </w:tcPr>
          <w:p w14:paraId="107FC68F" w14:textId="10F126CE" w:rsidR="0066434E" w:rsidRDefault="000D3D48" w:rsidP="000F7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1F3B">
              <w:rPr>
                <w:rFonts w:ascii="Times New Roman" w:hAnsi="Times New Roman" w:cs="Times New Roman"/>
              </w:rPr>
              <w:t xml:space="preserve">Proponuje się </w:t>
            </w:r>
            <w:r w:rsidR="000F7433" w:rsidRPr="00F11F3B">
              <w:rPr>
                <w:rFonts w:ascii="Times New Roman" w:hAnsi="Times New Roman" w:cs="Times New Roman"/>
              </w:rPr>
              <w:t xml:space="preserve">rozszerzenie </w:t>
            </w:r>
            <w:r w:rsidRPr="00F11F3B">
              <w:rPr>
                <w:rFonts w:ascii="Times New Roman" w:hAnsi="Times New Roman" w:cs="Times New Roman"/>
              </w:rPr>
              <w:t xml:space="preserve">zakresu sprawozdawczości kwartalnej i rocznej zakładów ubezpieczeń wykonujących działalność ubezpieczeniową w zakresie </w:t>
            </w:r>
            <w:r w:rsidR="007763F3" w:rsidRPr="00F11F3B">
              <w:rPr>
                <w:rFonts w:ascii="Times New Roman" w:hAnsi="Times New Roman" w:cs="Times New Roman"/>
              </w:rPr>
              <w:t xml:space="preserve">działu I </w:t>
            </w:r>
            <w:r w:rsidR="000F7433" w:rsidRPr="00F11F3B">
              <w:rPr>
                <w:rFonts w:ascii="Times New Roman" w:hAnsi="Times New Roman" w:cs="Times New Roman"/>
              </w:rPr>
              <w:t xml:space="preserve">określonego w </w:t>
            </w:r>
            <w:r w:rsidR="007763F3" w:rsidRPr="00F11F3B">
              <w:rPr>
                <w:rFonts w:ascii="Times New Roman" w:hAnsi="Times New Roman" w:cs="Times New Roman"/>
              </w:rPr>
              <w:t>załącznik</w:t>
            </w:r>
            <w:r w:rsidR="000F7433" w:rsidRPr="00F11F3B">
              <w:rPr>
                <w:rFonts w:ascii="Times New Roman" w:hAnsi="Times New Roman" w:cs="Times New Roman"/>
              </w:rPr>
              <w:t xml:space="preserve">u </w:t>
            </w:r>
            <w:r w:rsidR="007763F3" w:rsidRPr="00F11F3B">
              <w:rPr>
                <w:rFonts w:ascii="Times New Roman" w:hAnsi="Times New Roman" w:cs="Times New Roman"/>
              </w:rPr>
              <w:t xml:space="preserve">do ustawy (ubezpieczenia na życie), zakładów ubezpieczeń działu II </w:t>
            </w:r>
            <w:r w:rsidR="000F7433" w:rsidRPr="00F11F3B">
              <w:rPr>
                <w:rFonts w:ascii="Times New Roman" w:hAnsi="Times New Roman" w:cs="Times New Roman"/>
              </w:rPr>
              <w:t xml:space="preserve">określonego w </w:t>
            </w:r>
            <w:r w:rsidR="007763F3" w:rsidRPr="00F11F3B">
              <w:rPr>
                <w:rFonts w:ascii="Times New Roman" w:hAnsi="Times New Roman" w:cs="Times New Roman"/>
              </w:rPr>
              <w:t>załącznik</w:t>
            </w:r>
            <w:r w:rsidR="000F7433" w:rsidRPr="00F11F3B">
              <w:rPr>
                <w:rFonts w:ascii="Times New Roman" w:hAnsi="Times New Roman" w:cs="Times New Roman"/>
              </w:rPr>
              <w:t>u</w:t>
            </w:r>
            <w:r w:rsidR="007763F3" w:rsidRPr="00F11F3B">
              <w:rPr>
                <w:rFonts w:ascii="Times New Roman" w:hAnsi="Times New Roman" w:cs="Times New Roman"/>
              </w:rPr>
              <w:t xml:space="preserve"> do ustawy (</w:t>
            </w:r>
            <w:r w:rsidRPr="00F11F3B">
              <w:rPr>
                <w:rFonts w:ascii="Times New Roman" w:hAnsi="Times New Roman" w:cs="Times New Roman"/>
              </w:rPr>
              <w:t>pozostał</w:t>
            </w:r>
            <w:r w:rsidR="007763F3" w:rsidRPr="00F11F3B">
              <w:rPr>
                <w:rFonts w:ascii="Times New Roman" w:hAnsi="Times New Roman" w:cs="Times New Roman"/>
              </w:rPr>
              <w:t>e</w:t>
            </w:r>
            <w:r w:rsidRPr="00F11F3B">
              <w:rPr>
                <w:rFonts w:ascii="Times New Roman" w:hAnsi="Times New Roman" w:cs="Times New Roman"/>
              </w:rPr>
              <w:t xml:space="preserve"> ubezpiecze</w:t>
            </w:r>
            <w:r w:rsidR="007763F3" w:rsidRPr="00F11F3B">
              <w:rPr>
                <w:rFonts w:ascii="Times New Roman" w:hAnsi="Times New Roman" w:cs="Times New Roman"/>
              </w:rPr>
              <w:t>nia</w:t>
            </w:r>
            <w:r w:rsidRPr="00F11F3B">
              <w:rPr>
                <w:rFonts w:ascii="Times New Roman" w:hAnsi="Times New Roman" w:cs="Times New Roman"/>
              </w:rPr>
              <w:t xml:space="preserve"> osobow</w:t>
            </w:r>
            <w:r w:rsidR="007763F3" w:rsidRPr="00F11F3B">
              <w:rPr>
                <w:rFonts w:ascii="Times New Roman" w:hAnsi="Times New Roman" w:cs="Times New Roman"/>
              </w:rPr>
              <w:t>e</w:t>
            </w:r>
            <w:r w:rsidRPr="00F11F3B">
              <w:rPr>
                <w:rFonts w:ascii="Times New Roman" w:hAnsi="Times New Roman" w:cs="Times New Roman"/>
              </w:rPr>
              <w:t xml:space="preserve"> i ubezpiecze</w:t>
            </w:r>
            <w:r w:rsidR="007763F3" w:rsidRPr="00F11F3B">
              <w:rPr>
                <w:rFonts w:ascii="Times New Roman" w:hAnsi="Times New Roman" w:cs="Times New Roman"/>
              </w:rPr>
              <w:t>nia</w:t>
            </w:r>
            <w:r w:rsidRPr="00F11F3B">
              <w:rPr>
                <w:rFonts w:ascii="Times New Roman" w:hAnsi="Times New Roman" w:cs="Times New Roman"/>
              </w:rPr>
              <w:t xml:space="preserve"> majątkow</w:t>
            </w:r>
            <w:r w:rsidR="007763F3" w:rsidRPr="00F11F3B">
              <w:rPr>
                <w:rFonts w:ascii="Times New Roman" w:hAnsi="Times New Roman" w:cs="Times New Roman"/>
              </w:rPr>
              <w:t>e)</w:t>
            </w:r>
            <w:r w:rsidRPr="00F11F3B">
              <w:rPr>
                <w:rFonts w:ascii="Times New Roman" w:hAnsi="Times New Roman" w:cs="Times New Roman"/>
              </w:rPr>
              <w:t xml:space="preserve"> </w:t>
            </w:r>
            <w:r w:rsidR="007763F3" w:rsidRPr="00F11F3B">
              <w:rPr>
                <w:rFonts w:ascii="Times New Roman" w:hAnsi="Times New Roman" w:cs="Times New Roman"/>
              </w:rPr>
              <w:t xml:space="preserve">oraz </w:t>
            </w:r>
            <w:r w:rsidRPr="00F11F3B">
              <w:rPr>
                <w:rFonts w:ascii="Times New Roman" w:hAnsi="Times New Roman" w:cs="Times New Roman"/>
              </w:rPr>
              <w:t>zakładów reasekuracji, wykonujących działalność  reasekuracyjną w zakresie reasekuracji ubezpieczeń działu II</w:t>
            </w:r>
            <w:r w:rsidR="0066434E">
              <w:rPr>
                <w:rFonts w:ascii="Times New Roman" w:hAnsi="Times New Roman" w:cs="Times New Roman"/>
              </w:rPr>
              <w:t>.</w:t>
            </w:r>
          </w:p>
          <w:p w14:paraId="1F16C92B" w14:textId="45B8DFB2" w:rsidR="00587B06" w:rsidRPr="00F11F3B" w:rsidRDefault="0066434E" w:rsidP="000F74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zakładów ubezpieczeń działu I rozszerzenie zakresu sprawozdawczości obejmie</w:t>
            </w:r>
            <w:r w:rsidR="00587B06" w:rsidRPr="00F11F3B">
              <w:rPr>
                <w:rFonts w:ascii="Times New Roman" w:hAnsi="Times New Roman" w:cs="Times New Roman"/>
              </w:rPr>
              <w:t>:</w:t>
            </w:r>
          </w:p>
          <w:p w14:paraId="7C17AE2D" w14:textId="180B832F" w:rsidR="000D3D48" w:rsidRPr="0066434E" w:rsidRDefault="00F11F3B" w:rsidP="0066434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434E">
              <w:rPr>
                <w:rFonts w:ascii="Times New Roman" w:hAnsi="Times New Roman" w:cs="Times New Roman"/>
              </w:rPr>
              <w:t>dodanie nowych formularzy sprawozdawczych dotyczących ubezpiecze</w:t>
            </w:r>
            <w:r w:rsidR="0066434E" w:rsidRPr="0066434E">
              <w:rPr>
                <w:rFonts w:ascii="Times New Roman" w:hAnsi="Times New Roman" w:cs="Times New Roman"/>
              </w:rPr>
              <w:t>niowych funduszy kapitałowych</w:t>
            </w:r>
            <w:r w:rsidR="0066434E">
              <w:rPr>
                <w:rFonts w:ascii="Times New Roman" w:hAnsi="Times New Roman" w:cs="Times New Roman"/>
              </w:rPr>
              <w:t xml:space="preserve"> </w:t>
            </w:r>
            <w:r w:rsidRPr="0066434E">
              <w:rPr>
                <w:rFonts w:ascii="Times New Roman" w:hAnsi="Times New Roman" w:cs="Times New Roman"/>
              </w:rPr>
              <w:t>(UFK),</w:t>
            </w:r>
          </w:p>
          <w:p w14:paraId="59F1779F" w14:textId="0D81DDB3" w:rsidR="00860A75" w:rsidRPr="00F11F3B" w:rsidRDefault="00860A75" w:rsidP="00F11F3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1F3B">
              <w:rPr>
                <w:rFonts w:ascii="Times New Roman" w:hAnsi="Times New Roman" w:cs="Times New Roman"/>
              </w:rPr>
              <w:t>dodanie nowych formularzy sprawozdawczych dotyczących</w:t>
            </w:r>
            <w:r>
              <w:rPr>
                <w:rFonts w:ascii="Times New Roman" w:hAnsi="Times New Roman" w:cs="Times New Roman"/>
              </w:rPr>
              <w:t xml:space="preserve"> umów ubezpieczenia z </w:t>
            </w:r>
            <w:r w:rsidR="0066434E">
              <w:rPr>
                <w:rFonts w:ascii="Times New Roman" w:hAnsi="Times New Roman" w:cs="Times New Roman"/>
              </w:rPr>
              <w:t>UFK,</w:t>
            </w:r>
          </w:p>
          <w:p w14:paraId="1A9DF1B1" w14:textId="3C2F3A4A" w:rsidR="00F11F3B" w:rsidRPr="00F11F3B" w:rsidRDefault="00F11F3B" w:rsidP="00F11F3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1F3B">
              <w:rPr>
                <w:rFonts w:ascii="Times New Roman" w:hAnsi="Times New Roman" w:cs="Times New Roman"/>
              </w:rPr>
              <w:t>rozszerzenie zakresu danych dotyczących skarg na działalność zakładu,</w:t>
            </w:r>
          </w:p>
          <w:p w14:paraId="1C02E94C" w14:textId="242C579F" w:rsidR="00F11F3B" w:rsidRPr="00F11F3B" w:rsidRDefault="00995AC9" w:rsidP="00F11F3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rozszerzenie</w:t>
            </w:r>
            <w:r w:rsidR="00F11F3B" w:rsidRPr="00F11F3B">
              <w:rPr>
                <w:rFonts w:ascii="Times New Roman" w:hAnsi="Times New Roman" w:cs="Times New Roman"/>
              </w:rPr>
              <w:t xml:space="preserve"> zakresu danych dotyczących sprzedaży ubezpieczeń,</w:t>
            </w:r>
          </w:p>
          <w:p w14:paraId="36BCDAFE" w14:textId="34436F0E" w:rsidR="00F11F3B" w:rsidRPr="00F11F3B" w:rsidRDefault="00F11F3B" w:rsidP="00F11F3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1F3B">
              <w:rPr>
                <w:rFonts w:ascii="Times New Roman" w:hAnsi="Times New Roman" w:cs="Times New Roman"/>
              </w:rPr>
              <w:t>raportowanie danych dotyczących zawartych i rozwiązanych umów  ubezpieczenia w okresie sprawozdawczym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9787EBD" w14:textId="73240048" w:rsidR="0066434E" w:rsidRPr="00F11F3B" w:rsidRDefault="0066434E" w:rsidP="006643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zakładów ubezpieczeń działu I</w:t>
            </w:r>
            <w:r w:rsidR="00C3361F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rozszerzenie zakresu sprawozdawczości obejmie</w:t>
            </w:r>
            <w:r w:rsidRPr="00F11F3B">
              <w:rPr>
                <w:rFonts w:ascii="Times New Roman" w:hAnsi="Times New Roman" w:cs="Times New Roman"/>
              </w:rPr>
              <w:t>:</w:t>
            </w:r>
          </w:p>
          <w:p w14:paraId="1DA7F937" w14:textId="77777777" w:rsidR="0066434E" w:rsidRPr="00F11F3B" w:rsidRDefault="0066434E" w:rsidP="0066434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1F3B">
              <w:rPr>
                <w:rFonts w:ascii="Times New Roman" w:hAnsi="Times New Roman" w:cs="Times New Roman"/>
              </w:rPr>
              <w:t>rozszerzenie zakresu danych dotyczących skarg na działalność zakładu,</w:t>
            </w:r>
          </w:p>
          <w:p w14:paraId="50106C26" w14:textId="734A4378" w:rsidR="0066434E" w:rsidRPr="00F11F3B" w:rsidRDefault="00995AC9" w:rsidP="0066434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rozszerzenie</w:t>
            </w:r>
            <w:r w:rsidR="0066434E" w:rsidRPr="00F11F3B">
              <w:rPr>
                <w:rFonts w:ascii="Times New Roman" w:hAnsi="Times New Roman" w:cs="Times New Roman"/>
              </w:rPr>
              <w:t xml:space="preserve"> zakresu danych dotyczących sprzedaży ubezpieczeń,</w:t>
            </w:r>
          </w:p>
          <w:p w14:paraId="0B055EB0" w14:textId="65460457" w:rsidR="00F11F3B" w:rsidRPr="00F11F3B" w:rsidRDefault="00995AC9" w:rsidP="00F11F3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rozszerzenie</w:t>
            </w:r>
            <w:r w:rsidR="00F11F3B" w:rsidRPr="00F11F3B">
              <w:rPr>
                <w:rFonts w:ascii="Times New Roman" w:hAnsi="Times New Roman" w:cs="Times New Roman"/>
              </w:rPr>
              <w:t> zakresu raportowanych danych dotyczących ubezpieczeń OC posiadaczy pojazdów mechanicznych,</w:t>
            </w:r>
          </w:p>
          <w:p w14:paraId="680E2EEC" w14:textId="54274762" w:rsidR="00F11F3B" w:rsidRPr="00F11F3B" w:rsidRDefault="00F11F3B" w:rsidP="00F11F3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1F3B">
              <w:rPr>
                <w:rFonts w:ascii="Times New Roman" w:hAnsi="Times New Roman" w:cs="Times New Roman"/>
              </w:rPr>
              <w:t>raportowanie danych o wykonywanej przez zakład ubezpieczeń reasekuracji biernej,</w:t>
            </w:r>
            <w:r w:rsidR="00796DD9">
              <w:rPr>
                <w:rFonts w:ascii="Times New Roman" w:hAnsi="Times New Roman" w:cs="Times New Roman"/>
              </w:rPr>
              <w:t xml:space="preserve"> </w:t>
            </w:r>
          </w:p>
          <w:p w14:paraId="3CB74C09" w14:textId="7CFC2F63" w:rsidR="00864ABC" w:rsidRPr="00995AC9" w:rsidRDefault="0066434E" w:rsidP="000B13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przypadku zakładów </w:t>
            </w:r>
            <w:r w:rsidR="00C3361F">
              <w:rPr>
                <w:rFonts w:ascii="Times New Roman" w:hAnsi="Times New Roman" w:cs="Times New Roman"/>
              </w:rPr>
              <w:t xml:space="preserve">reasekuracji </w:t>
            </w:r>
            <w:r>
              <w:rPr>
                <w:rFonts w:ascii="Times New Roman" w:hAnsi="Times New Roman" w:cs="Times New Roman"/>
              </w:rPr>
              <w:t>działu II rozszerzenie zakresu sprawozdawczości obejmie</w:t>
            </w:r>
            <w:r w:rsidR="000B1332">
              <w:rPr>
                <w:rFonts w:ascii="Times New Roman" w:hAnsi="Times New Roman" w:cs="Times New Roman"/>
              </w:rPr>
              <w:t xml:space="preserve"> </w:t>
            </w:r>
            <w:r w:rsidR="00C3361F">
              <w:rPr>
                <w:rFonts w:ascii="Times New Roman" w:hAnsi="Times New Roman" w:cs="Times New Roman"/>
              </w:rPr>
              <w:t>r</w:t>
            </w:r>
            <w:r w:rsidR="00F11F3B" w:rsidRPr="00F11F3B">
              <w:rPr>
                <w:rFonts w:ascii="Times New Roman" w:hAnsi="Times New Roman" w:cs="Times New Roman"/>
              </w:rPr>
              <w:t>aportowanie danych o wykonywanej przez zakład reasekuracji retrocesji  biernej.</w:t>
            </w:r>
          </w:p>
          <w:p w14:paraId="3BC87222" w14:textId="4D8E7D0C" w:rsidR="00CA4912" w:rsidRDefault="00CA4912" w:rsidP="00F11F3B">
            <w:pPr>
              <w:pStyle w:val="Tekstpodstawowy4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  <w:r w:rsidRPr="00CA4912">
              <w:rPr>
                <w:sz w:val="22"/>
                <w:szCs w:val="22"/>
              </w:rPr>
              <w:t xml:space="preserve">Powyższe zmiany </w:t>
            </w:r>
            <w:r w:rsidR="00F11F3B" w:rsidRPr="00CA4912">
              <w:rPr>
                <w:sz w:val="22"/>
                <w:szCs w:val="22"/>
              </w:rPr>
              <w:t xml:space="preserve"> </w:t>
            </w:r>
            <w:r w:rsidRPr="00CA4912">
              <w:rPr>
                <w:sz w:val="22"/>
                <w:szCs w:val="22"/>
              </w:rPr>
              <w:t>umożliwią  Komisji Nadzoru Finansowego umożliwią</w:t>
            </w:r>
            <w:r w:rsidR="00864AB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na bazie </w:t>
            </w:r>
            <w:r w:rsidR="005923C7">
              <w:rPr>
                <w:sz w:val="22"/>
                <w:szCs w:val="22"/>
              </w:rPr>
              <w:t>cyklicznych danych</w:t>
            </w:r>
            <w:r w:rsidR="00864ABC">
              <w:rPr>
                <w:sz w:val="22"/>
                <w:szCs w:val="22"/>
              </w:rPr>
              <w:t xml:space="preserve">,  </w:t>
            </w:r>
            <w:r w:rsidRPr="00CA4912">
              <w:rPr>
                <w:sz w:val="22"/>
                <w:szCs w:val="22"/>
              </w:rPr>
              <w:t>m. in. monitoring</w:t>
            </w:r>
            <w:r w:rsidR="005923C7">
              <w:rPr>
                <w:sz w:val="22"/>
                <w:szCs w:val="22"/>
              </w:rPr>
              <w:t xml:space="preserve"> i analizę</w:t>
            </w:r>
            <w:r>
              <w:rPr>
                <w:sz w:val="22"/>
                <w:szCs w:val="22"/>
              </w:rPr>
              <w:t>:</w:t>
            </w:r>
          </w:p>
          <w:p w14:paraId="0885DBF1" w14:textId="6C58BC47" w:rsidR="00F11F3B" w:rsidRPr="00793DCA" w:rsidRDefault="00F11F3B" w:rsidP="00CA4912">
            <w:pPr>
              <w:pStyle w:val="Tekstpodstawowy4"/>
              <w:numPr>
                <w:ilvl w:val="0"/>
                <w:numId w:val="15"/>
              </w:numPr>
              <w:shd w:val="clear" w:color="auto" w:fill="auto"/>
              <w:spacing w:after="0" w:line="280" w:lineRule="exact"/>
              <w:jc w:val="both"/>
              <w:rPr>
                <w:sz w:val="22"/>
                <w:szCs w:val="22"/>
              </w:rPr>
            </w:pPr>
            <w:r w:rsidRPr="00793DCA">
              <w:rPr>
                <w:sz w:val="22"/>
                <w:szCs w:val="22"/>
              </w:rPr>
              <w:t xml:space="preserve">umów ubezpieczenia na życie z UFK, w tym </w:t>
            </w:r>
            <w:r w:rsidR="00CA4912" w:rsidRPr="00793DCA">
              <w:rPr>
                <w:sz w:val="22"/>
                <w:szCs w:val="22"/>
              </w:rPr>
              <w:t xml:space="preserve">bieżące </w:t>
            </w:r>
            <w:r w:rsidRPr="00793DCA">
              <w:rPr>
                <w:sz w:val="22"/>
                <w:szCs w:val="22"/>
              </w:rPr>
              <w:t>identyfikowani</w:t>
            </w:r>
            <w:r w:rsidR="00CA4912" w:rsidRPr="00793DCA">
              <w:rPr>
                <w:sz w:val="22"/>
                <w:szCs w:val="22"/>
              </w:rPr>
              <w:t>e</w:t>
            </w:r>
            <w:r w:rsidRPr="00793DCA">
              <w:rPr>
                <w:sz w:val="22"/>
                <w:szCs w:val="22"/>
              </w:rPr>
              <w:t xml:space="preserve"> zjawiska</w:t>
            </w:r>
            <w:r w:rsidR="00793DCA" w:rsidRPr="00793DCA">
              <w:rPr>
                <w:sz w:val="22"/>
                <w:szCs w:val="22"/>
              </w:rPr>
              <w:t xml:space="preserve"> o nieuczciwej promocji i sprzedaży produktów ubezpieczeniowych (</w:t>
            </w:r>
            <w:r w:rsidR="00CA4912" w:rsidRPr="00793DCA">
              <w:rPr>
                <w:sz w:val="22"/>
                <w:szCs w:val="22"/>
              </w:rPr>
              <w:t>tzw. „misselingu”</w:t>
            </w:r>
            <w:r w:rsidR="00793DCA" w:rsidRPr="00793DCA">
              <w:rPr>
                <w:sz w:val="22"/>
                <w:szCs w:val="22"/>
              </w:rPr>
              <w:t>)</w:t>
            </w:r>
            <w:r w:rsidR="00CA4912" w:rsidRPr="00793DCA">
              <w:rPr>
                <w:sz w:val="22"/>
                <w:szCs w:val="22"/>
              </w:rPr>
              <w:t xml:space="preserve">, </w:t>
            </w:r>
          </w:p>
          <w:p w14:paraId="12536413" w14:textId="586A5E76" w:rsidR="00F11F3B" w:rsidRPr="00793DCA" w:rsidRDefault="00F11F3B" w:rsidP="00CA4912">
            <w:pPr>
              <w:pStyle w:val="Tekstpodstawowy4"/>
              <w:numPr>
                <w:ilvl w:val="0"/>
                <w:numId w:val="15"/>
              </w:numPr>
              <w:shd w:val="clear" w:color="auto" w:fill="auto"/>
              <w:spacing w:after="0" w:line="280" w:lineRule="exact"/>
              <w:jc w:val="both"/>
              <w:rPr>
                <w:sz w:val="22"/>
                <w:szCs w:val="22"/>
              </w:rPr>
            </w:pPr>
            <w:r w:rsidRPr="00793DCA">
              <w:rPr>
                <w:sz w:val="22"/>
                <w:szCs w:val="22"/>
              </w:rPr>
              <w:t xml:space="preserve">rentowności </w:t>
            </w:r>
            <w:r w:rsidR="005923C7" w:rsidRPr="00793DCA">
              <w:rPr>
                <w:sz w:val="22"/>
                <w:szCs w:val="22"/>
              </w:rPr>
              <w:t xml:space="preserve">poszczególnych ubezpieczeń </w:t>
            </w:r>
            <w:r w:rsidRPr="00793DCA">
              <w:rPr>
                <w:sz w:val="22"/>
                <w:szCs w:val="22"/>
              </w:rPr>
              <w:t>oraz wskaźników rezygnacji z umów ubezpieczenia</w:t>
            </w:r>
            <w:r w:rsidR="005923C7" w:rsidRPr="00793DCA">
              <w:rPr>
                <w:sz w:val="22"/>
                <w:szCs w:val="22"/>
              </w:rPr>
              <w:t>,</w:t>
            </w:r>
          </w:p>
          <w:p w14:paraId="2432F73C" w14:textId="4B46F599" w:rsidR="00F11F3B" w:rsidRPr="00793DCA" w:rsidRDefault="00F11F3B" w:rsidP="005923C7">
            <w:pPr>
              <w:pStyle w:val="Tekstpodstawowy4"/>
              <w:numPr>
                <w:ilvl w:val="0"/>
                <w:numId w:val="15"/>
              </w:numPr>
              <w:shd w:val="clear" w:color="auto" w:fill="auto"/>
              <w:spacing w:after="0" w:line="280" w:lineRule="exact"/>
              <w:jc w:val="both"/>
              <w:rPr>
                <w:sz w:val="22"/>
                <w:szCs w:val="22"/>
              </w:rPr>
            </w:pPr>
            <w:r w:rsidRPr="00793DCA">
              <w:rPr>
                <w:sz w:val="22"/>
                <w:szCs w:val="22"/>
              </w:rPr>
              <w:t>struktur</w:t>
            </w:r>
            <w:r w:rsidR="005923C7" w:rsidRPr="00793DCA">
              <w:rPr>
                <w:sz w:val="22"/>
                <w:szCs w:val="22"/>
              </w:rPr>
              <w:t>y</w:t>
            </w:r>
            <w:r w:rsidRPr="00793DCA">
              <w:rPr>
                <w:sz w:val="22"/>
                <w:szCs w:val="22"/>
              </w:rPr>
              <w:t xml:space="preserve"> portfeli ubezpieczeń</w:t>
            </w:r>
            <w:r w:rsidR="005923C7" w:rsidRPr="00793DCA">
              <w:rPr>
                <w:sz w:val="22"/>
                <w:szCs w:val="22"/>
              </w:rPr>
              <w:t>,</w:t>
            </w:r>
          </w:p>
          <w:p w14:paraId="7C48D35B" w14:textId="26799157" w:rsidR="005923C7" w:rsidRPr="00793DCA" w:rsidRDefault="005923C7" w:rsidP="005923C7">
            <w:pPr>
              <w:pStyle w:val="Tekstpodstawowy4"/>
              <w:numPr>
                <w:ilvl w:val="0"/>
                <w:numId w:val="15"/>
              </w:numPr>
              <w:shd w:val="clear" w:color="auto" w:fill="auto"/>
              <w:spacing w:after="0" w:line="280" w:lineRule="exact"/>
              <w:jc w:val="both"/>
              <w:rPr>
                <w:sz w:val="22"/>
                <w:szCs w:val="22"/>
              </w:rPr>
            </w:pPr>
            <w:r w:rsidRPr="00793DCA">
              <w:rPr>
                <w:sz w:val="22"/>
                <w:szCs w:val="22"/>
              </w:rPr>
              <w:t xml:space="preserve">tendencji w zakresie opracowywania i oferowania ubezpieczeń, </w:t>
            </w:r>
          </w:p>
          <w:p w14:paraId="00B17EB1" w14:textId="19965775" w:rsidR="00F11F3B" w:rsidRPr="00793DCA" w:rsidRDefault="00F11F3B" w:rsidP="005923C7">
            <w:pPr>
              <w:pStyle w:val="Tekstpodstawowy4"/>
              <w:numPr>
                <w:ilvl w:val="0"/>
                <w:numId w:val="15"/>
              </w:numPr>
              <w:shd w:val="clear" w:color="auto" w:fill="auto"/>
              <w:spacing w:after="0" w:line="280" w:lineRule="exact"/>
              <w:jc w:val="both"/>
              <w:rPr>
                <w:sz w:val="22"/>
                <w:szCs w:val="22"/>
              </w:rPr>
            </w:pPr>
            <w:r w:rsidRPr="00793DCA">
              <w:rPr>
                <w:sz w:val="22"/>
                <w:szCs w:val="22"/>
              </w:rPr>
              <w:t>ubezpieczeń OC posiadaczy pojazdów mechanicznych,</w:t>
            </w:r>
          </w:p>
          <w:p w14:paraId="151EC5F8" w14:textId="7D6DF54B" w:rsidR="00F11F3B" w:rsidRPr="00864ABC" w:rsidRDefault="00F11F3B" w:rsidP="00864ABC">
            <w:pPr>
              <w:pStyle w:val="Tekstpodstawowy4"/>
              <w:numPr>
                <w:ilvl w:val="0"/>
                <w:numId w:val="15"/>
              </w:numPr>
              <w:shd w:val="clear" w:color="auto" w:fill="auto"/>
              <w:spacing w:after="0" w:line="280" w:lineRule="exact"/>
              <w:jc w:val="both"/>
              <w:rPr>
                <w:sz w:val="22"/>
                <w:szCs w:val="22"/>
              </w:rPr>
            </w:pPr>
            <w:r w:rsidRPr="00793DCA">
              <w:rPr>
                <w:sz w:val="22"/>
                <w:szCs w:val="22"/>
              </w:rPr>
              <w:t>reasekuracji biernej i retrocesji biernej.</w:t>
            </w:r>
          </w:p>
        </w:tc>
      </w:tr>
      <w:tr w:rsidR="007A0164" w:rsidRPr="004A4DFC" w14:paraId="7877B0BC" w14:textId="77777777" w:rsidTr="00484B45">
        <w:trPr>
          <w:trHeight w:val="307"/>
        </w:trPr>
        <w:tc>
          <w:tcPr>
            <w:tcW w:w="10985" w:type="dxa"/>
            <w:gridSpan w:val="30"/>
            <w:shd w:val="clear" w:color="auto" w:fill="99CCFF"/>
            <w:vAlign w:val="center"/>
          </w:tcPr>
          <w:p w14:paraId="2E39BF96" w14:textId="77777777" w:rsidR="007A0164" w:rsidRPr="00F12F3B" w:rsidRDefault="00CD3BA5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 xml:space="preserve">3. </w:t>
            </w:r>
            <w:r w:rsidR="007A0164"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Jak problem został rozwiązany w innych krajach, w szczególności krajach członkowskich OECD/UE? </w:t>
            </w:r>
          </w:p>
        </w:tc>
      </w:tr>
      <w:tr w:rsidR="007A0164" w:rsidRPr="007A0164" w14:paraId="5763D962" w14:textId="77777777" w:rsidTr="00484B45">
        <w:trPr>
          <w:trHeight w:val="142"/>
        </w:trPr>
        <w:tc>
          <w:tcPr>
            <w:tcW w:w="10985" w:type="dxa"/>
            <w:gridSpan w:val="30"/>
            <w:shd w:val="clear" w:color="auto" w:fill="auto"/>
          </w:tcPr>
          <w:p w14:paraId="22C414EF" w14:textId="7E68432A" w:rsidR="000F7433" w:rsidRPr="007763F3" w:rsidRDefault="000F7433" w:rsidP="00055BA1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Proponowane zmiany </w:t>
            </w:r>
            <w:r w:rsidR="00080BE7" w:rsidRPr="007763F3">
              <w:rPr>
                <w:rFonts w:ascii="Times New Roman" w:eastAsia="Times New Roman" w:hAnsi="Times New Roman" w:cs="Times New Roman"/>
                <w:lang w:eastAsia="pl-PL"/>
              </w:rPr>
              <w:t>nie podlega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ją </w:t>
            </w:r>
            <w:r w:rsidR="00080BE7" w:rsidRPr="007763F3">
              <w:rPr>
                <w:rFonts w:ascii="Times New Roman" w:eastAsia="Times New Roman" w:hAnsi="Times New Roman" w:cs="Times New Roman"/>
                <w:lang w:eastAsia="pl-PL"/>
              </w:rPr>
              <w:t xml:space="preserve">harmonizacji w Unii Europejskiej. </w:t>
            </w:r>
          </w:p>
        </w:tc>
      </w:tr>
      <w:tr w:rsidR="007A0164" w:rsidRPr="004A4DFC" w14:paraId="4736F967" w14:textId="77777777" w:rsidTr="00484B45">
        <w:trPr>
          <w:trHeight w:val="359"/>
        </w:trPr>
        <w:tc>
          <w:tcPr>
            <w:tcW w:w="10985" w:type="dxa"/>
            <w:gridSpan w:val="30"/>
            <w:shd w:val="clear" w:color="auto" w:fill="99CCFF"/>
            <w:vAlign w:val="center"/>
          </w:tcPr>
          <w:p w14:paraId="2C976629" w14:textId="77777777" w:rsidR="007A0164" w:rsidRPr="00F12F3B" w:rsidRDefault="00CD3BA5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4. </w:t>
            </w:r>
            <w:r w:rsidR="007A0164"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Podmioty, na które oddziałuje projekt</w:t>
            </w:r>
          </w:p>
        </w:tc>
      </w:tr>
      <w:tr w:rsidR="007A0164" w:rsidRPr="007A0164" w14:paraId="256B20EF" w14:textId="77777777" w:rsidTr="0066434E">
        <w:trPr>
          <w:trHeight w:val="327"/>
        </w:trPr>
        <w:tc>
          <w:tcPr>
            <w:tcW w:w="2527" w:type="dxa"/>
            <w:gridSpan w:val="3"/>
            <w:shd w:val="clear" w:color="auto" w:fill="auto"/>
          </w:tcPr>
          <w:p w14:paraId="230ABB56" w14:textId="51CB5BEB" w:rsidR="007A0164" w:rsidRPr="007763F3" w:rsidRDefault="007A0164" w:rsidP="004B63BE">
            <w:pPr>
              <w:tabs>
                <w:tab w:val="right" w:pos="2311"/>
              </w:tabs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763F3">
              <w:rPr>
                <w:rFonts w:ascii="Times New Roman" w:eastAsia="Times New Roman" w:hAnsi="Times New Roman" w:cs="Times New Roman"/>
                <w:lang w:eastAsia="pl-PL"/>
              </w:rPr>
              <w:t>Grupa</w:t>
            </w:r>
            <w:r w:rsidR="004B63BE" w:rsidRPr="007763F3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  <w:tc>
          <w:tcPr>
            <w:tcW w:w="2788" w:type="dxa"/>
            <w:gridSpan w:val="9"/>
            <w:shd w:val="clear" w:color="auto" w:fill="auto"/>
          </w:tcPr>
          <w:p w14:paraId="01922310" w14:textId="77777777" w:rsidR="007A0164" w:rsidRPr="007763F3" w:rsidRDefault="007A0164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763F3">
              <w:rPr>
                <w:rFonts w:ascii="Times New Roman" w:eastAsia="Times New Roman" w:hAnsi="Times New Roman" w:cs="Times New Roman"/>
                <w:lang w:eastAsia="pl-PL"/>
              </w:rPr>
              <w:t>Wielkość</w:t>
            </w:r>
          </w:p>
          <w:p w14:paraId="259959AE" w14:textId="07122056" w:rsidR="004B63BE" w:rsidRPr="007763F3" w:rsidRDefault="004B63BE" w:rsidP="004B63B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14:paraId="383E86F6" w14:textId="77777777" w:rsidR="007A0164" w:rsidRPr="007763F3" w:rsidRDefault="007A0164" w:rsidP="007A0164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763F3">
              <w:rPr>
                <w:rFonts w:ascii="Times New Roman" w:eastAsia="Times New Roman" w:hAnsi="Times New Roman" w:cs="Times New Roman"/>
                <w:lang w:eastAsia="pl-PL"/>
              </w:rPr>
              <w:t>Źródło danych</w:t>
            </w:r>
            <w:r w:rsidRPr="007763F3" w:rsidDel="00260F3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969" w:type="dxa"/>
            <w:gridSpan w:val="11"/>
            <w:shd w:val="clear" w:color="auto" w:fill="auto"/>
          </w:tcPr>
          <w:p w14:paraId="51CC4B21" w14:textId="77777777" w:rsidR="007A0164" w:rsidRPr="007763F3" w:rsidRDefault="007A0164" w:rsidP="00067A4A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763F3">
              <w:rPr>
                <w:rFonts w:ascii="Times New Roman" w:eastAsia="Times New Roman" w:hAnsi="Times New Roman" w:cs="Times New Roman"/>
                <w:lang w:eastAsia="pl-PL"/>
              </w:rPr>
              <w:t>Oddziaływanie</w:t>
            </w:r>
          </w:p>
        </w:tc>
      </w:tr>
      <w:tr w:rsidR="00F424CA" w:rsidRPr="007A0164" w14:paraId="4D3655E2" w14:textId="77777777" w:rsidTr="00104DA8">
        <w:trPr>
          <w:trHeight w:val="1258"/>
        </w:trPr>
        <w:tc>
          <w:tcPr>
            <w:tcW w:w="2527" w:type="dxa"/>
            <w:gridSpan w:val="3"/>
            <w:shd w:val="clear" w:color="auto" w:fill="auto"/>
          </w:tcPr>
          <w:p w14:paraId="61809B4B" w14:textId="54895B8F" w:rsidR="00F424CA" w:rsidRPr="00587B06" w:rsidRDefault="00F424CA" w:rsidP="00920938">
            <w:pPr>
              <w:tabs>
                <w:tab w:val="right" w:pos="2311"/>
              </w:tabs>
              <w:spacing w:after="0" w:line="280" w:lineRule="atLeast"/>
              <w:rPr>
                <w:rFonts w:ascii="Times New Roman" w:eastAsia="Times New Roman" w:hAnsi="Times New Roman" w:cs="Arial"/>
                <w:lang w:eastAsia="pl-PL"/>
              </w:rPr>
            </w:pPr>
            <w:r w:rsidRPr="007763F3">
              <w:rPr>
                <w:rFonts w:ascii="Times New Roman" w:eastAsia="Times New Roman" w:hAnsi="Times New Roman" w:cs="Arial"/>
                <w:lang w:eastAsia="pl-PL"/>
              </w:rPr>
              <w:t>Krajow</w:t>
            </w:r>
            <w:r w:rsidR="00BC59EA" w:rsidRPr="007763F3">
              <w:rPr>
                <w:rFonts w:ascii="Times New Roman" w:eastAsia="Times New Roman" w:hAnsi="Times New Roman" w:cs="Arial"/>
                <w:lang w:eastAsia="pl-PL"/>
              </w:rPr>
              <w:t>e</w:t>
            </w:r>
            <w:r w:rsidR="00104DA8">
              <w:rPr>
                <w:rFonts w:ascii="Times New Roman" w:eastAsia="Times New Roman" w:hAnsi="Times New Roman" w:cs="Arial"/>
                <w:lang w:eastAsia="pl-PL"/>
              </w:rPr>
              <w:t xml:space="preserve"> </w:t>
            </w:r>
            <w:r w:rsidRPr="007763F3">
              <w:rPr>
                <w:rFonts w:ascii="Times New Roman" w:eastAsia="Times New Roman" w:hAnsi="Times New Roman" w:cs="Arial"/>
                <w:lang w:eastAsia="pl-PL"/>
              </w:rPr>
              <w:t>zakład</w:t>
            </w:r>
            <w:r w:rsidR="00867AD5" w:rsidRPr="007763F3">
              <w:rPr>
                <w:rFonts w:ascii="Times New Roman" w:eastAsia="Times New Roman" w:hAnsi="Times New Roman" w:cs="Arial"/>
                <w:lang w:eastAsia="pl-PL"/>
              </w:rPr>
              <w:t>y</w:t>
            </w:r>
            <w:r w:rsidRPr="007763F3">
              <w:rPr>
                <w:rFonts w:ascii="Times New Roman" w:eastAsia="Times New Roman" w:hAnsi="Times New Roman" w:cs="Arial"/>
                <w:lang w:eastAsia="pl-PL"/>
              </w:rPr>
              <w:t xml:space="preserve"> ubezpieczeń</w:t>
            </w:r>
            <w:r w:rsidR="00BC59EA" w:rsidRPr="007763F3">
              <w:rPr>
                <w:rFonts w:ascii="Times New Roman" w:eastAsia="Times New Roman" w:hAnsi="Times New Roman" w:cs="Arial"/>
                <w:lang w:eastAsia="pl-PL"/>
              </w:rPr>
              <w:t xml:space="preserve"> </w:t>
            </w:r>
            <w:r w:rsidR="003906AD" w:rsidRPr="007763F3">
              <w:rPr>
                <w:rFonts w:ascii="Times New Roman" w:hAnsi="Times New Roman" w:cs="Times New Roman"/>
              </w:rPr>
              <w:t xml:space="preserve">dział </w:t>
            </w:r>
            <w:r w:rsidR="00197AE9" w:rsidRPr="007763F3">
              <w:rPr>
                <w:rFonts w:ascii="Times New Roman" w:hAnsi="Times New Roman" w:cs="Times New Roman"/>
              </w:rPr>
              <w:t>I</w:t>
            </w:r>
            <w:r w:rsidR="000F7433">
              <w:rPr>
                <w:rFonts w:ascii="Times New Roman" w:hAnsi="Times New Roman" w:cs="Times New Roman"/>
              </w:rPr>
              <w:t xml:space="preserve"> </w:t>
            </w:r>
            <w:r w:rsidR="00572185" w:rsidRPr="007763F3">
              <w:rPr>
                <w:rFonts w:ascii="Times New Roman" w:hAnsi="Times New Roman"/>
              </w:rPr>
              <w:t>(ubezpieczenia na życie)</w:t>
            </w:r>
          </w:p>
        </w:tc>
        <w:tc>
          <w:tcPr>
            <w:tcW w:w="2788" w:type="dxa"/>
            <w:gridSpan w:val="9"/>
            <w:shd w:val="clear" w:color="auto" w:fill="auto"/>
          </w:tcPr>
          <w:p w14:paraId="7CF2978F" w14:textId="063285F0" w:rsidR="00F424CA" w:rsidRDefault="00A02221" w:rsidP="00864A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3F3">
              <w:rPr>
                <w:rFonts w:ascii="Times New Roman" w:hAnsi="Times New Roman"/>
              </w:rPr>
              <w:t>2</w:t>
            </w:r>
            <w:r w:rsidR="007A49DF" w:rsidRPr="007763F3">
              <w:rPr>
                <w:rFonts w:ascii="Times New Roman" w:hAnsi="Times New Roman"/>
              </w:rPr>
              <w:t xml:space="preserve">7 </w:t>
            </w:r>
            <w:r w:rsidRPr="007763F3">
              <w:rPr>
                <w:rFonts w:ascii="Times New Roman" w:hAnsi="Times New Roman"/>
              </w:rPr>
              <w:t xml:space="preserve">zakładów ubezpieczeń </w:t>
            </w:r>
          </w:p>
          <w:p w14:paraId="1DD28808" w14:textId="2CD46C8F" w:rsidR="00587B06" w:rsidRPr="007763F3" w:rsidRDefault="00587B06" w:rsidP="00864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/>
              </w:rPr>
              <w:t xml:space="preserve">Stan na </w:t>
            </w:r>
            <w:r w:rsidR="00A8360A">
              <w:rPr>
                <w:rFonts w:ascii="Times New Roman" w:hAnsi="Times New Roman"/>
              </w:rPr>
              <w:t>31  grudnia</w:t>
            </w:r>
            <w:r w:rsidR="00104D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202</w:t>
            </w:r>
            <w:r w:rsidR="00283A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r. </w:t>
            </w:r>
          </w:p>
        </w:tc>
        <w:tc>
          <w:tcPr>
            <w:tcW w:w="1701" w:type="dxa"/>
            <w:gridSpan w:val="7"/>
            <w:shd w:val="clear" w:color="auto" w:fill="auto"/>
          </w:tcPr>
          <w:p w14:paraId="1F5667BA" w14:textId="1A042B52" w:rsidR="00104DA8" w:rsidRDefault="009548B3" w:rsidP="00A02221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" w:history="1">
              <w:r w:rsidR="00104DA8" w:rsidRPr="00A373AA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www.knf.gov.pl</w:t>
              </w:r>
            </w:hyperlink>
          </w:p>
          <w:p w14:paraId="30B95115" w14:textId="6931AAC8" w:rsidR="00F424CA" w:rsidRPr="007763F3" w:rsidRDefault="00A02221" w:rsidP="00C3361F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763F3">
              <w:rPr>
                <w:rFonts w:ascii="Times New Roman" w:hAnsi="Times New Roman"/>
                <w:color w:val="000000"/>
                <w:spacing w:val="-2"/>
              </w:rPr>
              <w:t xml:space="preserve">„Biuletyn kwartalny. Rynek Ubezpieczeń </w:t>
            </w:r>
            <w:r w:rsidR="00A8360A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Pr="007763F3">
              <w:rPr>
                <w:rFonts w:ascii="Times New Roman" w:hAnsi="Times New Roman"/>
                <w:color w:val="000000"/>
                <w:spacing w:val="-2"/>
              </w:rPr>
              <w:t>/2020.”</w:t>
            </w:r>
          </w:p>
        </w:tc>
        <w:tc>
          <w:tcPr>
            <w:tcW w:w="3969" w:type="dxa"/>
            <w:gridSpan w:val="11"/>
            <w:shd w:val="clear" w:color="auto" w:fill="auto"/>
          </w:tcPr>
          <w:p w14:paraId="3CCF2F27" w14:textId="3B0392FF" w:rsidR="00BC59EA" w:rsidRPr="007763F3" w:rsidRDefault="00F11F3B" w:rsidP="00864ABC">
            <w:pPr>
              <w:pStyle w:val="Tekstpodstawowy4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BC59EA" w:rsidRPr="007763F3">
              <w:rPr>
                <w:sz w:val="22"/>
                <w:szCs w:val="22"/>
              </w:rPr>
              <w:t>ozszerzenie obowiązków sprawozdawczych </w:t>
            </w:r>
          </w:p>
          <w:p w14:paraId="7BCDF8F7" w14:textId="464A0373" w:rsidR="00BC59EA" w:rsidRPr="007763F3" w:rsidRDefault="00BC59EA" w:rsidP="00222A51">
            <w:pPr>
              <w:pStyle w:val="Tekstpodstawowy4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</w:p>
          <w:p w14:paraId="5068529E" w14:textId="39F37152" w:rsidR="0054219A" w:rsidRPr="007763F3" w:rsidRDefault="0054219A" w:rsidP="00222A51">
            <w:pPr>
              <w:pStyle w:val="Tekstpodstawowy4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3906AD" w:rsidRPr="007A0164" w14:paraId="03E4A466" w14:textId="77777777" w:rsidTr="00104DA8">
        <w:trPr>
          <w:trHeight w:val="850"/>
        </w:trPr>
        <w:tc>
          <w:tcPr>
            <w:tcW w:w="2527" w:type="dxa"/>
            <w:gridSpan w:val="3"/>
            <w:shd w:val="clear" w:color="auto" w:fill="auto"/>
          </w:tcPr>
          <w:p w14:paraId="2129FF18" w14:textId="4E212D75" w:rsidR="003906AD" w:rsidRPr="00F11F3B" w:rsidRDefault="003906AD" w:rsidP="00920938">
            <w:pPr>
              <w:pStyle w:val="Tekstpodstawowy"/>
              <w:jc w:val="left"/>
              <w:rPr>
                <w:rFonts w:eastAsia="Times New Roman" w:cs="Arial"/>
                <w:sz w:val="22"/>
                <w:szCs w:val="22"/>
              </w:rPr>
            </w:pPr>
            <w:r w:rsidRPr="007763F3">
              <w:rPr>
                <w:rFonts w:eastAsia="Times New Roman" w:cs="Arial"/>
                <w:sz w:val="22"/>
                <w:szCs w:val="22"/>
              </w:rPr>
              <w:t xml:space="preserve">Krajowe zakład ubezpieczeń </w:t>
            </w:r>
            <w:r w:rsidR="00197AE9" w:rsidRPr="007763F3">
              <w:rPr>
                <w:sz w:val="22"/>
                <w:szCs w:val="22"/>
              </w:rPr>
              <w:t>działu II</w:t>
            </w:r>
          </w:p>
          <w:p w14:paraId="6A1E3043" w14:textId="151AC118" w:rsidR="00572185" w:rsidRPr="007763F3" w:rsidRDefault="00572185" w:rsidP="00920938">
            <w:pPr>
              <w:rPr>
                <w:rFonts w:ascii="Times New Roman" w:hAnsi="Times New Roman"/>
              </w:rPr>
            </w:pPr>
            <w:r w:rsidRPr="007763F3">
              <w:rPr>
                <w:rFonts w:ascii="Times New Roman" w:hAnsi="Times New Roman"/>
              </w:rPr>
              <w:t>(pozostałe ubezpieczenia osobowe i ubezpieczenia majątkowe)</w:t>
            </w:r>
          </w:p>
          <w:p w14:paraId="28BC9066" w14:textId="7F447976" w:rsidR="003906AD" w:rsidRPr="007763F3" w:rsidRDefault="003906AD" w:rsidP="003906A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788" w:type="dxa"/>
            <w:gridSpan w:val="9"/>
            <w:shd w:val="clear" w:color="auto" w:fill="auto"/>
          </w:tcPr>
          <w:p w14:paraId="676F8CD3" w14:textId="5E9B1608" w:rsidR="003906AD" w:rsidRDefault="00572185" w:rsidP="00864ABC">
            <w:pPr>
              <w:pStyle w:val="Tekstpodstawowy"/>
              <w:spacing w:line="240" w:lineRule="auto"/>
              <w:rPr>
                <w:sz w:val="22"/>
                <w:szCs w:val="22"/>
              </w:rPr>
            </w:pPr>
            <w:r w:rsidRPr="007763F3">
              <w:rPr>
                <w:sz w:val="22"/>
                <w:szCs w:val="22"/>
              </w:rPr>
              <w:t xml:space="preserve">33 zakłady ubezpieczeń </w:t>
            </w:r>
          </w:p>
          <w:p w14:paraId="64FC5046" w14:textId="4A215D11" w:rsidR="00587B06" w:rsidRPr="007763F3" w:rsidRDefault="00587B06" w:rsidP="00864ABC">
            <w:pPr>
              <w:pStyle w:val="Tekstpodstawowy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 na </w:t>
            </w:r>
            <w:r w:rsidR="00A8360A">
              <w:rPr>
                <w:sz w:val="22"/>
                <w:szCs w:val="22"/>
              </w:rPr>
              <w:t>31</w:t>
            </w:r>
            <w:r w:rsidR="004927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995AC9">
              <w:rPr>
                <w:sz w:val="22"/>
                <w:szCs w:val="22"/>
              </w:rPr>
              <w:t xml:space="preserve">grudnia </w:t>
            </w:r>
            <w:r>
              <w:rPr>
                <w:sz w:val="22"/>
                <w:szCs w:val="22"/>
              </w:rPr>
              <w:t xml:space="preserve">2020 r. </w:t>
            </w:r>
          </w:p>
        </w:tc>
        <w:tc>
          <w:tcPr>
            <w:tcW w:w="1701" w:type="dxa"/>
            <w:gridSpan w:val="7"/>
            <w:shd w:val="clear" w:color="auto" w:fill="auto"/>
          </w:tcPr>
          <w:p w14:paraId="6B1BFC0E" w14:textId="2BF99461" w:rsidR="00587B06" w:rsidRDefault="009548B3" w:rsidP="00390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hyperlink r:id="rId9" w:history="1">
              <w:r w:rsidR="00587B06" w:rsidRPr="003B73A8">
                <w:rPr>
                  <w:rStyle w:val="Hipercze"/>
                  <w:rFonts w:ascii="Times New Roman" w:hAnsi="Times New Roman"/>
                  <w:spacing w:val="-2"/>
                </w:rPr>
                <w:t>www.knf.gov.pl</w:t>
              </w:r>
            </w:hyperlink>
          </w:p>
          <w:p w14:paraId="04B2C19B" w14:textId="42BB423B" w:rsidR="003906AD" w:rsidRPr="007763F3" w:rsidRDefault="00920938" w:rsidP="00390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„</w:t>
            </w:r>
            <w:r w:rsidR="003906AD" w:rsidRPr="007763F3">
              <w:rPr>
                <w:rFonts w:ascii="Times New Roman" w:hAnsi="Times New Roman"/>
                <w:color w:val="000000"/>
                <w:spacing w:val="-2"/>
              </w:rPr>
              <w:t xml:space="preserve">Biuletyn kwartalny. Rynek Ubezpieczeń </w:t>
            </w:r>
            <w:r w:rsidR="00A8360A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="003906AD" w:rsidRPr="007763F3">
              <w:rPr>
                <w:rFonts w:ascii="Times New Roman" w:hAnsi="Times New Roman"/>
                <w:color w:val="000000"/>
                <w:spacing w:val="-2"/>
              </w:rPr>
              <w:t>/2020.”</w:t>
            </w:r>
          </w:p>
          <w:p w14:paraId="3EA0889D" w14:textId="366103D0" w:rsidR="003906AD" w:rsidRPr="007763F3" w:rsidRDefault="003906AD" w:rsidP="00C3361F">
            <w:pPr>
              <w:spacing w:line="240" w:lineRule="auto"/>
            </w:pPr>
          </w:p>
        </w:tc>
        <w:tc>
          <w:tcPr>
            <w:tcW w:w="3969" w:type="dxa"/>
            <w:gridSpan w:val="11"/>
            <w:shd w:val="clear" w:color="auto" w:fill="auto"/>
          </w:tcPr>
          <w:p w14:paraId="2FA5BA31" w14:textId="4D3BC14E" w:rsidR="000A4E85" w:rsidRPr="007763F3" w:rsidRDefault="00F11F3B" w:rsidP="00864ABC">
            <w:pPr>
              <w:pStyle w:val="Tekstpodstawowy4"/>
              <w:shd w:val="clear" w:color="auto" w:fill="auto"/>
              <w:spacing w:after="0" w:line="240" w:lineRule="auto"/>
              <w:ind w:firstLine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3906AD" w:rsidRPr="007763F3">
              <w:rPr>
                <w:sz w:val="22"/>
                <w:szCs w:val="22"/>
              </w:rPr>
              <w:t>ozszerzenie obowiązków sprawozdawczych </w:t>
            </w:r>
            <w:r w:rsidRPr="007763F3" w:rsidDel="00F11F3B">
              <w:rPr>
                <w:sz w:val="22"/>
                <w:szCs w:val="22"/>
              </w:rPr>
              <w:t xml:space="preserve"> </w:t>
            </w:r>
          </w:p>
        </w:tc>
      </w:tr>
      <w:tr w:rsidR="00825313" w:rsidRPr="007A0164" w14:paraId="74D50D5A" w14:textId="77777777" w:rsidTr="00D84B88">
        <w:trPr>
          <w:trHeight w:val="3118"/>
        </w:trPr>
        <w:tc>
          <w:tcPr>
            <w:tcW w:w="2527" w:type="dxa"/>
            <w:gridSpan w:val="3"/>
            <w:shd w:val="clear" w:color="auto" w:fill="auto"/>
          </w:tcPr>
          <w:p w14:paraId="562148B2" w14:textId="69D9C010" w:rsidR="00825313" w:rsidRPr="007763F3" w:rsidRDefault="004927EE" w:rsidP="00920938">
            <w:pPr>
              <w:pStyle w:val="Tekstpodstawowy"/>
              <w:jc w:val="left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Krajowe z</w:t>
            </w:r>
            <w:r w:rsidR="00825313" w:rsidRPr="007763F3">
              <w:rPr>
                <w:rFonts w:eastAsia="Times New Roman" w:cs="Arial"/>
                <w:sz w:val="22"/>
                <w:szCs w:val="22"/>
              </w:rPr>
              <w:t>akłady reasekuracji</w:t>
            </w:r>
            <w:r w:rsidR="00F11F3B">
              <w:rPr>
                <w:rFonts w:eastAsia="Times New Roman" w:cs="Arial"/>
                <w:sz w:val="22"/>
                <w:szCs w:val="22"/>
              </w:rPr>
              <w:t xml:space="preserve"> – </w:t>
            </w:r>
            <w:r w:rsidR="00825313" w:rsidRPr="007763F3">
              <w:rPr>
                <w:rFonts w:eastAsia="Times New Roman" w:cs="Arial"/>
                <w:sz w:val="22"/>
                <w:szCs w:val="22"/>
              </w:rPr>
              <w:t xml:space="preserve"> reasekuracj</w:t>
            </w:r>
            <w:r w:rsidR="00F11F3B">
              <w:rPr>
                <w:rFonts w:eastAsia="Times New Roman" w:cs="Arial"/>
                <w:sz w:val="22"/>
                <w:szCs w:val="22"/>
              </w:rPr>
              <w:t>a</w:t>
            </w:r>
            <w:r w:rsidR="00825313" w:rsidRPr="007763F3">
              <w:rPr>
                <w:rFonts w:eastAsia="Times New Roman" w:cs="Arial"/>
                <w:sz w:val="22"/>
                <w:szCs w:val="22"/>
              </w:rPr>
              <w:t xml:space="preserve"> ubezpieczeń działu II</w:t>
            </w:r>
            <w:r w:rsidR="00587B06">
              <w:rPr>
                <w:rFonts w:eastAsia="Times New Roman" w:cs="Arial"/>
                <w:sz w:val="22"/>
                <w:szCs w:val="22"/>
              </w:rPr>
              <w:t xml:space="preserve"> </w:t>
            </w:r>
            <w:r w:rsidR="00587B06" w:rsidRPr="00043A5E">
              <w:rPr>
                <w:sz w:val="22"/>
                <w:szCs w:val="22"/>
              </w:rPr>
              <w:t>(pozostałe ubezpieczenia osobowe i ubezpieczenia majątkowe</w:t>
            </w:r>
            <w:r w:rsidR="00DE4BF1" w:rsidRPr="00043A5E">
              <w:rPr>
                <w:sz w:val="22"/>
                <w:szCs w:val="22"/>
              </w:rPr>
              <w:t>)</w:t>
            </w:r>
          </w:p>
        </w:tc>
        <w:tc>
          <w:tcPr>
            <w:tcW w:w="2788" w:type="dxa"/>
            <w:gridSpan w:val="9"/>
            <w:shd w:val="clear" w:color="auto" w:fill="auto"/>
          </w:tcPr>
          <w:p w14:paraId="638FC2BC" w14:textId="4ED0299F" w:rsidR="00825313" w:rsidRDefault="00F11F3B" w:rsidP="00864ABC">
            <w:pPr>
              <w:pStyle w:val="Tekstpodstawowy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zakład reasekuracji </w:t>
            </w:r>
          </w:p>
          <w:p w14:paraId="55EEB4DF" w14:textId="4BFA0FC1" w:rsidR="00F11F3B" w:rsidRPr="007763F3" w:rsidRDefault="00F11F3B" w:rsidP="00864ABC">
            <w:pPr>
              <w:pStyle w:val="Tekstpodstawowy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 na </w:t>
            </w:r>
            <w:r w:rsidR="00A8360A">
              <w:rPr>
                <w:sz w:val="22"/>
                <w:szCs w:val="22"/>
              </w:rPr>
              <w:t xml:space="preserve">31 </w:t>
            </w:r>
            <w:r>
              <w:rPr>
                <w:sz w:val="22"/>
                <w:szCs w:val="22"/>
              </w:rPr>
              <w:t xml:space="preserve">grudnia 2020 r. </w:t>
            </w:r>
          </w:p>
        </w:tc>
        <w:tc>
          <w:tcPr>
            <w:tcW w:w="1701" w:type="dxa"/>
            <w:gridSpan w:val="7"/>
            <w:shd w:val="clear" w:color="auto" w:fill="auto"/>
          </w:tcPr>
          <w:p w14:paraId="5EE83022" w14:textId="775F49A5" w:rsidR="00DE4BF1" w:rsidRDefault="009548B3" w:rsidP="00DE4B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hyperlink r:id="rId10" w:history="1">
              <w:r w:rsidR="00DE4BF1" w:rsidRPr="00A373AA">
                <w:rPr>
                  <w:rStyle w:val="Hipercze"/>
                  <w:rFonts w:ascii="Times New Roman" w:hAnsi="Times New Roman"/>
                  <w:spacing w:val="-2"/>
                </w:rPr>
                <w:t>www.knf.gov.pl</w:t>
              </w:r>
            </w:hyperlink>
          </w:p>
          <w:p w14:paraId="7496F955" w14:textId="3EB60465" w:rsidR="00DE4BF1" w:rsidRPr="007763F3" w:rsidRDefault="00DE4BF1" w:rsidP="00DE4B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„</w:t>
            </w:r>
            <w:r w:rsidRPr="007763F3">
              <w:rPr>
                <w:rFonts w:ascii="Times New Roman" w:hAnsi="Times New Roman"/>
                <w:color w:val="000000"/>
                <w:spacing w:val="-2"/>
              </w:rPr>
              <w:t xml:space="preserve">Biuletyn kwartalny. Rynek Ubezpieczeń </w:t>
            </w:r>
            <w:r w:rsidR="005954D5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Pr="007763F3">
              <w:rPr>
                <w:rFonts w:ascii="Times New Roman" w:hAnsi="Times New Roman"/>
                <w:color w:val="000000"/>
                <w:spacing w:val="-2"/>
              </w:rPr>
              <w:t>/2020.”</w:t>
            </w:r>
          </w:p>
          <w:p w14:paraId="419DB18B" w14:textId="793EB4D4" w:rsidR="00825313" w:rsidRPr="007763F3" w:rsidRDefault="00825313" w:rsidP="00C3361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969" w:type="dxa"/>
            <w:gridSpan w:val="11"/>
            <w:shd w:val="clear" w:color="auto" w:fill="auto"/>
          </w:tcPr>
          <w:p w14:paraId="59B0F5DD" w14:textId="3DF22279" w:rsidR="0054219A" w:rsidRPr="007763F3" w:rsidRDefault="00F11F3B" w:rsidP="00864ABC">
            <w:pPr>
              <w:pStyle w:val="Tekstpodstawowy4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B3347B" w:rsidRPr="007763F3">
              <w:rPr>
                <w:sz w:val="22"/>
                <w:szCs w:val="22"/>
              </w:rPr>
              <w:t>ozszerzenie obowiązków sprawozdawczych </w:t>
            </w:r>
            <w:r w:rsidRPr="007763F3" w:rsidDel="00F11F3B">
              <w:rPr>
                <w:sz w:val="22"/>
                <w:szCs w:val="22"/>
              </w:rPr>
              <w:t xml:space="preserve"> </w:t>
            </w:r>
          </w:p>
        </w:tc>
      </w:tr>
      <w:tr w:rsidR="00222A51" w:rsidRPr="007A0164" w14:paraId="3CE90303" w14:textId="77777777" w:rsidTr="00D84B88">
        <w:trPr>
          <w:trHeight w:val="1700"/>
        </w:trPr>
        <w:tc>
          <w:tcPr>
            <w:tcW w:w="2527" w:type="dxa"/>
            <w:gridSpan w:val="3"/>
            <w:shd w:val="clear" w:color="auto" w:fill="auto"/>
          </w:tcPr>
          <w:p w14:paraId="75AC21B9" w14:textId="77777777" w:rsidR="00222A51" w:rsidRDefault="00222A51" w:rsidP="000B7E31">
            <w:pPr>
              <w:pStyle w:val="Tekstpodstawowy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 xml:space="preserve">Urząd Komisji Nadzoru Finansowego </w:t>
            </w:r>
          </w:p>
          <w:p w14:paraId="209F8592" w14:textId="19B8C4B9" w:rsidR="00F11F3B" w:rsidRPr="007763F3" w:rsidRDefault="00F11F3B" w:rsidP="000B7E31">
            <w:pPr>
              <w:pStyle w:val="Tekstpodstawowy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788" w:type="dxa"/>
            <w:gridSpan w:val="9"/>
            <w:shd w:val="clear" w:color="auto" w:fill="auto"/>
          </w:tcPr>
          <w:p w14:paraId="22D4018A" w14:textId="77777777" w:rsidR="00222A51" w:rsidRPr="007763F3" w:rsidRDefault="00222A51" w:rsidP="00572185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14:paraId="3A4BDA42" w14:textId="77777777" w:rsidR="00222A51" w:rsidRPr="007763F3" w:rsidRDefault="00222A51" w:rsidP="003B487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969" w:type="dxa"/>
            <w:gridSpan w:val="11"/>
            <w:shd w:val="clear" w:color="auto" w:fill="auto"/>
          </w:tcPr>
          <w:p w14:paraId="48C69BF1" w14:textId="228DB415" w:rsidR="00AD65CB" w:rsidRDefault="00F11F3B" w:rsidP="00864ABC">
            <w:pPr>
              <w:pStyle w:val="Tekstpodstawowy4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zwiększenie zakresu nadzoru na bazie cyklicznych danych</w:t>
            </w:r>
            <w:r w:rsidR="005923C7">
              <w:rPr>
                <w:sz w:val="22"/>
                <w:szCs w:val="22"/>
              </w:rPr>
              <w:t xml:space="preserve">, podlegających analizie w okresach sprawozdawczych </w:t>
            </w:r>
          </w:p>
          <w:p w14:paraId="0B00E8A0" w14:textId="1A662B92" w:rsidR="00686FBA" w:rsidRPr="007763F3" w:rsidRDefault="00686FBA" w:rsidP="00F11F3B">
            <w:pPr>
              <w:pStyle w:val="Tekstpodstawowy4"/>
              <w:shd w:val="clear" w:color="auto" w:fill="auto"/>
              <w:spacing w:after="0" w:line="280" w:lineRule="exact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3906AD" w:rsidRPr="004A4DFC" w14:paraId="4A40421D" w14:textId="77777777" w:rsidTr="00484B45">
        <w:trPr>
          <w:trHeight w:val="302"/>
        </w:trPr>
        <w:tc>
          <w:tcPr>
            <w:tcW w:w="10985" w:type="dxa"/>
            <w:gridSpan w:val="30"/>
            <w:shd w:val="clear" w:color="auto" w:fill="99CCFF"/>
            <w:vAlign w:val="center"/>
          </w:tcPr>
          <w:p w14:paraId="511FC11C" w14:textId="4ADBE16F" w:rsidR="003906AD" w:rsidRPr="007763F3" w:rsidRDefault="003906AD" w:rsidP="003906A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3F3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5. Informacje na temat zakresu, czasu trwania i podsumowanie wyników konsultacji</w:t>
            </w:r>
          </w:p>
        </w:tc>
      </w:tr>
      <w:tr w:rsidR="003906AD" w:rsidRPr="007A0164" w14:paraId="76DD8899" w14:textId="77777777" w:rsidTr="00484B45">
        <w:trPr>
          <w:trHeight w:val="342"/>
        </w:trPr>
        <w:tc>
          <w:tcPr>
            <w:tcW w:w="10985" w:type="dxa"/>
            <w:gridSpan w:val="30"/>
            <w:shd w:val="clear" w:color="auto" w:fill="FFFFFF"/>
          </w:tcPr>
          <w:p w14:paraId="120A230B" w14:textId="15BB4A11" w:rsidR="009A51B1" w:rsidRDefault="009A51B1" w:rsidP="009A51B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>Nie prowadzono konsultacji poprzedzających opracowanie projektu</w:t>
            </w:r>
            <w:r w:rsidR="000431FE">
              <w:rPr>
                <w:rFonts w:ascii="Times New Roman" w:eastAsia="Times New Roman" w:hAnsi="Times New Roman" w:cs="Arial"/>
                <w:lang w:eastAsia="pl-PL"/>
              </w:rPr>
              <w:t xml:space="preserve">. Niemniej zakłady ubezpieczeń i zakłady reasekuracji przekazywały rozszerzone </w:t>
            </w:r>
            <w:r w:rsidR="000431FE" w:rsidRPr="000431FE">
              <w:rPr>
                <w:rFonts w:ascii="Times New Roman" w:eastAsia="Times New Roman" w:hAnsi="Times New Roman" w:cs="Arial"/>
                <w:lang w:eastAsia="pl-PL"/>
              </w:rPr>
              <w:t xml:space="preserve">dane i informacje </w:t>
            </w:r>
            <w:r w:rsidR="000431FE">
              <w:rPr>
                <w:rFonts w:ascii="Times New Roman" w:eastAsia="Times New Roman" w:hAnsi="Times New Roman" w:cs="Arial"/>
                <w:lang w:eastAsia="pl-PL"/>
              </w:rPr>
              <w:t xml:space="preserve">dodatkowo objęte projektem rozporządzenia </w:t>
            </w:r>
            <w:r w:rsidR="000431FE" w:rsidRPr="000431FE">
              <w:rPr>
                <w:rFonts w:ascii="Times New Roman" w:eastAsia="Times New Roman" w:hAnsi="Times New Roman" w:cs="Arial"/>
                <w:lang w:eastAsia="pl-PL"/>
              </w:rPr>
              <w:t>na żądanie organu nadzoru</w:t>
            </w:r>
            <w:r w:rsidR="000431FE">
              <w:rPr>
                <w:rFonts w:ascii="Times New Roman" w:eastAsia="Times New Roman" w:hAnsi="Times New Roman" w:cs="Arial"/>
                <w:lang w:eastAsia="pl-PL"/>
              </w:rPr>
              <w:t xml:space="preserve"> (</w:t>
            </w:r>
            <w:r w:rsidR="000431FE" w:rsidRPr="000431FE">
              <w:rPr>
                <w:rFonts w:ascii="Times New Roman" w:eastAsia="Times New Roman" w:hAnsi="Times New Roman" w:cs="Arial"/>
                <w:lang w:eastAsia="pl-PL"/>
              </w:rPr>
              <w:t xml:space="preserve">dane </w:t>
            </w:r>
            <w:r w:rsidR="000431FE">
              <w:rPr>
                <w:rFonts w:ascii="Times New Roman" w:eastAsia="Times New Roman" w:hAnsi="Times New Roman" w:cs="Arial"/>
                <w:lang w:eastAsia="pl-PL"/>
              </w:rPr>
              <w:t xml:space="preserve">te zostaną więc </w:t>
            </w:r>
            <w:r w:rsidR="000431FE" w:rsidRPr="000431FE">
              <w:rPr>
                <w:rFonts w:ascii="Times New Roman" w:eastAsia="Times New Roman" w:hAnsi="Times New Roman" w:cs="Arial"/>
                <w:lang w:eastAsia="pl-PL"/>
              </w:rPr>
              <w:t>włączone do regularnej sprawozdawczości</w:t>
            </w:r>
            <w:r w:rsidR="000431FE">
              <w:rPr>
                <w:rFonts w:ascii="Times New Roman" w:eastAsia="Times New Roman" w:hAnsi="Times New Roman" w:cs="Arial"/>
                <w:lang w:eastAsia="pl-PL"/>
              </w:rPr>
              <w:t>)</w:t>
            </w:r>
            <w:r w:rsidR="000431FE" w:rsidRPr="000431FE">
              <w:rPr>
                <w:rFonts w:ascii="Times New Roman" w:eastAsia="Times New Roman" w:hAnsi="Times New Roman" w:cs="Arial"/>
                <w:lang w:eastAsia="pl-PL"/>
              </w:rPr>
              <w:t>.</w:t>
            </w:r>
          </w:p>
          <w:p w14:paraId="735B4ADC" w14:textId="77777777" w:rsidR="00864ABC" w:rsidRDefault="00864ABC" w:rsidP="009A51B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pl-PL"/>
              </w:rPr>
            </w:pPr>
          </w:p>
          <w:p w14:paraId="1053CA64" w14:textId="0C552AAD" w:rsidR="00864ABC" w:rsidRDefault="003906AD" w:rsidP="009A51B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pl-PL"/>
              </w:rPr>
            </w:pPr>
            <w:r w:rsidRPr="007763F3">
              <w:rPr>
                <w:rFonts w:ascii="Times New Roman" w:eastAsia="Times New Roman" w:hAnsi="Times New Roman" w:cs="Arial"/>
                <w:lang w:eastAsia="pl-PL"/>
              </w:rPr>
              <w:t xml:space="preserve">Projekt rozporządzenia zostanie przekazany do konsultacji publicznych i opiniowania </w:t>
            </w:r>
            <w:r w:rsidR="00CD45FD">
              <w:rPr>
                <w:rFonts w:ascii="Times New Roman" w:eastAsia="Times New Roman" w:hAnsi="Times New Roman" w:cs="Arial"/>
                <w:lang w:eastAsia="pl-PL"/>
              </w:rPr>
              <w:t xml:space="preserve">Narodowemu Bankowi Polskiemu, </w:t>
            </w:r>
            <w:r w:rsidRPr="007763F3">
              <w:rPr>
                <w:rFonts w:ascii="Times New Roman" w:eastAsia="Times New Roman" w:hAnsi="Times New Roman" w:cs="Arial"/>
                <w:lang w:eastAsia="pl-PL"/>
              </w:rPr>
              <w:t xml:space="preserve">Komisji Nadzoru Finansowego, </w:t>
            </w:r>
            <w:r w:rsidR="000431FE">
              <w:rPr>
                <w:rFonts w:ascii="Times New Roman" w:eastAsia="Times New Roman" w:hAnsi="Times New Roman" w:cs="Arial"/>
                <w:lang w:eastAsia="pl-PL"/>
              </w:rPr>
              <w:t xml:space="preserve">Urzędowi Ochrony Konkurencji i Konsumentów, </w:t>
            </w:r>
            <w:r w:rsidR="00636457">
              <w:rPr>
                <w:rFonts w:ascii="Times New Roman" w:eastAsia="Times New Roman" w:hAnsi="Times New Roman" w:cs="Arial"/>
                <w:lang w:eastAsia="pl-PL"/>
              </w:rPr>
              <w:t xml:space="preserve">Polskiemu Fundusz Rozwoju S.A., </w:t>
            </w:r>
            <w:r w:rsidRPr="007763F3">
              <w:rPr>
                <w:rFonts w:ascii="Times New Roman" w:eastAsia="Times New Roman" w:hAnsi="Times New Roman" w:cs="Arial"/>
                <w:lang w:eastAsia="pl-PL"/>
              </w:rPr>
              <w:t xml:space="preserve">Polskiej Izbie Ubezpieczeń, </w:t>
            </w:r>
            <w:r w:rsidR="00636457">
              <w:rPr>
                <w:rFonts w:ascii="Times New Roman" w:eastAsia="Times New Roman" w:hAnsi="Times New Roman" w:cs="Arial"/>
                <w:lang w:eastAsia="pl-PL"/>
              </w:rPr>
              <w:t xml:space="preserve">Związkowi Banków Polskich, </w:t>
            </w:r>
            <w:r w:rsidRPr="0066434E">
              <w:rPr>
                <w:rFonts w:ascii="Times New Roman" w:eastAsia="Times New Roman" w:hAnsi="Times New Roman" w:cs="Arial"/>
                <w:lang w:eastAsia="pl-PL"/>
              </w:rPr>
              <w:t>Rzecznikowi Finansowemu</w:t>
            </w:r>
            <w:r w:rsidRPr="00D84B88">
              <w:rPr>
                <w:rFonts w:ascii="Times New Roman" w:eastAsia="Times New Roman" w:hAnsi="Times New Roman" w:cs="Arial"/>
                <w:lang w:eastAsia="pl-PL"/>
              </w:rPr>
              <w:t>,</w:t>
            </w:r>
            <w:r w:rsidRPr="007763F3">
              <w:rPr>
                <w:rFonts w:ascii="Times New Roman" w:eastAsia="Times New Roman" w:hAnsi="Times New Roman" w:cs="Arial"/>
                <w:lang w:eastAsia="pl-PL"/>
              </w:rPr>
              <w:t xml:space="preserve"> Ubezpieczeniowemu Funduszowi Gwarancyjnemu, Polskiemu Stowarzyszeniu Aktuariuszy, Izbie Zarządzającej Funduszami i Aktywami, Polskiej Izbie Biegłych Rewidentów</w:t>
            </w:r>
            <w:r w:rsidR="007A410A">
              <w:rPr>
                <w:rFonts w:ascii="Times New Roman" w:eastAsia="Times New Roman" w:hAnsi="Times New Roman" w:cs="Arial"/>
                <w:lang w:eastAsia="pl-PL"/>
              </w:rPr>
              <w:t>,</w:t>
            </w:r>
            <w:r w:rsidR="00D84B88">
              <w:rPr>
                <w:rFonts w:ascii="Times New Roman" w:eastAsia="Times New Roman" w:hAnsi="Times New Roman" w:cs="Arial"/>
                <w:lang w:eastAsia="pl-PL"/>
              </w:rPr>
              <w:t xml:space="preserve"> </w:t>
            </w:r>
            <w:r w:rsidRPr="007763F3">
              <w:rPr>
                <w:rFonts w:ascii="Times New Roman" w:eastAsia="Times New Roman" w:hAnsi="Times New Roman" w:cs="Arial"/>
                <w:lang w:eastAsia="pl-PL"/>
              </w:rPr>
              <w:t>Polskiej Agencji Nadzoru Audytowego</w:t>
            </w:r>
            <w:r w:rsidR="007A410A">
              <w:rPr>
                <w:rFonts w:ascii="Times New Roman" w:eastAsia="Times New Roman" w:hAnsi="Times New Roman" w:cs="Arial"/>
                <w:lang w:eastAsia="pl-PL"/>
              </w:rPr>
              <w:t>,</w:t>
            </w:r>
            <w:r w:rsidRPr="007763F3">
              <w:rPr>
                <w:rFonts w:ascii="Times New Roman" w:eastAsia="Times New Roman" w:hAnsi="Times New Roman" w:cs="Arial"/>
                <w:lang w:eastAsia="pl-PL"/>
              </w:rPr>
              <w:t xml:space="preserve"> </w:t>
            </w:r>
            <w:r w:rsidR="00636457">
              <w:rPr>
                <w:rFonts w:ascii="Times New Roman" w:eastAsia="Times New Roman" w:hAnsi="Times New Roman" w:cs="Arial"/>
                <w:lang w:eastAsia="pl-PL"/>
              </w:rPr>
              <w:t xml:space="preserve">Stowarzyszeniu Księgowych w Polsce, </w:t>
            </w:r>
            <w:r w:rsidR="007A410A">
              <w:rPr>
                <w:rFonts w:ascii="Times New Roman" w:eastAsia="Times New Roman" w:hAnsi="Times New Roman" w:cs="Arial"/>
                <w:lang w:eastAsia="pl-PL"/>
              </w:rPr>
              <w:t>Stowarzyszeniu Polskich Brokerów Ubezpieczeniowych i</w:t>
            </w:r>
            <w:r w:rsidR="0045606C">
              <w:rPr>
                <w:rFonts w:ascii="Times New Roman" w:eastAsia="Times New Roman" w:hAnsi="Times New Roman" w:cs="Arial"/>
                <w:lang w:eastAsia="pl-PL"/>
              </w:rPr>
              <w:t> </w:t>
            </w:r>
            <w:r w:rsidR="007A410A">
              <w:rPr>
                <w:rFonts w:ascii="Times New Roman" w:eastAsia="Times New Roman" w:hAnsi="Times New Roman" w:cs="Arial"/>
                <w:lang w:eastAsia="pl-PL"/>
              </w:rPr>
              <w:t xml:space="preserve">Reasekuracyjnych, Polskiej Izbie Brokerów Ubezpieczeniowych i Reasekuracyjnych oraz Polskiej Izbie Pośredników Ubezpieczeniowych i Finansowych.    </w:t>
            </w:r>
          </w:p>
          <w:p w14:paraId="1E351E71" w14:textId="77D472D4" w:rsidR="009A51B1" w:rsidRPr="00864ABC" w:rsidRDefault="009A51B1" w:rsidP="009A51B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 xml:space="preserve">Przewiduje się </w:t>
            </w:r>
            <w:r w:rsidR="0096463A">
              <w:rPr>
                <w:rFonts w:ascii="Times New Roman" w:eastAsia="Times New Roman" w:hAnsi="Times New Roman" w:cs="Arial"/>
                <w:lang w:eastAsia="pl-PL"/>
              </w:rPr>
              <w:t xml:space="preserve">14 dniowy </w:t>
            </w:r>
            <w:r>
              <w:rPr>
                <w:rFonts w:ascii="Times New Roman" w:eastAsia="Times New Roman" w:hAnsi="Times New Roman" w:cs="Arial"/>
                <w:lang w:eastAsia="pl-PL"/>
              </w:rPr>
              <w:t>termin na zgłaszanie uwag.</w:t>
            </w:r>
          </w:p>
        </w:tc>
      </w:tr>
      <w:tr w:rsidR="003906AD" w:rsidRPr="004A4DFC" w14:paraId="258FD3D6" w14:textId="77777777" w:rsidTr="00484B45">
        <w:trPr>
          <w:trHeight w:val="363"/>
        </w:trPr>
        <w:tc>
          <w:tcPr>
            <w:tcW w:w="10985" w:type="dxa"/>
            <w:gridSpan w:val="30"/>
            <w:shd w:val="clear" w:color="auto" w:fill="99CCFF"/>
            <w:vAlign w:val="center"/>
          </w:tcPr>
          <w:p w14:paraId="2BCE5496" w14:textId="77777777" w:rsidR="003906AD" w:rsidRPr="00F12F3B" w:rsidRDefault="003906AD" w:rsidP="003906A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6. Wpływ na sektor finansów publicznych</w:t>
            </w:r>
          </w:p>
        </w:tc>
      </w:tr>
      <w:tr w:rsidR="003906AD" w:rsidRPr="007A0164" w14:paraId="772B1117" w14:textId="77777777" w:rsidTr="00484B45">
        <w:trPr>
          <w:trHeight w:val="142"/>
        </w:trPr>
        <w:tc>
          <w:tcPr>
            <w:tcW w:w="3132" w:type="dxa"/>
            <w:gridSpan w:val="4"/>
            <w:vMerge w:val="restart"/>
            <w:shd w:val="clear" w:color="auto" w:fill="FFFFFF"/>
          </w:tcPr>
          <w:p w14:paraId="19BE8E50" w14:textId="77777777" w:rsidR="003906AD" w:rsidRPr="007A0164" w:rsidRDefault="003906AD" w:rsidP="003906A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(</w:t>
            </w:r>
            <w:r w:rsidRPr="00864ABC">
              <w:rPr>
                <w:rFonts w:ascii="Times New Roman" w:eastAsia="Times New Roman" w:hAnsi="Times New Roman" w:cs="Times New Roman"/>
                <w:lang w:eastAsia="pl-PL"/>
              </w:rPr>
              <w:t>ceny stałe z …… r.)</w:t>
            </w:r>
          </w:p>
        </w:tc>
        <w:tc>
          <w:tcPr>
            <w:tcW w:w="7853" w:type="dxa"/>
            <w:gridSpan w:val="26"/>
            <w:shd w:val="clear" w:color="auto" w:fill="FFFFFF"/>
          </w:tcPr>
          <w:p w14:paraId="3E66572C" w14:textId="77777777" w:rsidR="003906AD" w:rsidRPr="007A0164" w:rsidRDefault="003906AD" w:rsidP="003906A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Skutki w okresie 10 lat od wejścia w życie zmian [mln zł]</w:t>
            </w:r>
          </w:p>
        </w:tc>
      </w:tr>
      <w:tr w:rsidR="003906AD" w:rsidRPr="007A0164" w14:paraId="701436EB" w14:textId="77777777" w:rsidTr="00484B45">
        <w:trPr>
          <w:trHeight w:val="142"/>
        </w:trPr>
        <w:tc>
          <w:tcPr>
            <w:tcW w:w="3132" w:type="dxa"/>
            <w:gridSpan w:val="4"/>
            <w:vMerge/>
            <w:shd w:val="clear" w:color="auto" w:fill="FFFFFF"/>
          </w:tcPr>
          <w:p w14:paraId="4A3BA4F4" w14:textId="77777777" w:rsidR="003906AD" w:rsidRPr="007A0164" w:rsidRDefault="003906AD" w:rsidP="003906A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D33F962" w14:textId="77777777" w:rsidR="003906AD" w:rsidRPr="007A0164" w:rsidRDefault="003906AD" w:rsidP="003906A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F30F25" w14:textId="77777777" w:rsidR="003906AD" w:rsidRPr="007A0164" w:rsidRDefault="003906AD" w:rsidP="003906A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990A08" w14:textId="77777777" w:rsidR="003906AD" w:rsidRPr="007A0164" w:rsidRDefault="003906AD" w:rsidP="003906A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A22BE08" w14:textId="77777777" w:rsidR="003906AD" w:rsidRPr="007A0164" w:rsidRDefault="003906AD" w:rsidP="003906A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E10CC0" w14:textId="77777777" w:rsidR="003906AD" w:rsidRPr="007A0164" w:rsidRDefault="003906AD" w:rsidP="003906A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11B30568" w14:textId="77777777" w:rsidR="003906AD" w:rsidRPr="007A0164" w:rsidRDefault="003906AD" w:rsidP="003906A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1BE33097" w14:textId="77777777" w:rsidR="003906AD" w:rsidRPr="007A0164" w:rsidRDefault="003906AD" w:rsidP="003906A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5CBC11B" w14:textId="77777777" w:rsidR="003906AD" w:rsidRPr="007A0164" w:rsidRDefault="003906AD" w:rsidP="003906A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24BC281D" w14:textId="77777777" w:rsidR="003906AD" w:rsidRPr="007A0164" w:rsidRDefault="003906AD" w:rsidP="003906A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5BAB63" w14:textId="77777777" w:rsidR="003906AD" w:rsidRPr="007A0164" w:rsidRDefault="003906AD" w:rsidP="003906A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4CAE06A" w14:textId="77777777" w:rsidR="003906AD" w:rsidRPr="007A0164" w:rsidRDefault="003906AD" w:rsidP="003906A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1585" w:type="dxa"/>
            <w:gridSpan w:val="3"/>
            <w:shd w:val="clear" w:color="auto" w:fill="FFFFFF"/>
          </w:tcPr>
          <w:p w14:paraId="4610081E" w14:textId="77777777" w:rsidR="003906AD" w:rsidRPr="007A0164" w:rsidRDefault="003906AD" w:rsidP="003906A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Łącznie (0-10)</w:t>
            </w:r>
          </w:p>
        </w:tc>
      </w:tr>
      <w:tr w:rsidR="003906AD" w:rsidRPr="007A0164" w14:paraId="6C1DBEC9" w14:textId="77777777" w:rsidTr="00484B45">
        <w:trPr>
          <w:trHeight w:val="321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528BD546" w14:textId="77777777" w:rsidR="003906AD" w:rsidRPr="00864ABC" w:rsidRDefault="003906AD" w:rsidP="003906A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4ABC">
              <w:rPr>
                <w:rFonts w:ascii="Times New Roman" w:eastAsia="Times New Roman" w:hAnsi="Times New Roman" w:cs="Times New Roman"/>
                <w:b/>
                <w:lang w:eastAsia="pl-PL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81BAAA" w14:textId="194CB714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60E2FC99" w14:textId="2F182B32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7F01688C" w14:textId="4D3DE818" w:rsidR="003906AD" w:rsidRDefault="003906AD" w:rsidP="003906AD"/>
        </w:tc>
        <w:tc>
          <w:tcPr>
            <w:tcW w:w="569" w:type="dxa"/>
            <w:gridSpan w:val="3"/>
            <w:shd w:val="clear" w:color="auto" w:fill="FFFFFF"/>
          </w:tcPr>
          <w:p w14:paraId="7414C36F" w14:textId="5AFDACC5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5B9A6DD6" w14:textId="50D9E96B" w:rsidR="003906AD" w:rsidRDefault="003906AD" w:rsidP="003906AD"/>
        </w:tc>
        <w:tc>
          <w:tcPr>
            <w:tcW w:w="570" w:type="dxa"/>
            <w:shd w:val="clear" w:color="auto" w:fill="FFFFFF"/>
          </w:tcPr>
          <w:p w14:paraId="4E7495F7" w14:textId="52DC7E45" w:rsidR="003906AD" w:rsidRDefault="003906AD" w:rsidP="003906AD"/>
        </w:tc>
        <w:tc>
          <w:tcPr>
            <w:tcW w:w="570" w:type="dxa"/>
            <w:gridSpan w:val="4"/>
            <w:shd w:val="clear" w:color="auto" w:fill="FFFFFF"/>
          </w:tcPr>
          <w:p w14:paraId="69A9FBCC" w14:textId="6FE4F315" w:rsidR="003906AD" w:rsidRDefault="003906AD" w:rsidP="003906AD"/>
        </w:tc>
        <w:tc>
          <w:tcPr>
            <w:tcW w:w="570" w:type="dxa"/>
            <w:gridSpan w:val="3"/>
            <w:shd w:val="clear" w:color="auto" w:fill="FFFFFF"/>
          </w:tcPr>
          <w:p w14:paraId="392D9D7F" w14:textId="3D4E5A8D" w:rsidR="003906AD" w:rsidRDefault="003906AD" w:rsidP="003906AD"/>
        </w:tc>
        <w:tc>
          <w:tcPr>
            <w:tcW w:w="570" w:type="dxa"/>
            <w:shd w:val="clear" w:color="auto" w:fill="FFFFFF"/>
          </w:tcPr>
          <w:p w14:paraId="25FFE98E" w14:textId="01F498AF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65AFACF3" w14:textId="1F9233AA" w:rsidR="003906AD" w:rsidRDefault="003906AD" w:rsidP="003906AD"/>
        </w:tc>
        <w:tc>
          <w:tcPr>
            <w:tcW w:w="576" w:type="dxa"/>
            <w:gridSpan w:val="2"/>
            <w:shd w:val="clear" w:color="auto" w:fill="FFFFFF"/>
          </w:tcPr>
          <w:p w14:paraId="1F8AC13E" w14:textId="46D4BC2E" w:rsidR="003906AD" w:rsidRDefault="003906AD" w:rsidP="003906AD"/>
        </w:tc>
        <w:tc>
          <w:tcPr>
            <w:tcW w:w="1579" w:type="dxa"/>
            <w:gridSpan w:val="2"/>
            <w:shd w:val="clear" w:color="auto" w:fill="FFFFFF"/>
          </w:tcPr>
          <w:p w14:paraId="29242EA2" w14:textId="6A43FCC3" w:rsidR="003906AD" w:rsidRDefault="003906AD" w:rsidP="003906AD"/>
        </w:tc>
      </w:tr>
      <w:tr w:rsidR="003906AD" w:rsidRPr="007A0164" w14:paraId="739AD2AF" w14:textId="77777777" w:rsidTr="00484B45">
        <w:trPr>
          <w:trHeight w:val="321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4C2D1F3A" w14:textId="77777777" w:rsidR="003906AD" w:rsidRPr="00864ABC" w:rsidRDefault="003906AD" w:rsidP="003906A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ABC">
              <w:rPr>
                <w:rFonts w:ascii="Times New Roman" w:eastAsia="Times New Roman" w:hAnsi="Times New Roman" w:cs="Times New Roman"/>
                <w:lang w:eastAsia="pl-PL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A13D7CC" w14:textId="4D44ACB1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664AA43E" w14:textId="5EA1D2B3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588BD788" w14:textId="011CF30D" w:rsidR="003906AD" w:rsidRDefault="003906AD" w:rsidP="003906AD"/>
        </w:tc>
        <w:tc>
          <w:tcPr>
            <w:tcW w:w="569" w:type="dxa"/>
            <w:gridSpan w:val="3"/>
            <w:shd w:val="clear" w:color="auto" w:fill="FFFFFF"/>
          </w:tcPr>
          <w:p w14:paraId="07D863A9" w14:textId="4EA4DAEA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1374096A" w14:textId="256F2EC2" w:rsidR="003906AD" w:rsidRDefault="003906AD" w:rsidP="003906AD"/>
        </w:tc>
        <w:tc>
          <w:tcPr>
            <w:tcW w:w="570" w:type="dxa"/>
            <w:shd w:val="clear" w:color="auto" w:fill="FFFFFF"/>
          </w:tcPr>
          <w:p w14:paraId="6599D1C4" w14:textId="35618F0F" w:rsidR="003906AD" w:rsidRDefault="003906AD" w:rsidP="003906AD"/>
        </w:tc>
        <w:tc>
          <w:tcPr>
            <w:tcW w:w="570" w:type="dxa"/>
            <w:gridSpan w:val="4"/>
            <w:shd w:val="clear" w:color="auto" w:fill="FFFFFF"/>
          </w:tcPr>
          <w:p w14:paraId="59113720" w14:textId="7ABA1055" w:rsidR="003906AD" w:rsidRDefault="003906AD" w:rsidP="003906AD"/>
        </w:tc>
        <w:tc>
          <w:tcPr>
            <w:tcW w:w="570" w:type="dxa"/>
            <w:gridSpan w:val="3"/>
            <w:shd w:val="clear" w:color="auto" w:fill="FFFFFF"/>
          </w:tcPr>
          <w:p w14:paraId="047CA830" w14:textId="4F117D92" w:rsidR="003906AD" w:rsidRDefault="003906AD" w:rsidP="003906AD"/>
        </w:tc>
        <w:tc>
          <w:tcPr>
            <w:tcW w:w="570" w:type="dxa"/>
            <w:shd w:val="clear" w:color="auto" w:fill="FFFFFF"/>
          </w:tcPr>
          <w:p w14:paraId="3D4CD995" w14:textId="6D0B2B12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4844000C" w14:textId="608033FE" w:rsidR="003906AD" w:rsidRDefault="003906AD" w:rsidP="003906AD"/>
        </w:tc>
        <w:tc>
          <w:tcPr>
            <w:tcW w:w="576" w:type="dxa"/>
            <w:gridSpan w:val="2"/>
            <w:shd w:val="clear" w:color="auto" w:fill="FFFFFF"/>
          </w:tcPr>
          <w:p w14:paraId="73C29ACE" w14:textId="31578B30" w:rsidR="003906AD" w:rsidRDefault="003906AD" w:rsidP="003906AD"/>
        </w:tc>
        <w:tc>
          <w:tcPr>
            <w:tcW w:w="1579" w:type="dxa"/>
            <w:gridSpan w:val="2"/>
            <w:shd w:val="clear" w:color="auto" w:fill="FFFFFF"/>
          </w:tcPr>
          <w:p w14:paraId="0BB9D7DC" w14:textId="06838A35" w:rsidR="003906AD" w:rsidRDefault="003906AD" w:rsidP="003906AD"/>
        </w:tc>
      </w:tr>
      <w:tr w:rsidR="003906AD" w:rsidRPr="007A0164" w14:paraId="22940A1E" w14:textId="77777777" w:rsidTr="00484B45">
        <w:trPr>
          <w:trHeight w:val="344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15917385" w14:textId="77777777" w:rsidR="003906AD" w:rsidRPr="00864ABC" w:rsidRDefault="003906AD" w:rsidP="003906A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ABC">
              <w:rPr>
                <w:rFonts w:ascii="Times New Roman" w:eastAsia="Times New Roman" w:hAnsi="Times New Roman" w:cs="Times New Roman"/>
                <w:lang w:eastAsia="pl-PL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809772F" w14:textId="7F59B797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6E2DEC96" w14:textId="2FE51FBB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72DA1E44" w14:textId="03FF16CA" w:rsidR="003906AD" w:rsidRDefault="003906AD" w:rsidP="003906AD"/>
        </w:tc>
        <w:tc>
          <w:tcPr>
            <w:tcW w:w="569" w:type="dxa"/>
            <w:gridSpan w:val="3"/>
            <w:shd w:val="clear" w:color="auto" w:fill="FFFFFF"/>
          </w:tcPr>
          <w:p w14:paraId="34C80692" w14:textId="6C19EC4B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78B0F038" w14:textId="398AD9D4" w:rsidR="003906AD" w:rsidRDefault="003906AD" w:rsidP="003906AD"/>
        </w:tc>
        <w:tc>
          <w:tcPr>
            <w:tcW w:w="570" w:type="dxa"/>
            <w:shd w:val="clear" w:color="auto" w:fill="FFFFFF"/>
          </w:tcPr>
          <w:p w14:paraId="36FC84BD" w14:textId="1ED3791A" w:rsidR="003906AD" w:rsidRDefault="003906AD" w:rsidP="003906AD"/>
        </w:tc>
        <w:tc>
          <w:tcPr>
            <w:tcW w:w="570" w:type="dxa"/>
            <w:gridSpan w:val="4"/>
            <w:shd w:val="clear" w:color="auto" w:fill="FFFFFF"/>
          </w:tcPr>
          <w:p w14:paraId="107D0BD2" w14:textId="31D9A12E" w:rsidR="003906AD" w:rsidRDefault="003906AD" w:rsidP="003906AD"/>
        </w:tc>
        <w:tc>
          <w:tcPr>
            <w:tcW w:w="570" w:type="dxa"/>
            <w:gridSpan w:val="3"/>
            <w:shd w:val="clear" w:color="auto" w:fill="FFFFFF"/>
          </w:tcPr>
          <w:p w14:paraId="283B43DE" w14:textId="0509272C" w:rsidR="003906AD" w:rsidRDefault="003906AD" w:rsidP="003906AD"/>
        </w:tc>
        <w:tc>
          <w:tcPr>
            <w:tcW w:w="570" w:type="dxa"/>
            <w:shd w:val="clear" w:color="auto" w:fill="FFFFFF"/>
          </w:tcPr>
          <w:p w14:paraId="04A7678E" w14:textId="4B308512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253C6623" w14:textId="1F6DE553" w:rsidR="003906AD" w:rsidRDefault="003906AD" w:rsidP="003906AD"/>
        </w:tc>
        <w:tc>
          <w:tcPr>
            <w:tcW w:w="576" w:type="dxa"/>
            <w:gridSpan w:val="2"/>
            <w:shd w:val="clear" w:color="auto" w:fill="FFFFFF"/>
          </w:tcPr>
          <w:p w14:paraId="1927255C" w14:textId="56035633" w:rsidR="003906AD" w:rsidRDefault="003906AD" w:rsidP="003906AD"/>
        </w:tc>
        <w:tc>
          <w:tcPr>
            <w:tcW w:w="1579" w:type="dxa"/>
            <w:gridSpan w:val="2"/>
            <w:shd w:val="clear" w:color="auto" w:fill="FFFFFF"/>
          </w:tcPr>
          <w:p w14:paraId="0DD0E955" w14:textId="590ED371" w:rsidR="003906AD" w:rsidRDefault="003906AD" w:rsidP="003906AD"/>
        </w:tc>
      </w:tr>
      <w:tr w:rsidR="003906AD" w:rsidRPr="007A0164" w14:paraId="6985D8B5" w14:textId="77777777" w:rsidTr="00484B45">
        <w:trPr>
          <w:trHeight w:val="344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2454E922" w14:textId="77777777" w:rsidR="003906AD" w:rsidRPr="00864ABC" w:rsidRDefault="003906AD" w:rsidP="003906A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ABC">
              <w:rPr>
                <w:rFonts w:ascii="Times New Roman" w:eastAsia="Times New Roman" w:hAnsi="Times New Roman" w:cs="Times New Roman"/>
                <w:lang w:eastAsia="pl-PL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88074B9" w14:textId="28D28BFD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230ABFF7" w14:textId="30513F01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6E7329A4" w14:textId="37EAD7E4" w:rsidR="003906AD" w:rsidRDefault="003906AD" w:rsidP="003906AD"/>
        </w:tc>
        <w:tc>
          <w:tcPr>
            <w:tcW w:w="569" w:type="dxa"/>
            <w:gridSpan w:val="3"/>
            <w:shd w:val="clear" w:color="auto" w:fill="FFFFFF"/>
          </w:tcPr>
          <w:p w14:paraId="53115A49" w14:textId="47690717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5BC176F6" w14:textId="2341DF37" w:rsidR="003906AD" w:rsidRDefault="003906AD" w:rsidP="003906AD"/>
        </w:tc>
        <w:tc>
          <w:tcPr>
            <w:tcW w:w="570" w:type="dxa"/>
            <w:shd w:val="clear" w:color="auto" w:fill="FFFFFF"/>
          </w:tcPr>
          <w:p w14:paraId="27FDB068" w14:textId="311CFD00" w:rsidR="003906AD" w:rsidRDefault="003906AD" w:rsidP="003906AD"/>
        </w:tc>
        <w:tc>
          <w:tcPr>
            <w:tcW w:w="570" w:type="dxa"/>
            <w:gridSpan w:val="4"/>
            <w:shd w:val="clear" w:color="auto" w:fill="FFFFFF"/>
          </w:tcPr>
          <w:p w14:paraId="4A6554FB" w14:textId="4022AF6F" w:rsidR="003906AD" w:rsidRDefault="003906AD" w:rsidP="003906AD"/>
        </w:tc>
        <w:tc>
          <w:tcPr>
            <w:tcW w:w="570" w:type="dxa"/>
            <w:gridSpan w:val="3"/>
            <w:shd w:val="clear" w:color="auto" w:fill="FFFFFF"/>
          </w:tcPr>
          <w:p w14:paraId="2C79FACD" w14:textId="0DB10547" w:rsidR="003906AD" w:rsidRDefault="003906AD" w:rsidP="003906AD"/>
        </w:tc>
        <w:tc>
          <w:tcPr>
            <w:tcW w:w="570" w:type="dxa"/>
            <w:shd w:val="clear" w:color="auto" w:fill="FFFFFF"/>
          </w:tcPr>
          <w:p w14:paraId="5E97473D" w14:textId="5B242100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6C94D4E9" w14:textId="1412DD49" w:rsidR="003906AD" w:rsidRDefault="003906AD" w:rsidP="003906AD"/>
        </w:tc>
        <w:tc>
          <w:tcPr>
            <w:tcW w:w="576" w:type="dxa"/>
            <w:gridSpan w:val="2"/>
            <w:shd w:val="clear" w:color="auto" w:fill="FFFFFF"/>
          </w:tcPr>
          <w:p w14:paraId="24B8E21C" w14:textId="32BFFCA8" w:rsidR="003906AD" w:rsidRDefault="003906AD" w:rsidP="003906AD"/>
        </w:tc>
        <w:tc>
          <w:tcPr>
            <w:tcW w:w="1579" w:type="dxa"/>
            <w:gridSpan w:val="2"/>
            <w:shd w:val="clear" w:color="auto" w:fill="FFFFFF"/>
          </w:tcPr>
          <w:p w14:paraId="63C72290" w14:textId="0A4C8948" w:rsidR="003906AD" w:rsidRDefault="003906AD" w:rsidP="003906AD"/>
        </w:tc>
      </w:tr>
      <w:tr w:rsidR="003906AD" w:rsidRPr="007A0164" w14:paraId="015A18E0" w14:textId="77777777" w:rsidTr="00484B45">
        <w:trPr>
          <w:trHeight w:val="330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4ED79542" w14:textId="77777777" w:rsidR="003906AD" w:rsidRPr="00864ABC" w:rsidRDefault="003906AD" w:rsidP="003906A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4ABC">
              <w:rPr>
                <w:rFonts w:ascii="Times New Roman" w:eastAsia="Times New Roman" w:hAnsi="Times New Roman" w:cs="Times New Roman"/>
                <w:b/>
                <w:lang w:eastAsia="pl-PL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F85E855" w14:textId="353B573D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0F2ED92D" w14:textId="408E8EF6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134E5417" w14:textId="3AE44087" w:rsidR="003906AD" w:rsidRDefault="003906AD" w:rsidP="003906AD"/>
        </w:tc>
        <w:tc>
          <w:tcPr>
            <w:tcW w:w="569" w:type="dxa"/>
            <w:gridSpan w:val="3"/>
            <w:shd w:val="clear" w:color="auto" w:fill="FFFFFF"/>
          </w:tcPr>
          <w:p w14:paraId="3EFCA76F" w14:textId="618C3D6D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7DB02630" w14:textId="5C1D7C40" w:rsidR="003906AD" w:rsidRDefault="003906AD" w:rsidP="003906AD"/>
        </w:tc>
        <w:tc>
          <w:tcPr>
            <w:tcW w:w="570" w:type="dxa"/>
            <w:shd w:val="clear" w:color="auto" w:fill="FFFFFF"/>
          </w:tcPr>
          <w:p w14:paraId="69B5E99C" w14:textId="7234948A" w:rsidR="003906AD" w:rsidRDefault="003906AD" w:rsidP="003906AD"/>
        </w:tc>
        <w:tc>
          <w:tcPr>
            <w:tcW w:w="570" w:type="dxa"/>
            <w:gridSpan w:val="4"/>
            <w:shd w:val="clear" w:color="auto" w:fill="FFFFFF"/>
          </w:tcPr>
          <w:p w14:paraId="02CFEE5A" w14:textId="6633648C" w:rsidR="003906AD" w:rsidRDefault="003906AD" w:rsidP="003906AD"/>
        </w:tc>
        <w:tc>
          <w:tcPr>
            <w:tcW w:w="570" w:type="dxa"/>
            <w:gridSpan w:val="3"/>
            <w:shd w:val="clear" w:color="auto" w:fill="FFFFFF"/>
          </w:tcPr>
          <w:p w14:paraId="7DF79CA7" w14:textId="5CA536C9" w:rsidR="003906AD" w:rsidRDefault="003906AD" w:rsidP="003906AD"/>
        </w:tc>
        <w:tc>
          <w:tcPr>
            <w:tcW w:w="570" w:type="dxa"/>
            <w:shd w:val="clear" w:color="auto" w:fill="FFFFFF"/>
          </w:tcPr>
          <w:p w14:paraId="1F41A816" w14:textId="49339463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34DA104F" w14:textId="5AD06BDC" w:rsidR="003906AD" w:rsidRDefault="003906AD" w:rsidP="003906AD"/>
        </w:tc>
        <w:tc>
          <w:tcPr>
            <w:tcW w:w="576" w:type="dxa"/>
            <w:gridSpan w:val="2"/>
            <w:shd w:val="clear" w:color="auto" w:fill="FFFFFF"/>
          </w:tcPr>
          <w:p w14:paraId="2CB08902" w14:textId="08C6C538" w:rsidR="003906AD" w:rsidRDefault="003906AD" w:rsidP="003906AD"/>
        </w:tc>
        <w:tc>
          <w:tcPr>
            <w:tcW w:w="1579" w:type="dxa"/>
            <w:gridSpan w:val="2"/>
            <w:shd w:val="clear" w:color="auto" w:fill="FFFFFF"/>
          </w:tcPr>
          <w:p w14:paraId="0B84D132" w14:textId="4C88B735" w:rsidR="003906AD" w:rsidRDefault="003906AD" w:rsidP="003906AD"/>
        </w:tc>
      </w:tr>
      <w:tr w:rsidR="003906AD" w:rsidRPr="007A0164" w14:paraId="44F45506" w14:textId="77777777" w:rsidTr="00484B45">
        <w:trPr>
          <w:trHeight w:val="330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7878F534" w14:textId="77777777" w:rsidR="003906AD" w:rsidRPr="00864ABC" w:rsidRDefault="003906AD" w:rsidP="003906A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ABC">
              <w:rPr>
                <w:rFonts w:ascii="Times New Roman" w:eastAsia="Times New Roman" w:hAnsi="Times New Roman" w:cs="Times New Roman"/>
                <w:lang w:eastAsia="pl-PL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63D60F" w14:textId="33E93922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3817E0BB" w14:textId="15418EC4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07153343" w14:textId="0F0EBEA3" w:rsidR="003906AD" w:rsidRDefault="003906AD" w:rsidP="003906AD"/>
        </w:tc>
        <w:tc>
          <w:tcPr>
            <w:tcW w:w="569" w:type="dxa"/>
            <w:gridSpan w:val="3"/>
            <w:shd w:val="clear" w:color="auto" w:fill="FFFFFF"/>
          </w:tcPr>
          <w:p w14:paraId="535C5633" w14:textId="43B426FE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1863B999" w14:textId="7148A574" w:rsidR="003906AD" w:rsidRDefault="003906AD" w:rsidP="003906AD"/>
        </w:tc>
        <w:tc>
          <w:tcPr>
            <w:tcW w:w="570" w:type="dxa"/>
            <w:shd w:val="clear" w:color="auto" w:fill="FFFFFF"/>
          </w:tcPr>
          <w:p w14:paraId="44D3D89B" w14:textId="0B00426A" w:rsidR="003906AD" w:rsidRDefault="003906AD" w:rsidP="003906AD"/>
        </w:tc>
        <w:tc>
          <w:tcPr>
            <w:tcW w:w="570" w:type="dxa"/>
            <w:gridSpan w:val="4"/>
            <w:shd w:val="clear" w:color="auto" w:fill="FFFFFF"/>
          </w:tcPr>
          <w:p w14:paraId="0E298ABA" w14:textId="240085F2" w:rsidR="003906AD" w:rsidRDefault="003906AD" w:rsidP="003906AD"/>
        </w:tc>
        <w:tc>
          <w:tcPr>
            <w:tcW w:w="570" w:type="dxa"/>
            <w:gridSpan w:val="3"/>
            <w:shd w:val="clear" w:color="auto" w:fill="FFFFFF"/>
          </w:tcPr>
          <w:p w14:paraId="6ABBC1EE" w14:textId="431F598C" w:rsidR="003906AD" w:rsidRDefault="003906AD" w:rsidP="003906AD"/>
        </w:tc>
        <w:tc>
          <w:tcPr>
            <w:tcW w:w="570" w:type="dxa"/>
            <w:shd w:val="clear" w:color="auto" w:fill="FFFFFF"/>
          </w:tcPr>
          <w:p w14:paraId="400BC8CA" w14:textId="24BB3863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1F22B47E" w14:textId="3D6EF05A" w:rsidR="003906AD" w:rsidRDefault="003906AD" w:rsidP="003906AD"/>
        </w:tc>
        <w:tc>
          <w:tcPr>
            <w:tcW w:w="570" w:type="dxa"/>
            <w:shd w:val="clear" w:color="auto" w:fill="FFFFFF"/>
          </w:tcPr>
          <w:p w14:paraId="117307B7" w14:textId="640783FC" w:rsidR="003906AD" w:rsidRDefault="003906AD" w:rsidP="003906AD"/>
        </w:tc>
        <w:tc>
          <w:tcPr>
            <w:tcW w:w="1585" w:type="dxa"/>
            <w:gridSpan w:val="3"/>
            <w:shd w:val="clear" w:color="auto" w:fill="FFFFFF"/>
          </w:tcPr>
          <w:p w14:paraId="04FBA4F7" w14:textId="0F5F4BD7" w:rsidR="003906AD" w:rsidRDefault="003906AD" w:rsidP="003906AD"/>
        </w:tc>
      </w:tr>
      <w:tr w:rsidR="003906AD" w:rsidRPr="007A0164" w14:paraId="6BC5CC86" w14:textId="77777777" w:rsidTr="00484B45">
        <w:trPr>
          <w:trHeight w:val="351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6C6E90FB" w14:textId="77777777" w:rsidR="003906AD" w:rsidRPr="00864ABC" w:rsidRDefault="003906AD" w:rsidP="003906A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ABC">
              <w:rPr>
                <w:rFonts w:ascii="Times New Roman" w:eastAsia="Times New Roman" w:hAnsi="Times New Roman" w:cs="Times New Roman"/>
                <w:lang w:eastAsia="pl-PL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8BCEA29" w14:textId="55ED4328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32702633" w14:textId="0A363D63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13763D4F" w14:textId="5DDDA900" w:rsidR="003906AD" w:rsidRDefault="003906AD" w:rsidP="003906AD"/>
        </w:tc>
        <w:tc>
          <w:tcPr>
            <w:tcW w:w="569" w:type="dxa"/>
            <w:gridSpan w:val="3"/>
            <w:shd w:val="clear" w:color="auto" w:fill="FFFFFF"/>
          </w:tcPr>
          <w:p w14:paraId="3A1ABDD1" w14:textId="1BA93B05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2EF0C4A8" w14:textId="4649F65F" w:rsidR="003906AD" w:rsidRDefault="003906AD" w:rsidP="003906AD"/>
        </w:tc>
        <w:tc>
          <w:tcPr>
            <w:tcW w:w="570" w:type="dxa"/>
            <w:shd w:val="clear" w:color="auto" w:fill="FFFFFF"/>
          </w:tcPr>
          <w:p w14:paraId="65B530AE" w14:textId="1E7D8643" w:rsidR="003906AD" w:rsidRDefault="003906AD" w:rsidP="003906AD"/>
        </w:tc>
        <w:tc>
          <w:tcPr>
            <w:tcW w:w="570" w:type="dxa"/>
            <w:gridSpan w:val="4"/>
            <w:shd w:val="clear" w:color="auto" w:fill="FFFFFF"/>
          </w:tcPr>
          <w:p w14:paraId="73196045" w14:textId="50947375" w:rsidR="003906AD" w:rsidRDefault="003906AD" w:rsidP="003906AD"/>
        </w:tc>
        <w:tc>
          <w:tcPr>
            <w:tcW w:w="570" w:type="dxa"/>
            <w:gridSpan w:val="3"/>
            <w:shd w:val="clear" w:color="auto" w:fill="FFFFFF"/>
          </w:tcPr>
          <w:p w14:paraId="2F8F27D6" w14:textId="6A1E3567" w:rsidR="003906AD" w:rsidRDefault="003906AD" w:rsidP="003906AD"/>
        </w:tc>
        <w:tc>
          <w:tcPr>
            <w:tcW w:w="570" w:type="dxa"/>
            <w:shd w:val="clear" w:color="auto" w:fill="FFFFFF"/>
          </w:tcPr>
          <w:p w14:paraId="21F7FE75" w14:textId="23F3B1D2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41E98D72" w14:textId="56F9935D" w:rsidR="003906AD" w:rsidRDefault="003906AD" w:rsidP="003906AD"/>
        </w:tc>
        <w:tc>
          <w:tcPr>
            <w:tcW w:w="570" w:type="dxa"/>
            <w:shd w:val="clear" w:color="auto" w:fill="FFFFFF"/>
          </w:tcPr>
          <w:p w14:paraId="37E41812" w14:textId="3F973AF7" w:rsidR="003906AD" w:rsidRDefault="003906AD" w:rsidP="003906AD"/>
        </w:tc>
        <w:tc>
          <w:tcPr>
            <w:tcW w:w="1585" w:type="dxa"/>
            <w:gridSpan w:val="3"/>
            <w:shd w:val="clear" w:color="auto" w:fill="FFFFFF"/>
          </w:tcPr>
          <w:p w14:paraId="447C3338" w14:textId="27BDE9F4" w:rsidR="003906AD" w:rsidRDefault="003906AD" w:rsidP="003906AD"/>
        </w:tc>
      </w:tr>
      <w:tr w:rsidR="003906AD" w:rsidRPr="007A0164" w14:paraId="6C580016" w14:textId="77777777" w:rsidTr="00484B45">
        <w:trPr>
          <w:trHeight w:val="351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1E442113" w14:textId="77777777" w:rsidR="003906AD" w:rsidRPr="00864ABC" w:rsidRDefault="003906AD" w:rsidP="003906A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ABC">
              <w:rPr>
                <w:rFonts w:ascii="Times New Roman" w:eastAsia="Times New Roman" w:hAnsi="Times New Roman" w:cs="Times New Roman"/>
                <w:lang w:eastAsia="pl-PL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6B59B10" w14:textId="3BC4EF69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700A8163" w14:textId="0D216AB6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5E12A53B" w14:textId="56077A3E" w:rsidR="003906AD" w:rsidRDefault="003906AD" w:rsidP="003906AD"/>
        </w:tc>
        <w:tc>
          <w:tcPr>
            <w:tcW w:w="569" w:type="dxa"/>
            <w:gridSpan w:val="3"/>
            <w:shd w:val="clear" w:color="auto" w:fill="FFFFFF"/>
          </w:tcPr>
          <w:p w14:paraId="0C59A26D" w14:textId="77E98A37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65B8E8D7" w14:textId="55685D2F" w:rsidR="003906AD" w:rsidRDefault="003906AD" w:rsidP="003906AD"/>
        </w:tc>
        <w:tc>
          <w:tcPr>
            <w:tcW w:w="570" w:type="dxa"/>
            <w:shd w:val="clear" w:color="auto" w:fill="FFFFFF"/>
          </w:tcPr>
          <w:p w14:paraId="01C9779F" w14:textId="1FCBC1FF" w:rsidR="003906AD" w:rsidRDefault="003906AD" w:rsidP="003906AD"/>
        </w:tc>
        <w:tc>
          <w:tcPr>
            <w:tcW w:w="570" w:type="dxa"/>
            <w:gridSpan w:val="4"/>
            <w:shd w:val="clear" w:color="auto" w:fill="FFFFFF"/>
          </w:tcPr>
          <w:p w14:paraId="28FEB760" w14:textId="7172B64C" w:rsidR="003906AD" w:rsidRDefault="003906AD" w:rsidP="003906AD"/>
        </w:tc>
        <w:tc>
          <w:tcPr>
            <w:tcW w:w="570" w:type="dxa"/>
            <w:gridSpan w:val="3"/>
            <w:shd w:val="clear" w:color="auto" w:fill="FFFFFF"/>
          </w:tcPr>
          <w:p w14:paraId="4ECDA296" w14:textId="58C86783" w:rsidR="003906AD" w:rsidRDefault="003906AD" w:rsidP="003906AD"/>
        </w:tc>
        <w:tc>
          <w:tcPr>
            <w:tcW w:w="570" w:type="dxa"/>
            <w:shd w:val="clear" w:color="auto" w:fill="FFFFFF"/>
          </w:tcPr>
          <w:p w14:paraId="41E334A0" w14:textId="1B37E7A1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4466B9B0" w14:textId="4ABDD990" w:rsidR="003906AD" w:rsidRDefault="003906AD" w:rsidP="003906AD"/>
        </w:tc>
        <w:tc>
          <w:tcPr>
            <w:tcW w:w="570" w:type="dxa"/>
            <w:shd w:val="clear" w:color="auto" w:fill="FFFFFF"/>
          </w:tcPr>
          <w:p w14:paraId="33EE6D6E" w14:textId="70504D7D" w:rsidR="003906AD" w:rsidRDefault="003906AD" w:rsidP="003906AD"/>
        </w:tc>
        <w:tc>
          <w:tcPr>
            <w:tcW w:w="1585" w:type="dxa"/>
            <w:gridSpan w:val="3"/>
            <w:shd w:val="clear" w:color="auto" w:fill="FFFFFF"/>
          </w:tcPr>
          <w:p w14:paraId="5CE8DC4B" w14:textId="53B9AEFE" w:rsidR="003906AD" w:rsidRDefault="003906AD" w:rsidP="003906AD"/>
        </w:tc>
      </w:tr>
      <w:tr w:rsidR="003906AD" w:rsidRPr="007A0164" w14:paraId="519F58A9" w14:textId="77777777" w:rsidTr="00484B45">
        <w:trPr>
          <w:trHeight w:val="360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070839D7" w14:textId="77777777" w:rsidR="003906AD" w:rsidRPr="00864ABC" w:rsidRDefault="003906AD" w:rsidP="003906A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64ABC">
              <w:rPr>
                <w:rFonts w:ascii="Times New Roman" w:eastAsia="Times New Roman" w:hAnsi="Times New Roman" w:cs="Times New Roman"/>
                <w:b/>
                <w:lang w:eastAsia="pl-PL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19FABAB" w14:textId="157B2669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4589B2A9" w14:textId="307D3F58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4E97DAAE" w14:textId="4FF3EB75" w:rsidR="003906AD" w:rsidRDefault="003906AD" w:rsidP="003906AD"/>
        </w:tc>
        <w:tc>
          <w:tcPr>
            <w:tcW w:w="569" w:type="dxa"/>
            <w:gridSpan w:val="3"/>
            <w:shd w:val="clear" w:color="auto" w:fill="FFFFFF"/>
          </w:tcPr>
          <w:p w14:paraId="32AD2485" w14:textId="5B9CD533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375EDDF4" w14:textId="2AABDC5F" w:rsidR="003906AD" w:rsidRDefault="003906AD" w:rsidP="003906AD"/>
        </w:tc>
        <w:tc>
          <w:tcPr>
            <w:tcW w:w="570" w:type="dxa"/>
            <w:shd w:val="clear" w:color="auto" w:fill="FFFFFF"/>
          </w:tcPr>
          <w:p w14:paraId="4D75B919" w14:textId="1E31EFFF" w:rsidR="003906AD" w:rsidRDefault="003906AD" w:rsidP="003906AD"/>
        </w:tc>
        <w:tc>
          <w:tcPr>
            <w:tcW w:w="570" w:type="dxa"/>
            <w:gridSpan w:val="4"/>
            <w:shd w:val="clear" w:color="auto" w:fill="FFFFFF"/>
          </w:tcPr>
          <w:p w14:paraId="384ADDA8" w14:textId="7CD0C80C" w:rsidR="003906AD" w:rsidRDefault="003906AD" w:rsidP="003906AD"/>
        </w:tc>
        <w:tc>
          <w:tcPr>
            <w:tcW w:w="570" w:type="dxa"/>
            <w:gridSpan w:val="3"/>
            <w:shd w:val="clear" w:color="auto" w:fill="FFFFFF"/>
          </w:tcPr>
          <w:p w14:paraId="2B264D40" w14:textId="70978053" w:rsidR="003906AD" w:rsidRDefault="003906AD" w:rsidP="003906AD"/>
        </w:tc>
        <w:tc>
          <w:tcPr>
            <w:tcW w:w="570" w:type="dxa"/>
            <w:shd w:val="clear" w:color="auto" w:fill="FFFFFF"/>
          </w:tcPr>
          <w:p w14:paraId="776E5435" w14:textId="7F22D5AD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5EA16BCA" w14:textId="766C52D8" w:rsidR="003906AD" w:rsidRDefault="003906AD" w:rsidP="003906AD"/>
        </w:tc>
        <w:tc>
          <w:tcPr>
            <w:tcW w:w="570" w:type="dxa"/>
            <w:shd w:val="clear" w:color="auto" w:fill="FFFFFF"/>
          </w:tcPr>
          <w:p w14:paraId="71B10C02" w14:textId="34B31232" w:rsidR="003906AD" w:rsidRDefault="003906AD" w:rsidP="003906AD"/>
        </w:tc>
        <w:tc>
          <w:tcPr>
            <w:tcW w:w="1585" w:type="dxa"/>
            <w:gridSpan w:val="3"/>
            <w:shd w:val="clear" w:color="auto" w:fill="FFFFFF"/>
          </w:tcPr>
          <w:p w14:paraId="30268A96" w14:textId="54CDC707" w:rsidR="003906AD" w:rsidRDefault="003906AD" w:rsidP="003906AD"/>
        </w:tc>
      </w:tr>
      <w:tr w:rsidR="003906AD" w:rsidRPr="007A0164" w14:paraId="4BBB7025" w14:textId="77777777" w:rsidTr="00484B45">
        <w:trPr>
          <w:trHeight w:val="360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69191FC3" w14:textId="77777777" w:rsidR="003906AD" w:rsidRPr="00864ABC" w:rsidRDefault="003906AD" w:rsidP="003906A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ABC">
              <w:rPr>
                <w:rFonts w:ascii="Times New Roman" w:eastAsia="Times New Roman" w:hAnsi="Times New Roman" w:cs="Times New Roman"/>
                <w:lang w:eastAsia="pl-PL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3E469EA" w14:textId="75594097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6CBFE2F6" w14:textId="7C0FD404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1872F6F9" w14:textId="0645A4B4" w:rsidR="003906AD" w:rsidRDefault="003906AD" w:rsidP="003906AD"/>
        </w:tc>
        <w:tc>
          <w:tcPr>
            <w:tcW w:w="569" w:type="dxa"/>
            <w:gridSpan w:val="3"/>
            <w:shd w:val="clear" w:color="auto" w:fill="FFFFFF"/>
          </w:tcPr>
          <w:p w14:paraId="0D796ED3" w14:textId="38CC3B9F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069D4941" w14:textId="0E181F60" w:rsidR="003906AD" w:rsidRDefault="003906AD" w:rsidP="003906AD"/>
        </w:tc>
        <w:tc>
          <w:tcPr>
            <w:tcW w:w="570" w:type="dxa"/>
            <w:shd w:val="clear" w:color="auto" w:fill="FFFFFF"/>
          </w:tcPr>
          <w:p w14:paraId="5B1009B8" w14:textId="4E786CD5" w:rsidR="003906AD" w:rsidRDefault="003906AD" w:rsidP="003906AD"/>
        </w:tc>
        <w:tc>
          <w:tcPr>
            <w:tcW w:w="570" w:type="dxa"/>
            <w:gridSpan w:val="4"/>
            <w:shd w:val="clear" w:color="auto" w:fill="FFFFFF"/>
          </w:tcPr>
          <w:p w14:paraId="1151C026" w14:textId="7CF401BD" w:rsidR="003906AD" w:rsidRDefault="003906AD" w:rsidP="003906AD"/>
        </w:tc>
        <w:tc>
          <w:tcPr>
            <w:tcW w:w="570" w:type="dxa"/>
            <w:gridSpan w:val="3"/>
            <w:shd w:val="clear" w:color="auto" w:fill="FFFFFF"/>
          </w:tcPr>
          <w:p w14:paraId="08451F4A" w14:textId="37F3B21C" w:rsidR="003906AD" w:rsidRDefault="003906AD" w:rsidP="003906AD"/>
        </w:tc>
        <w:tc>
          <w:tcPr>
            <w:tcW w:w="570" w:type="dxa"/>
            <w:shd w:val="clear" w:color="auto" w:fill="FFFFFF"/>
          </w:tcPr>
          <w:p w14:paraId="5ECE172C" w14:textId="1B04BF28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235BE327" w14:textId="202612FC" w:rsidR="003906AD" w:rsidRDefault="003906AD" w:rsidP="003906AD"/>
        </w:tc>
        <w:tc>
          <w:tcPr>
            <w:tcW w:w="570" w:type="dxa"/>
            <w:shd w:val="clear" w:color="auto" w:fill="FFFFFF"/>
          </w:tcPr>
          <w:p w14:paraId="172625CA" w14:textId="6FB322E3" w:rsidR="003906AD" w:rsidRDefault="003906AD" w:rsidP="003906AD"/>
        </w:tc>
        <w:tc>
          <w:tcPr>
            <w:tcW w:w="1585" w:type="dxa"/>
            <w:gridSpan w:val="3"/>
            <w:shd w:val="clear" w:color="auto" w:fill="FFFFFF"/>
          </w:tcPr>
          <w:p w14:paraId="2D8468F6" w14:textId="464E5A65" w:rsidR="003906AD" w:rsidRDefault="003906AD" w:rsidP="003906AD"/>
        </w:tc>
      </w:tr>
      <w:tr w:rsidR="003906AD" w:rsidRPr="007A0164" w14:paraId="7986FC15" w14:textId="77777777" w:rsidTr="00484B45">
        <w:trPr>
          <w:trHeight w:val="357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70CA1FEB" w14:textId="77777777" w:rsidR="003906AD" w:rsidRPr="00864ABC" w:rsidRDefault="003906AD" w:rsidP="003906A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ABC">
              <w:rPr>
                <w:rFonts w:ascii="Times New Roman" w:eastAsia="Times New Roman" w:hAnsi="Times New Roman" w:cs="Times New Roman"/>
                <w:lang w:eastAsia="pl-PL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5376A77" w14:textId="46EEBF50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09FC26E2" w14:textId="502E4C1C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296C62CD" w14:textId="1B2AA52B" w:rsidR="003906AD" w:rsidRDefault="003906AD" w:rsidP="003906AD"/>
        </w:tc>
        <w:tc>
          <w:tcPr>
            <w:tcW w:w="569" w:type="dxa"/>
            <w:gridSpan w:val="3"/>
            <w:shd w:val="clear" w:color="auto" w:fill="FFFFFF"/>
          </w:tcPr>
          <w:p w14:paraId="3E171CE0" w14:textId="4E0F11AD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17BBA561" w14:textId="3325F663" w:rsidR="003906AD" w:rsidRDefault="003906AD" w:rsidP="003906AD"/>
        </w:tc>
        <w:tc>
          <w:tcPr>
            <w:tcW w:w="570" w:type="dxa"/>
            <w:shd w:val="clear" w:color="auto" w:fill="FFFFFF"/>
          </w:tcPr>
          <w:p w14:paraId="14C43236" w14:textId="5269F3F4" w:rsidR="003906AD" w:rsidRDefault="003906AD" w:rsidP="003906AD"/>
        </w:tc>
        <w:tc>
          <w:tcPr>
            <w:tcW w:w="570" w:type="dxa"/>
            <w:gridSpan w:val="4"/>
            <w:shd w:val="clear" w:color="auto" w:fill="FFFFFF"/>
          </w:tcPr>
          <w:p w14:paraId="45C70F65" w14:textId="45C0B620" w:rsidR="003906AD" w:rsidRDefault="003906AD" w:rsidP="003906AD"/>
        </w:tc>
        <w:tc>
          <w:tcPr>
            <w:tcW w:w="570" w:type="dxa"/>
            <w:gridSpan w:val="3"/>
            <w:shd w:val="clear" w:color="auto" w:fill="FFFFFF"/>
          </w:tcPr>
          <w:p w14:paraId="00A65E00" w14:textId="0D17C557" w:rsidR="003906AD" w:rsidRDefault="003906AD" w:rsidP="003906AD"/>
        </w:tc>
        <w:tc>
          <w:tcPr>
            <w:tcW w:w="570" w:type="dxa"/>
            <w:shd w:val="clear" w:color="auto" w:fill="FFFFFF"/>
          </w:tcPr>
          <w:p w14:paraId="0970E458" w14:textId="63FA5AAB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4AF4BC3E" w14:textId="16753794" w:rsidR="003906AD" w:rsidRDefault="003906AD" w:rsidP="003906AD"/>
        </w:tc>
        <w:tc>
          <w:tcPr>
            <w:tcW w:w="570" w:type="dxa"/>
            <w:shd w:val="clear" w:color="auto" w:fill="FFFFFF"/>
          </w:tcPr>
          <w:p w14:paraId="29E66550" w14:textId="29E1D9FF" w:rsidR="003906AD" w:rsidRDefault="003906AD" w:rsidP="003906AD"/>
        </w:tc>
        <w:tc>
          <w:tcPr>
            <w:tcW w:w="1585" w:type="dxa"/>
            <w:gridSpan w:val="3"/>
            <w:shd w:val="clear" w:color="auto" w:fill="FFFFFF"/>
          </w:tcPr>
          <w:p w14:paraId="06C97480" w14:textId="5874CC13" w:rsidR="003906AD" w:rsidRDefault="003906AD" w:rsidP="003906AD"/>
        </w:tc>
      </w:tr>
      <w:tr w:rsidR="003906AD" w:rsidRPr="007A0164" w14:paraId="7D09249F" w14:textId="77777777" w:rsidTr="00484B45">
        <w:trPr>
          <w:trHeight w:val="357"/>
        </w:trPr>
        <w:tc>
          <w:tcPr>
            <w:tcW w:w="3132" w:type="dxa"/>
            <w:gridSpan w:val="4"/>
            <w:shd w:val="clear" w:color="auto" w:fill="FFFFFF"/>
            <w:vAlign w:val="center"/>
          </w:tcPr>
          <w:p w14:paraId="4A81AA90" w14:textId="77777777" w:rsidR="003906AD" w:rsidRPr="00864ABC" w:rsidRDefault="003906AD" w:rsidP="003906A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ABC">
              <w:rPr>
                <w:rFonts w:ascii="Times New Roman" w:eastAsia="Times New Roman" w:hAnsi="Times New Roman" w:cs="Times New Roman"/>
                <w:lang w:eastAsia="pl-PL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B7936BE" w14:textId="13C5D6D6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24360E76" w14:textId="27CF92BB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48D58D06" w14:textId="613CD23E" w:rsidR="003906AD" w:rsidRDefault="003906AD" w:rsidP="003906AD"/>
        </w:tc>
        <w:tc>
          <w:tcPr>
            <w:tcW w:w="569" w:type="dxa"/>
            <w:gridSpan w:val="3"/>
            <w:shd w:val="clear" w:color="auto" w:fill="FFFFFF"/>
          </w:tcPr>
          <w:p w14:paraId="438FF5F2" w14:textId="755A8B35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04DB2BCB" w14:textId="2D9B65AB" w:rsidR="003906AD" w:rsidRDefault="003906AD" w:rsidP="003906AD"/>
        </w:tc>
        <w:tc>
          <w:tcPr>
            <w:tcW w:w="570" w:type="dxa"/>
            <w:shd w:val="clear" w:color="auto" w:fill="FFFFFF"/>
          </w:tcPr>
          <w:p w14:paraId="672BCD48" w14:textId="3D981CE0" w:rsidR="003906AD" w:rsidRDefault="003906AD" w:rsidP="003906AD"/>
        </w:tc>
        <w:tc>
          <w:tcPr>
            <w:tcW w:w="570" w:type="dxa"/>
            <w:gridSpan w:val="4"/>
            <w:shd w:val="clear" w:color="auto" w:fill="FFFFFF"/>
          </w:tcPr>
          <w:p w14:paraId="166F2863" w14:textId="0F98895B" w:rsidR="003906AD" w:rsidRDefault="003906AD" w:rsidP="003906AD"/>
        </w:tc>
        <w:tc>
          <w:tcPr>
            <w:tcW w:w="570" w:type="dxa"/>
            <w:gridSpan w:val="3"/>
            <w:shd w:val="clear" w:color="auto" w:fill="FFFFFF"/>
          </w:tcPr>
          <w:p w14:paraId="416D20A7" w14:textId="69DA2293" w:rsidR="003906AD" w:rsidRDefault="003906AD" w:rsidP="003906AD"/>
        </w:tc>
        <w:tc>
          <w:tcPr>
            <w:tcW w:w="570" w:type="dxa"/>
            <w:shd w:val="clear" w:color="auto" w:fill="FFFFFF"/>
          </w:tcPr>
          <w:p w14:paraId="128A7379" w14:textId="706D5C48" w:rsidR="003906AD" w:rsidRDefault="003906AD" w:rsidP="003906AD"/>
        </w:tc>
        <w:tc>
          <w:tcPr>
            <w:tcW w:w="570" w:type="dxa"/>
            <w:gridSpan w:val="2"/>
            <w:shd w:val="clear" w:color="auto" w:fill="FFFFFF"/>
          </w:tcPr>
          <w:p w14:paraId="647CA366" w14:textId="2E7A322A" w:rsidR="003906AD" w:rsidRDefault="003906AD" w:rsidP="003906AD"/>
        </w:tc>
        <w:tc>
          <w:tcPr>
            <w:tcW w:w="570" w:type="dxa"/>
            <w:shd w:val="clear" w:color="auto" w:fill="FFFFFF"/>
          </w:tcPr>
          <w:p w14:paraId="1C9573F9" w14:textId="20E3406A" w:rsidR="003906AD" w:rsidRDefault="003906AD" w:rsidP="003906AD"/>
        </w:tc>
        <w:tc>
          <w:tcPr>
            <w:tcW w:w="1585" w:type="dxa"/>
            <w:gridSpan w:val="3"/>
            <w:shd w:val="clear" w:color="auto" w:fill="FFFFFF"/>
          </w:tcPr>
          <w:p w14:paraId="2C8ECADC" w14:textId="492ADD1A" w:rsidR="003906AD" w:rsidRDefault="003906AD" w:rsidP="003906AD"/>
        </w:tc>
      </w:tr>
      <w:tr w:rsidR="003906AD" w:rsidRPr="007A0164" w14:paraId="4FA1155C" w14:textId="77777777" w:rsidTr="00484B45">
        <w:trPr>
          <w:trHeight w:val="348"/>
        </w:trPr>
        <w:tc>
          <w:tcPr>
            <w:tcW w:w="2242" w:type="dxa"/>
            <w:gridSpan w:val="2"/>
            <w:shd w:val="clear" w:color="auto" w:fill="FFFFFF"/>
            <w:vAlign w:val="center"/>
          </w:tcPr>
          <w:p w14:paraId="62CEEBA2" w14:textId="77777777" w:rsidR="003906AD" w:rsidRPr="00864ABC" w:rsidRDefault="003906AD" w:rsidP="003906A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ABC">
              <w:rPr>
                <w:rFonts w:ascii="Times New Roman" w:eastAsia="Times New Roman" w:hAnsi="Times New Roman" w:cs="Times New Roman"/>
                <w:lang w:eastAsia="pl-PL"/>
              </w:rPr>
              <w:t xml:space="preserve">Źródła finansowania </w:t>
            </w:r>
          </w:p>
        </w:tc>
        <w:tc>
          <w:tcPr>
            <w:tcW w:w="8743" w:type="dxa"/>
            <w:gridSpan w:val="28"/>
            <w:shd w:val="clear" w:color="auto" w:fill="FFFFFF"/>
            <w:vAlign w:val="center"/>
          </w:tcPr>
          <w:p w14:paraId="27B3CF49" w14:textId="77777777" w:rsidR="008709CB" w:rsidRDefault="008709CB" w:rsidP="008709CB">
            <w:pPr>
              <w:spacing w:after="0" w:line="240" w:lineRule="auto"/>
              <w:jc w:val="both"/>
              <w:rPr>
                <w:rFonts w:ascii="Times New Roman" w:eastAsia="HiddenHorzOCR" w:hAnsi="Times New Roman"/>
                <w:lang w:eastAsia="pl-PL"/>
              </w:rPr>
            </w:pPr>
            <w:r w:rsidRPr="00DF20A5">
              <w:rPr>
                <w:rFonts w:ascii="Times New Roman" w:eastAsia="HiddenHorzOCR" w:hAnsi="Times New Roman"/>
                <w:lang w:eastAsia="pl-PL"/>
              </w:rPr>
              <w:t xml:space="preserve">Wejście w życie rozporządzenia nie </w:t>
            </w:r>
            <w:r>
              <w:rPr>
                <w:rFonts w:ascii="Times New Roman" w:eastAsia="HiddenHorzOCR" w:hAnsi="Times New Roman"/>
                <w:lang w:eastAsia="pl-PL"/>
              </w:rPr>
              <w:t xml:space="preserve">wpłynie </w:t>
            </w:r>
            <w:r w:rsidRPr="007D6C8A">
              <w:rPr>
                <w:rFonts w:ascii="Times New Roman" w:eastAsia="HiddenHorzOCR" w:hAnsi="Times New Roman"/>
                <w:lang w:eastAsia="pl-PL"/>
              </w:rPr>
              <w:t xml:space="preserve">na dochody i wydatki sektora finansów </w:t>
            </w:r>
            <w:r>
              <w:rPr>
                <w:rFonts w:ascii="Times New Roman" w:eastAsia="HiddenHorzOCR" w:hAnsi="Times New Roman"/>
                <w:lang w:eastAsia="pl-PL"/>
              </w:rPr>
              <w:t>p</w:t>
            </w:r>
            <w:r w:rsidRPr="007D6C8A">
              <w:rPr>
                <w:rFonts w:ascii="Times New Roman" w:eastAsia="HiddenHorzOCR" w:hAnsi="Times New Roman"/>
                <w:lang w:eastAsia="pl-PL"/>
              </w:rPr>
              <w:t xml:space="preserve">ublicznych i jednostek samorządu terytorialnego. </w:t>
            </w:r>
          </w:p>
          <w:p w14:paraId="2B4D4D74" w14:textId="77777777" w:rsidR="003906AD" w:rsidRPr="00262F7A" w:rsidRDefault="003906AD" w:rsidP="00870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906AD" w:rsidRPr="007A0164" w14:paraId="54CC2702" w14:textId="77777777" w:rsidTr="00484B45">
        <w:trPr>
          <w:trHeight w:val="344"/>
        </w:trPr>
        <w:tc>
          <w:tcPr>
            <w:tcW w:w="2242" w:type="dxa"/>
            <w:gridSpan w:val="2"/>
            <w:shd w:val="clear" w:color="auto" w:fill="FFFFFF"/>
          </w:tcPr>
          <w:p w14:paraId="71BD496E" w14:textId="145E767F" w:rsidR="003906AD" w:rsidRPr="00864ABC" w:rsidRDefault="003906AD" w:rsidP="00864ABC">
            <w:pPr>
              <w:spacing w:after="0" w:line="28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864ABC">
              <w:rPr>
                <w:rFonts w:ascii="Times New Roman" w:eastAsia="Times New Roman" w:hAnsi="Times New Roman" w:cs="Times New Roman"/>
                <w:lang w:eastAsia="pl-PL"/>
              </w:rPr>
              <w:t xml:space="preserve">Dodatkowe </w:t>
            </w:r>
            <w:r w:rsidR="00864ABC" w:rsidRPr="00864ABC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864ABC">
              <w:rPr>
                <w:rFonts w:ascii="Times New Roman" w:eastAsia="Times New Roman" w:hAnsi="Times New Roman" w:cs="Times New Roman"/>
                <w:lang w:eastAsia="pl-PL"/>
              </w:rPr>
              <w:t>nformacje, w tym wskazanie źródeł danych i przyjętych do obliczeń założeń</w:t>
            </w:r>
          </w:p>
        </w:tc>
        <w:tc>
          <w:tcPr>
            <w:tcW w:w="8743" w:type="dxa"/>
            <w:gridSpan w:val="28"/>
            <w:shd w:val="clear" w:color="auto" w:fill="FFFFFF"/>
          </w:tcPr>
          <w:p w14:paraId="05B6E718" w14:textId="77777777" w:rsidR="003906AD" w:rsidRPr="007A0164" w:rsidRDefault="003906AD" w:rsidP="003906A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3906AD" w:rsidRPr="004A4DFC" w14:paraId="4BD074BF" w14:textId="77777777" w:rsidTr="00484B45">
        <w:trPr>
          <w:trHeight w:val="345"/>
        </w:trPr>
        <w:tc>
          <w:tcPr>
            <w:tcW w:w="10985" w:type="dxa"/>
            <w:gridSpan w:val="30"/>
            <w:shd w:val="clear" w:color="auto" w:fill="99CCFF"/>
          </w:tcPr>
          <w:p w14:paraId="370166C5" w14:textId="77777777" w:rsidR="003906AD" w:rsidRPr="00F12F3B" w:rsidRDefault="003906AD" w:rsidP="003906AD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7. Wpływ na konkurencyjność gospodarki i przedsiębiorczość, w tym funkcjonowanie przedsiębiorców oraz na rodzinę, obywateli i gospodarstwa domowe </w:t>
            </w:r>
          </w:p>
        </w:tc>
      </w:tr>
      <w:tr w:rsidR="008709CB" w:rsidRPr="007A0164" w14:paraId="1CCCC4D1" w14:textId="77777777" w:rsidTr="00484B45">
        <w:trPr>
          <w:trHeight w:val="142"/>
        </w:trPr>
        <w:tc>
          <w:tcPr>
            <w:tcW w:w="10985" w:type="dxa"/>
            <w:gridSpan w:val="30"/>
            <w:shd w:val="clear" w:color="auto" w:fill="FFFFFF"/>
          </w:tcPr>
          <w:p w14:paraId="171BB3C8" w14:textId="16F31AB4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709CB" w:rsidRPr="007A0164" w14:paraId="017E2E0D" w14:textId="77777777" w:rsidTr="00484B45">
        <w:trPr>
          <w:trHeight w:val="142"/>
        </w:trPr>
        <w:tc>
          <w:tcPr>
            <w:tcW w:w="3888" w:type="dxa"/>
            <w:gridSpan w:val="7"/>
            <w:shd w:val="clear" w:color="auto" w:fill="FFFFFF"/>
          </w:tcPr>
          <w:p w14:paraId="76A75280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C14EAC5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97F3B32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10EA669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6A12DB4A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0739B38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E169E6B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71" w:type="dxa"/>
            <w:shd w:val="clear" w:color="auto" w:fill="FFFFFF"/>
          </w:tcPr>
          <w:p w14:paraId="64C83813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>Łącznie</w:t>
            </w:r>
            <w:r w:rsidRPr="00A86614" w:rsidDel="0073273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01C1C7F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>(0-10)</w:t>
            </w:r>
          </w:p>
        </w:tc>
      </w:tr>
      <w:tr w:rsidR="008709CB" w:rsidRPr="007A0164" w14:paraId="7274B850" w14:textId="77777777" w:rsidTr="00484B45">
        <w:trPr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60B94A37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ujęciu pieniężnym</w:t>
            </w:r>
          </w:p>
          <w:p w14:paraId="3F61013D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 xml:space="preserve">(w mln zł, </w:t>
            </w:r>
          </w:p>
          <w:p w14:paraId="07795DA0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6097C25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4EC7A0C" w14:textId="0C7109F0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F12F9B3" w14:textId="163E7B0B" w:rsidR="008709CB" w:rsidRPr="00A86614" w:rsidRDefault="008709CB" w:rsidP="00870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6020B9D" w14:textId="76030D90" w:rsidR="008709CB" w:rsidRPr="00A86614" w:rsidRDefault="008709CB" w:rsidP="00870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278459BB" w14:textId="6E2C52D5" w:rsidR="008709CB" w:rsidRPr="00A86614" w:rsidRDefault="008709CB" w:rsidP="00870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B7330A7" w14:textId="741FD139" w:rsidR="008709CB" w:rsidRPr="00A86614" w:rsidRDefault="008709CB" w:rsidP="00870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D1E48B7" w14:textId="03AA78F6" w:rsidR="008709CB" w:rsidRPr="00A86614" w:rsidRDefault="008709CB" w:rsidP="00870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shd w:val="clear" w:color="auto" w:fill="FFFFFF"/>
          </w:tcPr>
          <w:p w14:paraId="7DD86A58" w14:textId="6796E758" w:rsidR="008709CB" w:rsidRPr="00A86614" w:rsidRDefault="008709CB" w:rsidP="008709CB">
            <w:pPr>
              <w:rPr>
                <w:rFonts w:ascii="Times New Roman" w:hAnsi="Times New Roman" w:cs="Times New Roman"/>
              </w:rPr>
            </w:pPr>
          </w:p>
        </w:tc>
      </w:tr>
      <w:tr w:rsidR="008709CB" w:rsidRPr="007A0164" w14:paraId="3162873C" w14:textId="77777777" w:rsidTr="00484B45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02CFC921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863B866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4A610DA" w14:textId="5B8E309F" w:rsidR="008709CB" w:rsidRPr="00A86614" w:rsidRDefault="008709CB" w:rsidP="00870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1E1460D" w14:textId="23360CC9" w:rsidR="008709CB" w:rsidRPr="00A86614" w:rsidRDefault="008709CB" w:rsidP="00870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A4925CF" w14:textId="6B95517C" w:rsidR="008709CB" w:rsidRPr="00A86614" w:rsidRDefault="008709CB" w:rsidP="00870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333C3BCF" w14:textId="5A63F369" w:rsidR="008709CB" w:rsidRPr="00A86614" w:rsidRDefault="008709CB" w:rsidP="00870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8CF4439" w14:textId="477DFC9A" w:rsidR="008709CB" w:rsidRPr="00A86614" w:rsidRDefault="008709CB" w:rsidP="00870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279183F" w14:textId="47508AA5" w:rsidR="008709CB" w:rsidRPr="00A86614" w:rsidRDefault="008709CB" w:rsidP="00870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shd w:val="clear" w:color="auto" w:fill="FFFFFF"/>
          </w:tcPr>
          <w:p w14:paraId="6AA4050C" w14:textId="77E3A897" w:rsidR="008709CB" w:rsidRPr="00A86614" w:rsidRDefault="008709CB" w:rsidP="008709CB">
            <w:pPr>
              <w:rPr>
                <w:rFonts w:ascii="Times New Roman" w:hAnsi="Times New Roman" w:cs="Times New Roman"/>
              </w:rPr>
            </w:pPr>
          </w:p>
        </w:tc>
      </w:tr>
      <w:tr w:rsidR="008709CB" w:rsidRPr="007A0164" w14:paraId="0B897F62" w14:textId="77777777" w:rsidTr="00484B45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2BEAD586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B0E4F84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F0D72FE" w14:textId="73C7A216" w:rsidR="008709CB" w:rsidRPr="00A86614" w:rsidRDefault="008709CB" w:rsidP="00870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2012D73" w14:textId="4CA2224C" w:rsidR="008709CB" w:rsidRPr="00A86614" w:rsidRDefault="008709CB" w:rsidP="00870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23970F0" w14:textId="030AA4A4" w:rsidR="008709CB" w:rsidRPr="00A86614" w:rsidRDefault="008709CB" w:rsidP="00870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50AE910F" w14:textId="4A5AD1B0" w:rsidR="008709CB" w:rsidRPr="00A86614" w:rsidRDefault="008709CB" w:rsidP="00870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3FFDF8A" w14:textId="192B29EE" w:rsidR="008709CB" w:rsidRPr="00A86614" w:rsidRDefault="008709CB" w:rsidP="00870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A2F8AF9" w14:textId="27F4438A" w:rsidR="008709CB" w:rsidRPr="00A86614" w:rsidRDefault="008709CB" w:rsidP="00870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shd w:val="clear" w:color="auto" w:fill="FFFFFF"/>
          </w:tcPr>
          <w:p w14:paraId="2CF34421" w14:textId="60CFC1D3" w:rsidR="008709CB" w:rsidRPr="00A86614" w:rsidRDefault="008709CB" w:rsidP="008709CB">
            <w:pPr>
              <w:rPr>
                <w:rFonts w:ascii="Times New Roman" w:hAnsi="Times New Roman" w:cs="Times New Roman"/>
              </w:rPr>
            </w:pPr>
          </w:p>
        </w:tc>
      </w:tr>
      <w:tr w:rsidR="008709CB" w:rsidRPr="007A0164" w14:paraId="7F97B288" w14:textId="77777777" w:rsidTr="00484B45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34E87A77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5AEF2FB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33AC7986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ABEEA8F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9396AD6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7AC44305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64C0842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DE5A61E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1" w:type="dxa"/>
            <w:shd w:val="clear" w:color="auto" w:fill="FFFFFF"/>
          </w:tcPr>
          <w:p w14:paraId="2E229415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709CB" w:rsidRPr="007A0164" w14:paraId="6BE4EA24" w14:textId="77777777" w:rsidTr="00484B45">
        <w:trPr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79A9017D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3AB22CD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>duże przedsiębiorstwa</w:t>
            </w:r>
          </w:p>
        </w:tc>
        <w:tc>
          <w:tcPr>
            <w:tcW w:w="7097" w:type="dxa"/>
            <w:gridSpan w:val="23"/>
            <w:shd w:val="clear" w:color="auto" w:fill="FFFFFF"/>
          </w:tcPr>
          <w:p w14:paraId="3762FF32" w14:textId="4AB2D693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709CB" w:rsidRPr="007A0164" w14:paraId="6ACBC161" w14:textId="77777777" w:rsidTr="00484B45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47F76422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8C94C55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>sektor mikro-, małych i średnich przedsiębiorstw</w:t>
            </w:r>
          </w:p>
        </w:tc>
        <w:tc>
          <w:tcPr>
            <w:tcW w:w="7097" w:type="dxa"/>
            <w:gridSpan w:val="23"/>
            <w:shd w:val="clear" w:color="auto" w:fill="FFFFFF"/>
          </w:tcPr>
          <w:p w14:paraId="5D824CDE" w14:textId="397D1169" w:rsidR="008709CB" w:rsidRPr="00A86614" w:rsidRDefault="00EB4FAE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76406">
              <w:rPr>
                <w:rFonts w:ascii="Times New Roman" w:eastAsia="Calibri" w:hAnsi="Times New Roman" w:cs="Times New Roman"/>
                <w:sz w:val="24"/>
                <w:szCs w:val="24"/>
              </w:rPr>
              <w:t>Zawarte w projekcie regulacje nie będą mieć wpływu na działalność mikroprzedsiębiorców, małych i średnich przedsiębiorców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709CB" w:rsidRPr="007A0164" w14:paraId="4D2A137A" w14:textId="77777777" w:rsidTr="00484B45">
        <w:trPr>
          <w:trHeight w:val="596"/>
        </w:trPr>
        <w:tc>
          <w:tcPr>
            <w:tcW w:w="1595" w:type="dxa"/>
            <w:vMerge/>
            <w:shd w:val="clear" w:color="auto" w:fill="FFFFFF"/>
          </w:tcPr>
          <w:p w14:paraId="25C69330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E09501C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 xml:space="preserve">rodzina, obywatele oraz gospodarstwa domowe </w:t>
            </w:r>
          </w:p>
        </w:tc>
        <w:tc>
          <w:tcPr>
            <w:tcW w:w="7097" w:type="dxa"/>
            <w:gridSpan w:val="23"/>
            <w:shd w:val="clear" w:color="auto" w:fill="FFFFFF"/>
          </w:tcPr>
          <w:p w14:paraId="56531A70" w14:textId="7E6749FB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709CB" w:rsidRPr="007A0164" w14:paraId="2D859AC0" w14:textId="77777777" w:rsidTr="00484B45">
        <w:trPr>
          <w:trHeight w:val="240"/>
        </w:trPr>
        <w:tc>
          <w:tcPr>
            <w:tcW w:w="1595" w:type="dxa"/>
            <w:vMerge/>
            <w:shd w:val="clear" w:color="auto" w:fill="FFFFFF"/>
          </w:tcPr>
          <w:p w14:paraId="623A1286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8E58B66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7" w:type="dxa"/>
            <w:gridSpan w:val="23"/>
            <w:shd w:val="clear" w:color="auto" w:fill="FFFFFF"/>
          </w:tcPr>
          <w:p w14:paraId="4921B766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709CB" w:rsidRPr="007A0164" w14:paraId="1DB0E408" w14:textId="77777777" w:rsidTr="00484B45">
        <w:trPr>
          <w:trHeight w:val="142"/>
        </w:trPr>
        <w:tc>
          <w:tcPr>
            <w:tcW w:w="1595" w:type="dxa"/>
            <w:vMerge w:val="restart"/>
            <w:shd w:val="clear" w:color="auto" w:fill="FFFFFF"/>
          </w:tcPr>
          <w:p w14:paraId="798E714B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89D3744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7" w:type="dxa"/>
            <w:gridSpan w:val="23"/>
            <w:shd w:val="clear" w:color="auto" w:fill="FFFFFF"/>
          </w:tcPr>
          <w:p w14:paraId="725E10A1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709CB" w:rsidRPr="007A0164" w14:paraId="3BAA793F" w14:textId="77777777" w:rsidTr="00484B45">
        <w:trPr>
          <w:trHeight w:val="142"/>
        </w:trPr>
        <w:tc>
          <w:tcPr>
            <w:tcW w:w="1595" w:type="dxa"/>
            <w:vMerge/>
            <w:shd w:val="clear" w:color="auto" w:fill="FFFFFF"/>
          </w:tcPr>
          <w:p w14:paraId="2628BDFB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40D0D12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7" w:type="dxa"/>
            <w:gridSpan w:val="23"/>
            <w:shd w:val="clear" w:color="auto" w:fill="FFFFFF"/>
          </w:tcPr>
          <w:p w14:paraId="03BB1893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709CB" w:rsidRPr="007A0164" w14:paraId="7E0AE33A" w14:textId="77777777" w:rsidTr="008709CB">
        <w:trPr>
          <w:trHeight w:val="1643"/>
        </w:trPr>
        <w:tc>
          <w:tcPr>
            <w:tcW w:w="2242" w:type="dxa"/>
            <w:gridSpan w:val="2"/>
            <w:shd w:val="clear" w:color="auto" w:fill="FFFFFF"/>
          </w:tcPr>
          <w:p w14:paraId="15FA486C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 xml:space="preserve">Dodatkowe informacje, w tym wskazanie źródeł danych i przyjętych do obliczeń założeń </w:t>
            </w:r>
          </w:p>
        </w:tc>
        <w:tc>
          <w:tcPr>
            <w:tcW w:w="8743" w:type="dxa"/>
            <w:gridSpan w:val="28"/>
            <w:shd w:val="clear" w:color="auto" w:fill="FFFFFF"/>
          </w:tcPr>
          <w:p w14:paraId="029C7D94" w14:textId="77777777" w:rsidR="008709CB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>Wejście w życie rozporządzenia nie będzie miało wpływu na konkurencyjność gospodarki, przedsiębiorczość i funkcjonowanie przedsiębiorstw.</w:t>
            </w:r>
          </w:p>
          <w:p w14:paraId="3DB9053E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709CB" w:rsidRPr="004A4DFC" w14:paraId="0667C25B" w14:textId="77777777" w:rsidTr="00484B45">
        <w:trPr>
          <w:trHeight w:val="342"/>
        </w:trPr>
        <w:tc>
          <w:tcPr>
            <w:tcW w:w="10985" w:type="dxa"/>
            <w:gridSpan w:val="30"/>
            <w:shd w:val="clear" w:color="auto" w:fill="99CCFF"/>
            <w:vAlign w:val="center"/>
          </w:tcPr>
          <w:p w14:paraId="02BC21C2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8. Zmiana obciążeń regulacyjnych (w tym obowiązków informacyjnych) wynikających z projektu</w:t>
            </w:r>
          </w:p>
        </w:tc>
      </w:tr>
      <w:tr w:rsidR="008709CB" w:rsidRPr="007A0164" w14:paraId="3E138A52" w14:textId="77777777" w:rsidTr="00484B45">
        <w:trPr>
          <w:trHeight w:val="151"/>
        </w:trPr>
        <w:tc>
          <w:tcPr>
            <w:tcW w:w="10985" w:type="dxa"/>
            <w:gridSpan w:val="30"/>
            <w:shd w:val="clear" w:color="auto" w:fill="FFFFFF"/>
          </w:tcPr>
          <w:p w14:paraId="5597DD59" w14:textId="5C8849E4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instrText xml:space="preserve"> FORMCHECKBOX </w:instrText>
            </w:r>
            <w:r w:rsidR="009548B3">
              <w:rPr>
                <w:rFonts w:ascii="Times New Roman" w:eastAsia="Times New Roman" w:hAnsi="Times New Roman" w:cs="Times New Roman"/>
                <w:lang w:eastAsia="pl-PL"/>
              </w:rPr>
            </w:r>
            <w:r w:rsidR="009548B3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 xml:space="preserve"> nie dotyczy</w:t>
            </w:r>
          </w:p>
        </w:tc>
      </w:tr>
      <w:tr w:rsidR="008709CB" w:rsidRPr="007A0164" w14:paraId="22383330" w14:textId="77777777" w:rsidTr="00484B45">
        <w:trPr>
          <w:trHeight w:val="946"/>
        </w:trPr>
        <w:tc>
          <w:tcPr>
            <w:tcW w:w="5110" w:type="dxa"/>
            <w:gridSpan w:val="11"/>
            <w:shd w:val="clear" w:color="auto" w:fill="FFFFFF"/>
          </w:tcPr>
          <w:p w14:paraId="0EAE4508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>Wprowadzane są obciążenia poza bezwzględnie wymaganymi przez UE (szczegóły w odwróconej tabeli zgodności).</w:t>
            </w:r>
          </w:p>
        </w:tc>
        <w:tc>
          <w:tcPr>
            <w:tcW w:w="5875" w:type="dxa"/>
            <w:gridSpan w:val="19"/>
            <w:shd w:val="clear" w:color="auto" w:fill="FFFFFF"/>
          </w:tcPr>
          <w:p w14:paraId="4E9B0432" w14:textId="2580D83D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instrText xml:space="preserve"> FORMCHECKBOX </w:instrText>
            </w:r>
            <w:r w:rsidR="009548B3">
              <w:rPr>
                <w:rFonts w:ascii="Times New Roman" w:eastAsia="Times New Roman" w:hAnsi="Times New Roman" w:cs="Times New Roman"/>
                <w:lang w:eastAsia="pl-PL"/>
              </w:rPr>
            </w:r>
            <w:r w:rsidR="009548B3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 xml:space="preserve"> tak</w:t>
            </w:r>
          </w:p>
          <w:p w14:paraId="2BFCC629" w14:textId="0FC56D0A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Wybór1"/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instrText xml:space="preserve"> FORMCHECKBOX </w:instrText>
            </w:r>
            <w:r w:rsidR="009548B3">
              <w:rPr>
                <w:rFonts w:ascii="Times New Roman" w:eastAsia="Times New Roman" w:hAnsi="Times New Roman" w:cs="Times New Roman"/>
                <w:lang w:eastAsia="pl-PL"/>
              </w:rPr>
            </w:r>
            <w:r w:rsidR="009548B3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bookmarkEnd w:id="1"/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 xml:space="preserve"> nie</w:t>
            </w:r>
          </w:p>
          <w:p w14:paraId="1B4ADE20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instrText xml:space="preserve"> FORMCHECKBOX </w:instrText>
            </w:r>
            <w:r w:rsidR="009548B3">
              <w:rPr>
                <w:rFonts w:ascii="Times New Roman" w:eastAsia="Times New Roman" w:hAnsi="Times New Roman" w:cs="Times New Roman"/>
                <w:lang w:eastAsia="pl-PL"/>
              </w:rPr>
            </w:r>
            <w:r w:rsidR="009548B3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 xml:space="preserve"> nie dotyczy</w:t>
            </w:r>
          </w:p>
        </w:tc>
      </w:tr>
      <w:tr w:rsidR="008709CB" w:rsidRPr="007A0164" w14:paraId="1B7A05F4" w14:textId="77777777" w:rsidTr="00484B45">
        <w:trPr>
          <w:trHeight w:val="1245"/>
        </w:trPr>
        <w:tc>
          <w:tcPr>
            <w:tcW w:w="5110" w:type="dxa"/>
            <w:gridSpan w:val="11"/>
            <w:shd w:val="clear" w:color="auto" w:fill="FFFFFF"/>
          </w:tcPr>
          <w:p w14:paraId="61108FCD" w14:textId="54E3E5C5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instrText xml:space="preserve"> FORMCHECKBOX </w:instrText>
            </w:r>
            <w:r w:rsidR="009548B3">
              <w:rPr>
                <w:rFonts w:ascii="Times New Roman" w:eastAsia="Times New Roman" w:hAnsi="Times New Roman" w:cs="Times New Roman"/>
                <w:lang w:eastAsia="pl-PL"/>
              </w:rPr>
            </w:r>
            <w:r w:rsidR="009548B3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 xml:space="preserve"> zmniejszenie liczby dokumentów </w:t>
            </w:r>
          </w:p>
          <w:p w14:paraId="5369A3BB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instrText xml:space="preserve"> FORMCHECKBOX </w:instrText>
            </w:r>
            <w:r w:rsidR="009548B3">
              <w:rPr>
                <w:rFonts w:ascii="Times New Roman" w:eastAsia="Times New Roman" w:hAnsi="Times New Roman" w:cs="Times New Roman"/>
                <w:lang w:eastAsia="pl-PL"/>
              </w:rPr>
            </w:r>
            <w:r w:rsidR="009548B3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 xml:space="preserve"> zmniejszenie liczby procedur</w:t>
            </w:r>
          </w:p>
          <w:p w14:paraId="16BB2B3B" w14:textId="472E081D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instrText xml:space="preserve"> FORMCHECKBOX </w:instrText>
            </w:r>
            <w:r w:rsidR="009548B3">
              <w:rPr>
                <w:rFonts w:ascii="Times New Roman" w:eastAsia="Times New Roman" w:hAnsi="Times New Roman" w:cs="Times New Roman"/>
                <w:lang w:eastAsia="pl-PL"/>
              </w:rPr>
            </w:r>
            <w:r w:rsidR="009548B3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 xml:space="preserve"> skrócenie czasu na załatwienie sprawy</w:t>
            </w:r>
          </w:p>
          <w:p w14:paraId="2576384C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instrText xml:space="preserve"> FORMCHECKBOX </w:instrText>
            </w:r>
            <w:r w:rsidR="009548B3">
              <w:rPr>
                <w:rFonts w:ascii="Times New Roman" w:eastAsia="Times New Roman" w:hAnsi="Times New Roman" w:cs="Times New Roman"/>
                <w:lang w:eastAsia="pl-PL"/>
              </w:rPr>
            </w:r>
            <w:r w:rsidR="009548B3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 xml:space="preserve"> inne: </w:t>
            </w:r>
          </w:p>
        </w:tc>
        <w:tc>
          <w:tcPr>
            <w:tcW w:w="5875" w:type="dxa"/>
            <w:gridSpan w:val="19"/>
            <w:shd w:val="clear" w:color="auto" w:fill="FFFFFF"/>
          </w:tcPr>
          <w:p w14:paraId="435A887C" w14:textId="106B9490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instrText xml:space="preserve"> FORMCHECKBOX </w:instrText>
            </w:r>
            <w:r w:rsidR="009548B3">
              <w:rPr>
                <w:rFonts w:ascii="Times New Roman" w:eastAsia="Times New Roman" w:hAnsi="Times New Roman" w:cs="Times New Roman"/>
                <w:lang w:eastAsia="pl-PL"/>
              </w:rPr>
            </w:r>
            <w:r w:rsidR="009548B3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 xml:space="preserve"> zwiększenie liczby dokumentów</w:t>
            </w:r>
          </w:p>
          <w:p w14:paraId="0332E4D4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instrText xml:space="preserve"> FORMCHECKBOX </w:instrText>
            </w:r>
            <w:r w:rsidR="009548B3">
              <w:rPr>
                <w:rFonts w:ascii="Times New Roman" w:eastAsia="Times New Roman" w:hAnsi="Times New Roman" w:cs="Times New Roman"/>
                <w:lang w:eastAsia="pl-PL"/>
              </w:rPr>
            </w:r>
            <w:r w:rsidR="009548B3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 xml:space="preserve"> zwiększenie liczby procedur</w:t>
            </w:r>
          </w:p>
          <w:p w14:paraId="52813C15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instrText xml:space="preserve"> FORMCHECKBOX </w:instrText>
            </w:r>
            <w:r w:rsidR="009548B3">
              <w:rPr>
                <w:rFonts w:ascii="Times New Roman" w:eastAsia="Times New Roman" w:hAnsi="Times New Roman" w:cs="Times New Roman"/>
                <w:lang w:eastAsia="pl-PL"/>
              </w:rPr>
            </w:r>
            <w:r w:rsidR="009548B3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 xml:space="preserve"> wydłużenie czasu na załatwienie sprawy</w:t>
            </w:r>
          </w:p>
          <w:p w14:paraId="42EACBC5" w14:textId="6BE58349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instrText xml:space="preserve"> FORMCHECKBOX </w:instrText>
            </w:r>
            <w:r w:rsidR="009548B3">
              <w:rPr>
                <w:rFonts w:ascii="Times New Roman" w:eastAsia="Times New Roman" w:hAnsi="Times New Roman" w:cs="Times New Roman"/>
                <w:lang w:eastAsia="pl-PL"/>
              </w:rPr>
            </w:r>
            <w:r w:rsidR="009548B3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>inne: bez zmian</w:t>
            </w:r>
          </w:p>
          <w:p w14:paraId="449822C0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709CB" w:rsidRPr="007A0164" w14:paraId="061E095D" w14:textId="77777777" w:rsidTr="00484B45">
        <w:trPr>
          <w:trHeight w:val="870"/>
        </w:trPr>
        <w:tc>
          <w:tcPr>
            <w:tcW w:w="5110" w:type="dxa"/>
            <w:gridSpan w:val="11"/>
            <w:shd w:val="clear" w:color="auto" w:fill="FFFFFF"/>
          </w:tcPr>
          <w:p w14:paraId="33433231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 xml:space="preserve">Wprowadzane obciążenia są przystosowane do ich elektronizacji. </w:t>
            </w:r>
          </w:p>
        </w:tc>
        <w:tc>
          <w:tcPr>
            <w:tcW w:w="5875" w:type="dxa"/>
            <w:gridSpan w:val="19"/>
            <w:shd w:val="clear" w:color="auto" w:fill="FFFFFF"/>
          </w:tcPr>
          <w:p w14:paraId="33E93F65" w14:textId="3FC8543D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instrText xml:space="preserve"> FORMCHECKBOX </w:instrText>
            </w:r>
            <w:r w:rsidR="009548B3">
              <w:rPr>
                <w:rFonts w:ascii="Times New Roman" w:eastAsia="Times New Roman" w:hAnsi="Times New Roman" w:cs="Times New Roman"/>
                <w:lang w:eastAsia="pl-PL"/>
              </w:rPr>
            </w:r>
            <w:r w:rsidR="009548B3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 xml:space="preserve"> tak</w:t>
            </w:r>
          </w:p>
          <w:p w14:paraId="1631C502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instrText xml:space="preserve"> FORMCHECKBOX </w:instrText>
            </w:r>
            <w:r w:rsidR="009548B3">
              <w:rPr>
                <w:rFonts w:ascii="Times New Roman" w:eastAsia="Times New Roman" w:hAnsi="Times New Roman" w:cs="Times New Roman"/>
                <w:lang w:eastAsia="pl-PL"/>
              </w:rPr>
            </w:r>
            <w:r w:rsidR="009548B3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 xml:space="preserve"> nie</w:t>
            </w:r>
          </w:p>
          <w:p w14:paraId="0E5FA3DD" w14:textId="4D98ED9E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instrText xml:space="preserve"> FORMCHECKBOX </w:instrText>
            </w:r>
            <w:r w:rsidR="009548B3">
              <w:rPr>
                <w:rFonts w:ascii="Times New Roman" w:eastAsia="Times New Roman" w:hAnsi="Times New Roman" w:cs="Times New Roman"/>
                <w:lang w:eastAsia="pl-PL"/>
              </w:rPr>
            </w:r>
            <w:r w:rsidR="009548B3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>nie dotyczy</w:t>
            </w:r>
          </w:p>
        </w:tc>
      </w:tr>
      <w:tr w:rsidR="008709CB" w:rsidRPr="007A0164" w14:paraId="1A91B41B" w14:textId="77777777" w:rsidTr="00484B45">
        <w:trPr>
          <w:trHeight w:val="400"/>
        </w:trPr>
        <w:tc>
          <w:tcPr>
            <w:tcW w:w="10985" w:type="dxa"/>
            <w:gridSpan w:val="30"/>
            <w:shd w:val="clear" w:color="auto" w:fill="FFFFFF"/>
          </w:tcPr>
          <w:p w14:paraId="4959F17A" w14:textId="5D75C413" w:rsidR="008709CB" w:rsidRPr="00FA6FFC" w:rsidRDefault="008709CB" w:rsidP="008709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09CB" w:rsidRPr="004A4DFC" w14:paraId="2B46A5DA" w14:textId="77777777" w:rsidTr="00484B45">
        <w:trPr>
          <w:trHeight w:val="142"/>
        </w:trPr>
        <w:tc>
          <w:tcPr>
            <w:tcW w:w="10985" w:type="dxa"/>
            <w:gridSpan w:val="30"/>
            <w:shd w:val="clear" w:color="auto" w:fill="99CCFF"/>
          </w:tcPr>
          <w:p w14:paraId="62B74107" w14:textId="77777777" w:rsidR="008709CB" w:rsidRPr="00F12F3B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9. Wpływ na rynek pracy </w:t>
            </w:r>
          </w:p>
        </w:tc>
      </w:tr>
      <w:tr w:rsidR="008709CB" w:rsidRPr="007A0164" w14:paraId="75D55485" w14:textId="77777777" w:rsidTr="00484B45">
        <w:trPr>
          <w:trHeight w:val="358"/>
        </w:trPr>
        <w:tc>
          <w:tcPr>
            <w:tcW w:w="10985" w:type="dxa"/>
            <w:gridSpan w:val="30"/>
            <w:shd w:val="clear" w:color="auto" w:fill="auto"/>
          </w:tcPr>
          <w:p w14:paraId="50555CC8" w14:textId="66714FB5" w:rsidR="00F81707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 xml:space="preserve">Wejście w życie rozporządzenia nie </w:t>
            </w:r>
            <w:r w:rsidR="00AD39B2" w:rsidRPr="00A86614">
              <w:rPr>
                <w:rFonts w:ascii="Times New Roman" w:eastAsia="Times New Roman" w:hAnsi="Times New Roman" w:cs="Times New Roman"/>
                <w:lang w:eastAsia="pl-PL"/>
              </w:rPr>
              <w:t>wpły</w:t>
            </w:r>
            <w:r w:rsidR="00AD39B2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>na rynek pracy.</w:t>
            </w:r>
          </w:p>
        </w:tc>
      </w:tr>
      <w:tr w:rsidR="008709CB" w:rsidRPr="004A4DFC" w14:paraId="0A04FD72" w14:textId="77777777" w:rsidTr="00484B45">
        <w:trPr>
          <w:trHeight w:val="142"/>
        </w:trPr>
        <w:tc>
          <w:tcPr>
            <w:tcW w:w="10985" w:type="dxa"/>
            <w:gridSpan w:val="30"/>
            <w:shd w:val="clear" w:color="auto" w:fill="99CCFF"/>
          </w:tcPr>
          <w:p w14:paraId="141879CA" w14:textId="77777777" w:rsidR="008709CB" w:rsidRPr="00F12F3B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10. Wpływ na pozostałe obszary</w:t>
            </w:r>
          </w:p>
        </w:tc>
      </w:tr>
      <w:tr w:rsidR="008709CB" w:rsidRPr="007A0164" w14:paraId="60BC02D8" w14:textId="77777777" w:rsidTr="00484B45">
        <w:trPr>
          <w:trHeight w:val="1031"/>
        </w:trPr>
        <w:tc>
          <w:tcPr>
            <w:tcW w:w="3546" w:type="dxa"/>
            <w:gridSpan w:val="5"/>
            <w:shd w:val="clear" w:color="auto" w:fill="FFFFFF"/>
          </w:tcPr>
          <w:p w14:paraId="7C7BC7B1" w14:textId="77777777" w:rsidR="008709CB" w:rsidRPr="007A016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33A8C3DE" w14:textId="77777777" w:rsidR="008709CB" w:rsidRPr="007A016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instrText xml:space="preserve"> FORMCHECKBOX </w:instrText>
            </w:r>
            <w:r w:rsidR="009548B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r>
            <w:r w:rsidR="009548B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separate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end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środowisko naturalne</w:t>
            </w:r>
          </w:p>
          <w:p w14:paraId="6C6EEB25" w14:textId="77777777" w:rsidR="008709CB" w:rsidRPr="007A016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instrText xml:space="preserve"> FORMCHECKBOX </w:instrText>
            </w:r>
            <w:r w:rsidR="009548B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r>
            <w:r w:rsidR="009548B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separate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end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sytuacja i rozwój regionalny</w:t>
            </w:r>
          </w:p>
          <w:p w14:paraId="763FDFED" w14:textId="77777777" w:rsidR="008709CB" w:rsidRPr="007A016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instrText xml:space="preserve"> FORMCHECKBOX </w:instrText>
            </w:r>
            <w:r w:rsidR="009548B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r>
            <w:r w:rsidR="009548B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separate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end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inne: </w:t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instrText xml:space="preserve"> FORMTEXT </w:instrText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separate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 </w:t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 </w:t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 </w:t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 </w:t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 </w:t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end"/>
            </w:r>
          </w:p>
        </w:tc>
        <w:tc>
          <w:tcPr>
            <w:tcW w:w="3687" w:type="dxa"/>
            <w:gridSpan w:val="16"/>
            <w:shd w:val="clear" w:color="auto" w:fill="FFFFFF"/>
          </w:tcPr>
          <w:p w14:paraId="0B7E801C" w14:textId="77777777" w:rsidR="008709CB" w:rsidRPr="007A016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0F057323" w14:textId="77777777" w:rsidR="008709CB" w:rsidRPr="007A016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instrText xml:space="preserve"> FORMCHECKBOX </w:instrText>
            </w:r>
            <w:r w:rsidR="009548B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r>
            <w:r w:rsidR="009548B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separate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end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demografia</w:t>
            </w:r>
          </w:p>
          <w:p w14:paraId="5F1ECBB2" w14:textId="77777777" w:rsidR="008709CB" w:rsidRPr="007A016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instrText xml:space="preserve"> FORMCHECKBOX </w:instrText>
            </w:r>
            <w:r w:rsidR="009548B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r>
            <w:r w:rsidR="009548B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separate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end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mienie państwowe</w:t>
            </w:r>
          </w:p>
        </w:tc>
        <w:tc>
          <w:tcPr>
            <w:tcW w:w="3752" w:type="dxa"/>
            <w:gridSpan w:val="9"/>
            <w:shd w:val="clear" w:color="auto" w:fill="FFFFFF"/>
          </w:tcPr>
          <w:p w14:paraId="3B795E88" w14:textId="77777777" w:rsidR="008709CB" w:rsidRPr="007A016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3A2C4C57" w14:textId="77777777" w:rsidR="008709CB" w:rsidRPr="007A016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instrText xml:space="preserve"> FORMCHECKBOX </w:instrText>
            </w:r>
            <w:r w:rsidR="009548B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r>
            <w:r w:rsidR="009548B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separate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end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informatyzacja</w:t>
            </w:r>
          </w:p>
          <w:p w14:paraId="507983A4" w14:textId="77777777" w:rsidR="008709CB" w:rsidRPr="007A016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instrText xml:space="preserve"> FORMCHECKBOX </w:instrText>
            </w:r>
            <w:r w:rsidR="009548B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r>
            <w:r w:rsidR="009548B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separate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ldChar w:fldCharType="end"/>
            </w:r>
            <w:r w:rsidRPr="007A01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zdrowie</w:t>
            </w:r>
          </w:p>
        </w:tc>
      </w:tr>
      <w:tr w:rsidR="008709CB" w:rsidRPr="007A0164" w14:paraId="003B5570" w14:textId="77777777" w:rsidTr="00484B45">
        <w:trPr>
          <w:trHeight w:val="712"/>
        </w:trPr>
        <w:tc>
          <w:tcPr>
            <w:tcW w:w="2242" w:type="dxa"/>
            <w:gridSpan w:val="2"/>
            <w:shd w:val="clear" w:color="auto" w:fill="FFFFFF"/>
            <w:vAlign w:val="center"/>
          </w:tcPr>
          <w:p w14:paraId="27C5F143" w14:textId="77777777" w:rsidR="008709CB" w:rsidRPr="00A86614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>Omówienie wpływu</w:t>
            </w:r>
          </w:p>
        </w:tc>
        <w:tc>
          <w:tcPr>
            <w:tcW w:w="8743" w:type="dxa"/>
            <w:gridSpan w:val="28"/>
            <w:shd w:val="clear" w:color="auto" w:fill="FFFFFF"/>
            <w:vAlign w:val="center"/>
          </w:tcPr>
          <w:p w14:paraId="2E52F145" w14:textId="1FD1CEF7" w:rsidR="008709CB" w:rsidRDefault="008709CB" w:rsidP="00864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 xml:space="preserve">Wejście w życie rozporządzenia </w:t>
            </w:r>
            <w:r w:rsidR="007F7F0B" w:rsidRPr="00A8661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  <w:r w:rsidR="007F7F0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>wpły</w:t>
            </w:r>
            <w:r w:rsidR="007F7F0B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>na środowisko naturalne, sytuację i rozwój regionalny, demografię, mienie państwowe i informatyzację.</w:t>
            </w:r>
          </w:p>
          <w:p w14:paraId="6FC5542E" w14:textId="0EC17284" w:rsidR="00F81707" w:rsidRPr="00A86614" w:rsidRDefault="00F81707" w:rsidP="00F8170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709CB" w:rsidRPr="004A4DFC" w14:paraId="3A0402E7" w14:textId="77777777" w:rsidTr="00484B45">
        <w:trPr>
          <w:trHeight w:val="142"/>
        </w:trPr>
        <w:tc>
          <w:tcPr>
            <w:tcW w:w="10985" w:type="dxa"/>
            <w:gridSpan w:val="30"/>
            <w:shd w:val="clear" w:color="auto" w:fill="99CCFF"/>
          </w:tcPr>
          <w:p w14:paraId="7F494C60" w14:textId="77777777" w:rsidR="008709CB" w:rsidRPr="00F12F3B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11. Planowane wykonanie przepisów aktu prawnego</w:t>
            </w:r>
          </w:p>
        </w:tc>
      </w:tr>
      <w:tr w:rsidR="008709CB" w:rsidRPr="007A0164" w14:paraId="0464972D" w14:textId="77777777" w:rsidTr="00484B45">
        <w:trPr>
          <w:trHeight w:val="142"/>
        </w:trPr>
        <w:tc>
          <w:tcPr>
            <w:tcW w:w="10985" w:type="dxa"/>
            <w:gridSpan w:val="30"/>
            <w:shd w:val="clear" w:color="auto" w:fill="FFFFFF"/>
          </w:tcPr>
          <w:p w14:paraId="46F01BBA" w14:textId="2ABA4F1D" w:rsidR="00F81707" w:rsidRPr="00A86614" w:rsidRDefault="00283ABF" w:rsidP="00283ABF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Wykonanie przepisów aktu prawnego nastąpi z dniem jego wejścia w życie. </w:t>
            </w:r>
          </w:p>
        </w:tc>
      </w:tr>
      <w:tr w:rsidR="008709CB" w:rsidRPr="004A4DFC" w14:paraId="30FFA8C7" w14:textId="77777777" w:rsidTr="00484B45">
        <w:trPr>
          <w:trHeight w:val="142"/>
        </w:trPr>
        <w:tc>
          <w:tcPr>
            <w:tcW w:w="10985" w:type="dxa"/>
            <w:gridSpan w:val="30"/>
            <w:shd w:val="clear" w:color="auto" w:fill="99CCFF"/>
          </w:tcPr>
          <w:p w14:paraId="22083C57" w14:textId="77777777" w:rsidR="008709CB" w:rsidRPr="00F12F3B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12. W jaki sposób i kiedy nastąpi ewaluacja efektów projektu oraz jakie mierniki zostaną zastosowane?</w:t>
            </w:r>
          </w:p>
        </w:tc>
      </w:tr>
      <w:tr w:rsidR="008709CB" w:rsidRPr="007A0164" w14:paraId="5CAFA71C" w14:textId="77777777" w:rsidTr="00484B45">
        <w:trPr>
          <w:trHeight w:val="142"/>
        </w:trPr>
        <w:tc>
          <w:tcPr>
            <w:tcW w:w="10985" w:type="dxa"/>
            <w:gridSpan w:val="30"/>
            <w:shd w:val="clear" w:color="auto" w:fill="FFFFFF"/>
          </w:tcPr>
          <w:p w14:paraId="5AFAA598" w14:textId="1D4B9A70" w:rsidR="00F81707" w:rsidRPr="00A86614" w:rsidRDefault="008709CB" w:rsidP="00F81707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 xml:space="preserve">Ewaluacja efektów projektu będzie </w:t>
            </w:r>
            <w:r w:rsidR="00F81707">
              <w:rPr>
                <w:rFonts w:ascii="Times New Roman" w:eastAsia="Times New Roman" w:hAnsi="Times New Roman" w:cs="Times New Roman"/>
                <w:lang w:eastAsia="pl-PL"/>
              </w:rPr>
              <w:t xml:space="preserve">dokonywana </w:t>
            </w:r>
            <w:r w:rsidRPr="00A86614">
              <w:rPr>
                <w:rFonts w:ascii="Times New Roman" w:eastAsia="Times New Roman" w:hAnsi="Times New Roman" w:cs="Times New Roman"/>
                <w:lang w:eastAsia="pl-PL"/>
              </w:rPr>
              <w:t xml:space="preserve"> przez Komisję Nadzoru Finansowego na bieżąco w procesie </w:t>
            </w:r>
            <w:r w:rsidR="00F81707">
              <w:rPr>
                <w:rFonts w:ascii="Times New Roman" w:eastAsia="Times New Roman" w:hAnsi="Times New Roman" w:cs="Times New Roman"/>
                <w:lang w:eastAsia="pl-PL"/>
              </w:rPr>
              <w:t xml:space="preserve">nadzoru. </w:t>
            </w:r>
          </w:p>
        </w:tc>
      </w:tr>
      <w:tr w:rsidR="008709CB" w:rsidRPr="004A4DFC" w14:paraId="09FE88EE" w14:textId="77777777" w:rsidTr="00484B45">
        <w:trPr>
          <w:trHeight w:val="142"/>
        </w:trPr>
        <w:tc>
          <w:tcPr>
            <w:tcW w:w="10985" w:type="dxa"/>
            <w:gridSpan w:val="30"/>
            <w:shd w:val="clear" w:color="auto" w:fill="99CCFF"/>
          </w:tcPr>
          <w:p w14:paraId="59AAD6C7" w14:textId="77777777" w:rsidR="008709CB" w:rsidRPr="00F12F3B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12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13. Załączniki (istotne dokumenty źródłowe, badania, analizy itp.) </w:t>
            </w:r>
          </w:p>
        </w:tc>
      </w:tr>
      <w:tr w:rsidR="008709CB" w:rsidRPr="007A0164" w14:paraId="675AFCA1" w14:textId="77777777" w:rsidTr="00484B45">
        <w:trPr>
          <w:trHeight w:val="142"/>
        </w:trPr>
        <w:tc>
          <w:tcPr>
            <w:tcW w:w="10985" w:type="dxa"/>
            <w:gridSpan w:val="30"/>
            <w:shd w:val="clear" w:color="auto" w:fill="FFFFFF"/>
          </w:tcPr>
          <w:p w14:paraId="04D7D6E0" w14:textId="77777777" w:rsidR="008709CB" w:rsidRPr="00F81707" w:rsidRDefault="008709CB" w:rsidP="008709CB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81707">
              <w:rPr>
                <w:rFonts w:ascii="Times New Roman" w:eastAsia="Times New Roman" w:hAnsi="Times New Roman" w:cs="Times New Roman"/>
                <w:lang w:eastAsia="pl-PL"/>
              </w:rPr>
              <w:t xml:space="preserve">Brak. </w:t>
            </w:r>
          </w:p>
        </w:tc>
      </w:tr>
    </w:tbl>
    <w:p w14:paraId="289AA19A" w14:textId="77777777" w:rsidR="00371BBB" w:rsidRDefault="00371BBB"/>
    <w:sectPr w:rsidR="00371BBB" w:rsidSect="004B63B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D6E32" w14:textId="77777777" w:rsidR="009548B3" w:rsidRDefault="009548B3" w:rsidP="00C8313C">
      <w:pPr>
        <w:spacing w:after="0" w:line="240" w:lineRule="auto"/>
      </w:pPr>
      <w:r>
        <w:separator/>
      </w:r>
    </w:p>
  </w:endnote>
  <w:endnote w:type="continuationSeparator" w:id="0">
    <w:p w14:paraId="5CC37874" w14:textId="77777777" w:rsidR="009548B3" w:rsidRDefault="009548B3" w:rsidP="00C8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AC922" w14:textId="77777777" w:rsidR="009548B3" w:rsidRDefault="009548B3" w:rsidP="00C8313C">
      <w:pPr>
        <w:spacing w:after="0" w:line="240" w:lineRule="auto"/>
      </w:pPr>
      <w:r>
        <w:separator/>
      </w:r>
    </w:p>
  </w:footnote>
  <w:footnote w:type="continuationSeparator" w:id="0">
    <w:p w14:paraId="35D77EDB" w14:textId="77777777" w:rsidR="009548B3" w:rsidRDefault="009548B3" w:rsidP="00C83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6B29"/>
    <w:multiLevelType w:val="hybridMultilevel"/>
    <w:tmpl w:val="AFBC3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5258"/>
    <w:multiLevelType w:val="hybridMultilevel"/>
    <w:tmpl w:val="8A64A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71A7C"/>
    <w:multiLevelType w:val="hybridMultilevel"/>
    <w:tmpl w:val="6908C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715DC"/>
    <w:multiLevelType w:val="hybridMultilevel"/>
    <w:tmpl w:val="98A80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977CA"/>
    <w:multiLevelType w:val="hybridMultilevel"/>
    <w:tmpl w:val="C51E9C68"/>
    <w:lvl w:ilvl="0" w:tplc="33862DE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>
    <w:nsid w:val="1C0D55A7"/>
    <w:multiLevelType w:val="hybridMultilevel"/>
    <w:tmpl w:val="6638F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06046"/>
    <w:multiLevelType w:val="hybridMultilevel"/>
    <w:tmpl w:val="2788D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724F1"/>
    <w:multiLevelType w:val="hybridMultilevel"/>
    <w:tmpl w:val="FE06F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54EAB"/>
    <w:multiLevelType w:val="hybridMultilevel"/>
    <w:tmpl w:val="D848F98C"/>
    <w:lvl w:ilvl="0" w:tplc="BE6011CA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>
    <w:nsid w:val="5DC33A5E"/>
    <w:multiLevelType w:val="hybridMultilevel"/>
    <w:tmpl w:val="02DC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71E43"/>
    <w:multiLevelType w:val="hybridMultilevel"/>
    <w:tmpl w:val="68865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44E23"/>
    <w:multiLevelType w:val="hybridMultilevel"/>
    <w:tmpl w:val="BD666D48"/>
    <w:lvl w:ilvl="0" w:tplc="2332B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07368"/>
    <w:multiLevelType w:val="hybridMultilevel"/>
    <w:tmpl w:val="546AE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42084"/>
    <w:multiLevelType w:val="hybridMultilevel"/>
    <w:tmpl w:val="34D2D28C"/>
    <w:lvl w:ilvl="0" w:tplc="2332B4BE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72E63E80"/>
    <w:multiLevelType w:val="hybridMultilevel"/>
    <w:tmpl w:val="CD7A4482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>
    <w:nsid w:val="72FE41B7"/>
    <w:multiLevelType w:val="hybridMultilevel"/>
    <w:tmpl w:val="AF6C3986"/>
    <w:lvl w:ilvl="0" w:tplc="2332B4BE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6">
    <w:nsid w:val="76D04E0E"/>
    <w:multiLevelType w:val="hybridMultilevel"/>
    <w:tmpl w:val="58983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14"/>
  </w:num>
  <w:num w:numId="11">
    <w:abstractNumId w:val="10"/>
  </w:num>
  <w:num w:numId="12">
    <w:abstractNumId w:val="6"/>
  </w:num>
  <w:num w:numId="13">
    <w:abstractNumId w:val="8"/>
  </w:num>
  <w:num w:numId="14">
    <w:abstractNumId w:val="11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50"/>
    <w:rsid w:val="00000008"/>
    <w:rsid w:val="00004A85"/>
    <w:rsid w:val="00004CA0"/>
    <w:rsid w:val="00005A5A"/>
    <w:rsid w:val="00012494"/>
    <w:rsid w:val="00024A29"/>
    <w:rsid w:val="0002591C"/>
    <w:rsid w:val="00025AC6"/>
    <w:rsid w:val="000318EA"/>
    <w:rsid w:val="00037C11"/>
    <w:rsid w:val="000431FE"/>
    <w:rsid w:val="00043A5E"/>
    <w:rsid w:val="0004512F"/>
    <w:rsid w:val="000456C8"/>
    <w:rsid w:val="00050BF1"/>
    <w:rsid w:val="00052661"/>
    <w:rsid w:val="00052FBC"/>
    <w:rsid w:val="00055996"/>
    <w:rsid w:val="00055BA1"/>
    <w:rsid w:val="000607F6"/>
    <w:rsid w:val="00063E7C"/>
    <w:rsid w:val="00067A4A"/>
    <w:rsid w:val="00067B0D"/>
    <w:rsid w:val="00070F8E"/>
    <w:rsid w:val="00073638"/>
    <w:rsid w:val="00080BE7"/>
    <w:rsid w:val="000857A1"/>
    <w:rsid w:val="00085CAF"/>
    <w:rsid w:val="00085CCB"/>
    <w:rsid w:val="00087064"/>
    <w:rsid w:val="0008745C"/>
    <w:rsid w:val="000935FC"/>
    <w:rsid w:val="000A0DA1"/>
    <w:rsid w:val="000A4E85"/>
    <w:rsid w:val="000B0F59"/>
    <w:rsid w:val="000B1332"/>
    <w:rsid w:val="000B3685"/>
    <w:rsid w:val="000B3AA4"/>
    <w:rsid w:val="000B6D99"/>
    <w:rsid w:val="000B7E31"/>
    <w:rsid w:val="000C10AF"/>
    <w:rsid w:val="000C3043"/>
    <w:rsid w:val="000C68B5"/>
    <w:rsid w:val="000D3753"/>
    <w:rsid w:val="000D3D48"/>
    <w:rsid w:val="000D6874"/>
    <w:rsid w:val="000F0A3E"/>
    <w:rsid w:val="000F0CFD"/>
    <w:rsid w:val="000F2598"/>
    <w:rsid w:val="000F2EEC"/>
    <w:rsid w:val="000F5297"/>
    <w:rsid w:val="000F7433"/>
    <w:rsid w:val="00103C6F"/>
    <w:rsid w:val="00104DA8"/>
    <w:rsid w:val="00104E58"/>
    <w:rsid w:val="00106103"/>
    <w:rsid w:val="001072EC"/>
    <w:rsid w:val="00112E60"/>
    <w:rsid w:val="001214CD"/>
    <w:rsid w:val="001321B6"/>
    <w:rsid w:val="00133A06"/>
    <w:rsid w:val="00136188"/>
    <w:rsid w:val="0014438E"/>
    <w:rsid w:val="00145358"/>
    <w:rsid w:val="00150C51"/>
    <w:rsid w:val="0015261E"/>
    <w:rsid w:val="00152BF4"/>
    <w:rsid w:val="0015412D"/>
    <w:rsid w:val="001554AF"/>
    <w:rsid w:val="00155965"/>
    <w:rsid w:val="00160AF4"/>
    <w:rsid w:val="00165D86"/>
    <w:rsid w:val="00167732"/>
    <w:rsid w:val="00172278"/>
    <w:rsid w:val="00175626"/>
    <w:rsid w:val="001773F7"/>
    <w:rsid w:val="0018049E"/>
    <w:rsid w:val="00182122"/>
    <w:rsid w:val="00183489"/>
    <w:rsid w:val="001835B8"/>
    <w:rsid w:val="0018396B"/>
    <w:rsid w:val="001923BE"/>
    <w:rsid w:val="00195946"/>
    <w:rsid w:val="00197AE9"/>
    <w:rsid w:val="001A4230"/>
    <w:rsid w:val="001B5E15"/>
    <w:rsid w:val="001B7779"/>
    <w:rsid w:val="001C0FB0"/>
    <w:rsid w:val="001C15C9"/>
    <w:rsid w:val="001C174E"/>
    <w:rsid w:val="001C27A3"/>
    <w:rsid w:val="001C3AF6"/>
    <w:rsid w:val="001C7164"/>
    <w:rsid w:val="001C7AFA"/>
    <w:rsid w:val="001D076B"/>
    <w:rsid w:val="001D2369"/>
    <w:rsid w:val="001D5F2C"/>
    <w:rsid w:val="001E3E3D"/>
    <w:rsid w:val="001E4A6B"/>
    <w:rsid w:val="001E555A"/>
    <w:rsid w:val="001F52C7"/>
    <w:rsid w:val="0020032B"/>
    <w:rsid w:val="002016C3"/>
    <w:rsid w:val="00202ACB"/>
    <w:rsid w:val="002068E4"/>
    <w:rsid w:val="00213460"/>
    <w:rsid w:val="0021787D"/>
    <w:rsid w:val="00222A51"/>
    <w:rsid w:val="00223E4C"/>
    <w:rsid w:val="002254CD"/>
    <w:rsid w:val="00226434"/>
    <w:rsid w:val="00231AC6"/>
    <w:rsid w:val="00233B46"/>
    <w:rsid w:val="00234B48"/>
    <w:rsid w:val="002351D0"/>
    <w:rsid w:val="00235269"/>
    <w:rsid w:val="0024015E"/>
    <w:rsid w:val="00246116"/>
    <w:rsid w:val="00254F46"/>
    <w:rsid w:val="002609FC"/>
    <w:rsid w:val="002627F5"/>
    <w:rsid w:val="0026289B"/>
    <w:rsid w:val="00262F7A"/>
    <w:rsid w:val="00265D48"/>
    <w:rsid w:val="002663D0"/>
    <w:rsid w:val="0026735C"/>
    <w:rsid w:val="00272B1D"/>
    <w:rsid w:val="00273E2C"/>
    <w:rsid w:val="00275290"/>
    <w:rsid w:val="00276DDB"/>
    <w:rsid w:val="00283ABF"/>
    <w:rsid w:val="002A327B"/>
    <w:rsid w:val="002A6073"/>
    <w:rsid w:val="002A7AAD"/>
    <w:rsid w:val="002B06EC"/>
    <w:rsid w:val="002B2C8B"/>
    <w:rsid w:val="002B7553"/>
    <w:rsid w:val="002C0A5A"/>
    <w:rsid w:val="002C2212"/>
    <w:rsid w:val="002C6622"/>
    <w:rsid w:val="002E7F88"/>
    <w:rsid w:val="002F1F02"/>
    <w:rsid w:val="002F5E27"/>
    <w:rsid w:val="002F681B"/>
    <w:rsid w:val="00301AB4"/>
    <w:rsid w:val="00304B5F"/>
    <w:rsid w:val="00305E3A"/>
    <w:rsid w:val="00306D27"/>
    <w:rsid w:val="00306E6C"/>
    <w:rsid w:val="0030743C"/>
    <w:rsid w:val="00307FE1"/>
    <w:rsid w:val="003147D1"/>
    <w:rsid w:val="00315B48"/>
    <w:rsid w:val="00316099"/>
    <w:rsid w:val="00316D24"/>
    <w:rsid w:val="0033122A"/>
    <w:rsid w:val="003321E5"/>
    <w:rsid w:val="00334DD1"/>
    <w:rsid w:val="00335525"/>
    <w:rsid w:val="00335B78"/>
    <w:rsid w:val="00335D9B"/>
    <w:rsid w:val="00341ADD"/>
    <w:rsid w:val="00344331"/>
    <w:rsid w:val="0034658E"/>
    <w:rsid w:val="003544A7"/>
    <w:rsid w:val="003613F8"/>
    <w:rsid w:val="00361477"/>
    <w:rsid w:val="0036540B"/>
    <w:rsid w:val="00371BBB"/>
    <w:rsid w:val="0037513D"/>
    <w:rsid w:val="0037660A"/>
    <w:rsid w:val="00376945"/>
    <w:rsid w:val="003826CA"/>
    <w:rsid w:val="00386702"/>
    <w:rsid w:val="00390586"/>
    <w:rsid w:val="003906AD"/>
    <w:rsid w:val="003943C0"/>
    <w:rsid w:val="00394627"/>
    <w:rsid w:val="003A186A"/>
    <w:rsid w:val="003B2862"/>
    <w:rsid w:val="003B487E"/>
    <w:rsid w:val="003B5ABC"/>
    <w:rsid w:val="003C0FF4"/>
    <w:rsid w:val="003C1076"/>
    <w:rsid w:val="003D2419"/>
    <w:rsid w:val="003D3617"/>
    <w:rsid w:val="003D3D0C"/>
    <w:rsid w:val="003E0A34"/>
    <w:rsid w:val="003E2B14"/>
    <w:rsid w:val="003E4EE8"/>
    <w:rsid w:val="003E62BB"/>
    <w:rsid w:val="003E64AC"/>
    <w:rsid w:val="003F2FD0"/>
    <w:rsid w:val="004034F4"/>
    <w:rsid w:val="00405751"/>
    <w:rsid w:val="00407058"/>
    <w:rsid w:val="00410ED0"/>
    <w:rsid w:val="004115CA"/>
    <w:rsid w:val="00411D2B"/>
    <w:rsid w:val="00412C50"/>
    <w:rsid w:val="004147EB"/>
    <w:rsid w:val="00416A61"/>
    <w:rsid w:val="004201B1"/>
    <w:rsid w:val="0042357F"/>
    <w:rsid w:val="00427394"/>
    <w:rsid w:val="00431D58"/>
    <w:rsid w:val="00431DA7"/>
    <w:rsid w:val="00433225"/>
    <w:rsid w:val="00433529"/>
    <w:rsid w:val="00437F96"/>
    <w:rsid w:val="00444080"/>
    <w:rsid w:val="00445424"/>
    <w:rsid w:val="0045209A"/>
    <w:rsid w:val="004526DF"/>
    <w:rsid w:val="00452EA7"/>
    <w:rsid w:val="00455DCC"/>
    <w:rsid w:val="0045606C"/>
    <w:rsid w:val="00456DBD"/>
    <w:rsid w:val="0045751B"/>
    <w:rsid w:val="00461736"/>
    <w:rsid w:val="00461941"/>
    <w:rsid w:val="00463E33"/>
    <w:rsid w:val="0047182E"/>
    <w:rsid w:val="0048142D"/>
    <w:rsid w:val="00484B45"/>
    <w:rsid w:val="00491AA1"/>
    <w:rsid w:val="0049273C"/>
    <w:rsid w:val="004927EE"/>
    <w:rsid w:val="004A1C52"/>
    <w:rsid w:val="004A4DFC"/>
    <w:rsid w:val="004B1556"/>
    <w:rsid w:val="004B5323"/>
    <w:rsid w:val="004B565D"/>
    <w:rsid w:val="004B63BE"/>
    <w:rsid w:val="004C1064"/>
    <w:rsid w:val="004C1DDA"/>
    <w:rsid w:val="004C722A"/>
    <w:rsid w:val="004D1809"/>
    <w:rsid w:val="004D2A24"/>
    <w:rsid w:val="004D59A1"/>
    <w:rsid w:val="004E09F8"/>
    <w:rsid w:val="004E78E4"/>
    <w:rsid w:val="004F1AAE"/>
    <w:rsid w:val="004F50EE"/>
    <w:rsid w:val="004F7800"/>
    <w:rsid w:val="00502744"/>
    <w:rsid w:val="005034BA"/>
    <w:rsid w:val="00503CAD"/>
    <w:rsid w:val="00504E4D"/>
    <w:rsid w:val="00514D6E"/>
    <w:rsid w:val="0051725D"/>
    <w:rsid w:val="005202F2"/>
    <w:rsid w:val="00520967"/>
    <w:rsid w:val="00522E49"/>
    <w:rsid w:val="00523700"/>
    <w:rsid w:val="00524F37"/>
    <w:rsid w:val="00531394"/>
    <w:rsid w:val="00531F51"/>
    <w:rsid w:val="00532A35"/>
    <w:rsid w:val="00535641"/>
    <w:rsid w:val="00537937"/>
    <w:rsid w:val="0054219A"/>
    <w:rsid w:val="005423BE"/>
    <w:rsid w:val="0054300C"/>
    <w:rsid w:val="005460BB"/>
    <w:rsid w:val="00551E17"/>
    <w:rsid w:val="00557E78"/>
    <w:rsid w:val="0056214A"/>
    <w:rsid w:val="00572185"/>
    <w:rsid w:val="00574ED2"/>
    <w:rsid w:val="005849FE"/>
    <w:rsid w:val="00586BBB"/>
    <w:rsid w:val="0058725A"/>
    <w:rsid w:val="00587B06"/>
    <w:rsid w:val="005923C7"/>
    <w:rsid w:val="005954D5"/>
    <w:rsid w:val="005A32A4"/>
    <w:rsid w:val="005B59FF"/>
    <w:rsid w:val="005B69FF"/>
    <w:rsid w:val="005C2522"/>
    <w:rsid w:val="005C5F05"/>
    <w:rsid w:val="005D11BC"/>
    <w:rsid w:val="005D19A9"/>
    <w:rsid w:val="005D6152"/>
    <w:rsid w:val="005D6309"/>
    <w:rsid w:val="005E4C71"/>
    <w:rsid w:val="005F6450"/>
    <w:rsid w:val="005F7FAF"/>
    <w:rsid w:val="00602336"/>
    <w:rsid w:val="00615D31"/>
    <w:rsid w:val="00620A87"/>
    <w:rsid w:val="006276E9"/>
    <w:rsid w:val="006317E9"/>
    <w:rsid w:val="00635A27"/>
    <w:rsid w:val="00636457"/>
    <w:rsid w:val="006379EB"/>
    <w:rsid w:val="006403CE"/>
    <w:rsid w:val="00640DF6"/>
    <w:rsid w:val="0064158D"/>
    <w:rsid w:val="00641CCA"/>
    <w:rsid w:val="00647A13"/>
    <w:rsid w:val="00650506"/>
    <w:rsid w:val="00650977"/>
    <w:rsid w:val="00652DFB"/>
    <w:rsid w:val="0066434E"/>
    <w:rsid w:val="0067106F"/>
    <w:rsid w:val="006725F3"/>
    <w:rsid w:val="006748DB"/>
    <w:rsid w:val="00674CC0"/>
    <w:rsid w:val="00681500"/>
    <w:rsid w:val="00686FBA"/>
    <w:rsid w:val="006A7038"/>
    <w:rsid w:val="006B334D"/>
    <w:rsid w:val="006B3E47"/>
    <w:rsid w:val="006B5AB8"/>
    <w:rsid w:val="006C0C59"/>
    <w:rsid w:val="006C1393"/>
    <w:rsid w:val="006C1E38"/>
    <w:rsid w:val="006C2187"/>
    <w:rsid w:val="006C2942"/>
    <w:rsid w:val="006C32D9"/>
    <w:rsid w:val="006C4541"/>
    <w:rsid w:val="006C5C11"/>
    <w:rsid w:val="006D1AF7"/>
    <w:rsid w:val="006D1FB4"/>
    <w:rsid w:val="006D2B7F"/>
    <w:rsid w:val="006D64BA"/>
    <w:rsid w:val="006D6DDB"/>
    <w:rsid w:val="006D7D18"/>
    <w:rsid w:val="006E4897"/>
    <w:rsid w:val="006E6D0F"/>
    <w:rsid w:val="00700920"/>
    <w:rsid w:val="007015B1"/>
    <w:rsid w:val="00701C12"/>
    <w:rsid w:val="0070509E"/>
    <w:rsid w:val="00707557"/>
    <w:rsid w:val="007115E4"/>
    <w:rsid w:val="00712680"/>
    <w:rsid w:val="0071669E"/>
    <w:rsid w:val="00721BEC"/>
    <w:rsid w:val="007222E3"/>
    <w:rsid w:val="00726B45"/>
    <w:rsid w:val="00727C9E"/>
    <w:rsid w:val="00730581"/>
    <w:rsid w:val="00731152"/>
    <w:rsid w:val="00733943"/>
    <w:rsid w:val="00735590"/>
    <w:rsid w:val="00740DF5"/>
    <w:rsid w:val="00741333"/>
    <w:rsid w:val="007414EC"/>
    <w:rsid w:val="007439BB"/>
    <w:rsid w:val="00745826"/>
    <w:rsid w:val="007610D0"/>
    <w:rsid w:val="00762DAA"/>
    <w:rsid w:val="007630AC"/>
    <w:rsid w:val="007700B0"/>
    <w:rsid w:val="007763F3"/>
    <w:rsid w:val="007823C8"/>
    <w:rsid w:val="00784734"/>
    <w:rsid w:val="00784C71"/>
    <w:rsid w:val="00786DF6"/>
    <w:rsid w:val="00793DCA"/>
    <w:rsid w:val="00796DD9"/>
    <w:rsid w:val="007A0164"/>
    <w:rsid w:val="007A373F"/>
    <w:rsid w:val="007A410A"/>
    <w:rsid w:val="007A49DF"/>
    <w:rsid w:val="007B3654"/>
    <w:rsid w:val="007B60D6"/>
    <w:rsid w:val="007D262D"/>
    <w:rsid w:val="007D4409"/>
    <w:rsid w:val="007D4773"/>
    <w:rsid w:val="007E162C"/>
    <w:rsid w:val="007E1766"/>
    <w:rsid w:val="007E1E55"/>
    <w:rsid w:val="007E6945"/>
    <w:rsid w:val="007E6D0A"/>
    <w:rsid w:val="007E799D"/>
    <w:rsid w:val="007F4B67"/>
    <w:rsid w:val="007F662D"/>
    <w:rsid w:val="007F7F0B"/>
    <w:rsid w:val="00801F8A"/>
    <w:rsid w:val="0080398C"/>
    <w:rsid w:val="00807E76"/>
    <w:rsid w:val="00811A5A"/>
    <w:rsid w:val="008166B5"/>
    <w:rsid w:val="00825313"/>
    <w:rsid w:val="0083518D"/>
    <w:rsid w:val="00847C59"/>
    <w:rsid w:val="00852BA6"/>
    <w:rsid w:val="00855F0B"/>
    <w:rsid w:val="00856473"/>
    <w:rsid w:val="00856FE5"/>
    <w:rsid w:val="00860A75"/>
    <w:rsid w:val="008631BE"/>
    <w:rsid w:val="00864ABC"/>
    <w:rsid w:val="00867AD5"/>
    <w:rsid w:val="008709CB"/>
    <w:rsid w:val="00874DCE"/>
    <w:rsid w:val="00876964"/>
    <w:rsid w:val="00877284"/>
    <w:rsid w:val="0088085F"/>
    <w:rsid w:val="00881AD6"/>
    <w:rsid w:val="0088438B"/>
    <w:rsid w:val="00885A3C"/>
    <w:rsid w:val="00886006"/>
    <w:rsid w:val="00890E6D"/>
    <w:rsid w:val="008917EF"/>
    <w:rsid w:val="0089280A"/>
    <w:rsid w:val="00897034"/>
    <w:rsid w:val="008A0B9F"/>
    <w:rsid w:val="008A141D"/>
    <w:rsid w:val="008A1BE5"/>
    <w:rsid w:val="008A1ECE"/>
    <w:rsid w:val="008A3A4C"/>
    <w:rsid w:val="008A49C1"/>
    <w:rsid w:val="008B1665"/>
    <w:rsid w:val="008B3ADB"/>
    <w:rsid w:val="008B450F"/>
    <w:rsid w:val="008B4577"/>
    <w:rsid w:val="008B45C7"/>
    <w:rsid w:val="008B5886"/>
    <w:rsid w:val="008C1C55"/>
    <w:rsid w:val="008C315C"/>
    <w:rsid w:val="008C7865"/>
    <w:rsid w:val="008C7E2B"/>
    <w:rsid w:val="008D0954"/>
    <w:rsid w:val="008D1676"/>
    <w:rsid w:val="008D2022"/>
    <w:rsid w:val="008D22BD"/>
    <w:rsid w:val="008D33DD"/>
    <w:rsid w:val="008D6322"/>
    <w:rsid w:val="008D6351"/>
    <w:rsid w:val="008D7C07"/>
    <w:rsid w:val="008E16E6"/>
    <w:rsid w:val="008E581C"/>
    <w:rsid w:val="008E6B5A"/>
    <w:rsid w:val="008F1BAE"/>
    <w:rsid w:val="008F1D31"/>
    <w:rsid w:val="008F4FD0"/>
    <w:rsid w:val="009017CC"/>
    <w:rsid w:val="0090304C"/>
    <w:rsid w:val="00903D3D"/>
    <w:rsid w:val="00912D2B"/>
    <w:rsid w:val="00915548"/>
    <w:rsid w:val="00920938"/>
    <w:rsid w:val="0092290C"/>
    <w:rsid w:val="00930083"/>
    <w:rsid w:val="00931D32"/>
    <w:rsid w:val="00934DB0"/>
    <w:rsid w:val="0093633E"/>
    <w:rsid w:val="00936678"/>
    <w:rsid w:val="00945BEF"/>
    <w:rsid w:val="0095078C"/>
    <w:rsid w:val="009548B3"/>
    <w:rsid w:val="00955158"/>
    <w:rsid w:val="009562AE"/>
    <w:rsid w:val="0096463A"/>
    <w:rsid w:val="00971051"/>
    <w:rsid w:val="00972161"/>
    <w:rsid w:val="00975D3E"/>
    <w:rsid w:val="009764CC"/>
    <w:rsid w:val="00983EA3"/>
    <w:rsid w:val="00994649"/>
    <w:rsid w:val="00995AC9"/>
    <w:rsid w:val="009976BB"/>
    <w:rsid w:val="009A1AF1"/>
    <w:rsid w:val="009A2717"/>
    <w:rsid w:val="009A51B1"/>
    <w:rsid w:val="009A5466"/>
    <w:rsid w:val="009A65C0"/>
    <w:rsid w:val="009B22B8"/>
    <w:rsid w:val="009B5B4D"/>
    <w:rsid w:val="009C0EC3"/>
    <w:rsid w:val="009C1004"/>
    <w:rsid w:val="009C1C46"/>
    <w:rsid w:val="009C2DEE"/>
    <w:rsid w:val="009C319F"/>
    <w:rsid w:val="009D577A"/>
    <w:rsid w:val="009E5FB8"/>
    <w:rsid w:val="009E663A"/>
    <w:rsid w:val="009F2EDF"/>
    <w:rsid w:val="00A00B25"/>
    <w:rsid w:val="00A02221"/>
    <w:rsid w:val="00A20139"/>
    <w:rsid w:val="00A20395"/>
    <w:rsid w:val="00A20DD3"/>
    <w:rsid w:val="00A2357E"/>
    <w:rsid w:val="00A25F01"/>
    <w:rsid w:val="00A2664D"/>
    <w:rsid w:val="00A27B30"/>
    <w:rsid w:val="00A34A2F"/>
    <w:rsid w:val="00A351A8"/>
    <w:rsid w:val="00A35CA5"/>
    <w:rsid w:val="00A40160"/>
    <w:rsid w:val="00A438BB"/>
    <w:rsid w:val="00A43C68"/>
    <w:rsid w:val="00A4580C"/>
    <w:rsid w:val="00A47A0C"/>
    <w:rsid w:val="00A54B70"/>
    <w:rsid w:val="00A623D6"/>
    <w:rsid w:val="00A6334B"/>
    <w:rsid w:val="00A644DB"/>
    <w:rsid w:val="00A74000"/>
    <w:rsid w:val="00A74355"/>
    <w:rsid w:val="00A80AD4"/>
    <w:rsid w:val="00A80D0F"/>
    <w:rsid w:val="00A8360A"/>
    <w:rsid w:val="00A86614"/>
    <w:rsid w:val="00A866FE"/>
    <w:rsid w:val="00A90CAC"/>
    <w:rsid w:val="00A92A5E"/>
    <w:rsid w:val="00AA65DD"/>
    <w:rsid w:val="00AA7857"/>
    <w:rsid w:val="00AA7D3C"/>
    <w:rsid w:val="00AB6517"/>
    <w:rsid w:val="00AC5020"/>
    <w:rsid w:val="00AC5650"/>
    <w:rsid w:val="00AC7332"/>
    <w:rsid w:val="00AD0C00"/>
    <w:rsid w:val="00AD39B2"/>
    <w:rsid w:val="00AD65CB"/>
    <w:rsid w:val="00AE483C"/>
    <w:rsid w:val="00AE69FC"/>
    <w:rsid w:val="00AF2BC3"/>
    <w:rsid w:val="00AF5A1C"/>
    <w:rsid w:val="00B00520"/>
    <w:rsid w:val="00B03A3B"/>
    <w:rsid w:val="00B05F32"/>
    <w:rsid w:val="00B0640F"/>
    <w:rsid w:val="00B102E2"/>
    <w:rsid w:val="00B124D6"/>
    <w:rsid w:val="00B17AFB"/>
    <w:rsid w:val="00B21315"/>
    <w:rsid w:val="00B248EB"/>
    <w:rsid w:val="00B26B1D"/>
    <w:rsid w:val="00B26C0F"/>
    <w:rsid w:val="00B30683"/>
    <w:rsid w:val="00B32945"/>
    <w:rsid w:val="00B3347B"/>
    <w:rsid w:val="00B35D6B"/>
    <w:rsid w:val="00B404C5"/>
    <w:rsid w:val="00B43791"/>
    <w:rsid w:val="00B47A17"/>
    <w:rsid w:val="00B516D7"/>
    <w:rsid w:val="00B55DC5"/>
    <w:rsid w:val="00B57A8B"/>
    <w:rsid w:val="00B65A41"/>
    <w:rsid w:val="00B66913"/>
    <w:rsid w:val="00B70755"/>
    <w:rsid w:val="00B72E9A"/>
    <w:rsid w:val="00B84DB4"/>
    <w:rsid w:val="00B857DD"/>
    <w:rsid w:val="00B87A97"/>
    <w:rsid w:val="00B90D9E"/>
    <w:rsid w:val="00BA104B"/>
    <w:rsid w:val="00BA3A97"/>
    <w:rsid w:val="00BA40E2"/>
    <w:rsid w:val="00BA504B"/>
    <w:rsid w:val="00BB30D0"/>
    <w:rsid w:val="00BB3E01"/>
    <w:rsid w:val="00BB4381"/>
    <w:rsid w:val="00BB6BE1"/>
    <w:rsid w:val="00BB6E6D"/>
    <w:rsid w:val="00BB7847"/>
    <w:rsid w:val="00BC089B"/>
    <w:rsid w:val="00BC1569"/>
    <w:rsid w:val="00BC16E1"/>
    <w:rsid w:val="00BC26E9"/>
    <w:rsid w:val="00BC59EA"/>
    <w:rsid w:val="00BC67D4"/>
    <w:rsid w:val="00BD3191"/>
    <w:rsid w:val="00BD4B06"/>
    <w:rsid w:val="00BD5269"/>
    <w:rsid w:val="00BE1534"/>
    <w:rsid w:val="00BE15A0"/>
    <w:rsid w:val="00BF0F6D"/>
    <w:rsid w:val="00BF2873"/>
    <w:rsid w:val="00BF2939"/>
    <w:rsid w:val="00C01720"/>
    <w:rsid w:val="00C121E0"/>
    <w:rsid w:val="00C223D1"/>
    <w:rsid w:val="00C25499"/>
    <w:rsid w:val="00C27B1E"/>
    <w:rsid w:val="00C27D96"/>
    <w:rsid w:val="00C313A7"/>
    <w:rsid w:val="00C3361F"/>
    <w:rsid w:val="00C40A9E"/>
    <w:rsid w:val="00C43DFA"/>
    <w:rsid w:val="00C50C29"/>
    <w:rsid w:val="00C5259B"/>
    <w:rsid w:val="00C53894"/>
    <w:rsid w:val="00C5511F"/>
    <w:rsid w:val="00C556F6"/>
    <w:rsid w:val="00C57E8C"/>
    <w:rsid w:val="00C63329"/>
    <w:rsid w:val="00C63612"/>
    <w:rsid w:val="00C646F6"/>
    <w:rsid w:val="00C66B10"/>
    <w:rsid w:val="00C71A6B"/>
    <w:rsid w:val="00C71FDA"/>
    <w:rsid w:val="00C7614D"/>
    <w:rsid w:val="00C77935"/>
    <w:rsid w:val="00C8313C"/>
    <w:rsid w:val="00C83C4D"/>
    <w:rsid w:val="00C83DE9"/>
    <w:rsid w:val="00C92942"/>
    <w:rsid w:val="00C93203"/>
    <w:rsid w:val="00C946B3"/>
    <w:rsid w:val="00CA0396"/>
    <w:rsid w:val="00CA318E"/>
    <w:rsid w:val="00CA4912"/>
    <w:rsid w:val="00CB64D9"/>
    <w:rsid w:val="00CB6761"/>
    <w:rsid w:val="00CC1D22"/>
    <w:rsid w:val="00CC2FCF"/>
    <w:rsid w:val="00CC38DA"/>
    <w:rsid w:val="00CD0310"/>
    <w:rsid w:val="00CD3BA5"/>
    <w:rsid w:val="00CD45FD"/>
    <w:rsid w:val="00CD521E"/>
    <w:rsid w:val="00CD5E2C"/>
    <w:rsid w:val="00CD6320"/>
    <w:rsid w:val="00CE3163"/>
    <w:rsid w:val="00CE4EAD"/>
    <w:rsid w:val="00CE6D52"/>
    <w:rsid w:val="00CF13BB"/>
    <w:rsid w:val="00CF30A0"/>
    <w:rsid w:val="00CF6AEA"/>
    <w:rsid w:val="00CF7A27"/>
    <w:rsid w:val="00D02383"/>
    <w:rsid w:val="00D05CD4"/>
    <w:rsid w:val="00D05CDF"/>
    <w:rsid w:val="00D11B12"/>
    <w:rsid w:val="00D14856"/>
    <w:rsid w:val="00D14ED3"/>
    <w:rsid w:val="00D15491"/>
    <w:rsid w:val="00D16901"/>
    <w:rsid w:val="00D2257D"/>
    <w:rsid w:val="00D242F9"/>
    <w:rsid w:val="00D246C9"/>
    <w:rsid w:val="00D26A3F"/>
    <w:rsid w:val="00D31736"/>
    <w:rsid w:val="00D32CDE"/>
    <w:rsid w:val="00D34291"/>
    <w:rsid w:val="00D36DE8"/>
    <w:rsid w:val="00D433CE"/>
    <w:rsid w:val="00D453CE"/>
    <w:rsid w:val="00D60B8E"/>
    <w:rsid w:val="00D60E09"/>
    <w:rsid w:val="00D62F21"/>
    <w:rsid w:val="00D70DC1"/>
    <w:rsid w:val="00D71A59"/>
    <w:rsid w:val="00D753D9"/>
    <w:rsid w:val="00D75A21"/>
    <w:rsid w:val="00D82000"/>
    <w:rsid w:val="00D84B88"/>
    <w:rsid w:val="00D95311"/>
    <w:rsid w:val="00DA427C"/>
    <w:rsid w:val="00DA5043"/>
    <w:rsid w:val="00DA7047"/>
    <w:rsid w:val="00DA74F8"/>
    <w:rsid w:val="00DB0A16"/>
    <w:rsid w:val="00DB49EB"/>
    <w:rsid w:val="00DB5E3E"/>
    <w:rsid w:val="00DC5007"/>
    <w:rsid w:val="00DD1132"/>
    <w:rsid w:val="00DD2087"/>
    <w:rsid w:val="00DD582D"/>
    <w:rsid w:val="00DE2DE5"/>
    <w:rsid w:val="00DE341A"/>
    <w:rsid w:val="00DE47DD"/>
    <w:rsid w:val="00DE4BF1"/>
    <w:rsid w:val="00DE719F"/>
    <w:rsid w:val="00DF7B3C"/>
    <w:rsid w:val="00E01125"/>
    <w:rsid w:val="00E036AB"/>
    <w:rsid w:val="00E05C88"/>
    <w:rsid w:val="00E07F0B"/>
    <w:rsid w:val="00E118F5"/>
    <w:rsid w:val="00E14A9B"/>
    <w:rsid w:val="00E15E2F"/>
    <w:rsid w:val="00E20805"/>
    <w:rsid w:val="00E24076"/>
    <w:rsid w:val="00E24230"/>
    <w:rsid w:val="00E25E92"/>
    <w:rsid w:val="00E32490"/>
    <w:rsid w:val="00E333E2"/>
    <w:rsid w:val="00E35C2F"/>
    <w:rsid w:val="00E42294"/>
    <w:rsid w:val="00E42A36"/>
    <w:rsid w:val="00E4395F"/>
    <w:rsid w:val="00E43DE8"/>
    <w:rsid w:val="00E459C7"/>
    <w:rsid w:val="00E47940"/>
    <w:rsid w:val="00E5067A"/>
    <w:rsid w:val="00E510F1"/>
    <w:rsid w:val="00E55040"/>
    <w:rsid w:val="00E576B1"/>
    <w:rsid w:val="00E577F4"/>
    <w:rsid w:val="00E668DB"/>
    <w:rsid w:val="00E67993"/>
    <w:rsid w:val="00E7131F"/>
    <w:rsid w:val="00E7149C"/>
    <w:rsid w:val="00E74BE5"/>
    <w:rsid w:val="00E81642"/>
    <w:rsid w:val="00E81877"/>
    <w:rsid w:val="00E8287D"/>
    <w:rsid w:val="00E84CF8"/>
    <w:rsid w:val="00E94AE0"/>
    <w:rsid w:val="00EA23D1"/>
    <w:rsid w:val="00EA2E37"/>
    <w:rsid w:val="00EA606B"/>
    <w:rsid w:val="00EB0879"/>
    <w:rsid w:val="00EB10C4"/>
    <w:rsid w:val="00EB24FA"/>
    <w:rsid w:val="00EB4468"/>
    <w:rsid w:val="00EB4FAE"/>
    <w:rsid w:val="00EB7759"/>
    <w:rsid w:val="00EC0F24"/>
    <w:rsid w:val="00EC1527"/>
    <w:rsid w:val="00EC3E97"/>
    <w:rsid w:val="00ED39BE"/>
    <w:rsid w:val="00ED39D9"/>
    <w:rsid w:val="00EE0FD0"/>
    <w:rsid w:val="00EE2658"/>
    <w:rsid w:val="00EF0437"/>
    <w:rsid w:val="00EF270C"/>
    <w:rsid w:val="00EF4D88"/>
    <w:rsid w:val="00EF6EB2"/>
    <w:rsid w:val="00EF79B0"/>
    <w:rsid w:val="00F014AE"/>
    <w:rsid w:val="00F02B0F"/>
    <w:rsid w:val="00F11F3B"/>
    <w:rsid w:val="00F12F3B"/>
    <w:rsid w:val="00F166C2"/>
    <w:rsid w:val="00F217E8"/>
    <w:rsid w:val="00F25BA1"/>
    <w:rsid w:val="00F26884"/>
    <w:rsid w:val="00F2706C"/>
    <w:rsid w:val="00F3113B"/>
    <w:rsid w:val="00F34014"/>
    <w:rsid w:val="00F36060"/>
    <w:rsid w:val="00F424CA"/>
    <w:rsid w:val="00F44B91"/>
    <w:rsid w:val="00F54851"/>
    <w:rsid w:val="00F54C05"/>
    <w:rsid w:val="00F62E72"/>
    <w:rsid w:val="00F64E02"/>
    <w:rsid w:val="00F75964"/>
    <w:rsid w:val="00F81707"/>
    <w:rsid w:val="00F82F2E"/>
    <w:rsid w:val="00F9448B"/>
    <w:rsid w:val="00F947BE"/>
    <w:rsid w:val="00F95BE0"/>
    <w:rsid w:val="00FA0357"/>
    <w:rsid w:val="00FA16F8"/>
    <w:rsid w:val="00FA4E24"/>
    <w:rsid w:val="00FA6FFC"/>
    <w:rsid w:val="00FA732B"/>
    <w:rsid w:val="00FB128E"/>
    <w:rsid w:val="00FB628B"/>
    <w:rsid w:val="00FC0133"/>
    <w:rsid w:val="00FC6374"/>
    <w:rsid w:val="00FD68EA"/>
    <w:rsid w:val="00FE2073"/>
    <w:rsid w:val="00FE7615"/>
    <w:rsid w:val="00FF16C6"/>
    <w:rsid w:val="00FF3625"/>
    <w:rsid w:val="00FF5146"/>
    <w:rsid w:val="00FF5CB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F06F"/>
  <w15:docId w15:val="{CB6A432C-5E6F-4442-88E2-C9C4E89B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E5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31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D3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A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A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A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AD4"/>
    <w:rPr>
      <w:b/>
      <w:bCs/>
      <w:sz w:val="20"/>
      <w:szCs w:val="20"/>
    </w:rPr>
  </w:style>
  <w:style w:type="paragraph" w:customStyle="1" w:styleId="PKTpunkt">
    <w:name w:val="PKT – punkt"/>
    <w:link w:val="PKTpunktZnak"/>
    <w:uiPriority w:val="13"/>
    <w:qFormat/>
    <w:rsid w:val="00341AD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KTpunktZnak">
    <w:name w:val="PKT – punkt Znak"/>
    <w:link w:val="PKTpunkt"/>
    <w:uiPriority w:val="13"/>
    <w:locked/>
    <w:rsid w:val="00341ADD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luchili">
    <w:name w:val="luc_hili"/>
    <w:basedOn w:val="Domylnaczcionkaakapitu"/>
    <w:rsid w:val="00CB6761"/>
  </w:style>
  <w:style w:type="paragraph" w:styleId="Akapitzlist">
    <w:name w:val="List Paragraph"/>
    <w:basedOn w:val="Normalny"/>
    <w:uiPriority w:val="34"/>
    <w:qFormat/>
    <w:rsid w:val="009764CC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C1C46"/>
    <w:pPr>
      <w:spacing w:after="0" w:line="280" w:lineRule="atLeast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1C46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E0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09F8"/>
  </w:style>
  <w:style w:type="character" w:styleId="Hipercze">
    <w:name w:val="Hyperlink"/>
    <w:basedOn w:val="Domylnaczcionkaakapitu"/>
    <w:uiPriority w:val="99"/>
    <w:unhideWhenUsed/>
    <w:rsid w:val="00FE207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E58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t">
    <w:name w:val="st"/>
    <w:basedOn w:val="Domylnaczcionkaakapitu"/>
    <w:rsid w:val="00E42294"/>
  </w:style>
  <w:style w:type="paragraph" w:styleId="Nagwek">
    <w:name w:val="header"/>
    <w:basedOn w:val="Normalny"/>
    <w:link w:val="NagwekZnak"/>
    <w:uiPriority w:val="99"/>
    <w:unhideWhenUsed/>
    <w:rsid w:val="0006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A4A"/>
  </w:style>
  <w:style w:type="paragraph" w:styleId="Stopka">
    <w:name w:val="footer"/>
    <w:basedOn w:val="Normalny"/>
    <w:link w:val="StopkaZnak"/>
    <w:uiPriority w:val="99"/>
    <w:unhideWhenUsed/>
    <w:rsid w:val="0006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A4A"/>
  </w:style>
  <w:style w:type="character" w:customStyle="1" w:styleId="Bodytext">
    <w:name w:val="Body text_"/>
    <w:basedOn w:val="Domylnaczcionkaakapitu"/>
    <w:link w:val="Tekstpodstawowy4"/>
    <w:rsid w:val="00BC59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BC59EA"/>
    <w:pPr>
      <w:shd w:val="clear" w:color="auto" w:fill="FFFFFF"/>
      <w:spacing w:after="66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styleId="NormalnyWeb">
    <w:name w:val="Normal (Web)"/>
    <w:basedOn w:val="Normalny"/>
    <w:uiPriority w:val="99"/>
    <w:semiHidden/>
    <w:unhideWhenUsed/>
    <w:rsid w:val="000F7433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D84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n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EE9D-F73F-47CA-9C13-8BD118C7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Borowińska Paulina</dc:creator>
  <cp:lastModifiedBy>KGHM</cp:lastModifiedBy>
  <cp:revision>2</cp:revision>
  <cp:lastPrinted>2021-02-10T12:22:00Z</cp:lastPrinted>
  <dcterms:created xsi:type="dcterms:W3CDTF">2021-06-17T08:40:00Z</dcterms:created>
  <dcterms:modified xsi:type="dcterms:W3CDTF">2021-06-17T08:40:00Z</dcterms:modified>
</cp:coreProperties>
</file>