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95" w:rsidRDefault="00B16D95" w:rsidP="00B16D95">
      <w:pPr>
        <w:pStyle w:val="OZNPROJEKTUwskazaniedatylubwersjiprojektu"/>
      </w:pPr>
      <w:bookmarkStart w:id="0" w:name="_GoBack"/>
      <w:bookmarkEnd w:id="0"/>
      <w:r>
        <w:t xml:space="preserve">Projekt z dnia </w:t>
      </w:r>
      <w:r w:rsidR="00AF55F5">
        <w:t>31</w:t>
      </w:r>
      <w:r>
        <w:t xml:space="preserve"> maja 2021 r.</w:t>
      </w:r>
    </w:p>
    <w:p w:rsidR="00B16D95" w:rsidRDefault="00B16D95" w:rsidP="00B16D95"/>
    <w:p w:rsidR="00B16D95" w:rsidRDefault="00B16D95" w:rsidP="00B16D95">
      <w:pPr>
        <w:pStyle w:val="OZNRODZAKTUtznustawalubrozporzdzenieiorganwydajcy"/>
      </w:pPr>
      <w:r>
        <w:t>rozporządzenie</w:t>
      </w:r>
    </w:p>
    <w:p w:rsidR="00B16D95" w:rsidRDefault="00B16D95" w:rsidP="00B16D95">
      <w:pPr>
        <w:pStyle w:val="OZNRODZAKTUtznustawalubrozporzdzenieiorganwydajcy"/>
      </w:pPr>
      <w:r>
        <w:t>ministra rozwoju, pracy I technologii</w:t>
      </w:r>
      <w:r>
        <w:rPr>
          <w:rStyle w:val="IIGPindeksgrnyindeksugrnegoipogrubienie"/>
        </w:rPr>
        <w:footnoteReference w:id="1"/>
      </w:r>
      <w:r>
        <w:rPr>
          <w:rStyle w:val="IIGPindeksgrnyindeksugrnegoipogrubienie"/>
        </w:rPr>
        <w:t>)</w:t>
      </w:r>
    </w:p>
    <w:p w:rsidR="00B16D95" w:rsidRDefault="00B16D95" w:rsidP="00B16D95">
      <w:pPr>
        <w:pStyle w:val="DATAAKTUdatauchwalenialubwydaniaaktu"/>
      </w:pPr>
      <w:r>
        <w:t>z dnia ……………………………… 2021 r.</w:t>
      </w:r>
    </w:p>
    <w:p w:rsidR="00B16D95" w:rsidRDefault="00B16D95" w:rsidP="00B16D95">
      <w:pPr>
        <w:pStyle w:val="TYTUAKTUprzedmiotregulacjiustawylubrozporzdzenia"/>
      </w:pPr>
      <w:r>
        <w:t>zmieniające rozporządzenie w sprawie ogólnych przepisów bezpieczeństwa i higieny pracy</w:t>
      </w:r>
      <w:r>
        <w:rPr>
          <w:rStyle w:val="IIGPindeksgrnyindeksugrnegoipogrubienie"/>
        </w:rPr>
        <w:footnoteReference w:id="2"/>
      </w:r>
      <w:r>
        <w:rPr>
          <w:rStyle w:val="IIGPindeksgrnyindeksugrnegoipogrubienie"/>
        </w:rPr>
        <w:t>)</w:t>
      </w:r>
    </w:p>
    <w:p w:rsidR="00B16D95" w:rsidRDefault="00B16D95" w:rsidP="00B16D95">
      <w:pPr>
        <w:pStyle w:val="NIEARTTEKSTtekstnieartykuowanynppodstprawnarozplubpreambua"/>
      </w:pPr>
      <w:r>
        <w:t>Na podstawie art. 237</w:t>
      </w:r>
      <w:r>
        <w:rPr>
          <w:rStyle w:val="IGindeksgrny"/>
        </w:rPr>
        <w:t>15</w:t>
      </w:r>
      <w:r>
        <w:t xml:space="preserve"> § 1 ustawy z dnia 26 czerwca 1974 r. – Kodeks pracy (Dz. U. z 2020 r. poz. 1320) zarządza się, co następuje:</w:t>
      </w:r>
    </w:p>
    <w:p w:rsidR="00B16D95" w:rsidRDefault="00B16D95" w:rsidP="00B16D95">
      <w:pPr>
        <w:pStyle w:val="ARTartustawynprozporzdzenia"/>
      </w:pPr>
      <w:r>
        <w:rPr>
          <w:rStyle w:val="Ppogrubienie"/>
        </w:rPr>
        <w:t>§ 1</w:t>
      </w:r>
      <w:r>
        <w:t>. W rozporządzeniu Ministra Pracy i Polityki Socjalnej z dnia 26 września 1997 r. w sprawie ogólnych przepisów bezpieczeństwa i higieny pracy (Dz. U. z 2003 r. poz. 1650, z 2007 r. poz. 330, z 2008 r. poz. 690 oraz z 2011 r. poz. 1034) wprowadza się następujące zmiany:</w:t>
      </w:r>
    </w:p>
    <w:p w:rsidR="00B16D95" w:rsidRDefault="00B16D95" w:rsidP="00B16D95">
      <w:pPr>
        <w:pStyle w:val="PKTpunkt"/>
      </w:pPr>
      <w:r>
        <w:t xml:space="preserve">1) </w:t>
      </w:r>
      <w:r w:rsidR="00BA2B6F">
        <w:tab/>
      </w:r>
      <w:r>
        <w:t>w § 39a ust. 1 otrzymuje brzmienie:</w:t>
      </w:r>
    </w:p>
    <w:p w:rsidR="00B16D95" w:rsidRDefault="00B16D95" w:rsidP="00B16D95">
      <w:pPr>
        <w:pStyle w:val="ZUSTzmustartykuempunktem"/>
      </w:pPr>
      <w:r>
        <w:t xml:space="preserve">„1. </w:t>
      </w:r>
      <w:bookmarkStart w:id="1" w:name="mip11830794"/>
      <w:bookmarkEnd w:id="1"/>
      <w:r>
        <w:t xml:space="preserve">Pracodawca ocenia ryzyko zawodowe występujące przy wykonywanych pracach, w szczególności przy doborze wyposażenia stanowisk i miejsc pracy, stosowanych substancji i </w:t>
      </w:r>
      <w:bookmarkStart w:id="2" w:name="highlightHit_0"/>
      <w:bookmarkEnd w:id="2"/>
      <w:r>
        <w:t>mieszanin chemicznych, materiałów zawierających czynniki biologiczne, rakotwórcze lub mutagenne oraz zmianie organizacji pracy. Podczas oceny ryzyka zawodowego uwzględnia się wszystkie czynniki środowiska pracy występujące przy wykonywanych pracach oraz sposoby wykonywania prac.”;</w:t>
      </w:r>
    </w:p>
    <w:p w:rsidR="00B16D95" w:rsidRDefault="00B16D95" w:rsidP="00B16D95">
      <w:pPr>
        <w:pStyle w:val="PKTpunkt"/>
      </w:pPr>
      <w:r>
        <w:t xml:space="preserve">2) </w:t>
      </w:r>
      <w:r w:rsidR="00BA2B6F">
        <w:tab/>
      </w:r>
      <w:r>
        <w:t>w § 41 ust. 2 otrzymuje brzmienie:</w:t>
      </w:r>
    </w:p>
    <w:p w:rsidR="00B16D95" w:rsidRDefault="00B16D95" w:rsidP="00B16D95">
      <w:pPr>
        <w:pStyle w:val="ZUSTzmustartykuempunktem"/>
      </w:pPr>
      <w:r>
        <w:t xml:space="preserve">„2. Instrukcje, o których mowa w ust. 1, powinny w sposób zrozumiały dla pracowników wskazywać czynności, które należy wykonać przed rozpoczęciem danej pracy, zasady i sposoby bezpiecznego wykonywania pracy, czynności do wykonania po jej zakończeniu oraz zasady postępowania w sytuacjach awaryjnych stwarzających zagrożenie dla życia lub zdrowia pracowników. Instrukcje dotyczące prac związanych </w:t>
      </w:r>
      <w:r>
        <w:lastRenderedPageBreak/>
        <w:t xml:space="preserve">ze stosowaniem substancji niebezpiecznych, mieszanin niebezpiecznych, substancji stwarzających zagrożenie lub mieszanin stwarzających zagrożenie powinny uwzględniać informacje zawarte w kartach charakterystyki tych substancji i </w:t>
      </w:r>
      <w:bookmarkStart w:id="3" w:name="highlightHit_2"/>
      <w:bookmarkEnd w:id="3"/>
      <w:r>
        <w:t>mieszanin.”;</w:t>
      </w:r>
    </w:p>
    <w:p w:rsidR="00B16D95" w:rsidRDefault="00B16D95" w:rsidP="00B16D95">
      <w:pPr>
        <w:pStyle w:val="PKTpunkt"/>
      </w:pPr>
      <w:r>
        <w:t xml:space="preserve">3) </w:t>
      </w:r>
      <w:r w:rsidR="00BA2B6F">
        <w:tab/>
      </w:r>
      <w:r>
        <w:t>w § 46 ust. 3 otrzymuje brzmienie:</w:t>
      </w:r>
    </w:p>
    <w:p w:rsidR="00B16D95" w:rsidRDefault="00B16D95" w:rsidP="00B16D95">
      <w:pPr>
        <w:pStyle w:val="ZUSTzmustartykuempunktem"/>
      </w:pPr>
      <w:r>
        <w:t xml:space="preserve">„3. Materiały stosowane do czyszczenia, nasycone lub zanieczyszczone podczas pracy substancjami niebezpiecznymi, mieszaninami niebezpiecznymi, substancjami stwarzającymi zagrożenie lub mieszaninami stwarzającymi zagrożenie albo </w:t>
      </w:r>
      <w:r w:rsidR="00AF55F5">
        <w:t xml:space="preserve">wydzielające uciążliwe zapachy </w:t>
      </w:r>
      <w:r>
        <w:t xml:space="preserve"> należy przechowywać w zamkniętych naczyniach z materiału niepalnego, odpornego na działanie tych substancji oraz co najmniej raz na dobę usuwać z pomieszczeń pracy i niszczyć w sposób określony w instrukcjach, o których mowa w § 41.”;</w:t>
      </w:r>
    </w:p>
    <w:p w:rsidR="00B16D95" w:rsidRDefault="00B16D95" w:rsidP="00B16D95">
      <w:pPr>
        <w:pStyle w:val="PKTpunkt"/>
      </w:pPr>
      <w:r>
        <w:t xml:space="preserve">4) </w:t>
      </w:r>
      <w:r w:rsidR="00BA2B6F">
        <w:tab/>
      </w:r>
      <w:r>
        <w:t>w § 63 ust. 2 otrzymuje brzmienie:</w:t>
      </w:r>
    </w:p>
    <w:p w:rsidR="00B16D95" w:rsidRDefault="00B16D95" w:rsidP="00B16D95">
      <w:pPr>
        <w:pStyle w:val="ZUSTzmustartykuempunktem"/>
      </w:pPr>
      <w:r>
        <w:t xml:space="preserve">„2. </w:t>
      </w:r>
      <w:bookmarkStart w:id="4" w:name="mip10837577"/>
      <w:bookmarkEnd w:id="4"/>
      <w:r>
        <w:t>Szczegółowe wymagania dotyczące ręcznego transportu określają przepisy w sprawie bezpieczeństwa i higieny pracy przy ręcznych pracach transportowych oraz przepisy o pracach wzbronionych kobietom w ciąży, kobietom karmiącym dziecko piersią i młodocianym.”;</w:t>
      </w:r>
    </w:p>
    <w:p w:rsidR="00B16D95" w:rsidRDefault="00B16D95" w:rsidP="00B16D95">
      <w:pPr>
        <w:pStyle w:val="PKTpunkt"/>
      </w:pPr>
      <w:r>
        <w:t xml:space="preserve">5) </w:t>
      </w:r>
      <w:r w:rsidR="00BA2B6F">
        <w:tab/>
      </w:r>
      <w:r>
        <w:t>w § 70 ust. 2 otrzymuje brzmienie:</w:t>
      </w:r>
    </w:p>
    <w:p w:rsidR="00B16D95" w:rsidRDefault="00B16D95" w:rsidP="00B16D95">
      <w:pPr>
        <w:pStyle w:val="ZUSTzmustartykuempunktem"/>
      </w:pPr>
      <w:r>
        <w:t>„2. Przedmioty łatwo tłukące się, substancje niebezpieczne, mieszaniny niebezpieczne, substancje stwarzające zagrożenie lub mieszaniny stwarzające zagrożenie oraz materiały o największej masie powinny być przechowywane na najniższych poziomach składowania.”;</w:t>
      </w:r>
    </w:p>
    <w:p w:rsidR="00B16D95" w:rsidRDefault="00B16D95" w:rsidP="00B16D95">
      <w:pPr>
        <w:pStyle w:val="PKTpunkt"/>
      </w:pPr>
      <w:r>
        <w:t xml:space="preserve">6) </w:t>
      </w:r>
      <w:r w:rsidR="00BA2B6F">
        <w:tab/>
      </w:r>
      <w:r>
        <w:t>§ 91 otrzymuje brzmienie:</w:t>
      </w:r>
    </w:p>
    <w:p w:rsidR="00B16D95" w:rsidRDefault="00B16D95" w:rsidP="00B16D95">
      <w:pPr>
        <w:pStyle w:val="ZARTzmartartykuempunktem"/>
      </w:pPr>
      <w:r>
        <w:t>„§ 91. Materiałami niebezpiecznymi w rozumieniu rozporządzenia są w szczególności substancje niebezpieczne, mieszaniny niebezpieczne, substancje stwarzające zagrożenie lub mieszaniny stwarzające zagrożenie, zgodnie z odrębnymi przepisami, oraz materiały zawierające szkodliwe czynniki biologiczne zakwalifikowane do 3. lub 4. grupy zagrożenia zgodnie z przepisami w sprawie szkodliwych czynników biologicznych dla zdrowia w środowisku pracy oraz ochrony zdrowia pracowników zawodowo narażonych na te czynniki.”;</w:t>
      </w:r>
    </w:p>
    <w:p w:rsidR="00B16D95" w:rsidRDefault="00B16D95" w:rsidP="00B16D95">
      <w:pPr>
        <w:pStyle w:val="PKTpunkt"/>
      </w:pPr>
      <w:r>
        <w:t xml:space="preserve">7) </w:t>
      </w:r>
      <w:r w:rsidR="00BA2B6F">
        <w:tab/>
      </w:r>
      <w:r>
        <w:t>w § 101 ust. 3 otrzymuje brzmienie:</w:t>
      </w:r>
    </w:p>
    <w:p w:rsidR="00B16D95" w:rsidRDefault="00B16D95" w:rsidP="00B16D95">
      <w:pPr>
        <w:pStyle w:val="ZUSTzmustartykuempunktem"/>
      </w:pPr>
      <w:r>
        <w:t xml:space="preserve">„3. Wykaz substancji chemicznych, </w:t>
      </w:r>
      <w:bookmarkStart w:id="5" w:name="highlightHit_7"/>
      <w:bookmarkEnd w:id="5"/>
      <w:r>
        <w:t xml:space="preserve">ich mieszanin, czynników i procesów technologicznych o działaniu rakotwórczym lub mutagennym, sposób ich rejestrowania oraz szczegółowe warunki ochrony pracowników przed zagrożeniami spowodowanymi </w:t>
      </w:r>
      <w:r>
        <w:lastRenderedPageBreak/>
        <w:t xml:space="preserve">przez te substancje, </w:t>
      </w:r>
      <w:bookmarkStart w:id="6" w:name="highlightHit_8"/>
      <w:bookmarkEnd w:id="6"/>
      <w:r>
        <w:t>chemiczne, ich mieszaniny, czynniki lub procesy technologiczne są określone w odrębnych przepisach.”;</w:t>
      </w:r>
    </w:p>
    <w:p w:rsidR="00B16D95" w:rsidRDefault="00B16D95" w:rsidP="00B16D95">
      <w:pPr>
        <w:pStyle w:val="PKTpunkt"/>
      </w:pPr>
      <w:r>
        <w:t xml:space="preserve">8) </w:t>
      </w:r>
      <w:r w:rsidR="00BA2B6F">
        <w:tab/>
      </w:r>
      <w:r>
        <w:t>załącznik nr 2 otrzymuje brzmienie określone w załączniku do niniejszego rozporządzenia;</w:t>
      </w:r>
    </w:p>
    <w:p w:rsidR="00B16D95" w:rsidRDefault="00B16D95" w:rsidP="00B16D95">
      <w:pPr>
        <w:pStyle w:val="PKTpunkt"/>
      </w:pPr>
      <w:r>
        <w:t xml:space="preserve">9) </w:t>
      </w:r>
      <w:r w:rsidR="00BA2B6F">
        <w:tab/>
      </w:r>
      <w:r>
        <w:t xml:space="preserve">w załączniku nr 3 </w:t>
      </w:r>
      <w:r w:rsidR="00AF55F5">
        <w:t xml:space="preserve">w </w:t>
      </w:r>
      <w:r>
        <w:t>§ 43 ust. 3 otrzymuje brzmienie:</w:t>
      </w:r>
    </w:p>
    <w:p w:rsidR="00B16D95" w:rsidRDefault="00B16D95" w:rsidP="00B16D95">
      <w:pPr>
        <w:pStyle w:val="ZUSTzmustartykuempunktem"/>
      </w:pPr>
      <w:r>
        <w:t xml:space="preserve">„3. W zakładzie pracy, w którym odzież i obuwie robocze oraz środki ochrony indywidualnej stosowane przez pracowników są narażone na zanieczyszczenie substancjami niebezpiecznymi, mieszaninami niebezpiecznymi, substancjami stwarzającymi zagrożenie lub mieszaninami stwarzającymi zagrożenie, należy stosować urządzenia służące do neutralizacji tych substancji lub </w:t>
      </w:r>
      <w:bookmarkStart w:id="7" w:name="highlightHit_10"/>
      <w:bookmarkEnd w:id="7"/>
      <w:r>
        <w:t>mieszanin.”.</w:t>
      </w:r>
    </w:p>
    <w:p w:rsidR="00B16D95" w:rsidRDefault="00B16D95" w:rsidP="00B16D95">
      <w:pPr>
        <w:pStyle w:val="ARTartustawynprozporzdzenia"/>
      </w:pPr>
      <w:r>
        <w:rPr>
          <w:rStyle w:val="Ppogrubienie"/>
        </w:rPr>
        <w:t>§ 2</w:t>
      </w:r>
      <w:r>
        <w:t>. Rozporządzenie wchodzi w życie z dniem 20 listopada 2021 r.</w:t>
      </w:r>
    </w:p>
    <w:p w:rsidR="00B16D95" w:rsidRDefault="00B16D95" w:rsidP="00B16D95"/>
    <w:p w:rsidR="00B16D95" w:rsidRDefault="00B16D95" w:rsidP="00B16D95">
      <w:pPr>
        <w:pStyle w:val="NAZORGWYDnazwaorganuwydajcegoprojektowanyakt"/>
      </w:pPr>
      <w:r>
        <w:t>minister</w:t>
      </w:r>
    </w:p>
    <w:p w:rsidR="00B16D95" w:rsidRDefault="00B16D95" w:rsidP="00B16D95">
      <w:pPr>
        <w:pStyle w:val="NAZORGWYDnazwaorganuwydajcegoprojektowanyakt"/>
      </w:pPr>
      <w:r>
        <w:t>rozwoju, pracy i technologii</w:t>
      </w:r>
    </w:p>
    <w:p w:rsidR="00B16D95" w:rsidRDefault="00B16D95" w:rsidP="00B16D95">
      <w:pPr>
        <w:pStyle w:val="TEKSTwporozumieniu"/>
      </w:pPr>
      <w:r>
        <w:t>W porozumieniu:</w:t>
      </w:r>
    </w:p>
    <w:p w:rsidR="00261A16" w:rsidRDefault="00B16D95" w:rsidP="00176F54">
      <w:pPr>
        <w:pStyle w:val="NAZORGWPOROZUMIENIUnazwaorganuwporozumieniuzktrymaktjestwydawany"/>
      </w:pPr>
      <w:r>
        <w:t>minister zdrowia</w:t>
      </w:r>
    </w:p>
    <w:p w:rsidR="00BA2B6F" w:rsidRDefault="00BA2B6F" w:rsidP="00176F54">
      <w:pPr>
        <w:pStyle w:val="NAZORGWPOROZUMIENIUnazwaorganuwporozumieniuzktrymaktjestwydawany"/>
      </w:pPr>
    </w:p>
    <w:p w:rsidR="00BA2B6F" w:rsidRDefault="00BA2B6F" w:rsidP="00BA2B6F">
      <w:pPr>
        <w:pStyle w:val="OZNPARAFYADNOTACJE"/>
      </w:pPr>
    </w:p>
    <w:p w:rsidR="00BA2B6F" w:rsidRDefault="00BA2B6F" w:rsidP="00BA2B6F">
      <w:pPr>
        <w:pStyle w:val="OZNPARAFYADNOTACJE"/>
      </w:pPr>
    </w:p>
    <w:p w:rsidR="00BA2B6F" w:rsidRDefault="00BA2B6F" w:rsidP="00BA2B6F">
      <w:pPr>
        <w:pStyle w:val="OZNPARAFYADNOTACJE"/>
      </w:pPr>
    </w:p>
    <w:p w:rsidR="00BA2B6F" w:rsidRPr="002A3DC6" w:rsidRDefault="00BA2B6F" w:rsidP="00BA2B6F">
      <w:pPr>
        <w:pStyle w:val="OZNPARAFYADNOTACJE"/>
      </w:pPr>
      <w:r w:rsidRPr="002A3DC6">
        <w:t>ZA ZGODNOŚĆ POD WZGLĘDEM PRAWNYM,</w:t>
      </w:r>
    </w:p>
    <w:p w:rsidR="00BA2B6F" w:rsidRPr="002A3DC6" w:rsidRDefault="00BA2B6F" w:rsidP="00BA2B6F">
      <w:pPr>
        <w:pStyle w:val="OZNPARAFYADNOTACJE"/>
      </w:pPr>
      <w:r w:rsidRPr="002A3DC6">
        <w:t>LEGISLACYJNYM I REDAKCYJNYM</w:t>
      </w:r>
    </w:p>
    <w:p w:rsidR="00BA2B6F" w:rsidRPr="002A3DC6" w:rsidRDefault="00BA2B6F" w:rsidP="00BA2B6F">
      <w:pPr>
        <w:pStyle w:val="OZNPARAFYADNOTACJE"/>
      </w:pPr>
      <w:r w:rsidRPr="002A3DC6">
        <w:t xml:space="preserve">Iwona </w:t>
      </w:r>
      <w:proofErr w:type="spellStart"/>
      <w:r w:rsidRPr="002A3DC6">
        <w:t>Ziendalska</w:t>
      </w:r>
      <w:proofErr w:type="spellEnd"/>
    </w:p>
    <w:p w:rsidR="00BA2B6F" w:rsidRDefault="00BA2B6F" w:rsidP="00BA2B6F">
      <w:pPr>
        <w:pStyle w:val="OZNPARAFYADNOTACJE"/>
      </w:pPr>
      <w:r w:rsidRPr="002A3DC6">
        <w:t xml:space="preserve">Zastępca Dyrektora Departamentu Prawnego </w:t>
      </w:r>
    </w:p>
    <w:p w:rsidR="00BA2B6F" w:rsidRPr="002A3DC6" w:rsidRDefault="00BA2B6F" w:rsidP="00BA2B6F">
      <w:pPr>
        <w:pStyle w:val="OZNPARAFYADNOTACJE"/>
      </w:pPr>
      <w:r w:rsidRPr="002A3DC6">
        <w:t>w Ministerstwie Rozwoju, Pracy i Technologii</w:t>
      </w:r>
    </w:p>
    <w:p w:rsidR="00BA2B6F" w:rsidRPr="00653A12" w:rsidRDefault="00BA2B6F" w:rsidP="00BA2B6F">
      <w:pPr>
        <w:pStyle w:val="OZNPARAFYADNOTACJE"/>
      </w:pPr>
      <w:r w:rsidRPr="002A3DC6">
        <w:t>/podpisano elektronicznie/</w:t>
      </w:r>
    </w:p>
    <w:p w:rsidR="00BA2B6F" w:rsidRPr="00737F6A" w:rsidRDefault="00BA2B6F" w:rsidP="00176F54">
      <w:pPr>
        <w:pStyle w:val="NAZORGWPOROZUMIENIUnazwaorganuwporozumieniuzktrymaktjestwydawany"/>
      </w:pPr>
    </w:p>
    <w:sectPr w:rsidR="00BA2B6F" w:rsidRPr="00737F6A"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6A5" w:rsidRDefault="00EC36A5">
      <w:r>
        <w:separator/>
      </w:r>
    </w:p>
  </w:endnote>
  <w:endnote w:type="continuationSeparator" w:id="0">
    <w:p w:rsidR="00EC36A5" w:rsidRDefault="00EC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6A5" w:rsidRDefault="00EC36A5">
      <w:r>
        <w:separator/>
      </w:r>
    </w:p>
  </w:footnote>
  <w:footnote w:type="continuationSeparator" w:id="0">
    <w:p w:rsidR="00EC36A5" w:rsidRDefault="00EC36A5">
      <w:r>
        <w:continuationSeparator/>
      </w:r>
    </w:p>
  </w:footnote>
  <w:footnote w:id="1">
    <w:p w:rsidR="00B16D95" w:rsidRDefault="00B16D95" w:rsidP="00B16D95">
      <w:pPr>
        <w:pStyle w:val="PKTODNONIKApunktodnonika"/>
      </w:pPr>
      <w:r>
        <w:rPr>
          <w:rStyle w:val="Odwoanieprzypisudolnego"/>
        </w:rPr>
        <w:footnoteRef/>
      </w:r>
      <w:r>
        <w:rPr>
          <w:rStyle w:val="IGindeksgrny"/>
        </w:rPr>
        <w:t xml:space="preserve">) </w:t>
      </w:r>
      <w:r>
        <w:tab/>
        <w:t>Minister Rozwoju, Pracy i Technologii kieruje działem administracji rządowej – praca, na podstawie § 1 ust. 2 pkt 4 rozporządzenia Prezesa Rady Ministrów z dnia 6 października 2020 r. w sprawie szczegółowego zakresu działania Ministra Rozwoju, Pracy i Technologii (Dz. U. poz. 1718).</w:t>
      </w:r>
    </w:p>
  </w:footnote>
  <w:footnote w:id="2">
    <w:p w:rsidR="00B16D95" w:rsidRDefault="00B16D95" w:rsidP="00B16D95">
      <w:pPr>
        <w:pStyle w:val="PKTODNONIKApunktodnonika"/>
      </w:pPr>
      <w:r>
        <w:rPr>
          <w:rStyle w:val="Odwoanieprzypisudolnego"/>
        </w:rPr>
        <w:footnoteRef/>
      </w:r>
      <w:r>
        <w:rPr>
          <w:rStyle w:val="IGindeksgrny"/>
        </w:rPr>
        <w:t>)</w:t>
      </w:r>
      <w:r>
        <w:t xml:space="preserve"> </w:t>
      </w:r>
      <w:r>
        <w:tab/>
        <w:t>Niniejsze rozporządzenie w zakresie swojej regulacji wdraża dyrektywę Komisji (UE) 2019/1832 z dnia 24 października 2019 r. zmieniającą załączniki I, II i III do dyrektywy Rady 89/656/EWG w odniesieniu do dostosowań o charakterze czysto technicznym (Dz. Urz. UE L 279 z 31.10.2019, str.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880DD6">
      <w:rPr>
        <w:noProof/>
      </w:rPr>
      <w:t>2</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95"/>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76F54"/>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390"/>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77669"/>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22CE"/>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13D4"/>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8FE"/>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0DD6"/>
    <w:rsid w:val="00881926"/>
    <w:rsid w:val="0088318F"/>
    <w:rsid w:val="0088331D"/>
    <w:rsid w:val="008852B0"/>
    <w:rsid w:val="00885AE7"/>
    <w:rsid w:val="00886B60"/>
    <w:rsid w:val="00887889"/>
    <w:rsid w:val="00891565"/>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90D68"/>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15E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B6E18"/>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5F5"/>
    <w:rsid w:val="00AF571A"/>
    <w:rsid w:val="00AF60A0"/>
    <w:rsid w:val="00AF67FC"/>
    <w:rsid w:val="00AF7DF5"/>
    <w:rsid w:val="00B006E5"/>
    <w:rsid w:val="00B024C2"/>
    <w:rsid w:val="00B07700"/>
    <w:rsid w:val="00B13921"/>
    <w:rsid w:val="00B1528C"/>
    <w:rsid w:val="00B16ACD"/>
    <w:rsid w:val="00B16D95"/>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2B6F"/>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228F"/>
    <w:rsid w:val="00C54A3A"/>
    <w:rsid w:val="00C55566"/>
    <w:rsid w:val="00C56448"/>
    <w:rsid w:val="00C667BE"/>
    <w:rsid w:val="00C6766B"/>
    <w:rsid w:val="00C72223"/>
    <w:rsid w:val="00C76090"/>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40BE"/>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B238B"/>
    <w:rsid w:val="00EC0F5A"/>
    <w:rsid w:val="00EC36A5"/>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1FBF"/>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rsid w:val="00B16D95"/>
    <w:pPr>
      <w:widowControl w:val="0"/>
      <w:suppressAutoHyphens/>
      <w:autoSpaceDE w:val="0"/>
      <w:autoSpaceDN w:val="0"/>
      <w:textAlignment w:val="baseline"/>
    </w:pPr>
    <w:rPr>
      <w:rFonts w:ascii="Times New Roman" w:hAnsi="Times New Roman" w:cs="Arial"/>
      <w:szCs w:val="20"/>
      <w:lang w:eastAsia="en-US"/>
    </w:rPr>
  </w:style>
  <w:style w:type="paragraph" w:styleId="Nagwek1">
    <w:name w:val="heading 1"/>
    <w:basedOn w:val="Normalny"/>
    <w:next w:val="Normalny"/>
    <w:link w:val="Nagwek1Znak"/>
    <w:uiPriority w:val="99"/>
    <w:semiHidden/>
    <w:rsid w:val="001E1E73"/>
    <w:pPr>
      <w:keepNext/>
      <w:keepLines/>
      <w:autoSpaceDE/>
      <w:autoSpaceDN/>
      <w:spacing w:before="480"/>
      <w:textAlignment w:val="auto"/>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autoSpaceDE/>
      <w:autoSpaceDN/>
      <w:textAlignment w:val="auto"/>
    </w:pPr>
    <w:rPr>
      <w:rFonts w:ascii="Times"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autoSpaceDE/>
      <w:autoSpaceDN/>
      <w:textAlignment w:val="auto"/>
    </w:pPr>
    <w:rPr>
      <w:rFonts w:ascii="Times"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autoSpaceDE/>
      <w:autoSpaceDN/>
      <w:textAlignment w:val="auto"/>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qFormat/>
    <w:rsid w:val="006A748A"/>
    <w:pPr>
      <w:spacing w:before="0"/>
      <w:ind w:left="510"/>
    </w:pPr>
  </w:style>
  <w:style w:type="paragraph" w:customStyle="1" w:styleId="DATAAKTUdatauchwalenialubwydaniaaktu">
    <w:name w:val="DATA_AKTU – data uchwalenia lub wydania aktu"/>
    <w:next w:val="TYTUAKTUprzedmiotregulacjiustawylubrozporzdzenia"/>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qFormat/>
    <w:rsid w:val="006A748A"/>
    <w:rPr>
      <w:bCs/>
    </w:rPr>
  </w:style>
  <w:style w:type="paragraph" w:customStyle="1" w:styleId="OZNRODZAKTUtznustawalubrozporzdzenieiorganwydajcy">
    <w:name w:val="OZN_RODZ_AKTU – tzn. ustawa lub rozporządzenie i organ wydający"/>
    <w:next w:val="DATAAKTUdatauchwalenialubwydaniaaktu"/>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suppressAutoHyphens w:val="0"/>
      <w:adjustRightInd w:val="0"/>
      <w:textAlignment w:val="auto"/>
    </w:pPr>
    <w:rPr>
      <w:rFonts w:ascii="Times" w:hAnsi="Times" w:cs="Times New Roman"/>
      <w:szCs w:val="24"/>
      <w:lang w:eastAsia="pl-PL"/>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suppressAutoHyphens w:val="0"/>
      <w:adjustRightInd w:val="0"/>
      <w:textAlignment w:val="auto"/>
    </w:pPr>
    <w:rPr>
      <w:rFonts w:ascii="Times" w:hAnsi="Times" w:cs="Times New Roman"/>
      <w:szCs w:val="24"/>
      <w:lang w:eastAsia="pl-PL"/>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qFormat/>
    <w:rsid w:val="006A748A"/>
    <w:pPr>
      <w:ind w:left="0" w:right="4820"/>
      <w:jc w:val="left"/>
    </w:pPr>
  </w:style>
  <w:style w:type="paragraph" w:customStyle="1" w:styleId="TEKSTwporozumieniu">
    <w:name w:val="TEKST&quot;w porozumieniu:&quot;"/>
    <w:next w:val="NAZORGWPOROZUMIENIUnazwaorganuwporozumieniuzktrymaktjestwydawany"/>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suppressAutoHyphens w:val="0"/>
      <w:adjustRightInd w:val="0"/>
      <w:textAlignment w:val="auto"/>
    </w:pPr>
    <w:rPr>
      <w:rFonts w:eastAsiaTheme="minorEastAsia"/>
      <w:b/>
      <w:i/>
      <w:lang w:eastAsia="pl-PL"/>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suppressAutoHyphens w:val="0"/>
      <w:autoSpaceDE/>
      <w:autoSpaceDN/>
      <w:spacing w:line="240" w:lineRule="auto"/>
      <w:ind w:left="283" w:hanging="170"/>
      <w:textAlignment w:val="auto"/>
    </w:pPr>
    <w:rPr>
      <w:rFonts w:eastAsiaTheme="minorEastAsia"/>
      <w:sz w:val="20"/>
      <w:lang w:eastAsia="pl-PL"/>
    </w:rPr>
  </w:style>
  <w:style w:type="paragraph" w:customStyle="1" w:styleId="TEKSTwTABELItekstzwcitympierwwierszem">
    <w:name w:val="TEKST_w_TABELI – tekst z wciętym pierw. wierszem"/>
    <w:basedOn w:val="Normalny"/>
    <w:uiPriority w:val="23"/>
    <w:qFormat/>
    <w:rsid w:val="007A789F"/>
    <w:pPr>
      <w:widowControl/>
      <w:adjustRightInd w:val="0"/>
      <w:ind w:firstLine="510"/>
      <w:textAlignment w:val="auto"/>
    </w:pPr>
    <w:rPr>
      <w:rFonts w:ascii="Times" w:eastAsiaTheme="minorEastAsia" w:hAnsi="Times"/>
      <w:bCs/>
      <w:kern w:val="24"/>
      <w:lang w:eastAsia="pl-PL"/>
    </w:rPr>
  </w:style>
  <w:style w:type="paragraph" w:customStyle="1" w:styleId="TEKSTwTABELIWYRODKOWANYtekstwyrodkowanywpoziomie">
    <w:name w:val="TEKST_w_TABELI_WYŚRODKOWANY – tekst wyśrodkowany w poziomie"/>
    <w:basedOn w:val="Normalny"/>
    <w:uiPriority w:val="23"/>
    <w:qFormat/>
    <w:rsid w:val="007A789F"/>
    <w:pPr>
      <w:widowControl/>
      <w:adjustRightInd w:val="0"/>
      <w:jc w:val="center"/>
      <w:textAlignment w:val="auto"/>
    </w:pPr>
    <w:rPr>
      <w:rFonts w:ascii="Times" w:eastAsiaTheme="minorEastAsia" w:hAnsi="Times"/>
      <w:bCs/>
      <w:kern w:val="24"/>
      <w:lang w:eastAsia="pl-PL"/>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rsid w:val="00B16D95"/>
    <w:pPr>
      <w:widowControl w:val="0"/>
      <w:suppressAutoHyphens/>
      <w:autoSpaceDE w:val="0"/>
      <w:autoSpaceDN w:val="0"/>
      <w:textAlignment w:val="baseline"/>
    </w:pPr>
    <w:rPr>
      <w:rFonts w:ascii="Times New Roman" w:hAnsi="Times New Roman" w:cs="Arial"/>
      <w:szCs w:val="20"/>
      <w:lang w:eastAsia="en-US"/>
    </w:rPr>
  </w:style>
  <w:style w:type="paragraph" w:styleId="Nagwek1">
    <w:name w:val="heading 1"/>
    <w:basedOn w:val="Normalny"/>
    <w:next w:val="Normalny"/>
    <w:link w:val="Nagwek1Znak"/>
    <w:uiPriority w:val="99"/>
    <w:semiHidden/>
    <w:rsid w:val="001E1E73"/>
    <w:pPr>
      <w:keepNext/>
      <w:keepLines/>
      <w:autoSpaceDE/>
      <w:autoSpaceDN/>
      <w:spacing w:before="480"/>
      <w:textAlignment w:val="auto"/>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autoSpaceDE/>
      <w:autoSpaceDN/>
      <w:textAlignment w:val="auto"/>
    </w:pPr>
    <w:rPr>
      <w:rFonts w:ascii="Times"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autoSpaceDE/>
      <w:autoSpaceDN/>
      <w:textAlignment w:val="auto"/>
    </w:pPr>
    <w:rPr>
      <w:rFonts w:ascii="Times"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autoSpaceDE/>
      <w:autoSpaceDN/>
      <w:textAlignment w:val="auto"/>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qFormat/>
    <w:rsid w:val="006A748A"/>
    <w:pPr>
      <w:spacing w:before="0"/>
      <w:ind w:left="510"/>
    </w:pPr>
  </w:style>
  <w:style w:type="paragraph" w:customStyle="1" w:styleId="DATAAKTUdatauchwalenialubwydaniaaktu">
    <w:name w:val="DATA_AKTU – data uchwalenia lub wydania aktu"/>
    <w:next w:val="TYTUAKTUprzedmiotregulacjiustawylubrozporzdzenia"/>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qFormat/>
    <w:rsid w:val="006A748A"/>
    <w:rPr>
      <w:bCs/>
    </w:rPr>
  </w:style>
  <w:style w:type="paragraph" w:customStyle="1" w:styleId="OZNRODZAKTUtznustawalubrozporzdzenieiorganwydajcy">
    <w:name w:val="OZN_RODZ_AKTU – tzn. ustawa lub rozporządzenie i organ wydający"/>
    <w:next w:val="DATAAKTUdatauchwalenialubwydaniaaktu"/>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suppressAutoHyphens w:val="0"/>
      <w:adjustRightInd w:val="0"/>
      <w:textAlignment w:val="auto"/>
    </w:pPr>
    <w:rPr>
      <w:rFonts w:ascii="Times" w:hAnsi="Times" w:cs="Times New Roman"/>
      <w:szCs w:val="24"/>
      <w:lang w:eastAsia="pl-PL"/>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suppressAutoHyphens w:val="0"/>
      <w:adjustRightInd w:val="0"/>
      <w:textAlignment w:val="auto"/>
    </w:pPr>
    <w:rPr>
      <w:rFonts w:ascii="Times" w:hAnsi="Times" w:cs="Times New Roman"/>
      <w:szCs w:val="24"/>
      <w:lang w:eastAsia="pl-PL"/>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qFormat/>
    <w:rsid w:val="006A748A"/>
    <w:pPr>
      <w:ind w:left="0" w:right="4820"/>
      <w:jc w:val="left"/>
    </w:pPr>
  </w:style>
  <w:style w:type="paragraph" w:customStyle="1" w:styleId="TEKSTwporozumieniu">
    <w:name w:val="TEKST&quot;w porozumieniu:&quot;"/>
    <w:next w:val="NAZORGWPOROZUMIENIUnazwaorganuwporozumieniuzktrymaktjestwydawany"/>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suppressAutoHyphens w:val="0"/>
      <w:adjustRightInd w:val="0"/>
      <w:textAlignment w:val="auto"/>
    </w:pPr>
    <w:rPr>
      <w:rFonts w:eastAsiaTheme="minorEastAsia"/>
      <w:b/>
      <w:i/>
      <w:lang w:eastAsia="pl-PL"/>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suppressAutoHyphens w:val="0"/>
      <w:autoSpaceDE/>
      <w:autoSpaceDN/>
      <w:spacing w:line="240" w:lineRule="auto"/>
      <w:ind w:left="283" w:hanging="170"/>
      <w:textAlignment w:val="auto"/>
    </w:pPr>
    <w:rPr>
      <w:rFonts w:eastAsiaTheme="minorEastAsia"/>
      <w:sz w:val="20"/>
      <w:lang w:eastAsia="pl-PL"/>
    </w:rPr>
  </w:style>
  <w:style w:type="paragraph" w:customStyle="1" w:styleId="TEKSTwTABELItekstzwcitympierwwierszem">
    <w:name w:val="TEKST_w_TABELI – tekst z wciętym pierw. wierszem"/>
    <w:basedOn w:val="Normalny"/>
    <w:uiPriority w:val="23"/>
    <w:qFormat/>
    <w:rsid w:val="007A789F"/>
    <w:pPr>
      <w:widowControl/>
      <w:adjustRightInd w:val="0"/>
      <w:ind w:firstLine="510"/>
      <w:textAlignment w:val="auto"/>
    </w:pPr>
    <w:rPr>
      <w:rFonts w:ascii="Times" w:eastAsiaTheme="minorEastAsia" w:hAnsi="Times"/>
      <w:bCs/>
      <w:kern w:val="24"/>
      <w:lang w:eastAsia="pl-PL"/>
    </w:rPr>
  </w:style>
  <w:style w:type="paragraph" w:customStyle="1" w:styleId="TEKSTwTABELIWYRODKOWANYtekstwyrodkowanywpoziomie">
    <w:name w:val="TEKST_w_TABELI_WYŚRODKOWANY – tekst wyśrodkowany w poziomie"/>
    <w:basedOn w:val="Normalny"/>
    <w:uiPriority w:val="23"/>
    <w:qFormat/>
    <w:rsid w:val="007A789F"/>
    <w:pPr>
      <w:widowControl/>
      <w:adjustRightInd w:val="0"/>
      <w:jc w:val="center"/>
      <w:textAlignment w:val="auto"/>
    </w:pPr>
    <w:rPr>
      <w:rFonts w:ascii="Times" w:eastAsiaTheme="minorEastAsia" w:hAnsi="Times"/>
      <w:bCs/>
      <w:kern w:val="24"/>
      <w:lang w:eastAsia="pl-PL"/>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isiel-geisler\Deskto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96C749-5A0D-410A-A71F-A7CF69E27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3</Pages>
  <Words>672</Words>
  <Characters>4033</Characters>
  <Application>Microsoft Office Word</Application>
  <DocSecurity>0</DocSecurity>
  <Lines>33</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Antonina Kisiel-Geisler</dc:creator>
  <cp:lastModifiedBy>Joanna Klimczak</cp:lastModifiedBy>
  <cp:revision>2</cp:revision>
  <cp:lastPrinted>2012-04-23T06:39:00Z</cp:lastPrinted>
  <dcterms:created xsi:type="dcterms:W3CDTF">2021-06-09T08:58:00Z</dcterms:created>
  <dcterms:modified xsi:type="dcterms:W3CDTF">2021-06-09T08:58:00Z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