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27C6" w14:textId="0BEC3DAE" w:rsidR="00A21924" w:rsidRPr="00B95590" w:rsidRDefault="004B7345" w:rsidP="00A21924">
      <w:pPr>
        <w:keepNext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  <w:t>2021.0</w:t>
      </w:r>
      <w:r w:rsidR="009D1610"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  <w:t>.</w:t>
      </w:r>
      <w:r w:rsidR="009D1610"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  <w:t>09</w:t>
      </w:r>
    </w:p>
    <w:p w14:paraId="021ECF22" w14:textId="2DDAF747" w:rsidR="004125DB" w:rsidRPr="00B95590" w:rsidRDefault="004125DB" w:rsidP="00CB0280">
      <w:pPr>
        <w:keepNext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B95590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Uzasadnienie</w:t>
      </w:r>
    </w:p>
    <w:p w14:paraId="64D0B320" w14:textId="77777777" w:rsidR="00CB0280" w:rsidRPr="00B95590" w:rsidRDefault="00CB0280" w:rsidP="0066553A">
      <w:pPr>
        <w:keepNext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</w:pPr>
    </w:p>
    <w:p w14:paraId="2BC3AF15" w14:textId="77777777" w:rsidR="00077DEA" w:rsidRDefault="00077DEA" w:rsidP="00077DEA">
      <w:p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7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Przyczyny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wydania projektowa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nej ustawy</w:t>
      </w:r>
    </w:p>
    <w:p w14:paraId="3E0D7DD8" w14:textId="382665E8" w:rsidR="00077DEA" w:rsidRDefault="00077DEA" w:rsidP="00077DEA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Celem ustawy jest przygotowanie mechanizmu rekompensat</w:t>
      </w:r>
      <w:r w:rsidR="002E1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gmin, </w:t>
      </w:r>
      <w:r w:rsidRPr="00077D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 wskutek </w:t>
      </w:r>
      <w:r w:rsidR="004B1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wchodzącej w życie z mocą wsteczną </w:t>
      </w:r>
      <w:r w:rsidRPr="00077D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przepisów utraciły dochody w postaci podatku od nieruchomości płaconego od elektrowni wiatrowych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2018 r. </w:t>
      </w:r>
      <w:r w:rsidRPr="00077D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DC2F589" w14:textId="747C9EA1" w:rsidR="00281ED3" w:rsidRDefault="000B1031" w:rsidP="006F2A18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B1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rt. 17 pkt 2 ustawy z dnia 7 czerwca 2018 r. o zmianie ustawy o odnawialnych źródłach energii oraz niektórych innych ustaw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Pr="000B1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2018 poz. 1276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493D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281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dalej „nowela uOZE”</w:t>
      </w:r>
      <w:r w:rsidR="002E1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493D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36E99" w:rsidRPr="00D36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wprowadził z mocą wsteczną</w:t>
      </w:r>
      <w:r w:rsidR="00610B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239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D36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 od 1 stycznia 2018 r.)</w:t>
      </w:r>
      <w:r w:rsidR="00D36E99" w:rsidRPr="00D36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art. 2</w:t>
      </w:r>
      <w:r w:rsidR="00D36E99" w:rsidRPr="00D36E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D36E99" w:rsidRPr="00D36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1 i 6 oraz art. 3 pkt 1 tej ustawy</w:t>
      </w:r>
      <w:r w:rsidR="00D36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Efektem </w:t>
      </w:r>
      <w:r w:rsidR="002E1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wejścia w życie </w:t>
      </w:r>
      <w:r w:rsidR="00D36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2 pkt 1 i 6 był</w:t>
      </w:r>
      <w:r w:rsidR="003737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zmiana definicji budowli w ustawie z dnia 7 lipca 1994 r. – Prawo budowlane,</w:t>
      </w:r>
      <w:r w:rsidR="00D36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209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która </w:t>
      </w:r>
      <w:r w:rsidR="002E1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dotychczas </w:t>
      </w:r>
      <w:r w:rsidR="009209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stanowiła</w:t>
      </w:r>
      <w:r w:rsidR="00D36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iż budowlą jest każdy obiekt budowlany, który nie jest budynkiem lub obiektem małej architektury, m.in. częś</w:t>
      </w:r>
      <w:r w:rsidR="00857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 budowlane elektrowni. </w:t>
      </w:r>
      <w:r w:rsidR="003737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kolei efektem </w:t>
      </w:r>
      <w:r w:rsidR="002E1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wejścia w życie </w:t>
      </w:r>
      <w:r w:rsidR="003737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3 pkt 1 noweli uOZE była zmiana definicji elektrowni wiatrowej w ustawie z dnia 20 maja 2016 r. o</w:t>
      </w:r>
      <w:r w:rsidR="002E1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3737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inwestycjach w zakresie elektrowni wiatrowych. </w:t>
      </w:r>
      <w:r w:rsidR="00560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</w:t>
      </w:r>
      <w:r w:rsidR="009209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 znowelizowaną definicją</w:t>
      </w:r>
      <w:r w:rsidR="009D1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3B32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elektrownia wiatrowa jest instalacją odnawialnego źródła energii, składającą się z części budowlanej stanowiącej budowl</w:t>
      </w:r>
      <w:r w:rsidR="009209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3B32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prawa budowlanego oraz urządzeń technicznych, w tym elementów technicznych.</w:t>
      </w:r>
      <w:r w:rsidR="00281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1ED3" w:rsidRPr="00281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Zważywszy, że ww. definicje mają wpływ na wysokość podatku od nieruchomości, powyższe doprowadziło do zmiany wysokości tego podatku od elektrowni wiatrowych z mocą wsteczną, a zatem do zmniejszenia dochodów gmin</w:t>
      </w:r>
      <w:r w:rsidR="002E1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2018 r</w:t>
      </w:r>
      <w:r w:rsidR="00281ED3" w:rsidRPr="00281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6517E19" w14:textId="4F2A1708" w:rsidR="00EA5178" w:rsidRDefault="006F2A18" w:rsidP="00EA5178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Gminy</w:t>
      </w:r>
      <w:r w:rsidR="00FB4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ustalając budżet na 2018 r.</w:t>
      </w:r>
      <w:r w:rsidR="00FB4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miały prawo </w:t>
      </w:r>
      <w:r w:rsidR="00FB4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czynić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prognozy budżetowe, które</w:t>
      </w:r>
      <w:r w:rsidR="002E1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B4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oparciu o obowiązujący wówczas stan prawny</w:t>
      </w:r>
      <w:r w:rsidR="002E1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2E15CD" w:rsidRPr="002E1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zakładały większe wpływy</w:t>
      </w:r>
      <w:r w:rsidR="00FB4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B4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definicji budowli oraz elektrowni wiatrowej,</w:t>
      </w:r>
      <w:r w:rsidR="008B54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które weszły w życie </w:t>
      </w:r>
      <w:r w:rsidR="00234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roku podatkowego </w:t>
      </w:r>
      <w:r w:rsidR="008B54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mocą wsteczną od dnia 1 stycznia 2018 r.</w:t>
      </w:r>
      <w:r w:rsidR="001B4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tylko uszczupliły</w:t>
      </w:r>
      <w:r w:rsidR="001B4236" w:rsidRPr="001B4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B4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dochody gmin</w:t>
      </w:r>
      <w:r w:rsidR="001B4236" w:rsidRPr="001B4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 podatku od nieruchomości</w:t>
      </w:r>
      <w:r w:rsidR="001B4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ale również wpłynęły na zobowiązanie gmin do zwrotu nadpłaconego podatku od nieruchomości za posadowione </w:t>
      </w:r>
      <w:r w:rsidR="00E57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elektrownie wiatrowe. Taki stan faktyczny wpłynął na pogorszenie sytuacji majątkowych gmin oraz </w:t>
      </w:r>
      <w:r w:rsidR="002E1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mógł mieć negatywny wpływ </w:t>
      </w:r>
      <w:r w:rsidR="00E57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jakość życia ich mieszkańcó</w:t>
      </w:r>
      <w:r w:rsidR="000B1C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w.</w:t>
      </w:r>
      <w:r w:rsidR="002E15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A06BFD8" w14:textId="694699BA" w:rsidR="00400640" w:rsidRDefault="00EA5178" w:rsidP="00EA5178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974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rezultacie gminy skierowały do Trybunału Konstytucyjnego wniosek o zbadanie zgodności z konstytucją ww. regulacji. </w:t>
      </w:r>
      <w:r w:rsidR="004006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Trybunał Konstytucyjny, w wyroku </w:t>
      </w:r>
      <w:r w:rsidR="00400640" w:rsidRPr="004006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22 lipca 2020 roku, sygn. akt K4/19</w:t>
      </w:r>
      <w:r w:rsidR="004006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00640" w:rsidRPr="004006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orzekł niekonstytucyjność art. 17 pkt 2 noweli uOZE, w zakresie, w jakim narusza zasadę nieretroakcji i wprowadza z mocą wsteczną art. 2</w:t>
      </w:r>
      <w:r w:rsidR="00400640" w:rsidRPr="004006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400640" w:rsidRPr="004006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pkt 1 i 6 oraz art. 3 pkt </w:t>
      </w:r>
      <w:r w:rsidR="00400640" w:rsidRPr="004006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 tej ustawy. TK orzekł również, że wspomniany przepis w tym zakresie traci moc po upływie 18 miesięcy od dnia ogłoszenia wyroku w Dzienniku Ustaw Rzeczypospolitej Polskiej. Przedmiotowy wyrok został ogłoszony 4 sierpnia 2020 r. Ponadto, TK zobowiązał ustawodawcę do podjęcia w tym czasie prac legislacyjnych mających na celu opracowanie regulacji rekompensującej gminom straty poniesione w następstwie wprowadzenia z mocą wsteczną regulacji wpływającej na obniżenie ich dochodów z podatku od elektrowni wiatrowych. W uzasadnieniu Trybunał wyjaśnił również, że po bezskutecznym upływie terminu wyznaczonego na podjęcie przez ustawodawcę działań, spełniona zostanie przesłanka, o której mowa w art. 190 ust. 4 Konstytucji, skutkująca odpowiedzialnością odszkodowawczą Skarbu Państwa.</w:t>
      </w:r>
    </w:p>
    <w:p w14:paraId="53EB3770" w14:textId="03A9C89F" w:rsidR="000B1031" w:rsidRPr="001E217C" w:rsidRDefault="00400640" w:rsidP="00EA5178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powyższym, celem realizacji wyroku TK, przygotowany został projekt niniejszej ustawy.</w:t>
      </w:r>
    </w:p>
    <w:p w14:paraId="67B2204F" w14:textId="7D0AAEDC" w:rsidR="00EA45CC" w:rsidRPr="00EA45CC" w:rsidRDefault="000B1031" w:rsidP="00EA45CC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0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Projektowany stan prawny </w:t>
      </w:r>
    </w:p>
    <w:p w14:paraId="76E0E251" w14:textId="77777777" w:rsidR="00EA5178" w:rsidRDefault="00B63086" w:rsidP="00EA5178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 wskazano powyżej, przedmiotem kontroli TK była konstytucyjność art. 17 pkt 2 noweli OZE. Co więcej, w wyniku przeprowadzonej kontroli, TK wydał wyrok zakresowy, stwierdzając, że przepis ten jest niekonstytucyjny wyłącznie w zakresie, w jakim doprowadza do skutku w postaci retroakcji. Mając na uwadze te założenia ustalono zakres przedmiotowy niniejszej regulacji.</w:t>
      </w:r>
      <w:r w:rsidR="009C79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31B16F2" w14:textId="30CDBC8D" w:rsidR="000A2EE8" w:rsidRPr="000A2EE8" w:rsidRDefault="00B63086" w:rsidP="008D4E9B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Przede wszystkim przyjęto, że wyrok TK pozostaje bez wpływu na przepisy nowelizujące definicję budowli oraz elektrowni wiatrowej, zatem wejście w życie wyroku nie spowoduje utraty mocy obowiązującej brzmienia tych definicji nadanego im nowelą </w:t>
      </w:r>
      <w:r w:rsidR="009D1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OZE. </w:t>
      </w:r>
      <w:r w:rsidR="009C79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 w:rsidR="008D4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C79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pierwsze,</w:t>
      </w:r>
      <w:r w:rsidR="008D4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C79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ynika to z tego, że przepisy art. </w:t>
      </w:r>
      <w:r w:rsidRPr="00B63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630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B63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1 i 6 oraz art. 3 pkt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noweli </w:t>
      </w:r>
      <w:r w:rsidR="009D1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OZE (przepisy nowelizujące ww. definicje) nie były przedmiotem kontroli TK, który dokonując kontroli jest związany zakresem przedłożenia</w:t>
      </w:r>
      <w:r w:rsidR="00E83F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 z art. 67 ust. 1 ustawy z dnia 30 listopada 2016 r. o organizacji i trybie postępowania przez Trybunałem Konstytucyjnym (</w:t>
      </w:r>
      <w:r w:rsidR="00E83F5A" w:rsidRPr="00E83F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</w:t>
      </w:r>
      <w:r w:rsidR="00E83F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83F5A" w:rsidRPr="00E83F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 2019</w:t>
      </w:r>
      <w:r w:rsidR="008D4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E83F5A" w:rsidRPr="00E83F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poz. 2393</w:t>
      </w:r>
      <w:r w:rsidR="008D4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8D4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025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godnie z art. 47 </w:t>
      </w:r>
      <w:r w:rsid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o organizacji i trybie postępowania przed Trybunałem Konstytucyjnym </w:t>
      </w:r>
      <w:r w:rsidR="008D4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A2EE8"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niosek złożony przez podmiot, o którym mowa w </w:t>
      </w:r>
      <w:r w:rsidR="008D4E9B"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D4E9B" w:rsidRPr="00F52C27">
        <w:rPr>
          <w:rStyle w:val="Hipercze"/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art. 191 ust. 1 pkt 1-5</w:t>
      </w:r>
      <w:r w:rsid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Konstytucji, </w:t>
      </w:r>
      <w:r w:rsidR="000A2EE8"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zawiera:</w:t>
      </w:r>
    </w:p>
    <w:p w14:paraId="05496DCF" w14:textId="13D6B3EB" w:rsidR="000A2EE8" w:rsidRPr="000A2EE8" w:rsidRDefault="000A2EE8" w:rsidP="00F52C27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mip51927891"/>
      <w:bookmarkEnd w:id="1"/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oznaczenie podmiotu uprawnionego do złożenia wniosku;</w:t>
      </w:r>
    </w:p>
    <w:p w14:paraId="2498211E" w14:textId="2F56332B" w:rsidR="000A2EE8" w:rsidRPr="000A2EE8" w:rsidRDefault="000A2EE8" w:rsidP="00F52C27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mip51927892"/>
      <w:bookmarkEnd w:id="2"/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podanie podstawy prawnej działania podmiotu uprawnionego do złożenia wniosku;</w:t>
      </w:r>
    </w:p>
    <w:p w14:paraId="2DED89FD" w14:textId="27B20066" w:rsidR="000A2EE8" w:rsidRPr="000A2EE8" w:rsidRDefault="000A2EE8" w:rsidP="00F52C27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" w:name="mip51927893"/>
      <w:bookmarkEnd w:id="3"/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oznaczenie rodzaju pisma procesowego;</w:t>
      </w:r>
    </w:p>
    <w:p w14:paraId="296308BC" w14:textId="314795A3" w:rsidR="000A2EE8" w:rsidRPr="000A2EE8" w:rsidRDefault="000A2EE8" w:rsidP="00F52C27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4" w:name="mip51927894"/>
      <w:bookmarkEnd w:id="4"/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określenie kwestionowanego aktu normatywnego lub jego części;</w:t>
      </w:r>
    </w:p>
    <w:p w14:paraId="21EE58C1" w14:textId="363328EE" w:rsidR="000A2EE8" w:rsidRPr="000A2EE8" w:rsidRDefault="000A2EE8" w:rsidP="00F52C27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5" w:name="mip51927895"/>
      <w:bookmarkEnd w:id="5"/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5)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wskazanie wzorca kontroli;</w:t>
      </w:r>
    </w:p>
    <w:p w14:paraId="6B5BBD7D" w14:textId="59000348" w:rsidR="000A2EE8" w:rsidRPr="000A2EE8" w:rsidRDefault="000A2EE8" w:rsidP="00F52C27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6" w:name="mip51927896"/>
      <w:bookmarkEnd w:id="6"/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uzasadnienie.</w:t>
      </w:r>
    </w:p>
    <w:p w14:paraId="398157E0" w14:textId="5FC73394" w:rsidR="000A2EE8" w:rsidRPr="000A2EE8" w:rsidRDefault="000A2EE8" w:rsidP="00F52C2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7" w:name="mip51927897"/>
      <w:bookmarkEnd w:id="7"/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Uzasadnienie, o którym mowa w ust. 1 pkt 6, zawiera</w:t>
      </w:r>
      <w:r w:rsidR="008D4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kolei</w:t>
      </w:r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B180399" w14:textId="5A7B9D80" w:rsidR="000A2EE8" w:rsidRPr="000A2EE8" w:rsidRDefault="000A2EE8" w:rsidP="00F52C27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8" w:name="mip51927899"/>
      <w:bookmarkEnd w:id="8"/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przywołanie treści kwestionowanego wnioskiem przepisu wraz z jego wykładnią;</w:t>
      </w:r>
    </w:p>
    <w:p w14:paraId="590FE96C" w14:textId="29DB11A6" w:rsidR="000A2EE8" w:rsidRPr="000A2EE8" w:rsidRDefault="000A2EE8" w:rsidP="00F52C27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9" w:name="mip51927900"/>
      <w:bookmarkEnd w:id="9"/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przywołanie treści wzorców kontroli wraz z ich wykładnią;</w:t>
      </w:r>
    </w:p>
    <w:p w14:paraId="47AB7E1E" w14:textId="54475DC8" w:rsidR="000A2EE8" w:rsidRPr="000A2EE8" w:rsidRDefault="000A2EE8" w:rsidP="00F52C27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0" w:name="mip51927901"/>
      <w:bookmarkEnd w:id="10"/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określenie problemu konstytucyjnego i zarzutu niekonstytucyjności;</w:t>
      </w:r>
    </w:p>
    <w:p w14:paraId="38911627" w14:textId="7812A41B" w:rsidR="000A2EE8" w:rsidRDefault="000A2EE8" w:rsidP="00F52C27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1" w:name="mip51927902"/>
      <w:bookmarkEnd w:id="11"/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A2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wskazanie argumentów lub dowodów na poparcie zarzutu niekonstytucyjności.</w:t>
      </w:r>
      <w:bookmarkStart w:id="12" w:name="mip51927903"/>
      <w:bookmarkEnd w:id="12"/>
    </w:p>
    <w:p w14:paraId="36F06733" w14:textId="7E2E9CDC" w:rsidR="009C7911" w:rsidRDefault="000A2EE8" w:rsidP="000A2EE8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Oznacza to, iż</w:t>
      </w:r>
      <w:r w:rsidR="00025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nawet </w:t>
      </w:r>
      <w:r w:rsidR="00025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 wskazanie w skardze przepisu stanowiącego przedmiot kontroli, jak i przepisu będącego wzorcem tej kontroli, bez przedstawienia argumentu wskazującego na jego niezgodność, nie stanowi właściwego wywiązania się przez podmiot inicjujący kontrolę konstytucyjnoś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 z wymogiem</w:t>
      </w:r>
      <w:r w:rsidR="00025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uzasadnienia postawionego zarzutu niekonstytucyjności</w:t>
      </w:r>
      <w:r w:rsidR="008D4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025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kończy się umorzeniem postępowania ze względu na niedopuszczalność wydania orzeczenia.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Dlatego też, skoro</w:t>
      </w:r>
      <w:r w:rsidR="00B63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żaden z podmiotów nie zgłaszał zastrzeżeń do nowego brzmienia ww. definicji</w:t>
      </w:r>
      <w:r w:rsidR="008D4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tym bardziej należy uznać, iż omawiane definicje nie były przedmiotem kontroli TK</w:t>
      </w:r>
      <w:r w:rsidR="00B63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9C79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Zatem, gdyby wyrok TK skutkował utratą mocy tych przepisów, skutek taki mógłby zostać uznany za wykraczający poza przedmiot kontroli. </w:t>
      </w:r>
    </w:p>
    <w:p w14:paraId="7BB2AEC2" w14:textId="2455D4E8" w:rsidR="00EA5178" w:rsidRDefault="00B63086" w:rsidP="00EA5178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Orzeczenie dotyczyło </w:t>
      </w:r>
      <w:r w:rsidR="009C79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natomiast przepisu o wejściu w życie i to nie w całości,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jedynie retroaktywnego skutku </w:t>
      </w:r>
      <w:r w:rsidR="009C79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przepisu, zatem jednego z aspektów normy, którą przepis ten w sobie zawiera. </w:t>
      </w:r>
      <w:r w:rsidR="000D0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Trudno zatem wiązać go ze skutkiem w postaci usunięcia z systemu prawa definicji budowli i elektrowni wiatrowej. </w:t>
      </w:r>
      <w:r w:rsidR="008D4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0D0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rzeciwko</w:t>
      </w:r>
      <w:r w:rsidR="008D4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przypisaniu temu wyrokowi takich skutków</w:t>
      </w:r>
      <w:r w:rsidR="000D0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przemawiają również inne kwestie, w tym proporcjonalność działania i celowość. Przede wszystkim, taki skutek orzeczenia TK</w:t>
      </w:r>
      <w:r w:rsidR="008D4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(utrata mocy przez definicje budowli i elektrowni wiatrowej)</w:t>
      </w:r>
      <w:r w:rsidR="000D0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wydaje się dalece nieproporcjonalny w stosunku do celu działań, jakim było usunięcie z porządku prawnego zaskarżonej normy, uznanej za niekonstytucyjną. Jak wskazano wcześniej, przepisy zmieniające definicję budowli i elektrowni wiatrowej nie budziły żadnych zastrzeżeń i nie były przedmiotem kontroli. Skutek w postaci usunięcia ich z systemu byłby z kolei bardzo ryzykowny i negatywny dla uczestników obrotu </w:t>
      </w:r>
      <w:r w:rsidR="007864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0D0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64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należy bowiem podkreślić, że są to definicje kluczowe nie tylko w występującej w niniejszej sprawie kwestii podatkowej, ale również we wszelkich innych dotyczących wytwarzania energii elektrycznej w elektrowniach wiatrowych, które nie były badane w przedmiotowej sprawie. Utrata mocy przez te przepisy mogłaby doprowadzić wręcz do chaosu prawnego. Należy zatem wątpić, że taka była intencja TK. Co więcej, TK w uzasadnieniu wyroku zawarł wskazówki co do celu i kierunku realizacji wyroku, stanowiąc, że: </w:t>
      </w:r>
      <w:r w:rsidR="00786452" w:rsidRPr="007864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„ (…) w okresie odroczenia terminu utraty mocy obowiązującej </w:t>
      </w:r>
      <w:r w:rsidR="00786452" w:rsidRPr="007864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 xml:space="preserve">zakwestionowanej regulacji ustawodawca </w:t>
      </w:r>
      <w:r w:rsidR="00786452" w:rsidRPr="007864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ma obowiązek doprowadzić do stanu zgodnego z Konstytucją, co w niniejszej sprawie będzie wymagało </w:t>
      </w:r>
      <w:r w:rsidR="00786452" w:rsidRPr="0078645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ustanowienia odpowiednich rozwiązań ustawowych i zrekompensowania gminom strat poniesionych w następstwie wprowadzenia z mocą wsteczną regulacji</w:t>
      </w:r>
      <w:r w:rsidR="00786452" w:rsidRPr="007864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wpływającej na obniżenie ich dochodów z podatku od elektrowni wiatrowych.</w:t>
      </w:r>
      <w:r w:rsidR="00786452" w:rsidRPr="007864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Ustawodawcy przysługuje znaczny margines swobody i może ustanowić takie przepisy, które w danych okolicznościach będą optymalne z jego punktu widzenia.”.</w:t>
      </w:r>
      <w:r w:rsidR="007864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</w:t>
      </w:r>
      <w:r w:rsidR="007864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 wskazuje, że skutki wyroku zakresowego oraz kierunek regulacji tworzonej w celu jego realizacji powinien koncentrować się na kwestiach rekompensaty, nie zaś zapewnieniu spójności regulacji o charakterze systemowym, bazowym, jakimi są definicje budowli i elektrowni wiatrowej. Wydaje się, że gdyby zamiarem TK było doprowadzenie orzeczeniem do skutku w postaci utraty mocy przez te przepisy, zawarłby o tym wzmianki w uzasadnieniu, podobnie jak wspomniał o zagadnieniu rekom</w:t>
      </w:r>
      <w:r w:rsidR="00703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7864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ensaty.</w:t>
      </w:r>
    </w:p>
    <w:p w14:paraId="54A8FF04" w14:textId="77777777" w:rsidR="00EA5178" w:rsidRDefault="00703167" w:rsidP="00EA5178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Wreszcie, istotny w ocenie omawianego zagadnienia jest wskazywany wyżej, zakresowy charakter wyroku TK. </w:t>
      </w:r>
      <w:r w:rsidRPr="00703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Gdyby wyrok TK dotyczył art. 17 pkt 2 w całości i nie miał charakteru zakresowego, wówczas można</w:t>
      </w:r>
      <w:r w:rsidR="00237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03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 szerzej rozważać wskazaną opcję.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Jednakże, z</w:t>
      </w:r>
      <w:r w:rsidRPr="00703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akres ten obejmuje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wyraźnie </w:t>
      </w:r>
      <w:r w:rsidRPr="00703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utratę przez przepis mocy obowiązującej wyłącznie w części skutku retroaktywnego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Problemy natury legislacyjnej powoduje tu charakter przepisu o wejściu życie – przepis ten, zarówno w zakresie, którego konstytucyjność nie została zakwestionowana, jak i w zakresie retroaktywnym już się skonsumował i wywołał swój jednorazowy skutek w postaci wprowadzenia norm do systemu prawa. B</w:t>
      </w:r>
      <w:r w:rsidR="00FE2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ezcelowy jest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zatem prosty zabieg legislacyjny polegający na uchyleniu fragmentu tego przepisu, stanowiącego o jego mocy wstecznej.</w:t>
      </w:r>
    </w:p>
    <w:p w14:paraId="2BC89229" w14:textId="4AEB6110" w:rsidR="00EA5178" w:rsidRDefault="00FE2126" w:rsidP="00EA5178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Dodatkowych trudności w interpretacji nastręcza w tym przypadku również odroczenie wejścia w życie wyroku. Wydaje się jednak, że w tej kwestii również należy posiłkować się uzasadnieniem i wynikającymi z niego wskazówkami co do zakresu wyroku i intencji TK. Wyrok zakresowy nie stanowi wprost, </w:t>
      </w:r>
      <w:r w:rsidR="006E2B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konkretny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przepis lub </w:t>
      </w:r>
      <w:r w:rsidR="006E2B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jego część traci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moc. Często analiza wyroku może doprowadzić do wniosku, że literalnie mocy nie utraci żadna jednostka redakcyjn</w:t>
      </w:r>
      <w:r w:rsidR="00CA4C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aktu normatywnego, a jedynie niemożliwe będzie stosowanie jej do pewnego zakresu adresatów lub zakresu przedmiotowego. Ewentualne działania legislacyjne mogą wówczas polegać na przygotowaniu</w:t>
      </w:r>
      <w:r w:rsidR="006E2B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CA4C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np. odpowiednich regulacji przejściowych, epizodycznych lub dodatkowych przepisów materialnych wykluczających stosowanie przepisów dotychczasowych w sposób niekonstytucyjny. Mając na uwadze ww. stwierdzenie TK, że „</w:t>
      </w:r>
      <w:r w:rsidR="00CA4C15" w:rsidRPr="00CA4C1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Ustawodawcy przysługuje znaczny margines swobody i może ustanowić takie przepisy, </w:t>
      </w:r>
      <w:r w:rsidR="00CA4C15" w:rsidRPr="00CA4C1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>które w danych okolicznościach będą optymalne z jego punktu widzenia.</w:t>
      </w:r>
      <w:r w:rsidR="00CA4C1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” </w:t>
      </w:r>
      <w:r w:rsidR="00CA4C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CA4C15" w:rsidRPr="00CA4C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ydaje się</w:t>
      </w:r>
      <w:r w:rsidR="00CA4C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dokładnie w taki sposób należy zrealizować niniejszy wyrok. Oznacza to, że zakres, w jakim art. 17 pkt 2 utracił moc obowiązującą, z perspektywy działań koniecznych do podjęcia oznacza, że żadne przepisy z noweli OZE literalnie nie zostaną uchylone z dniem wejścia w życie wyroku. Wejście życie wyroku będzie oznaczać, że w zakresie skutku podatkowego konieczne będzie przyjęcie fikcji prawnej (biorąc pod uwagę, że wszystkie te stany zaistniały w czasie przeszłym, jest to określenie najbardziej adekwatne)</w:t>
      </w:r>
      <w:r w:rsidR="007E1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wprowadzone przepisy nie wywołały skutków w sferze podatku od nieruchomości od elektrowni wiatrowych w okresie od 1 stycznia 2018 r. do 13 lipca 2018 r. Ponieważ przepisy te weszły już w życie, a</w:t>
      </w:r>
      <w:r w:rsidR="006E2B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7E1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skutkiem było uszczuplenie dochodów gmin, rolą ustawodawcy jest zatem usunięcie tego skutku. To natomiast można uczynić, jak wskazał TK, przez przygotowanie regulacji o charakterze rekompensacyjnym. Natomiast odroczenie w czasie terminu wejścia w życie wyroku należy uznać za dość standardowy zabieg TK w przypadku orzeczeń wywołujących skutki dla budżetu państwa – dzięki temu ustawodawca jest w stanie przygotować zarówno adekwatną regulację, jak i wygospodarować środki budżetowe niezbędne do jej zastosowania. </w:t>
      </w:r>
      <w:r w:rsidR="00D417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warto również nadmienić, że inna interpretacja, polegająca na przyjęciu stanowiska, że</w:t>
      </w:r>
      <w:r w:rsidR="006E2B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417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wyniku wyroku TK tracą moc nowelizacje budowli i elektrowni wiatrowej, mogłaby skutkować potencjalnym</w:t>
      </w:r>
      <w:r w:rsidR="00D41753" w:rsidRPr="00D417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417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ryzykiem</w:t>
      </w:r>
      <w:r w:rsidR="00D41753" w:rsidRPr="00D417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wtórnej niekonstytucyjności. </w:t>
      </w:r>
      <w:r w:rsidR="00F77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Pomimo iż zgodnie z</w:t>
      </w:r>
      <w:r w:rsidR="00F77E0D" w:rsidRPr="00F77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art. 6 ust. 3</w:t>
      </w:r>
      <w:r w:rsidR="00E57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12 stycznia 1991 r. o podatkach i opłatach lokalnych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(dalej: „u.p.o.l.”)</w:t>
      </w:r>
      <w:r w:rsidR="00F77E0D" w:rsidRPr="00F77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jeżeli w trakcie roku podatkowego zaistniało zdarzenie mające wpływ na wysokość opodatkowania w tym roku, a w szczególności zmiana sposobu wykorzystywania przedmiotu opodatkowania lub jego części, podatek ulega obniżeniu lub podwyższeniu, poczynając od pierwszego dnia miesiąca następującego po miesiącu, </w:t>
      </w:r>
      <w:r w:rsidR="00F77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którym nastąpiło to zdarzenie, wydaje się, że nie można wówczas wykluczyć tezy</w:t>
      </w:r>
      <w:r w:rsidR="00D41753" w:rsidRPr="00D417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iż zmieniając w trakcie roku podatkowego przepisy mające wpływ na wysokość podatku do nieruchomości elektrowni wiatrowych, przywraca się szerszą podstawę opodatkowania elektrowni wiatrowych</w:t>
      </w:r>
      <w:r w:rsidR="00D417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pierwszej połowie 2018 r., ponownie zatem </w:t>
      </w:r>
      <w:r w:rsidR="00F77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doprowadziłoby się do wstecznego działania prawa.</w:t>
      </w:r>
    </w:p>
    <w:p w14:paraId="21D82B3A" w14:textId="77777777" w:rsidR="00EA5178" w:rsidRDefault="007E19B7" w:rsidP="00EA5178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Wobec powyższego, w opinii projektodawcy, najlepszym narzędziem do realizacji wyroku TK jest ustawa epizodyczna, której przedmiotem jest wypłata rekompensat dla gmin. Zgodnie z przedstawioną wyżej argumentacją, nie ma potrzeby nowelizowania ustawy </w:t>
      </w:r>
      <w:r w:rsidRPr="007E1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lipca 1994 r. – Prawo budowlane oraz </w:t>
      </w:r>
      <w:r w:rsidRPr="007E1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7E1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20 maja 2016 r. o inwestycjach w zakresie elektrowni wiatrowych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poprzez ponowne nadawanie definicjom budowli i elektrowni wiatrowej brzmienia nadanego im nowelą OZE.</w:t>
      </w:r>
    </w:p>
    <w:p w14:paraId="211A2E15" w14:textId="42F771B6" w:rsidR="009D0B01" w:rsidRDefault="007E19B7" w:rsidP="009D0B01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Jednocześnie, mając świadomość, że omawiany wyrok TK może być interpretowany również odmiennie, co może prowadzić do wątpliwości w zakresie stosowania prawa (zwłaszcza w kontekście fragmentu uzasadnienia stanowiącego, że „</w:t>
      </w:r>
      <w:r w:rsidR="00865278" w:rsidRPr="008652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Utrata mocy obowiązującej niezgodnego z </w:t>
      </w:r>
      <w:r w:rsidR="00865278" w:rsidRPr="00F52C2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Konstytucją </w:t>
      </w:r>
      <w:r w:rsidR="00B910D4" w:rsidRPr="00F52C27">
        <w:rPr>
          <w:rStyle w:val="Hipercze"/>
          <w:rFonts w:ascii="Times New Roman" w:eastAsia="Times New Roman" w:hAnsi="Times New Roman" w:cs="Times New Roman"/>
          <w:bCs/>
          <w:i/>
          <w:sz w:val="24"/>
          <w:szCs w:val="24"/>
          <w:u w:val="none"/>
          <w:lang w:eastAsia="pl-PL"/>
        </w:rPr>
        <w:t xml:space="preserve"> </w:t>
      </w:r>
      <w:r w:rsidR="00B910D4" w:rsidRPr="00F52C27">
        <w:rPr>
          <w:rStyle w:val="Hipercze"/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none"/>
          <w:lang w:eastAsia="pl-PL"/>
        </w:rPr>
        <w:t>art. 17 pkt 2</w:t>
      </w:r>
      <w:r w:rsidR="00865278" w:rsidRPr="00F52C2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865278" w:rsidRPr="00F52C2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</w:t>
      </w:r>
      <w:r w:rsidR="00865278" w:rsidRPr="008652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nowelizującej w zakresie, w jakim wprowadził z mocą wsteczną art. 2 pkt 1 i 6 oraz art. 3 pkt 1 tej ustawy, z chwilą ogłoszenia orzeczenia Trybunału Konstytucyjnego w Dzienniku Ustaw Rzeczypospolitej Polskiej </w:t>
      </w:r>
      <w:r w:rsidR="00865278" w:rsidRPr="008652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oznaczałaby bowiem, że gminy nie tylko </w:t>
      </w:r>
      <w:r w:rsidR="00865278" w:rsidRPr="008652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stracą prawo do pobierania podatków od nieruchomości</w:t>
      </w:r>
      <w:r w:rsidR="00865278" w:rsidRPr="008652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za posadowione na ich terenie elektrownie wiatrowe, lecz także będą zobowiązane do zwrotu pobranych podatków za takie budowle po wszczęciu właściwych postępowań przez uprawnione podmioty</w:t>
      </w:r>
      <w:r w:rsidR="008652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…</w:t>
      </w:r>
      <w:r w:rsidR="00865278" w:rsidRPr="008652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”)</w:t>
      </w:r>
      <w:r w:rsidRPr="0086527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  <w:r w:rsidRPr="008652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proponuje się </w:t>
      </w:r>
      <w:r w:rsidR="008652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wprowadzić do projektu art. 10. Przepis ten, w opinii projektodawcy</w:t>
      </w:r>
      <w:r w:rsidR="006E2B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8652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 </w:t>
      </w:r>
      <w:r w:rsidR="006E2B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wprawdzie </w:t>
      </w:r>
      <w:r w:rsidR="008652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charakter informacyjny, jednakże za jego wprowadzeniem przemawiają względy celowościowe – jednoznacznie wskaże on bowiem kierunek interpretacji wyroku TK oraz pozwoli uniknąć wszelkich wątpliwości w zakresie obowiązywania definicji budowli i elektrowni wiatrowej. W kontekście zapewnienia pewności prawa i bezpieczeństwa obrotu gospodarczego, jego wprowadzenie jest zatem w pełni uzasadnione.</w:t>
      </w:r>
    </w:p>
    <w:p w14:paraId="6479176C" w14:textId="04669182" w:rsidR="00B63086" w:rsidRPr="009D0B01" w:rsidRDefault="009D0B01" w:rsidP="009D0B01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865278" w:rsidRPr="0086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Rozwiązania szczegółowe zawarte w projekcie</w:t>
      </w:r>
    </w:p>
    <w:p w14:paraId="4F23BBAB" w14:textId="29D23739" w:rsidR="006E14BC" w:rsidRDefault="00224BD1" w:rsidP="006E14BC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D93A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rt. 2 </w:t>
      </w:r>
      <w:r w:rsidR="008652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zawiera definicje pojęć stosowanych w ustawie. Należy przy tym wyjaśnić, że</w:t>
      </w:r>
      <w:r w:rsidR="006E2B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8652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definicja dochodów utraconych w 2018 r. pośrednio określa również metodę obliczania rekompensaty oraz katalog podmiotów uprawnionych (tj. gmin, w których w  okresach wskazanych w definicji wystąpiła różnica w dochodach z tytułu podatku od nieruchomości określona w definicji). </w:t>
      </w:r>
    </w:p>
    <w:p w14:paraId="04B4CB23" w14:textId="22236655" w:rsidR="007C5E76" w:rsidRDefault="006E2B7D" w:rsidP="007C5E76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4A3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rt</w:t>
      </w:r>
      <w:r w:rsidR="004A3F59" w:rsidRPr="004A3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 podmiot uprawniony do rekompensaty oraz tryb jej przyznawania – proponuje się, aby był to tryb wnioskowy</w:t>
      </w:r>
      <w:r w:rsidR="004A3F59" w:rsidRPr="004A3F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Proponuje się, aby</w:t>
      </w:r>
      <w:r w:rsidR="00DF6472" w:rsidRPr="00DF6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472" w:rsidRPr="00DF6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maksymalna wysokość rekompensaty dla danej gminy </w:t>
      </w:r>
      <w:r w:rsidRPr="00DF6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</w:t>
      </w:r>
      <w:r w:rsidRPr="00DF6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F6472" w:rsidRPr="00DF6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wartość dochodów utraconych w 2018 r. rozumianą jako różnica pomiędzy kwotą należną z tytułu podatku od nieruchomości od elektrowni wiatrowych w okresie od 1 stycznia 2018 r. do 13 lipca 2018 roku na podstawie przepisów obowiązujących przed wejściem w życie </w:t>
      </w:r>
      <w:r w:rsidR="00DF6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noweli uOZE</w:t>
      </w:r>
      <w:r w:rsidR="00D96D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DF6472" w:rsidRPr="00DF6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 kwotą należną w tym okresie na podstawie przepisów znowelizowanych ustawą OZE. Przyjęcie tego założenia w sposób kompletny czyni zadość </w:t>
      </w:r>
      <w:r w:rsidRPr="00DF6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 w:rsidRPr="00DF6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F6472" w:rsidRPr="00DF6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Trybunału Konstytucyjnego i generuje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dla budżetu państwa z tytułu rekompensat w kwocie</w:t>
      </w:r>
      <w:r w:rsidR="00DF6472" w:rsidRPr="00DF6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ok. </w:t>
      </w:r>
      <w:r w:rsidR="00CC56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DF6472" w:rsidRPr="00DF6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0054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mln. zł. </w:t>
      </w:r>
    </w:p>
    <w:p w14:paraId="3E0874AE" w14:textId="27B25AE4" w:rsidR="007C5E76" w:rsidRDefault="000054E4" w:rsidP="007C5E76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Rekompensaty wypłaca się z budżetu państwa</w:t>
      </w:r>
      <w:r w:rsidR="008C61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wniosek gminy</w:t>
      </w:r>
      <w:r w:rsidR="007C5E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7C5E76" w:rsidRPr="007C5E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Zapewnienie środków na rekompensaty z rezerwy </w:t>
      </w:r>
      <w:r w:rsidR="007C5E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celowej, </w:t>
      </w:r>
      <w:r w:rsidR="007C5E76" w:rsidRPr="007C5E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wiąże się z określeniem tej wartości w procesie przygotowania budżetu państwa na 2022 </w:t>
      </w:r>
      <w:r w:rsidR="007C5E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rok.</w:t>
      </w:r>
    </w:p>
    <w:p w14:paraId="125166B0" w14:textId="43199BE0" w:rsidR="00C35079" w:rsidRDefault="00ED2F6D" w:rsidP="00EA5178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04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A04A12"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ależy 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zauważyć, że </w:t>
      </w:r>
      <w:r w:rsidR="00A04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rozwiązanie polegające na trybie wnioskowym wypłaty rekompensat wzorowano na innych tego typu rozwiązaniach zawartych w obowiązujących przepisach prawa i sprawdzonych w praktyce. W</w:t>
      </w:r>
      <w:r w:rsidR="00A04A12"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u.p.o.l., funkcjonuje już instytucja zwrotu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utraconych przez gminę dochodów z tytułu zwolnienia z podatku od nieruchomości,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rekompensata następuje z budżetu państwa.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art. 7 ust. 4 i 5 u.p.o.l. uregulowano zasady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zyznawania rekompensat z tytuł 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zwolnień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niektóre przedmioty opodatkowania znajdujące się w parkach narodowych i rezerwatach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przyrody (art. 7 ust. 1 pkt 8 u.p.o.l.) oraz dla prz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edsiębiorców o statusie centrum 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badawczo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rozwojowego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(art. 7 ust. 2 pkt 5a u.p.o.l.).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rozporządzeniu ministra właściwego do spraw finansów publicznych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określono 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tryb zwrotu gminom utraconych dochodów. Wydaje się</w:t>
      </w:r>
      <w:r w:rsidR="00A04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zatem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funkcjonujące od kilku lat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rozwiązania powinny być podstawą do opracowania trybu i zasad przyznawania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D2F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incydentalnej rekompensaty w związku ze zmianami opodatkowania elektrowni wia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trowych. Dlatego też przyjmuje się, tryb wnioskowy w procedurze przyznawania gminom rekompensat</w:t>
      </w:r>
      <w:r w:rsidR="001E2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dzięki temu bez zbędnej zwł</w:t>
      </w:r>
      <w:r w:rsidR="00847A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oki można dokonać dokładnego określenia sumy dochodów dla każdej gminy, która jest wnioskodawcą. </w:t>
      </w:r>
    </w:p>
    <w:p w14:paraId="687AE0D7" w14:textId="462B6224" w:rsidR="00A04A12" w:rsidRDefault="00A04A12" w:rsidP="00ED2F6D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4 projektu określa elementy wniosku o rekompensatę, w tym szczegółowy sposób wyliczenia jej wysokości.</w:t>
      </w:r>
    </w:p>
    <w:p w14:paraId="2635090E" w14:textId="1F897319" w:rsidR="005B6C3B" w:rsidRDefault="00772F43" w:rsidP="007C14BF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art. 5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5B6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celu </w:t>
      </w:r>
      <w:r w:rsidR="007C1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szybkiego wsparcia gmin w związku z poważnym uszczupleniem ich </w:t>
      </w:r>
      <w:r w:rsidR="00BE27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dochodów</w:t>
      </w:r>
      <w:r w:rsidR="00F52C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BE27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określono</w:t>
      </w:r>
      <w:r w:rsidR="005B6C3B" w:rsidRPr="005B6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czas na złożenie wniosku 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B6C3B" w:rsidRPr="005B6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 </w:t>
      </w:r>
      <w:r w:rsidR="00B910D4" w:rsidRPr="005B6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ące</w:t>
      </w:r>
      <w:r w:rsidR="00B910D4" w:rsidRPr="005B6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C1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dnia wejścia w życie ustawy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7C1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7C1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usunięcie braków i błędów we wniosku 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7C1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14 dni od 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doręczenia </w:t>
      </w:r>
      <w:r w:rsidR="007C1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wezwania 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wojewody)</w:t>
      </w:r>
      <w:r w:rsidR="007C1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Zaproponowane w ustawie okresy powinny </w:t>
      </w:r>
      <w:r w:rsidR="005B6C3B" w:rsidRPr="005B6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zapewnić maksymalny okres czasu na to, ab</w:t>
      </w:r>
      <w:r w:rsidR="007C1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 każda z </w:t>
      </w:r>
      <w:r w:rsidR="005B6C3B" w:rsidRPr="005B6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 mogła się zapoznać z nowymi regulacjami</w:t>
      </w:r>
      <w:r w:rsidR="007C1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6534C02B" w14:textId="010ADBFE" w:rsidR="00EA5178" w:rsidRDefault="00BE27DA" w:rsidP="00EA5178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</w:t>
      </w:r>
      <w:r w:rsidR="00B65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106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04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 </w:t>
      </w:r>
      <w:r w:rsidR="00122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również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iż o</w:t>
      </w:r>
      <w:r w:rsidR="00772F43" w:rsidRPr="00772F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rganem właściwym do rozpatrzenia wniosku jest właściwy 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miejscowo </w:t>
      </w:r>
      <w:r w:rsidR="00772F43" w:rsidRPr="00772F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wojewoda. 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opinii projektodawcy jest to rozwiązanie pozwalające najsprawniej przeprowadzić proces wypłaty rekompensat</w:t>
      </w:r>
      <w:r w:rsidR="00772F43" w:rsidRPr="00772F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Ponadto, dzięki temu,</w:t>
      </w:r>
      <w:r w:rsidR="00772F43" w:rsidRPr="00772F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obowiązek przyjmowania wniosków, ich kontroli pod względem formalnym i rachunkowym nie będzie spoczywał na jednym organie. 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910D4" w:rsidRP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względu na skalę problemu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B910D4" w:rsidRP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72F43" w:rsidRPr="00772F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obowiązek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ten</w:t>
      </w:r>
      <w:r w:rsidR="00772F43" w:rsidRPr="00772F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, 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powinien</w:t>
      </w:r>
      <w:r w:rsidR="00B910D4" w:rsidRPr="00772F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72F43" w:rsidRPr="00772F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być rozłożony na 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kilka podmiotów –właściwych miejscowo wojewodów</w:t>
      </w:r>
      <w:r w:rsidR="00772F43" w:rsidRPr="00772F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Co więcej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772F43" w:rsidRPr="00772F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dane o pojedynczych rodzajach obiektów będących przedmiotem opodatkowania podatkiem od nieruchomości są w </w:t>
      </w:r>
      <w:r w:rsidR="00772F43" w:rsidRPr="00772F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posiadaniu gmin, nad którymi nadzór sprawuje wojewoda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co również powinno</w:t>
      </w:r>
      <w:r w:rsidR="00772F43" w:rsidRPr="00772F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usprawni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="00772F43" w:rsidRPr="00772F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proces kontroli wniosków.</w:t>
      </w:r>
      <w:r w:rsidR="00D40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2057364" w14:textId="5E5A9F1F" w:rsidR="00177C44" w:rsidRDefault="00C35079" w:rsidP="00EA5178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 również zwrócić uwagę</w:t>
      </w:r>
      <w:r w:rsidR="00B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iż art. 5 wprowadza możliwość</w:t>
      </w:r>
      <w:r w:rsidR="00EA51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pozostawienia wniosku bez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rozpoznania. </w:t>
      </w:r>
      <w:r w:rsidR="00177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Powyższa regulacja ma charakter dyscyplinujący względem wnioskodawców </w:t>
      </w:r>
      <w:r w:rsidR="004324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przepisami </w:t>
      </w:r>
      <w:r w:rsidR="00177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ustawy, wojewoda przekazuj</w:t>
      </w:r>
      <w:r w:rsidR="00026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177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rekompensatę na rachunek gminy do 31 grudnia 2022 roku. </w:t>
      </w:r>
      <w:r w:rsidR="00026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faktem, iż ustawa wejdzie w życie w dniu 5 lutego 2022 r.</w:t>
      </w:r>
      <w:r w:rsidR="004324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026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77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przewiduje się wydłużenia terminów zawartych w art.</w:t>
      </w:r>
      <w:r w:rsidR="00026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5. </w:t>
      </w:r>
      <w:r w:rsidR="004324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Biorąc pod uwagę wskazane wyżej terminy można założyć, że </w:t>
      </w:r>
      <w:r w:rsidR="00026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postę</w:t>
      </w:r>
      <w:r w:rsidR="00F425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</w:t>
      </w:r>
      <w:r w:rsidR="004324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wypłaty rekompensat</w:t>
      </w:r>
      <w:r w:rsidR="00F425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26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będą mogły zakończyć się </w:t>
      </w:r>
      <w:r w:rsidR="00C62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takim terminie, </w:t>
      </w:r>
      <w:r w:rsidR="00D11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umożliwiającym</w:t>
      </w:r>
      <w:r w:rsidR="00C62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1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wojewodzie realizację</w:t>
      </w:r>
      <w:r w:rsidR="00C62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1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obowiązku </w:t>
      </w:r>
      <w:r w:rsidR="00C62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przekazania rekompensaty gminom do końca 2022 r. </w:t>
      </w:r>
      <w:r w:rsidR="000265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FA0C69A" w14:textId="617D9CB0" w:rsidR="00177C44" w:rsidRPr="00177C44" w:rsidRDefault="00D1126B" w:rsidP="00177C44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177C44" w:rsidRPr="00177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rt.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określa, jakie decyzje wydaje wojewoda na podstawie projektowanej ustawy</w:t>
      </w:r>
      <w:r w:rsidR="00177C44" w:rsidRPr="00177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F425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77C44" w:rsidRPr="00177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przypadkach, </w:t>
      </w:r>
      <w:r w:rsidR="008C0E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177C44" w:rsidRPr="00177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których wojewoda </w:t>
      </w:r>
      <w:r w:rsidR="008C0E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sprawdzając wniosek uzna</w:t>
      </w:r>
      <w:r w:rsidR="00177C44" w:rsidRPr="00177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gminie nie należą się rekompensaty za okres od 1 stycznia do 13 lipca 2018 r. z tytułu podatku od nieruchomości od budowli wchodzący</w:t>
      </w:r>
      <w:r w:rsidR="00F425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 w skład elektrowni wiatrowej, </w:t>
      </w:r>
      <w:r w:rsidR="00177C44" w:rsidRPr="00177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gdyż według jego oceny gmina nie utraciła takich dochodów, </w:t>
      </w:r>
      <w:r w:rsidR="00F425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wojewoda wydaje decyzje odmowną.</w:t>
      </w:r>
    </w:p>
    <w:p w14:paraId="2F69B6DD" w14:textId="2AF0F690" w:rsidR="00EA5178" w:rsidRDefault="00177C44" w:rsidP="00EA5178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7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Wojewoda, po analizie danych przedstawionych przez gminę</w:t>
      </w:r>
      <w:r w:rsidR="00D11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177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może </w:t>
      </w:r>
      <w:r w:rsidR="00D11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również </w:t>
      </w:r>
      <w:r w:rsidRPr="00177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ustalić rekompensatę w wysokości niższej, jeżeli w sposób jednoznaczny wynika to z danych wniosku.</w:t>
      </w:r>
    </w:p>
    <w:p w14:paraId="5B69A91F" w14:textId="792FB7FE" w:rsidR="00CF2D9F" w:rsidRDefault="00CF2D9F" w:rsidP="00EA5178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D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7 </w:t>
      </w:r>
      <w:r w:rsidR="00D11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określa, że </w:t>
      </w:r>
      <w:r w:rsidRPr="00CF2D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organem wyższego stopnia rozpatrującym odwołania od decyzji wojewody jest minister właściwy ds. finansów publicznych. </w:t>
      </w:r>
    </w:p>
    <w:p w14:paraId="50E5BD0D" w14:textId="41E29B7B" w:rsidR="00CF2D9F" w:rsidRPr="00CF2D9F" w:rsidRDefault="00CF2D9F" w:rsidP="00CF2D9F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D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8 </w:t>
      </w:r>
      <w:r w:rsidR="00D11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</w:t>
      </w:r>
      <w:r w:rsidRPr="00CF2D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D11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</w:t>
      </w:r>
      <w:r w:rsidRPr="00CF2D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rekompensaty zostaną wypłacone jednorazowo, do końca 2022 r. </w:t>
      </w:r>
      <w:r w:rsidR="00D11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Rozwiązanie takie – wskazanie konkretnego, pewnego terminu zakończenia wypłaty rekompensat, jest również korzystne dla gmin. </w:t>
      </w:r>
      <w:r w:rsidRPr="00CF2D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zebranymi informacjami od właściwych stowarzyszeń gmin, podmioty te postulują o możliwie najszybsze wsparcie. </w:t>
      </w:r>
    </w:p>
    <w:p w14:paraId="3628A077" w14:textId="641B993A" w:rsidR="00177C44" w:rsidRDefault="00D1126B" w:rsidP="0051278C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</w:t>
      </w:r>
      <w:r w:rsidR="00207371" w:rsidRPr="002073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art. </w:t>
      </w:r>
      <w:r w:rsidR="002073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207371" w:rsidRPr="002073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podatek od nieruchomości jest dochodem gmin zaliczanym do dochodów podatkowych, stanowiących podstawę do wyliczenia subwencji ogólnej. Niższe dochody w 2018 r. mogły skutkować wyższą kwot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207371" w:rsidRPr="002073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części wyrównawczej subwencji ogólnej na 2020 r. Gdyby w 2018 r. gminy otrzymały podatek od nieruchomości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="00207371" w:rsidRPr="002073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budowli wchodzących w skład elektrowni wiatrowych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według przepisów sprzed noweli uOZE</w:t>
      </w:r>
      <w:r w:rsidR="00207371" w:rsidRPr="002073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wówczas subwencja byłaby niższa, a w niektórych przypadkach gminy mogłyby zostać zobowiązane do dokonywania wpłat do budżetu państwa z przeznaczeniem na część równoważącą subwencji ogólnej dla </w:t>
      </w:r>
      <w:r w:rsidR="00207371" w:rsidRPr="002073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gmin. Dlatego uzasadnione byłoby włączenie (czasowe) środków rekompensaty do dochodów podatkowych gmin.</w:t>
      </w:r>
    </w:p>
    <w:p w14:paraId="104C3342" w14:textId="3378F45D" w:rsidR="00056C66" w:rsidRDefault="00A04A12" w:rsidP="007C14BF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 wskazano wyżej, art</w:t>
      </w:r>
      <w:r w:rsidR="008D69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 </w:t>
      </w:r>
      <w:r w:rsidR="00337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sposób jasny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</w:t>
      </w:r>
      <w:r w:rsidR="00337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 prawny będący konsekwencją wyroku TK.</w:t>
      </w:r>
      <w:r w:rsidR="00337587" w:rsidRPr="00337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4EF8890" w14:textId="6798B6DC" w:rsidR="00A1164A" w:rsidRDefault="00A1164A" w:rsidP="0051278C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załączniku przedstawiono ujednolicony dla wszystkich gmin wniosek o zwrot dochodów  </w:t>
      </w:r>
      <w:r w:rsidRPr="00A11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utraconych w 2018 r. w związku ze zmianą opodatkowania budowli wchodzących w skład elektrowni wiatrowych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</w:t>
      </w:r>
      <w:r w:rsidRPr="00A11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niosek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zawiera</w:t>
      </w:r>
      <w:r w:rsidRPr="00A11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następujące dane:</w:t>
      </w:r>
    </w:p>
    <w:p w14:paraId="6356D236" w14:textId="2150B099" w:rsidR="00D62434" w:rsidRDefault="00D62434" w:rsidP="00D6243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D62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tawkę podatku od nieruchomości</w:t>
      </w:r>
      <w:r w:rsidR="008F3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budowli</w:t>
      </w:r>
      <w:r w:rsidRPr="00D62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obowiązującą w roku podatkowym 2018 ustaloną przez radę gminy oraz określające ją przepisy ze wskazaniem uchwały rady gminy; </w:t>
      </w:r>
    </w:p>
    <w:p w14:paraId="7158D6B0" w14:textId="206013EA" w:rsidR="00D62434" w:rsidRDefault="00D62434" w:rsidP="00D6243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D62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ykaz elektrowni wiatrowych zlokalizowanych na terenie gminy w dniu 31 grudnia 2017 r. oraz podatników podatku; </w:t>
      </w:r>
    </w:p>
    <w:p w14:paraId="47BFB15B" w14:textId="4B543547" w:rsidR="00D62434" w:rsidRPr="00D62434" w:rsidRDefault="00D62434" w:rsidP="00D6243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D62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odstawę opodatkowania podatkiem budowli wchodzących w skład każdej z elektrowni wiatrowych, o których mowa w pkt 2, według stanu na dzień 1 stycznia 2018 r. ustaloną zgodnie z przepisami obowiązującymi: </w:t>
      </w:r>
    </w:p>
    <w:p w14:paraId="2003DD28" w14:textId="1FB78883" w:rsidR="00D62434" w:rsidRPr="0051278C" w:rsidRDefault="00D62434" w:rsidP="0051278C">
      <w:pPr>
        <w:numPr>
          <w:ilvl w:val="1"/>
          <w:numId w:val="19"/>
        </w:numPr>
        <w:suppressAutoHyphens/>
        <w:autoSpaceDE w:val="0"/>
        <w:autoSpaceDN w:val="0"/>
        <w:adjustRightInd w:val="0"/>
        <w:spacing w:after="120" w:line="360" w:lineRule="auto"/>
        <w:ind w:left="92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2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 dniem wejścia w życie art. 2 pkt 1 i 6 oraz art. 3 pkt 1</w:t>
      </w:r>
      <w:r w:rsidR="00056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F3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noweli </w:t>
      </w:r>
      <w:r w:rsidR="004F7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uOZE</w:t>
      </w:r>
      <w:r w:rsidR="008F3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F480CFD" w14:textId="214CE295" w:rsidR="00D62434" w:rsidRPr="0051278C" w:rsidRDefault="00D62434" w:rsidP="004F7843">
      <w:pPr>
        <w:numPr>
          <w:ilvl w:val="1"/>
          <w:numId w:val="19"/>
        </w:numPr>
        <w:suppressAutoHyphens/>
        <w:autoSpaceDE w:val="0"/>
        <w:autoSpaceDN w:val="0"/>
        <w:adjustRightInd w:val="0"/>
        <w:spacing w:after="120" w:line="360" w:lineRule="auto"/>
        <w:ind w:left="92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2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dniu wejścia w życie art. 2 pkt 1 i 6 oraz art. 3 pkt 1 </w:t>
      </w:r>
      <w:r w:rsidR="008F3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noweli </w:t>
      </w:r>
      <w:r w:rsidR="004F7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uOZE;</w:t>
      </w:r>
    </w:p>
    <w:p w14:paraId="258534BF" w14:textId="77777777" w:rsidR="00EA5178" w:rsidRDefault="00D62434" w:rsidP="00EA5178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D62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wotę podatku ustaloną na podstawie danych, o których mowa w</w:t>
      </w:r>
      <w:r w:rsidR="00EA51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8D2FD1F" w14:textId="77777777" w:rsidR="00EA5178" w:rsidRDefault="00D62434" w:rsidP="00EA5178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360" w:lineRule="auto"/>
        <w:ind w:left="92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2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1 i 3</w:t>
      </w:r>
      <w:r w:rsidR="002C2B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lit. a ora</w:t>
      </w:r>
      <w:r w:rsidR="004F7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</w:p>
    <w:p w14:paraId="3AA15D79" w14:textId="49CCC885" w:rsidR="002C2B03" w:rsidRPr="00EA5178" w:rsidRDefault="002C2B03" w:rsidP="00EA5178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360" w:lineRule="auto"/>
        <w:ind w:left="92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51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1 i 3 lit. b</w:t>
      </w:r>
      <w:r w:rsidR="008F3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1C6EB0C" w14:textId="77777777" w:rsidR="004F7843" w:rsidRDefault="002C2B03" w:rsidP="00EA5178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51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kwotę dochodów utraconych w 2018 r., stanowiącą różnicę pomiędzy kwotą podatku ustaloną zgodnie z pkt 4 lit. a i pkt 4 lit. b;</w:t>
      </w:r>
    </w:p>
    <w:p w14:paraId="3FA53990" w14:textId="5C2172C8" w:rsidR="002C2B03" w:rsidRPr="00EA5178" w:rsidRDefault="004F7843" w:rsidP="00EA5178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5178">
        <w:rPr>
          <w:rFonts w:ascii="Times New Roman" w:hAnsi="Times New Roman" w:cs="Times New Roman"/>
          <w:sz w:val="24"/>
          <w:szCs w:val="24"/>
          <w:lang w:eastAsia="pl-PL"/>
        </w:rPr>
        <w:t>numer rachunku bankowego gminy, na który ma zostać przekazana rekompensata;</w:t>
      </w:r>
    </w:p>
    <w:p w14:paraId="641D88C0" w14:textId="50357267" w:rsidR="002C2B03" w:rsidRPr="00EA5178" w:rsidRDefault="004F7843" w:rsidP="0051278C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2C2B03" w:rsidRPr="005127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2C2B03" w:rsidRPr="00EA51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 do kontaktu</w:t>
      </w:r>
      <w:r w:rsidR="008F3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6779DE2" w14:textId="15D7F962" w:rsidR="00F8625D" w:rsidRPr="00F8625D" w:rsidRDefault="00D62434" w:rsidP="00F8625D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2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osoby upoważnionej.</w:t>
      </w:r>
    </w:p>
    <w:p w14:paraId="55F09B2D" w14:textId="7A1843C0" w:rsidR="00F8625D" w:rsidRPr="00CA1E01" w:rsidRDefault="00F8625D" w:rsidP="00CA1E01">
      <w:pPr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62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pkt 8</w:t>
      </w:r>
      <w:r w:rsidR="008F3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F862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F3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 wyjaśnić</w:t>
      </w:r>
      <w:r w:rsidRPr="00F862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iż</w:t>
      </w:r>
      <w:r w:rsidR="008F3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szczególności</w:t>
      </w:r>
      <w:r w:rsidRPr="00F862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związku z pandemią COVID-19</w:t>
      </w:r>
      <w:r w:rsidR="008F3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F862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intencją ustawodawcy jest dopuszczenie możliwości złożenia wniosku </w:t>
      </w:r>
      <w:r w:rsidR="008F3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zarówno w postaci papierowej, jak i </w:t>
      </w:r>
      <w:r w:rsidRPr="00F862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postaci elektronicznej </w:t>
      </w:r>
      <w:r w:rsidR="008F3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opatrzonej</w:t>
      </w:r>
      <w:r w:rsidR="008F3745" w:rsidRPr="00F862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862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</w:t>
      </w:r>
      <w:r w:rsidR="008F3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 w:rsidRPr="00F862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zaufanym, podpisem osobistym lub kwalifikowanym podpisem elektronicznym zgodnie z ustawą z dnia 17 lutego 2005 r. o informatyzacji działalności podmiotów realizujących zadania publiczne (Dz. U. z 2021 r. poz. 670</w:t>
      </w:r>
      <w:r w:rsidR="008F3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 późn. zm.</w:t>
      </w:r>
      <w:r w:rsidRPr="00F862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14:paraId="0CDDA939" w14:textId="2CC625B1" w:rsidR="00F77E0D" w:rsidRPr="00F77E0D" w:rsidRDefault="009D0B01" w:rsidP="002D25DB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4. </w:t>
      </w:r>
      <w:r w:rsidR="00F77E0D" w:rsidRPr="00F77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projektu</w:t>
      </w:r>
    </w:p>
    <w:p w14:paraId="658291CF" w14:textId="0A3D3A8D" w:rsidR="002D25DB" w:rsidRPr="002D25DB" w:rsidRDefault="000B1031" w:rsidP="002D25DB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1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przedmiotowy projektowanej ustawy nie jest objęty prawem Unii Europejskiej.</w:t>
      </w:r>
      <w:r w:rsidR="002D25DB" w:rsidRPr="002D25D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</w:p>
    <w:p w14:paraId="5D209939" w14:textId="342773B9" w:rsidR="002D25DB" w:rsidRPr="002D25DB" w:rsidRDefault="002D25DB" w:rsidP="002D25DB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25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ustawy nie wymaga przedstawiania jej organom i instytucjom Unii Europejskiej w celu uzyskania opinii, dokonania powiadomienia, konsultacji albo uzgodnienia. W szczególności regulacja nie mieści się w zakresie przedmiotowym zagadn</w:t>
      </w:r>
      <w:r w:rsidR="00134C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ień podlegających konsultacjom </w:t>
      </w:r>
      <w:r w:rsidRPr="002D25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Europejskim Bankiem Centralnym, zgodnie z art. 2 ust. 1 decyzji Rady z dnia 29 czerwca 1998 r. (98/415/WE) w sprawie konsultacji Europejskiego Banku Centralnego udzielanych władzom krajowym w sprawie projektów przepisów prawnych (Dz. Urz. UE L 189 z 03.07.1998, str. 42). </w:t>
      </w:r>
    </w:p>
    <w:p w14:paraId="79A4AF7B" w14:textId="77777777" w:rsidR="002D25DB" w:rsidRDefault="002D25DB" w:rsidP="002D25DB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25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ustawy nie zawiera przepisów technicznych w rozumieniu rozporządzenia Rady Ministrów z dnia 23 grudnia 2002 r. w sprawie sposobu funkcjonowania krajowego systemu notyfikacji norm i aktów prawnych (Dz. U. poz. 2039, z późn. zm.) i w związku z tym nie podlega notyfikacji w rozumieniu tego rozporządzenia.</w:t>
      </w:r>
    </w:p>
    <w:p w14:paraId="1E2519B6" w14:textId="251B56CF" w:rsidR="00F77E0D" w:rsidRDefault="00F77E0D" w:rsidP="002D25DB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nie wywiera wpływu na mikro i małych przedsiębiorców.</w:t>
      </w:r>
    </w:p>
    <w:p w14:paraId="684C2733" w14:textId="76710E15" w:rsidR="001531E4" w:rsidRPr="001531E4" w:rsidRDefault="001531E4" w:rsidP="001531E4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3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Projektuje się, aby ustawa weszła w życie z dniem 5 lutego 2022 r. Powodem tego stanu rzeczy jest fakt, iż zgodnie z wyrokiem TK, zaskarżony art. 17 pkt 2 noweli uOZE traci moc obowiązującą po upływie 18 miesięcy od dnia ogłoszenia wyroku w Dzienniku U</w:t>
      </w:r>
      <w:r w:rsidR="00FF06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 Rzeczypospolitej Polskiej.</w:t>
      </w:r>
      <w:r w:rsidRPr="00153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 przypomnieć, iż wspomniany wyrok został ogłoszony 4 sierpnia 2020 r.</w:t>
      </w:r>
    </w:p>
    <w:p w14:paraId="3AAA47AA" w14:textId="77777777" w:rsidR="00B948F3" w:rsidRPr="002D25DB" w:rsidRDefault="00B948F3" w:rsidP="002D25DB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DEE9D81" w14:textId="614C8C8D" w:rsidR="000B1031" w:rsidRPr="000B1031" w:rsidRDefault="000B1031" w:rsidP="000B1031">
      <w:pPr>
        <w:suppressAutoHyphens/>
        <w:autoSpaceDE w:val="0"/>
        <w:autoSpaceDN w:val="0"/>
        <w:adjustRightInd w:val="0"/>
        <w:spacing w:after="12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0B1031" w:rsidRPr="000B1031" w:rsidSect="00CA4C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67903" w16cid:durableId="244E5C6D"/>
  <w16cid:commentId w16cid:paraId="37F76C69" w16cid:durableId="244E5C6E"/>
  <w16cid:commentId w16cid:paraId="4CE7A608" w16cid:durableId="244E5C6F"/>
  <w16cid:commentId w16cid:paraId="0891A5FD" w16cid:durableId="244E5C70"/>
  <w16cid:commentId w16cid:paraId="6D454BF7" w16cid:durableId="244E5C71"/>
  <w16cid:commentId w16cid:paraId="7B6FDABA" w16cid:durableId="244E5C72"/>
  <w16cid:commentId w16cid:paraId="327F5C9B" w16cid:durableId="244E5C73"/>
  <w16cid:commentId w16cid:paraId="6AD63BBB" w16cid:durableId="244E5C74"/>
  <w16cid:commentId w16cid:paraId="25E444A6" w16cid:durableId="244E5C75"/>
  <w16cid:commentId w16cid:paraId="5C59E803" w16cid:durableId="244E5C76"/>
  <w16cid:commentId w16cid:paraId="3970EFCA" w16cid:durableId="244E5C77"/>
  <w16cid:commentId w16cid:paraId="15B773D2" w16cid:durableId="244E5C78"/>
  <w16cid:commentId w16cid:paraId="59AB85E4" w16cid:durableId="244E5C79"/>
  <w16cid:commentId w16cid:paraId="61E04A95" w16cid:durableId="244E5C7A"/>
  <w16cid:commentId w16cid:paraId="597B3856" w16cid:durableId="244E5C7B"/>
  <w16cid:commentId w16cid:paraId="24DDFADF" w16cid:durableId="244E5C7C"/>
  <w16cid:commentId w16cid:paraId="1F218D5F" w16cid:durableId="244E5C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F7856" w14:textId="77777777" w:rsidR="00EA13A7" w:rsidRDefault="00EA13A7" w:rsidP="004125DB">
      <w:pPr>
        <w:spacing w:after="0" w:line="240" w:lineRule="auto"/>
      </w:pPr>
      <w:r>
        <w:separator/>
      </w:r>
    </w:p>
  </w:endnote>
  <w:endnote w:type="continuationSeparator" w:id="0">
    <w:p w14:paraId="48EEC7B1" w14:textId="77777777" w:rsidR="00EA13A7" w:rsidRDefault="00EA13A7" w:rsidP="0041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9F8AA" w14:textId="77777777" w:rsidR="00EA13A7" w:rsidRDefault="00EA13A7" w:rsidP="004125DB">
      <w:pPr>
        <w:spacing w:after="0" w:line="240" w:lineRule="auto"/>
      </w:pPr>
      <w:r>
        <w:separator/>
      </w:r>
    </w:p>
  </w:footnote>
  <w:footnote w:type="continuationSeparator" w:id="0">
    <w:p w14:paraId="60F5F766" w14:textId="77777777" w:rsidR="00EA13A7" w:rsidRDefault="00EA13A7" w:rsidP="0041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49707" w14:textId="4E66BC1B" w:rsidR="00CA4C15" w:rsidRPr="00B371CC" w:rsidRDefault="00CA4C15" w:rsidP="00CA4C15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52C2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C41"/>
    <w:multiLevelType w:val="hybridMultilevel"/>
    <w:tmpl w:val="2E700D84"/>
    <w:lvl w:ilvl="0" w:tplc="A7C0E29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17B5"/>
    <w:multiLevelType w:val="hybridMultilevel"/>
    <w:tmpl w:val="7E2CF7D6"/>
    <w:lvl w:ilvl="0" w:tplc="04150019">
      <w:start w:val="1"/>
      <w:numFmt w:val="lowerLetter"/>
      <w:lvlText w:val="%1.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177E72A7"/>
    <w:multiLevelType w:val="hybridMultilevel"/>
    <w:tmpl w:val="B9406DA0"/>
    <w:lvl w:ilvl="0" w:tplc="57DAA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4FB7"/>
    <w:multiLevelType w:val="hybridMultilevel"/>
    <w:tmpl w:val="B9DEF2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34502"/>
    <w:multiLevelType w:val="hybridMultilevel"/>
    <w:tmpl w:val="4A90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F3C66"/>
    <w:multiLevelType w:val="hybridMultilevel"/>
    <w:tmpl w:val="C87A7F8E"/>
    <w:lvl w:ilvl="0" w:tplc="4D868A9E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407F0E72"/>
    <w:multiLevelType w:val="hybridMultilevel"/>
    <w:tmpl w:val="CEC614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30680"/>
    <w:multiLevelType w:val="hybridMultilevel"/>
    <w:tmpl w:val="F1E6984A"/>
    <w:lvl w:ilvl="0" w:tplc="835CC9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CEAA04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F56E1"/>
    <w:multiLevelType w:val="hybridMultilevel"/>
    <w:tmpl w:val="C4E62B22"/>
    <w:lvl w:ilvl="0" w:tplc="2E2C92C0">
      <w:start w:val="1"/>
      <w:numFmt w:val="decimal"/>
      <w:lvlText w:val="%1)"/>
      <w:lvlJc w:val="left"/>
      <w:pPr>
        <w:ind w:left="12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549C388C"/>
    <w:multiLevelType w:val="hybridMultilevel"/>
    <w:tmpl w:val="3B8E45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206173"/>
    <w:multiLevelType w:val="hybridMultilevel"/>
    <w:tmpl w:val="7F2C2C1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D7F1FA0"/>
    <w:multiLevelType w:val="hybridMultilevel"/>
    <w:tmpl w:val="FAD68F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46120B"/>
    <w:multiLevelType w:val="hybridMultilevel"/>
    <w:tmpl w:val="9F82C56E"/>
    <w:lvl w:ilvl="0" w:tplc="14D81728">
      <w:start w:val="1"/>
      <w:numFmt w:val="decimal"/>
      <w:lvlText w:val="%1)"/>
      <w:lvlJc w:val="left"/>
      <w:pPr>
        <w:ind w:left="144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62EC4DB4"/>
    <w:multiLevelType w:val="hybridMultilevel"/>
    <w:tmpl w:val="8C587B76"/>
    <w:lvl w:ilvl="0" w:tplc="04150011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688F0E3B"/>
    <w:multiLevelType w:val="hybridMultilevel"/>
    <w:tmpl w:val="F7D070D2"/>
    <w:lvl w:ilvl="0" w:tplc="7A9E9426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 w15:restartNumberingAfterBreak="0">
    <w:nsid w:val="6D7F7FA9"/>
    <w:multiLevelType w:val="multilevel"/>
    <w:tmpl w:val="7752F246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655DF6"/>
    <w:multiLevelType w:val="multilevel"/>
    <w:tmpl w:val="E65602C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1138FF"/>
    <w:multiLevelType w:val="hybridMultilevel"/>
    <w:tmpl w:val="58B2F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86744"/>
    <w:multiLevelType w:val="hybridMultilevel"/>
    <w:tmpl w:val="E5742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2625"/>
    <w:multiLevelType w:val="multilevel"/>
    <w:tmpl w:val="03728BDC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2A230E"/>
    <w:multiLevelType w:val="multilevel"/>
    <w:tmpl w:val="0F3834A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20"/>
  </w:num>
  <w:num w:numId="9">
    <w:abstractNumId w:val="16"/>
  </w:num>
  <w:num w:numId="10">
    <w:abstractNumId w:val="5"/>
  </w:num>
  <w:num w:numId="11">
    <w:abstractNumId w:val="15"/>
  </w:num>
  <w:num w:numId="12">
    <w:abstractNumId w:val="19"/>
  </w:num>
  <w:num w:numId="13">
    <w:abstractNumId w:val="13"/>
  </w:num>
  <w:num w:numId="14">
    <w:abstractNumId w:val="2"/>
  </w:num>
  <w:num w:numId="15">
    <w:abstractNumId w:val="14"/>
  </w:num>
  <w:num w:numId="16">
    <w:abstractNumId w:val="17"/>
  </w:num>
  <w:num w:numId="17">
    <w:abstractNumId w:val="18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DB"/>
    <w:rsid w:val="00000DA5"/>
    <w:rsid w:val="000054E4"/>
    <w:rsid w:val="00013A68"/>
    <w:rsid w:val="000169F6"/>
    <w:rsid w:val="00025033"/>
    <w:rsid w:val="00026522"/>
    <w:rsid w:val="0003080E"/>
    <w:rsid w:val="00031995"/>
    <w:rsid w:val="0003451C"/>
    <w:rsid w:val="00037C08"/>
    <w:rsid w:val="00041D95"/>
    <w:rsid w:val="0004482D"/>
    <w:rsid w:val="00056C66"/>
    <w:rsid w:val="00057122"/>
    <w:rsid w:val="00057633"/>
    <w:rsid w:val="0006019E"/>
    <w:rsid w:val="00065903"/>
    <w:rsid w:val="0006643C"/>
    <w:rsid w:val="00071456"/>
    <w:rsid w:val="00071703"/>
    <w:rsid w:val="00073830"/>
    <w:rsid w:val="00073CB4"/>
    <w:rsid w:val="0007677B"/>
    <w:rsid w:val="00077DEA"/>
    <w:rsid w:val="0008457B"/>
    <w:rsid w:val="00084C79"/>
    <w:rsid w:val="00084D0D"/>
    <w:rsid w:val="00085DF8"/>
    <w:rsid w:val="000902EF"/>
    <w:rsid w:val="00095920"/>
    <w:rsid w:val="000A2EE8"/>
    <w:rsid w:val="000A5C19"/>
    <w:rsid w:val="000A6249"/>
    <w:rsid w:val="000A6DE0"/>
    <w:rsid w:val="000B06A1"/>
    <w:rsid w:val="000B1031"/>
    <w:rsid w:val="000B1CE0"/>
    <w:rsid w:val="000B2215"/>
    <w:rsid w:val="000C3D2E"/>
    <w:rsid w:val="000C3EC0"/>
    <w:rsid w:val="000C4489"/>
    <w:rsid w:val="000C6489"/>
    <w:rsid w:val="000D0887"/>
    <w:rsid w:val="000D0B04"/>
    <w:rsid w:val="000D6A97"/>
    <w:rsid w:val="000E0851"/>
    <w:rsid w:val="000E1284"/>
    <w:rsid w:val="000E727A"/>
    <w:rsid w:val="000F3708"/>
    <w:rsid w:val="000F4B4A"/>
    <w:rsid w:val="000F625D"/>
    <w:rsid w:val="000F731E"/>
    <w:rsid w:val="00104786"/>
    <w:rsid w:val="00105684"/>
    <w:rsid w:val="001060A5"/>
    <w:rsid w:val="00113CA1"/>
    <w:rsid w:val="00121461"/>
    <w:rsid w:val="00122484"/>
    <w:rsid w:val="001276C0"/>
    <w:rsid w:val="00127D0B"/>
    <w:rsid w:val="00134C17"/>
    <w:rsid w:val="00144BD7"/>
    <w:rsid w:val="00145142"/>
    <w:rsid w:val="001531E4"/>
    <w:rsid w:val="0016054D"/>
    <w:rsid w:val="001724E1"/>
    <w:rsid w:val="00177C44"/>
    <w:rsid w:val="00186F42"/>
    <w:rsid w:val="00194EE2"/>
    <w:rsid w:val="00197D2D"/>
    <w:rsid w:val="001A114E"/>
    <w:rsid w:val="001A117F"/>
    <w:rsid w:val="001A3248"/>
    <w:rsid w:val="001B3B98"/>
    <w:rsid w:val="001B4236"/>
    <w:rsid w:val="001C227A"/>
    <w:rsid w:val="001C238E"/>
    <w:rsid w:val="001C2AA6"/>
    <w:rsid w:val="001C39CB"/>
    <w:rsid w:val="001E0280"/>
    <w:rsid w:val="001E217C"/>
    <w:rsid w:val="001E4881"/>
    <w:rsid w:val="001F22AA"/>
    <w:rsid w:val="001F3AA2"/>
    <w:rsid w:val="001F5AEE"/>
    <w:rsid w:val="00200A2A"/>
    <w:rsid w:val="00203BBA"/>
    <w:rsid w:val="00207371"/>
    <w:rsid w:val="0021007B"/>
    <w:rsid w:val="002100EF"/>
    <w:rsid w:val="002104AC"/>
    <w:rsid w:val="00212162"/>
    <w:rsid w:val="00213998"/>
    <w:rsid w:val="00215CBC"/>
    <w:rsid w:val="002160C4"/>
    <w:rsid w:val="00224BD1"/>
    <w:rsid w:val="00233103"/>
    <w:rsid w:val="002343E1"/>
    <w:rsid w:val="00234B22"/>
    <w:rsid w:val="00237010"/>
    <w:rsid w:val="0024548D"/>
    <w:rsid w:val="00247953"/>
    <w:rsid w:val="00253233"/>
    <w:rsid w:val="00254213"/>
    <w:rsid w:val="00262682"/>
    <w:rsid w:val="00262E67"/>
    <w:rsid w:val="002646E1"/>
    <w:rsid w:val="0026579A"/>
    <w:rsid w:val="002711AC"/>
    <w:rsid w:val="002718FC"/>
    <w:rsid w:val="00272358"/>
    <w:rsid w:val="00276800"/>
    <w:rsid w:val="00281ED3"/>
    <w:rsid w:val="00282C42"/>
    <w:rsid w:val="0028377E"/>
    <w:rsid w:val="00286778"/>
    <w:rsid w:val="00290575"/>
    <w:rsid w:val="00291EB4"/>
    <w:rsid w:val="002A182F"/>
    <w:rsid w:val="002A333C"/>
    <w:rsid w:val="002A51BB"/>
    <w:rsid w:val="002A589E"/>
    <w:rsid w:val="002B4C84"/>
    <w:rsid w:val="002B6416"/>
    <w:rsid w:val="002B73D6"/>
    <w:rsid w:val="002B78D8"/>
    <w:rsid w:val="002C120F"/>
    <w:rsid w:val="002C2B03"/>
    <w:rsid w:val="002C44FC"/>
    <w:rsid w:val="002D0250"/>
    <w:rsid w:val="002D12D3"/>
    <w:rsid w:val="002D21A0"/>
    <w:rsid w:val="002D25DB"/>
    <w:rsid w:val="002D26B4"/>
    <w:rsid w:val="002D4394"/>
    <w:rsid w:val="002E15CD"/>
    <w:rsid w:val="002E31FD"/>
    <w:rsid w:val="002E332D"/>
    <w:rsid w:val="002E33AE"/>
    <w:rsid w:val="002E39F5"/>
    <w:rsid w:val="002E400D"/>
    <w:rsid w:val="002F2BDE"/>
    <w:rsid w:val="002F2C6D"/>
    <w:rsid w:val="00312938"/>
    <w:rsid w:val="00312DDB"/>
    <w:rsid w:val="00315C0E"/>
    <w:rsid w:val="00323FA1"/>
    <w:rsid w:val="00331CEC"/>
    <w:rsid w:val="00334621"/>
    <w:rsid w:val="00337587"/>
    <w:rsid w:val="0034304B"/>
    <w:rsid w:val="003463C7"/>
    <w:rsid w:val="00346A5D"/>
    <w:rsid w:val="003509AB"/>
    <w:rsid w:val="003522A6"/>
    <w:rsid w:val="00352ABE"/>
    <w:rsid w:val="00354874"/>
    <w:rsid w:val="0036271E"/>
    <w:rsid w:val="00364161"/>
    <w:rsid w:val="00364560"/>
    <w:rsid w:val="00365E9B"/>
    <w:rsid w:val="00370117"/>
    <w:rsid w:val="00371AAB"/>
    <w:rsid w:val="0037374D"/>
    <w:rsid w:val="003737E3"/>
    <w:rsid w:val="003742F7"/>
    <w:rsid w:val="003811B0"/>
    <w:rsid w:val="003853E4"/>
    <w:rsid w:val="0038601F"/>
    <w:rsid w:val="00386FFC"/>
    <w:rsid w:val="003A2191"/>
    <w:rsid w:val="003A38E6"/>
    <w:rsid w:val="003A5354"/>
    <w:rsid w:val="003A6AAF"/>
    <w:rsid w:val="003B32A5"/>
    <w:rsid w:val="003B3453"/>
    <w:rsid w:val="003C3D74"/>
    <w:rsid w:val="003C53A9"/>
    <w:rsid w:val="003C580C"/>
    <w:rsid w:val="003D14CC"/>
    <w:rsid w:val="003D651F"/>
    <w:rsid w:val="003E0802"/>
    <w:rsid w:val="003E345B"/>
    <w:rsid w:val="003E7218"/>
    <w:rsid w:val="003E7265"/>
    <w:rsid w:val="003E7840"/>
    <w:rsid w:val="003F0D12"/>
    <w:rsid w:val="003F188E"/>
    <w:rsid w:val="003F4468"/>
    <w:rsid w:val="003F4A90"/>
    <w:rsid w:val="00400640"/>
    <w:rsid w:val="004013FD"/>
    <w:rsid w:val="00402871"/>
    <w:rsid w:val="00404E73"/>
    <w:rsid w:val="004125DB"/>
    <w:rsid w:val="004125F3"/>
    <w:rsid w:val="004261DA"/>
    <w:rsid w:val="00432488"/>
    <w:rsid w:val="00434B92"/>
    <w:rsid w:val="00450227"/>
    <w:rsid w:val="00463C2F"/>
    <w:rsid w:val="004651C1"/>
    <w:rsid w:val="004656C7"/>
    <w:rsid w:val="00467638"/>
    <w:rsid w:val="00470E0E"/>
    <w:rsid w:val="0047735D"/>
    <w:rsid w:val="00482A65"/>
    <w:rsid w:val="00485285"/>
    <w:rsid w:val="00485D79"/>
    <w:rsid w:val="00491506"/>
    <w:rsid w:val="00493DF6"/>
    <w:rsid w:val="004959A0"/>
    <w:rsid w:val="0049630B"/>
    <w:rsid w:val="004974D9"/>
    <w:rsid w:val="004A1E14"/>
    <w:rsid w:val="004A2C43"/>
    <w:rsid w:val="004A3F59"/>
    <w:rsid w:val="004A4A5B"/>
    <w:rsid w:val="004A7A98"/>
    <w:rsid w:val="004B1AE8"/>
    <w:rsid w:val="004B2318"/>
    <w:rsid w:val="004B6DB6"/>
    <w:rsid w:val="004B7345"/>
    <w:rsid w:val="004C10B4"/>
    <w:rsid w:val="004C12F7"/>
    <w:rsid w:val="004C34BD"/>
    <w:rsid w:val="004C4950"/>
    <w:rsid w:val="004D2FE5"/>
    <w:rsid w:val="004D4937"/>
    <w:rsid w:val="004D7B26"/>
    <w:rsid w:val="004E429F"/>
    <w:rsid w:val="004E5F0E"/>
    <w:rsid w:val="004F35C9"/>
    <w:rsid w:val="004F4413"/>
    <w:rsid w:val="004F7843"/>
    <w:rsid w:val="00502667"/>
    <w:rsid w:val="00505791"/>
    <w:rsid w:val="0051278C"/>
    <w:rsid w:val="00526F25"/>
    <w:rsid w:val="0053013D"/>
    <w:rsid w:val="00530524"/>
    <w:rsid w:val="0053194A"/>
    <w:rsid w:val="00534019"/>
    <w:rsid w:val="00541F43"/>
    <w:rsid w:val="0055347C"/>
    <w:rsid w:val="00553D51"/>
    <w:rsid w:val="00556E42"/>
    <w:rsid w:val="00560766"/>
    <w:rsid w:val="00562630"/>
    <w:rsid w:val="005662B1"/>
    <w:rsid w:val="00571435"/>
    <w:rsid w:val="00572787"/>
    <w:rsid w:val="0057450D"/>
    <w:rsid w:val="00575AC2"/>
    <w:rsid w:val="005766DE"/>
    <w:rsid w:val="0057762E"/>
    <w:rsid w:val="00587A1B"/>
    <w:rsid w:val="00592211"/>
    <w:rsid w:val="00593802"/>
    <w:rsid w:val="00593C49"/>
    <w:rsid w:val="005A4087"/>
    <w:rsid w:val="005A4731"/>
    <w:rsid w:val="005B1067"/>
    <w:rsid w:val="005B29CD"/>
    <w:rsid w:val="005B6C3B"/>
    <w:rsid w:val="005C012B"/>
    <w:rsid w:val="005C0A3B"/>
    <w:rsid w:val="005C146A"/>
    <w:rsid w:val="005C275B"/>
    <w:rsid w:val="005C3C22"/>
    <w:rsid w:val="005C45B7"/>
    <w:rsid w:val="005C79E5"/>
    <w:rsid w:val="005D6925"/>
    <w:rsid w:val="005F32FC"/>
    <w:rsid w:val="005F5CF4"/>
    <w:rsid w:val="005F7F37"/>
    <w:rsid w:val="00600872"/>
    <w:rsid w:val="00603F16"/>
    <w:rsid w:val="00610BEB"/>
    <w:rsid w:val="00612C33"/>
    <w:rsid w:val="006210E4"/>
    <w:rsid w:val="0062325C"/>
    <w:rsid w:val="00623CD1"/>
    <w:rsid w:val="0062539E"/>
    <w:rsid w:val="006254FD"/>
    <w:rsid w:val="00626599"/>
    <w:rsid w:val="0062731C"/>
    <w:rsid w:val="00631BC8"/>
    <w:rsid w:val="0064246A"/>
    <w:rsid w:val="00645D81"/>
    <w:rsid w:val="00660456"/>
    <w:rsid w:val="00662EE3"/>
    <w:rsid w:val="00663501"/>
    <w:rsid w:val="00664B0C"/>
    <w:rsid w:val="0066553A"/>
    <w:rsid w:val="00670FA8"/>
    <w:rsid w:val="00672DEA"/>
    <w:rsid w:val="00672F03"/>
    <w:rsid w:val="006763A4"/>
    <w:rsid w:val="0068238A"/>
    <w:rsid w:val="00685EBC"/>
    <w:rsid w:val="00686BF3"/>
    <w:rsid w:val="00687FF5"/>
    <w:rsid w:val="00690547"/>
    <w:rsid w:val="00690BF9"/>
    <w:rsid w:val="00694112"/>
    <w:rsid w:val="006A6035"/>
    <w:rsid w:val="006A740A"/>
    <w:rsid w:val="006B5E6A"/>
    <w:rsid w:val="006B5E85"/>
    <w:rsid w:val="006C05D1"/>
    <w:rsid w:val="006C1885"/>
    <w:rsid w:val="006C1B1A"/>
    <w:rsid w:val="006D6FBC"/>
    <w:rsid w:val="006E14BC"/>
    <w:rsid w:val="006E2B7D"/>
    <w:rsid w:val="006E3D3D"/>
    <w:rsid w:val="006E6524"/>
    <w:rsid w:val="006F1B86"/>
    <w:rsid w:val="006F2A18"/>
    <w:rsid w:val="006F5A92"/>
    <w:rsid w:val="0070014F"/>
    <w:rsid w:val="00700E4C"/>
    <w:rsid w:val="00703167"/>
    <w:rsid w:val="00705087"/>
    <w:rsid w:val="00707C91"/>
    <w:rsid w:val="00707F4E"/>
    <w:rsid w:val="00714F7F"/>
    <w:rsid w:val="0071548B"/>
    <w:rsid w:val="00717D7C"/>
    <w:rsid w:val="00722CA9"/>
    <w:rsid w:val="007239A9"/>
    <w:rsid w:val="00730616"/>
    <w:rsid w:val="007338F4"/>
    <w:rsid w:val="0073681C"/>
    <w:rsid w:val="00742322"/>
    <w:rsid w:val="007452EB"/>
    <w:rsid w:val="00745E2F"/>
    <w:rsid w:val="0075046F"/>
    <w:rsid w:val="007574DB"/>
    <w:rsid w:val="00764D02"/>
    <w:rsid w:val="00767B1F"/>
    <w:rsid w:val="00770379"/>
    <w:rsid w:val="00772AD5"/>
    <w:rsid w:val="00772F43"/>
    <w:rsid w:val="00773D89"/>
    <w:rsid w:val="007762B3"/>
    <w:rsid w:val="00786452"/>
    <w:rsid w:val="00786DDA"/>
    <w:rsid w:val="007A4517"/>
    <w:rsid w:val="007A6E12"/>
    <w:rsid w:val="007A71D0"/>
    <w:rsid w:val="007A7D81"/>
    <w:rsid w:val="007A7D9C"/>
    <w:rsid w:val="007B1734"/>
    <w:rsid w:val="007B4E55"/>
    <w:rsid w:val="007C07C6"/>
    <w:rsid w:val="007C14BF"/>
    <w:rsid w:val="007C2372"/>
    <w:rsid w:val="007C4696"/>
    <w:rsid w:val="007C4742"/>
    <w:rsid w:val="007C5E76"/>
    <w:rsid w:val="007C72B0"/>
    <w:rsid w:val="007D0DF1"/>
    <w:rsid w:val="007D3E58"/>
    <w:rsid w:val="007D6733"/>
    <w:rsid w:val="007E19B7"/>
    <w:rsid w:val="007E1DAF"/>
    <w:rsid w:val="007E21F9"/>
    <w:rsid w:val="007E6B7C"/>
    <w:rsid w:val="007F05AE"/>
    <w:rsid w:val="007F2E53"/>
    <w:rsid w:val="007F6579"/>
    <w:rsid w:val="008009C7"/>
    <w:rsid w:val="00801607"/>
    <w:rsid w:val="008026FF"/>
    <w:rsid w:val="0081231C"/>
    <w:rsid w:val="0081477C"/>
    <w:rsid w:val="00817C12"/>
    <w:rsid w:val="00826996"/>
    <w:rsid w:val="00827CEC"/>
    <w:rsid w:val="00830859"/>
    <w:rsid w:val="00830D49"/>
    <w:rsid w:val="00831622"/>
    <w:rsid w:val="0083302D"/>
    <w:rsid w:val="008429A7"/>
    <w:rsid w:val="00847ABF"/>
    <w:rsid w:val="008505D8"/>
    <w:rsid w:val="00854D0C"/>
    <w:rsid w:val="0085739E"/>
    <w:rsid w:val="0086241F"/>
    <w:rsid w:val="00862927"/>
    <w:rsid w:val="00863C66"/>
    <w:rsid w:val="00865278"/>
    <w:rsid w:val="008667B1"/>
    <w:rsid w:val="008779B6"/>
    <w:rsid w:val="00881963"/>
    <w:rsid w:val="00887435"/>
    <w:rsid w:val="00887858"/>
    <w:rsid w:val="00893E42"/>
    <w:rsid w:val="008949C8"/>
    <w:rsid w:val="008969A4"/>
    <w:rsid w:val="008A1980"/>
    <w:rsid w:val="008A3675"/>
    <w:rsid w:val="008B4605"/>
    <w:rsid w:val="008B5416"/>
    <w:rsid w:val="008B5DC8"/>
    <w:rsid w:val="008C0E82"/>
    <w:rsid w:val="008C17D5"/>
    <w:rsid w:val="008C61D6"/>
    <w:rsid w:val="008D2152"/>
    <w:rsid w:val="008D3CF9"/>
    <w:rsid w:val="008D4122"/>
    <w:rsid w:val="008D4E9B"/>
    <w:rsid w:val="008D6986"/>
    <w:rsid w:val="008D7A7F"/>
    <w:rsid w:val="008F060A"/>
    <w:rsid w:val="008F3745"/>
    <w:rsid w:val="00900737"/>
    <w:rsid w:val="00902D96"/>
    <w:rsid w:val="00904FE4"/>
    <w:rsid w:val="0090749E"/>
    <w:rsid w:val="00910E3A"/>
    <w:rsid w:val="00914C5A"/>
    <w:rsid w:val="009158EE"/>
    <w:rsid w:val="009164B1"/>
    <w:rsid w:val="00920159"/>
    <w:rsid w:val="009209C0"/>
    <w:rsid w:val="00920D83"/>
    <w:rsid w:val="009215D0"/>
    <w:rsid w:val="00922FCA"/>
    <w:rsid w:val="00924C4A"/>
    <w:rsid w:val="009271D1"/>
    <w:rsid w:val="009378A2"/>
    <w:rsid w:val="00941C65"/>
    <w:rsid w:val="009429D5"/>
    <w:rsid w:val="009469E5"/>
    <w:rsid w:val="00953FAC"/>
    <w:rsid w:val="0095514E"/>
    <w:rsid w:val="0096238A"/>
    <w:rsid w:val="0096481E"/>
    <w:rsid w:val="009744BB"/>
    <w:rsid w:val="009814D2"/>
    <w:rsid w:val="009818FF"/>
    <w:rsid w:val="00981A46"/>
    <w:rsid w:val="00983ECB"/>
    <w:rsid w:val="00984DAD"/>
    <w:rsid w:val="00986791"/>
    <w:rsid w:val="00986E13"/>
    <w:rsid w:val="00986F74"/>
    <w:rsid w:val="00992255"/>
    <w:rsid w:val="009924F2"/>
    <w:rsid w:val="009939A4"/>
    <w:rsid w:val="009952FB"/>
    <w:rsid w:val="00995829"/>
    <w:rsid w:val="009A26D2"/>
    <w:rsid w:val="009A7B76"/>
    <w:rsid w:val="009A7BB3"/>
    <w:rsid w:val="009B449C"/>
    <w:rsid w:val="009B6683"/>
    <w:rsid w:val="009C1007"/>
    <w:rsid w:val="009C7911"/>
    <w:rsid w:val="009D0B01"/>
    <w:rsid w:val="009D1610"/>
    <w:rsid w:val="009D6077"/>
    <w:rsid w:val="009D77AC"/>
    <w:rsid w:val="009E1DF7"/>
    <w:rsid w:val="009E2023"/>
    <w:rsid w:val="009E2084"/>
    <w:rsid w:val="009E63AF"/>
    <w:rsid w:val="009E6A86"/>
    <w:rsid w:val="009F6069"/>
    <w:rsid w:val="00A0354B"/>
    <w:rsid w:val="00A04A12"/>
    <w:rsid w:val="00A06645"/>
    <w:rsid w:val="00A07BA0"/>
    <w:rsid w:val="00A1164A"/>
    <w:rsid w:val="00A21924"/>
    <w:rsid w:val="00A21D3D"/>
    <w:rsid w:val="00A22606"/>
    <w:rsid w:val="00A22661"/>
    <w:rsid w:val="00A254BF"/>
    <w:rsid w:val="00A30426"/>
    <w:rsid w:val="00A34039"/>
    <w:rsid w:val="00A47DE8"/>
    <w:rsid w:val="00A5271A"/>
    <w:rsid w:val="00A53D2C"/>
    <w:rsid w:val="00A55C7C"/>
    <w:rsid w:val="00A5700B"/>
    <w:rsid w:val="00A57E49"/>
    <w:rsid w:val="00A62137"/>
    <w:rsid w:val="00A65DB7"/>
    <w:rsid w:val="00A66563"/>
    <w:rsid w:val="00A679B4"/>
    <w:rsid w:val="00A72E85"/>
    <w:rsid w:val="00A80ECF"/>
    <w:rsid w:val="00A85263"/>
    <w:rsid w:val="00A92B8E"/>
    <w:rsid w:val="00A9436B"/>
    <w:rsid w:val="00AA0141"/>
    <w:rsid w:val="00AA2991"/>
    <w:rsid w:val="00AA2A04"/>
    <w:rsid w:val="00AA3311"/>
    <w:rsid w:val="00AB2F1C"/>
    <w:rsid w:val="00AB5AB3"/>
    <w:rsid w:val="00AC23C9"/>
    <w:rsid w:val="00AC31D8"/>
    <w:rsid w:val="00AD235F"/>
    <w:rsid w:val="00AD35D1"/>
    <w:rsid w:val="00AD530C"/>
    <w:rsid w:val="00AE7D00"/>
    <w:rsid w:val="00AF03B9"/>
    <w:rsid w:val="00AF75F1"/>
    <w:rsid w:val="00B04249"/>
    <w:rsid w:val="00B145A0"/>
    <w:rsid w:val="00B23A1B"/>
    <w:rsid w:val="00B24C72"/>
    <w:rsid w:val="00B2507C"/>
    <w:rsid w:val="00B25621"/>
    <w:rsid w:val="00B272A0"/>
    <w:rsid w:val="00B342BC"/>
    <w:rsid w:val="00B347D0"/>
    <w:rsid w:val="00B34DC7"/>
    <w:rsid w:val="00B40B1D"/>
    <w:rsid w:val="00B55C29"/>
    <w:rsid w:val="00B566B5"/>
    <w:rsid w:val="00B56EAC"/>
    <w:rsid w:val="00B63086"/>
    <w:rsid w:val="00B63ED6"/>
    <w:rsid w:val="00B65B5D"/>
    <w:rsid w:val="00B74642"/>
    <w:rsid w:val="00B750FD"/>
    <w:rsid w:val="00B76145"/>
    <w:rsid w:val="00B76A9E"/>
    <w:rsid w:val="00B76B4F"/>
    <w:rsid w:val="00B772B1"/>
    <w:rsid w:val="00B809E0"/>
    <w:rsid w:val="00B85238"/>
    <w:rsid w:val="00B8566F"/>
    <w:rsid w:val="00B870B8"/>
    <w:rsid w:val="00B910D4"/>
    <w:rsid w:val="00B948F3"/>
    <w:rsid w:val="00B95590"/>
    <w:rsid w:val="00BA15F0"/>
    <w:rsid w:val="00BA6293"/>
    <w:rsid w:val="00BA6E34"/>
    <w:rsid w:val="00BA769D"/>
    <w:rsid w:val="00BB6404"/>
    <w:rsid w:val="00BB7E73"/>
    <w:rsid w:val="00BC1C24"/>
    <w:rsid w:val="00BC1FA8"/>
    <w:rsid w:val="00BC63A4"/>
    <w:rsid w:val="00BC6638"/>
    <w:rsid w:val="00BD3147"/>
    <w:rsid w:val="00BE0281"/>
    <w:rsid w:val="00BE27DA"/>
    <w:rsid w:val="00BE6FF3"/>
    <w:rsid w:val="00BE7D25"/>
    <w:rsid w:val="00BF2D57"/>
    <w:rsid w:val="00C00E3E"/>
    <w:rsid w:val="00C02739"/>
    <w:rsid w:val="00C0306A"/>
    <w:rsid w:val="00C03A7A"/>
    <w:rsid w:val="00C057DC"/>
    <w:rsid w:val="00C10BB0"/>
    <w:rsid w:val="00C22B3E"/>
    <w:rsid w:val="00C253C5"/>
    <w:rsid w:val="00C27C5B"/>
    <w:rsid w:val="00C3222D"/>
    <w:rsid w:val="00C32241"/>
    <w:rsid w:val="00C35079"/>
    <w:rsid w:val="00C4568C"/>
    <w:rsid w:val="00C45DD9"/>
    <w:rsid w:val="00C511DB"/>
    <w:rsid w:val="00C5616D"/>
    <w:rsid w:val="00C626E5"/>
    <w:rsid w:val="00C6369C"/>
    <w:rsid w:val="00C63E96"/>
    <w:rsid w:val="00C64A32"/>
    <w:rsid w:val="00C670D8"/>
    <w:rsid w:val="00C73950"/>
    <w:rsid w:val="00C81E45"/>
    <w:rsid w:val="00C82869"/>
    <w:rsid w:val="00C84A27"/>
    <w:rsid w:val="00C85A26"/>
    <w:rsid w:val="00C85E39"/>
    <w:rsid w:val="00C9062A"/>
    <w:rsid w:val="00C91904"/>
    <w:rsid w:val="00C9199C"/>
    <w:rsid w:val="00C92C0F"/>
    <w:rsid w:val="00C92F48"/>
    <w:rsid w:val="00C9738F"/>
    <w:rsid w:val="00CA1350"/>
    <w:rsid w:val="00CA1E01"/>
    <w:rsid w:val="00CA4C15"/>
    <w:rsid w:val="00CA6194"/>
    <w:rsid w:val="00CA7734"/>
    <w:rsid w:val="00CB0280"/>
    <w:rsid w:val="00CB3DB2"/>
    <w:rsid w:val="00CB43A3"/>
    <w:rsid w:val="00CB4D51"/>
    <w:rsid w:val="00CB74E5"/>
    <w:rsid w:val="00CB7D3D"/>
    <w:rsid w:val="00CC3872"/>
    <w:rsid w:val="00CC56B5"/>
    <w:rsid w:val="00CD07BD"/>
    <w:rsid w:val="00CD1693"/>
    <w:rsid w:val="00CD179D"/>
    <w:rsid w:val="00CD561A"/>
    <w:rsid w:val="00CD6D2E"/>
    <w:rsid w:val="00CE241E"/>
    <w:rsid w:val="00CF2D9F"/>
    <w:rsid w:val="00CF4905"/>
    <w:rsid w:val="00CF71A4"/>
    <w:rsid w:val="00CF73E8"/>
    <w:rsid w:val="00D009FA"/>
    <w:rsid w:val="00D04273"/>
    <w:rsid w:val="00D06528"/>
    <w:rsid w:val="00D1126B"/>
    <w:rsid w:val="00D115BE"/>
    <w:rsid w:val="00D21425"/>
    <w:rsid w:val="00D22A6C"/>
    <w:rsid w:val="00D24102"/>
    <w:rsid w:val="00D2743A"/>
    <w:rsid w:val="00D36E99"/>
    <w:rsid w:val="00D40388"/>
    <w:rsid w:val="00D41753"/>
    <w:rsid w:val="00D41D10"/>
    <w:rsid w:val="00D572AF"/>
    <w:rsid w:val="00D57FBF"/>
    <w:rsid w:val="00D60705"/>
    <w:rsid w:val="00D61520"/>
    <w:rsid w:val="00D62434"/>
    <w:rsid w:val="00D6357A"/>
    <w:rsid w:val="00D64946"/>
    <w:rsid w:val="00D64A36"/>
    <w:rsid w:val="00D66976"/>
    <w:rsid w:val="00D67A22"/>
    <w:rsid w:val="00D722D5"/>
    <w:rsid w:val="00D75E97"/>
    <w:rsid w:val="00D77158"/>
    <w:rsid w:val="00D80526"/>
    <w:rsid w:val="00D8159C"/>
    <w:rsid w:val="00D9345D"/>
    <w:rsid w:val="00D93A19"/>
    <w:rsid w:val="00D9531F"/>
    <w:rsid w:val="00D96DD4"/>
    <w:rsid w:val="00DA07D3"/>
    <w:rsid w:val="00DA1E62"/>
    <w:rsid w:val="00DA2FBC"/>
    <w:rsid w:val="00DB21D8"/>
    <w:rsid w:val="00DB2805"/>
    <w:rsid w:val="00DB5B68"/>
    <w:rsid w:val="00DB7BE2"/>
    <w:rsid w:val="00DC3086"/>
    <w:rsid w:val="00DC3EED"/>
    <w:rsid w:val="00DC5B6C"/>
    <w:rsid w:val="00DC6593"/>
    <w:rsid w:val="00DC79CC"/>
    <w:rsid w:val="00DD399D"/>
    <w:rsid w:val="00DD5FB9"/>
    <w:rsid w:val="00DE4504"/>
    <w:rsid w:val="00DE4721"/>
    <w:rsid w:val="00DE5787"/>
    <w:rsid w:val="00DF12B0"/>
    <w:rsid w:val="00DF6472"/>
    <w:rsid w:val="00DF6B72"/>
    <w:rsid w:val="00DF709C"/>
    <w:rsid w:val="00E01B30"/>
    <w:rsid w:val="00E07C62"/>
    <w:rsid w:val="00E1004E"/>
    <w:rsid w:val="00E10775"/>
    <w:rsid w:val="00E116A2"/>
    <w:rsid w:val="00E11AE0"/>
    <w:rsid w:val="00E11F29"/>
    <w:rsid w:val="00E172B7"/>
    <w:rsid w:val="00E17685"/>
    <w:rsid w:val="00E31E2C"/>
    <w:rsid w:val="00E34A5A"/>
    <w:rsid w:val="00E50004"/>
    <w:rsid w:val="00E50304"/>
    <w:rsid w:val="00E54E94"/>
    <w:rsid w:val="00E579D6"/>
    <w:rsid w:val="00E57E2F"/>
    <w:rsid w:val="00E66D87"/>
    <w:rsid w:val="00E707CD"/>
    <w:rsid w:val="00E763F9"/>
    <w:rsid w:val="00E80650"/>
    <w:rsid w:val="00E82061"/>
    <w:rsid w:val="00E83F5A"/>
    <w:rsid w:val="00E84EF2"/>
    <w:rsid w:val="00E86A12"/>
    <w:rsid w:val="00E90E23"/>
    <w:rsid w:val="00E926A7"/>
    <w:rsid w:val="00E9385A"/>
    <w:rsid w:val="00E93D90"/>
    <w:rsid w:val="00E9637E"/>
    <w:rsid w:val="00EA11EE"/>
    <w:rsid w:val="00EA13A7"/>
    <w:rsid w:val="00EA45CC"/>
    <w:rsid w:val="00EA5178"/>
    <w:rsid w:val="00EB0F36"/>
    <w:rsid w:val="00EB233E"/>
    <w:rsid w:val="00EB2D6F"/>
    <w:rsid w:val="00EB2EC3"/>
    <w:rsid w:val="00EB72AB"/>
    <w:rsid w:val="00EC452F"/>
    <w:rsid w:val="00EC4AD9"/>
    <w:rsid w:val="00EC6A32"/>
    <w:rsid w:val="00ED0B33"/>
    <w:rsid w:val="00ED1B45"/>
    <w:rsid w:val="00ED1F96"/>
    <w:rsid w:val="00ED2F6D"/>
    <w:rsid w:val="00ED348F"/>
    <w:rsid w:val="00ED4837"/>
    <w:rsid w:val="00ED7583"/>
    <w:rsid w:val="00EE1BED"/>
    <w:rsid w:val="00EF1D48"/>
    <w:rsid w:val="00EF3A42"/>
    <w:rsid w:val="00F07A64"/>
    <w:rsid w:val="00F12D57"/>
    <w:rsid w:val="00F176A7"/>
    <w:rsid w:val="00F200D2"/>
    <w:rsid w:val="00F204BF"/>
    <w:rsid w:val="00F2177E"/>
    <w:rsid w:val="00F2478C"/>
    <w:rsid w:val="00F2634E"/>
    <w:rsid w:val="00F41686"/>
    <w:rsid w:val="00F425BA"/>
    <w:rsid w:val="00F44CAC"/>
    <w:rsid w:val="00F450B7"/>
    <w:rsid w:val="00F45EC2"/>
    <w:rsid w:val="00F52C27"/>
    <w:rsid w:val="00F60C62"/>
    <w:rsid w:val="00F64085"/>
    <w:rsid w:val="00F711E2"/>
    <w:rsid w:val="00F750A3"/>
    <w:rsid w:val="00F77E0D"/>
    <w:rsid w:val="00F81173"/>
    <w:rsid w:val="00F82129"/>
    <w:rsid w:val="00F82EDF"/>
    <w:rsid w:val="00F8575D"/>
    <w:rsid w:val="00F8625D"/>
    <w:rsid w:val="00F90F5B"/>
    <w:rsid w:val="00F9150B"/>
    <w:rsid w:val="00F96158"/>
    <w:rsid w:val="00F97A89"/>
    <w:rsid w:val="00FA3F04"/>
    <w:rsid w:val="00FA6353"/>
    <w:rsid w:val="00FB0F0A"/>
    <w:rsid w:val="00FB1570"/>
    <w:rsid w:val="00FB36E1"/>
    <w:rsid w:val="00FB4039"/>
    <w:rsid w:val="00FB45F7"/>
    <w:rsid w:val="00FC2525"/>
    <w:rsid w:val="00FC6793"/>
    <w:rsid w:val="00FC776F"/>
    <w:rsid w:val="00FD1D7C"/>
    <w:rsid w:val="00FD1D90"/>
    <w:rsid w:val="00FD25D8"/>
    <w:rsid w:val="00FD34F9"/>
    <w:rsid w:val="00FE0C00"/>
    <w:rsid w:val="00FE2126"/>
    <w:rsid w:val="00FE24B6"/>
    <w:rsid w:val="00FE6085"/>
    <w:rsid w:val="00FE621F"/>
    <w:rsid w:val="00FF0676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2CF3"/>
  <w15:chartTrackingRefBased/>
  <w15:docId w15:val="{13459E7E-B378-4DFC-B0B6-68772F3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30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5DB"/>
    <w:rPr>
      <w:lang w:val="pl-PL"/>
    </w:rPr>
  </w:style>
  <w:style w:type="character" w:styleId="Odwoanieprzypisudolnego">
    <w:name w:val="footnote reference"/>
    <w:uiPriority w:val="99"/>
    <w:semiHidden/>
    <w:rsid w:val="004125DB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125DB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A62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A1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D0D"/>
    <w:rPr>
      <w:sz w:val="20"/>
      <w:szCs w:val="20"/>
      <w:lang w:val="pl-PL"/>
    </w:rPr>
  </w:style>
  <w:style w:type="paragraph" w:customStyle="1" w:styleId="USTustnpkodeksu">
    <w:name w:val="UST(§) – ust. (§ np. kodeksu)"/>
    <w:basedOn w:val="Normalny"/>
    <w:uiPriority w:val="12"/>
    <w:qFormat/>
    <w:rsid w:val="00084D0D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84D0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5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599"/>
    <w:rPr>
      <w:b/>
      <w:bCs/>
      <w:sz w:val="20"/>
      <w:szCs w:val="20"/>
      <w:lang w:val="pl-PL"/>
    </w:rPr>
  </w:style>
  <w:style w:type="character" w:customStyle="1" w:styleId="Ppogrubienie">
    <w:name w:val="_P_ – pogrubienie"/>
    <w:basedOn w:val="Domylnaczcionkaakapitu"/>
    <w:uiPriority w:val="1"/>
    <w:qFormat/>
    <w:rsid w:val="00D9345D"/>
    <w:rPr>
      <w:b/>
    </w:rPr>
  </w:style>
  <w:style w:type="character" w:styleId="Hipercze">
    <w:name w:val="Hyperlink"/>
    <w:basedOn w:val="Domylnaczcionkaakapitu"/>
    <w:uiPriority w:val="99"/>
    <w:unhideWhenUsed/>
    <w:rsid w:val="003E08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10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A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A1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A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630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7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1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9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5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8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4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696B-A4D9-45D0-9D89-F8E5CB5C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3382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MK</dc:creator>
  <cp:keywords/>
  <dc:description/>
  <cp:lastModifiedBy>MOŁDAWSKA Agnieszka</cp:lastModifiedBy>
  <cp:revision>4</cp:revision>
  <cp:lastPrinted>2020-05-06T17:21:00Z</cp:lastPrinted>
  <dcterms:created xsi:type="dcterms:W3CDTF">2021-06-14T10:27:00Z</dcterms:created>
  <dcterms:modified xsi:type="dcterms:W3CDTF">2021-06-14T12:14:00Z</dcterms:modified>
</cp:coreProperties>
</file>