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E7841" w14:textId="77777777" w:rsidR="004073C7" w:rsidRDefault="004073C7" w:rsidP="00D945C6">
      <w:pPr>
        <w:pStyle w:val="Tekstpodstawowy4"/>
        <w:shd w:val="clear" w:color="auto" w:fill="auto"/>
        <w:spacing w:after="0" w:line="240" w:lineRule="auto"/>
        <w:ind w:firstLine="0"/>
        <w:jc w:val="center"/>
        <w:rPr>
          <w:b/>
          <w:sz w:val="24"/>
          <w:szCs w:val="24"/>
        </w:rPr>
      </w:pPr>
      <w:bookmarkStart w:id="0" w:name="_GoBack"/>
      <w:bookmarkEnd w:id="0"/>
    </w:p>
    <w:p w14:paraId="0268476F" w14:textId="77777777" w:rsidR="004073C7" w:rsidRDefault="004073C7" w:rsidP="00D945C6">
      <w:pPr>
        <w:pStyle w:val="Tekstpodstawowy4"/>
        <w:shd w:val="clear" w:color="auto" w:fill="auto"/>
        <w:spacing w:after="0" w:line="240" w:lineRule="auto"/>
        <w:ind w:firstLine="0"/>
        <w:jc w:val="center"/>
        <w:rPr>
          <w:b/>
          <w:sz w:val="24"/>
          <w:szCs w:val="24"/>
        </w:rPr>
      </w:pPr>
    </w:p>
    <w:p w14:paraId="505E874C" w14:textId="3659A7D6" w:rsidR="00DA6EC6" w:rsidRDefault="00002927" w:rsidP="00D945C6">
      <w:pPr>
        <w:pStyle w:val="Tekstpodstawowy4"/>
        <w:shd w:val="clear" w:color="auto" w:fill="auto"/>
        <w:spacing w:after="0" w:line="240" w:lineRule="auto"/>
        <w:ind w:firstLine="0"/>
        <w:jc w:val="center"/>
        <w:rPr>
          <w:b/>
          <w:sz w:val="24"/>
          <w:szCs w:val="24"/>
        </w:rPr>
      </w:pPr>
      <w:r w:rsidRPr="00D945C6">
        <w:rPr>
          <w:b/>
          <w:sz w:val="24"/>
          <w:szCs w:val="24"/>
        </w:rPr>
        <w:t>U</w:t>
      </w:r>
      <w:r w:rsidR="004073C7">
        <w:rPr>
          <w:b/>
          <w:sz w:val="24"/>
          <w:szCs w:val="24"/>
        </w:rPr>
        <w:t xml:space="preserve"> </w:t>
      </w:r>
      <w:r w:rsidRPr="00D945C6">
        <w:rPr>
          <w:b/>
          <w:sz w:val="24"/>
          <w:szCs w:val="24"/>
        </w:rPr>
        <w:t>Z</w:t>
      </w:r>
      <w:r w:rsidR="004073C7">
        <w:rPr>
          <w:b/>
          <w:sz w:val="24"/>
          <w:szCs w:val="24"/>
        </w:rPr>
        <w:t xml:space="preserve"> </w:t>
      </w:r>
      <w:r w:rsidRPr="00D945C6">
        <w:rPr>
          <w:b/>
          <w:sz w:val="24"/>
          <w:szCs w:val="24"/>
        </w:rPr>
        <w:t>A</w:t>
      </w:r>
      <w:r w:rsidR="004073C7">
        <w:rPr>
          <w:b/>
          <w:sz w:val="24"/>
          <w:szCs w:val="24"/>
        </w:rPr>
        <w:t xml:space="preserve"> </w:t>
      </w:r>
      <w:r w:rsidRPr="00D945C6">
        <w:rPr>
          <w:b/>
          <w:sz w:val="24"/>
          <w:szCs w:val="24"/>
        </w:rPr>
        <w:t>S</w:t>
      </w:r>
      <w:r w:rsidR="004073C7">
        <w:rPr>
          <w:b/>
          <w:sz w:val="24"/>
          <w:szCs w:val="24"/>
        </w:rPr>
        <w:t xml:space="preserve"> </w:t>
      </w:r>
      <w:r w:rsidRPr="00D945C6">
        <w:rPr>
          <w:b/>
          <w:sz w:val="24"/>
          <w:szCs w:val="24"/>
        </w:rPr>
        <w:t>A</w:t>
      </w:r>
      <w:r w:rsidR="004073C7">
        <w:rPr>
          <w:b/>
          <w:sz w:val="24"/>
          <w:szCs w:val="24"/>
        </w:rPr>
        <w:t xml:space="preserve"> </w:t>
      </w:r>
      <w:r w:rsidRPr="00D945C6">
        <w:rPr>
          <w:b/>
          <w:sz w:val="24"/>
          <w:szCs w:val="24"/>
        </w:rPr>
        <w:t>D</w:t>
      </w:r>
      <w:r w:rsidR="004073C7">
        <w:rPr>
          <w:b/>
          <w:sz w:val="24"/>
          <w:szCs w:val="24"/>
        </w:rPr>
        <w:t xml:space="preserve"> </w:t>
      </w:r>
      <w:r w:rsidRPr="00D945C6">
        <w:rPr>
          <w:b/>
          <w:sz w:val="24"/>
          <w:szCs w:val="24"/>
        </w:rPr>
        <w:t>N</w:t>
      </w:r>
      <w:r w:rsidR="004073C7">
        <w:rPr>
          <w:b/>
          <w:sz w:val="24"/>
          <w:szCs w:val="24"/>
        </w:rPr>
        <w:t xml:space="preserve"> </w:t>
      </w:r>
      <w:r w:rsidRPr="00D945C6">
        <w:rPr>
          <w:b/>
          <w:sz w:val="24"/>
          <w:szCs w:val="24"/>
        </w:rPr>
        <w:t>I</w:t>
      </w:r>
      <w:r w:rsidR="004073C7">
        <w:rPr>
          <w:b/>
          <w:sz w:val="24"/>
          <w:szCs w:val="24"/>
        </w:rPr>
        <w:t xml:space="preserve"> </w:t>
      </w:r>
      <w:r w:rsidRPr="00D945C6">
        <w:rPr>
          <w:b/>
          <w:sz w:val="24"/>
          <w:szCs w:val="24"/>
        </w:rPr>
        <w:t>E</w:t>
      </w:r>
      <w:r w:rsidR="004073C7">
        <w:rPr>
          <w:b/>
          <w:sz w:val="24"/>
          <w:szCs w:val="24"/>
        </w:rPr>
        <w:t xml:space="preserve"> </w:t>
      </w:r>
      <w:r w:rsidRPr="00D945C6">
        <w:rPr>
          <w:b/>
          <w:sz w:val="24"/>
          <w:szCs w:val="24"/>
        </w:rPr>
        <w:t>N</w:t>
      </w:r>
      <w:r w:rsidR="004073C7">
        <w:rPr>
          <w:b/>
          <w:sz w:val="24"/>
          <w:szCs w:val="24"/>
        </w:rPr>
        <w:t xml:space="preserve"> </w:t>
      </w:r>
      <w:r w:rsidRPr="00D945C6">
        <w:rPr>
          <w:b/>
          <w:sz w:val="24"/>
          <w:szCs w:val="24"/>
        </w:rPr>
        <w:t>I</w:t>
      </w:r>
      <w:r w:rsidR="004073C7">
        <w:rPr>
          <w:b/>
          <w:sz w:val="24"/>
          <w:szCs w:val="24"/>
        </w:rPr>
        <w:t xml:space="preserve"> </w:t>
      </w:r>
      <w:r w:rsidRPr="00D945C6">
        <w:rPr>
          <w:b/>
          <w:sz w:val="24"/>
          <w:szCs w:val="24"/>
        </w:rPr>
        <w:t>E</w:t>
      </w:r>
    </w:p>
    <w:p w14:paraId="75891D6D" w14:textId="539F1281" w:rsidR="004073C7" w:rsidRPr="00D945C6" w:rsidRDefault="006F3F4E" w:rsidP="00D945C6">
      <w:pPr>
        <w:pStyle w:val="Tekstpodstawowy4"/>
        <w:shd w:val="clear" w:color="auto" w:fill="auto"/>
        <w:spacing w:after="0" w:line="240" w:lineRule="auto"/>
        <w:ind w:firstLine="0"/>
        <w:jc w:val="center"/>
        <w:rPr>
          <w:b/>
          <w:sz w:val="24"/>
          <w:szCs w:val="24"/>
        </w:rPr>
      </w:pPr>
      <w:r>
        <w:rPr>
          <w:b/>
          <w:sz w:val="24"/>
          <w:szCs w:val="24"/>
        </w:rPr>
        <w:t xml:space="preserve">  </w:t>
      </w:r>
    </w:p>
    <w:p w14:paraId="7AEB0A2C" w14:textId="1CA43D07" w:rsidR="00002927" w:rsidRPr="00D945C6" w:rsidRDefault="006062F5" w:rsidP="00D945C6">
      <w:pPr>
        <w:pStyle w:val="Tekstpodstawowy4"/>
        <w:shd w:val="clear" w:color="auto" w:fill="auto"/>
        <w:spacing w:after="0" w:line="240" w:lineRule="auto"/>
        <w:ind w:firstLine="0"/>
        <w:jc w:val="center"/>
        <w:rPr>
          <w:b/>
          <w:sz w:val="24"/>
          <w:szCs w:val="24"/>
        </w:rPr>
      </w:pPr>
      <w:r w:rsidRPr="00D945C6">
        <w:rPr>
          <w:b/>
          <w:sz w:val="24"/>
          <w:szCs w:val="24"/>
        </w:rPr>
        <w:t xml:space="preserve">   </w:t>
      </w:r>
    </w:p>
    <w:p w14:paraId="136D1ECF" w14:textId="59C86A0C" w:rsidR="004073C7" w:rsidRPr="004073C7" w:rsidRDefault="004073C7" w:rsidP="00A823E3">
      <w:pPr>
        <w:pStyle w:val="Tekstpodstawowy4"/>
        <w:shd w:val="clear" w:color="auto" w:fill="auto"/>
        <w:spacing w:after="0" w:line="240" w:lineRule="auto"/>
        <w:ind w:right="23" w:firstLine="0"/>
        <w:jc w:val="both"/>
        <w:rPr>
          <w:sz w:val="24"/>
          <w:szCs w:val="24"/>
          <w:lang w:eastAsia="pl-PL"/>
        </w:rPr>
      </w:pPr>
      <w:r w:rsidRPr="004073C7">
        <w:rPr>
          <w:sz w:val="24"/>
          <w:szCs w:val="24"/>
        </w:rPr>
        <w:t xml:space="preserve">Konieczność wydania nowego rozporządzenia Ministra Finansów, Funduszy i Polityki Regionalnej w sprawie dodatkowych sprawozdań finansowych i statycznych zakładów ubezpieczeń i zakładów reasekuracji, które zastąpi </w:t>
      </w:r>
      <w:r w:rsidR="00A823E3">
        <w:rPr>
          <w:sz w:val="24"/>
          <w:szCs w:val="24"/>
        </w:rPr>
        <w:t>obecne</w:t>
      </w:r>
      <w:r w:rsidRPr="004073C7">
        <w:rPr>
          <w:sz w:val="24"/>
          <w:szCs w:val="24"/>
        </w:rPr>
        <w:t xml:space="preserve"> rozporządzenie Ministra Finansów z dnia 29 kwietnia 2016 r. w sprawie dodatkowych sprawozdań finansowych i statycznych zakładów ubezpieczeń i zakładów reasekuracji (Dz. U. z 2018 r. poz. 392 oraz z 2019 r. poz. 1187) jest odpowiedzią na wnioski wynikające z doświadczeń Komisji Nadzoru Finansowego</w:t>
      </w:r>
      <w:r w:rsidR="00A823E3">
        <w:rPr>
          <w:sz w:val="24"/>
          <w:szCs w:val="24"/>
        </w:rPr>
        <w:t>,</w:t>
      </w:r>
      <w:r w:rsidRPr="004073C7">
        <w:rPr>
          <w:sz w:val="24"/>
          <w:szCs w:val="24"/>
        </w:rPr>
        <w:t xml:space="preserve"> (KNF) sprawującej nadzór nad działalnością zakładów ubezpieczeń i zakładów  reasekuracji</w:t>
      </w:r>
      <w:r w:rsidRPr="004073C7">
        <w:rPr>
          <w:sz w:val="24"/>
          <w:szCs w:val="24"/>
          <w:lang w:eastAsia="pl-PL"/>
        </w:rPr>
        <w:t xml:space="preserve">. </w:t>
      </w:r>
    </w:p>
    <w:p w14:paraId="78994352" w14:textId="77777777" w:rsidR="00A823E3" w:rsidRDefault="00A823E3" w:rsidP="004073C7">
      <w:pPr>
        <w:pStyle w:val="Tekstpodstawowywcity2"/>
        <w:spacing w:after="0" w:line="240" w:lineRule="auto"/>
        <w:ind w:left="0"/>
        <w:jc w:val="both"/>
        <w:rPr>
          <w:rFonts w:ascii="Times New Roman" w:hAnsi="Times New Roman" w:cs="Times New Roman"/>
          <w:sz w:val="24"/>
          <w:szCs w:val="24"/>
          <w:lang w:eastAsia="pl-PL"/>
        </w:rPr>
      </w:pPr>
    </w:p>
    <w:p w14:paraId="5C43A917" w14:textId="22F03C5A" w:rsidR="004073C7" w:rsidRDefault="004073C7" w:rsidP="004073C7">
      <w:pPr>
        <w:pStyle w:val="Tekstpodstawowywcity2"/>
        <w:spacing w:after="0" w:line="240" w:lineRule="auto"/>
        <w:ind w:left="0"/>
        <w:jc w:val="both"/>
        <w:rPr>
          <w:rFonts w:ascii="Times New Roman" w:hAnsi="Times New Roman" w:cs="Times New Roman"/>
          <w:sz w:val="24"/>
          <w:szCs w:val="24"/>
          <w:lang w:eastAsia="pl-PL"/>
        </w:rPr>
      </w:pPr>
      <w:r w:rsidRPr="004073C7">
        <w:rPr>
          <w:rFonts w:ascii="Times New Roman" w:hAnsi="Times New Roman" w:cs="Times New Roman"/>
          <w:sz w:val="24"/>
          <w:szCs w:val="24"/>
          <w:lang w:eastAsia="pl-PL"/>
        </w:rPr>
        <w:t xml:space="preserve">Nadzór nad krajowymi zakładami ubezpieczeń i zakładami reasekuracji jest sprawowany przez organ nadzoru na bazie oceny ryzyka. </w:t>
      </w:r>
      <w:r w:rsidRPr="004073C7">
        <w:rPr>
          <w:rFonts w:ascii="Times New Roman" w:hAnsi="Times New Roman" w:cs="Times New Roman"/>
          <w:sz w:val="24"/>
          <w:szCs w:val="24"/>
        </w:rPr>
        <w:t>Zgodnie z art. 335 ust. 4 pkt 1 ustawy z dnia 11 września 2015 r. o działalności ubezpieczeniowej i reasekuracyjnej (Dz. U. z 2020 r. poz. 895,  z późn. zm.), dalej „ustawa</w:t>
      </w:r>
      <w:r w:rsidR="00A823E3">
        <w:rPr>
          <w:rFonts w:ascii="Times New Roman" w:hAnsi="Times New Roman" w:cs="Times New Roman"/>
          <w:sz w:val="24"/>
          <w:szCs w:val="24"/>
        </w:rPr>
        <w:t>”</w:t>
      </w:r>
      <w:r w:rsidRPr="004073C7">
        <w:rPr>
          <w:rFonts w:ascii="Times New Roman" w:hAnsi="Times New Roman" w:cs="Times New Roman"/>
          <w:sz w:val="24"/>
          <w:szCs w:val="24"/>
        </w:rPr>
        <w:t xml:space="preserve">, KNF może żądać od zakładów ubezpieczeń i zakładów reasekuracji przekazywania danych i informacji niezbędnych dla celów nadzoru w określonych okresach. Ma to miejsce w przypadku gdy organ nadzoru identyfikuje konieczność uzyskania szczegółowych informacji </w:t>
      </w:r>
      <w:r w:rsidR="00A823E3">
        <w:rPr>
          <w:rFonts w:ascii="Times New Roman" w:hAnsi="Times New Roman" w:cs="Times New Roman"/>
          <w:sz w:val="24"/>
          <w:szCs w:val="24"/>
        </w:rPr>
        <w:t xml:space="preserve">w </w:t>
      </w:r>
      <w:r w:rsidRPr="004073C7">
        <w:rPr>
          <w:rFonts w:ascii="Times New Roman" w:hAnsi="Times New Roman" w:cs="Times New Roman"/>
          <w:sz w:val="24"/>
          <w:szCs w:val="24"/>
        </w:rPr>
        <w:t>obszarach potencjalnego istotnego ryzyka w działalności zakładu ubezpieczeń i zakładu reasekuracji, nieobjętych bieżącą sprawozdawczością.</w:t>
      </w:r>
      <w:r w:rsidRPr="004073C7">
        <w:rPr>
          <w:rFonts w:ascii="Times New Roman" w:hAnsi="Times New Roman" w:cs="Times New Roman"/>
          <w:sz w:val="24"/>
          <w:szCs w:val="24"/>
          <w:lang w:eastAsia="pl-PL"/>
        </w:rPr>
        <w:t xml:space="preserve"> </w:t>
      </w:r>
    </w:p>
    <w:p w14:paraId="75481D23" w14:textId="77777777" w:rsidR="00A823E3" w:rsidRPr="004073C7" w:rsidRDefault="00A823E3" w:rsidP="004073C7">
      <w:pPr>
        <w:pStyle w:val="Tekstpodstawowywcity2"/>
        <w:spacing w:after="0" w:line="240" w:lineRule="auto"/>
        <w:ind w:left="0"/>
        <w:jc w:val="both"/>
        <w:rPr>
          <w:rFonts w:ascii="Times New Roman" w:hAnsi="Times New Roman" w:cs="Times New Roman"/>
          <w:sz w:val="24"/>
          <w:szCs w:val="24"/>
          <w:lang w:eastAsia="pl-PL"/>
        </w:rPr>
      </w:pPr>
    </w:p>
    <w:p w14:paraId="2ABAB28B" w14:textId="5674590D" w:rsidR="004073C7" w:rsidRPr="004073C7" w:rsidRDefault="004073C7" w:rsidP="004073C7">
      <w:pPr>
        <w:pStyle w:val="Tekstpodstawowy4"/>
        <w:shd w:val="clear" w:color="auto" w:fill="auto"/>
        <w:spacing w:after="0" w:line="240" w:lineRule="auto"/>
        <w:ind w:left="23" w:right="23" w:firstLine="0"/>
        <w:jc w:val="both"/>
        <w:rPr>
          <w:sz w:val="24"/>
          <w:szCs w:val="24"/>
        </w:rPr>
      </w:pPr>
      <w:r w:rsidRPr="004073C7">
        <w:rPr>
          <w:sz w:val="24"/>
          <w:szCs w:val="24"/>
          <w:lang w:eastAsia="pl-PL"/>
        </w:rPr>
        <w:t xml:space="preserve">Praktyka </w:t>
      </w:r>
      <w:r w:rsidRPr="004073C7">
        <w:rPr>
          <w:sz w:val="24"/>
          <w:szCs w:val="24"/>
        </w:rPr>
        <w:t xml:space="preserve">Urzędu KNF wykazała, że przekazywane </w:t>
      </w:r>
      <w:r w:rsidR="00A823E3">
        <w:rPr>
          <w:sz w:val="24"/>
          <w:szCs w:val="24"/>
        </w:rPr>
        <w:t xml:space="preserve">obecnie </w:t>
      </w:r>
      <w:r w:rsidRPr="004073C7">
        <w:rPr>
          <w:sz w:val="24"/>
          <w:szCs w:val="24"/>
        </w:rPr>
        <w:t>dane i informacje nie są wystarczające do sprawowania efektywnego nadzoru nad niektórymi obszarami dz</w:t>
      </w:r>
      <w:r w:rsidR="00A823E3">
        <w:rPr>
          <w:sz w:val="24"/>
          <w:szCs w:val="24"/>
        </w:rPr>
        <w:t>iałalności zakładów ubezpieczeń</w:t>
      </w:r>
      <w:r w:rsidRPr="004073C7">
        <w:rPr>
          <w:sz w:val="24"/>
          <w:szCs w:val="24"/>
        </w:rPr>
        <w:t>. Dotyczy to przede wszystkim:</w:t>
      </w:r>
    </w:p>
    <w:p w14:paraId="57605A82" w14:textId="48893B1D" w:rsidR="004073C7" w:rsidRPr="004073C7" w:rsidRDefault="004073C7" w:rsidP="004073C7">
      <w:pPr>
        <w:pStyle w:val="Tekstpodstawowy4"/>
        <w:numPr>
          <w:ilvl w:val="0"/>
          <w:numId w:val="17"/>
        </w:numPr>
        <w:shd w:val="clear" w:color="auto" w:fill="auto"/>
        <w:spacing w:after="0" w:line="240" w:lineRule="auto"/>
        <w:ind w:right="23"/>
        <w:jc w:val="both"/>
        <w:rPr>
          <w:sz w:val="24"/>
          <w:szCs w:val="24"/>
        </w:rPr>
      </w:pPr>
      <w:r w:rsidRPr="004073C7">
        <w:rPr>
          <w:sz w:val="24"/>
          <w:szCs w:val="24"/>
          <w:lang w:eastAsia="pl-PL"/>
        </w:rPr>
        <w:t xml:space="preserve">danych i informacji o produktach z </w:t>
      </w:r>
      <w:r w:rsidRPr="004073C7">
        <w:rPr>
          <w:sz w:val="24"/>
          <w:szCs w:val="24"/>
        </w:rPr>
        <w:t>ubezpieczeniowymi funduszami kapitałowymi (</w:t>
      </w:r>
      <w:r w:rsidRPr="004073C7">
        <w:rPr>
          <w:sz w:val="24"/>
          <w:szCs w:val="24"/>
          <w:lang w:eastAsia="pl-PL"/>
        </w:rPr>
        <w:t xml:space="preserve">UFK) i </w:t>
      </w:r>
      <w:r w:rsidRPr="004073C7">
        <w:rPr>
          <w:sz w:val="24"/>
          <w:szCs w:val="24"/>
        </w:rPr>
        <w:t>aktywach netto UFK,</w:t>
      </w:r>
    </w:p>
    <w:p w14:paraId="267D092A" w14:textId="7CDA9A88" w:rsidR="004073C7" w:rsidRPr="004073C7" w:rsidRDefault="004073C7" w:rsidP="004073C7">
      <w:pPr>
        <w:pStyle w:val="Tekstpodstawowy4"/>
        <w:numPr>
          <w:ilvl w:val="0"/>
          <w:numId w:val="17"/>
        </w:numPr>
        <w:shd w:val="clear" w:color="auto" w:fill="auto"/>
        <w:spacing w:after="0" w:line="240" w:lineRule="auto"/>
        <w:ind w:right="23"/>
        <w:jc w:val="both"/>
        <w:rPr>
          <w:sz w:val="24"/>
          <w:szCs w:val="24"/>
        </w:rPr>
      </w:pPr>
      <w:r w:rsidRPr="004073C7">
        <w:rPr>
          <w:sz w:val="24"/>
          <w:szCs w:val="24"/>
          <w:lang w:eastAsia="pl-PL"/>
        </w:rPr>
        <w:t>danych s</w:t>
      </w:r>
      <w:r w:rsidRPr="004073C7">
        <w:rPr>
          <w:sz w:val="24"/>
          <w:szCs w:val="24"/>
        </w:rPr>
        <w:t>tatystycznych niezbędnych do monitorowania produktów ubezpieczeniowych innych niż produkty z UFK</w:t>
      </w:r>
      <w:r w:rsidR="00A823E3">
        <w:rPr>
          <w:sz w:val="24"/>
          <w:szCs w:val="24"/>
        </w:rPr>
        <w:t>,</w:t>
      </w:r>
      <w:r w:rsidRPr="004073C7">
        <w:rPr>
          <w:sz w:val="24"/>
          <w:szCs w:val="24"/>
        </w:rPr>
        <w:t xml:space="preserve"> oferowanych przez zakłady ubezpieczeń działu I, według załącznika do ustawy, oraz produktów ubezpieczeniowych oferowanych prze</w:t>
      </w:r>
      <w:r w:rsidR="00A823E3">
        <w:rPr>
          <w:sz w:val="24"/>
          <w:szCs w:val="24"/>
        </w:rPr>
        <w:t>z</w:t>
      </w:r>
      <w:r w:rsidRPr="004073C7">
        <w:rPr>
          <w:sz w:val="24"/>
          <w:szCs w:val="24"/>
        </w:rPr>
        <w:t xml:space="preserve"> zakłady ubezpieczeń działu II, według załącznika do ustawy, przede wszystkim ubezpieczenia odpowiedzialności cywilnej (OC) po</w:t>
      </w:r>
      <w:r w:rsidR="00A823E3">
        <w:rPr>
          <w:sz w:val="24"/>
          <w:szCs w:val="24"/>
        </w:rPr>
        <w:t>siadaczy pojazdów mechanicznych</w:t>
      </w:r>
      <w:r w:rsidRPr="004073C7">
        <w:rPr>
          <w:sz w:val="24"/>
          <w:szCs w:val="24"/>
        </w:rPr>
        <w:t>,</w:t>
      </w:r>
    </w:p>
    <w:p w14:paraId="25D5653A" w14:textId="77777777" w:rsidR="004073C7" w:rsidRPr="004073C7" w:rsidRDefault="004073C7" w:rsidP="004073C7">
      <w:pPr>
        <w:pStyle w:val="Tekstpodstawowy4"/>
        <w:numPr>
          <w:ilvl w:val="0"/>
          <w:numId w:val="17"/>
        </w:numPr>
        <w:shd w:val="clear" w:color="auto" w:fill="auto"/>
        <w:spacing w:after="0" w:line="240" w:lineRule="auto"/>
        <w:ind w:right="23"/>
        <w:jc w:val="both"/>
        <w:rPr>
          <w:sz w:val="24"/>
          <w:szCs w:val="24"/>
        </w:rPr>
      </w:pPr>
      <w:r w:rsidRPr="004073C7">
        <w:rPr>
          <w:sz w:val="24"/>
          <w:szCs w:val="24"/>
          <w:lang w:eastAsia="pl-PL"/>
        </w:rPr>
        <w:t>danych i informacji o współpracy zakładów ubezpieczeń z dystrybutorami ubezpieczeń,</w:t>
      </w:r>
    </w:p>
    <w:p w14:paraId="06993B2A" w14:textId="056FA9F7" w:rsidR="004073C7" w:rsidRDefault="004073C7" w:rsidP="004073C7">
      <w:pPr>
        <w:pStyle w:val="Tekstpodstawowy4"/>
        <w:numPr>
          <w:ilvl w:val="0"/>
          <w:numId w:val="17"/>
        </w:numPr>
        <w:shd w:val="clear" w:color="auto" w:fill="auto"/>
        <w:spacing w:after="0" w:line="240" w:lineRule="auto"/>
        <w:ind w:right="23"/>
        <w:jc w:val="both"/>
        <w:rPr>
          <w:sz w:val="24"/>
          <w:szCs w:val="24"/>
        </w:rPr>
      </w:pPr>
      <w:r w:rsidRPr="004073C7">
        <w:rPr>
          <w:sz w:val="24"/>
          <w:szCs w:val="24"/>
        </w:rPr>
        <w:t>dan</w:t>
      </w:r>
      <w:r w:rsidR="005A0A5E">
        <w:rPr>
          <w:sz w:val="24"/>
          <w:szCs w:val="24"/>
        </w:rPr>
        <w:t xml:space="preserve">ych </w:t>
      </w:r>
      <w:r w:rsidRPr="004073C7">
        <w:rPr>
          <w:sz w:val="24"/>
          <w:szCs w:val="24"/>
        </w:rPr>
        <w:t>i informacj</w:t>
      </w:r>
      <w:r w:rsidR="005A0A5E">
        <w:rPr>
          <w:sz w:val="24"/>
          <w:szCs w:val="24"/>
        </w:rPr>
        <w:t xml:space="preserve">i </w:t>
      </w:r>
      <w:r w:rsidRPr="004073C7">
        <w:rPr>
          <w:sz w:val="24"/>
          <w:szCs w:val="24"/>
        </w:rPr>
        <w:t>dotycząc</w:t>
      </w:r>
      <w:r w:rsidR="005A0A5E">
        <w:rPr>
          <w:sz w:val="24"/>
          <w:szCs w:val="24"/>
        </w:rPr>
        <w:t xml:space="preserve">ych </w:t>
      </w:r>
      <w:r w:rsidRPr="004073C7">
        <w:rPr>
          <w:sz w:val="24"/>
          <w:szCs w:val="24"/>
        </w:rPr>
        <w:t>reasekuracji biernej,  a w przypadku zakładów reasekuracji działu II – retrocesji biernej.</w:t>
      </w:r>
    </w:p>
    <w:p w14:paraId="45BFBD87" w14:textId="77777777" w:rsidR="0024268E" w:rsidRPr="004073C7" w:rsidRDefault="0024268E" w:rsidP="0024268E">
      <w:pPr>
        <w:pStyle w:val="Tekstpodstawowy4"/>
        <w:shd w:val="clear" w:color="auto" w:fill="auto"/>
        <w:spacing w:after="0" w:line="240" w:lineRule="auto"/>
        <w:ind w:left="743" w:right="23" w:firstLine="0"/>
        <w:jc w:val="both"/>
        <w:rPr>
          <w:sz w:val="24"/>
          <w:szCs w:val="24"/>
        </w:rPr>
      </w:pPr>
    </w:p>
    <w:p w14:paraId="04E23D4B" w14:textId="675FE70C" w:rsidR="004073C7" w:rsidRDefault="004073C7" w:rsidP="00946B50">
      <w:pPr>
        <w:pStyle w:val="Tekstpodstawowy4"/>
        <w:shd w:val="clear" w:color="auto" w:fill="auto"/>
        <w:spacing w:after="0" w:line="240" w:lineRule="auto"/>
        <w:ind w:firstLine="20"/>
        <w:jc w:val="both"/>
        <w:rPr>
          <w:sz w:val="24"/>
          <w:szCs w:val="24"/>
        </w:rPr>
      </w:pPr>
      <w:r w:rsidRPr="004073C7">
        <w:rPr>
          <w:sz w:val="24"/>
          <w:szCs w:val="24"/>
        </w:rPr>
        <w:t>W związku z tym konieczne jest  rozsze</w:t>
      </w:r>
      <w:r w:rsidR="0024268E">
        <w:rPr>
          <w:sz w:val="24"/>
          <w:szCs w:val="24"/>
        </w:rPr>
        <w:t>rzenie wymogów sprawozdawczych a</w:t>
      </w:r>
      <w:r w:rsidRPr="004073C7">
        <w:rPr>
          <w:sz w:val="24"/>
          <w:szCs w:val="24"/>
        </w:rPr>
        <w:t xml:space="preserve"> dane i informacje przekazywane dotychczas na żądanie Urzędu KNF powinny zostać włączone </w:t>
      </w:r>
      <w:r w:rsidR="0024268E">
        <w:rPr>
          <w:sz w:val="24"/>
          <w:szCs w:val="24"/>
        </w:rPr>
        <w:t>do regularnej sprawozdawczości, natomiast r</w:t>
      </w:r>
      <w:r w:rsidRPr="004073C7">
        <w:rPr>
          <w:sz w:val="24"/>
          <w:szCs w:val="24"/>
        </w:rPr>
        <w:t>aportowanie w cyklu ro</w:t>
      </w:r>
      <w:r w:rsidR="0024268E">
        <w:rPr>
          <w:sz w:val="24"/>
          <w:szCs w:val="24"/>
        </w:rPr>
        <w:t>cznym i kwartalnym pozwoli</w:t>
      </w:r>
      <w:r w:rsidRPr="004073C7">
        <w:rPr>
          <w:sz w:val="24"/>
          <w:szCs w:val="24"/>
        </w:rPr>
        <w:t xml:space="preserve"> zakładom na optymalizację planów pracy.  </w:t>
      </w:r>
    </w:p>
    <w:p w14:paraId="31EF336A" w14:textId="77777777" w:rsidR="0024268E" w:rsidRDefault="0024268E" w:rsidP="0024268E">
      <w:pPr>
        <w:pStyle w:val="Tekstpodstawowy4"/>
        <w:shd w:val="clear" w:color="auto" w:fill="auto"/>
        <w:spacing w:after="0" w:line="240" w:lineRule="auto"/>
        <w:ind w:firstLine="0"/>
        <w:jc w:val="both"/>
        <w:rPr>
          <w:sz w:val="24"/>
          <w:szCs w:val="24"/>
        </w:rPr>
      </w:pPr>
    </w:p>
    <w:p w14:paraId="3EFC1B76" w14:textId="4E481AC1" w:rsidR="001D1A7B" w:rsidRPr="00D945C6" w:rsidRDefault="009B1046" w:rsidP="0024268E">
      <w:pPr>
        <w:pStyle w:val="Tekstpodstawowy4"/>
        <w:shd w:val="clear" w:color="auto" w:fill="auto"/>
        <w:spacing w:after="0" w:line="240" w:lineRule="auto"/>
        <w:ind w:firstLine="0"/>
        <w:jc w:val="both"/>
        <w:rPr>
          <w:sz w:val="24"/>
          <w:szCs w:val="24"/>
        </w:rPr>
      </w:pPr>
      <w:r>
        <w:rPr>
          <w:sz w:val="24"/>
          <w:szCs w:val="24"/>
        </w:rPr>
        <w:t xml:space="preserve">Przepisy rozporządzenia </w:t>
      </w:r>
      <w:r w:rsidR="00FF2030" w:rsidRPr="004073C7">
        <w:rPr>
          <w:sz w:val="24"/>
          <w:szCs w:val="24"/>
        </w:rPr>
        <w:t>powtarzają</w:t>
      </w:r>
      <w:r w:rsidR="00FF2030" w:rsidRPr="00D945C6">
        <w:rPr>
          <w:sz w:val="24"/>
          <w:szCs w:val="24"/>
        </w:rPr>
        <w:t xml:space="preserve"> większość dotychczas obowiązując</w:t>
      </w:r>
      <w:r w:rsidR="001D1A7B" w:rsidRPr="00D945C6">
        <w:rPr>
          <w:sz w:val="24"/>
          <w:szCs w:val="24"/>
        </w:rPr>
        <w:t>ych rozwiązań.</w:t>
      </w:r>
      <w:r w:rsidR="00FF2030" w:rsidRPr="00D945C6">
        <w:rPr>
          <w:sz w:val="24"/>
          <w:szCs w:val="24"/>
        </w:rPr>
        <w:t xml:space="preserve"> Analogicznie jak dotychczas zakłady ubezpieczeń </w:t>
      </w:r>
      <w:r w:rsidR="003F14C1" w:rsidRPr="00D945C6">
        <w:rPr>
          <w:sz w:val="24"/>
          <w:szCs w:val="24"/>
        </w:rPr>
        <w:t xml:space="preserve">i zakłady reasekuracji </w:t>
      </w:r>
      <w:r w:rsidR="00FF2030" w:rsidRPr="00D945C6">
        <w:rPr>
          <w:sz w:val="24"/>
          <w:szCs w:val="24"/>
        </w:rPr>
        <w:t>będą obowiązane przekazywać do KNF  dodatkowe sprawozdania finansowe i </w:t>
      </w:r>
      <w:r>
        <w:rPr>
          <w:sz w:val="24"/>
          <w:szCs w:val="24"/>
        </w:rPr>
        <w:t>statystyczne za okresy roczne i </w:t>
      </w:r>
      <w:r w:rsidR="003F14C1" w:rsidRPr="00D945C6">
        <w:rPr>
          <w:sz w:val="24"/>
          <w:szCs w:val="24"/>
        </w:rPr>
        <w:t>kwartalne</w:t>
      </w:r>
      <w:r w:rsidR="001D1A7B" w:rsidRPr="00D945C6">
        <w:rPr>
          <w:sz w:val="24"/>
          <w:szCs w:val="24"/>
        </w:rPr>
        <w:t>:</w:t>
      </w:r>
    </w:p>
    <w:p w14:paraId="64465BEB" w14:textId="61D5B24E" w:rsidR="004025C3" w:rsidRPr="00D945C6" w:rsidRDefault="001D1A7B" w:rsidP="009B1046">
      <w:pPr>
        <w:pStyle w:val="Tekstpodstawowy4"/>
        <w:numPr>
          <w:ilvl w:val="0"/>
          <w:numId w:val="18"/>
        </w:numPr>
        <w:shd w:val="clear" w:color="auto" w:fill="auto"/>
        <w:spacing w:after="0" w:line="240" w:lineRule="auto"/>
        <w:jc w:val="both"/>
        <w:rPr>
          <w:sz w:val="24"/>
          <w:szCs w:val="24"/>
        </w:rPr>
      </w:pPr>
      <w:r w:rsidRPr="00D945C6">
        <w:rPr>
          <w:sz w:val="24"/>
          <w:szCs w:val="24"/>
        </w:rPr>
        <w:t>c</w:t>
      </w:r>
      <w:r w:rsidR="003F14C1" w:rsidRPr="00D945C6">
        <w:rPr>
          <w:sz w:val="24"/>
          <w:szCs w:val="24"/>
        </w:rPr>
        <w:t xml:space="preserve">ześć A sprawozdania będzie </w:t>
      </w:r>
      <w:r w:rsidR="009B1046">
        <w:rPr>
          <w:sz w:val="24"/>
          <w:szCs w:val="24"/>
        </w:rPr>
        <w:t xml:space="preserve">obejmować </w:t>
      </w:r>
      <w:r w:rsidR="003F14C1" w:rsidRPr="00D945C6">
        <w:rPr>
          <w:sz w:val="24"/>
          <w:szCs w:val="24"/>
        </w:rPr>
        <w:t xml:space="preserve">informacje </w:t>
      </w:r>
      <w:r w:rsidR="009B1046">
        <w:rPr>
          <w:sz w:val="24"/>
          <w:szCs w:val="24"/>
        </w:rPr>
        <w:t xml:space="preserve">szczególne, właściwe </w:t>
      </w:r>
      <w:r w:rsidR="003F14C1" w:rsidRPr="00D945C6">
        <w:rPr>
          <w:sz w:val="24"/>
          <w:szCs w:val="24"/>
        </w:rPr>
        <w:t>dla Rzeczypospolitej</w:t>
      </w:r>
      <w:r w:rsidRPr="00D945C6">
        <w:rPr>
          <w:sz w:val="24"/>
          <w:szCs w:val="24"/>
        </w:rPr>
        <w:t xml:space="preserve"> Polskiej</w:t>
      </w:r>
      <w:r w:rsidR="003F14C1" w:rsidRPr="00D945C6">
        <w:rPr>
          <w:sz w:val="24"/>
          <w:szCs w:val="24"/>
        </w:rPr>
        <w:t>, niepodlegające harmonizacji w UE</w:t>
      </w:r>
      <w:r w:rsidR="009B1046">
        <w:rPr>
          <w:sz w:val="24"/>
          <w:szCs w:val="24"/>
        </w:rPr>
        <w:t xml:space="preserve">, </w:t>
      </w:r>
      <w:r w:rsidR="003F14C1" w:rsidRPr="00D945C6">
        <w:rPr>
          <w:sz w:val="24"/>
          <w:szCs w:val="24"/>
        </w:rPr>
        <w:t xml:space="preserve">oraz informacje niezbędne dla celów statystyki publicznej inne niż określone </w:t>
      </w:r>
      <w:r w:rsidR="00731D84" w:rsidRPr="00D945C6">
        <w:rPr>
          <w:sz w:val="24"/>
          <w:szCs w:val="24"/>
        </w:rPr>
        <w:t>w programie badań statystyki publicznej</w:t>
      </w:r>
      <w:r w:rsidRPr="00D945C6">
        <w:rPr>
          <w:sz w:val="24"/>
          <w:szCs w:val="24"/>
        </w:rPr>
        <w:t>,</w:t>
      </w:r>
      <w:r w:rsidR="004025C3" w:rsidRPr="00D945C6">
        <w:rPr>
          <w:sz w:val="24"/>
          <w:szCs w:val="24"/>
        </w:rPr>
        <w:t xml:space="preserve"> </w:t>
      </w:r>
    </w:p>
    <w:p w14:paraId="0A4ED8A5" w14:textId="7A9D9807" w:rsidR="009B1046" w:rsidRDefault="001D1A7B" w:rsidP="00946B50">
      <w:pPr>
        <w:pStyle w:val="Tekstpodstawowy4"/>
        <w:numPr>
          <w:ilvl w:val="0"/>
          <w:numId w:val="18"/>
        </w:numPr>
        <w:shd w:val="clear" w:color="auto" w:fill="auto"/>
        <w:spacing w:after="0" w:line="240" w:lineRule="auto"/>
        <w:jc w:val="both"/>
        <w:rPr>
          <w:sz w:val="24"/>
          <w:szCs w:val="24"/>
        </w:rPr>
      </w:pPr>
      <w:r w:rsidRPr="00D945C6">
        <w:rPr>
          <w:sz w:val="24"/>
          <w:szCs w:val="24"/>
        </w:rPr>
        <w:lastRenderedPageBreak/>
        <w:t>c</w:t>
      </w:r>
      <w:r w:rsidR="00731D84" w:rsidRPr="00D945C6">
        <w:rPr>
          <w:sz w:val="24"/>
          <w:szCs w:val="24"/>
        </w:rPr>
        <w:t xml:space="preserve">zęść B </w:t>
      </w:r>
      <w:r w:rsidR="00DC2238" w:rsidRPr="00D945C6">
        <w:rPr>
          <w:sz w:val="24"/>
          <w:szCs w:val="24"/>
        </w:rPr>
        <w:t>sprawozda</w:t>
      </w:r>
      <w:r w:rsidRPr="00D945C6">
        <w:rPr>
          <w:sz w:val="24"/>
          <w:szCs w:val="24"/>
        </w:rPr>
        <w:t>nia</w:t>
      </w:r>
      <w:r w:rsidR="00731D84" w:rsidRPr="00D945C6">
        <w:rPr>
          <w:sz w:val="24"/>
          <w:szCs w:val="24"/>
        </w:rPr>
        <w:t xml:space="preserve"> będzie obejmować informacje </w:t>
      </w:r>
      <w:r w:rsidR="009B1046">
        <w:rPr>
          <w:sz w:val="24"/>
          <w:szCs w:val="24"/>
        </w:rPr>
        <w:t xml:space="preserve">szczególne, właściwe </w:t>
      </w:r>
      <w:r w:rsidR="00731D84" w:rsidRPr="00D945C6">
        <w:rPr>
          <w:sz w:val="24"/>
          <w:szCs w:val="24"/>
        </w:rPr>
        <w:t>dla realizacji zadań związanych z uczestnictwem Narodowego Banku Polskiego w Europejskim Systemie Banków Centralnych.</w:t>
      </w:r>
      <w:r w:rsidR="00873DC6" w:rsidRPr="00D945C6">
        <w:rPr>
          <w:sz w:val="24"/>
          <w:szCs w:val="24"/>
        </w:rPr>
        <w:t xml:space="preserve"> </w:t>
      </w:r>
    </w:p>
    <w:p w14:paraId="652F9C23" w14:textId="77777777" w:rsidR="0024268E" w:rsidRPr="00946B50" w:rsidRDefault="0024268E" w:rsidP="0024268E">
      <w:pPr>
        <w:pStyle w:val="Tekstpodstawowy4"/>
        <w:shd w:val="clear" w:color="auto" w:fill="auto"/>
        <w:spacing w:after="0" w:line="240" w:lineRule="auto"/>
        <w:ind w:left="720" w:firstLine="0"/>
        <w:jc w:val="both"/>
        <w:rPr>
          <w:sz w:val="24"/>
          <w:szCs w:val="24"/>
        </w:rPr>
      </w:pPr>
    </w:p>
    <w:p w14:paraId="0DD9F634" w14:textId="44A3DC24" w:rsidR="009B1046" w:rsidRDefault="001D1A7B" w:rsidP="0024268E">
      <w:pPr>
        <w:pStyle w:val="Tekstpodstawowy4"/>
        <w:shd w:val="clear" w:color="auto" w:fill="auto"/>
        <w:spacing w:after="0" w:line="240" w:lineRule="auto"/>
        <w:ind w:firstLine="0"/>
        <w:jc w:val="both"/>
        <w:rPr>
          <w:sz w:val="24"/>
          <w:szCs w:val="24"/>
        </w:rPr>
      </w:pPr>
      <w:r w:rsidRPr="00D945C6">
        <w:rPr>
          <w:sz w:val="24"/>
          <w:szCs w:val="24"/>
        </w:rPr>
        <w:t xml:space="preserve">Proponowane zmiany polegają na </w:t>
      </w:r>
      <w:r w:rsidRPr="0012792F">
        <w:rPr>
          <w:b/>
          <w:sz w:val="24"/>
          <w:szCs w:val="24"/>
        </w:rPr>
        <w:t>r</w:t>
      </w:r>
      <w:r w:rsidR="00592A02" w:rsidRPr="0012792F">
        <w:rPr>
          <w:b/>
          <w:sz w:val="24"/>
          <w:szCs w:val="24"/>
        </w:rPr>
        <w:t>ozszerzeni</w:t>
      </w:r>
      <w:r w:rsidRPr="0012792F">
        <w:rPr>
          <w:b/>
          <w:sz w:val="24"/>
          <w:szCs w:val="24"/>
        </w:rPr>
        <w:t xml:space="preserve">u </w:t>
      </w:r>
      <w:r w:rsidR="00592A02" w:rsidRPr="0012792F">
        <w:rPr>
          <w:b/>
          <w:sz w:val="24"/>
          <w:szCs w:val="24"/>
        </w:rPr>
        <w:t xml:space="preserve"> zakresu </w:t>
      </w:r>
      <w:r w:rsidR="004A10C7" w:rsidRPr="0012792F">
        <w:rPr>
          <w:b/>
          <w:sz w:val="24"/>
          <w:szCs w:val="24"/>
        </w:rPr>
        <w:t>części A</w:t>
      </w:r>
      <w:r w:rsidR="004A10C7" w:rsidRPr="00D945C6">
        <w:rPr>
          <w:sz w:val="24"/>
          <w:szCs w:val="24"/>
        </w:rPr>
        <w:t xml:space="preserve"> </w:t>
      </w:r>
      <w:r w:rsidR="00592A02" w:rsidRPr="00D945C6">
        <w:rPr>
          <w:sz w:val="24"/>
          <w:szCs w:val="24"/>
        </w:rPr>
        <w:t xml:space="preserve">dodatkowych kwartalnych i rocznych </w:t>
      </w:r>
      <w:r w:rsidR="00592A02" w:rsidRPr="0012792F">
        <w:rPr>
          <w:b/>
          <w:sz w:val="24"/>
          <w:szCs w:val="24"/>
        </w:rPr>
        <w:t xml:space="preserve">sprawozdań </w:t>
      </w:r>
      <w:r w:rsidR="00592A02" w:rsidRPr="0012792F">
        <w:rPr>
          <w:sz w:val="24"/>
          <w:szCs w:val="24"/>
        </w:rPr>
        <w:t>finansowych</w:t>
      </w:r>
      <w:r w:rsidR="00592A02" w:rsidRPr="00D945C6">
        <w:rPr>
          <w:sz w:val="24"/>
          <w:szCs w:val="24"/>
        </w:rPr>
        <w:t xml:space="preserve"> i statystycznych zakładów ubezpieczeń i zakładów reasekuracji. </w:t>
      </w:r>
    </w:p>
    <w:p w14:paraId="6E85D051" w14:textId="77777777" w:rsidR="0024268E" w:rsidRDefault="0024268E" w:rsidP="0024268E">
      <w:pPr>
        <w:pStyle w:val="Tekstpodstawowy4"/>
        <w:shd w:val="clear" w:color="auto" w:fill="auto"/>
        <w:spacing w:after="0" w:line="240" w:lineRule="auto"/>
        <w:ind w:firstLine="0"/>
        <w:jc w:val="both"/>
        <w:rPr>
          <w:sz w:val="24"/>
          <w:szCs w:val="24"/>
        </w:rPr>
      </w:pPr>
    </w:p>
    <w:p w14:paraId="3F04C2A3" w14:textId="499CF075" w:rsidR="00592A02" w:rsidRPr="00D945C6" w:rsidRDefault="004025C3" w:rsidP="0024268E">
      <w:pPr>
        <w:pStyle w:val="Tekstpodstawowy4"/>
        <w:shd w:val="clear" w:color="auto" w:fill="auto"/>
        <w:spacing w:after="0" w:line="240" w:lineRule="auto"/>
        <w:ind w:firstLine="0"/>
        <w:jc w:val="both"/>
        <w:rPr>
          <w:sz w:val="24"/>
          <w:szCs w:val="24"/>
        </w:rPr>
      </w:pPr>
      <w:r w:rsidRPr="00D945C6">
        <w:rPr>
          <w:sz w:val="24"/>
          <w:szCs w:val="24"/>
        </w:rPr>
        <w:t xml:space="preserve">W zakresie </w:t>
      </w:r>
      <w:r w:rsidRPr="009B1046">
        <w:rPr>
          <w:b/>
          <w:sz w:val="24"/>
          <w:szCs w:val="24"/>
        </w:rPr>
        <w:t>zakładów ubezpieczeń działu I</w:t>
      </w:r>
      <w:r w:rsidRPr="00D945C6">
        <w:rPr>
          <w:sz w:val="24"/>
          <w:szCs w:val="24"/>
        </w:rPr>
        <w:t xml:space="preserve"> określonego w załączniku do ustawy </w:t>
      </w:r>
      <w:r w:rsidR="001D1A7B" w:rsidRPr="00D945C6">
        <w:rPr>
          <w:sz w:val="24"/>
          <w:szCs w:val="24"/>
        </w:rPr>
        <w:t>z</w:t>
      </w:r>
      <w:r w:rsidR="00DA6EC6" w:rsidRPr="00D945C6">
        <w:rPr>
          <w:sz w:val="24"/>
          <w:szCs w:val="24"/>
        </w:rPr>
        <w:t>miany polegają na</w:t>
      </w:r>
      <w:r w:rsidR="00D3728F" w:rsidRPr="00D945C6">
        <w:rPr>
          <w:sz w:val="24"/>
          <w:szCs w:val="24"/>
        </w:rPr>
        <w:t xml:space="preserve"> rozszerzeniu zakresu danych dotyczących</w:t>
      </w:r>
      <w:r w:rsidR="00DA6EC6" w:rsidRPr="00D945C6">
        <w:rPr>
          <w:sz w:val="24"/>
          <w:szCs w:val="24"/>
        </w:rPr>
        <w:t>:</w:t>
      </w:r>
      <w:r w:rsidR="00592A02" w:rsidRPr="00D945C6">
        <w:rPr>
          <w:sz w:val="24"/>
          <w:szCs w:val="24"/>
        </w:rPr>
        <w:t xml:space="preserve"> </w:t>
      </w:r>
    </w:p>
    <w:p w14:paraId="177E7ABF" w14:textId="54C98E7E" w:rsidR="000C73B5" w:rsidRPr="0024268E" w:rsidRDefault="004025AC" w:rsidP="0024268E">
      <w:pPr>
        <w:pStyle w:val="Tekstpodstawowy4"/>
        <w:numPr>
          <w:ilvl w:val="0"/>
          <w:numId w:val="19"/>
        </w:numPr>
        <w:shd w:val="clear" w:color="auto" w:fill="auto"/>
        <w:spacing w:after="0" w:line="240" w:lineRule="auto"/>
        <w:ind w:left="426" w:hanging="426"/>
        <w:jc w:val="both"/>
        <w:rPr>
          <w:sz w:val="24"/>
          <w:szCs w:val="24"/>
          <w:u w:val="single"/>
        </w:rPr>
      </w:pPr>
      <w:r w:rsidRPr="0024268E">
        <w:rPr>
          <w:sz w:val="24"/>
          <w:szCs w:val="24"/>
          <w:u w:val="single"/>
        </w:rPr>
        <w:t xml:space="preserve">ubezpieczeniowych funduszy kapitałowych </w:t>
      </w:r>
      <w:r w:rsidR="00044324" w:rsidRPr="0024268E">
        <w:rPr>
          <w:sz w:val="24"/>
          <w:szCs w:val="24"/>
          <w:u w:val="single"/>
        </w:rPr>
        <w:t>(UFK)</w:t>
      </w:r>
      <w:r w:rsidR="0024268E" w:rsidRPr="0024268E">
        <w:rPr>
          <w:sz w:val="24"/>
          <w:szCs w:val="24"/>
          <w:u w:val="single"/>
        </w:rPr>
        <w:t xml:space="preserve"> </w:t>
      </w:r>
    </w:p>
    <w:p w14:paraId="6142A53A" w14:textId="7A0DF3A0" w:rsidR="0024268E" w:rsidRPr="00D945C6" w:rsidRDefault="0024268E" w:rsidP="0098317F">
      <w:pPr>
        <w:pStyle w:val="Tekstpodstawowy4"/>
        <w:shd w:val="clear" w:color="auto" w:fill="auto"/>
        <w:spacing w:after="0" w:line="240" w:lineRule="auto"/>
        <w:ind w:left="426" w:firstLine="0"/>
        <w:jc w:val="both"/>
        <w:rPr>
          <w:sz w:val="24"/>
          <w:szCs w:val="24"/>
        </w:rPr>
      </w:pPr>
      <w:r w:rsidRPr="00D945C6">
        <w:rPr>
          <w:sz w:val="24"/>
          <w:szCs w:val="24"/>
        </w:rPr>
        <w:t xml:space="preserve">Obecnie  sprawozdawczość zakładów ubezpieczeń w zakresie UFK obejmuje </w:t>
      </w:r>
      <w:r>
        <w:rPr>
          <w:sz w:val="24"/>
          <w:szCs w:val="24"/>
        </w:rPr>
        <w:t xml:space="preserve">wyłącznie </w:t>
      </w:r>
      <w:r w:rsidRPr="00D945C6">
        <w:rPr>
          <w:sz w:val="24"/>
          <w:szCs w:val="24"/>
        </w:rPr>
        <w:t xml:space="preserve">dane dotyczące aktywów netto UFK. </w:t>
      </w:r>
      <w:r w:rsidRPr="00D945C6">
        <w:rPr>
          <w:color w:val="000000" w:themeColor="text1"/>
          <w:sz w:val="24"/>
          <w:szCs w:val="24"/>
        </w:rPr>
        <w:t xml:space="preserve">Na podstawie rozporządzenia Ministra </w:t>
      </w:r>
      <w:r>
        <w:rPr>
          <w:color w:val="000000" w:themeColor="text1"/>
          <w:sz w:val="24"/>
          <w:szCs w:val="24"/>
        </w:rPr>
        <w:t>Finansów z </w:t>
      </w:r>
      <w:r w:rsidRPr="00D945C6">
        <w:rPr>
          <w:color w:val="000000" w:themeColor="text1"/>
          <w:sz w:val="24"/>
          <w:szCs w:val="24"/>
        </w:rPr>
        <w:t>dnia 25 maja 2016 r. w sprawie rocznych i półrocznych sprawozdań ubezpieczeniowego funduszu kapitałowego (Dz. U. poz. 789) zakłady ubezpieczeń oferujące ubezpieczenia na życie z UFK publik</w:t>
      </w:r>
      <w:r>
        <w:rPr>
          <w:color w:val="000000" w:themeColor="text1"/>
          <w:sz w:val="24"/>
          <w:szCs w:val="24"/>
        </w:rPr>
        <w:t xml:space="preserve">ują </w:t>
      </w:r>
      <w:r w:rsidRPr="00D945C6">
        <w:rPr>
          <w:color w:val="000000" w:themeColor="text1"/>
          <w:sz w:val="24"/>
          <w:szCs w:val="24"/>
        </w:rPr>
        <w:t>roczn</w:t>
      </w:r>
      <w:r>
        <w:rPr>
          <w:color w:val="000000" w:themeColor="text1"/>
          <w:sz w:val="24"/>
          <w:szCs w:val="24"/>
        </w:rPr>
        <w:t xml:space="preserve">e </w:t>
      </w:r>
      <w:r w:rsidRPr="00D945C6">
        <w:rPr>
          <w:color w:val="000000" w:themeColor="text1"/>
          <w:sz w:val="24"/>
          <w:szCs w:val="24"/>
        </w:rPr>
        <w:t>i półroczn</w:t>
      </w:r>
      <w:r>
        <w:rPr>
          <w:color w:val="000000" w:themeColor="text1"/>
          <w:sz w:val="24"/>
          <w:szCs w:val="24"/>
        </w:rPr>
        <w:t xml:space="preserve">e </w:t>
      </w:r>
      <w:r w:rsidRPr="00D945C6">
        <w:rPr>
          <w:color w:val="000000" w:themeColor="text1"/>
          <w:sz w:val="24"/>
          <w:szCs w:val="24"/>
        </w:rPr>
        <w:t>sprawozda</w:t>
      </w:r>
      <w:r>
        <w:rPr>
          <w:color w:val="000000" w:themeColor="text1"/>
          <w:sz w:val="24"/>
          <w:szCs w:val="24"/>
        </w:rPr>
        <w:t xml:space="preserve">nia </w:t>
      </w:r>
      <w:r w:rsidRPr="00D945C6">
        <w:rPr>
          <w:color w:val="000000" w:themeColor="text1"/>
          <w:sz w:val="24"/>
          <w:szCs w:val="24"/>
        </w:rPr>
        <w:t xml:space="preserve">UFK na swojej stronie internetowej. </w:t>
      </w:r>
      <w:r w:rsidRPr="00D945C6">
        <w:rPr>
          <w:sz w:val="24"/>
          <w:szCs w:val="24"/>
        </w:rPr>
        <w:t>Zgodnie z § 2 ust. 1 tego rozporządzenia  zakres sprawozdania obejmuje dane dotyczące wartości aktywów netto funduszy, zmian wartości aktywów netto funduszy, liczby i wartości  jed</w:t>
      </w:r>
      <w:r>
        <w:rPr>
          <w:sz w:val="24"/>
          <w:szCs w:val="24"/>
        </w:rPr>
        <w:t>nostek uczestnictwa funduszu oraz zestawienie</w:t>
      </w:r>
      <w:r w:rsidRPr="00D945C6">
        <w:rPr>
          <w:sz w:val="24"/>
          <w:szCs w:val="24"/>
        </w:rPr>
        <w:t xml:space="preserve"> aktywów netto funduszy.  </w:t>
      </w:r>
      <w:r w:rsidRPr="00D945C6">
        <w:rPr>
          <w:color w:val="000000" w:themeColor="text1"/>
          <w:sz w:val="24"/>
          <w:szCs w:val="24"/>
        </w:rPr>
        <w:t>Sprawozdania UFK  nie są przekazywane do U</w:t>
      </w:r>
      <w:r>
        <w:rPr>
          <w:color w:val="000000" w:themeColor="text1"/>
          <w:sz w:val="24"/>
          <w:szCs w:val="24"/>
        </w:rPr>
        <w:t xml:space="preserve">rzędu </w:t>
      </w:r>
      <w:r w:rsidRPr="00D945C6">
        <w:rPr>
          <w:color w:val="000000" w:themeColor="text1"/>
          <w:sz w:val="24"/>
          <w:szCs w:val="24"/>
        </w:rPr>
        <w:t>KNF oraz nie są sporządzane za okresy kwartalne. Sprawozdania UFK nie zasilają Aplikacji Sprawozdawczej SNU, który jest podstawowym narzędziem informatycznym wykorzystywanym przez  U</w:t>
      </w:r>
      <w:r>
        <w:rPr>
          <w:color w:val="000000" w:themeColor="text1"/>
          <w:sz w:val="24"/>
          <w:szCs w:val="24"/>
        </w:rPr>
        <w:t xml:space="preserve">rząd </w:t>
      </w:r>
      <w:r w:rsidRPr="00D945C6">
        <w:rPr>
          <w:color w:val="000000" w:themeColor="text1"/>
          <w:sz w:val="24"/>
          <w:szCs w:val="24"/>
        </w:rPr>
        <w:t>KNF do gromadzenia danych sprawozdawczych. U</w:t>
      </w:r>
      <w:r>
        <w:rPr>
          <w:color w:val="000000" w:themeColor="text1"/>
          <w:sz w:val="24"/>
          <w:szCs w:val="24"/>
        </w:rPr>
        <w:t xml:space="preserve">rząd </w:t>
      </w:r>
      <w:r w:rsidRPr="00D945C6">
        <w:rPr>
          <w:color w:val="000000" w:themeColor="text1"/>
          <w:sz w:val="24"/>
          <w:szCs w:val="24"/>
        </w:rPr>
        <w:t xml:space="preserve">KNF nie ma możliwości agregowania i analizy danych wynikających z </w:t>
      </w:r>
      <w:r>
        <w:rPr>
          <w:color w:val="000000" w:themeColor="text1"/>
          <w:sz w:val="24"/>
          <w:szCs w:val="24"/>
        </w:rPr>
        <w:t xml:space="preserve">tych </w:t>
      </w:r>
      <w:r w:rsidRPr="00D945C6">
        <w:rPr>
          <w:color w:val="000000" w:themeColor="text1"/>
          <w:sz w:val="24"/>
          <w:szCs w:val="24"/>
        </w:rPr>
        <w:t>sprawozdań.</w:t>
      </w:r>
      <w:r w:rsidRPr="00D945C6">
        <w:rPr>
          <w:sz w:val="24"/>
          <w:szCs w:val="24"/>
        </w:rPr>
        <w:t xml:space="preserve"> </w:t>
      </w:r>
      <w:r>
        <w:rPr>
          <w:sz w:val="24"/>
          <w:szCs w:val="24"/>
        </w:rPr>
        <w:t xml:space="preserve">Ze </w:t>
      </w:r>
      <w:r w:rsidRPr="00D945C6">
        <w:rPr>
          <w:color w:val="000000" w:themeColor="text1"/>
          <w:sz w:val="24"/>
          <w:szCs w:val="24"/>
        </w:rPr>
        <w:t>względu na konieczność monitorowania UFK w</w:t>
      </w:r>
      <w:r>
        <w:rPr>
          <w:color w:val="000000" w:themeColor="text1"/>
          <w:sz w:val="24"/>
          <w:szCs w:val="24"/>
        </w:rPr>
        <w:t xml:space="preserve"> trybie kwartalnym (w związku z </w:t>
      </w:r>
      <w:r w:rsidRPr="00D945C6">
        <w:rPr>
          <w:color w:val="000000" w:themeColor="text1"/>
          <w:sz w:val="24"/>
          <w:szCs w:val="24"/>
        </w:rPr>
        <w:t xml:space="preserve">działaniami w zakresie ochrony klienta) uzasadnione jest </w:t>
      </w:r>
      <w:r>
        <w:rPr>
          <w:color w:val="000000" w:themeColor="text1"/>
          <w:sz w:val="24"/>
          <w:szCs w:val="24"/>
        </w:rPr>
        <w:t xml:space="preserve">umożliwienie </w:t>
      </w:r>
      <w:r w:rsidRPr="00D945C6">
        <w:rPr>
          <w:color w:val="000000" w:themeColor="text1"/>
          <w:sz w:val="24"/>
          <w:szCs w:val="24"/>
        </w:rPr>
        <w:t>regularnego pozyskiwania informacji przez U</w:t>
      </w:r>
      <w:r>
        <w:rPr>
          <w:color w:val="000000" w:themeColor="text1"/>
          <w:sz w:val="24"/>
          <w:szCs w:val="24"/>
        </w:rPr>
        <w:t xml:space="preserve">rząd </w:t>
      </w:r>
      <w:r w:rsidRPr="00D945C6">
        <w:rPr>
          <w:color w:val="000000" w:themeColor="text1"/>
          <w:sz w:val="24"/>
          <w:szCs w:val="24"/>
        </w:rPr>
        <w:t xml:space="preserve">KNF. </w:t>
      </w:r>
      <w:r>
        <w:rPr>
          <w:color w:val="000000" w:themeColor="text1"/>
          <w:sz w:val="24"/>
          <w:szCs w:val="24"/>
        </w:rPr>
        <w:t xml:space="preserve">Proponuje się, aby </w:t>
      </w:r>
      <w:r w:rsidRPr="00D945C6">
        <w:rPr>
          <w:sz w:val="24"/>
          <w:szCs w:val="24"/>
        </w:rPr>
        <w:t xml:space="preserve">dane </w:t>
      </w:r>
      <w:r>
        <w:rPr>
          <w:sz w:val="24"/>
          <w:szCs w:val="24"/>
        </w:rPr>
        <w:t xml:space="preserve">objęte sprawozdawczością UFK na podstawie </w:t>
      </w:r>
      <w:r w:rsidRPr="00D945C6">
        <w:rPr>
          <w:color w:val="000000" w:themeColor="text1"/>
          <w:sz w:val="24"/>
          <w:szCs w:val="24"/>
        </w:rPr>
        <w:t>rozporządzenia Ministra Finansów z dnia 25 maja 2016 r. w sprawie rocznych i półrocznych sprawozdań ubezpieczeniowego funduszu kapitałowego</w:t>
      </w:r>
      <w:r>
        <w:rPr>
          <w:sz w:val="24"/>
          <w:szCs w:val="24"/>
        </w:rPr>
        <w:t xml:space="preserve"> były </w:t>
      </w:r>
      <w:r w:rsidRPr="00D945C6">
        <w:rPr>
          <w:sz w:val="24"/>
          <w:szCs w:val="24"/>
        </w:rPr>
        <w:t xml:space="preserve">wykazywane także w części A dodatkowych kwartalnych i rocznych sprawozdań finansowych i statystycznych, </w:t>
      </w:r>
      <w:r>
        <w:rPr>
          <w:sz w:val="24"/>
          <w:szCs w:val="24"/>
        </w:rPr>
        <w:t xml:space="preserve">rozszerzone o dane </w:t>
      </w:r>
      <w:r w:rsidRPr="00D945C6">
        <w:rPr>
          <w:sz w:val="24"/>
          <w:szCs w:val="24"/>
        </w:rPr>
        <w:t>o przychodach  i kosztach UFK z działalności lokacyjnej w okresie sprawozdawczym. Zgodnie z § </w:t>
      </w:r>
      <w:r w:rsidR="004A086D">
        <w:rPr>
          <w:sz w:val="24"/>
          <w:szCs w:val="24"/>
        </w:rPr>
        <w:t>4</w:t>
      </w:r>
      <w:r w:rsidRPr="00D945C6">
        <w:rPr>
          <w:sz w:val="24"/>
          <w:szCs w:val="24"/>
        </w:rPr>
        <w:t xml:space="preserve"> i </w:t>
      </w:r>
      <w:r w:rsidR="004D371A" w:rsidRPr="004D371A">
        <w:rPr>
          <w:sz w:val="24"/>
          <w:szCs w:val="24"/>
        </w:rPr>
        <w:t>§</w:t>
      </w:r>
      <w:r w:rsidR="004D371A">
        <w:rPr>
          <w:sz w:val="24"/>
          <w:szCs w:val="24"/>
        </w:rPr>
        <w:t xml:space="preserve"> </w:t>
      </w:r>
      <w:r w:rsidR="004A086D">
        <w:rPr>
          <w:sz w:val="24"/>
          <w:szCs w:val="24"/>
        </w:rPr>
        <w:t>5</w:t>
      </w:r>
      <w:r w:rsidRPr="00D945C6">
        <w:rPr>
          <w:sz w:val="24"/>
          <w:szCs w:val="24"/>
        </w:rPr>
        <w:t xml:space="preserve"> projektu rozporządzenia powyższe dane będą wykazywane w formularzach: 10.1 „Aktywa netto UFK”, 10.2 „ Jednostki uczestnictwa UFK”, 10.3 „Działalność lokacyjna UFK” oraz 10.4 „Zmiana wartości a</w:t>
      </w:r>
      <w:r w:rsidR="0098317F">
        <w:rPr>
          <w:sz w:val="24"/>
          <w:szCs w:val="24"/>
        </w:rPr>
        <w:t>ktywów netto UFK”;</w:t>
      </w:r>
    </w:p>
    <w:p w14:paraId="6BB294A5" w14:textId="3DE51477" w:rsidR="004A7CE9" w:rsidRPr="002D5BB0" w:rsidRDefault="00CA6853" w:rsidP="0024268E">
      <w:pPr>
        <w:pStyle w:val="Tekstpodstawowy4"/>
        <w:numPr>
          <w:ilvl w:val="0"/>
          <w:numId w:val="19"/>
        </w:numPr>
        <w:shd w:val="clear" w:color="auto" w:fill="auto"/>
        <w:spacing w:after="0" w:line="240" w:lineRule="auto"/>
        <w:ind w:left="426" w:hanging="426"/>
        <w:jc w:val="both"/>
        <w:rPr>
          <w:sz w:val="24"/>
          <w:szCs w:val="24"/>
          <w:u w:val="single"/>
        </w:rPr>
      </w:pPr>
      <w:r w:rsidRPr="002D5BB0">
        <w:rPr>
          <w:sz w:val="24"/>
          <w:szCs w:val="24"/>
          <w:u w:val="single"/>
        </w:rPr>
        <w:t xml:space="preserve">umów ubezpieczenia z </w:t>
      </w:r>
      <w:r w:rsidR="002F381B" w:rsidRPr="002D5BB0">
        <w:rPr>
          <w:sz w:val="24"/>
          <w:szCs w:val="24"/>
          <w:u w:val="single"/>
        </w:rPr>
        <w:t>UFK</w:t>
      </w:r>
    </w:p>
    <w:p w14:paraId="297ABA8C" w14:textId="179F010C" w:rsidR="0098317F" w:rsidRPr="00D945C6" w:rsidRDefault="002D5BB0" w:rsidP="002D5BB0">
      <w:pPr>
        <w:pStyle w:val="Tekstpodstawowy4"/>
        <w:spacing w:after="0" w:line="240" w:lineRule="auto"/>
        <w:ind w:left="426" w:firstLine="0"/>
        <w:jc w:val="both"/>
        <w:rPr>
          <w:sz w:val="24"/>
          <w:szCs w:val="24"/>
        </w:rPr>
      </w:pPr>
      <w:r w:rsidRPr="002D5BB0">
        <w:rPr>
          <w:sz w:val="24"/>
          <w:szCs w:val="24"/>
        </w:rPr>
        <w:t xml:space="preserve">Zakłady ubezpieczeń będą przedstawiać dane statystyczne dotyczące oferowanych produktów ubezpieczeniowych z UFK, w podziale na ubezpieczenia indywidualne, ubezpieczenia grupowe inne niż pracownicze programy emerytalne (PPE) i pracownicze plany kapitałowe (PPK) oraz PPE i PPK (te ostatnie prowadzone w formie umowy ubezpieczenia z UFK). Pozwoli to Urzędowi KNF na analizę portfela umów ubezpieczenia z UFK oferowanych przez poszczególne zakłady ubezpieczeń, dynamiki wzrostu portfela ubezpieczeń w zakresie danego produktu, przyczyn i wskaźników rezygnacji z umów ubezpieczenia oraz struktury wypłat świadczeń z produktów ubezpieczeniowych z UFK. W oparciu o dane dotyczące rezygnacji z umów ubezpieczenia organ nadzoru będzie mógł także identyfikować zjawisko nieuczciwej promocji i sprzedaży produktów ubezpieczeniowych (tzw. misseling) i przeciwdziałać temu zjawisku. Dane dotyczące zawieranych i rozwiązywanych w okresie sprawozdawczym indywidualnych i grupowych umów ubezpieczenia na życie z UFK umożliwi analizę zmian zachodzących w portfelu poszczególnych zakładów ubezpieczeń działu I. Możliwa będzie także szybsza ocena </w:t>
      </w:r>
      <w:r w:rsidRPr="002D5BB0">
        <w:rPr>
          <w:sz w:val="24"/>
          <w:szCs w:val="24"/>
        </w:rPr>
        <w:lastRenderedPageBreak/>
        <w:t xml:space="preserve">pojawiających się niepokojących trendów (np. licznych odstąpień albo wystąpień na prawach odstąpienia od umów ubezpieczenia) i odpowiednia reakcja nadzorcza w tym zakresie. Zgodnie z § </w:t>
      </w:r>
      <w:r w:rsidR="004A086D">
        <w:rPr>
          <w:sz w:val="24"/>
          <w:szCs w:val="24"/>
        </w:rPr>
        <w:t>4</w:t>
      </w:r>
      <w:r w:rsidRPr="002D5BB0">
        <w:rPr>
          <w:sz w:val="24"/>
          <w:szCs w:val="24"/>
        </w:rPr>
        <w:t xml:space="preserve"> i §</w:t>
      </w:r>
      <w:r>
        <w:rPr>
          <w:sz w:val="24"/>
          <w:szCs w:val="24"/>
        </w:rPr>
        <w:t xml:space="preserve"> </w:t>
      </w:r>
      <w:r w:rsidR="004A086D">
        <w:rPr>
          <w:sz w:val="24"/>
          <w:szCs w:val="24"/>
        </w:rPr>
        <w:t>5</w:t>
      </w:r>
      <w:r w:rsidRPr="002D5BB0">
        <w:rPr>
          <w:sz w:val="24"/>
          <w:szCs w:val="24"/>
        </w:rPr>
        <w:t xml:space="preserve"> projektu rozporządzenia, powyższe dane będą wykazywane w formularzach 11.1 „Produkty ubezpieczeniowe z UFK”, 11.2 „Indywidualne umowy ubezpieczenia na życie z UFK według sposobu opłacania składek ”, 11.3 „Grupowe umowy ubezpieczenia na życie z UFK według sposobu opłacania składek”, 11.4 „Indywidualne umowy ubezpieczenia na życie z UFK w</w:t>
      </w:r>
      <w:r>
        <w:rPr>
          <w:sz w:val="24"/>
          <w:szCs w:val="24"/>
        </w:rPr>
        <w:t>edług dystrybutorów ubezpieczeń</w:t>
      </w:r>
      <w:r w:rsidRPr="002D5BB0">
        <w:rPr>
          <w:sz w:val="24"/>
          <w:szCs w:val="24"/>
        </w:rPr>
        <w:t>”, 11.5 „Grupowe umowy ubezpieczenia na życie z UFK (bez PPE i PPK) według dystrybutorów ubezpieczeń”, 11.6 „PPE i PPK w formie umowy  ubezpieczenia na życie z UFK według dystrybutorów ubezpieczeń” oraz  11.7 „Wypłaty z pro</w:t>
      </w:r>
      <w:r>
        <w:rPr>
          <w:sz w:val="24"/>
          <w:szCs w:val="24"/>
        </w:rPr>
        <w:t>duktów ubezpieczeniowych z UFK”;</w:t>
      </w:r>
    </w:p>
    <w:p w14:paraId="31ECFC3D" w14:textId="77777777" w:rsidR="002D5BB0" w:rsidRPr="002D5BB0" w:rsidRDefault="00915DAD" w:rsidP="0024268E">
      <w:pPr>
        <w:pStyle w:val="Tekstpodstawowy4"/>
        <w:numPr>
          <w:ilvl w:val="0"/>
          <w:numId w:val="19"/>
        </w:numPr>
        <w:shd w:val="clear" w:color="auto" w:fill="auto"/>
        <w:spacing w:after="0" w:line="240" w:lineRule="auto"/>
        <w:ind w:left="426" w:hanging="426"/>
        <w:jc w:val="both"/>
        <w:rPr>
          <w:sz w:val="24"/>
          <w:szCs w:val="24"/>
          <w:u w:val="single"/>
        </w:rPr>
      </w:pPr>
      <w:r w:rsidRPr="002D5BB0">
        <w:rPr>
          <w:sz w:val="24"/>
          <w:szCs w:val="24"/>
          <w:u w:val="single"/>
        </w:rPr>
        <w:t>skarg na działalność zakładu ubezpieczeń oraz spraw procesów sądowych, w których stroną jest zakład ubezpieczeń, oraz roszczeń ich klientów</w:t>
      </w:r>
    </w:p>
    <w:p w14:paraId="365AD0B0" w14:textId="057EC4B0" w:rsidR="00915DAD" w:rsidRPr="00D945C6" w:rsidRDefault="002D5BB0" w:rsidP="002D5BB0">
      <w:pPr>
        <w:pStyle w:val="Tekstpodstawowy4"/>
        <w:spacing w:after="0" w:line="240" w:lineRule="auto"/>
        <w:ind w:left="426" w:firstLine="0"/>
        <w:jc w:val="both"/>
        <w:rPr>
          <w:sz w:val="24"/>
          <w:szCs w:val="24"/>
        </w:rPr>
      </w:pPr>
      <w:r w:rsidRPr="002D5BB0">
        <w:rPr>
          <w:sz w:val="24"/>
          <w:szCs w:val="24"/>
        </w:rPr>
        <w:t>Dotychczasowy zakres danych odnoszących się do skarg na działalność zakładu ubezpieczeń w związku z oferowanymi produktami ubezpieczeniowymi zostanie rozszerzony o sprawy sądowe, których stroną jest</w:t>
      </w:r>
      <w:r>
        <w:rPr>
          <w:sz w:val="24"/>
          <w:szCs w:val="24"/>
        </w:rPr>
        <w:t xml:space="preserve"> zakład ubezpieczeń, tj. dane o </w:t>
      </w:r>
      <w:r w:rsidRPr="002D5BB0">
        <w:rPr>
          <w:sz w:val="24"/>
          <w:szCs w:val="24"/>
        </w:rPr>
        <w:t xml:space="preserve">roszczeniach wypłaconych z tytułu spraw sądowych, roszczeniach zgłoszonych przez klientów oraz utworzonych przez zakład ubezpieczeń rezerw na roszczenia z tytułu spraw sądowych, a także dane o roszczeniach klientów zakładu ubezpieczeń. Dane będą prezentowane w podziale na oferowane przez zakład ubezpieczeń produkty ubezpieczeniowe. Zgodnie z § </w:t>
      </w:r>
      <w:r w:rsidR="004A086D">
        <w:rPr>
          <w:sz w:val="24"/>
          <w:szCs w:val="24"/>
        </w:rPr>
        <w:t>4</w:t>
      </w:r>
      <w:r w:rsidRPr="002D5BB0">
        <w:rPr>
          <w:sz w:val="24"/>
          <w:szCs w:val="24"/>
        </w:rPr>
        <w:t xml:space="preserve"> i § </w:t>
      </w:r>
      <w:r w:rsidR="004A086D">
        <w:rPr>
          <w:sz w:val="24"/>
          <w:szCs w:val="24"/>
        </w:rPr>
        <w:t>5</w:t>
      </w:r>
      <w:r w:rsidRPr="002D5BB0">
        <w:rPr>
          <w:sz w:val="24"/>
          <w:szCs w:val="24"/>
        </w:rPr>
        <w:t xml:space="preserve"> projektu rozporządzenia powyższe dane będą wykazywane formularzach 12. „Skargi na działalność zakładu ubezpieczeń”, 13 „Sprawy sądowe, których stroną jest zakład ubezpieczeń” oraz 14. „Roszczeni</w:t>
      </w:r>
      <w:r>
        <w:rPr>
          <w:sz w:val="24"/>
          <w:szCs w:val="24"/>
        </w:rPr>
        <w:t>a klientów zakładu ubezpieczeń”</w:t>
      </w:r>
      <w:r w:rsidR="00915DAD" w:rsidRPr="00D945C6">
        <w:rPr>
          <w:sz w:val="24"/>
          <w:szCs w:val="24"/>
        </w:rPr>
        <w:t>;</w:t>
      </w:r>
    </w:p>
    <w:p w14:paraId="77D2547E" w14:textId="77777777" w:rsidR="002D5BB0" w:rsidRPr="002D5BB0" w:rsidRDefault="00CA6853" w:rsidP="0024268E">
      <w:pPr>
        <w:pStyle w:val="Tekstpodstawowy4"/>
        <w:numPr>
          <w:ilvl w:val="0"/>
          <w:numId w:val="19"/>
        </w:numPr>
        <w:shd w:val="clear" w:color="auto" w:fill="auto"/>
        <w:spacing w:after="0" w:line="240" w:lineRule="auto"/>
        <w:ind w:left="426" w:hanging="426"/>
        <w:jc w:val="both"/>
        <w:rPr>
          <w:sz w:val="24"/>
          <w:szCs w:val="24"/>
          <w:u w:val="single"/>
        </w:rPr>
      </w:pPr>
      <w:r w:rsidRPr="002D5BB0">
        <w:rPr>
          <w:sz w:val="24"/>
          <w:szCs w:val="24"/>
          <w:u w:val="single"/>
        </w:rPr>
        <w:t>d</w:t>
      </w:r>
      <w:r w:rsidR="004025AC" w:rsidRPr="002D5BB0">
        <w:rPr>
          <w:sz w:val="24"/>
          <w:szCs w:val="24"/>
          <w:u w:val="single"/>
        </w:rPr>
        <w:t>ystrybucji ubezpieczeń</w:t>
      </w:r>
    </w:p>
    <w:p w14:paraId="6CE0AF09" w14:textId="56499086" w:rsidR="00987C1A" w:rsidRPr="00D945C6" w:rsidRDefault="002D5BB0" w:rsidP="002D5BB0">
      <w:pPr>
        <w:pStyle w:val="Tekstpodstawowy4"/>
        <w:spacing w:after="0" w:line="240" w:lineRule="auto"/>
        <w:ind w:left="426" w:firstLine="0"/>
        <w:jc w:val="both"/>
        <w:rPr>
          <w:sz w:val="24"/>
          <w:szCs w:val="24"/>
        </w:rPr>
      </w:pPr>
      <w:r w:rsidRPr="002D5BB0">
        <w:rPr>
          <w:sz w:val="24"/>
          <w:szCs w:val="24"/>
        </w:rPr>
        <w:t>Urząd KNF zidentyfikował konieczność pozyskiwania od zakładów ubezpieczeń dodatkowych informacji w zakresie dystrybucji ubezpieczeń, dotyczących m.in. kanałów dystrybucji ubezpieczeń i reasekuracji, wynagrodzenia należnego z tytułu dystrybucji, liczby zawartych umów ubezpieczenia, danych dotyczący</w:t>
      </w:r>
      <w:r>
        <w:rPr>
          <w:sz w:val="24"/>
          <w:szCs w:val="24"/>
        </w:rPr>
        <w:t>ch składki przypisanej brutto w </w:t>
      </w:r>
      <w:r w:rsidRPr="002D5BB0">
        <w:rPr>
          <w:sz w:val="24"/>
          <w:szCs w:val="24"/>
        </w:rPr>
        <w:t>poszczególnych kanałach dystrybucji, trendów w rodzajach oferowanych produktów ubezpieczeniowych, a także rentowności produktów. Cykliczne pozyskiwanie takich  informacji oraz ich analiza w połączeniu ze sprawozdaniami składanymi przez dystrybutorów ubezpieczeń pozwoli Urzędowi KNF na kompleksowy bieżący nadzór nad dystrybucją ubezpieczeń i podejmowanie działań mających na celu ochronę interesów klientów.</w:t>
      </w:r>
      <w:r>
        <w:rPr>
          <w:sz w:val="24"/>
          <w:szCs w:val="24"/>
        </w:rPr>
        <w:t xml:space="preserve"> </w:t>
      </w:r>
      <w:r w:rsidRPr="002D5BB0">
        <w:rPr>
          <w:sz w:val="24"/>
          <w:szCs w:val="24"/>
        </w:rPr>
        <w:t>Zakłady ubezpieczeń będą przekazywać dane dotyczące dziesięciu produktów ubezpieczeniowych, z tytułu których zakład ubezpieczeń uzyskał najwyższą kwotowo składkę ubezpieczeniową, dziesięciu  dystryb</w:t>
      </w:r>
      <w:r>
        <w:rPr>
          <w:sz w:val="24"/>
          <w:szCs w:val="24"/>
        </w:rPr>
        <w:t>utorów ubezpieczeń, w związku z </w:t>
      </w:r>
      <w:r w:rsidRPr="002D5BB0">
        <w:rPr>
          <w:sz w:val="24"/>
          <w:szCs w:val="24"/>
        </w:rPr>
        <w:t xml:space="preserve">działalnością których zakład uzyskał najwyższą kwotowo składkę ubezpieczeniową, oraz najważniejszych produktów oferowanych przez tych dystrybutorów. Zakres danych dotyczący dystrybucji ubezpieczeń będzie wykazywany w podziale na klasy biznesowe, tj. ubezpieczenia ochronne, ubezpieczenia inwestycyjne, ubezpieczenia emerytalne, pozostałe ubezpieczenia na życie oraz reasekurację czynną. Pozwoli to określić rodzaj oferowanych produktów, tj. rzeczywisty zakres ochrony (ubezpieczonych ryzyk), na co nie pozwalają obecnie dane opierające się wyłącznie na informacji o grupach ubezpieczeń. Zgodnie z § </w:t>
      </w:r>
      <w:r w:rsidR="004A086D">
        <w:rPr>
          <w:sz w:val="24"/>
          <w:szCs w:val="24"/>
        </w:rPr>
        <w:t>4</w:t>
      </w:r>
      <w:r w:rsidRPr="002D5BB0">
        <w:rPr>
          <w:sz w:val="24"/>
          <w:szCs w:val="24"/>
        </w:rPr>
        <w:t xml:space="preserve"> i § </w:t>
      </w:r>
      <w:r w:rsidR="004A086D">
        <w:rPr>
          <w:sz w:val="24"/>
          <w:szCs w:val="24"/>
        </w:rPr>
        <w:t>5</w:t>
      </w:r>
      <w:r w:rsidRPr="002D5BB0">
        <w:rPr>
          <w:sz w:val="24"/>
          <w:szCs w:val="24"/>
        </w:rPr>
        <w:t xml:space="preserve"> projektu rozporządzenia </w:t>
      </w:r>
      <w:r>
        <w:rPr>
          <w:sz w:val="24"/>
          <w:szCs w:val="24"/>
        </w:rPr>
        <w:t>powyższe dane będą wykazywane w </w:t>
      </w:r>
      <w:r w:rsidRPr="002D5BB0">
        <w:rPr>
          <w:sz w:val="24"/>
          <w:szCs w:val="24"/>
        </w:rPr>
        <w:t>formularzach 15.1 „Produkty ubezpieczeniowe według rodzaju ubezpieczenia”, 15.2 „Kanały dystrybucji ubezpieczeń na życie”, 15.3 „Składka przypisana brutto z działalności bezpośredniej według dystrybutorów ubezpieczeń i klas biznesowych” oraz 15.4 „Dystrybutorzy ubezpieczeń według składki przypisanej brutto</w:t>
      </w:r>
      <w:r>
        <w:rPr>
          <w:sz w:val="24"/>
          <w:szCs w:val="24"/>
        </w:rPr>
        <w:t xml:space="preserve"> i produktów ubezpieczeniowych”</w:t>
      </w:r>
      <w:r w:rsidR="00987C1A" w:rsidRPr="00D945C6">
        <w:rPr>
          <w:sz w:val="24"/>
          <w:szCs w:val="24"/>
        </w:rPr>
        <w:t>;</w:t>
      </w:r>
    </w:p>
    <w:p w14:paraId="1B9FA7C0" w14:textId="06DB8162" w:rsidR="009B1046" w:rsidRPr="002D5BB0" w:rsidRDefault="00987C1A" w:rsidP="0024268E">
      <w:pPr>
        <w:pStyle w:val="Tekstpodstawowy4"/>
        <w:numPr>
          <w:ilvl w:val="0"/>
          <w:numId w:val="19"/>
        </w:numPr>
        <w:shd w:val="clear" w:color="auto" w:fill="auto"/>
        <w:spacing w:after="0" w:line="240" w:lineRule="auto"/>
        <w:ind w:left="426" w:hanging="426"/>
        <w:jc w:val="both"/>
        <w:rPr>
          <w:sz w:val="24"/>
          <w:szCs w:val="24"/>
          <w:u w:val="single"/>
        </w:rPr>
      </w:pPr>
      <w:r w:rsidRPr="002D5BB0">
        <w:rPr>
          <w:sz w:val="24"/>
          <w:szCs w:val="24"/>
          <w:u w:val="single"/>
        </w:rPr>
        <w:lastRenderedPageBreak/>
        <w:t>zawartych i rozwiązanych indywidualnych i g</w:t>
      </w:r>
      <w:r w:rsidR="002F7314" w:rsidRPr="002D5BB0">
        <w:rPr>
          <w:sz w:val="24"/>
          <w:szCs w:val="24"/>
          <w:u w:val="single"/>
        </w:rPr>
        <w:t>rupowych umów ubezpieczenia na ż</w:t>
      </w:r>
      <w:r w:rsidRPr="002D5BB0">
        <w:rPr>
          <w:sz w:val="24"/>
          <w:szCs w:val="24"/>
          <w:u w:val="single"/>
        </w:rPr>
        <w:t>ycie</w:t>
      </w:r>
    </w:p>
    <w:p w14:paraId="5D791C94" w14:textId="7ECBA514" w:rsidR="00E91E8E" w:rsidRPr="00D945C6" w:rsidRDefault="00987C1A" w:rsidP="002D5BB0">
      <w:pPr>
        <w:pStyle w:val="Tekstpodstawowy4"/>
        <w:shd w:val="clear" w:color="auto" w:fill="auto"/>
        <w:spacing w:after="0" w:line="240" w:lineRule="auto"/>
        <w:ind w:left="426" w:firstLine="0"/>
        <w:jc w:val="both"/>
        <w:rPr>
          <w:sz w:val="24"/>
          <w:szCs w:val="24"/>
        </w:rPr>
      </w:pPr>
      <w:r w:rsidRPr="00D945C6">
        <w:rPr>
          <w:sz w:val="24"/>
          <w:szCs w:val="24"/>
        </w:rPr>
        <w:t xml:space="preserve">Wprowadzenie formularzy dotyczących zawieranych i rozwiązywanych </w:t>
      </w:r>
      <w:r w:rsidR="004A5F34" w:rsidRPr="00D945C6">
        <w:rPr>
          <w:sz w:val="24"/>
          <w:szCs w:val="24"/>
        </w:rPr>
        <w:t xml:space="preserve">w okresie sprawozdawczym </w:t>
      </w:r>
      <w:r w:rsidRPr="00D945C6">
        <w:rPr>
          <w:sz w:val="24"/>
          <w:szCs w:val="24"/>
        </w:rPr>
        <w:t>indywidualnych i grupowych umów ubezpieczenia na życie umożliwi analizę zmian zachodzących w portfelu poszczególnych zakładów</w:t>
      </w:r>
      <w:r w:rsidR="000063E8">
        <w:rPr>
          <w:sz w:val="24"/>
          <w:szCs w:val="24"/>
        </w:rPr>
        <w:t xml:space="preserve"> ubezpieczeń działu I</w:t>
      </w:r>
      <w:r w:rsidR="002D5BB0">
        <w:rPr>
          <w:sz w:val="24"/>
          <w:szCs w:val="24"/>
        </w:rPr>
        <w:t>, a </w:t>
      </w:r>
      <w:r w:rsidRPr="00D945C6">
        <w:rPr>
          <w:sz w:val="24"/>
          <w:szCs w:val="24"/>
        </w:rPr>
        <w:t>także możliwa będzie szybsza ocena pojawiających się niepokojących trendów</w:t>
      </w:r>
      <w:r w:rsidR="00AB1D6C" w:rsidRPr="00D945C6">
        <w:rPr>
          <w:sz w:val="24"/>
          <w:szCs w:val="24"/>
        </w:rPr>
        <w:t xml:space="preserve"> dotyczących rezygnacji z umów ubezpieczenia</w:t>
      </w:r>
      <w:r w:rsidRPr="00D945C6">
        <w:rPr>
          <w:sz w:val="24"/>
          <w:szCs w:val="24"/>
        </w:rPr>
        <w:t xml:space="preserve">. </w:t>
      </w:r>
      <w:r w:rsidR="00E91E8E" w:rsidRPr="00D945C6">
        <w:rPr>
          <w:sz w:val="24"/>
          <w:szCs w:val="24"/>
        </w:rPr>
        <w:t>Zgodnie z § </w:t>
      </w:r>
      <w:r w:rsidR="004A086D">
        <w:rPr>
          <w:sz w:val="24"/>
          <w:szCs w:val="24"/>
        </w:rPr>
        <w:t>4</w:t>
      </w:r>
      <w:r w:rsidR="00E91E8E" w:rsidRPr="00D945C6">
        <w:rPr>
          <w:sz w:val="24"/>
          <w:szCs w:val="24"/>
        </w:rPr>
        <w:t xml:space="preserve"> i </w:t>
      </w:r>
      <w:r w:rsidR="002D5BB0" w:rsidRPr="002D5BB0">
        <w:rPr>
          <w:sz w:val="24"/>
          <w:szCs w:val="24"/>
        </w:rPr>
        <w:t>§</w:t>
      </w:r>
      <w:r w:rsidR="002D5BB0">
        <w:rPr>
          <w:sz w:val="24"/>
          <w:szCs w:val="24"/>
        </w:rPr>
        <w:t xml:space="preserve"> </w:t>
      </w:r>
      <w:r w:rsidR="004A086D">
        <w:rPr>
          <w:sz w:val="24"/>
          <w:szCs w:val="24"/>
        </w:rPr>
        <w:t>5</w:t>
      </w:r>
      <w:r w:rsidR="00E91E8E" w:rsidRPr="00D945C6">
        <w:rPr>
          <w:sz w:val="24"/>
          <w:szCs w:val="24"/>
        </w:rPr>
        <w:t xml:space="preserve"> projektu rozporządzenia powyższe dane będą wykazywane formularzach 1</w:t>
      </w:r>
      <w:r w:rsidR="004A5F34" w:rsidRPr="00D945C6">
        <w:rPr>
          <w:sz w:val="24"/>
          <w:szCs w:val="24"/>
        </w:rPr>
        <w:t>6</w:t>
      </w:r>
      <w:r w:rsidR="00E91E8E" w:rsidRPr="00D945C6">
        <w:rPr>
          <w:sz w:val="24"/>
          <w:szCs w:val="24"/>
        </w:rPr>
        <w:t>.</w:t>
      </w:r>
      <w:r w:rsidR="004A5F34" w:rsidRPr="00D945C6">
        <w:rPr>
          <w:sz w:val="24"/>
          <w:szCs w:val="24"/>
        </w:rPr>
        <w:t>1</w:t>
      </w:r>
      <w:r w:rsidR="00A05F57" w:rsidRPr="00D945C6">
        <w:rPr>
          <w:sz w:val="24"/>
          <w:szCs w:val="24"/>
        </w:rPr>
        <w:t xml:space="preserve"> „Umowy indywidualne” oraz 16.2 „Umowy grupowe”.</w:t>
      </w:r>
    </w:p>
    <w:p w14:paraId="1CBDF525" w14:textId="77777777" w:rsidR="002D5BB0" w:rsidRDefault="002D5BB0" w:rsidP="002D5BB0">
      <w:pPr>
        <w:pStyle w:val="Tekstpodstawowy4"/>
        <w:shd w:val="clear" w:color="auto" w:fill="auto"/>
        <w:spacing w:after="0" w:line="240" w:lineRule="auto"/>
        <w:ind w:firstLine="0"/>
        <w:jc w:val="both"/>
        <w:rPr>
          <w:sz w:val="24"/>
          <w:szCs w:val="24"/>
        </w:rPr>
      </w:pPr>
    </w:p>
    <w:p w14:paraId="20B2D72E" w14:textId="07F5C240" w:rsidR="000C73B5" w:rsidRPr="00D945C6" w:rsidRDefault="000C73B5" w:rsidP="002D5BB0">
      <w:pPr>
        <w:pStyle w:val="Tekstpodstawowy4"/>
        <w:shd w:val="clear" w:color="auto" w:fill="auto"/>
        <w:spacing w:after="0" w:line="240" w:lineRule="auto"/>
        <w:ind w:firstLine="0"/>
        <w:jc w:val="both"/>
        <w:rPr>
          <w:sz w:val="24"/>
          <w:szCs w:val="24"/>
        </w:rPr>
      </w:pPr>
      <w:r w:rsidRPr="00D945C6">
        <w:rPr>
          <w:sz w:val="24"/>
          <w:szCs w:val="24"/>
        </w:rPr>
        <w:t xml:space="preserve">W zakresie </w:t>
      </w:r>
      <w:r w:rsidRPr="00672DDD">
        <w:rPr>
          <w:b/>
          <w:sz w:val="24"/>
          <w:szCs w:val="24"/>
        </w:rPr>
        <w:t xml:space="preserve">zakładów ubezpieczeń działu II </w:t>
      </w:r>
      <w:r w:rsidRPr="00D945C6">
        <w:rPr>
          <w:sz w:val="24"/>
          <w:szCs w:val="24"/>
        </w:rPr>
        <w:t xml:space="preserve">określonego w załączniku do ustawy zmiany polegają na rozszerzeniu zakresu danych dotyczących: </w:t>
      </w:r>
    </w:p>
    <w:p w14:paraId="3AAC3E31" w14:textId="35B80F9E" w:rsidR="005F618C" w:rsidRPr="00D945C6" w:rsidRDefault="00671B7A" w:rsidP="00672DDD">
      <w:pPr>
        <w:pStyle w:val="Tekstpodstawowy4"/>
        <w:numPr>
          <w:ilvl w:val="0"/>
          <w:numId w:val="21"/>
        </w:numPr>
        <w:shd w:val="clear" w:color="auto" w:fill="auto"/>
        <w:spacing w:after="0" w:line="240" w:lineRule="auto"/>
        <w:jc w:val="both"/>
        <w:rPr>
          <w:sz w:val="24"/>
          <w:szCs w:val="24"/>
        </w:rPr>
      </w:pPr>
      <w:r w:rsidRPr="000063E8">
        <w:rPr>
          <w:sz w:val="24"/>
          <w:szCs w:val="24"/>
          <w:u w:val="single"/>
        </w:rPr>
        <w:t>skarg na działalność zakładu ubezpieczeń</w:t>
      </w:r>
      <w:r w:rsidRPr="00D945C6">
        <w:rPr>
          <w:sz w:val="24"/>
          <w:szCs w:val="24"/>
        </w:rPr>
        <w:t xml:space="preserve"> </w:t>
      </w:r>
      <w:r w:rsidR="000C73B5" w:rsidRPr="00D945C6">
        <w:rPr>
          <w:sz w:val="24"/>
          <w:szCs w:val="24"/>
        </w:rPr>
        <w:t>–</w:t>
      </w:r>
      <w:r w:rsidR="00B17578" w:rsidRPr="00D945C6">
        <w:rPr>
          <w:sz w:val="24"/>
          <w:szCs w:val="24"/>
        </w:rPr>
        <w:t xml:space="preserve"> analogicznie jak w przypadku zakładów ubezpieczeń działu I</w:t>
      </w:r>
      <w:r w:rsidR="000063E8" w:rsidRPr="000063E8">
        <w:rPr>
          <w:sz w:val="24"/>
          <w:szCs w:val="24"/>
        </w:rPr>
        <w:t xml:space="preserve"> </w:t>
      </w:r>
      <w:r w:rsidR="000063E8">
        <w:rPr>
          <w:sz w:val="24"/>
          <w:szCs w:val="24"/>
        </w:rPr>
        <w:t>- w</w:t>
      </w:r>
      <w:r w:rsidR="000063E8" w:rsidRPr="00D945C6">
        <w:rPr>
          <w:sz w:val="24"/>
          <w:szCs w:val="24"/>
        </w:rPr>
        <w:t xml:space="preserve"> tym przypadku nie przewiduje się odrębnego formularza odnoszącego się do roszczeń klientów, ponieważ nie występują analogiczne niepokojące zjawiska jak w ubezpieczeniach na życie </w:t>
      </w:r>
      <w:r w:rsidR="000063E8">
        <w:rPr>
          <w:sz w:val="24"/>
          <w:szCs w:val="24"/>
        </w:rPr>
        <w:t>z UFK</w:t>
      </w:r>
      <w:r w:rsidR="001C5965" w:rsidRPr="00D945C6">
        <w:rPr>
          <w:sz w:val="24"/>
          <w:szCs w:val="24"/>
        </w:rPr>
        <w:t xml:space="preserve">; </w:t>
      </w:r>
      <w:r w:rsidR="00870F37" w:rsidRPr="00D945C6">
        <w:rPr>
          <w:sz w:val="24"/>
          <w:szCs w:val="24"/>
        </w:rPr>
        <w:t xml:space="preserve"> </w:t>
      </w:r>
      <w:r w:rsidR="001C5965" w:rsidRPr="00D945C6">
        <w:rPr>
          <w:sz w:val="24"/>
          <w:szCs w:val="24"/>
        </w:rPr>
        <w:t xml:space="preserve"> </w:t>
      </w:r>
      <w:r w:rsidR="004730C1" w:rsidRPr="00D945C6">
        <w:rPr>
          <w:sz w:val="24"/>
          <w:szCs w:val="24"/>
        </w:rPr>
        <w:t xml:space="preserve"> </w:t>
      </w:r>
    </w:p>
    <w:p w14:paraId="5077A45E" w14:textId="4A19EF21" w:rsidR="005F618C" w:rsidRPr="00D945C6" w:rsidRDefault="001C709E" w:rsidP="00672DDD">
      <w:pPr>
        <w:pStyle w:val="Tekstpodstawowy4"/>
        <w:numPr>
          <w:ilvl w:val="0"/>
          <w:numId w:val="21"/>
        </w:numPr>
        <w:shd w:val="clear" w:color="auto" w:fill="auto"/>
        <w:spacing w:after="0" w:line="240" w:lineRule="auto"/>
        <w:jc w:val="both"/>
        <w:rPr>
          <w:sz w:val="24"/>
          <w:szCs w:val="24"/>
        </w:rPr>
      </w:pPr>
      <w:r w:rsidRPr="000063E8">
        <w:rPr>
          <w:sz w:val="24"/>
          <w:szCs w:val="24"/>
          <w:u w:val="single"/>
        </w:rPr>
        <w:t xml:space="preserve">dystrybucji </w:t>
      </w:r>
      <w:r w:rsidR="00671B7A" w:rsidRPr="000063E8">
        <w:rPr>
          <w:sz w:val="24"/>
          <w:szCs w:val="24"/>
          <w:u w:val="single"/>
        </w:rPr>
        <w:t>ubezpieczeń</w:t>
      </w:r>
      <w:r w:rsidR="00671B7A" w:rsidRPr="00D945C6">
        <w:rPr>
          <w:sz w:val="24"/>
          <w:szCs w:val="24"/>
        </w:rPr>
        <w:t xml:space="preserve"> </w:t>
      </w:r>
      <w:r w:rsidR="00F41B3D" w:rsidRPr="00D945C6">
        <w:rPr>
          <w:sz w:val="24"/>
          <w:szCs w:val="24"/>
        </w:rPr>
        <w:t xml:space="preserve">– </w:t>
      </w:r>
      <w:r w:rsidR="004730C1" w:rsidRPr="00D945C6">
        <w:rPr>
          <w:sz w:val="24"/>
          <w:szCs w:val="24"/>
        </w:rPr>
        <w:t xml:space="preserve">analogicznie jak w przypadku zakładów ubezpieczeń </w:t>
      </w:r>
      <w:r w:rsidR="00B17578" w:rsidRPr="00D945C6">
        <w:rPr>
          <w:sz w:val="24"/>
          <w:szCs w:val="24"/>
        </w:rPr>
        <w:t>działu</w:t>
      </w:r>
      <w:r w:rsidR="009F3B06" w:rsidRPr="00D945C6">
        <w:rPr>
          <w:sz w:val="24"/>
          <w:szCs w:val="24"/>
        </w:rPr>
        <w:t> </w:t>
      </w:r>
      <w:r w:rsidR="00B17578" w:rsidRPr="00D945C6">
        <w:rPr>
          <w:sz w:val="24"/>
          <w:szCs w:val="24"/>
        </w:rPr>
        <w:t xml:space="preserve"> I</w:t>
      </w:r>
      <w:r w:rsidR="000063E8">
        <w:rPr>
          <w:sz w:val="24"/>
          <w:szCs w:val="24"/>
        </w:rPr>
        <w:t xml:space="preserve"> - z</w:t>
      </w:r>
      <w:r w:rsidR="000063E8" w:rsidRPr="00D945C6">
        <w:rPr>
          <w:sz w:val="24"/>
          <w:szCs w:val="24"/>
        </w:rPr>
        <w:t>godnie z § </w:t>
      </w:r>
      <w:r w:rsidR="00FB2596">
        <w:rPr>
          <w:sz w:val="24"/>
          <w:szCs w:val="24"/>
        </w:rPr>
        <w:t>7</w:t>
      </w:r>
      <w:r w:rsidR="000063E8" w:rsidRPr="00D945C6">
        <w:rPr>
          <w:sz w:val="24"/>
          <w:szCs w:val="24"/>
        </w:rPr>
        <w:t xml:space="preserve"> i </w:t>
      </w:r>
      <w:r w:rsidR="000063E8" w:rsidRPr="000063E8">
        <w:rPr>
          <w:sz w:val="24"/>
          <w:szCs w:val="24"/>
        </w:rPr>
        <w:t>§</w:t>
      </w:r>
      <w:r w:rsidR="000063E8">
        <w:rPr>
          <w:sz w:val="24"/>
          <w:szCs w:val="24"/>
        </w:rPr>
        <w:t xml:space="preserve"> </w:t>
      </w:r>
      <w:r w:rsidR="00FB2596">
        <w:rPr>
          <w:sz w:val="24"/>
          <w:szCs w:val="24"/>
        </w:rPr>
        <w:t>8</w:t>
      </w:r>
      <w:r w:rsidR="000063E8" w:rsidRPr="00D945C6">
        <w:rPr>
          <w:sz w:val="24"/>
          <w:szCs w:val="24"/>
        </w:rPr>
        <w:t xml:space="preserve"> projektu rozporządzenia powyższe dane będą wykazywane w formularzach 12.1 „Produkty ubezpieczeniowe według składki przypisanej brutto i klas biznesowych”, 12.2 „Kanały dystrybucji pozostałych ubezpieczeń osobowych i majątkowych”, 12</w:t>
      </w:r>
      <w:r w:rsidR="000063E8">
        <w:rPr>
          <w:sz w:val="24"/>
          <w:szCs w:val="24"/>
        </w:rPr>
        <w:t>.3 „Składka przypisana brutto z </w:t>
      </w:r>
      <w:r w:rsidR="000063E8" w:rsidRPr="00D945C6">
        <w:rPr>
          <w:sz w:val="24"/>
          <w:szCs w:val="24"/>
        </w:rPr>
        <w:t>działalności bezpośredniej według dystrybutorów ubezpieczeń i klas biznesowych” oraz 12.4 „Dystrybutorzy ubezpieczeń według składki przypisanej brutto i produktów ubezpieczeniowych”. Rozszerzenie zakresu danych w zakresie dystrybucji ubezpieczeń działu II jest analogiczne jak w przypadku d</w:t>
      </w:r>
      <w:r w:rsidR="000063E8">
        <w:rPr>
          <w:sz w:val="24"/>
          <w:szCs w:val="24"/>
        </w:rPr>
        <w:t>ystrybucji ubezpieczeń działu I</w:t>
      </w:r>
      <w:r w:rsidR="00F41B3D" w:rsidRPr="00D945C6">
        <w:rPr>
          <w:sz w:val="24"/>
          <w:szCs w:val="24"/>
        </w:rPr>
        <w:t>;</w:t>
      </w:r>
      <w:r w:rsidR="00F838E3" w:rsidRPr="00D945C6">
        <w:rPr>
          <w:sz w:val="24"/>
          <w:szCs w:val="24"/>
        </w:rPr>
        <w:t xml:space="preserve"> </w:t>
      </w:r>
    </w:p>
    <w:p w14:paraId="36CE28AF" w14:textId="662990DC" w:rsidR="000063E8" w:rsidRPr="000063E8" w:rsidRDefault="00F838E3" w:rsidP="00567958">
      <w:pPr>
        <w:pStyle w:val="Tekstpodstawowy4"/>
        <w:numPr>
          <w:ilvl w:val="0"/>
          <w:numId w:val="21"/>
        </w:numPr>
        <w:shd w:val="clear" w:color="auto" w:fill="auto"/>
        <w:spacing w:after="0" w:line="240" w:lineRule="auto"/>
        <w:jc w:val="both"/>
        <w:rPr>
          <w:sz w:val="24"/>
          <w:szCs w:val="24"/>
        </w:rPr>
      </w:pPr>
      <w:r w:rsidRPr="000063E8">
        <w:rPr>
          <w:sz w:val="24"/>
          <w:szCs w:val="24"/>
          <w:u w:val="single"/>
        </w:rPr>
        <w:t xml:space="preserve">danych o umowach ubezpieczenia </w:t>
      </w:r>
      <w:r w:rsidR="001C5965" w:rsidRPr="000063E8">
        <w:rPr>
          <w:sz w:val="24"/>
          <w:szCs w:val="24"/>
          <w:u w:val="single"/>
        </w:rPr>
        <w:t>odpowiedzialności cywilnej (</w:t>
      </w:r>
      <w:r w:rsidRPr="000063E8">
        <w:rPr>
          <w:sz w:val="24"/>
          <w:szCs w:val="24"/>
          <w:u w:val="single"/>
        </w:rPr>
        <w:t>OC</w:t>
      </w:r>
      <w:r w:rsidR="001C5965" w:rsidRPr="000063E8">
        <w:rPr>
          <w:sz w:val="24"/>
          <w:szCs w:val="24"/>
          <w:u w:val="single"/>
        </w:rPr>
        <w:t xml:space="preserve">) </w:t>
      </w:r>
      <w:r w:rsidRPr="000063E8">
        <w:rPr>
          <w:sz w:val="24"/>
          <w:szCs w:val="24"/>
          <w:u w:val="single"/>
        </w:rPr>
        <w:t>posiadaczy pojazdów mechanicznych</w:t>
      </w:r>
      <w:r w:rsidR="000063E8" w:rsidRPr="000063E8">
        <w:rPr>
          <w:sz w:val="24"/>
          <w:szCs w:val="24"/>
          <w:u w:val="single"/>
        </w:rPr>
        <w:t xml:space="preserve"> - </w:t>
      </w:r>
      <w:r w:rsidR="000063E8" w:rsidRPr="000063E8">
        <w:rPr>
          <w:sz w:val="24"/>
          <w:szCs w:val="24"/>
        </w:rPr>
        <w:t>znacznemu rozszerzeniu ulega zakres danych o  umowach ubezpieczenia OC posiadaczy pojazdów mechanicznych ze względu na znaczący udział tych ubezpieczeń w ubezpieczeniach działu II – w pierwszych trzech  kwartałach 2020 r. wyniósł 35,1%. W związku z tym niezbędne jest monitorowanie danych o tych ubezpieczeniach, w tym o zawartych, odnowionych i rozwiązanych umowach ubezpieczenia, składce przypisanej brutto, wypłaconych odszkodowań i procesie likwidacji szkód. Zgodnie z § </w:t>
      </w:r>
      <w:r w:rsidR="004A086D">
        <w:rPr>
          <w:sz w:val="24"/>
          <w:szCs w:val="24"/>
        </w:rPr>
        <w:t>7</w:t>
      </w:r>
      <w:r w:rsidR="000063E8" w:rsidRPr="000063E8">
        <w:rPr>
          <w:sz w:val="24"/>
          <w:szCs w:val="24"/>
        </w:rPr>
        <w:t xml:space="preserve"> i § </w:t>
      </w:r>
      <w:r w:rsidR="004A086D">
        <w:rPr>
          <w:sz w:val="24"/>
          <w:szCs w:val="24"/>
        </w:rPr>
        <w:t>8</w:t>
      </w:r>
      <w:r w:rsidR="000063E8" w:rsidRPr="000063E8">
        <w:rPr>
          <w:sz w:val="24"/>
          <w:szCs w:val="24"/>
        </w:rPr>
        <w:t xml:space="preserve"> projektu rozporządzenia powyższe dane będą wykazywane w formularzu 13. „Ubezpieczenie odpowiedzialności cywilnej  posiadaczy pojazdów mechanicznych - umowy ubezpieczenia i szkody”</w:t>
      </w:r>
      <w:r w:rsidR="000063E8">
        <w:rPr>
          <w:sz w:val="24"/>
          <w:szCs w:val="24"/>
        </w:rPr>
        <w:t>;</w:t>
      </w:r>
      <w:r w:rsidR="000063E8" w:rsidRPr="000063E8">
        <w:rPr>
          <w:sz w:val="24"/>
          <w:szCs w:val="24"/>
        </w:rPr>
        <w:t xml:space="preserve"> </w:t>
      </w:r>
    </w:p>
    <w:p w14:paraId="0B39184F" w14:textId="58F7A426" w:rsidR="000063E8" w:rsidRDefault="00671B7A" w:rsidP="00307530">
      <w:pPr>
        <w:pStyle w:val="Tekstpodstawowy4"/>
        <w:numPr>
          <w:ilvl w:val="0"/>
          <w:numId w:val="21"/>
        </w:numPr>
        <w:shd w:val="clear" w:color="auto" w:fill="auto"/>
        <w:spacing w:after="0" w:line="240" w:lineRule="auto"/>
        <w:jc w:val="both"/>
        <w:rPr>
          <w:sz w:val="24"/>
          <w:szCs w:val="24"/>
        </w:rPr>
      </w:pPr>
      <w:r w:rsidRPr="000063E8">
        <w:rPr>
          <w:sz w:val="24"/>
          <w:szCs w:val="24"/>
          <w:u w:val="single"/>
        </w:rPr>
        <w:t>zawartych i rozwiązanych umowach ubezpiecze</w:t>
      </w:r>
      <w:r w:rsidR="00B17578" w:rsidRPr="000063E8">
        <w:rPr>
          <w:sz w:val="24"/>
          <w:szCs w:val="24"/>
          <w:u w:val="single"/>
        </w:rPr>
        <w:t>nia</w:t>
      </w:r>
      <w:r w:rsidR="00500EE5" w:rsidRPr="000063E8">
        <w:rPr>
          <w:sz w:val="24"/>
          <w:szCs w:val="24"/>
          <w:u w:val="single"/>
        </w:rPr>
        <w:t xml:space="preserve"> działu II</w:t>
      </w:r>
      <w:r w:rsidR="000063E8" w:rsidRPr="000063E8">
        <w:rPr>
          <w:sz w:val="24"/>
          <w:szCs w:val="24"/>
          <w:u w:val="single"/>
        </w:rPr>
        <w:t xml:space="preserve"> - </w:t>
      </w:r>
      <w:r w:rsidR="000063E8" w:rsidRPr="000063E8">
        <w:rPr>
          <w:sz w:val="24"/>
          <w:szCs w:val="24"/>
        </w:rPr>
        <w:t>dane  dotyczące zawartych i rozwiązanych umów ubezpieczenia w podziale na grupy ubezpieczeń  w tym przypadku pozwolą KNF na analizę zmian zachodzących w portfelu poszczególnych zakładów, będzie także możliwa szybsza ocena pojawiających się niepokojących trendów i odpowiednia reakcja nadzorcza w tym zakresie. Dodatkowo należy wskazać, że przedmiotowe dane są wykorzystywane w procesie badania i oceny nadzorczej (tzw. BION) na podstawie dodatkowych informacji przekazywanych przez zakłady na żądanie Urzędu KNF. Zgodnie z § </w:t>
      </w:r>
      <w:r w:rsidR="004A086D">
        <w:rPr>
          <w:sz w:val="24"/>
          <w:szCs w:val="24"/>
        </w:rPr>
        <w:t>7</w:t>
      </w:r>
      <w:r w:rsidR="000063E8" w:rsidRPr="000063E8">
        <w:rPr>
          <w:sz w:val="24"/>
          <w:szCs w:val="24"/>
        </w:rPr>
        <w:t xml:space="preserve"> i § </w:t>
      </w:r>
      <w:r w:rsidR="004A086D">
        <w:rPr>
          <w:sz w:val="24"/>
          <w:szCs w:val="24"/>
        </w:rPr>
        <w:t>8</w:t>
      </w:r>
      <w:r w:rsidR="000063E8" w:rsidRPr="000063E8">
        <w:rPr>
          <w:sz w:val="24"/>
          <w:szCs w:val="24"/>
        </w:rPr>
        <w:t xml:space="preserve"> projektu rozporządzenia powyższe dane będą wykazywane w formularzu sprawozdawczym 16. „Umowy ubezpieczenia działu II”;</w:t>
      </w:r>
    </w:p>
    <w:p w14:paraId="2A8FB153" w14:textId="0F2B3C34" w:rsidR="0089008F" w:rsidRPr="000063E8" w:rsidRDefault="00032831" w:rsidP="000063E8">
      <w:pPr>
        <w:pStyle w:val="Tekstpodstawowy4"/>
        <w:numPr>
          <w:ilvl w:val="0"/>
          <w:numId w:val="21"/>
        </w:numPr>
        <w:shd w:val="clear" w:color="auto" w:fill="auto"/>
        <w:spacing w:after="0" w:line="240" w:lineRule="auto"/>
        <w:jc w:val="both"/>
        <w:rPr>
          <w:sz w:val="24"/>
          <w:szCs w:val="24"/>
          <w:u w:val="single"/>
        </w:rPr>
      </w:pPr>
      <w:r w:rsidRPr="000063E8">
        <w:rPr>
          <w:sz w:val="24"/>
          <w:szCs w:val="24"/>
          <w:u w:val="single"/>
        </w:rPr>
        <w:t xml:space="preserve">wykonywanej </w:t>
      </w:r>
      <w:r w:rsidR="00DD0964" w:rsidRPr="000063E8">
        <w:rPr>
          <w:sz w:val="24"/>
          <w:szCs w:val="24"/>
          <w:u w:val="single"/>
        </w:rPr>
        <w:t xml:space="preserve">przez zakład ubezpieczeń </w:t>
      </w:r>
      <w:r w:rsidR="000063E8">
        <w:rPr>
          <w:sz w:val="24"/>
          <w:szCs w:val="24"/>
          <w:u w:val="single"/>
        </w:rPr>
        <w:t>reasekuracji biernej - r</w:t>
      </w:r>
      <w:r w:rsidR="00870F37" w:rsidRPr="000063E8">
        <w:rPr>
          <w:sz w:val="24"/>
          <w:szCs w:val="24"/>
        </w:rPr>
        <w:t>easekuracja bierna jest  najistotniejszą techniką ograniczania ryzyka zakładu ubezpieczeń oraz może powodować  znaczące obniżenie wymogów kapitałowych</w:t>
      </w:r>
      <w:r w:rsidR="00B069CB" w:rsidRPr="000063E8">
        <w:rPr>
          <w:sz w:val="24"/>
          <w:szCs w:val="24"/>
        </w:rPr>
        <w:t>.</w:t>
      </w:r>
      <w:r w:rsidR="00563E5B" w:rsidRPr="000063E8">
        <w:rPr>
          <w:sz w:val="24"/>
          <w:szCs w:val="24"/>
        </w:rPr>
        <w:t xml:space="preserve"> </w:t>
      </w:r>
      <w:r w:rsidR="001C0FCC" w:rsidRPr="000063E8">
        <w:rPr>
          <w:sz w:val="24"/>
          <w:szCs w:val="24"/>
        </w:rPr>
        <w:t xml:space="preserve">KNF </w:t>
      </w:r>
      <w:r w:rsidR="00F800A9" w:rsidRPr="000063E8">
        <w:rPr>
          <w:sz w:val="24"/>
          <w:szCs w:val="24"/>
        </w:rPr>
        <w:t xml:space="preserve">będzie </w:t>
      </w:r>
      <w:r w:rsidR="001C0FCC" w:rsidRPr="000063E8">
        <w:rPr>
          <w:sz w:val="24"/>
          <w:szCs w:val="24"/>
        </w:rPr>
        <w:t>monitorowa</w:t>
      </w:r>
      <w:r w:rsidR="00F800A9" w:rsidRPr="000063E8">
        <w:rPr>
          <w:sz w:val="24"/>
          <w:szCs w:val="24"/>
        </w:rPr>
        <w:t xml:space="preserve">ł </w:t>
      </w:r>
      <w:r w:rsidR="001C0FCC" w:rsidRPr="000063E8">
        <w:rPr>
          <w:sz w:val="24"/>
          <w:szCs w:val="24"/>
        </w:rPr>
        <w:t xml:space="preserve"> maksymaln</w:t>
      </w:r>
      <w:r w:rsidR="00F800A9" w:rsidRPr="000063E8">
        <w:rPr>
          <w:sz w:val="24"/>
          <w:szCs w:val="24"/>
        </w:rPr>
        <w:t xml:space="preserve">e </w:t>
      </w:r>
      <w:r w:rsidR="001C0FCC" w:rsidRPr="000063E8">
        <w:rPr>
          <w:sz w:val="24"/>
          <w:szCs w:val="24"/>
        </w:rPr>
        <w:t>możliw</w:t>
      </w:r>
      <w:r w:rsidR="00F800A9" w:rsidRPr="000063E8">
        <w:rPr>
          <w:sz w:val="24"/>
          <w:szCs w:val="24"/>
        </w:rPr>
        <w:t>e</w:t>
      </w:r>
      <w:r w:rsidR="001C0FCC" w:rsidRPr="000063E8">
        <w:rPr>
          <w:sz w:val="24"/>
          <w:szCs w:val="24"/>
        </w:rPr>
        <w:t xml:space="preserve"> szk</w:t>
      </w:r>
      <w:r w:rsidR="00F800A9" w:rsidRPr="000063E8">
        <w:rPr>
          <w:sz w:val="24"/>
          <w:szCs w:val="24"/>
        </w:rPr>
        <w:t>o</w:t>
      </w:r>
      <w:r w:rsidR="001C0FCC" w:rsidRPr="000063E8">
        <w:rPr>
          <w:sz w:val="24"/>
          <w:szCs w:val="24"/>
        </w:rPr>
        <w:t>d</w:t>
      </w:r>
      <w:r w:rsidR="00F800A9" w:rsidRPr="000063E8">
        <w:rPr>
          <w:sz w:val="24"/>
          <w:szCs w:val="24"/>
        </w:rPr>
        <w:t>y</w:t>
      </w:r>
      <w:r w:rsidR="001C0FCC" w:rsidRPr="000063E8">
        <w:rPr>
          <w:sz w:val="24"/>
          <w:szCs w:val="24"/>
        </w:rPr>
        <w:t xml:space="preserve"> brutto i na udziale </w:t>
      </w:r>
      <w:r w:rsidR="001217AF" w:rsidRPr="000063E8">
        <w:rPr>
          <w:sz w:val="24"/>
          <w:szCs w:val="24"/>
        </w:rPr>
        <w:t xml:space="preserve">własnym </w:t>
      </w:r>
      <w:r w:rsidR="001C0FCC" w:rsidRPr="000063E8">
        <w:rPr>
          <w:sz w:val="24"/>
          <w:szCs w:val="24"/>
        </w:rPr>
        <w:t xml:space="preserve">zakładu </w:t>
      </w:r>
      <w:r w:rsidR="00970AAA" w:rsidRPr="000063E8">
        <w:rPr>
          <w:sz w:val="24"/>
          <w:szCs w:val="24"/>
        </w:rPr>
        <w:t>ubezpieczeń oraz maksymaln</w:t>
      </w:r>
      <w:r w:rsidR="00F800A9" w:rsidRPr="000063E8">
        <w:rPr>
          <w:sz w:val="24"/>
          <w:szCs w:val="24"/>
        </w:rPr>
        <w:t>e</w:t>
      </w:r>
      <w:r w:rsidR="00970AAA" w:rsidRPr="000063E8">
        <w:rPr>
          <w:sz w:val="24"/>
          <w:szCs w:val="24"/>
        </w:rPr>
        <w:t xml:space="preserve"> możliw</w:t>
      </w:r>
      <w:r w:rsidR="00F800A9" w:rsidRPr="000063E8">
        <w:rPr>
          <w:sz w:val="24"/>
          <w:szCs w:val="24"/>
        </w:rPr>
        <w:t>e</w:t>
      </w:r>
      <w:r w:rsidR="00970AAA" w:rsidRPr="000063E8">
        <w:rPr>
          <w:sz w:val="24"/>
          <w:szCs w:val="24"/>
        </w:rPr>
        <w:t xml:space="preserve"> ryzyk</w:t>
      </w:r>
      <w:r w:rsidR="00F800A9" w:rsidRPr="000063E8">
        <w:rPr>
          <w:sz w:val="24"/>
          <w:szCs w:val="24"/>
        </w:rPr>
        <w:t>a</w:t>
      </w:r>
      <w:r w:rsidR="00970AAA" w:rsidRPr="000063E8">
        <w:rPr>
          <w:sz w:val="24"/>
          <w:szCs w:val="24"/>
        </w:rPr>
        <w:t xml:space="preserve"> ubezpieczon</w:t>
      </w:r>
      <w:r w:rsidR="00B069CB" w:rsidRPr="000063E8">
        <w:rPr>
          <w:sz w:val="24"/>
          <w:szCs w:val="24"/>
        </w:rPr>
        <w:t>e</w:t>
      </w:r>
      <w:r w:rsidR="00970AAA" w:rsidRPr="000063E8">
        <w:rPr>
          <w:sz w:val="24"/>
          <w:szCs w:val="24"/>
        </w:rPr>
        <w:t xml:space="preserve"> przez zakład ubezpieczeń</w:t>
      </w:r>
      <w:r w:rsidR="001217AF" w:rsidRPr="000063E8">
        <w:rPr>
          <w:sz w:val="24"/>
          <w:szCs w:val="24"/>
        </w:rPr>
        <w:t xml:space="preserve">, a także </w:t>
      </w:r>
      <w:r w:rsidR="00970AAA" w:rsidRPr="000063E8">
        <w:rPr>
          <w:sz w:val="24"/>
          <w:szCs w:val="24"/>
        </w:rPr>
        <w:t xml:space="preserve"> </w:t>
      </w:r>
      <w:r w:rsidR="001217AF" w:rsidRPr="000063E8">
        <w:rPr>
          <w:sz w:val="24"/>
          <w:szCs w:val="24"/>
          <w:lang w:eastAsia="pl-PL"/>
        </w:rPr>
        <w:t>p</w:t>
      </w:r>
      <w:r w:rsidR="00F800A9" w:rsidRPr="000063E8">
        <w:rPr>
          <w:sz w:val="24"/>
          <w:szCs w:val="24"/>
        </w:rPr>
        <w:t xml:space="preserve">oziom reasekuracji biernej, jej koncentracji w danym podmiocie lub państwie oraz jakość </w:t>
      </w:r>
      <w:r w:rsidR="00F800A9" w:rsidRPr="000063E8">
        <w:rPr>
          <w:sz w:val="24"/>
          <w:szCs w:val="24"/>
        </w:rPr>
        <w:lastRenderedPageBreak/>
        <w:t>kredytową reasekuratorów.</w:t>
      </w:r>
      <w:r w:rsidR="003541C9">
        <w:rPr>
          <w:sz w:val="24"/>
          <w:szCs w:val="24"/>
          <w:u w:val="single"/>
        </w:rPr>
        <w:t> </w:t>
      </w:r>
      <w:r w:rsidR="0089008F" w:rsidRPr="000063E8">
        <w:rPr>
          <w:sz w:val="24"/>
          <w:szCs w:val="24"/>
        </w:rPr>
        <w:t>Zgodnie z § </w:t>
      </w:r>
      <w:r w:rsidR="004A086D">
        <w:rPr>
          <w:sz w:val="24"/>
          <w:szCs w:val="24"/>
        </w:rPr>
        <w:t>7</w:t>
      </w:r>
      <w:r w:rsidR="0089008F" w:rsidRPr="000063E8">
        <w:rPr>
          <w:sz w:val="24"/>
          <w:szCs w:val="24"/>
        </w:rPr>
        <w:t xml:space="preserve"> i </w:t>
      </w:r>
      <w:r w:rsidR="000063E8" w:rsidRPr="000063E8">
        <w:rPr>
          <w:sz w:val="24"/>
          <w:szCs w:val="24"/>
        </w:rPr>
        <w:t>§</w:t>
      </w:r>
      <w:r w:rsidR="0089008F" w:rsidRPr="000063E8">
        <w:rPr>
          <w:sz w:val="24"/>
          <w:szCs w:val="24"/>
        </w:rPr>
        <w:t xml:space="preserve"> </w:t>
      </w:r>
      <w:r w:rsidR="004A086D">
        <w:rPr>
          <w:sz w:val="24"/>
          <w:szCs w:val="24"/>
        </w:rPr>
        <w:t>8</w:t>
      </w:r>
      <w:r w:rsidR="0089008F" w:rsidRPr="000063E8">
        <w:rPr>
          <w:sz w:val="24"/>
          <w:szCs w:val="24"/>
        </w:rPr>
        <w:t xml:space="preserve"> projektu powyższe dane będą wykazywane</w:t>
      </w:r>
      <w:r w:rsidR="007C0209" w:rsidRPr="000063E8">
        <w:rPr>
          <w:sz w:val="24"/>
          <w:szCs w:val="24"/>
        </w:rPr>
        <w:t xml:space="preserve"> formularzu 17.1 „ </w:t>
      </w:r>
      <w:r w:rsidR="00365B49" w:rsidRPr="000063E8">
        <w:rPr>
          <w:sz w:val="24"/>
          <w:szCs w:val="24"/>
        </w:rPr>
        <w:t>M</w:t>
      </w:r>
      <w:r w:rsidR="007C0209" w:rsidRPr="000063E8">
        <w:rPr>
          <w:sz w:val="24"/>
          <w:szCs w:val="24"/>
        </w:rPr>
        <w:t>aksymaln</w:t>
      </w:r>
      <w:r w:rsidR="00365B49" w:rsidRPr="000063E8">
        <w:rPr>
          <w:sz w:val="24"/>
          <w:szCs w:val="24"/>
        </w:rPr>
        <w:t>e</w:t>
      </w:r>
      <w:r w:rsidR="007C0209" w:rsidRPr="000063E8">
        <w:rPr>
          <w:sz w:val="24"/>
          <w:szCs w:val="24"/>
        </w:rPr>
        <w:t xml:space="preserve"> możliw</w:t>
      </w:r>
      <w:r w:rsidR="00365B49" w:rsidRPr="000063E8">
        <w:rPr>
          <w:sz w:val="24"/>
          <w:szCs w:val="24"/>
        </w:rPr>
        <w:t>e</w:t>
      </w:r>
      <w:r w:rsidR="007C0209" w:rsidRPr="000063E8">
        <w:rPr>
          <w:sz w:val="24"/>
          <w:szCs w:val="24"/>
        </w:rPr>
        <w:t xml:space="preserve"> szk</w:t>
      </w:r>
      <w:r w:rsidR="00365B49" w:rsidRPr="000063E8">
        <w:rPr>
          <w:sz w:val="24"/>
          <w:szCs w:val="24"/>
        </w:rPr>
        <w:t>ody</w:t>
      </w:r>
      <w:r w:rsidR="007C0209" w:rsidRPr="000063E8">
        <w:rPr>
          <w:sz w:val="24"/>
          <w:szCs w:val="24"/>
        </w:rPr>
        <w:t xml:space="preserve"> brutto i na udziale własnym”,   17.2 „ </w:t>
      </w:r>
      <w:r w:rsidR="00365B49" w:rsidRPr="000063E8">
        <w:rPr>
          <w:sz w:val="24"/>
          <w:szCs w:val="24"/>
        </w:rPr>
        <w:t>M</w:t>
      </w:r>
      <w:r w:rsidR="007C0209" w:rsidRPr="000063E8">
        <w:rPr>
          <w:sz w:val="24"/>
          <w:szCs w:val="24"/>
        </w:rPr>
        <w:t>aksymaln</w:t>
      </w:r>
      <w:r w:rsidR="00365B49" w:rsidRPr="000063E8">
        <w:rPr>
          <w:sz w:val="24"/>
          <w:szCs w:val="24"/>
        </w:rPr>
        <w:t>e</w:t>
      </w:r>
      <w:r w:rsidR="007C0209" w:rsidRPr="000063E8">
        <w:rPr>
          <w:sz w:val="24"/>
          <w:szCs w:val="24"/>
        </w:rPr>
        <w:t xml:space="preserve"> ubezpieczon</w:t>
      </w:r>
      <w:r w:rsidR="00365B49" w:rsidRPr="000063E8">
        <w:rPr>
          <w:sz w:val="24"/>
          <w:szCs w:val="24"/>
        </w:rPr>
        <w:t>e</w:t>
      </w:r>
      <w:r w:rsidR="007C0209" w:rsidRPr="000063E8">
        <w:rPr>
          <w:sz w:val="24"/>
          <w:szCs w:val="24"/>
        </w:rPr>
        <w:t xml:space="preserve"> ryzyk</w:t>
      </w:r>
      <w:r w:rsidR="00365B49" w:rsidRPr="000063E8">
        <w:rPr>
          <w:sz w:val="24"/>
          <w:szCs w:val="24"/>
        </w:rPr>
        <w:t>a</w:t>
      </w:r>
      <w:r w:rsidR="007C0209" w:rsidRPr="000063E8">
        <w:rPr>
          <w:sz w:val="24"/>
          <w:szCs w:val="24"/>
        </w:rPr>
        <w:t xml:space="preserve"> brutto i na udziale własnym”</w:t>
      </w:r>
      <w:r w:rsidR="00F800A9" w:rsidRPr="000063E8">
        <w:rPr>
          <w:sz w:val="24"/>
          <w:szCs w:val="24"/>
        </w:rPr>
        <w:t xml:space="preserve"> oraz 17.3 „ </w:t>
      </w:r>
      <w:r w:rsidR="00365B49" w:rsidRPr="000063E8">
        <w:rPr>
          <w:sz w:val="24"/>
          <w:szCs w:val="24"/>
        </w:rPr>
        <w:t>R</w:t>
      </w:r>
      <w:r w:rsidR="00F800A9" w:rsidRPr="000063E8">
        <w:rPr>
          <w:sz w:val="24"/>
          <w:szCs w:val="24"/>
        </w:rPr>
        <w:t>easekurator</w:t>
      </w:r>
      <w:r w:rsidR="00365B49" w:rsidRPr="000063E8">
        <w:rPr>
          <w:sz w:val="24"/>
          <w:szCs w:val="24"/>
        </w:rPr>
        <w:t>zy</w:t>
      </w:r>
      <w:r w:rsidR="00F800A9" w:rsidRPr="000063E8">
        <w:rPr>
          <w:sz w:val="24"/>
          <w:szCs w:val="24"/>
        </w:rPr>
        <w:t xml:space="preserve">”.  </w:t>
      </w:r>
    </w:p>
    <w:p w14:paraId="56700ABB" w14:textId="77777777" w:rsidR="000063E8" w:rsidRDefault="000063E8" w:rsidP="000063E8">
      <w:pPr>
        <w:pStyle w:val="Tekstpodstawowy4"/>
        <w:shd w:val="clear" w:color="auto" w:fill="auto"/>
        <w:spacing w:after="0" w:line="240" w:lineRule="auto"/>
        <w:ind w:firstLine="0"/>
        <w:jc w:val="both"/>
        <w:rPr>
          <w:sz w:val="24"/>
          <w:szCs w:val="24"/>
        </w:rPr>
      </w:pPr>
    </w:p>
    <w:p w14:paraId="19FF41FC" w14:textId="0BD045D5" w:rsidR="008A55EE" w:rsidRPr="00D945C6" w:rsidRDefault="001217AF" w:rsidP="00563E5B">
      <w:pPr>
        <w:pStyle w:val="Tekstpodstawowy4"/>
        <w:shd w:val="clear" w:color="auto" w:fill="auto"/>
        <w:spacing w:after="0" w:line="240" w:lineRule="auto"/>
        <w:ind w:firstLine="0"/>
        <w:jc w:val="both"/>
        <w:rPr>
          <w:sz w:val="24"/>
          <w:szCs w:val="24"/>
        </w:rPr>
      </w:pPr>
      <w:r w:rsidRPr="00D945C6">
        <w:rPr>
          <w:sz w:val="24"/>
          <w:szCs w:val="24"/>
        </w:rPr>
        <w:t xml:space="preserve">W zakresie </w:t>
      </w:r>
      <w:r w:rsidRPr="00672DDD">
        <w:rPr>
          <w:b/>
          <w:sz w:val="24"/>
          <w:szCs w:val="24"/>
        </w:rPr>
        <w:t>zakładów reasekuracji ubezpieczeń działu II</w:t>
      </w:r>
      <w:r w:rsidRPr="00D945C6">
        <w:rPr>
          <w:sz w:val="24"/>
          <w:szCs w:val="24"/>
        </w:rPr>
        <w:t xml:space="preserve"> określonego w załączniku do ustawy </w:t>
      </w:r>
      <w:r w:rsidR="00F41B3D" w:rsidRPr="00D945C6">
        <w:rPr>
          <w:sz w:val="24"/>
          <w:szCs w:val="24"/>
        </w:rPr>
        <w:t>zm</w:t>
      </w:r>
      <w:r w:rsidRPr="00D945C6">
        <w:rPr>
          <w:sz w:val="24"/>
          <w:szCs w:val="24"/>
        </w:rPr>
        <w:t>iany polegają na rozszerzeniu zakresu danych dotyczących wykonywanej przez zakład rea</w:t>
      </w:r>
      <w:r w:rsidR="00563E5B">
        <w:rPr>
          <w:sz w:val="24"/>
          <w:szCs w:val="24"/>
        </w:rPr>
        <w:t xml:space="preserve">sekuracji retrocesji biernej. </w:t>
      </w:r>
      <w:r w:rsidR="00B10FFA" w:rsidRPr="00D945C6">
        <w:rPr>
          <w:sz w:val="24"/>
          <w:szCs w:val="24"/>
        </w:rPr>
        <w:t xml:space="preserve">Retrocesja bierna jest </w:t>
      </w:r>
      <w:r w:rsidR="008A55EE" w:rsidRPr="00D945C6">
        <w:rPr>
          <w:sz w:val="24"/>
          <w:szCs w:val="24"/>
        </w:rPr>
        <w:t xml:space="preserve"> najistotniejszą techniką ograniczania ryzyka zakładu reasekuracji oraz </w:t>
      </w:r>
      <w:r w:rsidR="00B10FFA" w:rsidRPr="00D945C6">
        <w:rPr>
          <w:sz w:val="24"/>
          <w:szCs w:val="24"/>
        </w:rPr>
        <w:t xml:space="preserve">może </w:t>
      </w:r>
      <w:r w:rsidR="008A55EE" w:rsidRPr="00D945C6">
        <w:rPr>
          <w:sz w:val="24"/>
          <w:szCs w:val="24"/>
        </w:rPr>
        <w:t>powod</w:t>
      </w:r>
      <w:r w:rsidR="00B10FFA" w:rsidRPr="00D945C6">
        <w:rPr>
          <w:sz w:val="24"/>
          <w:szCs w:val="24"/>
        </w:rPr>
        <w:t xml:space="preserve">ować znaczące </w:t>
      </w:r>
      <w:r w:rsidR="008A55EE" w:rsidRPr="00D945C6">
        <w:rPr>
          <w:sz w:val="24"/>
          <w:szCs w:val="24"/>
        </w:rPr>
        <w:t>obniżenie wymogów kapitałowych</w:t>
      </w:r>
      <w:r w:rsidR="00B10FFA" w:rsidRPr="00D945C6">
        <w:rPr>
          <w:sz w:val="24"/>
          <w:szCs w:val="24"/>
        </w:rPr>
        <w:t xml:space="preserve">. KNF </w:t>
      </w:r>
      <w:r w:rsidRPr="00D945C6">
        <w:rPr>
          <w:sz w:val="24"/>
          <w:szCs w:val="24"/>
        </w:rPr>
        <w:t xml:space="preserve">będzie monitorował maksymalne  możliwe szkody brutto i na udziale własnym zakładu reasekuracji, a także </w:t>
      </w:r>
      <w:r w:rsidR="008A55EE" w:rsidRPr="00D945C6">
        <w:rPr>
          <w:sz w:val="24"/>
          <w:szCs w:val="24"/>
        </w:rPr>
        <w:t>poziom</w:t>
      </w:r>
      <w:r w:rsidRPr="00D945C6">
        <w:rPr>
          <w:sz w:val="24"/>
          <w:szCs w:val="24"/>
        </w:rPr>
        <w:t xml:space="preserve"> retrocesji biernej, jej </w:t>
      </w:r>
      <w:r w:rsidR="000063E8">
        <w:rPr>
          <w:sz w:val="24"/>
          <w:szCs w:val="24"/>
        </w:rPr>
        <w:t>koncentracji w </w:t>
      </w:r>
      <w:r w:rsidR="008A55EE" w:rsidRPr="00D945C6">
        <w:rPr>
          <w:sz w:val="24"/>
          <w:szCs w:val="24"/>
        </w:rPr>
        <w:t xml:space="preserve">danym podmiocie lub państwie oraz jakości kredytowej retrocesjonariuszy. </w:t>
      </w:r>
      <w:r w:rsidR="00D57EBB" w:rsidRPr="00D945C6">
        <w:rPr>
          <w:sz w:val="24"/>
          <w:szCs w:val="24"/>
        </w:rPr>
        <w:t>Zgodnie z § 1</w:t>
      </w:r>
      <w:r w:rsidR="003541C9">
        <w:rPr>
          <w:sz w:val="24"/>
          <w:szCs w:val="24"/>
        </w:rPr>
        <w:t>3</w:t>
      </w:r>
      <w:r w:rsidR="00D57EBB" w:rsidRPr="00D945C6">
        <w:rPr>
          <w:sz w:val="24"/>
          <w:szCs w:val="24"/>
        </w:rPr>
        <w:t xml:space="preserve"> oraz § 1</w:t>
      </w:r>
      <w:r w:rsidR="003541C9">
        <w:rPr>
          <w:sz w:val="24"/>
          <w:szCs w:val="24"/>
        </w:rPr>
        <w:t>4</w:t>
      </w:r>
      <w:r w:rsidR="00D57EBB" w:rsidRPr="00D945C6">
        <w:rPr>
          <w:sz w:val="24"/>
          <w:szCs w:val="24"/>
        </w:rPr>
        <w:t xml:space="preserve"> projektu rozporządzenia</w:t>
      </w:r>
      <w:r w:rsidR="00F41B3D" w:rsidRPr="00D945C6">
        <w:rPr>
          <w:sz w:val="24"/>
          <w:szCs w:val="24"/>
        </w:rPr>
        <w:t>,</w:t>
      </w:r>
      <w:r w:rsidR="00D57EBB" w:rsidRPr="00D945C6">
        <w:rPr>
          <w:sz w:val="24"/>
          <w:szCs w:val="24"/>
        </w:rPr>
        <w:t xml:space="preserve"> </w:t>
      </w:r>
      <w:r w:rsidR="00951489" w:rsidRPr="00D945C6">
        <w:rPr>
          <w:sz w:val="24"/>
          <w:szCs w:val="24"/>
        </w:rPr>
        <w:t xml:space="preserve">powyższe dane </w:t>
      </w:r>
      <w:r w:rsidR="008A55EE" w:rsidRPr="00D945C6">
        <w:rPr>
          <w:sz w:val="24"/>
          <w:szCs w:val="24"/>
        </w:rPr>
        <w:t xml:space="preserve">będą </w:t>
      </w:r>
      <w:r w:rsidR="00951489" w:rsidRPr="00D945C6">
        <w:rPr>
          <w:sz w:val="24"/>
          <w:szCs w:val="24"/>
        </w:rPr>
        <w:t xml:space="preserve">wykazywane </w:t>
      </w:r>
      <w:r w:rsidR="003E1D33" w:rsidRPr="00D945C6">
        <w:rPr>
          <w:sz w:val="24"/>
          <w:szCs w:val="24"/>
        </w:rPr>
        <w:t xml:space="preserve">w </w:t>
      </w:r>
      <w:r w:rsidR="00951489" w:rsidRPr="00D945C6">
        <w:rPr>
          <w:sz w:val="24"/>
          <w:szCs w:val="24"/>
        </w:rPr>
        <w:t>formularz</w:t>
      </w:r>
      <w:r w:rsidR="003E1D33" w:rsidRPr="00D945C6">
        <w:rPr>
          <w:sz w:val="24"/>
          <w:szCs w:val="24"/>
        </w:rPr>
        <w:t>ach</w:t>
      </w:r>
      <w:r w:rsidR="00951489" w:rsidRPr="00D945C6">
        <w:rPr>
          <w:sz w:val="24"/>
          <w:szCs w:val="24"/>
        </w:rPr>
        <w:t xml:space="preserve"> </w:t>
      </w:r>
      <w:r w:rsidRPr="00D945C6">
        <w:rPr>
          <w:sz w:val="24"/>
          <w:szCs w:val="24"/>
        </w:rPr>
        <w:t>9.1 „</w:t>
      </w:r>
      <w:r w:rsidR="0073367F" w:rsidRPr="00D945C6">
        <w:rPr>
          <w:sz w:val="24"/>
          <w:szCs w:val="24"/>
        </w:rPr>
        <w:t>M</w:t>
      </w:r>
      <w:r w:rsidRPr="00D945C6">
        <w:rPr>
          <w:sz w:val="24"/>
          <w:szCs w:val="24"/>
        </w:rPr>
        <w:t>aksymaln</w:t>
      </w:r>
      <w:r w:rsidR="0073367F" w:rsidRPr="00D945C6">
        <w:rPr>
          <w:sz w:val="24"/>
          <w:szCs w:val="24"/>
        </w:rPr>
        <w:t>e</w:t>
      </w:r>
      <w:r w:rsidRPr="00D945C6">
        <w:rPr>
          <w:sz w:val="24"/>
          <w:szCs w:val="24"/>
        </w:rPr>
        <w:t xml:space="preserve"> możliw</w:t>
      </w:r>
      <w:r w:rsidR="0073367F" w:rsidRPr="00D945C6">
        <w:rPr>
          <w:sz w:val="24"/>
          <w:szCs w:val="24"/>
        </w:rPr>
        <w:t>e</w:t>
      </w:r>
      <w:r w:rsidRPr="00D945C6">
        <w:rPr>
          <w:sz w:val="24"/>
          <w:szCs w:val="24"/>
        </w:rPr>
        <w:t xml:space="preserve"> szk</w:t>
      </w:r>
      <w:r w:rsidR="0073367F" w:rsidRPr="00D945C6">
        <w:rPr>
          <w:sz w:val="24"/>
          <w:szCs w:val="24"/>
        </w:rPr>
        <w:t>ody</w:t>
      </w:r>
      <w:r w:rsidRPr="00D945C6">
        <w:rPr>
          <w:sz w:val="24"/>
          <w:szCs w:val="24"/>
        </w:rPr>
        <w:t xml:space="preserve"> brutto i na udziale własnym”</w:t>
      </w:r>
      <w:r w:rsidR="00951489" w:rsidRPr="00D945C6">
        <w:rPr>
          <w:sz w:val="24"/>
          <w:szCs w:val="24"/>
        </w:rPr>
        <w:t xml:space="preserve"> oraz </w:t>
      </w:r>
      <w:r w:rsidRPr="00D945C6">
        <w:rPr>
          <w:sz w:val="24"/>
          <w:szCs w:val="24"/>
        </w:rPr>
        <w:t>9.2 „</w:t>
      </w:r>
      <w:r w:rsidR="0073367F" w:rsidRPr="00D945C6">
        <w:rPr>
          <w:sz w:val="24"/>
          <w:szCs w:val="24"/>
        </w:rPr>
        <w:t>R</w:t>
      </w:r>
      <w:r w:rsidRPr="00D945C6">
        <w:rPr>
          <w:sz w:val="24"/>
          <w:szCs w:val="24"/>
        </w:rPr>
        <w:t>etrocesjonariusz</w:t>
      </w:r>
      <w:r w:rsidR="0073367F" w:rsidRPr="00D945C6">
        <w:rPr>
          <w:sz w:val="24"/>
          <w:szCs w:val="24"/>
        </w:rPr>
        <w:t>e</w:t>
      </w:r>
      <w:r w:rsidRPr="00D945C6">
        <w:rPr>
          <w:sz w:val="24"/>
          <w:szCs w:val="24"/>
        </w:rPr>
        <w:t xml:space="preserve">”.  </w:t>
      </w:r>
    </w:p>
    <w:p w14:paraId="23589E66" w14:textId="77777777" w:rsidR="000063E8" w:rsidRDefault="000063E8" w:rsidP="000063E8">
      <w:pPr>
        <w:pStyle w:val="USTustnpkodeksu"/>
        <w:spacing w:line="240" w:lineRule="auto"/>
        <w:ind w:firstLine="0"/>
        <w:rPr>
          <w:rFonts w:ascii="Times New Roman" w:hAnsi="Times New Roman" w:cs="Times New Roman"/>
          <w:szCs w:val="24"/>
        </w:rPr>
      </w:pPr>
    </w:p>
    <w:p w14:paraId="681E16D1" w14:textId="3B75E899" w:rsidR="00F5172B" w:rsidRPr="00D945C6" w:rsidRDefault="0012792F" w:rsidP="000063E8">
      <w:pPr>
        <w:pStyle w:val="USTustnpkodeksu"/>
        <w:spacing w:line="240" w:lineRule="auto"/>
        <w:ind w:firstLine="0"/>
        <w:rPr>
          <w:rFonts w:ascii="Times New Roman" w:hAnsi="Times New Roman" w:cs="Times New Roman"/>
          <w:szCs w:val="24"/>
        </w:rPr>
      </w:pPr>
      <w:r>
        <w:rPr>
          <w:rFonts w:ascii="Times New Roman" w:hAnsi="Times New Roman" w:cs="Times New Roman"/>
          <w:szCs w:val="24"/>
        </w:rPr>
        <w:t xml:space="preserve">Ponadto </w:t>
      </w:r>
      <w:r w:rsidR="00AC1611" w:rsidRPr="00563E5B">
        <w:rPr>
          <w:rFonts w:ascii="Times New Roman" w:hAnsi="Times New Roman" w:cs="Times New Roman"/>
          <w:b/>
          <w:szCs w:val="24"/>
        </w:rPr>
        <w:t>§</w:t>
      </w:r>
      <w:r w:rsidR="00740932" w:rsidRPr="00563E5B">
        <w:rPr>
          <w:rFonts w:ascii="Times New Roman" w:hAnsi="Times New Roman" w:cs="Times New Roman"/>
          <w:b/>
          <w:szCs w:val="24"/>
        </w:rPr>
        <w:t xml:space="preserve"> </w:t>
      </w:r>
      <w:r w:rsidR="00AC1611" w:rsidRPr="00563E5B">
        <w:rPr>
          <w:rFonts w:ascii="Times New Roman" w:hAnsi="Times New Roman" w:cs="Times New Roman"/>
          <w:b/>
          <w:szCs w:val="24"/>
        </w:rPr>
        <w:t>2</w:t>
      </w:r>
      <w:r w:rsidR="00CD1555">
        <w:rPr>
          <w:rFonts w:ascii="Times New Roman" w:hAnsi="Times New Roman" w:cs="Times New Roman"/>
          <w:b/>
          <w:szCs w:val="24"/>
        </w:rPr>
        <w:t>6</w:t>
      </w:r>
      <w:r w:rsidR="008048C5" w:rsidRPr="00D945C6">
        <w:rPr>
          <w:rFonts w:ascii="Times New Roman" w:hAnsi="Times New Roman" w:cs="Times New Roman"/>
          <w:szCs w:val="24"/>
        </w:rPr>
        <w:t xml:space="preserve"> </w:t>
      </w:r>
      <w:r w:rsidR="00951489" w:rsidRPr="00D945C6">
        <w:rPr>
          <w:rFonts w:ascii="Times New Roman" w:hAnsi="Times New Roman" w:cs="Times New Roman"/>
          <w:szCs w:val="24"/>
        </w:rPr>
        <w:t xml:space="preserve">projektu </w:t>
      </w:r>
      <w:r w:rsidR="00AC1611" w:rsidRPr="00D945C6">
        <w:rPr>
          <w:rFonts w:ascii="Times New Roman" w:hAnsi="Times New Roman" w:cs="Times New Roman"/>
          <w:szCs w:val="24"/>
        </w:rPr>
        <w:t xml:space="preserve">rozporządzenia </w:t>
      </w:r>
      <w:r w:rsidR="00951489" w:rsidRPr="00D945C6">
        <w:rPr>
          <w:rFonts w:ascii="Times New Roman" w:hAnsi="Times New Roman" w:cs="Times New Roman"/>
          <w:szCs w:val="24"/>
        </w:rPr>
        <w:t xml:space="preserve">wprowadza </w:t>
      </w:r>
      <w:r>
        <w:rPr>
          <w:rFonts w:ascii="Times New Roman" w:hAnsi="Times New Roman" w:cs="Times New Roman"/>
          <w:szCs w:val="24"/>
        </w:rPr>
        <w:t xml:space="preserve">doprecyzowanie w zakresie </w:t>
      </w:r>
      <w:r w:rsidR="008048C5" w:rsidRPr="00D945C6">
        <w:rPr>
          <w:rFonts w:ascii="Times New Roman" w:hAnsi="Times New Roman" w:cs="Times New Roman"/>
          <w:szCs w:val="24"/>
        </w:rPr>
        <w:t>wym</w:t>
      </w:r>
      <w:r>
        <w:rPr>
          <w:rFonts w:ascii="Times New Roman" w:hAnsi="Times New Roman" w:cs="Times New Roman"/>
          <w:szCs w:val="24"/>
        </w:rPr>
        <w:t xml:space="preserve">ogu </w:t>
      </w:r>
      <w:r w:rsidR="008048C5" w:rsidRPr="00D945C6">
        <w:rPr>
          <w:rFonts w:ascii="Times New Roman" w:hAnsi="Times New Roman" w:cs="Times New Roman"/>
          <w:szCs w:val="24"/>
        </w:rPr>
        <w:t>podpisania</w:t>
      </w:r>
      <w:r w:rsidR="00F41B3D" w:rsidRPr="00D945C6">
        <w:rPr>
          <w:rFonts w:ascii="Times New Roman" w:hAnsi="Times New Roman" w:cs="Times New Roman"/>
          <w:szCs w:val="24"/>
        </w:rPr>
        <w:t xml:space="preserve"> </w:t>
      </w:r>
      <w:r w:rsidR="008048C5" w:rsidRPr="00D945C6">
        <w:rPr>
          <w:rFonts w:ascii="Times New Roman" w:hAnsi="Times New Roman" w:cs="Times New Roman"/>
          <w:szCs w:val="24"/>
        </w:rPr>
        <w:t>sprawozdania przez aktuariusza nadzorując</w:t>
      </w:r>
      <w:r w:rsidR="00FB2E13" w:rsidRPr="00D945C6">
        <w:rPr>
          <w:rFonts w:ascii="Times New Roman" w:hAnsi="Times New Roman" w:cs="Times New Roman"/>
          <w:szCs w:val="24"/>
        </w:rPr>
        <w:t>ego</w:t>
      </w:r>
      <w:r w:rsidR="008048C5" w:rsidRPr="00D945C6">
        <w:rPr>
          <w:rFonts w:ascii="Times New Roman" w:hAnsi="Times New Roman" w:cs="Times New Roman"/>
          <w:szCs w:val="24"/>
        </w:rPr>
        <w:t xml:space="preserve"> funkcję aktuarialną. </w:t>
      </w:r>
      <w:r w:rsidR="00F5172B" w:rsidRPr="00D945C6">
        <w:rPr>
          <w:rFonts w:ascii="Times New Roman" w:hAnsi="Times New Roman" w:cs="Times New Roman"/>
          <w:szCs w:val="24"/>
        </w:rPr>
        <w:t>Aktuariusz nadzorujący funkcję aktuarialną będzie obowiązany opatrywać część A dodatkowego sprawozdania finansowego i statystycznego kwalifikowanym podpisem elektronicznym, podpisem zaufanym albo podpisem osobistym, analogicznie jak  kierownik jednostki oraz osoba, której powierzono prowadzenie ksiąg rachunkowych.</w:t>
      </w:r>
    </w:p>
    <w:p w14:paraId="19C16934" w14:textId="77777777" w:rsidR="000063E8" w:rsidRDefault="000063E8" w:rsidP="000063E8">
      <w:pPr>
        <w:pStyle w:val="ARTartustawynprozporzdzenia"/>
        <w:suppressAutoHyphens w:val="0"/>
        <w:autoSpaceDE/>
        <w:autoSpaceDN/>
        <w:adjustRightInd/>
        <w:spacing w:before="0" w:line="240" w:lineRule="auto"/>
        <w:ind w:firstLine="0"/>
        <w:rPr>
          <w:rFonts w:ascii="Times New Roman" w:hAnsi="Times New Roman" w:cs="Times New Roman"/>
          <w:szCs w:val="24"/>
        </w:rPr>
      </w:pPr>
    </w:p>
    <w:p w14:paraId="40FE8B02" w14:textId="2C7427CF" w:rsidR="003E1D33" w:rsidRDefault="00672DDD" w:rsidP="000063E8">
      <w:pPr>
        <w:pStyle w:val="ARTartustawynprozporzdzenia"/>
        <w:suppressAutoHyphens w:val="0"/>
        <w:autoSpaceDE/>
        <w:autoSpaceDN/>
        <w:adjustRightInd/>
        <w:spacing w:before="0" w:line="240" w:lineRule="auto"/>
        <w:ind w:firstLine="0"/>
        <w:rPr>
          <w:rFonts w:ascii="Times New Roman" w:hAnsi="Times New Roman" w:cs="Times New Roman"/>
          <w:szCs w:val="24"/>
        </w:rPr>
      </w:pPr>
      <w:r w:rsidRPr="00D945C6">
        <w:rPr>
          <w:rFonts w:ascii="Times New Roman" w:hAnsi="Times New Roman" w:cs="Times New Roman"/>
          <w:szCs w:val="24"/>
        </w:rPr>
        <w:t xml:space="preserve">Ponadto w projekcie rozporządzenia </w:t>
      </w:r>
      <w:r w:rsidR="0012792F">
        <w:rPr>
          <w:rFonts w:ascii="Times New Roman" w:hAnsi="Times New Roman" w:cs="Times New Roman"/>
          <w:szCs w:val="24"/>
        </w:rPr>
        <w:t>d</w:t>
      </w:r>
      <w:r w:rsidRPr="00D945C6">
        <w:rPr>
          <w:rFonts w:ascii="Times New Roman" w:hAnsi="Times New Roman" w:cs="Times New Roman"/>
          <w:szCs w:val="24"/>
        </w:rPr>
        <w:t>okona</w:t>
      </w:r>
      <w:r w:rsidR="0012792F">
        <w:rPr>
          <w:rFonts w:ascii="Times New Roman" w:hAnsi="Times New Roman" w:cs="Times New Roman"/>
          <w:szCs w:val="24"/>
        </w:rPr>
        <w:t xml:space="preserve">no </w:t>
      </w:r>
      <w:r w:rsidRPr="00D945C6">
        <w:rPr>
          <w:rFonts w:ascii="Times New Roman" w:hAnsi="Times New Roman" w:cs="Times New Roman"/>
          <w:szCs w:val="24"/>
        </w:rPr>
        <w:t xml:space="preserve">zmian w treści </w:t>
      </w:r>
      <w:r w:rsidRPr="0012792F">
        <w:rPr>
          <w:rFonts w:ascii="Times New Roman" w:hAnsi="Times New Roman" w:cs="Times New Roman"/>
          <w:b/>
          <w:szCs w:val="24"/>
        </w:rPr>
        <w:t>not objaśniających</w:t>
      </w:r>
      <w:r w:rsidRPr="00D945C6">
        <w:rPr>
          <w:rFonts w:ascii="Times New Roman" w:hAnsi="Times New Roman" w:cs="Times New Roman"/>
          <w:szCs w:val="24"/>
        </w:rPr>
        <w:t xml:space="preserve"> do załączników</w:t>
      </w:r>
      <w:r w:rsidR="0012792F">
        <w:rPr>
          <w:rFonts w:ascii="Times New Roman" w:hAnsi="Times New Roman" w:cs="Times New Roman"/>
          <w:szCs w:val="24"/>
        </w:rPr>
        <w:t xml:space="preserve">; zmiany mają </w:t>
      </w:r>
      <w:r w:rsidRPr="00D945C6">
        <w:rPr>
          <w:rFonts w:ascii="Times New Roman" w:hAnsi="Times New Roman" w:cs="Times New Roman"/>
          <w:szCs w:val="24"/>
        </w:rPr>
        <w:t xml:space="preserve">charakter doprecyzowujący i porządkowy. </w:t>
      </w:r>
    </w:p>
    <w:p w14:paraId="2BEDA192" w14:textId="77777777" w:rsidR="000063E8" w:rsidRDefault="000063E8" w:rsidP="000063E8">
      <w:pPr>
        <w:pStyle w:val="ARTartustawynprozporzdzenia"/>
        <w:suppressAutoHyphens w:val="0"/>
        <w:autoSpaceDE/>
        <w:autoSpaceDN/>
        <w:adjustRightInd/>
        <w:spacing w:before="0" w:line="240" w:lineRule="auto"/>
        <w:ind w:firstLine="0"/>
        <w:rPr>
          <w:rFonts w:ascii="Times New Roman" w:hAnsi="Times New Roman" w:cs="Times New Roman"/>
          <w:szCs w:val="24"/>
        </w:rPr>
      </w:pPr>
    </w:p>
    <w:p w14:paraId="7A6C6563" w14:textId="32CFEDE0" w:rsidR="00C20524" w:rsidRDefault="00563E5B" w:rsidP="000063E8">
      <w:pPr>
        <w:pStyle w:val="ARTartustawynprozporzdzenia"/>
        <w:suppressAutoHyphens w:val="0"/>
        <w:autoSpaceDE/>
        <w:autoSpaceDN/>
        <w:adjustRightInd/>
        <w:spacing w:before="0" w:line="240" w:lineRule="auto"/>
        <w:ind w:firstLine="0"/>
        <w:rPr>
          <w:rFonts w:ascii="Times New Roman" w:eastAsia="Times New Roman" w:hAnsi="Times New Roman" w:cs="Times New Roman"/>
          <w:szCs w:val="24"/>
        </w:rPr>
      </w:pPr>
      <w:r>
        <w:rPr>
          <w:rFonts w:ascii="Times New Roman" w:eastAsia="Times New Roman" w:hAnsi="Times New Roman" w:cs="Times New Roman"/>
          <w:szCs w:val="24"/>
        </w:rPr>
        <w:t>W</w:t>
      </w:r>
      <w:r w:rsidR="00951489" w:rsidRPr="00D945C6">
        <w:rPr>
          <w:rFonts w:ascii="Times New Roman" w:eastAsia="Times New Roman" w:hAnsi="Times New Roman" w:cs="Times New Roman"/>
          <w:szCs w:val="24"/>
        </w:rPr>
        <w:t xml:space="preserve"> celu </w:t>
      </w:r>
      <w:r w:rsidR="00951489" w:rsidRPr="00D945C6">
        <w:rPr>
          <w:rFonts w:ascii="Times New Roman" w:hAnsi="Times New Roman" w:cs="Times New Roman"/>
          <w:szCs w:val="24"/>
        </w:rPr>
        <w:t>zapewnienia odpowiedniego czasu na dostosowanie się zakładów do nowych obowiązków sprawozdawczych</w:t>
      </w:r>
      <w:r w:rsidR="00F41B3D" w:rsidRPr="00D945C6">
        <w:rPr>
          <w:rFonts w:ascii="Times New Roman" w:hAnsi="Times New Roman" w:cs="Times New Roman"/>
          <w:szCs w:val="24"/>
        </w:rPr>
        <w:t>,</w:t>
      </w:r>
      <w:r w:rsidR="00951489" w:rsidRPr="00D945C6">
        <w:rPr>
          <w:rFonts w:ascii="Times New Roman" w:hAnsi="Times New Roman" w:cs="Times New Roman"/>
          <w:szCs w:val="24"/>
        </w:rPr>
        <w:t xml:space="preserve"> </w:t>
      </w:r>
      <w:r w:rsidR="00C20524">
        <w:rPr>
          <w:rFonts w:ascii="Times New Roman" w:hAnsi="Times New Roman" w:cs="Times New Roman"/>
          <w:szCs w:val="24"/>
        </w:rPr>
        <w:t xml:space="preserve">proponuje się </w:t>
      </w:r>
      <w:r w:rsidR="00591C8E" w:rsidRPr="00D945C6">
        <w:rPr>
          <w:rFonts w:ascii="Times New Roman" w:eastAsia="Times New Roman" w:hAnsi="Times New Roman" w:cs="Times New Roman"/>
          <w:szCs w:val="24"/>
        </w:rPr>
        <w:t>aby</w:t>
      </w:r>
      <w:r w:rsidR="004A10C7" w:rsidRPr="00D945C6">
        <w:rPr>
          <w:rFonts w:ascii="Times New Roman" w:eastAsia="Times New Roman" w:hAnsi="Times New Roman" w:cs="Times New Roman"/>
          <w:szCs w:val="24"/>
        </w:rPr>
        <w:t xml:space="preserve"> </w:t>
      </w:r>
      <w:r w:rsidR="00591C8E" w:rsidRPr="00D945C6">
        <w:rPr>
          <w:rFonts w:ascii="Times New Roman" w:eastAsia="Times New Roman" w:hAnsi="Times New Roman" w:cs="Times New Roman"/>
          <w:szCs w:val="24"/>
        </w:rPr>
        <w:t>p</w:t>
      </w:r>
      <w:r w:rsidR="00591C8E" w:rsidRPr="00D945C6">
        <w:rPr>
          <w:rFonts w:ascii="Times New Roman" w:hAnsi="Times New Roman" w:cs="Times New Roman"/>
          <w:szCs w:val="24"/>
        </w:rPr>
        <w:t>rzepisy</w:t>
      </w:r>
      <w:r w:rsidR="004A10C7" w:rsidRPr="00D945C6">
        <w:rPr>
          <w:rFonts w:ascii="Times New Roman" w:hAnsi="Times New Roman" w:cs="Times New Roman"/>
          <w:szCs w:val="24"/>
        </w:rPr>
        <w:t xml:space="preserve"> </w:t>
      </w:r>
      <w:r w:rsidR="00591C8E" w:rsidRPr="00D945C6">
        <w:rPr>
          <w:rFonts w:ascii="Times New Roman" w:hAnsi="Times New Roman" w:cs="Times New Roman"/>
          <w:szCs w:val="24"/>
        </w:rPr>
        <w:t>rozporządzenia, stos</w:t>
      </w:r>
      <w:r w:rsidR="00A50680" w:rsidRPr="00D945C6">
        <w:rPr>
          <w:rFonts w:ascii="Times New Roman" w:hAnsi="Times New Roman" w:cs="Times New Roman"/>
          <w:szCs w:val="24"/>
        </w:rPr>
        <w:t xml:space="preserve">owane były po raz </w:t>
      </w:r>
      <w:r w:rsidR="00591C8E" w:rsidRPr="00D945C6">
        <w:rPr>
          <w:rFonts w:ascii="Times New Roman" w:hAnsi="Times New Roman" w:cs="Times New Roman"/>
          <w:szCs w:val="24"/>
        </w:rPr>
        <w:t>pierwszy do</w:t>
      </w:r>
      <w:r w:rsidR="00672DDD">
        <w:rPr>
          <w:rFonts w:ascii="Times New Roman" w:hAnsi="Times New Roman" w:cs="Times New Roman"/>
          <w:szCs w:val="24"/>
        </w:rPr>
        <w:t xml:space="preserve"> </w:t>
      </w:r>
      <w:r w:rsidR="00591C8E" w:rsidRPr="00D945C6">
        <w:rPr>
          <w:rFonts w:ascii="Times New Roman" w:hAnsi="Times New Roman" w:cs="Times New Roman"/>
          <w:szCs w:val="24"/>
        </w:rPr>
        <w:t>dodatkowego rocznego sprawozdania finansowego i statystycznego za rok obrotowy rozpoczynający się w 2021 r. oraz dodatkowego kwartal</w:t>
      </w:r>
      <w:r w:rsidR="00C20524">
        <w:rPr>
          <w:rFonts w:ascii="Times New Roman" w:hAnsi="Times New Roman" w:cs="Times New Roman"/>
          <w:szCs w:val="24"/>
        </w:rPr>
        <w:t>nego sprawozdania finansowego i </w:t>
      </w:r>
      <w:r w:rsidR="00591C8E" w:rsidRPr="00D945C6">
        <w:rPr>
          <w:rFonts w:ascii="Times New Roman" w:hAnsi="Times New Roman" w:cs="Times New Roman"/>
          <w:szCs w:val="24"/>
        </w:rPr>
        <w:t xml:space="preserve">statystycznego za </w:t>
      </w:r>
      <w:r w:rsidR="00F41B3D" w:rsidRPr="00D945C6">
        <w:rPr>
          <w:rFonts w:ascii="Times New Roman" w:hAnsi="Times New Roman" w:cs="Times New Roman"/>
          <w:szCs w:val="24"/>
        </w:rPr>
        <w:t xml:space="preserve">czwarty </w:t>
      </w:r>
      <w:r w:rsidR="00591C8E" w:rsidRPr="00D945C6">
        <w:rPr>
          <w:rFonts w:ascii="Times New Roman" w:hAnsi="Times New Roman" w:cs="Times New Roman"/>
          <w:szCs w:val="24"/>
        </w:rPr>
        <w:t>kwartał w roku obrotowym rozpoczynającym się w 2021</w:t>
      </w:r>
      <w:r w:rsidR="00451462" w:rsidRPr="00D945C6">
        <w:rPr>
          <w:rFonts w:ascii="Times New Roman" w:hAnsi="Times New Roman" w:cs="Times New Roman"/>
          <w:szCs w:val="24"/>
        </w:rPr>
        <w:t> </w:t>
      </w:r>
      <w:r w:rsidR="00591C8E" w:rsidRPr="00D945C6">
        <w:rPr>
          <w:rFonts w:ascii="Times New Roman" w:hAnsi="Times New Roman" w:cs="Times New Roman"/>
          <w:szCs w:val="24"/>
        </w:rPr>
        <w:t>r.</w:t>
      </w:r>
      <w:r w:rsidR="00672DDD">
        <w:rPr>
          <w:rFonts w:ascii="Times New Roman" w:hAnsi="Times New Roman" w:cs="Times New Roman"/>
          <w:szCs w:val="24"/>
        </w:rPr>
        <w:t xml:space="preserve"> </w:t>
      </w:r>
      <w:r w:rsidR="0012792F" w:rsidRPr="00D1522C">
        <w:rPr>
          <w:rFonts w:ascii="Times New Roman" w:eastAsia="Times New Roman" w:hAnsi="Times New Roman" w:cs="Times New Roman"/>
          <w:szCs w:val="24"/>
        </w:rPr>
        <w:t>(</w:t>
      </w:r>
      <w:r w:rsidR="0012792F" w:rsidRPr="0012792F">
        <w:rPr>
          <w:rStyle w:val="st"/>
          <w:rFonts w:ascii="Times New Roman" w:hAnsi="Times New Roman" w:cs="Times New Roman"/>
          <w:b/>
          <w:szCs w:val="24"/>
        </w:rPr>
        <w:t>§</w:t>
      </w:r>
      <w:r w:rsidR="0012792F" w:rsidRPr="0012792F">
        <w:rPr>
          <w:rFonts w:ascii="Times New Roman" w:eastAsia="Times New Roman" w:hAnsi="Times New Roman" w:cs="Times New Roman"/>
          <w:b/>
          <w:szCs w:val="24"/>
        </w:rPr>
        <w:t xml:space="preserve"> 3</w:t>
      </w:r>
      <w:r w:rsidR="004C6337">
        <w:rPr>
          <w:rFonts w:ascii="Times New Roman" w:eastAsia="Times New Roman" w:hAnsi="Times New Roman" w:cs="Times New Roman"/>
          <w:b/>
          <w:szCs w:val="24"/>
        </w:rPr>
        <w:t>1</w:t>
      </w:r>
      <w:r w:rsidR="0012792F" w:rsidRPr="0012792F">
        <w:rPr>
          <w:rFonts w:ascii="Times New Roman" w:eastAsia="Times New Roman" w:hAnsi="Times New Roman" w:cs="Times New Roman"/>
          <w:b/>
          <w:szCs w:val="24"/>
        </w:rPr>
        <w:t xml:space="preserve"> projektu</w:t>
      </w:r>
      <w:r w:rsidR="0012792F">
        <w:rPr>
          <w:rFonts w:ascii="Times New Roman" w:eastAsia="Times New Roman" w:hAnsi="Times New Roman" w:cs="Times New Roman"/>
          <w:szCs w:val="24"/>
        </w:rPr>
        <w:t xml:space="preserve">). </w:t>
      </w:r>
    </w:p>
    <w:p w14:paraId="15DCD72A" w14:textId="77777777" w:rsidR="00C20524" w:rsidRDefault="00C20524" w:rsidP="000063E8">
      <w:pPr>
        <w:pStyle w:val="ARTartustawynprozporzdzenia"/>
        <w:suppressAutoHyphens w:val="0"/>
        <w:autoSpaceDE/>
        <w:autoSpaceDN/>
        <w:adjustRightInd/>
        <w:spacing w:before="0" w:line="240" w:lineRule="auto"/>
        <w:ind w:firstLine="0"/>
        <w:rPr>
          <w:rFonts w:ascii="Times New Roman" w:eastAsia="Times New Roman" w:hAnsi="Times New Roman" w:cs="Times New Roman"/>
          <w:szCs w:val="24"/>
        </w:rPr>
      </w:pPr>
    </w:p>
    <w:p w14:paraId="30DADF47" w14:textId="161A05AB" w:rsidR="00591C8E" w:rsidRDefault="00673A58" w:rsidP="000063E8">
      <w:pPr>
        <w:pStyle w:val="ARTartustawynprozporzdzenia"/>
        <w:suppressAutoHyphens w:val="0"/>
        <w:autoSpaceDE/>
        <w:autoSpaceDN/>
        <w:adjustRightInd/>
        <w:spacing w:before="0" w:line="240" w:lineRule="auto"/>
        <w:ind w:firstLine="0"/>
        <w:rPr>
          <w:rFonts w:ascii="Times New Roman" w:hAnsi="Times New Roman" w:cs="Times New Roman"/>
          <w:szCs w:val="24"/>
        </w:rPr>
      </w:pPr>
      <w:r w:rsidRPr="00D945C6">
        <w:rPr>
          <w:rFonts w:ascii="Times New Roman" w:eastAsia="Times New Roman" w:hAnsi="Times New Roman" w:cs="Times New Roman"/>
          <w:szCs w:val="24"/>
        </w:rPr>
        <w:t xml:space="preserve">W związku z tym </w:t>
      </w:r>
      <w:r w:rsidR="00C20524">
        <w:rPr>
          <w:rFonts w:ascii="Times New Roman" w:eastAsia="Times New Roman" w:hAnsi="Times New Roman" w:cs="Times New Roman"/>
          <w:szCs w:val="24"/>
        </w:rPr>
        <w:t xml:space="preserve">proponuje się, aby </w:t>
      </w:r>
      <w:r w:rsidR="00591C8E" w:rsidRPr="00D945C6">
        <w:rPr>
          <w:rFonts w:ascii="Times New Roman" w:eastAsia="Times New Roman" w:hAnsi="Times New Roman" w:cs="Times New Roman"/>
          <w:szCs w:val="24"/>
        </w:rPr>
        <w:t>rozporządzenie w</w:t>
      </w:r>
      <w:r w:rsidR="00C20524">
        <w:rPr>
          <w:rFonts w:ascii="Times New Roman" w:eastAsia="Times New Roman" w:hAnsi="Times New Roman" w:cs="Times New Roman"/>
          <w:szCs w:val="24"/>
        </w:rPr>
        <w:t>eszło</w:t>
      </w:r>
      <w:r w:rsidR="0012792F">
        <w:rPr>
          <w:rFonts w:ascii="Times New Roman" w:eastAsia="Times New Roman" w:hAnsi="Times New Roman" w:cs="Times New Roman"/>
          <w:szCs w:val="24"/>
        </w:rPr>
        <w:t xml:space="preserve"> </w:t>
      </w:r>
      <w:r w:rsidR="00591C8E" w:rsidRPr="00D945C6">
        <w:rPr>
          <w:rFonts w:ascii="Times New Roman" w:eastAsia="Times New Roman" w:hAnsi="Times New Roman" w:cs="Times New Roman"/>
          <w:szCs w:val="24"/>
        </w:rPr>
        <w:t>w życie po upływie 14 dni od dnia ogłoszenia</w:t>
      </w:r>
      <w:r w:rsidR="008048C5" w:rsidRPr="00D945C6">
        <w:rPr>
          <w:rFonts w:ascii="Times New Roman" w:eastAsia="Times New Roman" w:hAnsi="Times New Roman" w:cs="Times New Roman"/>
          <w:szCs w:val="24"/>
        </w:rPr>
        <w:t xml:space="preserve"> </w:t>
      </w:r>
      <w:r w:rsidR="008048C5" w:rsidRPr="00D1522C">
        <w:rPr>
          <w:rFonts w:ascii="Times New Roman" w:eastAsia="Times New Roman" w:hAnsi="Times New Roman" w:cs="Times New Roman"/>
          <w:szCs w:val="24"/>
        </w:rPr>
        <w:t>(</w:t>
      </w:r>
      <w:r w:rsidR="003A6366" w:rsidRPr="0012792F">
        <w:rPr>
          <w:rStyle w:val="st"/>
          <w:rFonts w:ascii="Times New Roman" w:hAnsi="Times New Roman" w:cs="Times New Roman"/>
          <w:b/>
          <w:szCs w:val="24"/>
        </w:rPr>
        <w:t>§</w:t>
      </w:r>
      <w:r w:rsidR="003A6366" w:rsidRPr="0012792F">
        <w:rPr>
          <w:rFonts w:ascii="Times New Roman" w:eastAsia="Times New Roman" w:hAnsi="Times New Roman" w:cs="Times New Roman"/>
          <w:b/>
          <w:szCs w:val="24"/>
        </w:rPr>
        <w:t xml:space="preserve"> 3</w:t>
      </w:r>
      <w:r w:rsidR="004C6337">
        <w:rPr>
          <w:rFonts w:ascii="Times New Roman" w:eastAsia="Times New Roman" w:hAnsi="Times New Roman" w:cs="Times New Roman"/>
          <w:b/>
          <w:szCs w:val="24"/>
        </w:rPr>
        <w:t>3</w:t>
      </w:r>
      <w:r w:rsidR="003A6366" w:rsidRPr="0012792F">
        <w:rPr>
          <w:rFonts w:ascii="Times New Roman" w:eastAsia="Times New Roman" w:hAnsi="Times New Roman" w:cs="Times New Roman"/>
          <w:b/>
          <w:szCs w:val="24"/>
        </w:rPr>
        <w:t xml:space="preserve"> projektu</w:t>
      </w:r>
      <w:r w:rsidR="008048C5" w:rsidRPr="00D945C6">
        <w:rPr>
          <w:rFonts w:ascii="Times New Roman" w:eastAsia="Times New Roman" w:hAnsi="Times New Roman" w:cs="Times New Roman"/>
          <w:szCs w:val="24"/>
        </w:rPr>
        <w:t>)</w:t>
      </w:r>
      <w:r w:rsidR="00591C8E" w:rsidRPr="00D945C6">
        <w:rPr>
          <w:rFonts w:ascii="Times New Roman" w:hAnsi="Times New Roman" w:cs="Times New Roman"/>
          <w:szCs w:val="24"/>
        </w:rPr>
        <w:t xml:space="preserve">. Przemawia to </w:t>
      </w:r>
      <w:r w:rsidRPr="00D945C6">
        <w:rPr>
          <w:rFonts w:ascii="Times New Roman" w:hAnsi="Times New Roman" w:cs="Times New Roman"/>
          <w:szCs w:val="24"/>
        </w:rPr>
        <w:t xml:space="preserve">także </w:t>
      </w:r>
      <w:r w:rsidR="00591C8E" w:rsidRPr="00D945C6">
        <w:rPr>
          <w:rFonts w:ascii="Times New Roman" w:hAnsi="Times New Roman" w:cs="Times New Roman"/>
          <w:szCs w:val="24"/>
        </w:rPr>
        <w:t>za odstąpieniem od wynikającej z posta</w:t>
      </w:r>
      <w:r w:rsidR="00C20524">
        <w:rPr>
          <w:rFonts w:ascii="Times New Roman" w:hAnsi="Times New Roman" w:cs="Times New Roman"/>
          <w:szCs w:val="24"/>
        </w:rPr>
        <w:t xml:space="preserve">nowień uchwały Rady Ministrów </w:t>
      </w:r>
      <w:r w:rsidR="00C20524">
        <w:t xml:space="preserve"> z  </w:t>
      </w:r>
      <w:r w:rsidR="00591C8E" w:rsidRPr="00C20524">
        <w:t>dnia</w:t>
      </w:r>
      <w:r w:rsidR="00591C8E" w:rsidRPr="00D945C6">
        <w:rPr>
          <w:rFonts w:ascii="Times New Roman" w:hAnsi="Times New Roman" w:cs="Times New Roman"/>
          <w:szCs w:val="24"/>
        </w:rPr>
        <w:t xml:space="preserve"> 18 lutego 2014 r. w sprawie zaleceń ujednolicenia terminów wejścia w życie niektórych aktów normatywnych (M.P. poz. 205) zasady ustalania na dzień 1 stycznia albo 1 czerwca daty wejścia w życie przepisów określających warunki prowadzenia działalności gospodarczej.</w:t>
      </w:r>
    </w:p>
    <w:p w14:paraId="691FC112" w14:textId="77777777" w:rsidR="00C20524" w:rsidRPr="00D945C6" w:rsidRDefault="00C20524" w:rsidP="000063E8">
      <w:pPr>
        <w:pStyle w:val="ARTartustawynprozporzdzenia"/>
        <w:suppressAutoHyphens w:val="0"/>
        <w:autoSpaceDE/>
        <w:autoSpaceDN/>
        <w:adjustRightInd/>
        <w:spacing w:before="0" w:line="240" w:lineRule="auto"/>
        <w:ind w:firstLine="0"/>
        <w:rPr>
          <w:rFonts w:ascii="Times New Roman" w:hAnsi="Times New Roman" w:cs="Times New Roman"/>
          <w:szCs w:val="24"/>
        </w:rPr>
      </w:pPr>
    </w:p>
    <w:p w14:paraId="4D26F558" w14:textId="5BDC86D9" w:rsidR="00673A58" w:rsidRDefault="007E7E0D" w:rsidP="000063E8">
      <w:pPr>
        <w:autoSpaceDE w:val="0"/>
        <w:autoSpaceDN w:val="0"/>
        <w:spacing w:after="0" w:line="240" w:lineRule="auto"/>
        <w:jc w:val="both"/>
        <w:rPr>
          <w:rFonts w:ascii="Times New Roman" w:eastAsia="Calibri" w:hAnsi="Times New Roman" w:cs="Times New Roman"/>
          <w:sz w:val="24"/>
          <w:szCs w:val="24"/>
          <w:lang w:eastAsia="pl-PL"/>
        </w:rPr>
      </w:pPr>
      <w:r w:rsidRPr="00D945C6">
        <w:rPr>
          <w:rFonts w:ascii="Times New Roman" w:eastAsia="Calibri" w:hAnsi="Times New Roman" w:cs="Times New Roman"/>
          <w:sz w:val="24"/>
          <w:szCs w:val="24"/>
          <w:lang w:eastAsia="pl-PL"/>
        </w:rPr>
        <w:t>Stosownie do art. 4 ustawy z dnia 7 lipca 2005 r. o działalności lobbingowej w procesie stanowienia prawa (Dz. U. z 2017 r. poz. 248) projekt zosta</w:t>
      </w:r>
      <w:r w:rsidR="00170C56" w:rsidRPr="00D945C6">
        <w:rPr>
          <w:rFonts w:ascii="Times New Roman" w:eastAsia="Calibri" w:hAnsi="Times New Roman" w:cs="Times New Roman"/>
          <w:sz w:val="24"/>
          <w:szCs w:val="24"/>
          <w:lang w:eastAsia="pl-PL"/>
        </w:rPr>
        <w:t>ł</w:t>
      </w:r>
      <w:r w:rsidR="00673A58" w:rsidRPr="00D945C6">
        <w:rPr>
          <w:rFonts w:ascii="Times New Roman" w:eastAsia="Calibri" w:hAnsi="Times New Roman" w:cs="Times New Roman"/>
          <w:sz w:val="24"/>
          <w:szCs w:val="24"/>
          <w:lang w:eastAsia="pl-PL"/>
        </w:rPr>
        <w:t xml:space="preserve"> </w:t>
      </w:r>
      <w:r w:rsidRPr="00D945C6">
        <w:rPr>
          <w:rFonts w:ascii="Times New Roman" w:eastAsia="Calibri" w:hAnsi="Times New Roman" w:cs="Times New Roman"/>
          <w:sz w:val="24"/>
          <w:szCs w:val="24"/>
          <w:lang w:eastAsia="pl-PL"/>
        </w:rPr>
        <w:t>zamieszczony w wykazie prac legislacyjnych Ministra Finansów, Funduszy i Polityki Regionalnej.</w:t>
      </w:r>
    </w:p>
    <w:p w14:paraId="023EC4BB" w14:textId="77777777" w:rsidR="00C20524" w:rsidRPr="00D945C6" w:rsidRDefault="00C20524" w:rsidP="000063E8">
      <w:pPr>
        <w:autoSpaceDE w:val="0"/>
        <w:autoSpaceDN w:val="0"/>
        <w:spacing w:after="0" w:line="240" w:lineRule="auto"/>
        <w:jc w:val="both"/>
        <w:rPr>
          <w:rFonts w:ascii="Times New Roman" w:eastAsia="Calibri" w:hAnsi="Times New Roman" w:cs="Times New Roman"/>
          <w:sz w:val="24"/>
          <w:szCs w:val="24"/>
          <w:lang w:eastAsia="pl-PL"/>
        </w:rPr>
      </w:pPr>
    </w:p>
    <w:p w14:paraId="6A9F0D5A" w14:textId="5C8FED57" w:rsidR="00673A58" w:rsidRDefault="007E7E0D" w:rsidP="000063E8">
      <w:pPr>
        <w:spacing w:after="0" w:line="240" w:lineRule="auto"/>
        <w:jc w:val="both"/>
        <w:rPr>
          <w:rFonts w:ascii="Times New Roman" w:eastAsia="Calibri" w:hAnsi="Times New Roman" w:cs="Times New Roman"/>
          <w:sz w:val="24"/>
          <w:szCs w:val="24"/>
        </w:rPr>
      </w:pPr>
      <w:r w:rsidRPr="00D945C6">
        <w:rPr>
          <w:rFonts w:ascii="Times New Roman" w:eastAsia="Calibri" w:hAnsi="Times New Roman" w:cs="Times New Roman"/>
          <w:sz w:val="24"/>
          <w:szCs w:val="24"/>
        </w:rPr>
        <w:t>Zgodnie z art. 5 ustawy z dnia 7 lipca 2005 r. o działalności lobbingowej w procesie stanowienia prawa w związku z § 52 ust. 1 uchwały nr 190 Rady Ministrów z dnia 29 października 2013 r. –  Regulamin pracy Rady Ministrów (M.P. z 2016 r. poz. 1006, z późn. zm.) projekt zostanie udostępniony w Biuletynie Informacji Publicznej na stronie podmiotowej Rządowego Centrum Legislacji, w serwisie Rządowy Proces Legislacji</w:t>
      </w:r>
      <w:r w:rsidR="00C20524">
        <w:rPr>
          <w:rFonts w:ascii="Times New Roman" w:eastAsia="Calibri" w:hAnsi="Times New Roman" w:cs="Times New Roman"/>
          <w:sz w:val="24"/>
          <w:szCs w:val="24"/>
        </w:rPr>
        <w:t>.</w:t>
      </w:r>
    </w:p>
    <w:p w14:paraId="3D0DFC2C" w14:textId="77777777" w:rsidR="00C20524" w:rsidRPr="00672DDD" w:rsidRDefault="00C20524" w:rsidP="000063E8">
      <w:pPr>
        <w:spacing w:after="0" w:line="240" w:lineRule="auto"/>
        <w:jc w:val="both"/>
        <w:rPr>
          <w:rFonts w:ascii="Times New Roman" w:eastAsia="Times New Roman" w:hAnsi="Times New Roman" w:cs="Times New Roman"/>
          <w:bCs/>
          <w:sz w:val="24"/>
          <w:szCs w:val="24"/>
          <w:lang w:eastAsia="pl-PL"/>
        </w:rPr>
      </w:pPr>
    </w:p>
    <w:p w14:paraId="1A695736" w14:textId="0FA416E5" w:rsidR="007E7E0D" w:rsidRPr="00D945C6" w:rsidRDefault="007E7E0D" w:rsidP="000063E8">
      <w:pPr>
        <w:autoSpaceDE w:val="0"/>
        <w:autoSpaceDN w:val="0"/>
        <w:adjustRightInd w:val="0"/>
        <w:spacing w:after="0" w:line="240" w:lineRule="auto"/>
        <w:jc w:val="both"/>
        <w:rPr>
          <w:rFonts w:ascii="Times New Roman" w:hAnsi="Times New Roman" w:cs="Times New Roman"/>
          <w:sz w:val="24"/>
          <w:szCs w:val="24"/>
        </w:rPr>
      </w:pPr>
      <w:r w:rsidRPr="00D945C6">
        <w:rPr>
          <w:rFonts w:ascii="Times New Roman" w:hAnsi="Times New Roman" w:cs="Times New Roman"/>
          <w:sz w:val="24"/>
          <w:szCs w:val="24"/>
        </w:rPr>
        <w:lastRenderedPageBreak/>
        <w:t xml:space="preserve">Projekt rozporządzenia nie wymaga przedstawienia organom i instytucjom Unii Europejskiej w celu uzyskania opinii, dokonania powiadomienia, </w:t>
      </w:r>
      <w:r w:rsidR="00C20524">
        <w:rPr>
          <w:rFonts w:ascii="Times New Roman" w:hAnsi="Times New Roman" w:cs="Times New Roman"/>
          <w:sz w:val="24"/>
          <w:szCs w:val="24"/>
        </w:rPr>
        <w:t>konsultacji albo uzgodnienia. W </w:t>
      </w:r>
      <w:r w:rsidRPr="00D945C6">
        <w:rPr>
          <w:rFonts w:ascii="Times New Roman" w:hAnsi="Times New Roman" w:cs="Times New Roman"/>
          <w:sz w:val="24"/>
          <w:szCs w:val="24"/>
        </w:rPr>
        <w:t xml:space="preserve">szczególności regulacja nie mieści się w zakresie przedmiotowym zagadnień podlegających konsultacjom z Europejskim Bankiem Centralnym, zgodnie z art. 2 ust. 1 decyzji Rady z dnia 29 czerwca 1998 r. (98/415/WE) w sprawie konsultacji Europejskiego Banku Centralnego udzielanych władzom krajowym w sprawie projektów przepisów prawnych (Dz. Urz. UE L 189 z 03.07.1998, str. 42). </w:t>
      </w:r>
    </w:p>
    <w:p w14:paraId="50CEF743" w14:textId="77777777" w:rsidR="00673A58" w:rsidRPr="00D945C6" w:rsidRDefault="00673A58" w:rsidP="00D945C6">
      <w:pPr>
        <w:autoSpaceDE w:val="0"/>
        <w:autoSpaceDN w:val="0"/>
        <w:spacing w:after="0" w:line="240" w:lineRule="auto"/>
        <w:jc w:val="both"/>
        <w:rPr>
          <w:rFonts w:ascii="Times New Roman" w:eastAsia="Calibri" w:hAnsi="Times New Roman" w:cs="Times New Roman"/>
          <w:sz w:val="24"/>
          <w:szCs w:val="24"/>
          <w:lang w:eastAsia="pl-PL"/>
        </w:rPr>
      </w:pPr>
    </w:p>
    <w:p w14:paraId="2EF0A985" w14:textId="245D5DF8" w:rsidR="00673A58" w:rsidRDefault="00591C8E" w:rsidP="000063E8">
      <w:pPr>
        <w:autoSpaceDE w:val="0"/>
        <w:autoSpaceDN w:val="0"/>
        <w:spacing w:after="0" w:line="240" w:lineRule="auto"/>
        <w:jc w:val="both"/>
        <w:rPr>
          <w:rFonts w:ascii="Times New Roman" w:eastAsia="Calibri" w:hAnsi="Times New Roman" w:cs="Times New Roman"/>
          <w:sz w:val="24"/>
          <w:szCs w:val="24"/>
          <w:lang w:eastAsia="pl-PL"/>
        </w:rPr>
      </w:pPr>
      <w:r w:rsidRPr="00D945C6">
        <w:rPr>
          <w:rFonts w:ascii="Times New Roman" w:eastAsia="Calibri" w:hAnsi="Times New Roman" w:cs="Times New Roman"/>
          <w:sz w:val="24"/>
          <w:szCs w:val="24"/>
          <w:lang w:eastAsia="pl-PL"/>
        </w:rPr>
        <w:t>Zawarte w projekcie regulacje nie stanowią przepisów technicznych w rozumieniu rozporządzenia Rady Ministrów z dnia 23 grudnia 2002 r. w sprawie sposobu funkcjonowania krajowego systemu notyfikacji norm i aktów prawnych (Dz. U. poz. 2039, z późn. zm.), dlatego projekt rozporządzenia nie podlega procedurze notyfikacji.</w:t>
      </w:r>
    </w:p>
    <w:p w14:paraId="250F188C" w14:textId="77777777" w:rsidR="00C20524" w:rsidRPr="00D945C6" w:rsidRDefault="00C20524" w:rsidP="000063E8">
      <w:pPr>
        <w:autoSpaceDE w:val="0"/>
        <w:autoSpaceDN w:val="0"/>
        <w:spacing w:after="0" w:line="240" w:lineRule="auto"/>
        <w:jc w:val="both"/>
        <w:rPr>
          <w:rFonts w:ascii="Times New Roman" w:eastAsia="Calibri" w:hAnsi="Times New Roman" w:cs="Times New Roman"/>
          <w:sz w:val="24"/>
          <w:szCs w:val="24"/>
          <w:lang w:eastAsia="pl-PL"/>
        </w:rPr>
      </w:pPr>
    </w:p>
    <w:p w14:paraId="383F9526" w14:textId="6AC64FAE" w:rsidR="00FB2E13" w:rsidRDefault="00591C8E" w:rsidP="000063E8">
      <w:pPr>
        <w:autoSpaceDE w:val="0"/>
        <w:autoSpaceDN w:val="0"/>
        <w:spacing w:after="0" w:line="240" w:lineRule="auto"/>
        <w:jc w:val="both"/>
        <w:rPr>
          <w:rFonts w:ascii="Times New Roman" w:eastAsia="Calibri" w:hAnsi="Times New Roman" w:cs="Times New Roman"/>
          <w:sz w:val="24"/>
          <w:szCs w:val="24"/>
        </w:rPr>
      </w:pPr>
      <w:r w:rsidRPr="00D945C6">
        <w:rPr>
          <w:rFonts w:ascii="Times New Roman" w:eastAsia="Calibri" w:hAnsi="Times New Roman" w:cs="Times New Roman"/>
          <w:sz w:val="24"/>
          <w:szCs w:val="24"/>
        </w:rPr>
        <w:t>Zawarte w projekcie regulacje nie będą mieć wpływu na działalność mikroprzedsiębiorców, małych i średnich przedsiębiorców zgodnie z ustawą z dnia 6 marca 2018 r. – Prawo przedsiębiorców (Dz. U. z 20</w:t>
      </w:r>
      <w:r w:rsidR="00D1522C">
        <w:rPr>
          <w:rFonts w:ascii="Times New Roman" w:eastAsia="Calibri" w:hAnsi="Times New Roman" w:cs="Times New Roman"/>
          <w:sz w:val="24"/>
          <w:szCs w:val="24"/>
        </w:rPr>
        <w:t>2</w:t>
      </w:r>
      <w:r w:rsidRPr="00D945C6">
        <w:rPr>
          <w:rFonts w:ascii="Times New Roman" w:eastAsia="Calibri" w:hAnsi="Times New Roman" w:cs="Times New Roman"/>
          <w:sz w:val="24"/>
          <w:szCs w:val="24"/>
        </w:rPr>
        <w:t>1 r. poz. 1</w:t>
      </w:r>
      <w:r w:rsidR="00D1522C">
        <w:rPr>
          <w:rFonts w:ascii="Times New Roman" w:eastAsia="Calibri" w:hAnsi="Times New Roman" w:cs="Times New Roman"/>
          <w:sz w:val="24"/>
          <w:szCs w:val="24"/>
        </w:rPr>
        <w:t>6</w:t>
      </w:r>
      <w:r w:rsidRPr="00D945C6">
        <w:rPr>
          <w:rFonts w:ascii="Times New Roman" w:eastAsia="Calibri" w:hAnsi="Times New Roman" w:cs="Times New Roman"/>
          <w:sz w:val="24"/>
          <w:szCs w:val="24"/>
        </w:rPr>
        <w:t>2).</w:t>
      </w:r>
    </w:p>
    <w:p w14:paraId="4F2D8607" w14:textId="77777777" w:rsidR="00C20524" w:rsidRPr="00D945C6" w:rsidRDefault="00C20524" w:rsidP="000063E8">
      <w:pPr>
        <w:autoSpaceDE w:val="0"/>
        <w:autoSpaceDN w:val="0"/>
        <w:spacing w:after="0" w:line="240" w:lineRule="auto"/>
        <w:jc w:val="both"/>
        <w:rPr>
          <w:rFonts w:ascii="Times New Roman" w:eastAsia="Calibri" w:hAnsi="Times New Roman" w:cs="Times New Roman"/>
          <w:sz w:val="24"/>
          <w:szCs w:val="24"/>
        </w:rPr>
      </w:pPr>
    </w:p>
    <w:p w14:paraId="6B631648" w14:textId="03E6CBD0" w:rsidR="00591C8E" w:rsidRPr="00D945C6" w:rsidRDefault="00591C8E" w:rsidP="000063E8">
      <w:pPr>
        <w:autoSpaceDE w:val="0"/>
        <w:autoSpaceDN w:val="0"/>
        <w:spacing w:after="0" w:line="240" w:lineRule="auto"/>
        <w:jc w:val="both"/>
        <w:rPr>
          <w:rFonts w:ascii="Times New Roman" w:eastAsia="Times New Roman" w:hAnsi="Times New Roman" w:cs="Times New Roman"/>
          <w:bCs/>
          <w:sz w:val="24"/>
          <w:szCs w:val="24"/>
          <w:lang w:eastAsia="pl-PL"/>
        </w:rPr>
      </w:pPr>
      <w:r w:rsidRPr="00D945C6">
        <w:rPr>
          <w:rFonts w:ascii="Times New Roman" w:eastAsia="Times New Roman" w:hAnsi="Times New Roman" w:cs="Times New Roman"/>
          <w:bCs/>
          <w:sz w:val="24"/>
          <w:szCs w:val="24"/>
          <w:lang w:eastAsia="pl-PL"/>
        </w:rPr>
        <w:t>Projekt jest zgodny z prawem Unii Europejskiej.</w:t>
      </w:r>
    </w:p>
    <w:p w14:paraId="535AAE95" w14:textId="77777777" w:rsidR="007858B9" w:rsidRPr="00F76406" w:rsidRDefault="007858B9" w:rsidP="00F76406">
      <w:pPr>
        <w:pStyle w:val="Tekstpodstawowy4"/>
        <w:shd w:val="clear" w:color="auto" w:fill="auto"/>
        <w:spacing w:after="0" w:line="240" w:lineRule="auto"/>
        <w:ind w:firstLine="0"/>
        <w:jc w:val="both"/>
        <w:rPr>
          <w:sz w:val="24"/>
          <w:szCs w:val="24"/>
        </w:rPr>
      </w:pPr>
    </w:p>
    <w:p w14:paraId="58E86FA8" w14:textId="77777777" w:rsidR="007858B9" w:rsidRPr="00F76406" w:rsidRDefault="007858B9" w:rsidP="00F76406">
      <w:pPr>
        <w:pStyle w:val="Tekstpodstawowy4"/>
        <w:shd w:val="clear" w:color="auto" w:fill="auto"/>
        <w:spacing w:after="0" w:line="240" w:lineRule="auto"/>
        <w:ind w:firstLine="0"/>
        <w:jc w:val="both"/>
        <w:rPr>
          <w:sz w:val="24"/>
          <w:szCs w:val="24"/>
        </w:rPr>
      </w:pPr>
    </w:p>
    <w:p w14:paraId="68105E97" w14:textId="77777777" w:rsidR="007858B9" w:rsidRPr="00F76406" w:rsidRDefault="007858B9" w:rsidP="00F76406">
      <w:pPr>
        <w:pStyle w:val="Tekstpodstawowy4"/>
        <w:shd w:val="clear" w:color="auto" w:fill="auto"/>
        <w:spacing w:after="0" w:line="240" w:lineRule="auto"/>
        <w:ind w:firstLine="0"/>
        <w:jc w:val="both"/>
        <w:rPr>
          <w:sz w:val="24"/>
          <w:szCs w:val="24"/>
        </w:rPr>
      </w:pPr>
    </w:p>
    <w:p w14:paraId="5709A989" w14:textId="77777777" w:rsidR="00044324" w:rsidRPr="00F76406" w:rsidRDefault="00044324" w:rsidP="00F76406">
      <w:pPr>
        <w:pStyle w:val="Tekstpodstawowy4"/>
        <w:shd w:val="clear" w:color="auto" w:fill="auto"/>
        <w:spacing w:after="0" w:line="240" w:lineRule="auto"/>
        <w:ind w:firstLine="0"/>
        <w:jc w:val="both"/>
        <w:rPr>
          <w:sz w:val="24"/>
          <w:szCs w:val="24"/>
        </w:rPr>
      </w:pPr>
    </w:p>
    <w:p w14:paraId="28B9CF14" w14:textId="77777777" w:rsidR="00337491" w:rsidRPr="00F76406" w:rsidRDefault="00337491" w:rsidP="00F76406">
      <w:pPr>
        <w:spacing w:after="0" w:line="240" w:lineRule="auto"/>
        <w:rPr>
          <w:rFonts w:ascii="Times New Roman" w:hAnsi="Times New Roman" w:cs="Times New Roman"/>
          <w:sz w:val="24"/>
          <w:szCs w:val="24"/>
        </w:rPr>
      </w:pPr>
    </w:p>
    <w:sectPr w:rsidR="00337491" w:rsidRPr="00F7640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1A999" w14:textId="77777777" w:rsidR="00511F44" w:rsidRDefault="00511F44" w:rsidP="0076044D">
      <w:pPr>
        <w:spacing w:after="0" w:line="240" w:lineRule="auto"/>
      </w:pPr>
      <w:r>
        <w:separator/>
      </w:r>
    </w:p>
  </w:endnote>
  <w:endnote w:type="continuationSeparator" w:id="0">
    <w:p w14:paraId="56B4FD18" w14:textId="77777777" w:rsidR="00511F44" w:rsidRDefault="00511F44" w:rsidP="00760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186499"/>
      <w:docPartObj>
        <w:docPartGallery w:val="Page Numbers (Bottom of Page)"/>
        <w:docPartUnique/>
      </w:docPartObj>
    </w:sdtPr>
    <w:sdtEndPr/>
    <w:sdtContent>
      <w:p w14:paraId="545ABC0E" w14:textId="276AEF8B" w:rsidR="00673A58" w:rsidRDefault="00673A58">
        <w:pPr>
          <w:pStyle w:val="Stopka"/>
          <w:jc w:val="right"/>
        </w:pPr>
        <w:r>
          <w:fldChar w:fldCharType="begin"/>
        </w:r>
        <w:r>
          <w:instrText>PAGE   \* MERGEFORMAT</w:instrText>
        </w:r>
        <w:r>
          <w:fldChar w:fldCharType="separate"/>
        </w:r>
        <w:r w:rsidR="00D76C5B">
          <w:rPr>
            <w:noProof/>
          </w:rPr>
          <w:t>1</w:t>
        </w:r>
        <w:r>
          <w:fldChar w:fldCharType="end"/>
        </w:r>
      </w:p>
    </w:sdtContent>
  </w:sdt>
  <w:p w14:paraId="476B724C" w14:textId="77777777" w:rsidR="00673A58" w:rsidRDefault="00673A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B1233" w14:textId="77777777" w:rsidR="00511F44" w:rsidRDefault="00511F44" w:rsidP="0076044D">
      <w:pPr>
        <w:spacing w:after="0" w:line="240" w:lineRule="auto"/>
      </w:pPr>
      <w:r>
        <w:separator/>
      </w:r>
    </w:p>
  </w:footnote>
  <w:footnote w:type="continuationSeparator" w:id="0">
    <w:p w14:paraId="5168C030" w14:textId="77777777" w:rsidR="00511F44" w:rsidRDefault="00511F44" w:rsidP="007604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9AA"/>
    <w:multiLevelType w:val="hybridMultilevel"/>
    <w:tmpl w:val="971C86D2"/>
    <w:lvl w:ilvl="0" w:tplc="454AB386">
      <w:start w:val="1"/>
      <w:numFmt w:val="decimal"/>
      <w:lvlText w:val="%1)"/>
      <w:lvlJc w:val="left"/>
      <w:pPr>
        <w:ind w:left="1058" w:hanging="360"/>
      </w:pPr>
      <w:rPr>
        <w:rFonts w:hint="default"/>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
    <w:nsid w:val="024E1828"/>
    <w:multiLevelType w:val="hybridMultilevel"/>
    <w:tmpl w:val="882C7470"/>
    <w:lvl w:ilvl="0" w:tplc="A92206BA">
      <w:start w:val="1"/>
      <w:numFmt w:val="decimal"/>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nsid w:val="1092590E"/>
    <w:multiLevelType w:val="hybridMultilevel"/>
    <w:tmpl w:val="82489B46"/>
    <w:lvl w:ilvl="0" w:tplc="33862D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853832"/>
    <w:multiLevelType w:val="hybridMultilevel"/>
    <w:tmpl w:val="A63E0212"/>
    <w:lvl w:ilvl="0" w:tplc="B642B53A">
      <w:start w:val="1"/>
      <w:numFmt w:val="decimal"/>
      <w:lvlText w:val="%1)"/>
      <w:lvlJc w:val="left"/>
      <w:pPr>
        <w:ind w:left="360"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4">
    <w:nsid w:val="1B857A00"/>
    <w:multiLevelType w:val="hybridMultilevel"/>
    <w:tmpl w:val="59CC6C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BC04C4"/>
    <w:multiLevelType w:val="hybridMultilevel"/>
    <w:tmpl w:val="11E033B4"/>
    <w:lvl w:ilvl="0" w:tplc="04150011">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4C469B"/>
    <w:multiLevelType w:val="hybridMultilevel"/>
    <w:tmpl w:val="252A39C0"/>
    <w:lvl w:ilvl="0" w:tplc="48F2D0FE">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7">
    <w:nsid w:val="2C4C0E4B"/>
    <w:multiLevelType w:val="hybridMultilevel"/>
    <w:tmpl w:val="BC0A53BE"/>
    <w:lvl w:ilvl="0" w:tplc="33862D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3F6783"/>
    <w:multiLevelType w:val="hybridMultilevel"/>
    <w:tmpl w:val="1DB60F4A"/>
    <w:lvl w:ilvl="0" w:tplc="3BEA0A28">
      <w:start w:val="4"/>
      <w:numFmt w:val="decimal"/>
      <w:lvlText w:val="%1)"/>
      <w:lvlJc w:val="left"/>
      <w:pPr>
        <w:ind w:left="1058" w:hanging="360"/>
      </w:pPr>
      <w:rPr>
        <w:rFonts w:hint="default"/>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9">
    <w:nsid w:val="3A27335D"/>
    <w:multiLevelType w:val="hybridMultilevel"/>
    <w:tmpl w:val="6958CD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754EAB"/>
    <w:multiLevelType w:val="hybridMultilevel"/>
    <w:tmpl w:val="133AFC42"/>
    <w:lvl w:ilvl="0" w:tplc="9E324BB6">
      <w:start w:val="1"/>
      <w:numFmt w:val="decimal"/>
      <w:lvlText w:val="%1)"/>
      <w:lvlJc w:val="left"/>
      <w:pPr>
        <w:ind w:left="380" w:hanging="360"/>
      </w:pPr>
      <w:rPr>
        <w:rFonts w:ascii="Times New Roman" w:eastAsia="Times New Roman" w:hAnsi="Times New Roman" w:cs="Times New Roman"/>
      </w:rPr>
    </w:lvl>
    <w:lvl w:ilvl="1" w:tplc="04150003" w:tentative="1">
      <w:start w:val="1"/>
      <w:numFmt w:val="bullet"/>
      <w:lvlText w:val="o"/>
      <w:lvlJc w:val="left"/>
      <w:pPr>
        <w:ind w:left="1100" w:hanging="360"/>
      </w:pPr>
      <w:rPr>
        <w:rFonts w:ascii="Courier New" w:hAnsi="Courier New" w:cs="Courier New" w:hint="default"/>
      </w:rPr>
    </w:lvl>
    <w:lvl w:ilvl="2" w:tplc="04150005" w:tentative="1">
      <w:start w:val="1"/>
      <w:numFmt w:val="bullet"/>
      <w:lvlText w:val=""/>
      <w:lvlJc w:val="left"/>
      <w:pPr>
        <w:ind w:left="1820" w:hanging="360"/>
      </w:pPr>
      <w:rPr>
        <w:rFonts w:ascii="Wingdings" w:hAnsi="Wingdings" w:hint="default"/>
      </w:rPr>
    </w:lvl>
    <w:lvl w:ilvl="3" w:tplc="04150001" w:tentative="1">
      <w:start w:val="1"/>
      <w:numFmt w:val="bullet"/>
      <w:lvlText w:val=""/>
      <w:lvlJc w:val="left"/>
      <w:pPr>
        <w:ind w:left="2540" w:hanging="360"/>
      </w:pPr>
      <w:rPr>
        <w:rFonts w:ascii="Symbol" w:hAnsi="Symbol" w:hint="default"/>
      </w:rPr>
    </w:lvl>
    <w:lvl w:ilvl="4" w:tplc="04150003" w:tentative="1">
      <w:start w:val="1"/>
      <w:numFmt w:val="bullet"/>
      <w:lvlText w:val="o"/>
      <w:lvlJc w:val="left"/>
      <w:pPr>
        <w:ind w:left="3260" w:hanging="360"/>
      </w:pPr>
      <w:rPr>
        <w:rFonts w:ascii="Courier New" w:hAnsi="Courier New" w:cs="Courier New" w:hint="default"/>
      </w:rPr>
    </w:lvl>
    <w:lvl w:ilvl="5" w:tplc="04150005" w:tentative="1">
      <w:start w:val="1"/>
      <w:numFmt w:val="bullet"/>
      <w:lvlText w:val=""/>
      <w:lvlJc w:val="left"/>
      <w:pPr>
        <w:ind w:left="3980" w:hanging="360"/>
      </w:pPr>
      <w:rPr>
        <w:rFonts w:ascii="Wingdings" w:hAnsi="Wingdings" w:hint="default"/>
      </w:rPr>
    </w:lvl>
    <w:lvl w:ilvl="6" w:tplc="04150001" w:tentative="1">
      <w:start w:val="1"/>
      <w:numFmt w:val="bullet"/>
      <w:lvlText w:val=""/>
      <w:lvlJc w:val="left"/>
      <w:pPr>
        <w:ind w:left="4700" w:hanging="360"/>
      </w:pPr>
      <w:rPr>
        <w:rFonts w:ascii="Symbol" w:hAnsi="Symbol" w:hint="default"/>
      </w:rPr>
    </w:lvl>
    <w:lvl w:ilvl="7" w:tplc="04150003" w:tentative="1">
      <w:start w:val="1"/>
      <w:numFmt w:val="bullet"/>
      <w:lvlText w:val="o"/>
      <w:lvlJc w:val="left"/>
      <w:pPr>
        <w:ind w:left="5420" w:hanging="360"/>
      </w:pPr>
      <w:rPr>
        <w:rFonts w:ascii="Courier New" w:hAnsi="Courier New" w:cs="Courier New" w:hint="default"/>
      </w:rPr>
    </w:lvl>
    <w:lvl w:ilvl="8" w:tplc="04150005" w:tentative="1">
      <w:start w:val="1"/>
      <w:numFmt w:val="bullet"/>
      <w:lvlText w:val=""/>
      <w:lvlJc w:val="left"/>
      <w:pPr>
        <w:ind w:left="6140" w:hanging="360"/>
      </w:pPr>
      <w:rPr>
        <w:rFonts w:ascii="Wingdings" w:hAnsi="Wingdings" w:hint="default"/>
      </w:rPr>
    </w:lvl>
  </w:abstractNum>
  <w:abstractNum w:abstractNumId="11">
    <w:nsid w:val="4EE6060C"/>
    <w:multiLevelType w:val="hybridMultilevel"/>
    <w:tmpl w:val="DD9656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4917336"/>
    <w:multiLevelType w:val="hybridMultilevel"/>
    <w:tmpl w:val="F2CC4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B9D584C"/>
    <w:multiLevelType w:val="hybridMultilevel"/>
    <w:tmpl w:val="B61CFA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7B68B3"/>
    <w:multiLevelType w:val="hybridMultilevel"/>
    <w:tmpl w:val="AFEEC1A8"/>
    <w:lvl w:ilvl="0" w:tplc="2332B4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0090306"/>
    <w:multiLevelType w:val="hybridMultilevel"/>
    <w:tmpl w:val="7DB4E5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4B36D6B"/>
    <w:multiLevelType w:val="hybridMultilevel"/>
    <w:tmpl w:val="CD1AE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FE41B7"/>
    <w:multiLevelType w:val="hybridMultilevel"/>
    <w:tmpl w:val="AF6C3986"/>
    <w:lvl w:ilvl="0" w:tplc="2332B4BE">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8">
    <w:nsid w:val="77B07514"/>
    <w:multiLevelType w:val="multilevel"/>
    <w:tmpl w:val="826847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52440F"/>
    <w:multiLevelType w:val="hybridMultilevel"/>
    <w:tmpl w:val="6588B1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9F87207"/>
    <w:multiLevelType w:val="hybridMultilevel"/>
    <w:tmpl w:val="A7804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8"/>
  </w:num>
  <w:num w:numId="3">
    <w:abstractNumId w:val="1"/>
  </w:num>
  <w:num w:numId="4">
    <w:abstractNumId w:val="3"/>
  </w:num>
  <w:num w:numId="5">
    <w:abstractNumId w:val="8"/>
  </w:num>
  <w:num w:numId="6">
    <w:abstractNumId w:val="11"/>
  </w:num>
  <w:num w:numId="7">
    <w:abstractNumId w:val="0"/>
  </w:num>
  <w:num w:numId="8">
    <w:abstractNumId w:val="6"/>
  </w:num>
  <w:num w:numId="9">
    <w:abstractNumId w:val="12"/>
  </w:num>
  <w:num w:numId="10">
    <w:abstractNumId w:val="4"/>
  </w:num>
  <w:num w:numId="11">
    <w:abstractNumId w:val="5"/>
  </w:num>
  <w:num w:numId="12">
    <w:abstractNumId w:val="19"/>
  </w:num>
  <w:num w:numId="13">
    <w:abstractNumId w:val="13"/>
  </w:num>
  <w:num w:numId="14">
    <w:abstractNumId w:val="15"/>
  </w:num>
  <w:num w:numId="15">
    <w:abstractNumId w:val="9"/>
  </w:num>
  <w:num w:numId="16">
    <w:abstractNumId w:val="20"/>
  </w:num>
  <w:num w:numId="17">
    <w:abstractNumId w:val="17"/>
  </w:num>
  <w:num w:numId="18">
    <w:abstractNumId w:val="14"/>
  </w:num>
  <w:num w:numId="19">
    <w:abstractNumId w:val="7"/>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C6"/>
    <w:rsid w:val="00002927"/>
    <w:rsid w:val="00003672"/>
    <w:rsid w:val="000063E8"/>
    <w:rsid w:val="00017D7C"/>
    <w:rsid w:val="00032831"/>
    <w:rsid w:val="00033E20"/>
    <w:rsid w:val="00043656"/>
    <w:rsid w:val="00044324"/>
    <w:rsid w:val="00046BFF"/>
    <w:rsid w:val="00080A67"/>
    <w:rsid w:val="00087933"/>
    <w:rsid w:val="00096C8B"/>
    <w:rsid w:val="000B1D1F"/>
    <w:rsid w:val="000C3D33"/>
    <w:rsid w:val="000C73B5"/>
    <w:rsid w:val="000E0633"/>
    <w:rsid w:val="000E7AE8"/>
    <w:rsid w:val="000E7B64"/>
    <w:rsid w:val="00102AD1"/>
    <w:rsid w:val="00114A9B"/>
    <w:rsid w:val="00121587"/>
    <w:rsid w:val="001217AF"/>
    <w:rsid w:val="0012792F"/>
    <w:rsid w:val="00134335"/>
    <w:rsid w:val="0014552C"/>
    <w:rsid w:val="00150998"/>
    <w:rsid w:val="00170C56"/>
    <w:rsid w:val="00173CCA"/>
    <w:rsid w:val="00183D90"/>
    <w:rsid w:val="001A3B61"/>
    <w:rsid w:val="001A6189"/>
    <w:rsid w:val="001B3C3B"/>
    <w:rsid w:val="001C0FCC"/>
    <w:rsid w:val="001C3C53"/>
    <w:rsid w:val="001C5965"/>
    <w:rsid w:val="001C709E"/>
    <w:rsid w:val="001D1A7B"/>
    <w:rsid w:val="001E6E85"/>
    <w:rsid w:val="001F0629"/>
    <w:rsid w:val="001F37E6"/>
    <w:rsid w:val="00201FAD"/>
    <w:rsid w:val="002032DE"/>
    <w:rsid w:val="0020368B"/>
    <w:rsid w:val="00204522"/>
    <w:rsid w:val="002055E0"/>
    <w:rsid w:val="00205FCC"/>
    <w:rsid w:val="00212669"/>
    <w:rsid w:val="00221430"/>
    <w:rsid w:val="00221770"/>
    <w:rsid w:val="00231EE1"/>
    <w:rsid w:val="00233369"/>
    <w:rsid w:val="00233F96"/>
    <w:rsid w:val="00236C83"/>
    <w:rsid w:val="0024268E"/>
    <w:rsid w:val="00254649"/>
    <w:rsid w:val="002648D0"/>
    <w:rsid w:val="00275FF4"/>
    <w:rsid w:val="0028034E"/>
    <w:rsid w:val="0029208F"/>
    <w:rsid w:val="00293A1A"/>
    <w:rsid w:val="002A12B3"/>
    <w:rsid w:val="002B0606"/>
    <w:rsid w:val="002B2F5B"/>
    <w:rsid w:val="002B74F1"/>
    <w:rsid w:val="002C2C1F"/>
    <w:rsid w:val="002C47D4"/>
    <w:rsid w:val="002C4D3F"/>
    <w:rsid w:val="002C7842"/>
    <w:rsid w:val="002C7952"/>
    <w:rsid w:val="002D5BB0"/>
    <w:rsid w:val="002F14EE"/>
    <w:rsid w:val="002F381B"/>
    <w:rsid w:val="002F7314"/>
    <w:rsid w:val="00302A47"/>
    <w:rsid w:val="003277B3"/>
    <w:rsid w:val="003315F6"/>
    <w:rsid w:val="00336133"/>
    <w:rsid w:val="00337491"/>
    <w:rsid w:val="00341E1D"/>
    <w:rsid w:val="0035235A"/>
    <w:rsid w:val="00353E47"/>
    <w:rsid w:val="003541C9"/>
    <w:rsid w:val="00360B59"/>
    <w:rsid w:val="00365B49"/>
    <w:rsid w:val="00371D70"/>
    <w:rsid w:val="003920F2"/>
    <w:rsid w:val="00393A8F"/>
    <w:rsid w:val="003A6366"/>
    <w:rsid w:val="003E1D33"/>
    <w:rsid w:val="003E7D8B"/>
    <w:rsid w:val="003F14C1"/>
    <w:rsid w:val="004009D1"/>
    <w:rsid w:val="004025AC"/>
    <w:rsid w:val="004025C3"/>
    <w:rsid w:val="004073C7"/>
    <w:rsid w:val="004073E6"/>
    <w:rsid w:val="00423987"/>
    <w:rsid w:val="00437721"/>
    <w:rsid w:val="00437AB0"/>
    <w:rsid w:val="00451462"/>
    <w:rsid w:val="00453499"/>
    <w:rsid w:val="004656B6"/>
    <w:rsid w:val="004730C1"/>
    <w:rsid w:val="00476AA0"/>
    <w:rsid w:val="00480C04"/>
    <w:rsid w:val="00486C79"/>
    <w:rsid w:val="004A086D"/>
    <w:rsid w:val="004A10C7"/>
    <w:rsid w:val="004A5F34"/>
    <w:rsid w:val="004A7CE9"/>
    <w:rsid w:val="004C0CAC"/>
    <w:rsid w:val="004C5CCE"/>
    <w:rsid w:val="004C6337"/>
    <w:rsid w:val="004D371A"/>
    <w:rsid w:val="004E2F71"/>
    <w:rsid w:val="00500EE5"/>
    <w:rsid w:val="0050524D"/>
    <w:rsid w:val="00511F44"/>
    <w:rsid w:val="00515217"/>
    <w:rsid w:val="0052004C"/>
    <w:rsid w:val="00544A01"/>
    <w:rsid w:val="00563E5B"/>
    <w:rsid w:val="0057437C"/>
    <w:rsid w:val="00582068"/>
    <w:rsid w:val="005832EB"/>
    <w:rsid w:val="005842DD"/>
    <w:rsid w:val="00591C8E"/>
    <w:rsid w:val="00592A02"/>
    <w:rsid w:val="005A03B7"/>
    <w:rsid w:val="005A0A5E"/>
    <w:rsid w:val="005B513B"/>
    <w:rsid w:val="005D00AF"/>
    <w:rsid w:val="005F24FB"/>
    <w:rsid w:val="005F3408"/>
    <w:rsid w:val="005F513D"/>
    <w:rsid w:val="005F618C"/>
    <w:rsid w:val="00600287"/>
    <w:rsid w:val="006062F5"/>
    <w:rsid w:val="00626553"/>
    <w:rsid w:val="00630602"/>
    <w:rsid w:val="006429C1"/>
    <w:rsid w:val="00647621"/>
    <w:rsid w:val="00665238"/>
    <w:rsid w:val="00671B7A"/>
    <w:rsid w:val="00672DDD"/>
    <w:rsid w:val="00673974"/>
    <w:rsid w:val="00673A58"/>
    <w:rsid w:val="0067528D"/>
    <w:rsid w:val="00681D82"/>
    <w:rsid w:val="00682949"/>
    <w:rsid w:val="00686E6F"/>
    <w:rsid w:val="006919A9"/>
    <w:rsid w:val="00694EAE"/>
    <w:rsid w:val="006A167B"/>
    <w:rsid w:val="006A344C"/>
    <w:rsid w:val="006A3C34"/>
    <w:rsid w:val="006B5053"/>
    <w:rsid w:val="006D3029"/>
    <w:rsid w:val="006E2826"/>
    <w:rsid w:val="006E69AA"/>
    <w:rsid w:val="006F3F4E"/>
    <w:rsid w:val="00705288"/>
    <w:rsid w:val="0072470C"/>
    <w:rsid w:val="00731D84"/>
    <w:rsid w:val="0073367F"/>
    <w:rsid w:val="00740932"/>
    <w:rsid w:val="007560E1"/>
    <w:rsid w:val="0076044D"/>
    <w:rsid w:val="00766C58"/>
    <w:rsid w:val="007837A9"/>
    <w:rsid w:val="007858B9"/>
    <w:rsid w:val="00790A4A"/>
    <w:rsid w:val="00791F66"/>
    <w:rsid w:val="00795D20"/>
    <w:rsid w:val="007A312A"/>
    <w:rsid w:val="007B694A"/>
    <w:rsid w:val="007C0209"/>
    <w:rsid w:val="007E6812"/>
    <w:rsid w:val="007E7E0D"/>
    <w:rsid w:val="00802C22"/>
    <w:rsid w:val="008048C5"/>
    <w:rsid w:val="00810D3E"/>
    <w:rsid w:val="00852AAA"/>
    <w:rsid w:val="00861213"/>
    <w:rsid w:val="00864463"/>
    <w:rsid w:val="008701F7"/>
    <w:rsid w:val="00870558"/>
    <w:rsid w:val="00870F37"/>
    <w:rsid w:val="00873BA1"/>
    <w:rsid w:val="00873DC6"/>
    <w:rsid w:val="00883D22"/>
    <w:rsid w:val="0089008F"/>
    <w:rsid w:val="008A55EE"/>
    <w:rsid w:val="008B083F"/>
    <w:rsid w:val="008B24BF"/>
    <w:rsid w:val="008B57A2"/>
    <w:rsid w:val="008C15E1"/>
    <w:rsid w:val="008C31E7"/>
    <w:rsid w:val="008C545C"/>
    <w:rsid w:val="009034D7"/>
    <w:rsid w:val="00906ACA"/>
    <w:rsid w:val="00915DAD"/>
    <w:rsid w:val="00923DB6"/>
    <w:rsid w:val="009248EA"/>
    <w:rsid w:val="00932FB9"/>
    <w:rsid w:val="0094111B"/>
    <w:rsid w:val="00946B50"/>
    <w:rsid w:val="00951489"/>
    <w:rsid w:val="009708EB"/>
    <w:rsid w:val="00970AAA"/>
    <w:rsid w:val="00972691"/>
    <w:rsid w:val="0098317F"/>
    <w:rsid w:val="009847B5"/>
    <w:rsid w:val="00985650"/>
    <w:rsid w:val="0098741C"/>
    <w:rsid w:val="00987C1A"/>
    <w:rsid w:val="009960C0"/>
    <w:rsid w:val="009A32D6"/>
    <w:rsid w:val="009B1046"/>
    <w:rsid w:val="009C2AA2"/>
    <w:rsid w:val="009C54C1"/>
    <w:rsid w:val="009D17E6"/>
    <w:rsid w:val="009D198C"/>
    <w:rsid w:val="009D262E"/>
    <w:rsid w:val="009D6031"/>
    <w:rsid w:val="009E18C5"/>
    <w:rsid w:val="009F3B06"/>
    <w:rsid w:val="009F57E4"/>
    <w:rsid w:val="009F6A34"/>
    <w:rsid w:val="00A05F57"/>
    <w:rsid w:val="00A26C99"/>
    <w:rsid w:val="00A50680"/>
    <w:rsid w:val="00A5231D"/>
    <w:rsid w:val="00A53220"/>
    <w:rsid w:val="00A54352"/>
    <w:rsid w:val="00A823E3"/>
    <w:rsid w:val="00A8607E"/>
    <w:rsid w:val="00AA0EBF"/>
    <w:rsid w:val="00AB1D6C"/>
    <w:rsid w:val="00AB5533"/>
    <w:rsid w:val="00AC1611"/>
    <w:rsid w:val="00AD0D89"/>
    <w:rsid w:val="00AE3769"/>
    <w:rsid w:val="00AE3EA7"/>
    <w:rsid w:val="00AF3002"/>
    <w:rsid w:val="00B0016D"/>
    <w:rsid w:val="00B02BB8"/>
    <w:rsid w:val="00B069CB"/>
    <w:rsid w:val="00B10FFA"/>
    <w:rsid w:val="00B17578"/>
    <w:rsid w:val="00B24536"/>
    <w:rsid w:val="00B34620"/>
    <w:rsid w:val="00B3546D"/>
    <w:rsid w:val="00B5605E"/>
    <w:rsid w:val="00B61386"/>
    <w:rsid w:val="00B83731"/>
    <w:rsid w:val="00B86554"/>
    <w:rsid w:val="00BA7EEB"/>
    <w:rsid w:val="00BB2642"/>
    <w:rsid w:val="00BF175B"/>
    <w:rsid w:val="00C04190"/>
    <w:rsid w:val="00C1305F"/>
    <w:rsid w:val="00C17C8D"/>
    <w:rsid w:val="00C20524"/>
    <w:rsid w:val="00C243CC"/>
    <w:rsid w:val="00C30FEC"/>
    <w:rsid w:val="00C34EFD"/>
    <w:rsid w:val="00C45705"/>
    <w:rsid w:val="00C52385"/>
    <w:rsid w:val="00C72F50"/>
    <w:rsid w:val="00C875A2"/>
    <w:rsid w:val="00C90E5C"/>
    <w:rsid w:val="00CA6853"/>
    <w:rsid w:val="00CC5F6C"/>
    <w:rsid w:val="00CC6C67"/>
    <w:rsid w:val="00CD133F"/>
    <w:rsid w:val="00CD1555"/>
    <w:rsid w:val="00CD46A2"/>
    <w:rsid w:val="00CE07BB"/>
    <w:rsid w:val="00CE740C"/>
    <w:rsid w:val="00CF462D"/>
    <w:rsid w:val="00D033E9"/>
    <w:rsid w:val="00D12343"/>
    <w:rsid w:val="00D130AE"/>
    <w:rsid w:val="00D1522C"/>
    <w:rsid w:val="00D248A0"/>
    <w:rsid w:val="00D33AAD"/>
    <w:rsid w:val="00D33E0B"/>
    <w:rsid w:val="00D3681B"/>
    <w:rsid w:val="00D3728F"/>
    <w:rsid w:val="00D375DD"/>
    <w:rsid w:val="00D51147"/>
    <w:rsid w:val="00D57EBB"/>
    <w:rsid w:val="00D623AA"/>
    <w:rsid w:val="00D7411B"/>
    <w:rsid w:val="00D74292"/>
    <w:rsid w:val="00D76C5B"/>
    <w:rsid w:val="00D82191"/>
    <w:rsid w:val="00D82AD7"/>
    <w:rsid w:val="00D945C6"/>
    <w:rsid w:val="00DA6EC6"/>
    <w:rsid w:val="00DC2238"/>
    <w:rsid w:val="00DD0964"/>
    <w:rsid w:val="00E1611D"/>
    <w:rsid w:val="00E27049"/>
    <w:rsid w:val="00E45BBD"/>
    <w:rsid w:val="00E45DEF"/>
    <w:rsid w:val="00E56C10"/>
    <w:rsid w:val="00E7099B"/>
    <w:rsid w:val="00E91E8E"/>
    <w:rsid w:val="00E93FB1"/>
    <w:rsid w:val="00EB274C"/>
    <w:rsid w:val="00ED0AC8"/>
    <w:rsid w:val="00ED2110"/>
    <w:rsid w:val="00EE67C3"/>
    <w:rsid w:val="00EE6D81"/>
    <w:rsid w:val="00F231CD"/>
    <w:rsid w:val="00F26D5F"/>
    <w:rsid w:val="00F32038"/>
    <w:rsid w:val="00F3506B"/>
    <w:rsid w:val="00F400AA"/>
    <w:rsid w:val="00F406E1"/>
    <w:rsid w:val="00F41B3D"/>
    <w:rsid w:val="00F5172B"/>
    <w:rsid w:val="00F54919"/>
    <w:rsid w:val="00F60B4D"/>
    <w:rsid w:val="00F67127"/>
    <w:rsid w:val="00F75C5E"/>
    <w:rsid w:val="00F76406"/>
    <w:rsid w:val="00F800A9"/>
    <w:rsid w:val="00F838E3"/>
    <w:rsid w:val="00F854FD"/>
    <w:rsid w:val="00F92E0F"/>
    <w:rsid w:val="00FB2596"/>
    <w:rsid w:val="00FB2E13"/>
    <w:rsid w:val="00FD0E65"/>
    <w:rsid w:val="00FE5EE4"/>
    <w:rsid w:val="00FF2030"/>
    <w:rsid w:val="00FF5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27645"/>
  <w15:chartTrackingRefBased/>
  <w15:docId w15:val="{BFB44B93-241B-4364-8B86-AB57F19B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
    <w:name w:val="Body text_"/>
    <w:basedOn w:val="Domylnaczcionkaakapitu"/>
    <w:link w:val="Tekstpodstawowy4"/>
    <w:rsid w:val="00DA6EC6"/>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
    <w:rsid w:val="00DA6EC6"/>
    <w:pPr>
      <w:shd w:val="clear" w:color="auto" w:fill="FFFFFF"/>
      <w:spacing w:after="660" w:line="0" w:lineRule="atLeast"/>
      <w:ind w:hanging="360"/>
    </w:pPr>
    <w:rPr>
      <w:rFonts w:ascii="Times New Roman" w:eastAsia="Times New Roman" w:hAnsi="Times New Roman" w:cs="Times New Roman"/>
      <w:sz w:val="23"/>
      <w:szCs w:val="23"/>
    </w:rPr>
  </w:style>
  <w:style w:type="paragraph" w:styleId="Tekstprzypisudolnego">
    <w:name w:val="footnote text"/>
    <w:basedOn w:val="Normalny"/>
    <w:link w:val="TekstprzypisudolnegoZnak"/>
    <w:uiPriority w:val="99"/>
    <w:semiHidden/>
    <w:unhideWhenUsed/>
    <w:rsid w:val="0076044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044D"/>
    <w:rPr>
      <w:sz w:val="20"/>
      <w:szCs w:val="20"/>
    </w:rPr>
  </w:style>
  <w:style w:type="character" w:styleId="Odwoanieprzypisudolnego">
    <w:name w:val="footnote reference"/>
    <w:basedOn w:val="Domylnaczcionkaakapitu"/>
    <w:uiPriority w:val="99"/>
    <w:semiHidden/>
    <w:unhideWhenUsed/>
    <w:rsid w:val="0076044D"/>
    <w:rPr>
      <w:vertAlign w:val="superscript"/>
    </w:rPr>
  </w:style>
  <w:style w:type="character" w:customStyle="1" w:styleId="st">
    <w:name w:val="st"/>
    <w:basedOn w:val="Domylnaczcionkaakapitu"/>
    <w:rsid w:val="00591C8E"/>
  </w:style>
  <w:style w:type="paragraph" w:customStyle="1" w:styleId="ARTartustawynprozporzdzenia">
    <w:name w:val="ART(§) – art. ustawy (§ np. rozporządzenia)"/>
    <w:uiPriority w:val="11"/>
    <w:qFormat/>
    <w:rsid w:val="00591C8E"/>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591C8E"/>
    <w:pPr>
      <w:spacing w:after="0" w:line="360" w:lineRule="auto"/>
      <w:ind w:left="510" w:hanging="510"/>
      <w:jc w:val="both"/>
    </w:pPr>
    <w:rPr>
      <w:rFonts w:ascii="Times" w:eastAsiaTheme="minorEastAsia" w:hAnsi="Times" w:cs="Arial"/>
      <w:bCs/>
      <w:sz w:val="24"/>
      <w:szCs w:val="20"/>
      <w:lang w:eastAsia="pl-PL"/>
    </w:rPr>
  </w:style>
  <w:style w:type="paragraph" w:styleId="Tekstdymka">
    <w:name w:val="Balloon Text"/>
    <w:basedOn w:val="Normalny"/>
    <w:link w:val="TekstdymkaZnak"/>
    <w:uiPriority w:val="99"/>
    <w:semiHidden/>
    <w:unhideWhenUsed/>
    <w:rsid w:val="00A506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680"/>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B865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86554"/>
    <w:rPr>
      <w:sz w:val="20"/>
      <w:szCs w:val="20"/>
    </w:rPr>
  </w:style>
  <w:style w:type="character" w:styleId="Odwoanieprzypisukocowego">
    <w:name w:val="endnote reference"/>
    <w:basedOn w:val="Domylnaczcionkaakapitu"/>
    <w:uiPriority w:val="99"/>
    <w:semiHidden/>
    <w:unhideWhenUsed/>
    <w:rsid w:val="00B86554"/>
    <w:rPr>
      <w:vertAlign w:val="superscript"/>
    </w:rPr>
  </w:style>
  <w:style w:type="character" w:styleId="Odwoaniedokomentarza">
    <w:name w:val="annotation reference"/>
    <w:basedOn w:val="Domylnaczcionkaakapitu"/>
    <w:uiPriority w:val="99"/>
    <w:semiHidden/>
    <w:unhideWhenUsed/>
    <w:rsid w:val="007E7E0D"/>
    <w:rPr>
      <w:sz w:val="16"/>
      <w:szCs w:val="16"/>
    </w:rPr>
  </w:style>
  <w:style w:type="paragraph" w:styleId="Tekstkomentarza">
    <w:name w:val="annotation text"/>
    <w:basedOn w:val="Normalny"/>
    <w:link w:val="TekstkomentarzaZnak"/>
    <w:uiPriority w:val="99"/>
    <w:unhideWhenUsed/>
    <w:rsid w:val="007E7E0D"/>
    <w:pPr>
      <w:spacing w:line="240" w:lineRule="auto"/>
    </w:pPr>
    <w:rPr>
      <w:sz w:val="20"/>
      <w:szCs w:val="20"/>
    </w:rPr>
  </w:style>
  <w:style w:type="character" w:customStyle="1" w:styleId="TekstkomentarzaZnak">
    <w:name w:val="Tekst komentarza Znak"/>
    <w:basedOn w:val="Domylnaczcionkaakapitu"/>
    <w:link w:val="Tekstkomentarza"/>
    <w:uiPriority w:val="99"/>
    <w:rsid w:val="007E7E0D"/>
    <w:rPr>
      <w:sz w:val="20"/>
      <w:szCs w:val="20"/>
    </w:rPr>
  </w:style>
  <w:style w:type="paragraph" w:styleId="Tematkomentarza">
    <w:name w:val="annotation subject"/>
    <w:basedOn w:val="Tekstkomentarza"/>
    <w:next w:val="Tekstkomentarza"/>
    <w:link w:val="TematkomentarzaZnak"/>
    <w:uiPriority w:val="99"/>
    <w:semiHidden/>
    <w:unhideWhenUsed/>
    <w:rsid w:val="007E7E0D"/>
    <w:rPr>
      <w:b/>
      <w:bCs/>
    </w:rPr>
  </w:style>
  <w:style w:type="character" w:customStyle="1" w:styleId="TematkomentarzaZnak">
    <w:name w:val="Temat komentarza Znak"/>
    <w:basedOn w:val="TekstkomentarzaZnak"/>
    <w:link w:val="Tematkomentarza"/>
    <w:uiPriority w:val="99"/>
    <w:semiHidden/>
    <w:rsid w:val="007E7E0D"/>
    <w:rPr>
      <w:b/>
      <w:bCs/>
      <w:sz w:val="20"/>
      <w:szCs w:val="20"/>
    </w:rPr>
  </w:style>
  <w:style w:type="paragraph" w:styleId="Akapitzlist">
    <w:name w:val="List Paragraph"/>
    <w:basedOn w:val="Normalny"/>
    <w:uiPriority w:val="34"/>
    <w:qFormat/>
    <w:rsid w:val="00B83731"/>
    <w:pPr>
      <w:ind w:left="720"/>
      <w:contextualSpacing/>
    </w:pPr>
  </w:style>
  <w:style w:type="paragraph" w:styleId="Poprawka">
    <w:name w:val="Revision"/>
    <w:hidden/>
    <w:uiPriority w:val="99"/>
    <w:semiHidden/>
    <w:rsid w:val="00E56C10"/>
    <w:pPr>
      <w:spacing w:after="0" w:line="240" w:lineRule="auto"/>
    </w:pPr>
  </w:style>
  <w:style w:type="paragraph" w:styleId="Nagwek">
    <w:name w:val="header"/>
    <w:basedOn w:val="Normalny"/>
    <w:link w:val="NagwekZnak"/>
    <w:uiPriority w:val="99"/>
    <w:unhideWhenUsed/>
    <w:rsid w:val="00673A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3A58"/>
  </w:style>
  <w:style w:type="paragraph" w:styleId="Stopka">
    <w:name w:val="footer"/>
    <w:basedOn w:val="Normalny"/>
    <w:link w:val="StopkaZnak"/>
    <w:uiPriority w:val="99"/>
    <w:unhideWhenUsed/>
    <w:rsid w:val="00673A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3A58"/>
  </w:style>
  <w:style w:type="paragraph" w:customStyle="1" w:styleId="USTustnpkodeksu">
    <w:name w:val="UST(§) – ust. (§ np. kodeksu)"/>
    <w:basedOn w:val="ARTartustawynprozporzdzenia"/>
    <w:uiPriority w:val="15"/>
    <w:qFormat/>
    <w:rsid w:val="00F5172B"/>
    <w:pPr>
      <w:spacing w:before="0"/>
    </w:pPr>
    <w:rPr>
      <w:bCs/>
    </w:rPr>
  </w:style>
  <w:style w:type="paragraph" w:styleId="Tekstpodstawowywcity2">
    <w:name w:val="Body Text Indent 2"/>
    <w:basedOn w:val="Normalny"/>
    <w:link w:val="Tekstpodstawowywcity2Znak"/>
    <w:uiPriority w:val="99"/>
    <w:unhideWhenUsed/>
    <w:rsid w:val="004073C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07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657458">
      <w:bodyDiv w:val="1"/>
      <w:marLeft w:val="0"/>
      <w:marRight w:val="0"/>
      <w:marTop w:val="0"/>
      <w:marBottom w:val="0"/>
      <w:divBdr>
        <w:top w:val="none" w:sz="0" w:space="0" w:color="auto"/>
        <w:left w:val="none" w:sz="0" w:space="0" w:color="auto"/>
        <w:bottom w:val="none" w:sz="0" w:space="0" w:color="auto"/>
        <w:right w:val="none" w:sz="0" w:space="0" w:color="auto"/>
      </w:divBdr>
    </w:div>
    <w:div w:id="158499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8F734-E76C-447F-99AC-DD4583525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2642</Words>
  <Characters>15854</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Rowiński Andrzej</dc:creator>
  <cp:keywords/>
  <dc:description/>
  <cp:lastModifiedBy>KGHM</cp:lastModifiedBy>
  <cp:revision>2</cp:revision>
  <cp:lastPrinted>2021-06-02T14:37:00Z</cp:lastPrinted>
  <dcterms:created xsi:type="dcterms:W3CDTF">2021-06-17T08:39:00Z</dcterms:created>
  <dcterms:modified xsi:type="dcterms:W3CDTF">2021-06-17T08:39:00Z</dcterms:modified>
</cp:coreProperties>
</file>