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72"/>
        <w:gridCol w:w="351"/>
        <w:gridCol w:w="392"/>
        <w:gridCol w:w="372"/>
        <w:gridCol w:w="140"/>
        <w:gridCol w:w="168"/>
        <w:gridCol w:w="344"/>
        <w:gridCol w:w="480"/>
        <w:gridCol w:w="32"/>
        <w:gridCol w:w="107"/>
        <w:gridCol w:w="136"/>
        <w:gridCol w:w="268"/>
        <w:gridCol w:w="283"/>
        <w:gridCol w:w="229"/>
        <w:gridCol w:w="512"/>
        <w:gridCol w:w="72"/>
        <w:gridCol w:w="12"/>
        <w:gridCol w:w="428"/>
        <w:gridCol w:w="102"/>
        <w:gridCol w:w="295"/>
        <w:gridCol w:w="114"/>
        <w:gridCol w:w="239"/>
        <w:gridCol w:w="273"/>
        <w:gridCol w:w="199"/>
        <w:gridCol w:w="313"/>
        <w:gridCol w:w="512"/>
        <w:gridCol w:w="1376"/>
      </w:tblGrid>
      <w:tr w:rsidR="00394091" w:rsidRPr="00394091" w14:paraId="7454E13F" w14:textId="77777777" w:rsidTr="006C58E0">
        <w:trPr>
          <w:trHeight w:val="1611"/>
        </w:trPr>
        <w:tc>
          <w:tcPr>
            <w:tcW w:w="57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5A82" w14:textId="77777777" w:rsidR="00394091" w:rsidRPr="00394091" w:rsidRDefault="00394091" w:rsidP="00394091">
            <w:pPr>
              <w:autoSpaceDE w:val="0"/>
              <w:spacing w:before="60" w:after="0" w:line="240" w:lineRule="auto"/>
              <w:ind w:hanging="45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bookmarkStart w:id="0" w:name="t1"/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Nazwa projektu</w:t>
            </w:r>
          </w:p>
          <w:p w14:paraId="44FCD4D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Rozporządzenie</w:t>
            </w:r>
            <w:r w:rsidRPr="00394091">
              <w:rPr>
                <w:rFonts w:ascii="Times New Roman" w:eastAsia="Times New Roman" w:hAnsi="Times New Roman" w:cs="Arial"/>
                <w:szCs w:val="20"/>
                <w:lang w:eastAsia="ar-SA"/>
              </w:rPr>
              <w:t xml:space="preserve"> Ministra Zdrowia 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w sprawie formy i szczegółowego zakresu procedur wzorcowych i procedur szczegółowych</w:t>
            </w:r>
          </w:p>
          <w:p w14:paraId="327EFF7F" w14:textId="77777777" w:rsidR="00394091" w:rsidRPr="00394091" w:rsidRDefault="00394091" w:rsidP="00394091">
            <w:pPr>
              <w:autoSpaceDE w:val="0"/>
              <w:spacing w:before="120" w:after="0" w:line="240" w:lineRule="auto"/>
              <w:ind w:left="-41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Ministerstwo wiodące i ministerstwa współpracujące</w:t>
            </w:r>
          </w:p>
          <w:bookmarkEnd w:id="0"/>
          <w:p w14:paraId="4D1C837A" w14:textId="77777777" w:rsidR="00394091" w:rsidRPr="00394091" w:rsidRDefault="00394091" w:rsidP="00394091">
            <w:pPr>
              <w:autoSpaceDE w:val="0"/>
              <w:spacing w:before="60" w:after="0" w:line="240" w:lineRule="auto"/>
              <w:ind w:hanging="34"/>
              <w:jc w:val="both"/>
              <w:rPr>
                <w:rFonts w:ascii="Times New Roman" w:eastAsia="Calibri" w:hAnsi="Times New Roman" w:cs="Arial"/>
                <w:b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Ministerstwo Zdrowia</w:t>
            </w:r>
          </w:p>
          <w:p w14:paraId="59ECBF14" w14:textId="77777777" w:rsidR="00394091" w:rsidRPr="00394091" w:rsidRDefault="00394091" w:rsidP="00394091">
            <w:pPr>
              <w:autoSpaceDE w:val="0"/>
              <w:spacing w:before="120" w:after="0" w:line="240" w:lineRule="auto"/>
              <w:jc w:val="both"/>
              <w:rPr>
                <w:rFonts w:ascii="Times New Roman" w:eastAsia="Calibri" w:hAnsi="Times New Roman" w:cs="Arial"/>
                <w:b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 xml:space="preserve">Osoba odpowiedzialna za projekt w randze Ministra, Sekretarza Stanu lub Podsekretarza Stanu </w:t>
            </w:r>
          </w:p>
          <w:p w14:paraId="6A6B4159" w14:textId="77777777" w:rsidR="00394091" w:rsidRPr="00394091" w:rsidRDefault="00394091" w:rsidP="00394091">
            <w:pPr>
              <w:autoSpaceDE w:val="0"/>
              <w:spacing w:before="120" w:after="0" w:line="240" w:lineRule="auto"/>
              <w:jc w:val="both"/>
              <w:rPr>
                <w:rFonts w:ascii="Times New Roman" w:eastAsia="Calibri" w:hAnsi="Times New Roman" w:cs="Arial"/>
                <w:bCs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Cs/>
                <w:szCs w:val="20"/>
                <w:lang w:eastAsia="ar-SA"/>
              </w:rPr>
              <w:t xml:space="preserve">Waldemar Kraska – Sekretarz Stanu w Ministerstwie Zdrowia </w:t>
            </w:r>
          </w:p>
          <w:p w14:paraId="2FB6E06E" w14:textId="77777777" w:rsidR="00394091" w:rsidRPr="00394091" w:rsidRDefault="00394091" w:rsidP="00394091">
            <w:pPr>
              <w:autoSpaceDE w:val="0"/>
              <w:spacing w:before="120" w:after="0" w:line="240" w:lineRule="auto"/>
              <w:ind w:hanging="45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Kontakt do opiekuna merytorycznego projektu</w:t>
            </w:r>
          </w:p>
          <w:p w14:paraId="15CCA16C" w14:textId="77777777" w:rsidR="00394091" w:rsidRPr="00394091" w:rsidRDefault="00394091" w:rsidP="00394091">
            <w:pPr>
              <w:autoSpaceDE w:val="0"/>
              <w:spacing w:before="60" w:after="0" w:line="240" w:lineRule="auto"/>
              <w:ind w:hanging="34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Dariusz Poznański – Dyrektor Departamentu Zdrowia Publicznego Ministerstwa Zdrowia</w:t>
            </w:r>
          </w:p>
          <w:p w14:paraId="66596E52" w14:textId="77777777" w:rsidR="00394091" w:rsidRPr="00394091" w:rsidRDefault="00394091" w:rsidP="00394091">
            <w:pPr>
              <w:autoSpaceDE w:val="0"/>
              <w:spacing w:before="60" w:after="0" w:line="240" w:lineRule="auto"/>
              <w:ind w:hanging="34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Telefon: +48 22 530 03 18, Email: dep-zp@mz.gov.pl</w:t>
            </w:r>
          </w:p>
        </w:tc>
        <w:tc>
          <w:tcPr>
            <w:tcW w:w="38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A2193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b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 xml:space="preserve">Data sporządzenia: </w:t>
            </w:r>
          </w:p>
          <w:p w14:paraId="2416B974" w14:textId="6BCCBCEC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b/>
                <w:szCs w:val="20"/>
                <w:lang w:eastAsia="ar-SA"/>
              </w:rPr>
            </w:pPr>
            <w:r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>2</w:t>
            </w:r>
            <w:r w:rsidR="003D425F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>8</w:t>
            </w: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>.06.2021 r.</w:t>
            </w: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br/>
            </w:r>
          </w:p>
          <w:p w14:paraId="16D561B2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b/>
                <w:szCs w:val="20"/>
                <w:lang w:eastAsia="ar-SA"/>
              </w:rPr>
            </w:pPr>
          </w:p>
          <w:p w14:paraId="1311B93E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 xml:space="preserve">Źródło: </w:t>
            </w:r>
            <w:bookmarkStart w:id="1" w:name="Lista1"/>
          </w:p>
          <w:bookmarkEnd w:id="1"/>
          <w:p w14:paraId="29FC2F41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strike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>Upoważnienie ustawowe – art. 33zm ustawy z dnia 29 listopada 2000 r.  – Prawo atomowe (Dz. U. z 2021 r. poz. 623).</w:t>
            </w:r>
          </w:p>
          <w:p w14:paraId="4AAD9F23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szCs w:val="20"/>
                <w:lang w:eastAsia="ar-SA"/>
              </w:rPr>
            </w:pPr>
          </w:p>
          <w:p w14:paraId="01BEE958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b/>
                <w:bCs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Nr w wykazie prac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  <w:r w:rsidRPr="00394091">
              <w:rPr>
                <w:rFonts w:ascii="Times New Roman" w:eastAsia="Calibri" w:hAnsi="Times New Roman" w:cs="Arial"/>
                <w:b/>
                <w:bCs/>
                <w:color w:val="000000"/>
                <w:szCs w:val="20"/>
                <w:lang w:eastAsia="ar-SA"/>
              </w:rPr>
              <w:t>legislacyjnych Ministra Zdrowia:</w:t>
            </w:r>
          </w:p>
          <w:p w14:paraId="140A9077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/>
                <w:bCs/>
                <w:color w:val="000000"/>
                <w:szCs w:val="20"/>
                <w:lang w:eastAsia="ar-SA"/>
              </w:rPr>
              <w:t>MZ 1151</w:t>
            </w:r>
          </w:p>
        </w:tc>
      </w:tr>
      <w:tr w:rsidR="00394091" w:rsidRPr="00394091" w14:paraId="2748F3E5" w14:textId="77777777" w:rsidTr="006C58E0">
        <w:trPr>
          <w:trHeight w:val="142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75231AF" w14:textId="77777777" w:rsidR="00394091" w:rsidRPr="00394091" w:rsidRDefault="00394091" w:rsidP="00394091">
            <w:pPr>
              <w:autoSpaceDE w:val="0"/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FFFFFF"/>
                <w:sz w:val="32"/>
                <w:szCs w:val="32"/>
                <w:lang w:eastAsia="ar-SA"/>
              </w:rPr>
              <w:t>OCENA SKUTKÓW REGULACJI</w:t>
            </w:r>
          </w:p>
        </w:tc>
      </w:tr>
      <w:tr w:rsidR="00394091" w:rsidRPr="00394091" w14:paraId="7C576D8A" w14:textId="77777777" w:rsidTr="006C58E0">
        <w:trPr>
          <w:trHeight w:val="333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4C172A2" w14:textId="77777777" w:rsidR="00394091" w:rsidRPr="00394091" w:rsidRDefault="00394091" w:rsidP="00394091">
            <w:pPr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>Jaki problem jest rozwiązywany?</w:t>
            </w:r>
            <w:bookmarkStart w:id="2" w:name="Wyb%25252525252525252525C3%2525252525252"/>
            <w:bookmarkEnd w:id="2"/>
          </w:p>
        </w:tc>
      </w:tr>
      <w:tr w:rsidR="00394091" w:rsidRPr="00394091" w14:paraId="4782C263" w14:textId="77777777" w:rsidTr="006C58E0">
        <w:trPr>
          <w:trHeight w:val="142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24C4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Projekt rozporządzenia </w:t>
            </w:r>
            <w:r w:rsidRPr="00394091">
              <w:rPr>
                <w:rFonts w:ascii="Times New Roman" w:eastAsia="Times New Roman" w:hAnsi="Times New Roman" w:cs="Arial"/>
                <w:lang w:eastAsia="ar-SA"/>
              </w:rPr>
              <w:t xml:space="preserve">w sprawie formy i szczegółowego zakresu procedur wzorcowych i procedur szczegółowych 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stanowi realizację upoważnienia zawartego w art. 33zm ustawy </w:t>
            </w: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z dnia 29 listopada 2000 r. 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– Prawo atomowe. </w:t>
            </w:r>
          </w:p>
          <w:p w14:paraId="76053773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Zgodnie z tym upoważnieniem minister właściwy do spraw zdrowia określi, w drodze rozporządzenia, formę i szczegółowy zakres procedur wzorcowych i procedur szczegółowych, mając na względzie zagrożenie wynikające z narażenia osoby poddawanej ekspozycji medycznej na działanie promieniowania jonizującego.</w:t>
            </w:r>
          </w:p>
          <w:p w14:paraId="412D3A0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Obowiązek dostępności procedur (pisemnych protokołów) związanych ze stosowaniem promieniowania jonizującego w medycynie wynika bezpośrednio z przepisów dyrektywy 2013/59/EURATOM. Zgodnie bowiem z jej art. 58 lit. a </w:t>
            </w:r>
            <w:r w:rsidRPr="00394091">
              <w:rPr>
                <w:rFonts w:ascii="Times New Roman" w:eastAsia="Times New Roman" w:hAnsi="Times New Roman" w:cs="Arial"/>
                <w:lang w:eastAsia="ar-SA"/>
              </w:rPr>
              <w:t>„państwa członkowskie zapewniają aby dla każdego rodzaju standardowej medycznej procedury radiologicznej ustanowiono pisemne protokoły dla każdego sprzętu, dla odnośnych kategorii pacjentów”.</w:t>
            </w:r>
          </w:p>
          <w:p w14:paraId="7F18E78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iCs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W dotychczasowym stanie prawnym, tj. przed wejściem w życie nowelizacji Prawa atomowego (tj. ustawy</w:t>
            </w: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 z dnia 13 czerwca 2019 r. o zmianie ustawy – Prawo atomowe oraz ustawy o ochronie przeciwpożarowej, 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wdrażającej dyrektywę 2013/59/</w:t>
            </w:r>
            <w:proofErr w:type="spellStart"/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Euratom</w:t>
            </w:r>
            <w:proofErr w:type="spellEnd"/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  <w:r w:rsidRPr="00394091">
              <w:rPr>
                <w:rFonts w:ascii="Times New Roman" w:eastAsia="Times New Roman" w:hAnsi="Times New Roman" w:cs="Arial"/>
                <w:lang w:eastAsia="ar-SA"/>
              </w:rPr>
              <w:t>ustanawiającą podstawowe normy bezpieczeństwa w celu ochrony przed zagrożeniami wynikającymi z narażenia na działanie promieniowania jonizującego oraz uchylającą dyrektywy 89/618/</w:t>
            </w:r>
            <w:proofErr w:type="spellStart"/>
            <w:r w:rsidRPr="00394091">
              <w:rPr>
                <w:rFonts w:ascii="Times New Roman" w:eastAsia="Times New Roman" w:hAnsi="Times New Roman" w:cs="Arial"/>
                <w:lang w:eastAsia="ar-SA"/>
              </w:rPr>
              <w:t>Euratom</w:t>
            </w:r>
            <w:proofErr w:type="spellEnd"/>
            <w:r w:rsidRPr="00394091">
              <w:rPr>
                <w:rFonts w:ascii="Times New Roman" w:eastAsia="Times New Roman" w:hAnsi="Times New Roman" w:cs="Arial"/>
                <w:lang w:eastAsia="ar-SA"/>
              </w:rPr>
              <w:t>, 90/641/</w:t>
            </w:r>
            <w:proofErr w:type="spellStart"/>
            <w:r w:rsidRPr="00394091">
              <w:rPr>
                <w:rFonts w:ascii="Times New Roman" w:eastAsia="Times New Roman" w:hAnsi="Times New Roman" w:cs="Arial"/>
                <w:lang w:eastAsia="ar-SA"/>
              </w:rPr>
              <w:t>Euratom</w:t>
            </w:r>
            <w:proofErr w:type="spellEnd"/>
            <w:r w:rsidRPr="00394091">
              <w:rPr>
                <w:rFonts w:ascii="Times New Roman" w:eastAsia="Times New Roman" w:hAnsi="Times New Roman" w:cs="Arial"/>
                <w:lang w:eastAsia="ar-SA"/>
              </w:rPr>
              <w:t>, 96/29/</w:t>
            </w:r>
            <w:proofErr w:type="spellStart"/>
            <w:r w:rsidRPr="00394091">
              <w:rPr>
                <w:rFonts w:ascii="Times New Roman" w:eastAsia="Times New Roman" w:hAnsi="Times New Roman" w:cs="Arial"/>
                <w:lang w:eastAsia="ar-SA"/>
              </w:rPr>
              <w:t>Euratom</w:t>
            </w:r>
            <w:proofErr w:type="spellEnd"/>
            <w:r w:rsidRPr="00394091">
              <w:rPr>
                <w:rFonts w:ascii="Times New Roman" w:eastAsia="Times New Roman" w:hAnsi="Times New Roman" w:cs="Arial"/>
                <w:lang w:eastAsia="ar-SA"/>
              </w:rPr>
              <w:t>, 97/43/</w:t>
            </w:r>
            <w:proofErr w:type="spellStart"/>
            <w:r w:rsidRPr="00394091">
              <w:rPr>
                <w:rFonts w:ascii="Times New Roman" w:eastAsia="Times New Roman" w:hAnsi="Times New Roman" w:cs="Arial"/>
                <w:lang w:eastAsia="ar-SA"/>
              </w:rPr>
              <w:t>Euratom</w:t>
            </w:r>
            <w:proofErr w:type="spellEnd"/>
            <w:r w:rsidRPr="00394091">
              <w:rPr>
                <w:rFonts w:ascii="Times New Roman" w:eastAsia="Times New Roman" w:hAnsi="Times New Roman" w:cs="Arial"/>
                <w:lang w:eastAsia="ar-SA"/>
              </w:rPr>
              <w:t xml:space="preserve"> i 2003/122/</w:t>
            </w:r>
            <w:proofErr w:type="spellStart"/>
            <w:r w:rsidRPr="00394091">
              <w:rPr>
                <w:rFonts w:ascii="Times New Roman" w:eastAsia="Times New Roman" w:hAnsi="Times New Roman" w:cs="Arial"/>
                <w:lang w:eastAsia="ar-SA"/>
              </w:rPr>
              <w:t>Euratom</w:t>
            </w:r>
            <w:proofErr w:type="spellEnd"/>
            <w:r w:rsidRPr="00394091">
              <w:rPr>
                <w:rFonts w:ascii="Times New Roman" w:eastAsia="Times New Roman" w:hAnsi="Times New Roman" w:cs="Arial"/>
                <w:lang w:eastAsia="ar-SA"/>
              </w:rPr>
              <w:t>)</w:t>
            </w:r>
            <w:r w:rsidRPr="00394091">
              <w:rPr>
                <w:rFonts w:ascii="Times New Roman" w:eastAsia="Calibri" w:hAnsi="Times New Roman" w:cs="Arial"/>
                <w:iCs/>
                <w:color w:val="000000"/>
                <w:szCs w:val="20"/>
                <w:lang w:eastAsia="ar-SA"/>
              </w:rPr>
              <w:t xml:space="preserve">, kwestie objęte projektowanym rozporządzeniem były uregulowane w rozporządzeniu Ministra Zdrowia z dnia 2 lutego 2007 r. </w:t>
            </w:r>
            <w:r w:rsidRPr="00394091">
              <w:rPr>
                <w:rFonts w:ascii="Times New Roman" w:eastAsia="Times New Roman" w:hAnsi="Times New Roman" w:cs="Arial"/>
                <w:lang w:eastAsia="ar-SA"/>
              </w:rPr>
              <w:t xml:space="preserve">w sprawie w sprawie szczegółowych wymagań dotyczących formy i treści wzorcowych i roboczych medycznych procedur radiologicznych </w:t>
            </w:r>
            <w:r w:rsidRPr="00394091">
              <w:rPr>
                <w:rFonts w:ascii="Times New Roman" w:eastAsia="Calibri" w:hAnsi="Times New Roman" w:cs="Arial"/>
                <w:iCs/>
                <w:color w:val="000000"/>
                <w:szCs w:val="20"/>
                <w:lang w:eastAsia="ar-SA"/>
              </w:rPr>
              <w:t xml:space="preserve">(Dz. U. z 2007 r. poz. 161). </w:t>
            </w:r>
          </w:p>
          <w:p w14:paraId="7977FC7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iCs/>
                <w:color w:val="000000"/>
                <w:szCs w:val="20"/>
                <w:lang w:eastAsia="ar-SA"/>
              </w:rPr>
              <w:t xml:space="preserve">Na podstawie art. 30 ust. 1 i 3 ustawy z dnia 13 czerwca 2019 r. </w:t>
            </w:r>
            <w:r w:rsidRPr="00394091">
              <w:rPr>
                <w:rFonts w:ascii="Times New Roman" w:eastAsia="Times New Roman" w:hAnsi="Times New Roman" w:cs="Arial"/>
                <w:lang w:eastAsia="ar-SA"/>
              </w:rPr>
              <w:t>o zmianie ustawy – Prawo atomowe oraz ustawy o ochronie przeciwpożarowej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:</w:t>
            </w:r>
          </w:p>
          <w:p w14:paraId="0B1D3EF8" w14:textId="77777777" w:rsidR="00394091" w:rsidRPr="00394091" w:rsidRDefault="00394091" w:rsidP="00394091">
            <w:pPr>
              <w:numPr>
                <w:ilvl w:val="0"/>
                <w:numId w:val="1"/>
              </w:numPr>
              <w:autoSpaceDE w:val="0"/>
              <w:spacing w:before="60"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wzorcowe procedury radiologiczne dla uzasadnionych ekspozycji medycznych uznanych za standardowe, opracowane zgodnie z dotychczasowymi przepisami oraz </w:t>
            </w:r>
          </w:p>
          <w:p w14:paraId="7C056C8F" w14:textId="77777777" w:rsidR="00394091" w:rsidRPr="00394091" w:rsidRDefault="00394091" w:rsidP="00394091">
            <w:pPr>
              <w:numPr>
                <w:ilvl w:val="0"/>
                <w:numId w:val="1"/>
              </w:numPr>
              <w:autoSpaceDE w:val="0"/>
              <w:spacing w:before="60"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udokumentowane robocze procedury postępowania utworzone na podstawie dotychczasowych przepisów </w:t>
            </w:r>
          </w:p>
          <w:p w14:paraId="77229A30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iCs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iCs/>
                <w:color w:val="000000"/>
                <w:szCs w:val="20"/>
                <w:lang w:eastAsia="ar-SA"/>
              </w:rPr>
              <w:t xml:space="preserve">– stają się z dniem wejścia w życie ww. ustawy odpowiednio: </w:t>
            </w:r>
          </w:p>
          <w:p w14:paraId="0582278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iCs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iCs/>
                <w:color w:val="000000"/>
                <w:szCs w:val="20"/>
                <w:lang w:eastAsia="ar-SA"/>
              </w:rPr>
              <w:t xml:space="preserve">1) wzorcowymi medycznymi procedurami radiologicznymi, o których mowa w art. 33t ust. 1 ustawy </w:t>
            </w: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z dnia 29 listopada 2000 r. </w:t>
            </w:r>
            <w:r w:rsidRPr="00394091">
              <w:rPr>
                <w:rFonts w:ascii="Times New Roman" w:eastAsia="Calibri" w:hAnsi="Times New Roman" w:cs="Arial"/>
                <w:iCs/>
                <w:color w:val="000000"/>
                <w:szCs w:val="20"/>
                <w:lang w:eastAsia="ar-SA"/>
              </w:rPr>
              <w:t>– Prawo atomowe w brzmieniu nadanym nowelizacją oraz</w:t>
            </w:r>
          </w:p>
          <w:p w14:paraId="6D339599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iCs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iCs/>
                <w:color w:val="000000"/>
                <w:szCs w:val="20"/>
                <w:lang w:eastAsia="ar-SA"/>
              </w:rPr>
              <w:t>2) szczegółowymi medycznymi procedurami radiologicznymi, o których mowa w art. 33f ust. 1 ustawy w brzmieniu nadanym nowelizacją.</w:t>
            </w:r>
          </w:p>
          <w:p w14:paraId="6EFEFED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iCs/>
                <w:color w:val="000000"/>
                <w:szCs w:val="20"/>
                <w:lang w:eastAsia="ar-SA"/>
              </w:rPr>
              <w:t xml:space="preserve">Zgodnie z art. 37 ust. 1 pkt 1 ustawy z dnia 13 czerwca 2019 r. </w:t>
            </w:r>
            <w:r w:rsidRPr="00394091">
              <w:rPr>
                <w:rFonts w:ascii="Times New Roman" w:eastAsia="Times New Roman" w:hAnsi="Times New Roman" w:cs="Arial"/>
                <w:lang w:eastAsia="ar-SA"/>
              </w:rPr>
              <w:t>o zmianie ustawy – Prawo atomowe oraz ustawy o ochronie przeciwpożarowej</w:t>
            </w:r>
            <w:r w:rsidRPr="00394091">
              <w:rPr>
                <w:rFonts w:ascii="Times New Roman" w:eastAsia="Calibri" w:hAnsi="Times New Roman" w:cs="Arial"/>
                <w:iCs/>
                <w:color w:val="000000"/>
                <w:szCs w:val="20"/>
                <w:lang w:eastAsia="ar-SA"/>
              </w:rPr>
              <w:t xml:space="preserve">, rozporządzenie dotychczas regulujące kwestie formy i treści procedur </w:t>
            </w:r>
            <w:r w:rsidRPr="00394091">
              <w:rPr>
                <w:rFonts w:ascii="Times New Roman" w:eastAsia="Calibri" w:hAnsi="Times New Roman" w:cs="Arial"/>
                <w:iCs/>
                <w:color w:val="000000"/>
                <w:szCs w:val="20"/>
                <w:lang w:eastAsia="ar-SA"/>
              </w:rPr>
              <w:lastRenderedPageBreak/>
              <w:t>wzorcowych oraz procedur roboczych, utraci moc obowiązującą z dniem wejścia w życie niniejszego rozporządzenia,  jednak nie później niż 24 miesiące od dnia wejścia w życie ww. ustawy.</w:t>
            </w:r>
          </w:p>
        </w:tc>
      </w:tr>
      <w:tr w:rsidR="00394091" w:rsidRPr="00394091" w14:paraId="7E7185FC" w14:textId="77777777" w:rsidTr="006C58E0">
        <w:trPr>
          <w:trHeight w:val="142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E6832CB" w14:textId="77777777" w:rsidR="00394091" w:rsidRPr="00394091" w:rsidRDefault="00394091" w:rsidP="00394091">
            <w:pPr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lastRenderedPageBreak/>
              <w:t>Rekomendowane rozwiązanie, w tym planowane narzędzia interwencji, i oczekiwany efekt</w:t>
            </w:r>
          </w:p>
        </w:tc>
      </w:tr>
      <w:tr w:rsidR="00394091" w:rsidRPr="00394091" w14:paraId="09289943" w14:textId="77777777" w:rsidTr="006C58E0">
        <w:trPr>
          <w:trHeight w:val="142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18A5" w14:textId="5AD5CBB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Ustawa </w:t>
            </w: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z dnia 29 listopada 2000 r. 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– Prawo atomowe po nowelizacji dokonanej na podstawie ustawy z dnia</w:t>
            </w:r>
            <w:r w:rsidR="006B3FD0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13 czerwca 2019 r.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o zmianie ustawy – Prawo atomowe oraz ustawy o ochronie przeciwpożarowej</w:t>
            </w:r>
            <w:r w:rsidR="006B3FD0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(Dz. U. poz. 1593)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zachowała instytucję procedur wzorcowych opracowywanych przez komisje ds. procedur i audytów klinicznych zewnętrznych. Zachowano również procedury opracowywane przez jednostki ochrony zdrowia, które dotychczas ustawa określała jako udokumentowane robocze procedury postępowania, a które po nowelizacji zostały nazwane procedurami szczegółowymi. Istotną zmianą ustawową jest to, że jednostki ochrony zdrowia nie są obowiązane do opracowania procedur szczegółowych na podstawie procedur wzorcowych, a jedynie mogą skorzystać z tej podstawy (art. 33t ust. 1 ustawy w brzmieniu po nowelizacji). Tak jak w dotychczasowym stanie prawnym, uregulowanie wymagań dotyczących formy i zakresu procedur wzorcowych oraz procedur szczegółowych odesłano do uregulowania w przepisach wykonawczych wydawanych przez ministra właściwego do spraw zdrowia. Nowością jest określenie na poziomie ustawowym obligatoryjnych elementów dokumentacji procedur szczegółowych oraz procedur wzorcowych (art. 33f ust. 2 oraz art. 33t </w:t>
            </w:r>
            <w:r w:rsidRPr="00394091">
              <w:rPr>
                <w:rFonts w:ascii="Times New Roman" w:eastAsia="Calibri" w:hAnsi="Times New Roman" w:cs="Times New Roman"/>
                <w:color w:val="000000"/>
                <w:szCs w:val="20"/>
                <w:lang w:eastAsia="ar-SA"/>
              </w:rPr>
              <w:t>ust. 2). Do elementów tych zaliczono:</w:t>
            </w:r>
          </w:p>
          <w:p w14:paraId="577454C5" w14:textId="77777777" w:rsidR="00394091" w:rsidRPr="00394091" w:rsidRDefault="00394091" w:rsidP="00394091">
            <w:pPr>
              <w:numPr>
                <w:ilvl w:val="0"/>
                <w:numId w:val="4"/>
              </w:numPr>
              <w:autoSpaceDE w:val="0"/>
              <w:spacing w:before="60" w:after="0" w:line="256" w:lineRule="auto"/>
              <w:contextualSpacing/>
              <w:jc w:val="both"/>
              <w:rPr>
                <w:rFonts w:ascii="Calibri" w:eastAsia="Calibri" w:hAnsi="Calibri" w:cs="Times New Roman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zCs w:val="20"/>
                <w:lang w:eastAsia="ar-SA"/>
              </w:rPr>
              <w:t>opis postępowania odnoszącego się do stosowanych w jednostce urządzeń radiologicznych i urządzeń pomocniczych (rodzajów urządzeń w przypadku procedur wzorcowych), a także kategorii osób podlegających badaniu diagnostycznemu, zabiegowi lub leczeniu z użyciem takich urządzeń;</w:t>
            </w:r>
          </w:p>
          <w:p w14:paraId="24E4F9D0" w14:textId="77777777" w:rsidR="00394091" w:rsidRPr="00394091" w:rsidRDefault="00394091" w:rsidP="00394091">
            <w:pPr>
              <w:numPr>
                <w:ilvl w:val="0"/>
                <w:numId w:val="4"/>
              </w:numPr>
              <w:autoSpaceDE w:val="0"/>
              <w:spacing w:before="60" w:after="0" w:line="256" w:lineRule="auto"/>
              <w:contextualSpacing/>
              <w:jc w:val="both"/>
              <w:rPr>
                <w:rFonts w:ascii="Calibri" w:eastAsia="Calibri" w:hAnsi="Calibri" w:cs="Times New Roman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zCs w:val="20"/>
                <w:lang w:eastAsia="ar-SA"/>
              </w:rPr>
              <w:t>informacje dotyczące wyniku zastosowania procedury szczegółowej, w tym informacje dotyczące narażenia ww. osób;</w:t>
            </w:r>
          </w:p>
          <w:p w14:paraId="7F5057C8" w14:textId="77777777" w:rsidR="00394091" w:rsidRPr="00394091" w:rsidRDefault="00394091" w:rsidP="00394091">
            <w:pPr>
              <w:numPr>
                <w:ilvl w:val="0"/>
                <w:numId w:val="4"/>
              </w:numPr>
              <w:autoSpaceDE w:val="0"/>
              <w:spacing w:before="60" w:after="0" w:line="256" w:lineRule="auto"/>
              <w:contextualSpacing/>
              <w:jc w:val="both"/>
              <w:rPr>
                <w:rFonts w:ascii="Calibri" w:eastAsia="Calibri" w:hAnsi="Calibri" w:cs="Times New Roman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zCs w:val="20"/>
                <w:lang w:eastAsia="ar-SA"/>
              </w:rPr>
              <w:t xml:space="preserve">inne istotne informacje o sposobie wykonania badania diagnostycznego, zabiegu lub leczenia. </w:t>
            </w:r>
          </w:p>
          <w:p w14:paraId="48448ED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zCs w:val="20"/>
                <w:lang w:eastAsia="ar-SA"/>
              </w:rPr>
              <w:t>W konsekwencji zakres procedur wzorcowych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oraz procedur szczegółowych określony w projektowanym rozporządzeniu uwzględnia powyższy ustawowy zakres dokumentacji obu rodzajów procedur i stanowi jego uszczegółowienie.</w:t>
            </w:r>
          </w:p>
        </w:tc>
      </w:tr>
      <w:tr w:rsidR="00394091" w:rsidRPr="00394091" w14:paraId="24630150" w14:textId="77777777" w:rsidTr="006C58E0">
        <w:trPr>
          <w:trHeight w:val="307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58C59EE" w14:textId="77777777" w:rsidR="00394091" w:rsidRPr="00394091" w:rsidRDefault="00394091" w:rsidP="0039409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 xml:space="preserve">Jak problem został </w:t>
            </w: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rozwiązany</w:t>
            </w: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 xml:space="preserve"> w innych krajach, w szczególności krajach członkowskich OECD/UE</w:t>
            </w: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?</w:t>
            </w:r>
            <w:r w:rsidRPr="00394091"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  <w:t xml:space="preserve"> </w:t>
            </w:r>
          </w:p>
        </w:tc>
      </w:tr>
      <w:tr w:rsidR="00394091" w:rsidRPr="00394091" w14:paraId="5FD65AA3" w14:textId="77777777" w:rsidTr="006C58E0">
        <w:trPr>
          <w:trHeight w:val="142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2BA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Cs/>
                <w:color w:val="000000"/>
                <w:szCs w:val="20"/>
                <w:lang w:eastAsia="ar-SA"/>
              </w:rPr>
              <w:t>NIEMCY</w:t>
            </w:r>
          </w:p>
          <w:p w14:paraId="0A35C4D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Zgodnie z obowiązującymi przepisami jednostki ochrony zdrowia, w celu ujednolicenia sposobu przeprowadzonych badań oraz ochrony przed promieniowaniem jonizującym, a także uniknięcia popełnienia błędu przy użytkowaniu urządzeń radiologicznych, zobowiązane są do opracowywania instrukcji roboczych, które powinny być sporządzone w formie pisemnej. Powinny one być przygotowane dla każdej pracowni, w której stosuje się promieniowanie jonizujące w celach diagnostycznych i leczniczych oraz być w każdym momencie dostępne do wglądu dla pracowników pracowni. Instrukcje powinny być sformułowane zwięźle i zawierać jedynie aspekty istotne dla każdego badania. Treść tych instrukcji powinna obejmować:</w:t>
            </w:r>
          </w:p>
          <w:p w14:paraId="4BCC5846" w14:textId="77777777" w:rsidR="00394091" w:rsidRPr="00394091" w:rsidRDefault="00394091" w:rsidP="00394091">
            <w:pPr>
              <w:widowControl w:val="0"/>
              <w:numPr>
                <w:ilvl w:val="0"/>
                <w:numId w:val="2"/>
              </w:numPr>
              <w:autoSpaceDE w:val="0"/>
              <w:spacing w:before="60" w:after="0" w:line="276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wskazówki odnośnie kierowania na badania, przygotowania do badania, dokumentacji i zapewnienia jakości, a także możliwe przyczyny błędów i komplikacji; </w:t>
            </w:r>
          </w:p>
          <w:p w14:paraId="796340CE" w14:textId="77777777" w:rsidR="00394091" w:rsidRPr="00394091" w:rsidRDefault="00394091" w:rsidP="00394091">
            <w:pPr>
              <w:widowControl w:val="0"/>
              <w:numPr>
                <w:ilvl w:val="0"/>
                <w:numId w:val="2"/>
              </w:numPr>
              <w:autoSpaceDE w:val="0"/>
              <w:spacing w:before="60" w:after="0" w:line="276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konkretne ustalenia związane z uzasadnieniem wskazania do leczenia oraz wskazówki dotyczące prawidłowego przebiegu badania, wszystkie zmienne parametry techniczne ważne przy ekspozycji na promieniowanie;</w:t>
            </w:r>
          </w:p>
          <w:p w14:paraId="6FBA14B2" w14:textId="77777777" w:rsidR="00394091" w:rsidRPr="00394091" w:rsidRDefault="00394091" w:rsidP="00394091">
            <w:pPr>
              <w:widowControl w:val="0"/>
              <w:numPr>
                <w:ilvl w:val="0"/>
                <w:numId w:val="2"/>
              </w:numPr>
              <w:autoSpaceDE w:val="0"/>
              <w:spacing w:before="60" w:after="0" w:line="276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informacje o narażeniu pacjenta i niezbędnych środkach ochrony przed promieniowaniem jonizującym.</w:t>
            </w:r>
          </w:p>
          <w:p w14:paraId="50B8E63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Określone zostały również kompetencje personelu medycznego, który jest zaangażowany w procesy diagnostyczno-lecznicze związane z zastosowaniem promieniowania jonizującego. Rolą personelu jest ponadto zaangażowanie w zakresie konsultacji i porad w kwestiach związanych z ochroną przed promieniowaniem w odniesieniu do narażenia medycznego.</w:t>
            </w:r>
          </w:p>
          <w:p w14:paraId="606518C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Cs/>
                <w:color w:val="000000"/>
                <w:szCs w:val="20"/>
                <w:lang w:eastAsia="ar-SA"/>
              </w:rPr>
              <w:t xml:space="preserve">WIELKA BRYTANIA </w:t>
            </w:r>
          </w:p>
          <w:p w14:paraId="2173B494" w14:textId="77777777" w:rsidR="00394091" w:rsidRPr="00394091" w:rsidRDefault="00394091" w:rsidP="00394091">
            <w:pPr>
              <w:spacing w:before="62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0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Obowiązkiem każdego podmiotu stosującego promieniowanie jonizujące w celach medycznych jest zapewnienie wdrożenia i stosowanie protokołów postępowania związanych z ekspozycją medyczną. Protokoły takie muszą być utworzone dla każdego standardowego wykorzystania promieniowania i każdego 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urządzenia używanego w związku ze stosowaniem promieniowania jonizującego w celach medycznych. Przepisy określają minimalne wymagania odnośnie zakresu tematycznego, którego powinny dotyczyć procedury przygotowane w formie pisemnej. Są to m.in. prawidłowa identyfikacja osoby, która ma być poddana ekspozycji na promieniowanie jonizujące; identyfikacja osób uprawnionych do prowadzenia działań związanych z udzielaniem świadczeń wykorzystujących promieniowanie jonizujące w celach medycznych; ochrona radiologiczna osób w wieku rozrodczym, które są lub mogą być w ciąży lub karmiących piersią; ocena dawki promieniowania, na którą został eksponowany pacjent; stosowanie referencyjnych poziomów diagnostycznych ustalonych przez podmiot do badań radiodiagnostycznych; zmniejszenie prawdopodobieństwa wystąpienia i liczby przypadkowych lub niezamierzonych </w:t>
            </w:r>
            <w:proofErr w:type="spellStart"/>
            <w:r w:rsidRPr="003940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narażeń</w:t>
            </w:r>
            <w:proofErr w:type="spellEnd"/>
            <w:r w:rsidRPr="003940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pacjentów oraz informowanie o wystąpieniu takich zdarzeń.</w:t>
            </w:r>
          </w:p>
          <w:p w14:paraId="6EE34D08" w14:textId="77777777" w:rsidR="00394091" w:rsidRPr="00394091" w:rsidRDefault="00394091" w:rsidP="00394091">
            <w:pPr>
              <w:spacing w:before="24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0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Przepisy wymagają od świadczeniodawcy opracowania pisemnych protokołów dla standardowych praktyk radiologicznych, zaleceń dotyczących kryteriów skierowania, programów zapewniania jakości standardowych procedur operacyjnych, referencyjnych poziomów diagnostycznych i ograniczeń dawki promieniowania, przeprowadzania badań incydentów oraz prowadzenia audytów.</w:t>
            </w:r>
          </w:p>
          <w:p w14:paraId="210F1FBF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Cs/>
                <w:color w:val="000000"/>
                <w:szCs w:val="20"/>
                <w:lang w:eastAsia="ar-SA"/>
              </w:rPr>
              <w:t>FRANCJA</w:t>
            </w:r>
          </w:p>
          <w:p w14:paraId="5C41B555" w14:textId="77777777" w:rsidR="00394091" w:rsidRPr="00394091" w:rsidRDefault="00394091" w:rsidP="00394091">
            <w:pPr>
              <w:spacing w:before="62" w:beforeAutospacing="1" w:after="0" w:afterAutospacing="1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pl-PL"/>
              </w:rPr>
            </w:pPr>
            <w:bookmarkStart w:id="3" w:name="result_box111"/>
            <w:bookmarkStart w:id="4" w:name="result_box11"/>
            <w:bookmarkEnd w:id="3"/>
            <w:bookmarkEnd w:id="4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 xml:space="preserve">Organ </w:t>
            </w:r>
            <w:proofErr w:type="spellStart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>Haute</w:t>
            </w:r>
            <w:proofErr w:type="spellEnd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>Autorité</w:t>
            </w:r>
            <w:proofErr w:type="spellEnd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 xml:space="preserve"> de </w:t>
            </w:r>
            <w:proofErr w:type="spellStart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>Santé</w:t>
            </w:r>
            <w:proofErr w:type="spellEnd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 xml:space="preserve"> jest odpowiedzialny za tworzenie, wspólnie z właściwymi organizacjami profesjonalistów, narzędzi służących zapewnianiu odpowiedniej jakości świadczeń medycznych. Zostały opublikowane zalecenia dotyczące wskazań i procedur badań radiologicznych w stomatologii. Ponadto opracowano procedury dla najbardziej powszechnych badań radiologicznych. Uwzględniono specjalne środki ostrożności stosowane w odniesieniu do osób w ciąży, karmiących piersią, dzieci, poziomy referencyjne oraz zalecenia odnośnie redukcji dawki promieniowania. Procedury te są dostępne w Internecie na stronie Francuskiego Towarzystwa Radiologicznego (</w:t>
            </w:r>
            <w:proofErr w:type="spellStart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>Société</w:t>
            </w:r>
            <w:proofErr w:type="spellEnd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>Française</w:t>
            </w:r>
            <w:proofErr w:type="spellEnd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 xml:space="preserve"> de Radiologie). Ogólną zasadą jest, że protokoły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postępowania powinny mieć formę pisemną dla każdego urządzenia radiologicznego. Powinny one być dostępne dla pracownika w każdej chwili i znajdować się w pobliżu danego urządzenia radiologicznego.</w:t>
            </w:r>
          </w:p>
        </w:tc>
      </w:tr>
      <w:tr w:rsidR="00394091" w:rsidRPr="00394091" w14:paraId="2AE46614" w14:textId="77777777" w:rsidTr="006C58E0">
        <w:trPr>
          <w:trHeight w:val="359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D601A79" w14:textId="77777777" w:rsidR="00394091" w:rsidRPr="00394091" w:rsidRDefault="00394091" w:rsidP="00394091">
            <w:pPr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lastRenderedPageBreak/>
              <w:t>Podmioty, na które oddziałuje projekt</w:t>
            </w:r>
          </w:p>
        </w:tc>
      </w:tr>
      <w:tr w:rsidR="00394091" w:rsidRPr="00394091" w14:paraId="1EFA7F81" w14:textId="77777777" w:rsidTr="006C58E0">
        <w:trPr>
          <w:trHeight w:val="142"/>
        </w:trPr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EA1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Grupa</w:t>
            </w:r>
          </w:p>
        </w:tc>
        <w:tc>
          <w:tcPr>
            <w:tcW w:w="2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C34F" w14:textId="77777777" w:rsidR="00394091" w:rsidRPr="00394091" w:rsidRDefault="00394091" w:rsidP="00394091">
            <w:pPr>
              <w:autoSpaceDE w:val="0"/>
              <w:spacing w:before="60" w:after="6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Wielkość</w:t>
            </w:r>
          </w:p>
        </w:tc>
        <w:tc>
          <w:tcPr>
            <w:tcW w:w="26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7BB3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Źródło danych </w:t>
            </w: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5F3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Oddziaływanie</w:t>
            </w:r>
          </w:p>
        </w:tc>
      </w:tr>
      <w:tr w:rsidR="00394091" w:rsidRPr="00394091" w14:paraId="080427E1" w14:textId="77777777" w:rsidTr="006C58E0">
        <w:trPr>
          <w:trHeight w:val="142"/>
        </w:trPr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A3143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Komisje do spraw procedur i audytów klinicznych zewnętrznych</w:t>
            </w:r>
          </w:p>
        </w:tc>
        <w:tc>
          <w:tcPr>
            <w:tcW w:w="2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09010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3</w:t>
            </w:r>
          </w:p>
        </w:tc>
        <w:tc>
          <w:tcPr>
            <w:tcW w:w="26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7C8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Ustawa </w:t>
            </w: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z dnia 29 listopada 2000 r. 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– Prawo atomowe</w:t>
            </w: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DCC51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Komisje tworząc procedury wzorcowe (zgodnie z art. 33t ust. 2 ustawy </w:t>
            </w: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z dnia 29 listopada 2000 r. 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– Prawo atomowe) będą obowiązane do zapewnienia zgodności procedur z wymaganiami co do formy i zakresu procedur określonymi w projekcie rozporządzenia. </w:t>
            </w:r>
          </w:p>
        </w:tc>
      </w:tr>
      <w:tr w:rsidR="00394091" w:rsidRPr="00394091" w14:paraId="61D23FB6" w14:textId="77777777" w:rsidTr="006C58E0">
        <w:trPr>
          <w:trHeight w:val="142"/>
        </w:trPr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9E29" w14:textId="77777777" w:rsidR="00394091" w:rsidRPr="00394091" w:rsidRDefault="00394091" w:rsidP="00394091">
            <w:pPr>
              <w:keepNext/>
              <w:keepLines/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Jednostki ochrony zdrowia stosujące promieniowanie jonizujące w celach medycznych </w:t>
            </w:r>
          </w:p>
        </w:tc>
        <w:tc>
          <w:tcPr>
            <w:tcW w:w="2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3FF1" w14:textId="77777777" w:rsidR="00394091" w:rsidRPr="00394091" w:rsidRDefault="00394091" w:rsidP="00394091">
            <w:pPr>
              <w:keepNext/>
              <w:keepLines/>
              <w:autoSpaceDE w:val="0"/>
              <w:spacing w:before="60"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ok. </w:t>
            </w: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23 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tys.</w:t>
            </w:r>
          </w:p>
        </w:tc>
        <w:tc>
          <w:tcPr>
            <w:tcW w:w="26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F178" w14:textId="77777777" w:rsidR="00394091" w:rsidRPr="00394091" w:rsidRDefault="00394091" w:rsidP="00394091">
            <w:pPr>
              <w:keepNext/>
              <w:keepLines/>
              <w:autoSpaceDE w:val="0"/>
              <w:spacing w:before="60"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Dane Krajowego Centrum Ochrony Radiologicznej w Ochronie Zdrowia</w:t>
            </w: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582C" w14:textId="77777777" w:rsidR="00394091" w:rsidRPr="00394091" w:rsidRDefault="00394091" w:rsidP="00394091">
            <w:pPr>
              <w:keepNext/>
              <w:keepLines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Obowiązujące w jednostkach ochrony zdrowia procedury szczegółowe powinny zostać dostosowane pod względem ich treści do zakresu określonego w  projekcie rozporządzenia.</w:t>
            </w:r>
          </w:p>
        </w:tc>
      </w:tr>
      <w:tr w:rsidR="00394091" w:rsidRPr="00394091" w14:paraId="7902F3FC" w14:textId="77777777" w:rsidTr="006C58E0">
        <w:trPr>
          <w:trHeight w:val="302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9E31E01" w14:textId="77777777" w:rsidR="00394091" w:rsidRPr="00394091" w:rsidRDefault="00394091" w:rsidP="00394091">
            <w:pPr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Informacje na temat zakresu, czasu trwania i podsumowanie wyników konsultacji</w:t>
            </w:r>
          </w:p>
        </w:tc>
      </w:tr>
      <w:tr w:rsidR="00394091" w:rsidRPr="00394091" w14:paraId="446A3413" w14:textId="77777777" w:rsidTr="006C58E0">
        <w:trPr>
          <w:trHeight w:val="342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712C5" w14:textId="2322CF59" w:rsidR="00394091" w:rsidRPr="00394091" w:rsidRDefault="00394091" w:rsidP="0039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lastRenderedPageBreak/>
              <w:t xml:space="preserve">Projekt rozporządzenia zostanie przekazany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1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0 dni do konsultacji publicznych i opiniowania do następujących podmiotów:</w:t>
            </w:r>
          </w:p>
          <w:p w14:paraId="0477CBBD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Centralnego Instytutu Ochrony Pracy – Państwowego Instytutu Badawczego;</w:t>
            </w:r>
          </w:p>
          <w:p w14:paraId="02CFBFAC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Federacji Przedsiębiorców Polskich;</w:t>
            </w:r>
          </w:p>
          <w:p w14:paraId="76F8D652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Federacji Związków Pracodawców Ochrony Zdrowia „Porozumienie Zielonogórskie”;</w:t>
            </w:r>
          </w:p>
          <w:p w14:paraId="4343087F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Federacji Związków Pracowników Ochrony Zdrowia;</w:t>
            </w:r>
          </w:p>
          <w:p w14:paraId="7DA9BD16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Forum Związków Zawodowych;</w:t>
            </w:r>
          </w:p>
          <w:p w14:paraId="73C7E3BC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Forum Związków Zawodowych;</w:t>
            </w:r>
          </w:p>
          <w:p w14:paraId="56788F1E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Głównego Inspektora Pracy;</w:t>
            </w:r>
          </w:p>
          <w:p w14:paraId="6A175A6C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Głównego Inspektora Sanitarnego;</w:t>
            </w:r>
          </w:p>
          <w:p w14:paraId="1CF4C9FD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Instytutu Medycyny Pracy imienia prof. J. </w:t>
            </w:r>
            <w:proofErr w:type="spellStart"/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Nofera</w:t>
            </w:r>
            <w:proofErr w:type="spellEnd"/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w Łodzi;</w:t>
            </w:r>
          </w:p>
          <w:p w14:paraId="75F59FD6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Komisji Wspólnej Rządu i Samorządu Terytorialnego;</w:t>
            </w:r>
          </w:p>
          <w:p w14:paraId="6B01C608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Konfederacji Lewiatan;</w:t>
            </w:r>
          </w:p>
          <w:p w14:paraId="3E171352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medycyny nuklearnej;</w:t>
            </w:r>
          </w:p>
          <w:p w14:paraId="164D18B8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radiologii i diagnostyki obrazowej;</w:t>
            </w:r>
          </w:p>
          <w:p w14:paraId="26B9FBD9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radioterapii onkologicznej;</w:t>
            </w:r>
          </w:p>
          <w:p w14:paraId="47FF85BA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Krajowego Centrum Ochrony Radiologicznej w Ochronie Zdrowia;</w:t>
            </w:r>
          </w:p>
          <w:p w14:paraId="30BA1EDE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Krajowej Rady Diagnostów Laboratoryjnych;</w:t>
            </w:r>
          </w:p>
          <w:p w14:paraId="6F3EEC82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Krajowej Rady Fizjoterapeutów;</w:t>
            </w:r>
          </w:p>
          <w:p w14:paraId="5C042A77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Naczelnej Rady Aptekarskiej;</w:t>
            </w:r>
          </w:p>
          <w:p w14:paraId="26DDFF28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Naczelnej Rady Lekarskiej;</w:t>
            </w:r>
          </w:p>
          <w:p w14:paraId="2D9278E6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Naczelnej Rady Pielęgniarek i Położnych;</w:t>
            </w:r>
          </w:p>
          <w:p w14:paraId="6734E173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Narodowego Funduszu Zdrowia;</w:t>
            </w:r>
          </w:p>
          <w:p w14:paraId="72B9E712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Narodowego Instytutu Zdrowia Publicznego – Państwowego Zakładu Higieny;</w:t>
            </w:r>
          </w:p>
          <w:p w14:paraId="60E285C3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Niezależnego Samorządnego Związku Zawodowego „Solidarność 80”;</w:t>
            </w:r>
          </w:p>
          <w:p w14:paraId="6D327D27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Niezależnego Samorządnego Związku Zawodowego „Solidarność”;</w:t>
            </w:r>
          </w:p>
          <w:p w14:paraId="44F82FE9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Porozumienia Związków Zawodowych;</w:t>
            </w:r>
          </w:p>
          <w:p w14:paraId="0052E978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Stowarzyszenia Szpitali Prywatnych;</w:t>
            </w:r>
          </w:p>
          <w:p w14:paraId="07D362AF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Zrzeszenia Szpitali Akredytowanych;</w:t>
            </w:r>
          </w:p>
          <w:p w14:paraId="537D8EFE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Związku Pracodawców Samodzielnych Publicznych Szpitali Klinicznych;</w:t>
            </w:r>
          </w:p>
          <w:p w14:paraId="12E39011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Związku Pracodawców Szpitali Powiatowych;</w:t>
            </w:r>
          </w:p>
          <w:p w14:paraId="3F1A92A6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Związku Zawodowego Lekarzy;</w:t>
            </w:r>
          </w:p>
          <w:p w14:paraId="7978C62A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Związku Zawodowego Pielęgniarek i Położnych;</w:t>
            </w:r>
          </w:p>
          <w:p w14:paraId="29572DA0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Związku Zawodowego Techników Medycznych Radioterapii;</w:t>
            </w:r>
          </w:p>
          <w:p w14:paraId="107E0A0D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Państwowej Agencji Atomistyki;</w:t>
            </w:r>
          </w:p>
          <w:p w14:paraId="4E544DAB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Lekarskiego Towarzystwa Radiologicznego;</w:t>
            </w:r>
          </w:p>
          <w:p w14:paraId="133474C3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Stowarzyszenia Dyrektorów Szpitali;</w:t>
            </w:r>
          </w:p>
          <w:p w14:paraId="5E7015EF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Polskiego Stowarzyszenia Techników </w:t>
            </w:r>
            <w:proofErr w:type="spellStart"/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Elektroradiologii</w:t>
            </w:r>
            <w:proofErr w:type="spellEnd"/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0D065B67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Towarzystwa Fizyki Medycznej;</w:t>
            </w:r>
          </w:p>
          <w:p w14:paraId="47ED2F45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Towarzystwa Medycyny Nuklearnej;</w:t>
            </w:r>
          </w:p>
          <w:p w14:paraId="713B5463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Towarzystwa Radioterapii Onkologicznej;</w:t>
            </w:r>
          </w:p>
          <w:p w14:paraId="0C215081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Towarzystwa Stomatologicznego;</w:t>
            </w:r>
          </w:p>
          <w:p w14:paraId="751A261F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Polskiej Federacji Szpitali;</w:t>
            </w:r>
          </w:p>
          <w:p w14:paraId="07357B7C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Polskiej Unii Szpitali Klinicznych;</w:t>
            </w:r>
          </w:p>
          <w:p w14:paraId="29CF0037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Polskiej Unii Szpitali Specjalistycznych;</w:t>
            </w:r>
          </w:p>
          <w:p w14:paraId="0548125B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Pracodawców Rzeczypospolitej Polskiej;</w:t>
            </w:r>
          </w:p>
          <w:p w14:paraId="38F4CE67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Rady Dialogu Społecznego;</w:t>
            </w:r>
          </w:p>
          <w:p w14:paraId="229F18BE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Rzecznika Praw Pacjenta;</w:t>
            </w:r>
          </w:p>
          <w:p w14:paraId="4C84E3E6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Stowarzyszenia Inspektorów Ochrony Radiologicznej;</w:t>
            </w:r>
          </w:p>
          <w:p w14:paraId="2127D535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Stowarzyszenia Menedżerów Opieki Zdrowotnej;</w:t>
            </w:r>
          </w:p>
          <w:p w14:paraId="102B2640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Towarzystwa Naukowego Techników Medycznych Radioterapii;</w:t>
            </w:r>
          </w:p>
          <w:p w14:paraId="6267307A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>Urzędu Ochrony Danych Osobowych;</w:t>
            </w:r>
          </w:p>
          <w:p w14:paraId="2BBBA03F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Urzędu Ochrony Konkurencji i Konsumentów;</w:t>
            </w:r>
          </w:p>
          <w:p w14:paraId="57FF6841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Urzędu Rejestracji Produktów Leczniczych, Wyrobów Medycznych i Produktów Biobójczych;</w:t>
            </w:r>
          </w:p>
          <w:p w14:paraId="7C4F5782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Związku Pracodawców Business Centre Club;</w:t>
            </w:r>
          </w:p>
          <w:p w14:paraId="0ADD0486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Związku Pracodawców Służby Zdrowia Ministerstwa Spraw Wewnętrznych i Administracji;</w:t>
            </w:r>
          </w:p>
          <w:p w14:paraId="5C034A8A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Związku Przedsiębiorców i Pracodawców;</w:t>
            </w:r>
          </w:p>
          <w:p w14:paraId="054F8360" w14:textId="77777777" w:rsidR="00394091" w:rsidRPr="00394091" w:rsidRDefault="00394091" w:rsidP="0039409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Związku Rzemiosła Polskiego.</w:t>
            </w:r>
          </w:p>
          <w:p w14:paraId="566FBB49" w14:textId="77777777" w:rsidR="00394091" w:rsidRPr="00394091" w:rsidRDefault="00394091" w:rsidP="0039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70CF51" w14:textId="77777777" w:rsidR="00394091" w:rsidRPr="00394091" w:rsidRDefault="00394091" w:rsidP="0039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Projekt rozporządzenia zostanie udostępniony na stronie podmiotowej Rządowego Centrum Legislacji, w serwisie „Rządowy Proces Legislacyjny”, zgodnie z art. 5 ustawy z dnia 7 lipca 2005 r. o działalności lobbingowej w procesie stanowienia prawa (Dz. U. z 2017 r. poz. 248) oraz uchwałą nr 190 Rady Ministrów z dnia 29 października 2013 r. – Regulamin pracy Rady Ministrów (M.P. z 2016 r. poz. 1006, z </w:t>
            </w:r>
            <w:proofErr w:type="spellStart"/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późn</w:t>
            </w:r>
            <w:proofErr w:type="spellEnd"/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. zm.).</w:t>
            </w:r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DCE0A33" w14:textId="77777777" w:rsidR="00394091" w:rsidRPr="00394091" w:rsidRDefault="00394091" w:rsidP="0039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Wyniki konsultacji publicznych i opiniowania zostaną przedstawione w raporcie załączonym do niniejszej Oceny Skutków Regulacji. </w:t>
            </w:r>
          </w:p>
        </w:tc>
      </w:tr>
      <w:tr w:rsidR="00394091" w:rsidRPr="00394091" w14:paraId="2D8625ED" w14:textId="77777777" w:rsidTr="006C58E0">
        <w:trPr>
          <w:trHeight w:val="363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95C85CF" w14:textId="77777777" w:rsidR="00394091" w:rsidRPr="00394091" w:rsidRDefault="00394091" w:rsidP="00394091">
            <w:pPr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lastRenderedPageBreak/>
              <w:t>Wpływ na sektor finansów publicznych</w:t>
            </w:r>
          </w:p>
        </w:tc>
      </w:tr>
      <w:tr w:rsidR="00394091" w:rsidRPr="00394091" w14:paraId="6253B06C" w14:textId="77777777" w:rsidTr="006C58E0">
        <w:trPr>
          <w:trHeight w:val="142"/>
        </w:trPr>
        <w:tc>
          <w:tcPr>
            <w:tcW w:w="26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9B2C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(ceny stałe z … r.)</w:t>
            </w:r>
          </w:p>
        </w:tc>
        <w:tc>
          <w:tcPr>
            <w:tcW w:w="70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BCF7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Skutki w okresie 10 lat od wejścia w życie zmian [mln zł]</w:t>
            </w:r>
          </w:p>
        </w:tc>
      </w:tr>
      <w:tr w:rsidR="00394091" w:rsidRPr="00394091" w14:paraId="033C7DB7" w14:textId="77777777" w:rsidTr="006C58E0">
        <w:trPr>
          <w:trHeight w:val="142"/>
        </w:trPr>
        <w:tc>
          <w:tcPr>
            <w:tcW w:w="26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3FA0C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i/>
                <w:color w:val="000000"/>
                <w:szCs w:val="20"/>
                <w:lang w:eastAsia="ar-SA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C7DE5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6845F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1039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2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43C0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EE560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28D1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5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C411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6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ADC7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970E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CDA23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3FBD5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0DF8A" w14:textId="77777777" w:rsidR="00394091" w:rsidRPr="00394091" w:rsidRDefault="00394091" w:rsidP="00394091">
            <w:pPr>
              <w:autoSpaceDE w:val="0"/>
              <w:spacing w:before="60" w:after="0" w:line="240" w:lineRule="auto"/>
              <w:ind w:left="-76"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Łącznie (0–10)</w:t>
            </w:r>
          </w:p>
        </w:tc>
      </w:tr>
      <w:tr w:rsidR="00394091" w:rsidRPr="00394091" w14:paraId="05D9744C" w14:textId="77777777" w:rsidTr="006C58E0">
        <w:trPr>
          <w:trHeight w:val="321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F7B05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Dochody ogółem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F48B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61D9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982F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23385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F3D79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621B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89D15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F178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67B4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3EF1F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91EB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B99D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4863463E" w14:textId="77777777" w:rsidTr="006C58E0">
        <w:trPr>
          <w:trHeight w:val="321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4F3B04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budżet państwa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7ACC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CCC54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859D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B069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889F9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1FB5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4D37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12405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F989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E1C0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6B280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AD6E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1EDA8764" w14:textId="77777777" w:rsidTr="006C58E0">
        <w:trPr>
          <w:trHeight w:val="344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A88C6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JST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DDC0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E2EE3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9A57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D886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64D13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7CF8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26BF5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442A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E312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F696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B408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83A8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26848197" w14:textId="77777777" w:rsidTr="006C58E0">
        <w:trPr>
          <w:trHeight w:val="344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88D734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pozostałe jednostki (oddzielnie)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4B17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A132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E8E7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FC8BB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893B6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8E0A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8EE81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AA59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EF5D5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9C8C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7DF9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A972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5A6D2CE4" w14:textId="77777777" w:rsidTr="006C58E0">
        <w:trPr>
          <w:trHeight w:val="330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C44F6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Wydatki ogółem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E79A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AE68F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DAF63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3E32C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E862F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E920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46E3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55B1E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9727D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F2D2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516A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2CF7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489C33CD" w14:textId="77777777" w:rsidTr="006C58E0">
        <w:trPr>
          <w:trHeight w:val="330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016EC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budżet państwa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C2B6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F92BA9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CE32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383F9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AA66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EE60B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0EEC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5E94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3AC4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4E4F5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0313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CFD3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112E31CC" w14:textId="77777777" w:rsidTr="006C58E0">
        <w:trPr>
          <w:trHeight w:val="351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C181D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JST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5E5C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DDE70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B36E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6B31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1F590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67EB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8E1F0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0A6E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FC95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C6EF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28E6F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0B220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24FC8A67" w14:textId="77777777" w:rsidTr="006C58E0">
        <w:trPr>
          <w:trHeight w:val="351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390D1E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pozostałe jednostki (oddzielnie)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8FF9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2B0A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EE9B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496B3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33DB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2ED9F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E2C55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B8F5D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B25A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0192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21B2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8785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7B24845A" w14:textId="77777777" w:rsidTr="006C58E0">
        <w:trPr>
          <w:trHeight w:val="360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65622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Saldo ogółem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2F91F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BD88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E8AB5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C2F8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8057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7762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BDB8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0C5F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36A5D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4E32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C066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F253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5B058996" w14:textId="77777777" w:rsidTr="006C58E0">
        <w:trPr>
          <w:trHeight w:val="360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F65FD0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budżet państwa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C696C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3904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21BC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BF900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46ED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D632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2532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EC0DC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A522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DA1F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B62B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7B69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4CD1F476" w14:textId="77777777" w:rsidTr="006C58E0">
        <w:trPr>
          <w:trHeight w:val="357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7C368D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JST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45B11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882F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5516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129DF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02C1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89DF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1C3C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FC2F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66CBF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6A30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8C32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425F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52FDC21E" w14:textId="77777777" w:rsidTr="006C58E0">
        <w:trPr>
          <w:trHeight w:val="357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C2A76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pozostałe jednostki (oddzielnie)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5B14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FDF4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51D0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8646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06D6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0F14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56F8F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5AC5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0AAC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501E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660F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3CFF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77076671" w14:textId="77777777" w:rsidTr="006C58E0">
        <w:trPr>
          <w:trHeight w:val="348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CEA1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Źródła finansowania </w:t>
            </w:r>
          </w:p>
        </w:tc>
        <w:tc>
          <w:tcPr>
            <w:tcW w:w="774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E517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Nie dotyczy.</w:t>
            </w:r>
          </w:p>
        </w:tc>
      </w:tr>
      <w:tr w:rsidR="00394091" w:rsidRPr="00394091" w14:paraId="6616E499" w14:textId="77777777" w:rsidTr="006C58E0">
        <w:trPr>
          <w:trHeight w:val="192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1E9B2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Dodatkowe informacje, w tym wskazanie źródeł danych i przyjętych do obliczeń założeń</w:t>
            </w:r>
          </w:p>
        </w:tc>
        <w:tc>
          <w:tcPr>
            <w:tcW w:w="774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F3A30" w14:textId="77777777" w:rsidR="00394091" w:rsidRPr="00394091" w:rsidRDefault="00394091" w:rsidP="00394091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394091">
              <w:rPr>
                <w:rFonts w:ascii="Times New Roman" w:eastAsia="Times New Roman" w:hAnsi="Times New Roman" w:cs="Arial"/>
                <w:lang w:eastAsia="ar-SA"/>
              </w:rPr>
              <w:t>Projekt rozporządzenia nie ma wpływu na sektor finansów publicznych.</w:t>
            </w:r>
          </w:p>
          <w:p w14:paraId="3F882C43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091" w:rsidRPr="00394091" w14:paraId="73D8EE8A" w14:textId="77777777" w:rsidTr="006C58E0">
        <w:trPr>
          <w:trHeight w:val="345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74CAEC1" w14:textId="77777777" w:rsidR="00394091" w:rsidRPr="00394091" w:rsidRDefault="00394091" w:rsidP="0039409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394091" w:rsidRPr="00394091" w14:paraId="2105791A" w14:textId="77777777" w:rsidTr="006C58E0">
        <w:trPr>
          <w:trHeight w:val="142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40876" w14:textId="77777777" w:rsidR="00394091" w:rsidRPr="00394091" w:rsidRDefault="00394091" w:rsidP="00394091">
            <w:pPr>
              <w:autoSpaceDE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Skutki</w:t>
            </w:r>
          </w:p>
        </w:tc>
      </w:tr>
      <w:tr w:rsidR="00394091" w:rsidRPr="00394091" w14:paraId="65624A60" w14:textId="77777777" w:rsidTr="006C58E0">
        <w:trPr>
          <w:trHeight w:val="142"/>
        </w:trPr>
        <w:tc>
          <w:tcPr>
            <w:tcW w:w="3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392F0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Czas w latach od wejścia w życie zmian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8FFB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7EDD9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1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C5EC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2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D7E1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3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B2B3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5EEA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0E79E" w14:textId="77777777" w:rsidR="00394091" w:rsidRPr="00394091" w:rsidRDefault="00394091" w:rsidP="00394091">
            <w:pPr>
              <w:autoSpaceDE w:val="0"/>
              <w:spacing w:before="60" w:after="0" w:line="240" w:lineRule="auto"/>
              <w:ind w:left="-88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Łącznie (0–10)</w:t>
            </w:r>
          </w:p>
        </w:tc>
      </w:tr>
      <w:tr w:rsidR="00394091" w:rsidRPr="00394091" w14:paraId="7E671782" w14:textId="77777777" w:rsidTr="006C58E0">
        <w:trPr>
          <w:trHeight w:val="14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C24A3" w14:textId="77777777" w:rsidR="00394091" w:rsidRPr="00394091" w:rsidRDefault="00394091" w:rsidP="00394091">
            <w:pPr>
              <w:autoSpaceDE w:val="0"/>
              <w:spacing w:after="0" w:line="240" w:lineRule="auto"/>
              <w:rPr>
                <w:rFonts w:ascii="Times New Roman" w:eastAsia="Calibri" w:hAnsi="Times New Roman" w:cs="Arial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lastRenderedPageBreak/>
              <w:t>W ujęciu pieniężnym</w:t>
            </w:r>
          </w:p>
          <w:p w14:paraId="60A639EF" w14:textId="77777777" w:rsidR="00394091" w:rsidRPr="00394091" w:rsidRDefault="00394091" w:rsidP="00394091">
            <w:pPr>
              <w:autoSpaceDE w:val="0"/>
              <w:spacing w:after="0" w:line="240" w:lineRule="auto"/>
              <w:rPr>
                <w:rFonts w:ascii="Times New Roman" w:eastAsia="Calibri" w:hAnsi="Times New Roman" w:cs="Arial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(w mln zł, </w:t>
            </w:r>
          </w:p>
          <w:p w14:paraId="640972EB" w14:textId="77777777" w:rsidR="00394091" w:rsidRPr="00394091" w:rsidRDefault="00394091" w:rsidP="00394091">
            <w:pPr>
              <w:autoSpaceDE w:val="0"/>
              <w:spacing w:after="0" w:line="240" w:lineRule="auto"/>
              <w:rPr>
                <w:rFonts w:ascii="Times New Roman" w:eastAsia="Calibri" w:hAnsi="Times New Roman" w:cs="Arial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>ceny stałe</w:t>
            </w:r>
          </w:p>
          <w:p w14:paraId="598A8D31" w14:textId="77777777" w:rsidR="00394091" w:rsidRPr="00394091" w:rsidRDefault="00394091" w:rsidP="00394091">
            <w:pPr>
              <w:autoSpaceDE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>z … r.)</w:t>
            </w:r>
          </w:p>
        </w:tc>
        <w:tc>
          <w:tcPr>
            <w:tcW w:w="1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77940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duże przedsiębiorstwa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36E08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10451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F8858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E679E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9F575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A7A45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19111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</w:tr>
      <w:tr w:rsidR="00394091" w:rsidRPr="00394091" w14:paraId="6220A5B7" w14:textId="77777777" w:rsidTr="006C58E0">
        <w:trPr>
          <w:trHeight w:val="14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DCA5D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9409B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sektor mikro-, małych i średnich przedsiębiorstw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04695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0BEE2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7CE94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CBB96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54FB2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F3037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96B93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</w:tr>
      <w:tr w:rsidR="00394091" w:rsidRPr="00394091" w14:paraId="50E8BE06" w14:textId="77777777" w:rsidTr="006C58E0">
        <w:trPr>
          <w:trHeight w:val="14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249FB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CD642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39409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rodzina, obywatele oraz gospodarstwa domowe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48509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062B1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6F187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C779F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5F5B7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03722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00265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</w:tr>
      <w:tr w:rsidR="00394091" w:rsidRPr="00394091" w14:paraId="0B3AF38F" w14:textId="77777777" w:rsidTr="006C58E0">
        <w:trPr>
          <w:trHeight w:val="14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EC426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W ujęciu niepieniężnym</w:t>
            </w:r>
          </w:p>
        </w:tc>
        <w:tc>
          <w:tcPr>
            <w:tcW w:w="1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7A2B9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duże przedsiębiorstwa</w:t>
            </w:r>
          </w:p>
        </w:tc>
        <w:tc>
          <w:tcPr>
            <w:tcW w:w="63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A6088" w14:textId="77777777" w:rsidR="00394091" w:rsidRPr="00394091" w:rsidRDefault="00394091" w:rsidP="00394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>Brak wpływu</w:t>
            </w:r>
          </w:p>
          <w:p w14:paraId="3B962CA1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94091" w:rsidRPr="00394091" w14:paraId="5A28053B" w14:textId="77777777" w:rsidTr="006C58E0">
        <w:trPr>
          <w:trHeight w:val="14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E6AF8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AAAE0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sektor mikro-, małych i średnich przedsiębiorstw</w:t>
            </w:r>
          </w:p>
        </w:tc>
        <w:tc>
          <w:tcPr>
            <w:tcW w:w="63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A13BE" w14:textId="77777777" w:rsidR="00394091" w:rsidRPr="00394091" w:rsidRDefault="00394091" w:rsidP="00394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>Brak wpływu</w:t>
            </w:r>
          </w:p>
          <w:p w14:paraId="63D4149F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94091" w:rsidRPr="00394091" w14:paraId="13183211" w14:textId="77777777" w:rsidTr="006C58E0">
        <w:trPr>
          <w:trHeight w:val="59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D90BC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65024" w14:textId="77777777" w:rsidR="00394091" w:rsidRPr="00394091" w:rsidRDefault="00394091" w:rsidP="00394091">
            <w:pPr>
              <w:tabs>
                <w:tab w:val="right" w:pos="1936"/>
              </w:tabs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>rodzina, obywatele oraz gospodarstwa domowe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</w:p>
        </w:tc>
        <w:tc>
          <w:tcPr>
            <w:tcW w:w="63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D58BD" w14:textId="77777777" w:rsidR="00394091" w:rsidRPr="00394091" w:rsidRDefault="00394091" w:rsidP="00394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>Brak wpływu</w:t>
            </w:r>
          </w:p>
          <w:p w14:paraId="0601EE1B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94091" w:rsidRPr="00394091" w14:paraId="7D24016D" w14:textId="77777777" w:rsidTr="006C58E0">
        <w:trPr>
          <w:trHeight w:val="1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568C1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Niemierzalne</w:t>
            </w:r>
          </w:p>
        </w:tc>
        <w:tc>
          <w:tcPr>
            <w:tcW w:w="1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D07EE4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63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0D54E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</w:tr>
      <w:tr w:rsidR="00394091" w:rsidRPr="00394091" w14:paraId="1D3EE793" w14:textId="77777777" w:rsidTr="006C58E0">
        <w:trPr>
          <w:trHeight w:val="1168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7A89C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Dodatkowe informacje, w tym wskazanie źródeł danych i przyjętych do obliczeń założeń </w:t>
            </w:r>
          </w:p>
        </w:tc>
        <w:tc>
          <w:tcPr>
            <w:tcW w:w="774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C45C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Projekt rozporządzenia nie ma wpływu na konkurencyjność gospodarki i przedsiębiorczość, w tym funkcjonowanie przedsiębiorców oraz na rodzinę, obywateli i gospodarstwa domowe</w:t>
            </w:r>
          </w:p>
        </w:tc>
      </w:tr>
      <w:tr w:rsidR="00394091" w:rsidRPr="00394091" w14:paraId="5FD7A914" w14:textId="77777777" w:rsidTr="006C58E0">
        <w:trPr>
          <w:trHeight w:val="342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146AFEC" w14:textId="77777777" w:rsidR="00394091" w:rsidRPr="00394091" w:rsidRDefault="00394091" w:rsidP="00394091">
            <w:pPr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Zmiana obciążeń regulacyjnych (w tym obowiązków informacyjnych) wynikających z projektu</w:t>
            </w:r>
          </w:p>
        </w:tc>
      </w:tr>
      <w:tr w:rsidR="00394091" w:rsidRPr="00394091" w14:paraId="5C8B3C2A" w14:textId="77777777" w:rsidTr="006C58E0">
        <w:trPr>
          <w:trHeight w:val="151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E54E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Wybór1"/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bookmarkEnd w:id="5"/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nie dotyczy</w:t>
            </w:r>
          </w:p>
        </w:tc>
      </w:tr>
      <w:tr w:rsidR="00394091" w:rsidRPr="00394091" w14:paraId="1F89FD92" w14:textId="77777777" w:rsidTr="006C58E0">
        <w:trPr>
          <w:trHeight w:val="946"/>
        </w:trPr>
        <w:tc>
          <w:tcPr>
            <w:tcW w:w="44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FFDF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Wprowadzane są obciążenia poza bezwzględnie wymaganymi przez UE (szczegóły w odwróconej tabeli zgodności).</w:t>
            </w:r>
          </w:p>
        </w:tc>
        <w:tc>
          <w:tcPr>
            <w:tcW w:w="52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F878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tak</w:t>
            </w:r>
          </w:p>
          <w:p w14:paraId="05CE73B3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nie</w:t>
            </w:r>
          </w:p>
          <w:p w14:paraId="5C395BF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nie dotyczy</w:t>
            </w:r>
          </w:p>
        </w:tc>
      </w:tr>
      <w:tr w:rsidR="00394091" w:rsidRPr="00394091" w14:paraId="7DCAF613" w14:textId="77777777" w:rsidTr="006C58E0">
        <w:trPr>
          <w:trHeight w:val="1245"/>
        </w:trPr>
        <w:tc>
          <w:tcPr>
            <w:tcW w:w="44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1955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zmniejszenie liczby dokumentów </w:t>
            </w:r>
          </w:p>
          <w:p w14:paraId="025B198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zmniejszenie liczby procedur</w:t>
            </w:r>
          </w:p>
          <w:p w14:paraId="7BEE16B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skrócenie czasu na załatwienie sprawy</w:t>
            </w:r>
          </w:p>
          <w:p w14:paraId="77EB6FA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inne: </w:t>
            </w:r>
          </w:p>
        </w:tc>
        <w:tc>
          <w:tcPr>
            <w:tcW w:w="52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781E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zwiększenie liczby dokumentów</w:t>
            </w:r>
          </w:p>
          <w:p w14:paraId="6CAE8CB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zwiększenie liczby procedur</w:t>
            </w:r>
          </w:p>
          <w:p w14:paraId="7F58817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wydłużenie czasu na załatwienie sprawy</w:t>
            </w:r>
          </w:p>
          <w:p w14:paraId="016AEB2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inne: </w:t>
            </w:r>
          </w:p>
        </w:tc>
      </w:tr>
      <w:tr w:rsidR="00394091" w:rsidRPr="00394091" w14:paraId="46F7D620" w14:textId="77777777" w:rsidTr="006C58E0">
        <w:trPr>
          <w:trHeight w:val="870"/>
        </w:trPr>
        <w:tc>
          <w:tcPr>
            <w:tcW w:w="44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F33B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Wprowadzane obciążenia są przystosowane do ich elektronizacji. </w:t>
            </w:r>
          </w:p>
        </w:tc>
        <w:tc>
          <w:tcPr>
            <w:tcW w:w="52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089D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tak</w:t>
            </w:r>
          </w:p>
          <w:p w14:paraId="3134CF2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nie</w:t>
            </w:r>
          </w:p>
          <w:p w14:paraId="51FBE11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nie dotyczy</w:t>
            </w:r>
          </w:p>
        </w:tc>
      </w:tr>
      <w:tr w:rsidR="00394091" w:rsidRPr="00394091" w14:paraId="6827FA18" w14:textId="77777777" w:rsidTr="006C58E0">
        <w:trPr>
          <w:trHeight w:val="630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E532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jw</w:t>
            </w:r>
            <w:proofErr w:type="spellEnd"/>
          </w:p>
        </w:tc>
      </w:tr>
      <w:tr w:rsidR="00394091" w:rsidRPr="00394091" w14:paraId="3452D8B9" w14:textId="77777777" w:rsidTr="006C58E0">
        <w:trPr>
          <w:trHeight w:val="142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0B25424" w14:textId="77777777" w:rsidR="00394091" w:rsidRPr="00394091" w:rsidRDefault="00394091" w:rsidP="00394091">
            <w:pPr>
              <w:keepNext/>
              <w:keepLines/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 xml:space="preserve">Wpływ na rynek pracy </w:t>
            </w:r>
          </w:p>
        </w:tc>
      </w:tr>
      <w:tr w:rsidR="00394091" w:rsidRPr="00394091" w14:paraId="63167491" w14:textId="77777777" w:rsidTr="006C58E0">
        <w:trPr>
          <w:trHeight w:val="142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FD68" w14:textId="77777777" w:rsidR="00394091" w:rsidRPr="00394091" w:rsidRDefault="00394091" w:rsidP="00394091">
            <w:pPr>
              <w:autoSpaceDE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Projekt rozporządzenia nie ma wpływu na rynek pracy.</w:t>
            </w:r>
          </w:p>
        </w:tc>
      </w:tr>
      <w:tr w:rsidR="00394091" w:rsidRPr="00394091" w14:paraId="0806CDEF" w14:textId="77777777" w:rsidTr="006C58E0">
        <w:trPr>
          <w:trHeight w:val="142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F82CD31" w14:textId="77777777" w:rsidR="00394091" w:rsidRPr="00394091" w:rsidRDefault="00394091" w:rsidP="00394091">
            <w:pPr>
              <w:keepNext/>
              <w:keepLines/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Wpływ na pozostałe obszary</w:t>
            </w:r>
          </w:p>
        </w:tc>
      </w:tr>
      <w:tr w:rsidR="00394091" w:rsidRPr="00394091" w14:paraId="3C31C1C3" w14:textId="77777777" w:rsidTr="006C58E0">
        <w:trPr>
          <w:trHeight w:val="1031"/>
        </w:trPr>
        <w:tc>
          <w:tcPr>
            <w:tcW w:w="3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170A7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środowisko naturalne</w:t>
            </w:r>
          </w:p>
          <w:p w14:paraId="76FA2DE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 sytuacja i rozwój regionalny</w:t>
            </w:r>
          </w:p>
          <w:p w14:paraId="76BF141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inne: </w:t>
            </w:r>
          </w:p>
        </w:tc>
        <w:tc>
          <w:tcPr>
            <w:tcW w:w="3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279DE" w14:textId="77777777" w:rsidR="00394091" w:rsidRPr="00394091" w:rsidRDefault="00394091" w:rsidP="00394091">
            <w:pPr>
              <w:keepNext/>
              <w:keepLine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demografia</w:t>
            </w:r>
          </w:p>
          <w:p w14:paraId="11BA0674" w14:textId="77777777" w:rsidR="00394091" w:rsidRPr="00394091" w:rsidRDefault="00394091" w:rsidP="00394091">
            <w:pPr>
              <w:keepNext/>
              <w:keepLine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mienie państwowe</w:t>
            </w:r>
          </w:p>
        </w:tc>
        <w:tc>
          <w:tcPr>
            <w:tcW w:w="3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64A9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8569A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informatyzacja</w:t>
            </w:r>
          </w:p>
          <w:p w14:paraId="28B82A0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x zdrowie</w:t>
            </w:r>
          </w:p>
        </w:tc>
      </w:tr>
      <w:tr w:rsidR="00394091" w:rsidRPr="00394091" w14:paraId="2AAAE494" w14:textId="77777777" w:rsidTr="006C58E0">
        <w:trPr>
          <w:trHeight w:val="712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3208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lastRenderedPageBreak/>
              <w:t>Omówienie wpływu</w:t>
            </w:r>
          </w:p>
        </w:tc>
        <w:tc>
          <w:tcPr>
            <w:tcW w:w="774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45202" w14:textId="77777777" w:rsidR="00394091" w:rsidRPr="00394091" w:rsidRDefault="00394091" w:rsidP="00394091">
            <w:pPr>
              <w:keepNext/>
              <w:keepLine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Określenie przez projektowane przepisy wymaganych elementów treści procedur szczegółowych, stanowiących podstawę wykonywania badań diagnostycznych, zabiegów i leczenia z zastosowaniem promieniowania jonizującego (art. 33f ust. 1 ustawy </w:t>
            </w: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z dnia 29 listopada 2000 r. 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– Prawo atomowe) przyczyni się do zwiększenia bezpieczeństwa radiologicznego pacjentów poddawanych procedurom z wykorzystaniem promieniowania jonizującego. Podobny efekt zostanie osiągnięty przez określenie wymaganych elementów treści procedur wzorcowych, które mogą być podstawą opracowania przez jednostki ochrony zdrowia procedur szczegółowych. </w:t>
            </w:r>
          </w:p>
        </w:tc>
      </w:tr>
      <w:tr w:rsidR="00394091" w:rsidRPr="00394091" w14:paraId="6ED34D36" w14:textId="77777777" w:rsidTr="006C58E0">
        <w:trPr>
          <w:trHeight w:val="142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90FD109" w14:textId="77777777" w:rsidR="00394091" w:rsidRPr="00394091" w:rsidRDefault="00394091" w:rsidP="00394091">
            <w:pPr>
              <w:keepNext/>
              <w:keepLines/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Planowane</w:t>
            </w: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 xml:space="preserve"> wykonanie przepisów </w:t>
            </w: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aktu</w:t>
            </w: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 xml:space="preserve"> prawnego</w:t>
            </w:r>
          </w:p>
        </w:tc>
      </w:tr>
      <w:tr w:rsidR="00394091" w:rsidRPr="00394091" w14:paraId="0AC950FD" w14:textId="77777777" w:rsidTr="006C58E0">
        <w:trPr>
          <w:trHeight w:val="142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61611" w14:textId="28789E79" w:rsidR="00394091" w:rsidRPr="00394091" w:rsidRDefault="00394091" w:rsidP="00394091">
            <w:pPr>
              <w:autoSpaceDE w:val="0"/>
              <w:spacing w:before="60" w:after="60" w:line="240" w:lineRule="auto"/>
              <w:jc w:val="both"/>
              <w:rPr>
                <w:rFonts w:ascii="Times New Roman" w:eastAsia="Calibri" w:hAnsi="Times New Roman" w:cs="Arial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Rozporządzenie wejdzie w 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życie</w:t>
            </w: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 po upływie 14 dni od dnia ogłoszenia. </w:t>
            </w:r>
          </w:p>
        </w:tc>
      </w:tr>
      <w:tr w:rsidR="00394091" w:rsidRPr="00394091" w14:paraId="45E9F7C9" w14:textId="77777777" w:rsidTr="006C58E0">
        <w:trPr>
          <w:trHeight w:val="142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8349FF9" w14:textId="77777777" w:rsidR="00394091" w:rsidRPr="00394091" w:rsidRDefault="00394091" w:rsidP="00394091">
            <w:pPr>
              <w:keepNext/>
              <w:keepLines/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>W jaki sposób i kiedy nastąpi ewaluacja efektów projektu oraz jakie mierniki zostaną zastosowane?</w:t>
            </w:r>
          </w:p>
        </w:tc>
      </w:tr>
      <w:tr w:rsidR="00394091" w:rsidRPr="00394091" w14:paraId="44E6E23D" w14:textId="77777777" w:rsidTr="006C58E0">
        <w:trPr>
          <w:trHeight w:val="142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3BC2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Efekty wprowadzenia przepisów objętych projektem rozporządzenia będą przedmiotem analizy dokonywanej przez działające przy ministrze właściwym do spraw zdrowia komisje do spraw procedur i audytów klinicznych zewnętrznych, z uwzględnieniem m. in. wniosków płynących z przeprowadzanych w jednostkach ochrony zdrowia audytów klinicznych wewnętrznych (z których raporty są przekazywane komisjom przez jednostki ochrony zdrowia na podstawie art. 33v ust. 2 ustawy</w:t>
            </w: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 z dnia 29 listopada 2000 r.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– Prawo atomowe). </w:t>
            </w:r>
          </w:p>
        </w:tc>
      </w:tr>
      <w:tr w:rsidR="00394091" w:rsidRPr="00394091" w14:paraId="623E6567" w14:textId="77777777" w:rsidTr="006C58E0">
        <w:trPr>
          <w:trHeight w:val="142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8821A78" w14:textId="77777777" w:rsidR="00394091" w:rsidRPr="00394091" w:rsidRDefault="00394091" w:rsidP="00394091">
            <w:pPr>
              <w:keepNext/>
              <w:keepLines/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 xml:space="preserve">Załączniki </w:t>
            </w: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 xml:space="preserve">(istotne dokumenty </w:t>
            </w: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źródłowe</w:t>
            </w: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>, badania, analizy itp.</w:t>
            </w: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 xml:space="preserve">) </w:t>
            </w:r>
          </w:p>
        </w:tc>
      </w:tr>
      <w:tr w:rsidR="00394091" w:rsidRPr="00394091" w14:paraId="384E0A4B" w14:textId="77777777" w:rsidTr="006C58E0">
        <w:trPr>
          <w:trHeight w:val="142"/>
        </w:trPr>
        <w:tc>
          <w:tcPr>
            <w:tcW w:w="96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50B45" w14:textId="77777777" w:rsidR="00394091" w:rsidRPr="00394091" w:rsidRDefault="00394091" w:rsidP="00394091">
            <w:pPr>
              <w:autoSpaceDE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Brak.</w:t>
            </w:r>
          </w:p>
        </w:tc>
      </w:tr>
    </w:tbl>
    <w:p w14:paraId="24EDA9E0" w14:textId="77777777" w:rsidR="00394091" w:rsidRPr="00394091" w:rsidRDefault="00394091" w:rsidP="00394091">
      <w:pPr>
        <w:autoSpaceDE w:val="0"/>
        <w:spacing w:before="107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B0303" w14:textId="77777777" w:rsidR="00A40550" w:rsidRDefault="008569AB"/>
    <w:sectPr w:rsidR="00A4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930D35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0"/>
        <w:lang w:eastAsia="ar-SA" w:bidi="ar-S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59960E91"/>
    <w:multiLevelType w:val="hybridMultilevel"/>
    <w:tmpl w:val="55CE56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EC1085"/>
    <w:multiLevelType w:val="hybridMultilevel"/>
    <w:tmpl w:val="F75C4AEC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91"/>
    <w:rsid w:val="00394091"/>
    <w:rsid w:val="003D425F"/>
    <w:rsid w:val="006B3FD0"/>
    <w:rsid w:val="008569AB"/>
    <w:rsid w:val="008A103C"/>
    <w:rsid w:val="009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3B65"/>
  <w15:chartTrackingRefBased/>
  <w15:docId w15:val="{DC4539AF-393A-484E-BACD-7A8916BB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09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3940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2607</Words>
  <Characters>15648</Characters>
  <Application>Microsoft Office Word</Application>
  <DocSecurity>0</DocSecurity>
  <Lines>130</Lines>
  <Paragraphs>36</Paragraphs>
  <ScaleCrop>false</ScaleCrop>
  <Company/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Skweres Wojciech</dc:creator>
  <cp:keywords/>
  <dc:description/>
  <cp:lastModifiedBy>Skweres Wojciech</cp:lastModifiedBy>
  <cp:revision>2</cp:revision>
  <dcterms:created xsi:type="dcterms:W3CDTF">2021-06-29T12:34:00Z</dcterms:created>
  <dcterms:modified xsi:type="dcterms:W3CDTF">2021-06-29T12:34:00Z</dcterms:modified>
</cp:coreProperties>
</file>