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425"/>
        <w:gridCol w:w="477"/>
        <w:gridCol w:w="890"/>
        <w:gridCol w:w="414"/>
        <w:gridCol w:w="186"/>
        <w:gridCol w:w="18"/>
        <w:gridCol w:w="582"/>
        <w:gridCol w:w="326"/>
        <w:gridCol w:w="275"/>
        <w:gridCol w:w="10"/>
        <w:gridCol w:w="224"/>
        <w:gridCol w:w="366"/>
        <w:gridCol w:w="63"/>
        <w:gridCol w:w="538"/>
        <w:gridCol w:w="329"/>
        <w:gridCol w:w="71"/>
        <w:gridCol w:w="200"/>
        <w:gridCol w:w="276"/>
        <w:gridCol w:w="56"/>
        <w:gridCol w:w="268"/>
        <w:gridCol w:w="137"/>
        <w:gridCol w:w="464"/>
        <w:gridCol w:w="474"/>
        <w:gridCol w:w="19"/>
        <w:gridCol w:w="708"/>
        <w:gridCol w:w="426"/>
        <w:gridCol w:w="1134"/>
      </w:tblGrid>
      <w:tr w:rsidR="006A701A" w:rsidRPr="00996A12" w14:paraId="260EFC2E" w14:textId="77777777" w:rsidTr="00196538">
        <w:trPr>
          <w:trHeight w:val="1611"/>
        </w:trPr>
        <w:tc>
          <w:tcPr>
            <w:tcW w:w="6570" w:type="dxa"/>
            <w:gridSpan w:val="16"/>
          </w:tcPr>
          <w:p w14:paraId="20FF467E" w14:textId="77777777" w:rsidR="002B1B54" w:rsidRPr="00996A12" w:rsidRDefault="002B1B54" w:rsidP="002B1B54">
            <w:pPr>
              <w:spacing w:before="120" w:line="240" w:lineRule="auto"/>
              <w:ind w:hanging="45"/>
              <w:rPr>
                <w:rFonts w:ascii="Times New Roman" w:hAnsi="Times New Roman"/>
                <w:color w:val="000000"/>
              </w:rPr>
            </w:pPr>
            <w:bookmarkStart w:id="0" w:name="t1"/>
            <w:bookmarkStart w:id="1" w:name="_GoBack"/>
            <w:bookmarkEnd w:id="1"/>
            <w:r w:rsidRPr="00996A12">
              <w:rPr>
                <w:rFonts w:ascii="Times New Roman" w:hAnsi="Times New Roman"/>
                <w:b/>
                <w:color w:val="000000"/>
              </w:rPr>
              <w:t>Nazwa projektu</w:t>
            </w:r>
          </w:p>
          <w:p w14:paraId="7C4013BB" w14:textId="77777777" w:rsidR="002B1B54" w:rsidRPr="00996A12" w:rsidRDefault="00F86FA6" w:rsidP="002B1B54">
            <w:pPr>
              <w:spacing w:line="240" w:lineRule="auto"/>
              <w:rPr>
                <w:rFonts w:ascii="Times New Roman" w:hAnsi="Times New Roman"/>
              </w:rPr>
            </w:pPr>
            <w:r w:rsidRPr="00996A12">
              <w:rPr>
                <w:rFonts w:ascii="Times New Roman" w:hAnsi="Times New Roman"/>
              </w:rPr>
              <w:t xml:space="preserve">Projekt ustawy o zmianie ustawy o </w:t>
            </w:r>
            <w:r w:rsidR="00441B30" w:rsidRPr="00996A12">
              <w:rPr>
                <w:rFonts w:ascii="Times New Roman" w:hAnsi="Times New Roman"/>
              </w:rPr>
              <w:t>prawach konsumenta oraz</w:t>
            </w:r>
            <w:r w:rsidRPr="00996A12">
              <w:rPr>
                <w:rFonts w:ascii="Times New Roman" w:hAnsi="Times New Roman"/>
              </w:rPr>
              <w:t xml:space="preserve">  niektórych innych ustaw</w:t>
            </w:r>
          </w:p>
          <w:p w14:paraId="4141E378" w14:textId="77777777" w:rsidR="002B1B54" w:rsidRPr="00996A12" w:rsidRDefault="002B1B54" w:rsidP="002B1B54">
            <w:pPr>
              <w:spacing w:before="120" w:line="240" w:lineRule="auto"/>
              <w:ind w:hanging="45"/>
              <w:rPr>
                <w:rFonts w:ascii="Times New Roman" w:hAnsi="Times New Roman"/>
                <w:b/>
                <w:color w:val="000000"/>
              </w:rPr>
            </w:pPr>
            <w:r w:rsidRPr="00996A12">
              <w:rPr>
                <w:rFonts w:ascii="Times New Roman" w:hAnsi="Times New Roman"/>
                <w:b/>
                <w:color w:val="000000"/>
              </w:rPr>
              <w:t>Ministerstwo wiodące i ministerstwa współpracujące</w:t>
            </w:r>
          </w:p>
          <w:p w14:paraId="17C05A39" w14:textId="77777777" w:rsidR="002B1B54" w:rsidRPr="00996A12" w:rsidRDefault="002B1B54" w:rsidP="002B1B54">
            <w:pPr>
              <w:spacing w:line="240" w:lineRule="auto"/>
              <w:rPr>
                <w:rFonts w:ascii="Times New Roman" w:hAnsi="Times New Roman"/>
              </w:rPr>
            </w:pPr>
            <w:r w:rsidRPr="00996A12">
              <w:rPr>
                <w:rFonts w:ascii="Times New Roman" w:hAnsi="Times New Roman"/>
              </w:rPr>
              <w:t>Wiodące:</w:t>
            </w:r>
          </w:p>
          <w:p w14:paraId="4951F833" w14:textId="77777777" w:rsidR="002B1B54" w:rsidRPr="00996A12" w:rsidRDefault="002B1B54" w:rsidP="002B1B54">
            <w:pPr>
              <w:spacing w:line="240" w:lineRule="auto"/>
              <w:rPr>
                <w:rFonts w:ascii="Times New Roman" w:hAnsi="Times New Roman"/>
              </w:rPr>
            </w:pPr>
            <w:r w:rsidRPr="00996A12">
              <w:rPr>
                <w:rFonts w:ascii="Times New Roman" w:hAnsi="Times New Roman"/>
              </w:rPr>
              <w:t xml:space="preserve">Urząd Ochrony Konkurencji i Konsumentów  </w:t>
            </w:r>
          </w:p>
          <w:p w14:paraId="68AB9EE8" w14:textId="77777777" w:rsidR="002B1B54" w:rsidRPr="00996A12" w:rsidRDefault="002B1B54" w:rsidP="002B1B54">
            <w:pPr>
              <w:spacing w:line="240" w:lineRule="auto"/>
              <w:rPr>
                <w:rFonts w:ascii="Times New Roman" w:hAnsi="Times New Roman"/>
              </w:rPr>
            </w:pPr>
            <w:r w:rsidRPr="00996A12">
              <w:rPr>
                <w:rFonts w:ascii="Times New Roman" w:hAnsi="Times New Roman"/>
              </w:rPr>
              <w:t>Współpracujące:</w:t>
            </w:r>
          </w:p>
          <w:p w14:paraId="1AFC1714" w14:textId="77777777" w:rsidR="002B1B54" w:rsidRPr="00996A12" w:rsidRDefault="002B1B54" w:rsidP="002B1B54">
            <w:pPr>
              <w:spacing w:line="240" w:lineRule="auto"/>
              <w:rPr>
                <w:rFonts w:ascii="Times New Roman" w:hAnsi="Times New Roman"/>
              </w:rPr>
            </w:pPr>
            <w:r w:rsidRPr="00996A12">
              <w:rPr>
                <w:rFonts w:ascii="Times New Roman" w:hAnsi="Times New Roman"/>
              </w:rPr>
              <w:t>Ministerstwo Rozwoju</w:t>
            </w:r>
            <w:r w:rsidR="00556050" w:rsidRPr="00996A12">
              <w:rPr>
                <w:rFonts w:ascii="Times New Roman" w:hAnsi="Times New Roman"/>
              </w:rPr>
              <w:t>, Pracy i Technologii</w:t>
            </w:r>
          </w:p>
          <w:p w14:paraId="540E2A37" w14:textId="77777777" w:rsidR="002B1B54" w:rsidRPr="00996A12" w:rsidRDefault="002B1B54" w:rsidP="002B1B54">
            <w:pPr>
              <w:spacing w:line="240" w:lineRule="auto"/>
              <w:rPr>
                <w:rFonts w:ascii="Times New Roman" w:hAnsi="Times New Roman"/>
              </w:rPr>
            </w:pPr>
            <w:r w:rsidRPr="00996A12">
              <w:rPr>
                <w:rFonts w:ascii="Times New Roman" w:hAnsi="Times New Roman"/>
              </w:rPr>
              <w:t>Ministerstwo Sprawiedliwości</w:t>
            </w:r>
          </w:p>
          <w:p w14:paraId="3E76528D" w14:textId="77777777" w:rsidR="002B1B54" w:rsidRPr="00996A12" w:rsidRDefault="002B1B54" w:rsidP="002B1B54">
            <w:pPr>
              <w:spacing w:line="240" w:lineRule="auto"/>
              <w:rPr>
                <w:rFonts w:ascii="Times New Roman" w:hAnsi="Times New Roman"/>
              </w:rPr>
            </w:pPr>
          </w:p>
          <w:p w14:paraId="5C49CB81" w14:textId="77777777" w:rsidR="002B1B54" w:rsidRPr="00996A12" w:rsidRDefault="002B1B54" w:rsidP="002B1B54">
            <w:pPr>
              <w:spacing w:line="240" w:lineRule="auto"/>
              <w:rPr>
                <w:rFonts w:ascii="Times New Roman" w:hAnsi="Times New Roman"/>
                <w:b/>
              </w:rPr>
            </w:pPr>
            <w:r w:rsidRPr="00996A12">
              <w:rPr>
                <w:rFonts w:ascii="Times New Roman" w:hAnsi="Times New Roman"/>
                <w:b/>
              </w:rPr>
              <w:t>Osoba odpowiedzialna za projekt w randze Ministra, Sekretarza Stanu lub Podsekretarza Stanu</w:t>
            </w:r>
          </w:p>
          <w:p w14:paraId="1610FD5D" w14:textId="77777777" w:rsidR="002B1B54" w:rsidRPr="00996A12" w:rsidRDefault="00F86FA6" w:rsidP="002B1B54">
            <w:pPr>
              <w:spacing w:line="240" w:lineRule="auto"/>
              <w:rPr>
                <w:rFonts w:ascii="Times New Roman" w:hAnsi="Times New Roman"/>
              </w:rPr>
            </w:pPr>
            <w:r w:rsidRPr="00996A12">
              <w:rPr>
                <w:rFonts w:ascii="Times New Roman" w:hAnsi="Times New Roman"/>
              </w:rPr>
              <w:t>Tomasz Chróstny</w:t>
            </w:r>
          </w:p>
          <w:p w14:paraId="24D4A909" w14:textId="77777777" w:rsidR="002B1B54" w:rsidRPr="00996A12" w:rsidRDefault="002B1B54" w:rsidP="002B1B54">
            <w:pPr>
              <w:spacing w:line="240" w:lineRule="auto"/>
              <w:rPr>
                <w:rFonts w:ascii="Times New Roman" w:hAnsi="Times New Roman"/>
                <w:b/>
              </w:rPr>
            </w:pPr>
            <w:r w:rsidRPr="00996A12">
              <w:rPr>
                <w:rFonts w:ascii="Times New Roman" w:hAnsi="Times New Roman"/>
              </w:rPr>
              <w:t>Prezes Urzędu Ochrony Konkurencji i  Konsumentów</w:t>
            </w:r>
          </w:p>
          <w:p w14:paraId="0D65865B" w14:textId="77777777" w:rsidR="002B1B54" w:rsidRPr="00996A12" w:rsidRDefault="002B1B54" w:rsidP="002B1B54">
            <w:pPr>
              <w:spacing w:before="120" w:line="240" w:lineRule="auto"/>
              <w:ind w:hanging="45"/>
              <w:rPr>
                <w:rFonts w:ascii="Times New Roman" w:hAnsi="Times New Roman"/>
                <w:b/>
                <w:color w:val="000000"/>
              </w:rPr>
            </w:pPr>
            <w:r w:rsidRPr="00996A12">
              <w:rPr>
                <w:rFonts w:ascii="Times New Roman" w:hAnsi="Times New Roman"/>
                <w:b/>
                <w:color w:val="000000"/>
              </w:rPr>
              <w:t>Kontakt do opiekuna merytorycznego projektu</w:t>
            </w:r>
          </w:p>
          <w:p w14:paraId="0ADFFA7F" w14:textId="77777777" w:rsidR="002B1B54" w:rsidRPr="00996A12" w:rsidRDefault="002B1B54" w:rsidP="002B1B54">
            <w:pPr>
              <w:spacing w:line="240" w:lineRule="auto"/>
              <w:ind w:hanging="34"/>
              <w:rPr>
                <w:rFonts w:ascii="Times New Roman" w:hAnsi="Times New Roman"/>
              </w:rPr>
            </w:pPr>
            <w:r w:rsidRPr="00996A12">
              <w:rPr>
                <w:rFonts w:ascii="Times New Roman" w:hAnsi="Times New Roman"/>
              </w:rPr>
              <w:t xml:space="preserve">Izabela Szewczyk –Krzyżanowska </w:t>
            </w:r>
          </w:p>
          <w:p w14:paraId="4D999EC5" w14:textId="77777777" w:rsidR="002B1B54" w:rsidRPr="00996A12" w:rsidRDefault="002B1B54" w:rsidP="002B1B54">
            <w:pPr>
              <w:spacing w:line="240" w:lineRule="auto"/>
              <w:ind w:hanging="34"/>
              <w:rPr>
                <w:rFonts w:ascii="Times New Roman" w:hAnsi="Times New Roman"/>
                <w:color w:val="000000"/>
              </w:rPr>
            </w:pPr>
            <w:r w:rsidRPr="00996A12">
              <w:rPr>
                <w:rFonts w:ascii="Times New Roman" w:hAnsi="Times New Roman"/>
                <w:color w:val="000000"/>
              </w:rPr>
              <w:t xml:space="preserve">Dyrektor </w:t>
            </w:r>
          </w:p>
          <w:p w14:paraId="196CD418" w14:textId="77777777" w:rsidR="002B1B54" w:rsidRPr="00996A12" w:rsidRDefault="002B1B54" w:rsidP="002B1B54">
            <w:pPr>
              <w:spacing w:line="240" w:lineRule="auto"/>
              <w:ind w:hanging="34"/>
              <w:rPr>
                <w:rFonts w:ascii="Times New Roman" w:hAnsi="Times New Roman"/>
                <w:color w:val="000000"/>
              </w:rPr>
            </w:pPr>
            <w:r w:rsidRPr="00996A12">
              <w:rPr>
                <w:rFonts w:ascii="Times New Roman" w:hAnsi="Times New Roman"/>
                <w:color w:val="000000"/>
              </w:rPr>
              <w:t>Departament</w:t>
            </w:r>
            <w:r w:rsidR="00CF75B5" w:rsidRPr="00996A12">
              <w:rPr>
                <w:rFonts w:ascii="Times New Roman" w:hAnsi="Times New Roman"/>
                <w:color w:val="000000"/>
              </w:rPr>
              <w:t>u</w:t>
            </w:r>
            <w:r w:rsidRPr="00996A12">
              <w:rPr>
                <w:rFonts w:ascii="Times New Roman" w:hAnsi="Times New Roman"/>
                <w:color w:val="000000"/>
              </w:rPr>
              <w:t xml:space="preserve"> Ochrony </w:t>
            </w:r>
            <w:r w:rsidR="00CF75B5" w:rsidRPr="00996A12">
              <w:rPr>
                <w:rFonts w:ascii="Times New Roman" w:hAnsi="Times New Roman"/>
                <w:color w:val="000000"/>
              </w:rPr>
              <w:t xml:space="preserve">Zbiorowych </w:t>
            </w:r>
            <w:r w:rsidRPr="00996A12">
              <w:rPr>
                <w:rFonts w:ascii="Times New Roman" w:hAnsi="Times New Roman"/>
                <w:color w:val="000000"/>
              </w:rPr>
              <w:t>Interesów Konsumentów UOKIK</w:t>
            </w:r>
          </w:p>
          <w:p w14:paraId="7F115F1A" w14:textId="77777777" w:rsidR="002B1B54" w:rsidRPr="00996A12" w:rsidRDefault="002B1B54" w:rsidP="002B1B54">
            <w:pPr>
              <w:spacing w:line="240" w:lineRule="auto"/>
              <w:ind w:hanging="34"/>
              <w:rPr>
                <w:rFonts w:ascii="Times New Roman" w:hAnsi="Times New Roman"/>
                <w:lang w:val="en-US"/>
              </w:rPr>
            </w:pPr>
            <w:r w:rsidRPr="00996A12">
              <w:rPr>
                <w:rFonts w:ascii="Times New Roman" w:hAnsi="Times New Roman"/>
                <w:lang w:val="en-US"/>
              </w:rPr>
              <w:t>tel. 22 55 60 424</w:t>
            </w:r>
          </w:p>
          <w:p w14:paraId="587A6619" w14:textId="77777777" w:rsidR="002B1B54" w:rsidRPr="00996A12" w:rsidRDefault="003469A4" w:rsidP="002B1B54">
            <w:pPr>
              <w:spacing w:line="240" w:lineRule="auto"/>
              <w:ind w:hanging="34"/>
              <w:rPr>
                <w:rStyle w:val="Hipercze"/>
                <w:rFonts w:ascii="Times New Roman" w:hAnsi="Times New Roman"/>
                <w:lang w:val="en-US"/>
              </w:rPr>
            </w:pPr>
            <w:hyperlink r:id="rId8" w:history="1">
              <w:r w:rsidR="002B1B54" w:rsidRPr="00996A12">
                <w:rPr>
                  <w:rStyle w:val="Hipercze"/>
                  <w:rFonts w:ascii="Times New Roman" w:hAnsi="Times New Roman"/>
                  <w:lang w:val="en-US"/>
                </w:rPr>
                <w:t>izabela.szewczyk-krzyzanowska@uokik.gov.pl</w:t>
              </w:r>
            </w:hyperlink>
          </w:p>
          <w:p w14:paraId="6AABBE72" w14:textId="77777777" w:rsidR="002B1B54" w:rsidRPr="00996A12" w:rsidRDefault="002B1B54" w:rsidP="002B1B54">
            <w:pPr>
              <w:spacing w:line="240" w:lineRule="auto"/>
              <w:rPr>
                <w:rFonts w:ascii="Times New Roman" w:hAnsi="Times New Roman"/>
                <w:color w:val="000000"/>
                <w:lang w:val="en-US"/>
              </w:rPr>
            </w:pPr>
          </w:p>
          <w:p w14:paraId="59B614CC" w14:textId="77777777" w:rsidR="002B1B54" w:rsidRPr="00996A12" w:rsidRDefault="00F86FA6" w:rsidP="002B1B54">
            <w:pPr>
              <w:spacing w:line="240" w:lineRule="auto"/>
              <w:ind w:hanging="34"/>
              <w:rPr>
                <w:rFonts w:ascii="Times New Roman" w:hAnsi="Times New Roman"/>
              </w:rPr>
            </w:pPr>
            <w:r w:rsidRPr="00996A12">
              <w:rPr>
                <w:rFonts w:ascii="Times New Roman" w:hAnsi="Times New Roman"/>
              </w:rPr>
              <w:t>Lidia Persson</w:t>
            </w:r>
          </w:p>
          <w:p w14:paraId="3948B9D7" w14:textId="77777777" w:rsidR="002B1B54" w:rsidRPr="00E760EB" w:rsidRDefault="00F86FA6" w:rsidP="002B1B54">
            <w:pPr>
              <w:spacing w:line="240" w:lineRule="auto"/>
              <w:ind w:hanging="34"/>
              <w:rPr>
                <w:rFonts w:ascii="Times New Roman" w:hAnsi="Times New Roman"/>
              </w:rPr>
            </w:pPr>
            <w:r w:rsidRPr="00E760EB">
              <w:rPr>
                <w:rFonts w:ascii="Times New Roman" w:hAnsi="Times New Roman"/>
              </w:rPr>
              <w:t>Naczelnik</w:t>
            </w:r>
          </w:p>
          <w:p w14:paraId="360E3DE1" w14:textId="77777777" w:rsidR="002B1B54" w:rsidRPr="00E760EB" w:rsidRDefault="002B1B54" w:rsidP="002B1B54">
            <w:pPr>
              <w:spacing w:line="240" w:lineRule="auto"/>
              <w:ind w:hanging="34"/>
              <w:rPr>
                <w:rFonts w:ascii="Times New Roman" w:hAnsi="Times New Roman"/>
              </w:rPr>
            </w:pPr>
            <w:r w:rsidRPr="00E760EB">
              <w:rPr>
                <w:rFonts w:ascii="Times New Roman" w:hAnsi="Times New Roman"/>
              </w:rPr>
              <w:t xml:space="preserve">w Departamencie Ochrony </w:t>
            </w:r>
            <w:r w:rsidR="00CF75B5" w:rsidRPr="00E760EB">
              <w:rPr>
                <w:rFonts w:ascii="Times New Roman" w:hAnsi="Times New Roman"/>
              </w:rPr>
              <w:t xml:space="preserve">Zbiorowych </w:t>
            </w:r>
            <w:r w:rsidRPr="00E760EB">
              <w:rPr>
                <w:rFonts w:ascii="Times New Roman" w:hAnsi="Times New Roman"/>
              </w:rPr>
              <w:t>Interesów Konsumentów UOKiK</w:t>
            </w:r>
          </w:p>
          <w:p w14:paraId="5B68B33C" w14:textId="63E8E804" w:rsidR="002B1B54" w:rsidRPr="00E760EB" w:rsidRDefault="002B1B54" w:rsidP="002B1B54">
            <w:pPr>
              <w:spacing w:line="240" w:lineRule="auto"/>
              <w:ind w:hanging="34"/>
              <w:rPr>
                <w:rFonts w:ascii="Times New Roman" w:hAnsi="Times New Roman"/>
                <w:lang w:val="de-DE"/>
              </w:rPr>
            </w:pPr>
            <w:r w:rsidRPr="00E760EB">
              <w:rPr>
                <w:rFonts w:ascii="Times New Roman" w:hAnsi="Times New Roman"/>
                <w:lang w:val="de-DE"/>
              </w:rPr>
              <w:t>tel. 22 55 60 </w:t>
            </w:r>
            <w:r w:rsidR="006D3979" w:rsidRPr="00E760EB">
              <w:rPr>
                <w:rFonts w:ascii="Times New Roman" w:hAnsi="Times New Roman"/>
                <w:lang w:val="de-DE"/>
              </w:rPr>
              <w:t>417</w:t>
            </w:r>
          </w:p>
          <w:p w14:paraId="5AB0DE1C" w14:textId="77777777" w:rsidR="002B1B54" w:rsidRPr="00E760EB" w:rsidRDefault="003469A4" w:rsidP="002B1B54">
            <w:pPr>
              <w:spacing w:line="240" w:lineRule="auto"/>
              <w:ind w:hanging="34"/>
              <w:rPr>
                <w:rStyle w:val="Hipercze"/>
                <w:rFonts w:ascii="Times New Roman" w:hAnsi="Times New Roman"/>
                <w:lang w:val="de-DE"/>
              </w:rPr>
            </w:pPr>
            <w:hyperlink r:id="rId9" w:history="1">
              <w:r w:rsidR="00F86FA6" w:rsidRPr="00E760EB">
                <w:rPr>
                  <w:rStyle w:val="Hipercze"/>
                  <w:rFonts w:ascii="Times New Roman" w:hAnsi="Times New Roman"/>
                  <w:lang w:val="de-DE"/>
                </w:rPr>
                <w:t>lidia.persson@uokik.gov.pl</w:t>
              </w:r>
            </w:hyperlink>
          </w:p>
          <w:p w14:paraId="4E45C5CB" w14:textId="77777777" w:rsidR="00F86FA6" w:rsidRPr="00E760EB" w:rsidRDefault="00F86FA6" w:rsidP="002B1B54">
            <w:pPr>
              <w:spacing w:line="240" w:lineRule="auto"/>
              <w:ind w:hanging="34"/>
              <w:rPr>
                <w:rStyle w:val="Hipercze"/>
                <w:rFonts w:ascii="Times New Roman" w:hAnsi="Times New Roman"/>
                <w:lang w:val="de-DE"/>
              </w:rPr>
            </w:pPr>
          </w:p>
          <w:p w14:paraId="65C1CC9E" w14:textId="77777777" w:rsidR="00F86FA6" w:rsidRPr="00E760EB" w:rsidRDefault="00F86FA6" w:rsidP="00F86FA6">
            <w:pPr>
              <w:spacing w:line="240" w:lineRule="auto"/>
              <w:ind w:hanging="34"/>
              <w:rPr>
                <w:rFonts w:ascii="Times New Roman" w:hAnsi="Times New Roman"/>
              </w:rPr>
            </w:pPr>
            <w:r w:rsidRPr="00E760EB">
              <w:rPr>
                <w:rFonts w:ascii="Times New Roman" w:hAnsi="Times New Roman"/>
              </w:rPr>
              <w:t>Magdalena Sobczyńska</w:t>
            </w:r>
          </w:p>
          <w:p w14:paraId="56D3BB5D" w14:textId="77777777" w:rsidR="00F86FA6" w:rsidRPr="00E760EB" w:rsidRDefault="00F86FA6" w:rsidP="00F86FA6">
            <w:pPr>
              <w:spacing w:line="240" w:lineRule="auto"/>
              <w:ind w:hanging="34"/>
              <w:rPr>
                <w:rFonts w:ascii="Times New Roman" w:hAnsi="Times New Roman"/>
              </w:rPr>
            </w:pPr>
            <w:r w:rsidRPr="00E760EB">
              <w:rPr>
                <w:rFonts w:ascii="Times New Roman" w:hAnsi="Times New Roman"/>
              </w:rPr>
              <w:t xml:space="preserve">główny specjalista ds. legislacji </w:t>
            </w:r>
          </w:p>
          <w:p w14:paraId="13C7C331" w14:textId="77777777" w:rsidR="00F86FA6" w:rsidRPr="00E760EB" w:rsidRDefault="00F86FA6" w:rsidP="00F86FA6">
            <w:pPr>
              <w:spacing w:line="240" w:lineRule="auto"/>
              <w:ind w:hanging="34"/>
              <w:rPr>
                <w:rFonts w:ascii="Times New Roman" w:hAnsi="Times New Roman"/>
              </w:rPr>
            </w:pPr>
            <w:r w:rsidRPr="00E760EB">
              <w:rPr>
                <w:rFonts w:ascii="Times New Roman" w:hAnsi="Times New Roman"/>
              </w:rPr>
              <w:t>w Departamencie Ochrony Zbiorowych Interesów Konsumentów UOKiK</w:t>
            </w:r>
          </w:p>
          <w:p w14:paraId="7197F18F" w14:textId="77777777" w:rsidR="00F86FA6" w:rsidRPr="00E760EB" w:rsidRDefault="00F86FA6" w:rsidP="00F86FA6">
            <w:pPr>
              <w:spacing w:line="240" w:lineRule="auto"/>
              <w:ind w:hanging="34"/>
              <w:rPr>
                <w:rFonts w:ascii="Times New Roman" w:hAnsi="Times New Roman"/>
                <w:lang w:val="de-DE"/>
              </w:rPr>
            </w:pPr>
            <w:r w:rsidRPr="00E760EB">
              <w:rPr>
                <w:rFonts w:ascii="Times New Roman" w:hAnsi="Times New Roman"/>
                <w:lang w:val="de-DE"/>
              </w:rPr>
              <w:t>tel. 22 55 60 156</w:t>
            </w:r>
          </w:p>
          <w:p w14:paraId="6D1AF514" w14:textId="77777777" w:rsidR="00F86FA6" w:rsidRPr="00E760EB" w:rsidRDefault="003469A4" w:rsidP="00F86FA6">
            <w:pPr>
              <w:spacing w:line="240" w:lineRule="auto"/>
              <w:ind w:hanging="34"/>
              <w:rPr>
                <w:rStyle w:val="Hipercze"/>
                <w:rFonts w:ascii="Times New Roman" w:hAnsi="Times New Roman"/>
                <w:lang w:val="en-US"/>
              </w:rPr>
            </w:pPr>
            <w:hyperlink r:id="rId10" w:history="1">
              <w:r w:rsidR="00F86FA6" w:rsidRPr="00E760EB">
                <w:rPr>
                  <w:rStyle w:val="Hipercze"/>
                  <w:rFonts w:ascii="Times New Roman" w:hAnsi="Times New Roman"/>
                  <w:lang w:val="en-US"/>
                </w:rPr>
                <w:t>magdalena.sobczynska@uokik.gov.pl</w:t>
              </w:r>
            </w:hyperlink>
          </w:p>
          <w:p w14:paraId="3E390377" w14:textId="77777777" w:rsidR="00365D28" w:rsidRPr="00E760EB" w:rsidRDefault="00365D28" w:rsidP="00F86FA6">
            <w:pPr>
              <w:spacing w:line="240" w:lineRule="auto"/>
              <w:ind w:hanging="34"/>
              <w:rPr>
                <w:rStyle w:val="Hipercze"/>
                <w:rFonts w:ascii="Times New Roman" w:hAnsi="Times New Roman"/>
                <w:lang w:val="en-US"/>
              </w:rPr>
            </w:pPr>
          </w:p>
          <w:p w14:paraId="2C46C82B" w14:textId="7919C3D5" w:rsidR="00365D28" w:rsidRPr="00E760EB" w:rsidRDefault="00901B58" w:rsidP="00F86FA6">
            <w:pPr>
              <w:spacing w:line="240" w:lineRule="auto"/>
              <w:ind w:hanging="34"/>
              <w:rPr>
                <w:rStyle w:val="Hipercze"/>
                <w:rFonts w:ascii="Times New Roman" w:hAnsi="Times New Roman"/>
                <w:color w:val="auto"/>
                <w:u w:val="none"/>
              </w:rPr>
            </w:pPr>
            <w:r w:rsidRPr="00E760EB">
              <w:rPr>
                <w:rStyle w:val="Hipercze"/>
                <w:rFonts w:ascii="Times New Roman" w:hAnsi="Times New Roman"/>
                <w:color w:val="auto"/>
                <w:u w:val="none"/>
              </w:rPr>
              <w:t>Jadwiga Teklak-Białek</w:t>
            </w:r>
          </w:p>
          <w:p w14:paraId="560EFCB6" w14:textId="15426FC1" w:rsidR="00E760EB" w:rsidRPr="00E760EB" w:rsidRDefault="00E760EB" w:rsidP="00365D28">
            <w:pPr>
              <w:spacing w:line="240" w:lineRule="auto"/>
              <w:ind w:hanging="34"/>
              <w:rPr>
                <w:rStyle w:val="Hipercze"/>
                <w:rFonts w:ascii="Times New Roman" w:hAnsi="Times New Roman"/>
                <w:color w:val="auto"/>
                <w:u w:val="none"/>
              </w:rPr>
            </w:pPr>
            <w:r w:rsidRPr="00E760EB">
              <w:rPr>
                <w:rStyle w:val="Hipercze"/>
                <w:rFonts w:ascii="Times New Roman" w:hAnsi="Times New Roman"/>
                <w:color w:val="auto"/>
                <w:u w:val="none"/>
              </w:rPr>
              <w:t>r</w:t>
            </w:r>
            <w:r w:rsidR="00901B58" w:rsidRPr="00E760EB">
              <w:rPr>
                <w:rStyle w:val="Hipercze"/>
                <w:rFonts w:ascii="Times New Roman" w:hAnsi="Times New Roman"/>
                <w:color w:val="auto"/>
                <w:u w:val="none"/>
              </w:rPr>
              <w:t>adca prezesa</w:t>
            </w:r>
          </w:p>
          <w:bookmarkEnd w:id="0"/>
          <w:p w14:paraId="0AC2EFF3" w14:textId="389C6C83" w:rsidR="00365D28" w:rsidRPr="00E760EB" w:rsidRDefault="00365D28" w:rsidP="00365D28">
            <w:pPr>
              <w:spacing w:line="240" w:lineRule="auto"/>
              <w:ind w:hanging="34"/>
              <w:rPr>
                <w:rFonts w:ascii="Times New Roman" w:hAnsi="Times New Roman"/>
                <w:color w:val="000000"/>
              </w:rPr>
            </w:pPr>
            <w:r w:rsidRPr="00E760EB">
              <w:rPr>
                <w:rFonts w:ascii="Times New Roman" w:hAnsi="Times New Roman"/>
                <w:color w:val="000000"/>
              </w:rPr>
              <w:t>w Departamencie Ochrony Zbiorowych Interesów Konsumentów UOKiK</w:t>
            </w:r>
          </w:p>
          <w:p w14:paraId="737BEFA0" w14:textId="1D520C6B" w:rsidR="00365D28" w:rsidRPr="00E760EB" w:rsidRDefault="00365D28" w:rsidP="00365D28">
            <w:pPr>
              <w:spacing w:line="240" w:lineRule="auto"/>
              <w:ind w:hanging="34"/>
              <w:rPr>
                <w:rFonts w:ascii="Times New Roman" w:hAnsi="Times New Roman"/>
                <w:color w:val="000000"/>
                <w:lang w:val="de-DE"/>
              </w:rPr>
            </w:pPr>
            <w:r w:rsidRPr="00E760EB">
              <w:rPr>
                <w:rFonts w:ascii="Times New Roman" w:hAnsi="Times New Roman"/>
                <w:color w:val="000000"/>
                <w:lang w:val="de-DE"/>
              </w:rPr>
              <w:t>tel. 22 55 60 15</w:t>
            </w:r>
            <w:r w:rsidR="00901B58" w:rsidRPr="00E760EB">
              <w:rPr>
                <w:rFonts w:ascii="Times New Roman" w:hAnsi="Times New Roman"/>
                <w:color w:val="000000"/>
                <w:lang w:val="de-DE"/>
              </w:rPr>
              <w:t>6</w:t>
            </w:r>
          </w:p>
          <w:p w14:paraId="68A8C617" w14:textId="1D6A8642" w:rsidR="00901B58" w:rsidRPr="00E760EB" w:rsidRDefault="003469A4" w:rsidP="00365D28">
            <w:pPr>
              <w:spacing w:line="240" w:lineRule="auto"/>
              <w:ind w:hanging="34"/>
              <w:rPr>
                <w:rFonts w:ascii="Times New Roman" w:hAnsi="Times New Roman"/>
                <w:color w:val="000000"/>
                <w:lang w:val="de-DE"/>
              </w:rPr>
            </w:pPr>
            <w:hyperlink r:id="rId11" w:history="1">
              <w:r w:rsidR="00901B58" w:rsidRPr="00E760EB">
                <w:rPr>
                  <w:rStyle w:val="Hipercze"/>
                  <w:rFonts w:ascii="Times New Roman" w:hAnsi="Times New Roman"/>
                  <w:lang w:val="de-DE"/>
                </w:rPr>
                <w:t>jadwiga.teklak@uokik.gov.pl</w:t>
              </w:r>
            </w:hyperlink>
            <w:r w:rsidR="00901B58" w:rsidRPr="00E760EB">
              <w:rPr>
                <w:rFonts w:ascii="Times New Roman" w:hAnsi="Times New Roman"/>
                <w:color w:val="000000"/>
                <w:lang w:val="de-DE"/>
              </w:rPr>
              <w:t xml:space="preserve"> </w:t>
            </w:r>
          </w:p>
          <w:p w14:paraId="74A4CFB9" w14:textId="45F611C7" w:rsidR="006A701A" w:rsidRPr="00996A12" w:rsidRDefault="006A701A" w:rsidP="00F55CB1">
            <w:pPr>
              <w:spacing w:line="240" w:lineRule="auto"/>
              <w:ind w:hanging="34"/>
              <w:rPr>
                <w:rFonts w:ascii="Times New Roman" w:hAnsi="Times New Roman"/>
                <w:color w:val="000000"/>
                <w:lang w:val="en-GB"/>
              </w:rPr>
            </w:pPr>
          </w:p>
        </w:tc>
        <w:tc>
          <w:tcPr>
            <w:tcW w:w="4233" w:type="dxa"/>
            <w:gridSpan w:val="12"/>
            <w:shd w:val="clear" w:color="auto" w:fill="FFFFFF"/>
          </w:tcPr>
          <w:p w14:paraId="71C1DD1F" w14:textId="77777777" w:rsidR="00F86FA6" w:rsidRPr="00996A12" w:rsidRDefault="002B1B54" w:rsidP="002B1B54">
            <w:pPr>
              <w:spacing w:line="240" w:lineRule="auto"/>
              <w:rPr>
                <w:rFonts w:ascii="Times New Roman" w:hAnsi="Times New Roman"/>
                <w:b/>
              </w:rPr>
            </w:pPr>
            <w:r w:rsidRPr="00996A12">
              <w:rPr>
                <w:rFonts w:ascii="Times New Roman" w:hAnsi="Times New Roman"/>
                <w:b/>
              </w:rPr>
              <w:t>Data sporządzenia</w:t>
            </w:r>
            <w:r w:rsidR="00F86FA6" w:rsidRPr="00996A12">
              <w:rPr>
                <w:rFonts w:ascii="Times New Roman" w:hAnsi="Times New Roman"/>
                <w:b/>
              </w:rPr>
              <w:t>:</w:t>
            </w:r>
          </w:p>
          <w:p w14:paraId="354CE446" w14:textId="491388F3" w:rsidR="002B1B54" w:rsidRPr="00996A12" w:rsidRDefault="007331D9" w:rsidP="002B1B54">
            <w:pPr>
              <w:spacing w:line="240" w:lineRule="auto"/>
              <w:rPr>
                <w:rFonts w:ascii="Times New Roman" w:hAnsi="Times New Roman"/>
                <w:b/>
              </w:rPr>
            </w:pPr>
            <w:r w:rsidRPr="00996A12">
              <w:rPr>
                <w:rFonts w:ascii="Times New Roman" w:hAnsi="Times New Roman"/>
                <w:b/>
              </w:rPr>
              <w:t>29.06.</w:t>
            </w:r>
            <w:r w:rsidR="00AA3468" w:rsidRPr="00996A12">
              <w:rPr>
                <w:rFonts w:ascii="Times New Roman" w:hAnsi="Times New Roman"/>
                <w:b/>
              </w:rPr>
              <w:t>2021</w:t>
            </w:r>
            <w:r w:rsidR="002B1B54" w:rsidRPr="00996A12">
              <w:rPr>
                <w:rFonts w:ascii="Times New Roman" w:hAnsi="Times New Roman"/>
                <w:b/>
              </w:rPr>
              <w:br/>
            </w:r>
          </w:p>
          <w:p w14:paraId="61DE2E90" w14:textId="77777777" w:rsidR="002B1B54" w:rsidRPr="00996A12" w:rsidRDefault="002B1B54" w:rsidP="002B1B54">
            <w:pPr>
              <w:spacing w:line="240" w:lineRule="auto"/>
              <w:rPr>
                <w:rFonts w:ascii="Times New Roman" w:hAnsi="Times New Roman"/>
                <w:b/>
              </w:rPr>
            </w:pPr>
          </w:p>
          <w:p w14:paraId="23AD420D" w14:textId="77777777" w:rsidR="002B1B54" w:rsidRPr="00996A12" w:rsidRDefault="002B1B54" w:rsidP="002B1B54">
            <w:pPr>
              <w:spacing w:line="240" w:lineRule="auto"/>
              <w:rPr>
                <w:rFonts w:ascii="Times New Roman" w:hAnsi="Times New Roman"/>
                <w:b/>
              </w:rPr>
            </w:pPr>
            <w:r w:rsidRPr="00996A12">
              <w:rPr>
                <w:rFonts w:ascii="Times New Roman" w:hAnsi="Times New Roman"/>
                <w:b/>
              </w:rPr>
              <w:t xml:space="preserve">Źródło: </w:t>
            </w:r>
          </w:p>
          <w:sdt>
            <w:sdtPr>
              <w:rPr>
                <w:rFonts w:ascii="Times New Roman" w:hAnsi="Times New Roman"/>
              </w:rPr>
              <w:id w:val="-732225327"/>
              <w:placeholder>
                <w:docPart w:val="0E38A923326E4CFD8C5EB0CCF6CCED93"/>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48CBAA3D" w14:textId="77777777" w:rsidR="002B1B54" w:rsidRPr="00996A12" w:rsidRDefault="00A70D66" w:rsidP="002B1B54">
                <w:pPr>
                  <w:spacing w:line="240" w:lineRule="auto"/>
                  <w:rPr>
                    <w:rFonts w:ascii="Times New Roman" w:hAnsi="Times New Roman"/>
                  </w:rPr>
                </w:pPr>
                <w:r w:rsidRPr="00996A12">
                  <w:rPr>
                    <w:rFonts w:ascii="Times New Roman" w:hAnsi="Times New Roman"/>
                  </w:rPr>
                  <w:t>Prawo UE</w:t>
                </w:r>
              </w:p>
            </w:sdtContent>
          </w:sdt>
          <w:p w14:paraId="484EC4DF" w14:textId="77777777" w:rsidR="002B1B54" w:rsidRPr="00996A12" w:rsidRDefault="002B1B54" w:rsidP="002B1B54">
            <w:pPr>
              <w:spacing w:line="240" w:lineRule="auto"/>
              <w:rPr>
                <w:rFonts w:ascii="Times New Roman" w:hAnsi="Times New Roman"/>
              </w:rPr>
            </w:pPr>
          </w:p>
          <w:p w14:paraId="10E36945" w14:textId="77777777" w:rsidR="002B1B54" w:rsidRPr="00996A12" w:rsidRDefault="00F86FA6" w:rsidP="002B1B54">
            <w:pPr>
              <w:keepNext/>
              <w:spacing w:before="120" w:after="120"/>
              <w:jc w:val="both"/>
              <w:rPr>
                <w:rFonts w:ascii="Times New Roman" w:hAnsi="Times New Roman"/>
              </w:rPr>
            </w:pPr>
            <w:r w:rsidRPr="00996A12">
              <w:rPr>
                <w:rFonts w:ascii="Times New Roman" w:hAnsi="Times New Roman"/>
              </w:rPr>
              <w:t xml:space="preserve">Dyrektywa Parlamentu Europejskiego i Rady </w:t>
            </w:r>
            <w:r w:rsidRPr="00996A12">
              <w:rPr>
                <w:rFonts w:ascii="Times New Roman" w:hAnsi="Times New Roman"/>
                <w:b/>
              </w:rPr>
              <w:t xml:space="preserve"> </w:t>
            </w:r>
            <w:r w:rsidRPr="00996A12">
              <w:rPr>
                <w:rFonts w:ascii="Times New Roman" w:hAnsi="Times New Roman"/>
              </w:rPr>
              <w:t>2019/2161 z dnia 27 listopada 2019 r. zmieniającą dyrektywę Rady 93/13/EWG i dyrektywę Parlamentu Europejskiego i Rady 98/6/WE, 2005/29/WE oraz 2011/83/UE w odniesieniu do lepszego egzekwowania i unowocześnienia unijnych przepisów dotyczących ochrony konsumenta (Dz. Urz. UE L 328 z 18.12.2019, str. 7).</w:t>
            </w:r>
          </w:p>
          <w:p w14:paraId="7F4A2FC3" w14:textId="77777777" w:rsidR="002B1B54" w:rsidRPr="00996A12" w:rsidRDefault="002B1B54" w:rsidP="002B1B54">
            <w:pPr>
              <w:spacing w:line="240" w:lineRule="auto"/>
              <w:jc w:val="both"/>
              <w:rPr>
                <w:rFonts w:ascii="Times New Roman" w:hAnsi="Times New Roman"/>
                <w:b/>
              </w:rPr>
            </w:pPr>
          </w:p>
          <w:p w14:paraId="5C1758C7" w14:textId="77777777" w:rsidR="002B1B54" w:rsidRPr="00996A12" w:rsidRDefault="002B1B54" w:rsidP="002B1B54">
            <w:pPr>
              <w:spacing w:line="240" w:lineRule="auto"/>
              <w:rPr>
                <w:rFonts w:ascii="Times New Roman" w:hAnsi="Times New Roman"/>
              </w:rPr>
            </w:pPr>
          </w:p>
          <w:p w14:paraId="568F36DD" w14:textId="77777777" w:rsidR="007331D9" w:rsidRPr="00996A12" w:rsidRDefault="002B1B54" w:rsidP="00A35AA8">
            <w:pPr>
              <w:spacing w:before="120" w:line="240" w:lineRule="auto"/>
              <w:rPr>
                <w:rFonts w:ascii="Times New Roman" w:hAnsi="Times New Roman"/>
                <w:b/>
                <w:color w:val="000000"/>
              </w:rPr>
            </w:pPr>
            <w:r w:rsidRPr="00996A12">
              <w:rPr>
                <w:rFonts w:ascii="Times New Roman" w:hAnsi="Times New Roman"/>
                <w:b/>
                <w:color w:val="000000"/>
              </w:rPr>
              <w:t>Nr w wykazie prac</w:t>
            </w:r>
            <w:r w:rsidR="007331D9" w:rsidRPr="00996A12">
              <w:rPr>
                <w:rFonts w:ascii="Times New Roman" w:hAnsi="Times New Roman"/>
                <w:b/>
                <w:color w:val="000000"/>
              </w:rPr>
              <w:t>:</w:t>
            </w:r>
          </w:p>
          <w:p w14:paraId="06B5BDC3" w14:textId="26D9FE8A" w:rsidR="002B1B54" w:rsidRPr="00996A12" w:rsidRDefault="007331D9" w:rsidP="00A35AA8">
            <w:pPr>
              <w:spacing w:before="120" w:line="240" w:lineRule="auto"/>
              <w:rPr>
                <w:rFonts w:ascii="Times New Roman" w:hAnsi="Times New Roman"/>
                <w:color w:val="000000"/>
              </w:rPr>
            </w:pPr>
            <w:r w:rsidRPr="00996A12">
              <w:rPr>
                <w:rFonts w:ascii="Times New Roman" w:hAnsi="Times New Roman"/>
                <w:b/>
                <w:color w:val="000000"/>
              </w:rPr>
              <w:t>UC86</w:t>
            </w:r>
            <w:r w:rsidR="002B1B54" w:rsidRPr="00996A12">
              <w:rPr>
                <w:rFonts w:ascii="Times New Roman" w:hAnsi="Times New Roman"/>
                <w:b/>
                <w:color w:val="000000"/>
              </w:rPr>
              <w:t xml:space="preserve"> </w:t>
            </w:r>
          </w:p>
          <w:p w14:paraId="053D91CC" w14:textId="77777777" w:rsidR="006A701A" w:rsidRPr="00996A12" w:rsidRDefault="006A701A" w:rsidP="00A17CB2">
            <w:pPr>
              <w:spacing w:line="240" w:lineRule="auto"/>
              <w:rPr>
                <w:rFonts w:ascii="Times New Roman" w:hAnsi="Times New Roman"/>
                <w:color w:val="000000"/>
              </w:rPr>
            </w:pPr>
          </w:p>
        </w:tc>
      </w:tr>
      <w:tr w:rsidR="006A701A" w:rsidRPr="00996A12" w14:paraId="4FC8B4A7" w14:textId="77777777" w:rsidTr="00196538">
        <w:trPr>
          <w:trHeight w:val="142"/>
        </w:trPr>
        <w:tc>
          <w:tcPr>
            <w:tcW w:w="10803" w:type="dxa"/>
            <w:gridSpan w:val="28"/>
            <w:shd w:val="clear" w:color="auto" w:fill="99CCFF"/>
          </w:tcPr>
          <w:p w14:paraId="27ED259D" w14:textId="77777777" w:rsidR="006A701A" w:rsidRPr="00996A12" w:rsidRDefault="006A701A" w:rsidP="001B4CA1">
            <w:pPr>
              <w:spacing w:line="240" w:lineRule="auto"/>
              <w:ind w:left="57"/>
              <w:jc w:val="center"/>
              <w:rPr>
                <w:rFonts w:ascii="Times New Roman" w:hAnsi="Times New Roman"/>
                <w:b/>
                <w:color w:val="FFFFFF"/>
              </w:rPr>
            </w:pPr>
            <w:r w:rsidRPr="00996A12">
              <w:rPr>
                <w:rFonts w:ascii="Times New Roman" w:hAnsi="Times New Roman"/>
                <w:b/>
                <w:color w:val="FFFFFF"/>
              </w:rPr>
              <w:t>OCENA SKUTKÓW REGULACJI</w:t>
            </w:r>
          </w:p>
        </w:tc>
      </w:tr>
      <w:tr w:rsidR="006A701A" w:rsidRPr="00996A12" w14:paraId="344E6464" w14:textId="77777777" w:rsidTr="00196538">
        <w:trPr>
          <w:trHeight w:val="333"/>
        </w:trPr>
        <w:tc>
          <w:tcPr>
            <w:tcW w:w="10803" w:type="dxa"/>
            <w:gridSpan w:val="28"/>
            <w:shd w:val="clear" w:color="auto" w:fill="99CCFF"/>
            <w:vAlign w:val="center"/>
          </w:tcPr>
          <w:p w14:paraId="61C7427B" w14:textId="77777777" w:rsidR="006A701A" w:rsidRPr="00996A12" w:rsidRDefault="003D12F6" w:rsidP="006A701A">
            <w:pPr>
              <w:numPr>
                <w:ilvl w:val="0"/>
                <w:numId w:val="3"/>
              </w:numPr>
              <w:spacing w:before="60" w:after="60" w:line="240" w:lineRule="auto"/>
              <w:ind w:left="318" w:hanging="284"/>
              <w:jc w:val="both"/>
              <w:rPr>
                <w:rFonts w:ascii="Times New Roman" w:hAnsi="Times New Roman"/>
                <w:b/>
                <w:color w:val="000000"/>
              </w:rPr>
            </w:pPr>
            <w:r w:rsidRPr="00996A12">
              <w:rPr>
                <w:rFonts w:ascii="Times New Roman" w:hAnsi="Times New Roman"/>
                <w:b/>
              </w:rPr>
              <w:t xml:space="preserve">Jaki problem jest </w:t>
            </w:r>
            <w:r w:rsidR="00CC6305" w:rsidRPr="00996A12">
              <w:rPr>
                <w:rFonts w:ascii="Times New Roman" w:hAnsi="Times New Roman"/>
                <w:b/>
              </w:rPr>
              <w:t>rozwiązywany?</w:t>
            </w:r>
            <w:bookmarkStart w:id="2" w:name="Wybór1"/>
            <w:bookmarkEnd w:id="2"/>
          </w:p>
        </w:tc>
      </w:tr>
      <w:tr w:rsidR="006A701A" w:rsidRPr="00996A12" w14:paraId="5781D839" w14:textId="77777777" w:rsidTr="00196538">
        <w:trPr>
          <w:trHeight w:val="142"/>
        </w:trPr>
        <w:tc>
          <w:tcPr>
            <w:tcW w:w="10803" w:type="dxa"/>
            <w:gridSpan w:val="28"/>
            <w:shd w:val="clear" w:color="auto" w:fill="FFFFFF"/>
          </w:tcPr>
          <w:p w14:paraId="3E6E25E6" w14:textId="77777777" w:rsidR="00A00A14" w:rsidRPr="00996A12" w:rsidRDefault="00A00A14" w:rsidP="00BD34C2">
            <w:pPr>
              <w:spacing w:line="240" w:lineRule="auto"/>
              <w:jc w:val="both"/>
              <w:rPr>
                <w:rFonts w:ascii="Times New Roman" w:hAnsi="Times New Roman"/>
                <w:b/>
                <w:color w:val="000000"/>
              </w:rPr>
            </w:pPr>
          </w:p>
          <w:p w14:paraId="22B0ACAB" w14:textId="77777777" w:rsidR="00231FDC" w:rsidRPr="00996A12" w:rsidRDefault="00231FDC" w:rsidP="001F4AD2">
            <w:pPr>
              <w:spacing w:line="240" w:lineRule="auto"/>
              <w:jc w:val="both"/>
              <w:rPr>
                <w:rFonts w:ascii="Times New Roman" w:hAnsi="Times New Roman"/>
                <w:b/>
                <w:color w:val="000000"/>
                <w:lang w:bidi="pl-PL"/>
              </w:rPr>
            </w:pPr>
            <w:r w:rsidRPr="00996A12">
              <w:rPr>
                <w:rFonts w:ascii="Times New Roman" w:hAnsi="Times New Roman"/>
                <w:b/>
                <w:color w:val="000000"/>
                <w:lang w:bidi="pl-PL"/>
              </w:rPr>
              <w:t xml:space="preserve">I. </w:t>
            </w:r>
            <w:r w:rsidR="005004C3" w:rsidRPr="00996A12">
              <w:rPr>
                <w:rFonts w:ascii="Times New Roman" w:hAnsi="Times New Roman"/>
                <w:b/>
                <w:color w:val="000000"/>
                <w:lang w:bidi="pl-PL"/>
              </w:rPr>
              <w:t>Implementacja</w:t>
            </w:r>
            <w:r w:rsidR="008E3524" w:rsidRPr="00996A12">
              <w:rPr>
                <w:rFonts w:ascii="Times New Roman" w:hAnsi="Times New Roman"/>
                <w:b/>
                <w:color w:val="000000"/>
                <w:lang w:bidi="pl-PL"/>
              </w:rPr>
              <w:t xml:space="preserve"> Dyrektywy Parlamentu Europejskiego i Rady  2019/2161 z dnia 27 listopada 2019 r. zmieniająca dyrektywę Rady 93/13/EWG i dyrektywę Parlamentu Europejskiego i Rady 98/6/WE, 2005/29/WE oraz 2011/83/UE w odniesieniu do lepszego egzekwowania i unowocześnienia unijnych przepisów dotyczących ochrony konsumenta</w:t>
            </w:r>
          </w:p>
          <w:p w14:paraId="6EDCD3DD" w14:textId="77777777" w:rsidR="001F4AD2" w:rsidRPr="00996A12" w:rsidRDefault="00DE5954" w:rsidP="001F4AD2">
            <w:pPr>
              <w:spacing w:line="240" w:lineRule="auto"/>
              <w:jc w:val="both"/>
              <w:rPr>
                <w:rFonts w:ascii="Times New Roman" w:hAnsi="Times New Roman"/>
                <w:color w:val="000000"/>
                <w:lang w:bidi="pl-PL"/>
              </w:rPr>
            </w:pPr>
            <w:r w:rsidRPr="00996A12">
              <w:rPr>
                <w:rFonts w:ascii="Times New Roman" w:hAnsi="Times New Roman"/>
                <w:color w:val="000000"/>
                <w:lang w:bidi="pl-PL"/>
              </w:rPr>
              <w:t>Mają</w:t>
            </w:r>
            <w:r w:rsidR="000B005A" w:rsidRPr="00996A12">
              <w:rPr>
                <w:rFonts w:ascii="Times New Roman" w:hAnsi="Times New Roman"/>
                <w:color w:val="000000"/>
                <w:lang w:bidi="pl-PL"/>
              </w:rPr>
              <w:t xml:space="preserve">c na uwadze </w:t>
            </w:r>
            <w:r w:rsidRPr="00996A12">
              <w:rPr>
                <w:rFonts w:ascii="Times New Roman" w:hAnsi="Times New Roman"/>
                <w:color w:val="000000"/>
                <w:lang w:bidi="pl-PL"/>
              </w:rPr>
              <w:t>rozwó</w:t>
            </w:r>
            <w:r w:rsidR="000B005A" w:rsidRPr="00996A12">
              <w:rPr>
                <w:rFonts w:ascii="Times New Roman" w:hAnsi="Times New Roman"/>
                <w:color w:val="000000"/>
                <w:lang w:bidi="pl-PL"/>
              </w:rPr>
              <w:t>j</w:t>
            </w:r>
            <w:r w:rsidRPr="00996A12">
              <w:rPr>
                <w:rFonts w:ascii="Times New Roman" w:hAnsi="Times New Roman"/>
                <w:color w:val="000000"/>
                <w:lang w:bidi="pl-PL"/>
              </w:rPr>
              <w:t xml:space="preserve"> now</w:t>
            </w:r>
            <w:r w:rsidR="000B005A" w:rsidRPr="00996A12">
              <w:rPr>
                <w:rFonts w:ascii="Times New Roman" w:hAnsi="Times New Roman"/>
                <w:color w:val="000000"/>
                <w:lang w:bidi="pl-PL"/>
              </w:rPr>
              <w:t>oczesnych technologii i związaną z nim dynamicznie postępującą cyfryzację</w:t>
            </w:r>
            <w:r w:rsidR="00523E74" w:rsidRPr="00996A12">
              <w:rPr>
                <w:rFonts w:ascii="Times New Roman" w:hAnsi="Times New Roman"/>
                <w:color w:val="000000"/>
                <w:lang w:bidi="pl-PL"/>
              </w:rPr>
              <w:t xml:space="preserve"> gospodarki przekładającą się na możliwość dotarcia do szerokiego grona konsumentów i zaoferowania im nowych, coraz bardziej skomplikowanych usług czy produktów należało dokonać przeglądu przepisów prawa konsumenckiego pod kątem odpowiedniego dostosowania instrumentów ochrony interesów konsumentó</w:t>
            </w:r>
            <w:r w:rsidR="00A927BD" w:rsidRPr="00996A12">
              <w:rPr>
                <w:rFonts w:ascii="Times New Roman" w:hAnsi="Times New Roman"/>
                <w:color w:val="000000"/>
                <w:lang w:bidi="pl-PL"/>
              </w:rPr>
              <w:t>w zwłaszcza w nowych obszarach, w szczególności na rynku cyfrowym.</w:t>
            </w:r>
            <w:r w:rsidR="001F4AD2" w:rsidRPr="00996A12">
              <w:rPr>
                <w:rFonts w:ascii="Times New Roman" w:hAnsi="Times New Roman"/>
                <w:color w:val="000000"/>
                <w:lang w:bidi="pl-PL"/>
              </w:rPr>
              <w:t xml:space="preserve"> Takie zadanie podjęła Komisja Europejska przeprowadzając ocenę funkcjonowania </w:t>
            </w:r>
            <w:r w:rsidRPr="00996A12">
              <w:rPr>
                <w:rFonts w:ascii="Times New Roman" w:hAnsi="Times New Roman"/>
                <w:color w:val="000000"/>
                <w:lang w:bidi="pl-PL"/>
              </w:rPr>
              <w:t xml:space="preserve"> </w:t>
            </w:r>
          </w:p>
          <w:p w14:paraId="28B8CAE2" w14:textId="77777777" w:rsidR="00DE5954" w:rsidRPr="00996A12" w:rsidRDefault="00DE5954" w:rsidP="00BD34C2">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przepisów </w:t>
            </w:r>
            <w:r w:rsidR="001F4AD2" w:rsidRPr="00996A12">
              <w:rPr>
                <w:rFonts w:ascii="Times New Roman" w:hAnsi="Times New Roman"/>
                <w:color w:val="000000"/>
                <w:lang w:bidi="pl-PL"/>
              </w:rPr>
              <w:t xml:space="preserve">w zakresie prawa konsumenckiego </w:t>
            </w:r>
            <w:r w:rsidRPr="00996A12">
              <w:rPr>
                <w:rFonts w:ascii="Times New Roman" w:hAnsi="Times New Roman"/>
                <w:color w:val="000000"/>
                <w:lang w:bidi="pl-PL"/>
              </w:rPr>
              <w:t>i ocen</w:t>
            </w:r>
            <w:r w:rsidR="001F4AD2" w:rsidRPr="00996A12">
              <w:rPr>
                <w:rFonts w:ascii="Times New Roman" w:hAnsi="Times New Roman"/>
                <w:color w:val="000000"/>
                <w:lang w:bidi="pl-PL"/>
              </w:rPr>
              <w:t>ę</w:t>
            </w:r>
            <w:r w:rsidRPr="00996A12">
              <w:rPr>
                <w:rFonts w:ascii="Times New Roman" w:hAnsi="Times New Roman"/>
                <w:color w:val="000000"/>
                <w:lang w:bidi="pl-PL"/>
              </w:rPr>
              <w:t xml:space="preserve"> dyrektywy 2011/83/UE w spraw</w:t>
            </w:r>
            <w:r w:rsidR="001F4AD2" w:rsidRPr="00996A12">
              <w:rPr>
                <w:rFonts w:ascii="Times New Roman" w:hAnsi="Times New Roman"/>
                <w:color w:val="000000"/>
                <w:lang w:bidi="pl-PL"/>
              </w:rPr>
              <w:t xml:space="preserve">ie praw konsumentów. Wynikiem ww. przeglądu było przyjęcie dyrektywy Parlamentu Europejskiego i Rady 2019/2161 z dnia 27 listopada 2019 r. zmieniającej dyrektywę Rady 93/13/EWG i dyrektywę Parlamentu Europejskiego i Rady 98/6/WE, 2005/29/WE oraz </w:t>
            </w:r>
            <w:r w:rsidR="001F4AD2" w:rsidRPr="00996A12">
              <w:rPr>
                <w:rFonts w:ascii="Times New Roman" w:hAnsi="Times New Roman"/>
                <w:color w:val="000000"/>
                <w:lang w:bidi="pl-PL"/>
              </w:rPr>
              <w:lastRenderedPageBreak/>
              <w:t>2011/83/UE w odniesieniu do lepszego egzekwowania i unowocześnienia unijnych przepisów</w:t>
            </w:r>
            <w:r w:rsidR="008E3524" w:rsidRPr="00996A12">
              <w:rPr>
                <w:rFonts w:ascii="Times New Roman" w:hAnsi="Times New Roman"/>
                <w:color w:val="000000"/>
                <w:lang w:bidi="pl-PL"/>
              </w:rPr>
              <w:t xml:space="preserve"> dotyczących ochrony konsumenta, </w:t>
            </w:r>
            <w:r w:rsidR="009535D1" w:rsidRPr="00996A12">
              <w:rPr>
                <w:rFonts w:ascii="Times New Roman" w:hAnsi="Times New Roman"/>
                <w:color w:val="000000"/>
                <w:lang w:bidi="pl-PL"/>
              </w:rPr>
              <w:t>zwanej</w:t>
            </w:r>
            <w:r w:rsidR="008E3524" w:rsidRPr="00996A12">
              <w:rPr>
                <w:rFonts w:ascii="Times New Roman" w:hAnsi="Times New Roman"/>
                <w:color w:val="000000"/>
                <w:lang w:bidi="pl-PL"/>
              </w:rPr>
              <w:t xml:space="preserve"> dalej „dyrektywą „Omnibus”. Ma ona na celu zmianę czterech tytułowych dyrektyw chroniących interesy konsumenta. </w:t>
            </w:r>
          </w:p>
          <w:p w14:paraId="544C14D8" w14:textId="77777777" w:rsidR="008E3524" w:rsidRPr="00996A12" w:rsidRDefault="008E3524" w:rsidP="008E3524">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Państwa członkowskie </w:t>
            </w:r>
            <w:r w:rsidR="009535D1" w:rsidRPr="00996A12">
              <w:rPr>
                <w:rFonts w:ascii="Times New Roman" w:hAnsi="Times New Roman"/>
                <w:color w:val="000000"/>
                <w:lang w:bidi="pl-PL"/>
              </w:rPr>
              <w:t>zostały zobowiązane do przyjęcia przepisów</w:t>
            </w:r>
            <w:r w:rsidRPr="00996A12">
              <w:rPr>
                <w:rFonts w:ascii="Times New Roman" w:hAnsi="Times New Roman"/>
                <w:color w:val="000000"/>
                <w:lang w:bidi="pl-PL"/>
              </w:rPr>
              <w:t xml:space="preserve"> n</w:t>
            </w:r>
            <w:r w:rsidR="009535D1" w:rsidRPr="00996A12">
              <w:rPr>
                <w:rFonts w:ascii="Times New Roman" w:hAnsi="Times New Roman"/>
                <w:color w:val="000000"/>
                <w:lang w:bidi="pl-PL"/>
              </w:rPr>
              <w:t>iezbędnych</w:t>
            </w:r>
            <w:r w:rsidRPr="00996A12">
              <w:rPr>
                <w:rFonts w:ascii="Times New Roman" w:hAnsi="Times New Roman"/>
                <w:color w:val="000000"/>
                <w:lang w:bidi="pl-PL"/>
              </w:rPr>
              <w:t xml:space="preserve"> do wykonania ww. dyrektywy do dnia 28 listopada 2021 r.</w:t>
            </w:r>
            <w:r w:rsidR="00770E54" w:rsidRPr="00996A12">
              <w:rPr>
                <w:rFonts w:ascii="Times New Roman" w:hAnsi="Times New Roman"/>
                <w:color w:val="000000"/>
                <w:lang w:bidi="pl-PL"/>
              </w:rPr>
              <w:t xml:space="preserve"> Implementowane przepisy mają być stosowane </w:t>
            </w:r>
            <w:r w:rsidRPr="00996A12">
              <w:rPr>
                <w:rFonts w:ascii="Times New Roman" w:hAnsi="Times New Roman"/>
                <w:color w:val="000000"/>
                <w:lang w:bidi="pl-PL"/>
              </w:rPr>
              <w:t>od dnia 28 maja 2022 r.</w:t>
            </w:r>
          </w:p>
          <w:p w14:paraId="05C88D05" w14:textId="77777777" w:rsidR="008E3524" w:rsidRPr="00996A12" w:rsidRDefault="008E3524" w:rsidP="00BD34C2">
            <w:pPr>
              <w:spacing w:line="240" w:lineRule="auto"/>
              <w:jc w:val="both"/>
              <w:rPr>
                <w:rFonts w:ascii="Times New Roman" w:hAnsi="Times New Roman"/>
                <w:color w:val="000000"/>
                <w:lang w:bidi="pl-PL"/>
              </w:rPr>
            </w:pPr>
            <w:r w:rsidRPr="00996A12">
              <w:rPr>
                <w:rFonts w:ascii="Times New Roman" w:hAnsi="Times New Roman"/>
                <w:bCs/>
                <w:color w:val="000000"/>
                <w:lang w:bidi="pl-PL"/>
              </w:rPr>
              <w:t>Przepisy dyrektywy będą implementowane do krajowego porządku prawnego w drodze projektu ustawy o zmianie ustawy o prawach konsumenta oraz niektórych innych ustaw.</w:t>
            </w:r>
            <w:r w:rsidR="009535D1" w:rsidRPr="00996A12">
              <w:rPr>
                <w:rFonts w:ascii="Times New Roman" w:hAnsi="Times New Roman"/>
                <w:bCs/>
                <w:color w:val="000000"/>
                <w:lang w:bidi="pl-PL"/>
              </w:rPr>
              <w:t xml:space="preserve"> Zmiany implementacyjne obejmą więc ustawy, które dokonywały implementacji ww. dyrektyw.</w:t>
            </w:r>
          </w:p>
          <w:p w14:paraId="79D6B787" w14:textId="77777777" w:rsidR="000D3013" w:rsidRPr="00996A12" w:rsidRDefault="001F4AD2" w:rsidP="00BD34C2">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Podstawowym problemem rozwiązywanym w ramach implementacji dyrektywy Parlamentu Europejskiego i Rady </w:t>
            </w:r>
            <w:r w:rsidRPr="00996A12">
              <w:rPr>
                <w:rFonts w:ascii="Times New Roman" w:hAnsi="Times New Roman"/>
                <w:b/>
                <w:color w:val="000000"/>
                <w:lang w:bidi="pl-PL"/>
              </w:rPr>
              <w:t xml:space="preserve"> </w:t>
            </w:r>
            <w:r w:rsidRPr="00996A12">
              <w:rPr>
                <w:rFonts w:ascii="Times New Roman" w:hAnsi="Times New Roman"/>
                <w:color w:val="000000"/>
                <w:lang w:bidi="pl-PL"/>
              </w:rPr>
              <w:t>2019/2161 z dnia 27 listopada 2019 jest wzmocnienie skuteczności obowiązujących przepisów konsumenckich</w:t>
            </w:r>
            <w:r w:rsidR="00BD34C2" w:rsidRPr="00996A12">
              <w:rPr>
                <w:rFonts w:ascii="Times New Roman" w:hAnsi="Times New Roman"/>
                <w:color w:val="000000"/>
                <w:lang w:bidi="pl-PL"/>
              </w:rPr>
              <w:t xml:space="preserve"> </w:t>
            </w:r>
            <w:r w:rsidRPr="00996A12">
              <w:rPr>
                <w:rFonts w:ascii="Times New Roman" w:hAnsi="Times New Roman"/>
                <w:color w:val="000000"/>
                <w:lang w:bidi="pl-PL"/>
              </w:rPr>
              <w:t xml:space="preserve">oraz unowocześnienie i </w:t>
            </w:r>
            <w:r w:rsidR="000D3013" w:rsidRPr="00996A12">
              <w:rPr>
                <w:rFonts w:ascii="Times New Roman" w:hAnsi="Times New Roman"/>
                <w:color w:val="000000"/>
                <w:lang w:bidi="pl-PL"/>
              </w:rPr>
              <w:t>ulepszenie niektórych instrumentów ochrony interesów konsumentów w kontekście dynamicznie postępującej cyfryzacji gospodarki.</w:t>
            </w:r>
            <w:r w:rsidR="00BD34C2" w:rsidRPr="00996A12">
              <w:rPr>
                <w:rFonts w:ascii="Times New Roman" w:hAnsi="Times New Roman"/>
                <w:color w:val="000000"/>
                <w:lang w:bidi="pl-PL"/>
              </w:rPr>
              <w:t xml:space="preserve"> </w:t>
            </w:r>
            <w:r w:rsidR="00635616" w:rsidRPr="00996A12">
              <w:rPr>
                <w:rFonts w:ascii="Times New Roman" w:hAnsi="Times New Roman"/>
                <w:color w:val="000000"/>
                <w:lang w:bidi="pl-PL"/>
              </w:rPr>
              <w:t>Do najważniejszych zidentyfikowanych problemów dotyczących konsumenta na rynku polskim i europejskim, których rozwiązanie jest podejmowane w ramach przedmiotowej implementacji należą przede wszystkim:</w:t>
            </w:r>
          </w:p>
          <w:p w14:paraId="3D4BB785" w14:textId="191FE0E4" w:rsidR="00635616" w:rsidRPr="00996A12" w:rsidRDefault="009C4CEB" w:rsidP="00635616">
            <w:pPr>
              <w:pStyle w:val="Akapitzlist"/>
              <w:numPr>
                <w:ilvl w:val="0"/>
                <w:numId w:val="33"/>
              </w:numPr>
              <w:spacing w:line="240" w:lineRule="auto"/>
              <w:jc w:val="both"/>
              <w:rPr>
                <w:rFonts w:ascii="Times New Roman" w:hAnsi="Times New Roman"/>
                <w:color w:val="000000"/>
                <w:lang w:bidi="pl-PL"/>
              </w:rPr>
            </w:pPr>
            <w:r w:rsidRPr="00996A12">
              <w:rPr>
                <w:rFonts w:ascii="Times New Roman" w:hAnsi="Times New Roman"/>
                <w:color w:val="000000"/>
                <w:lang w:bidi="pl-PL"/>
              </w:rPr>
              <w:t>B</w:t>
            </w:r>
            <w:r w:rsidR="00635616" w:rsidRPr="00996A12">
              <w:rPr>
                <w:rFonts w:ascii="Times New Roman" w:hAnsi="Times New Roman"/>
                <w:color w:val="000000"/>
                <w:lang w:bidi="pl-PL"/>
              </w:rPr>
              <w:t>rak przejrzystości usług i ofert proponowanych konsumentom korzystającym z internetowych platform handlowych</w:t>
            </w:r>
            <w:r w:rsidRPr="00996A12">
              <w:rPr>
                <w:rFonts w:ascii="Times New Roman" w:hAnsi="Times New Roman"/>
                <w:color w:val="000000"/>
                <w:lang w:bidi="pl-PL"/>
              </w:rPr>
              <w:t xml:space="preserve">. </w:t>
            </w:r>
            <w:r w:rsidR="00635616" w:rsidRPr="00996A12">
              <w:rPr>
                <w:rFonts w:ascii="Times New Roman" w:hAnsi="Times New Roman"/>
                <w:color w:val="000000"/>
                <w:lang w:bidi="pl-PL"/>
              </w:rPr>
              <w:t>Obecnie konsument korzystający z internetowej platformy handlowej otrzymuje różnorodne oferty od dostawców zewnętrznych sprzedających na danej inte</w:t>
            </w:r>
            <w:r w:rsidRPr="00996A12">
              <w:rPr>
                <w:rFonts w:ascii="Times New Roman" w:hAnsi="Times New Roman"/>
                <w:color w:val="000000"/>
                <w:lang w:bidi="pl-PL"/>
              </w:rPr>
              <w:t>rnetowej platformie handlowej, jak również</w:t>
            </w:r>
            <w:r w:rsidR="00635616" w:rsidRPr="00996A12">
              <w:rPr>
                <w:rFonts w:ascii="Times New Roman" w:hAnsi="Times New Roman"/>
                <w:color w:val="000000"/>
                <w:lang w:bidi="pl-PL"/>
              </w:rPr>
              <w:t xml:space="preserve"> oferty od samej i</w:t>
            </w:r>
            <w:r w:rsidRPr="00996A12">
              <w:rPr>
                <w:rFonts w:ascii="Times New Roman" w:hAnsi="Times New Roman"/>
                <w:color w:val="000000"/>
                <w:lang w:bidi="pl-PL"/>
              </w:rPr>
              <w:t>nternetowej platformy handlowej</w:t>
            </w:r>
            <w:r w:rsidR="00635616" w:rsidRPr="00996A12">
              <w:rPr>
                <w:rFonts w:ascii="Times New Roman" w:hAnsi="Times New Roman"/>
                <w:color w:val="000000"/>
                <w:lang w:bidi="pl-PL"/>
              </w:rPr>
              <w:t>. Konsumenci nie zawsze wiedzą, w jaki sposób ustalono ranking ofert prezentowanych im na internetowej platformie handlowej, ani od kogo kupują (czy od przedsiębiorców, czy od innych konsumentów). Konsumenci mogą pozostawać w błędnym przekonaniu, że mają do czynienia z przedsiębiorcami</w:t>
            </w:r>
            <w:r w:rsidR="007331D9" w:rsidRPr="00996A12">
              <w:rPr>
                <w:rFonts w:ascii="Times New Roman" w:hAnsi="Times New Roman"/>
                <w:color w:val="000000"/>
                <w:lang w:bidi="pl-PL"/>
              </w:rPr>
              <w:t xml:space="preserve">, </w:t>
            </w:r>
            <w:r w:rsidR="00635616" w:rsidRPr="00996A12">
              <w:rPr>
                <w:rFonts w:ascii="Times New Roman" w:hAnsi="Times New Roman"/>
                <w:color w:val="000000"/>
                <w:lang w:bidi="pl-PL"/>
              </w:rPr>
              <w:t xml:space="preserve">a tym samym, że korzystają z praw przysługujących konsumentom. </w:t>
            </w:r>
          </w:p>
          <w:p w14:paraId="1CCC3E5D" w14:textId="77034BA8" w:rsidR="009C4CEB" w:rsidRPr="00996A12" w:rsidRDefault="009C4CEB" w:rsidP="009C4CEB">
            <w:pPr>
              <w:pStyle w:val="Akapitzlist"/>
              <w:numPr>
                <w:ilvl w:val="0"/>
                <w:numId w:val="33"/>
              </w:numPr>
              <w:spacing w:line="240" w:lineRule="auto"/>
              <w:jc w:val="both"/>
              <w:rPr>
                <w:rFonts w:ascii="Times New Roman" w:hAnsi="Times New Roman"/>
                <w:color w:val="000000"/>
                <w:lang w:bidi="pl-PL"/>
              </w:rPr>
            </w:pPr>
            <w:r w:rsidRPr="00996A12">
              <w:rPr>
                <w:rFonts w:ascii="Times New Roman" w:hAnsi="Times New Roman"/>
                <w:color w:val="000000"/>
                <w:lang w:bidi="pl-PL"/>
              </w:rPr>
              <w:t>Niedostateczne dopasowanie instrumentów ochrony konsumenta do dynamicznie rozwijających się usług cyfrowych z uwzględnieniem „bezpłatnych” usług cyfrowych, tj. usług świadczonych w zamian za dane osobowe a nie za zapłatę ceny w pieniądzu.</w:t>
            </w:r>
          </w:p>
          <w:p w14:paraId="62812F7A" w14:textId="77777777" w:rsidR="009C4CEB" w:rsidRPr="00996A12" w:rsidRDefault="009C4CEB" w:rsidP="009C4CEB">
            <w:pPr>
              <w:pStyle w:val="Akapitzlist"/>
              <w:numPr>
                <w:ilvl w:val="0"/>
                <w:numId w:val="33"/>
              </w:numPr>
              <w:spacing w:line="240" w:lineRule="auto"/>
              <w:jc w:val="both"/>
              <w:rPr>
                <w:rFonts w:ascii="Times New Roman" w:hAnsi="Times New Roman"/>
                <w:color w:val="000000"/>
                <w:lang w:bidi="pl-PL"/>
              </w:rPr>
            </w:pPr>
            <w:r w:rsidRPr="00996A12">
              <w:rPr>
                <w:rFonts w:ascii="Times New Roman" w:hAnsi="Times New Roman"/>
                <w:color w:val="000000"/>
                <w:lang w:bidi="pl-PL"/>
              </w:rPr>
              <w:t>Nadmierna regulacja niektórych obowiązków informacyjnych przedsiębiorców.</w:t>
            </w:r>
          </w:p>
          <w:p w14:paraId="11075648" w14:textId="77777777" w:rsidR="009C4CEB" w:rsidRPr="00996A12" w:rsidRDefault="009C4CEB" w:rsidP="009C4CEB">
            <w:pPr>
              <w:pStyle w:val="Akapitzlist"/>
              <w:numPr>
                <w:ilvl w:val="0"/>
                <w:numId w:val="33"/>
              </w:numPr>
              <w:rPr>
                <w:rFonts w:ascii="Times New Roman" w:hAnsi="Times New Roman"/>
                <w:color w:val="000000"/>
                <w:lang w:bidi="pl-PL"/>
              </w:rPr>
            </w:pPr>
            <w:r w:rsidRPr="00996A12">
              <w:rPr>
                <w:rFonts w:ascii="Times New Roman" w:hAnsi="Times New Roman"/>
                <w:color w:val="000000"/>
                <w:lang w:bidi="pl-PL"/>
              </w:rPr>
              <w:t>Brak precyzyjnych wytycznych dotyczących postępowania organów ochrony konsumenta w odniesieniu do produktów o podwójnej jakości.</w:t>
            </w:r>
          </w:p>
          <w:p w14:paraId="6185BE67" w14:textId="44CC74B3" w:rsidR="009C4CEB" w:rsidRPr="00996A12" w:rsidRDefault="009C4CEB" w:rsidP="009C4CEB">
            <w:pPr>
              <w:spacing w:line="240" w:lineRule="auto"/>
              <w:jc w:val="both"/>
              <w:rPr>
                <w:rFonts w:ascii="Times New Roman" w:hAnsi="Times New Roman"/>
                <w:color w:val="000000"/>
                <w:lang w:bidi="pl-PL"/>
              </w:rPr>
            </w:pPr>
            <w:r w:rsidRPr="00996A12">
              <w:rPr>
                <w:rFonts w:ascii="Times New Roman" w:hAnsi="Times New Roman"/>
                <w:color w:val="000000"/>
                <w:lang w:bidi="pl-PL"/>
              </w:rPr>
              <w:t>Nie</w:t>
            </w:r>
            <w:r w:rsidR="00231FDC" w:rsidRPr="00996A12">
              <w:rPr>
                <w:rFonts w:ascii="Times New Roman" w:hAnsi="Times New Roman"/>
                <w:color w:val="000000"/>
                <w:lang w:bidi="pl-PL"/>
              </w:rPr>
              <w:t>z</w:t>
            </w:r>
            <w:r w:rsidRPr="00996A12">
              <w:rPr>
                <w:rFonts w:ascii="Times New Roman" w:hAnsi="Times New Roman"/>
                <w:color w:val="000000"/>
                <w:lang w:bidi="pl-PL"/>
              </w:rPr>
              <w:t>ale</w:t>
            </w:r>
            <w:r w:rsidR="00231FDC" w:rsidRPr="00996A12">
              <w:rPr>
                <w:rFonts w:ascii="Times New Roman" w:hAnsi="Times New Roman"/>
                <w:color w:val="000000"/>
                <w:lang w:bidi="pl-PL"/>
              </w:rPr>
              <w:t>ż</w:t>
            </w:r>
            <w:r w:rsidRPr="00996A12">
              <w:rPr>
                <w:rFonts w:ascii="Times New Roman" w:hAnsi="Times New Roman"/>
                <w:color w:val="000000"/>
                <w:lang w:bidi="pl-PL"/>
              </w:rPr>
              <w:t xml:space="preserve">nie od </w:t>
            </w:r>
            <w:r w:rsidR="00231FDC" w:rsidRPr="00996A12">
              <w:rPr>
                <w:rFonts w:ascii="Times New Roman" w:hAnsi="Times New Roman"/>
                <w:color w:val="000000"/>
                <w:lang w:bidi="pl-PL"/>
              </w:rPr>
              <w:t>wymienionych powyżej problemów, które będą rozwiązywane w ramach przedmiotowej implementacji. Dyrektywa 2019/2161 nakłada na Państwa Członkowskie obowiązki w zakresie wzmocnienia przepisów dotyczących sankcji oraz spójnych paramentów ich określania, a także przewiduje prawo konsumentów do indywidualnych środków prawnych, jeśli doznali uszczerbku w wyniku stosowania nieuczciwych praktyk handlowych. Tego rodzaju instrumenty występują już w polskich przepisach z zakresu ochrony konsumentów</w:t>
            </w:r>
            <w:r w:rsidR="007331D9" w:rsidRPr="00996A12">
              <w:rPr>
                <w:rFonts w:ascii="Times New Roman" w:hAnsi="Times New Roman"/>
                <w:color w:val="000000"/>
                <w:lang w:bidi="pl-PL"/>
              </w:rPr>
              <w:t>,</w:t>
            </w:r>
            <w:r w:rsidR="00231FDC" w:rsidRPr="00996A12">
              <w:rPr>
                <w:rFonts w:ascii="Times New Roman" w:hAnsi="Times New Roman"/>
                <w:color w:val="000000"/>
                <w:lang w:bidi="pl-PL"/>
              </w:rPr>
              <w:t xml:space="preserve"> dlatego też nie ma konieczności zmian w tym zakresie.</w:t>
            </w:r>
          </w:p>
          <w:p w14:paraId="62E662BD"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bCs/>
                <w:color w:val="000000"/>
                <w:lang w:bidi="pl-PL"/>
              </w:rPr>
              <w:t>W celu ograniczenia zidentyfikowanych problemów w dyrektywie Omnibus zaproponowano następujące rozwiązania:</w:t>
            </w:r>
          </w:p>
          <w:p w14:paraId="3B66C706" w14:textId="77777777" w:rsidR="009535D1" w:rsidRPr="00996A12" w:rsidRDefault="009535D1" w:rsidP="009535D1">
            <w:pPr>
              <w:spacing w:line="240" w:lineRule="auto"/>
              <w:jc w:val="both"/>
              <w:rPr>
                <w:rFonts w:ascii="Times New Roman" w:hAnsi="Times New Roman"/>
                <w:b/>
                <w:color w:val="000000"/>
                <w:lang w:bidi="pl-PL"/>
              </w:rPr>
            </w:pPr>
          </w:p>
          <w:p w14:paraId="70EE0D44" w14:textId="77777777" w:rsidR="009535D1" w:rsidRPr="00996A12" w:rsidRDefault="009535D1" w:rsidP="009535D1">
            <w:pPr>
              <w:spacing w:line="240" w:lineRule="auto"/>
              <w:jc w:val="both"/>
              <w:rPr>
                <w:rFonts w:ascii="Times New Roman" w:hAnsi="Times New Roman"/>
                <w:color w:val="000000"/>
                <w:u w:val="single"/>
                <w:lang w:bidi="pl-PL"/>
              </w:rPr>
            </w:pPr>
            <w:r w:rsidRPr="00996A12">
              <w:rPr>
                <w:rFonts w:ascii="Times New Roman" w:hAnsi="Times New Roman"/>
                <w:color w:val="000000"/>
                <w:u w:val="single"/>
                <w:lang w:bidi="pl-PL"/>
              </w:rPr>
              <w:t xml:space="preserve">Zapewnienie większej przejrzystości konsumentom </w:t>
            </w:r>
            <w:r w:rsidR="00673F70" w:rsidRPr="00996A12">
              <w:rPr>
                <w:rFonts w:ascii="Times New Roman" w:hAnsi="Times New Roman"/>
                <w:color w:val="000000"/>
                <w:u w:val="single"/>
                <w:lang w:bidi="pl-PL"/>
              </w:rPr>
              <w:t>zawierającym umowy on-line</w:t>
            </w:r>
            <w:r w:rsidR="00365D28" w:rsidRPr="00996A12">
              <w:rPr>
                <w:rFonts w:ascii="Times New Roman" w:hAnsi="Times New Roman"/>
                <w:color w:val="000000"/>
                <w:u w:val="single"/>
                <w:lang w:bidi="pl-PL"/>
              </w:rPr>
              <w:t xml:space="preserve">, w tym </w:t>
            </w:r>
            <w:r w:rsidRPr="00996A12">
              <w:rPr>
                <w:rFonts w:ascii="Times New Roman" w:hAnsi="Times New Roman"/>
                <w:color w:val="000000"/>
                <w:u w:val="single"/>
                <w:lang w:bidi="pl-PL"/>
              </w:rPr>
              <w:t xml:space="preserve">korzystającym z internetowych platform handlowych </w:t>
            </w:r>
          </w:p>
          <w:p w14:paraId="777FCC9B" w14:textId="3A262ED1"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Przez wprowadzenie m.in obowiązku dla </w:t>
            </w:r>
            <w:r w:rsidR="00281065" w:rsidRPr="00996A12">
              <w:rPr>
                <w:rFonts w:ascii="Times New Roman" w:hAnsi="Times New Roman"/>
                <w:color w:val="000000"/>
                <w:lang w:bidi="pl-PL"/>
              </w:rPr>
              <w:t xml:space="preserve">dostawców </w:t>
            </w:r>
            <w:r w:rsidRPr="00996A12">
              <w:rPr>
                <w:rFonts w:ascii="Times New Roman" w:hAnsi="Times New Roman"/>
                <w:color w:val="000000"/>
                <w:lang w:bidi="pl-PL"/>
              </w:rPr>
              <w:t>internetowych platform handlowych</w:t>
            </w:r>
            <w:r w:rsidR="00365D28" w:rsidRPr="00996A12">
              <w:rPr>
                <w:rFonts w:ascii="Times New Roman" w:hAnsi="Times New Roman"/>
                <w:color w:val="000000"/>
                <w:lang w:bidi="pl-PL"/>
              </w:rPr>
              <w:t xml:space="preserve"> </w:t>
            </w:r>
            <w:r w:rsidRPr="00996A12">
              <w:rPr>
                <w:rFonts w:ascii="Times New Roman" w:hAnsi="Times New Roman"/>
                <w:color w:val="000000"/>
                <w:lang w:bidi="pl-PL"/>
              </w:rPr>
              <w:t xml:space="preserve"> dostarczenia dodatkowych informacji celem dokładnego informowania konsumentów o: </w:t>
            </w:r>
          </w:p>
          <w:p w14:paraId="7CD94D84" w14:textId="77777777" w:rsidR="009535D1" w:rsidRPr="00996A12" w:rsidRDefault="009535D1" w:rsidP="00F121B7">
            <w:pPr>
              <w:pStyle w:val="Akapitzlist"/>
              <w:numPr>
                <w:ilvl w:val="0"/>
                <w:numId w:val="34"/>
              </w:num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głównych parametrach decydujących o rankingu różnych ofert, </w:t>
            </w:r>
          </w:p>
          <w:p w14:paraId="377FC0DB" w14:textId="77194941" w:rsidR="009535D1" w:rsidRPr="00996A12" w:rsidRDefault="009535D1" w:rsidP="00F121B7">
            <w:pPr>
              <w:pStyle w:val="Akapitzlist"/>
              <w:numPr>
                <w:ilvl w:val="0"/>
                <w:numId w:val="34"/>
              </w:num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czy umowa jest zawierana z przedsiębiorcą czy </w:t>
            </w:r>
            <w:r w:rsidR="00434D19" w:rsidRPr="00996A12">
              <w:rPr>
                <w:rFonts w:ascii="Times New Roman" w:hAnsi="Times New Roman"/>
                <w:color w:val="000000"/>
                <w:lang w:bidi="pl-PL"/>
              </w:rPr>
              <w:t>konsumentem</w:t>
            </w:r>
            <w:r w:rsidRPr="00996A12">
              <w:rPr>
                <w:rFonts w:ascii="Times New Roman" w:hAnsi="Times New Roman"/>
                <w:color w:val="000000"/>
                <w:lang w:bidi="pl-PL"/>
              </w:rPr>
              <w:t xml:space="preserve">, </w:t>
            </w:r>
          </w:p>
          <w:p w14:paraId="3B166DCC" w14:textId="77777777" w:rsidR="009535D1" w:rsidRPr="00996A12" w:rsidRDefault="009535D1" w:rsidP="00F121B7">
            <w:pPr>
              <w:pStyle w:val="Akapitzlist"/>
              <w:numPr>
                <w:ilvl w:val="0"/>
                <w:numId w:val="34"/>
              </w:num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czy mają zastosowanie przepisy prawne chroniące interesy konsumentów oraz </w:t>
            </w:r>
          </w:p>
          <w:p w14:paraId="667EF596" w14:textId="7744BD5B" w:rsidR="009535D1" w:rsidRPr="00996A12" w:rsidRDefault="009535D1" w:rsidP="00F121B7">
            <w:pPr>
              <w:pStyle w:val="Akapitzlist"/>
              <w:numPr>
                <w:ilvl w:val="0"/>
                <w:numId w:val="34"/>
              </w:numPr>
              <w:spacing w:line="240" w:lineRule="auto"/>
              <w:jc w:val="both"/>
              <w:rPr>
                <w:rFonts w:ascii="Times New Roman" w:hAnsi="Times New Roman"/>
                <w:color w:val="000000"/>
                <w:lang w:bidi="pl-PL"/>
              </w:rPr>
            </w:pPr>
            <w:r w:rsidRPr="00996A12">
              <w:rPr>
                <w:rFonts w:ascii="Times New Roman" w:hAnsi="Times New Roman"/>
                <w:color w:val="000000"/>
                <w:lang w:bidi="pl-PL"/>
              </w:rPr>
              <w:t>który przedsiębiorca (</w:t>
            </w:r>
            <w:r w:rsidR="007331D9" w:rsidRPr="00996A12">
              <w:rPr>
                <w:rFonts w:ascii="Times New Roman" w:hAnsi="Times New Roman"/>
                <w:color w:val="000000"/>
                <w:lang w:bidi="pl-PL"/>
              </w:rPr>
              <w:t xml:space="preserve">przedsiębiorca oferujący towary </w:t>
            </w:r>
            <w:r w:rsidRPr="00996A12">
              <w:rPr>
                <w:rFonts w:ascii="Times New Roman" w:hAnsi="Times New Roman"/>
                <w:color w:val="000000"/>
                <w:lang w:bidi="pl-PL"/>
              </w:rPr>
              <w:t xml:space="preserve">będący stroną trzecią lub internetowa platforma handlowa) jest odpowiedzialny za zapewnienie przestrzegania praw konsumentów z tytułu umowy (takich jak prawo do odstąpienia od umowy lub gwarancje prawne). </w:t>
            </w:r>
          </w:p>
          <w:p w14:paraId="2FA06A76" w14:textId="23214D63"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Ponadto </w:t>
            </w:r>
            <w:r w:rsidR="00673F70" w:rsidRPr="00996A12">
              <w:rPr>
                <w:rFonts w:ascii="Times New Roman" w:hAnsi="Times New Roman"/>
                <w:color w:val="000000"/>
                <w:lang w:bidi="pl-PL"/>
              </w:rPr>
              <w:t>przedsiębiorcy</w:t>
            </w:r>
            <w:r w:rsidRPr="00996A12">
              <w:rPr>
                <w:rFonts w:ascii="Times New Roman" w:hAnsi="Times New Roman"/>
                <w:color w:val="000000"/>
                <w:lang w:bidi="pl-PL"/>
              </w:rPr>
              <w:t xml:space="preserve"> będą mi</w:t>
            </w:r>
            <w:r w:rsidR="00673F70" w:rsidRPr="00996A12">
              <w:rPr>
                <w:rFonts w:ascii="Times New Roman" w:hAnsi="Times New Roman"/>
                <w:color w:val="000000"/>
                <w:lang w:bidi="pl-PL"/>
              </w:rPr>
              <w:t>eli</w:t>
            </w:r>
            <w:r w:rsidRPr="00996A12">
              <w:rPr>
                <w:rFonts w:ascii="Times New Roman" w:hAnsi="Times New Roman"/>
                <w:color w:val="000000"/>
                <w:lang w:bidi="pl-PL"/>
              </w:rPr>
              <w:t xml:space="preserve"> obowiązek wskazywać wyniki wyszukiwania, które zawierają „płatne materiały”, tzn. gdy osoby trzecie płacą za wyższą pozycję w rankingu lub „płatne wyniki”, tzn. gdy osoby trzecie płacą za włączenie do listy wyników wyszukiwania.</w:t>
            </w:r>
          </w:p>
          <w:p w14:paraId="38210B15"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Przepisy przewidują też kilka obowiązków informacyjnych nałożonych na </w:t>
            </w:r>
            <w:r w:rsidR="00673F70" w:rsidRPr="00996A12">
              <w:rPr>
                <w:rFonts w:ascii="Times New Roman" w:hAnsi="Times New Roman"/>
                <w:color w:val="000000"/>
                <w:lang w:bidi="pl-PL"/>
              </w:rPr>
              <w:t>przedsiębiorców</w:t>
            </w:r>
            <w:r w:rsidR="00147998" w:rsidRPr="00996A12">
              <w:rPr>
                <w:rFonts w:ascii="Times New Roman" w:hAnsi="Times New Roman"/>
                <w:color w:val="000000"/>
                <w:lang w:bidi="pl-PL"/>
              </w:rPr>
              <w:t xml:space="preserve">, w tym </w:t>
            </w:r>
            <w:r w:rsidRPr="00996A12">
              <w:rPr>
                <w:rFonts w:ascii="Times New Roman" w:hAnsi="Times New Roman"/>
                <w:color w:val="000000"/>
                <w:lang w:bidi="pl-PL"/>
              </w:rPr>
              <w:t>platformy internetowe/dostawców tych platform, jak też dodają nowe praktyki do tzw. listy czarnych praktyk, czyli praktyk nieuczciwych w każdych okolicznościach.</w:t>
            </w:r>
          </w:p>
          <w:p w14:paraId="66B2F2C7" w14:textId="77777777" w:rsidR="009535D1" w:rsidRPr="00996A12" w:rsidRDefault="009535D1" w:rsidP="009535D1">
            <w:pPr>
              <w:spacing w:line="240" w:lineRule="auto"/>
              <w:jc w:val="both"/>
              <w:rPr>
                <w:rFonts w:ascii="Times New Roman" w:hAnsi="Times New Roman"/>
                <w:color w:val="000000"/>
                <w:lang w:bidi="pl-PL"/>
              </w:rPr>
            </w:pPr>
          </w:p>
          <w:p w14:paraId="7A18A770"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u w:val="single"/>
                <w:lang w:bidi="pl-PL"/>
              </w:rPr>
              <w:t>Rozszerzenie ochrony konsumentów w zakresie usług cyfrowych</w:t>
            </w:r>
            <w:r w:rsidRPr="00996A12">
              <w:rPr>
                <w:rFonts w:ascii="Times New Roman" w:hAnsi="Times New Roman"/>
                <w:color w:val="000000"/>
                <w:lang w:bidi="pl-PL"/>
              </w:rPr>
              <w:t xml:space="preserve"> </w:t>
            </w:r>
          </w:p>
          <w:p w14:paraId="1EDC6A27"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Dyrektywa Omnibus rozszerza zastosowanie dyrektywy 2011/83/UE w sprawie praw konsumentów również na usługi cyfrowe, w zamian, za które konsumenci nie ponoszą opłat, ale dostarczają dane osobowe. W tym zakresie przepisy dyrektywy Omnibus zostały dostosowane tak aby były jednolite terminologicznie z przepisami dyrektywy Parlamentu Europejskiego i Rady (UE) 2019/770 z dnia 20 maja 2019 r. w sprawie niektórych aspektów umów o dostarczanie treści cyfrowych i usług cyfrowych </w:t>
            </w:r>
            <w:r w:rsidR="00434D19" w:rsidRPr="00996A12">
              <w:rPr>
                <w:rFonts w:ascii="Times New Roman" w:hAnsi="Times New Roman"/>
                <w:color w:val="000000"/>
                <w:lang w:bidi="pl-PL"/>
              </w:rPr>
              <w:t>dalej</w:t>
            </w:r>
            <w:r w:rsidRPr="00996A12">
              <w:rPr>
                <w:rFonts w:ascii="Times New Roman" w:hAnsi="Times New Roman"/>
                <w:color w:val="000000"/>
                <w:lang w:bidi="pl-PL"/>
              </w:rPr>
              <w:t xml:space="preserve">: „DCD” lub „dyrektywa cyfrowa”) oraz dyrektywy Parlamentu Europejskiego i Rady (UE) 2019/771 z dnia 20 maja 2019 r. w sprawie niektórych aspektów umów sprzedaży towarów, zmieniającej </w:t>
            </w:r>
            <w:r w:rsidRPr="00996A12">
              <w:rPr>
                <w:rFonts w:ascii="Times New Roman" w:hAnsi="Times New Roman"/>
                <w:color w:val="000000"/>
                <w:lang w:bidi="pl-PL"/>
              </w:rPr>
              <w:lastRenderedPageBreak/>
              <w:t>rozporządzenie (UE) 2017/2394 oraz dyrektywę 2009/22/WE oraz uchylającej dyrektywę 1999/44/WE dalej: „SGD” lub „dyrektywa towarowa”).</w:t>
            </w:r>
          </w:p>
          <w:p w14:paraId="08E11464"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Dlatego też zmiany w ustawie o prawach konsumenta obejmą odpowiednie dostosowania terminologiczne do przepisów krajowych wdrażających dyrektywę cyfrową i odpowiednie dostosowanie przepisów merytorycznych w zakresie obowiązków przedsiębiorców i konsumentów.</w:t>
            </w:r>
          </w:p>
          <w:p w14:paraId="3DD7F8F9" w14:textId="77777777" w:rsidR="009535D1" w:rsidRPr="00996A12" w:rsidRDefault="009535D1" w:rsidP="009535D1">
            <w:pPr>
              <w:spacing w:line="240" w:lineRule="auto"/>
              <w:jc w:val="both"/>
              <w:rPr>
                <w:rFonts w:ascii="Times New Roman" w:hAnsi="Times New Roman"/>
                <w:color w:val="000000"/>
                <w:lang w:bidi="pl-PL"/>
              </w:rPr>
            </w:pPr>
          </w:p>
          <w:p w14:paraId="21774E96"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u w:val="single"/>
                <w:lang w:bidi="pl-PL"/>
              </w:rPr>
              <w:t>Usuwanie niektórych obciążeń  nałożonych na przedsiębiorców</w:t>
            </w:r>
          </w:p>
          <w:p w14:paraId="790E9A12" w14:textId="4FA29639"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Proponuje się rezygnację z niektórych obciążeń informacyjnych nałożonych na przedsiębiorców i przyznanie  przedsiębiorcom większej elastyczności w wyborze najodpowiedniejszego środka komunikacji z konsumentami. Pozwoli to przedsiębiorcom na używanie nowych internetowych środków komunikacji, takich jak formularze internetowe lub czaty jako alternatywy dla tradycyjnych e</w:t>
            </w:r>
            <w:r w:rsidR="00EF2FA8" w:rsidRPr="00996A12">
              <w:rPr>
                <w:rFonts w:ascii="Times New Roman" w:hAnsi="Times New Roman"/>
                <w:color w:val="000000"/>
                <w:lang w:bidi="pl-PL"/>
              </w:rPr>
              <w:t>-</w:t>
            </w:r>
            <w:r w:rsidRPr="00996A12">
              <w:rPr>
                <w:rFonts w:ascii="Times New Roman" w:hAnsi="Times New Roman"/>
                <w:color w:val="000000"/>
                <w:lang w:bidi="pl-PL"/>
              </w:rPr>
              <w:t xml:space="preserve">maili, o ile konsument będzie mógł zachować swoją komunikację z przedsiębiorcą. </w:t>
            </w:r>
          </w:p>
          <w:p w14:paraId="40398C9D" w14:textId="77777777" w:rsidR="009535D1" w:rsidRPr="00996A12" w:rsidRDefault="009535D1" w:rsidP="009535D1">
            <w:pPr>
              <w:spacing w:line="240" w:lineRule="auto"/>
              <w:jc w:val="both"/>
              <w:rPr>
                <w:rFonts w:ascii="Times New Roman" w:hAnsi="Times New Roman"/>
                <w:color w:val="000000"/>
                <w:lang w:bidi="pl-PL"/>
              </w:rPr>
            </w:pPr>
          </w:p>
          <w:p w14:paraId="7AD44869"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u w:val="single"/>
                <w:lang w:bidi="pl-PL"/>
              </w:rPr>
              <w:t>Doprecyzowanie regulacji odnoszących się do wprowadzających w błąd działań marketingowych w odniesieniu do produktów podwójnej jakości</w:t>
            </w:r>
            <w:r w:rsidRPr="00996A12">
              <w:rPr>
                <w:rFonts w:ascii="Times New Roman" w:hAnsi="Times New Roman"/>
                <w:color w:val="000000"/>
                <w:lang w:bidi="pl-PL"/>
              </w:rPr>
              <w:t xml:space="preserve"> </w:t>
            </w:r>
          </w:p>
          <w:p w14:paraId="3CEADB22"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Doprecyzowanie polega na wprowadzeniu jednoznacznego rozstrzygnięcia, że praktyka handlowa obejmująca wprowadzenie produktu na rynek jako identyczny z takim samym produktem wprowadzonym na rynki w kilku innych państwach członkowskich, gdzie produkty te w sposób istotny różnią się składem lub cechami, które powodują lub mogłyby spowodować u przeciętnego konsumenta podjęcie decyzji o kupnie, której by w przeciwnym wypadku nie podjął, są praktykami handlowymi wprowadzającymi w błąd, które, zgodnie z przepisami dyrektywy, odpowiednie organy powinny ocenić i rozpatrzyć jako każdy przypadek z osobna.</w:t>
            </w:r>
          </w:p>
          <w:p w14:paraId="18E56BEA" w14:textId="77777777" w:rsidR="009535D1" w:rsidRPr="00996A12" w:rsidRDefault="009535D1" w:rsidP="009535D1">
            <w:pPr>
              <w:spacing w:line="240" w:lineRule="auto"/>
              <w:jc w:val="both"/>
              <w:rPr>
                <w:rFonts w:ascii="Times New Roman" w:hAnsi="Times New Roman"/>
                <w:color w:val="000000"/>
                <w:u w:val="single"/>
                <w:lang w:bidi="pl-PL"/>
              </w:rPr>
            </w:pPr>
          </w:p>
          <w:p w14:paraId="3469AB34"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u w:val="single"/>
                <w:lang w:bidi="pl-PL"/>
              </w:rPr>
              <w:t>Wyjaśnienie państwom członkowskim zakresu ich swobody w przyjmowaniu przepisów dotyczących pewnych form i aspektów sprzedaży poza lokalem przedsiębiorstwa</w:t>
            </w:r>
            <w:r w:rsidRPr="00996A12">
              <w:rPr>
                <w:rFonts w:ascii="Times New Roman" w:hAnsi="Times New Roman"/>
                <w:color w:val="000000"/>
                <w:lang w:bidi="pl-PL"/>
              </w:rPr>
              <w:t xml:space="preserve"> </w:t>
            </w:r>
          </w:p>
          <w:p w14:paraId="54D9B066" w14:textId="77777777" w:rsidR="009535D1" w:rsidRPr="00996A12" w:rsidRDefault="009535D1" w:rsidP="009535D1">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Sprzedaż poza lokalem przedsiębiorstwa stanowi uzasadnioną i powszechnie i uznawaną formę sprzedaży niemniej przedmiotowy Dyrektywa Omnibus wyjaśnia, że przepisy dyrektywy 2005/29/WE </w:t>
            </w:r>
            <w:r w:rsidRPr="00996A12">
              <w:rPr>
                <w:rFonts w:ascii="Times New Roman" w:hAnsi="Times New Roman"/>
                <w:b/>
                <w:color w:val="000000"/>
                <w:lang w:bidi="pl-PL"/>
              </w:rPr>
              <w:t>nie uniemożliwiają</w:t>
            </w:r>
            <w:r w:rsidRPr="00996A12">
              <w:rPr>
                <w:rFonts w:ascii="Times New Roman" w:hAnsi="Times New Roman"/>
                <w:color w:val="000000"/>
                <w:lang w:bidi="pl-PL"/>
              </w:rPr>
              <w:t xml:space="preserve"> państwom członkowskim przyjęcia przepisów mających na celu ochronę uzasadnionych interesów konsumentów z uwzględnieniem pewnych szczególnie agresywnych lub wprowadzających w błąd praktyk marketingowych lub sprzedażowych w kontekście nieumówionych wizyt przedsiębiorcy w domu konsumenta lub z uwzględnieniem wycieczek komercyjnych organizowanych przez przedsiębiorcę w celu promowania lub sprzedaży produktów konsumentom, wtedy gdy takie obostrzenia znajdują uzasadnienie ze względu na porządek publiczny lub poszanowanie życia prywatnego.</w:t>
            </w:r>
          </w:p>
          <w:p w14:paraId="3E510FF9" w14:textId="77777777" w:rsidR="009535D1" w:rsidRPr="00996A12" w:rsidRDefault="009535D1" w:rsidP="009C4CEB">
            <w:pPr>
              <w:spacing w:line="240" w:lineRule="auto"/>
              <w:jc w:val="both"/>
              <w:rPr>
                <w:rFonts w:ascii="Times New Roman" w:hAnsi="Times New Roman"/>
                <w:color w:val="000000"/>
                <w:lang w:bidi="pl-PL"/>
              </w:rPr>
            </w:pPr>
          </w:p>
          <w:p w14:paraId="46DE91E8" w14:textId="77777777" w:rsidR="00635616" w:rsidRPr="00996A12" w:rsidRDefault="00231FDC" w:rsidP="00BD34C2">
            <w:pPr>
              <w:spacing w:line="240" w:lineRule="auto"/>
              <w:jc w:val="both"/>
              <w:rPr>
                <w:rFonts w:ascii="Times New Roman" w:hAnsi="Times New Roman"/>
                <w:b/>
                <w:color w:val="000000"/>
                <w:lang w:bidi="pl-PL"/>
              </w:rPr>
            </w:pPr>
            <w:r w:rsidRPr="00996A12">
              <w:rPr>
                <w:rFonts w:ascii="Times New Roman" w:hAnsi="Times New Roman"/>
                <w:b/>
                <w:color w:val="000000"/>
                <w:lang w:bidi="pl-PL"/>
              </w:rPr>
              <w:t>II.</w:t>
            </w:r>
            <w:r w:rsidR="005004C3" w:rsidRPr="00996A12">
              <w:rPr>
                <w:rFonts w:ascii="Times New Roman" w:hAnsi="Times New Roman"/>
                <w:b/>
                <w:color w:val="000000"/>
                <w:lang w:bidi="pl-PL"/>
              </w:rPr>
              <w:t xml:space="preserve"> </w:t>
            </w:r>
            <w:r w:rsidR="008E3524" w:rsidRPr="00996A12">
              <w:rPr>
                <w:rFonts w:ascii="Times New Roman" w:hAnsi="Times New Roman"/>
                <w:b/>
                <w:color w:val="000000"/>
                <w:lang w:bidi="pl-PL"/>
              </w:rPr>
              <w:t>Umowy zawierane p</w:t>
            </w:r>
            <w:r w:rsidR="005004C3" w:rsidRPr="00996A12">
              <w:rPr>
                <w:rFonts w:ascii="Times New Roman" w:hAnsi="Times New Roman"/>
                <w:b/>
                <w:color w:val="000000"/>
                <w:lang w:bidi="pl-PL"/>
              </w:rPr>
              <w:t>oza lokalem</w:t>
            </w:r>
            <w:r w:rsidR="008E3524" w:rsidRPr="00996A12">
              <w:rPr>
                <w:rFonts w:ascii="Times New Roman" w:hAnsi="Times New Roman"/>
                <w:b/>
                <w:color w:val="000000"/>
                <w:lang w:bidi="pl-PL"/>
              </w:rPr>
              <w:t xml:space="preserve"> przedsiębiorstwa wyłączone z ochrony ustawy o prawach konsumenta</w:t>
            </w:r>
          </w:p>
          <w:p w14:paraId="639051F0" w14:textId="1017C557" w:rsidR="004E4B4B" w:rsidRPr="00996A12" w:rsidRDefault="004E4B4B" w:rsidP="00F54A5A">
            <w:pPr>
              <w:spacing w:line="240" w:lineRule="auto"/>
              <w:jc w:val="both"/>
              <w:rPr>
                <w:rFonts w:ascii="Times New Roman" w:hAnsi="Times New Roman"/>
                <w:color w:val="000000"/>
                <w:lang w:bidi="pl-PL"/>
              </w:rPr>
            </w:pPr>
            <w:r w:rsidRPr="00996A12">
              <w:rPr>
                <w:rFonts w:ascii="Times New Roman" w:hAnsi="Times New Roman"/>
                <w:color w:val="000000"/>
                <w:lang w:bidi="pl-PL"/>
              </w:rPr>
              <w:t>Niezależnie od opisanych powyżej zmian wynikających z implementacji dyrektywy Omnibus proponuje się dodatkowo rozwiązanie inn</w:t>
            </w:r>
            <w:r w:rsidR="006D3979" w:rsidRPr="00996A12">
              <w:rPr>
                <w:rFonts w:ascii="Times New Roman" w:hAnsi="Times New Roman"/>
                <w:color w:val="000000"/>
                <w:lang w:bidi="pl-PL"/>
              </w:rPr>
              <w:t>ego</w:t>
            </w:r>
            <w:r w:rsidRPr="00996A12">
              <w:rPr>
                <w:rFonts w:ascii="Times New Roman" w:hAnsi="Times New Roman"/>
                <w:color w:val="000000"/>
                <w:lang w:bidi="pl-PL"/>
              </w:rPr>
              <w:t xml:space="preserve"> problem</w:t>
            </w:r>
            <w:r w:rsidR="006D3979" w:rsidRPr="00996A12">
              <w:rPr>
                <w:rFonts w:ascii="Times New Roman" w:hAnsi="Times New Roman"/>
                <w:color w:val="000000"/>
                <w:lang w:bidi="pl-PL"/>
              </w:rPr>
              <w:t xml:space="preserve">u </w:t>
            </w:r>
            <w:r w:rsidRPr="00996A12">
              <w:rPr>
                <w:rFonts w:ascii="Times New Roman" w:hAnsi="Times New Roman"/>
                <w:color w:val="000000"/>
                <w:lang w:bidi="pl-PL"/>
              </w:rPr>
              <w:t>występującego w obrocie zidentyfikowanego przez UOKIK a dotyczącego umów zawieranych poza lokalem przedsiębiorstwa.</w:t>
            </w:r>
          </w:p>
          <w:p w14:paraId="32A44A2B" w14:textId="77777777" w:rsidR="00E9524B" w:rsidRPr="00996A12" w:rsidRDefault="00E9524B" w:rsidP="00E9524B">
            <w:pPr>
              <w:spacing w:line="240" w:lineRule="auto"/>
              <w:jc w:val="both"/>
              <w:rPr>
                <w:rFonts w:ascii="Times New Roman" w:hAnsi="Times New Roman"/>
                <w:color w:val="000000"/>
                <w:lang w:bidi="pl-PL"/>
              </w:rPr>
            </w:pPr>
            <w:r w:rsidRPr="00996A12">
              <w:rPr>
                <w:rFonts w:ascii="Times New Roman" w:hAnsi="Times New Roman"/>
                <w:color w:val="000000"/>
                <w:lang w:bidi="pl-PL"/>
              </w:rPr>
              <w:t>Analizy danych, którymi dysponuje UOKiK, dotyczące praktyk stosowanych przez przedsiębiorców prowadzących sprzedaż poza lokalem, a także istniejących instrumentów prawnych pozostających zarówno w dyspozycji konsumentów (wspomaganych przez rzeczników konsumentów czy organizacje społeczne), jak i organów administracji, nie gwarantują  wystarczającej ochrony konsumenta w odniesieniu do niektórych umów zawieranych poza lokalem przedsiębiorstwa.</w:t>
            </w:r>
          </w:p>
          <w:p w14:paraId="63BE0F43" w14:textId="77777777" w:rsidR="00E9524B" w:rsidRPr="00996A12" w:rsidRDefault="00E9524B" w:rsidP="00E9524B">
            <w:pPr>
              <w:spacing w:line="240" w:lineRule="auto"/>
              <w:jc w:val="both"/>
              <w:rPr>
                <w:rFonts w:ascii="Times New Roman" w:hAnsi="Times New Roman"/>
                <w:color w:val="000000"/>
                <w:lang w:bidi="pl-PL"/>
              </w:rPr>
            </w:pPr>
            <w:r w:rsidRPr="00996A12">
              <w:rPr>
                <w:rFonts w:ascii="Times New Roman" w:hAnsi="Times New Roman"/>
                <w:color w:val="000000"/>
              </w:rPr>
              <w:t>Praktyka obserwowana przez UOKiK pokazała, że taki tryb zawierania umów rodzi dla konsumenta szczególne zagrożenia w porównaniu z umową zawartą w lokalu przedsiębiorstwa. Podczas sprzedaży dokonywanej np. na pokazach, wycieczkach, czy w trakcie badań, konsument na ogół bywa poddany większej presji psychologicznej ze strony przedsiębiorcy. Przedsiębiorca może m.in. wykorzystywać element zaskoczenia, stwarzać atmosferę „szczególnej okazji” lub w inny sposób wpływać na decyzję konsumenta co do zawarcia umowy. W związku z tym często zdarza się, że umowy takie są zawierane przez konsumenta pochopnie, bez dostatecznego przemyślenia i racjonalnych powodów. Dodatkowym czynnikiem ryzyka jest kierowanie takich ofert do szczególnej grupy konsumentów tj. osób starszych, gównie emerytów, którzy mają stałe źródło dochodów i tym samym łatwo uzyskują finansowanie swoich zakupów kredytem konsumenckim, zaciąganym przy okazji zakupu towaru lub usługi na</w:t>
            </w:r>
            <w:r w:rsidRPr="00996A12">
              <w:rPr>
                <w:rFonts w:ascii="Times New Roman" w:hAnsi="Times New Roman"/>
                <w:color w:val="000000"/>
                <w:lang w:bidi="pl-PL"/>
              </w:rPr>
              <w:t xml:space="preserve"> pokazie. </w:t>
            </w:r>
          </w:p>
          <w:p w14:paraId="0D5C6DA9" w14:textId="26E6D71B"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t xml:space="preserve">W ostatnich latach UOKiK obserwuje istotne nasilenie nieuczciwych praktyk przedsiębiorców funkcjonujących na rynku sprzedaży bezpośredniej, czyli zajmujących się sprzedażą towarów i usług poza lokalem przedsiębiorstwa (podczas pokazów, prezentacji, wykładów, pielgrzymek, wycieczek, pobytów w sanatoriach, jak również podczas tzw. sprzedaży </w:t>
            </w:r>
            <w:proofErr w:type="spellStart"/>
            <w:r w:rsidRPr="00996A12">
              <w:rPr>
                <w:rFonts w:ascii="Times New Roman" w:hAnsi="Times New Roman"/>
                <w:color w:val="000000"/>
              </w:rPr>
              <w:t>door</w:t>
            </w:r>
            <w:proofErr w:type="spellEnd"/>
            <w:r w:rsidRPr="00996A12">
              <w:rPr>
                <w:rFonts w:ascii="Times New Roman" w:hAnsi="Times New Roman"/>
                <w:color w:val="000000"/>
              </w:rPr>
              <w:t>-to-</w:t>
            </w:r>
            <w:proofErr w:type="spellStart"/>
            <w:r w:rsidRPr="00996A12">
              <w:rPr>
                <w:rFonts w:ascii="Times New Roman" w:hAnsi="Times New Roman"/>
                <w:color w:val="000000"/>
              </w:rPr>
              <w:t>door</w:t>
            </w:r>
            <w:proofErr w:type="spellEnd"/>
            <w:r w:rsidRPr="00996A12">
              <w:rPr>
                <w:rFonts w:ascii="Times New Roman" w:hAnsi="Times New Roman"/>
                <w:color w:val="000000"/>
              </w:rPr>
              <w:t>). Z danych UOKiK wynika, że skargi wpływające do UOKiK (ok. 600 rocznie) to 20% rzeczywistej liczby prz</w:t>
            </w:r>
            <w:r w:rsidR="006D3979" w:rsidRPr="00996A12">
              <w:rPr>
                <w:rFonts w:ascii="Times New Roman" w:hAnsi="Times New Roman"/>
                <w:color w:val="000000"/>
              </w:rPr>
              <w:t>y</w:t>
            </w:r>
            <w:r w:rsidRPr="00996A12">
              <w:rPr>
                <w:rFonts w:ascii="Times New Roman" w:hAnsi="Times New Roman"/>
                <w:color w:val="000000"/>
              </w:rPr>
              <w:t>padków oraz że zgłaszane są przede wszystkim skargi na sprzedaż produktów o większej wartości. Należy zatem podkreślić, że liczba wpływających skarg prawdopodobnie nie odzwierciedla skali problemu, trzeba bowiem pamiętać, że kwestionowane praktyki w zakresie zawierania umów poza lokalem, w szczególności podczas pokazów skierowane są do osób starszych o mniejszej wiedzy na temat praw przysługujących konsumentowi. Najczęściej zgłaszane UOKiK potencjalne naruszenia praw konsumentów obejmują:</w:t>
            </w:r>
          </w:p>
          <w:p w14:paraId="2DE7AA96" w14:textId="77777777"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t>- ukrywanie handlowego celu pokazu zarówno na etapie zaproszenia na pokaz jak i podczas pokazu,</w:t>
            </w:r>
          </w:p>
          <w:p w14:paraId="2B880D31" w14:textId="77777777"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lastRenderedPageBreak/>
              <w:t>- wprowadzanie konsumentów w błąd co do stanu ich zdrowia, celem wzbudzenia potrzeby zakupu pakietu medycznego, wyrobu medycznego lub urządzenia paramedycznego,</w:t>
            </w:r>
          </w:p>
          <w:p w14:paraId="1D6EDC55" w14:textId="77777777"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t>- wprowadzanie w błąd konsumenta poprzez przypisywanie sprzedawanym produktom określonych certyfikatów lub wyróżnień, które albo nie istnieją albo nie zostały przyznane tym produktom,</w:t>
            </w:r>
          </w:p>
          <w:p w14:paraId="41075FF4" w14:textId="77777777"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t>- wprowadzanie w błąd konsumenta poprzez powoływanie się na autorytety osób bądź instytucji,</w:t>
            </w:r>
          </w:p>
          <w:p w14:paraId="52F8DA86" w14:textId="06C4F466"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t>- celowe podawanie zawyżonej wartości produktów sprzedawanych na pokazach, która nie stanowi ich faktycznej ceny sprzedaży, czy też wskazywanie na nieistniejące rabaty, co sugeruje konsumentom istnienie szczególnej korzyści cenowej (tzw. technika „uciekającej okazji”</w:t>
            </w:r>
            <w:r w:rsidR="003A203A" w:rsidRPr="00996A12">
              <w:rPr>
                <w:rFonts w:ascii="Times New Roman" w:hAnsi="Times New Roman"/>
                <w:color w:val="000000"/>
              </w:rPr>
              <w:t>)</w:t>
            </w:r>
            <w:r w:rsidRPr="00996A12">
              <w:rPr>
                <w:rFonts w:ascii="Times New Roman" w:hAnsi="Times New Roman"/>
                <w:color w:val="000000"/>
              </w:rPr>
              <w:t>,</w:t>
            </w:r>
          </w:p>
          <w:p w14:paraId="2FE41A14" w14:textId="77777777" w:rsidR="00E9524B" w:rsidRPr="00996A12" w:rsidRDefault="00E9524B" w:rsidP="00E9524B">
            <w:pPr>
              <w:spacing w:line="240" w:lineRule="auto"/>
              <w:jc w:val="both"/>
              <w:rPr>
                <w:rFonts w:ascii="Times New Roman" w:hAnsi="Times New Roman"/>
                <w:color w:val="000000"/>
                <w:lang w:bidi="pl-PL"/>
              </w:rPr>
            </w:pPr>
            <w:r w:rsidRPr="00996A12">
              <w:rPr>
                <w:rFonts w:ascii="Times New Roman" w:hAnsi="Times New Roman"/>
                <w:color w:val="000000"/>
                <w:lang w:bidi="pl-PL"/>
              </w:rPr>
              <w:t>- techniki sprzedażowe mające na celu skłonienie do zawarcia dodatkowych umów dotyczących usług finansowych np. pożyczki, w celu sfinansowania płatności za oferowane w formie sprzedaży poza lokalem usługi czy produkty,</w:t>
            </w:r>
          </w:p>
          <w:p w14:paraId="5CC92B1C" w14:textId="77777777" w:rsidR="00E9524B" w:rsidRPr="00996A12" w:rsidRDefault="00E9524B" w:rsidP="00E9524B">
            <w:pPr>
              <w:spacing w:line="240" w:lineRule="auto"/>
              <w:jc w:val="both"/>
              <w:rPr>
                <w:rFonts w:ascii="Times New Roman" w:hAnsi="Times New Roman"/>
                <w:color w:val="000000"/>
                <w:lang w:bidi="pl-PL"/>
              </w:rPr>
            </w:pPr>
            <w:r w:rsidRPr="00996A12">
              <w:rPr>
                <w:rFonts w:ascii="Times New Roman" w:hAnsi="Times New Roman"/>
                <w:color w:val="000000"/>
                <w:lang w:bidi="pl-PL"/>
              </w:rPr>
              <w:t xml:space="preserve">- </w:t>
            </w:r>
            <w:r w:rsidRPr="00996A12">
              <w:rPr>
                <w:rFonts w:ascii="Times New Roman" w:hAnsi="Times New Roman"/>
                <w:color w:val="000000"/>
              </w:rPr>
              <w:t>nieuczciwe praktyki rynkowe na etapie wykonywania kontraktu, to w zdecydowanej większości działania, których celem lub skutkiem jest utrudnienie lub uniemożliwienie odstąpienia od umowy w ustawowym 14-dniowym terminie</w:t>
            </w:r>
            <w:r w:rsidRPr="00996A12">
              <w:rPr>
                <w:rFonts w:ascii="Times New Roman" w:hAnsi="Times New Roman"/>
                <w:color w:val="000000"/>
                <w:lang w:bidi="pl-PL"/>
              </w:rPr>
              <w:t xml:space="preserve">. </w:t>
            </w:r>
          </w:p>
          <w:p w14:paraId="2C87B3B4" w14:textId="77777777" w:rsidR="00E9524B" w:rsidRPr="00996A12" w:rsidRDefault="00E9524B" w:rsidP="00E9524B">
            <w:pPr>
              <w:spacing w:line="240" w:lineRule="auto"/>
              <w:jc w:val="both"/>
              <w:rPr>
                <w:rFonts w:ascii="Times New Roman" w:hAnsi="Times New Roman"/>
                <w:color w:val="000000"/>
              </w:rPr>
            </w:pPr>
            <w:r w:rsidRPr="00996A12">
              <w:rPr>
                <w:rFonts w:ascii="Times New Roman" w:hAnsi="Times New Roman"/>
                <w:color w:val="000000"/>
              </w:rPr>
              <w:t>Pomimo licznych działań UOKiK w tym obszarze, obecnie istniejące instrumenty prawne, pozostające zarówno w dyspozycji konsumentów (wspomaganych przez rzeczników konsumentów czy organizacje społeczne), jak i organów administracji, w tym UOKiK, nie zawsze są wystarczająco skuteczne. Pomimo wielu wysiłków ze strony UOKiK oraz innych instytucji zaangażowanych w ochronę konsumentów w kraju, nie zmniejsza się ilość skarg dotyczących praktyk przedsiębiorców polegających m.in. na organizowaniu pokazów, w trakcie których konsument ma możliwość dokonania zakupu określonych towarów. Decyzje wydawane przez Prezesa Urzędu nie zawsze są skuteczne, bowiem bardzo często, w celu uniknięcia odpowiedzialności, przedsiębiorcy dokonują przekształceń podmiotowych, w rezultacie których, w chwili wydawania decyzji albo później, w toku postępowania sądowego lub egzekucji kary pieniężnej, podmiot już nie istnieje. Zdarza się również, że w cały proces manipulowania konsumentem przy sprzedaży produktu, zaangażowanych jest kilka podmiotów, tzn. inny podmiot zaprasza na pokazy, inny je prowadzi i inny zawiera z konsumentem umowy. Taka rozproszona odpowiedzialność utrudnia działania nie tylko Prezesa Urzędu, ale również dochodzenie roszczeń indywidualnych przez konsumentów. Nie bez znaczenia dla skuteczności działań UOKiK ma też długotrwałość sądowej kontroli decyzji administracyjnych, która w obu instancjach wynosi średnio około 4 lat od wydania decyzji. Ponadto typy nieuczciwych działań przedsiębiorców na tym rynku cały czas ewoluują i stają się coraz bardziej wyrafinowane, a tym samym trudniejsze do zdefiniowania i zakwestionowania w oparciu o obowiązujące regulacje prawne.</w:t>
            </w:r>
          </w:p>
          <w:p w14:paraId="6D05D4C2" w14:textId="77777777" w:rsidR="00E9524B" w:rsidRPr="00996A12" w:rsidRDefault="00E9524B" w:rsidP="00E9524B">
            <w:pPr>
              <w:spacing w:line="240" w:lineRule="auto"/>
              <w:jc w:val="both"/>
              <w:rPr>
                <w:rFonts w:ascii="Times New Roman" w:eastAsia="Times New Roman" w:hAnsi="Times New Roman"/>
                <w:color w:val="000000"/>
                <w:lang w:eastAsia="pl-PL"/>
              </w:rPr>
            </w:pPr>
            <w:r w:rsidRPr="00996A12">
              <w:rPr>
                <w:rFonts w:ascii="Times New Roman" w:eastAsia="Times New Roman" w:hAnsi="Times New Roman"/>
                <w:color w:val="000000"/>
                <w:lang w:eastAsia="pl-PL"/>
              </w:rPr>
              <w:t xml:space="preserve">Konieczne stało się zatem podjęcie prac legislacyjnych nad nowymi rozwiązaniami prawnymi, które przyczynią się do zwiększenia poziomu ochrony konsumentów, zwłaszcza seniorów w zakresie umów zawieranych poza lokalem przedsiębiorstwa, w szczególności na pokazach – patrz pkt 2.II. „Istota rozwiązań ujętych w projekcie”. </w:t>
            </w:r>
          </w:p>
          <w:p w14:paraId="0B36FC83" w14:textId="77777777" w:rsidR="006A701A" w:rsidRPr="00996A12" w:rsidRDefault="006A701A" w:rsidP="00E9524B">
            <w:pPr>
              <w:spacing w:line="240" w:lineRule="auto"/>
              <w:jc w:val="both"/>
              <w:rPr>
                <w:rFonts w:ascii="Times New Roman" w:hAnsi="Times New Roman"/>
                <w:color w:val="000000"/>
              </w:rPr>
            </w:pPr>
          </w:p>
        </w:tc>
      </w:tr>
      <w:tr w:rsidR="006A701A" w:rsidRPr="00996A12" w14:paraId="5A32011F" w14:textId="77777777" w:rsidTr="00196538">
        <w:trPr>
          <w:trHeight w:val="142"/>
        </w:trPr>
        <w:tc>
          <w:tcPr>
            <w:tcW w:w="10803" w:type="dxa"/>
            <w:gridSpan w:val="28"/>
            <w:shd w:val="clear" w:color="auto" w:fill="99CCFF"/>
            <w:vAlign w:val="center"/>
          </w:tcPr>
          <w:p w14:paraId="2B50EA1C" w14:textId="77777777" w:rsidR="006A701A" w:rsidRPr="00996A12" w:rsidRDefault="0013216E" w:rsidP="00C53F26">
            <w:pPr>
              <w:numPr>
                <w:ilvl w:val="0"/>
                <w:numId w:val="3"/>
              </w:numPr>
              <w:spacing w:before="60" w:after="60" w:line="240" w:lineRule="auto"/>
              <w:ind w:left="318" w:hanging="284"/>
              <w:jc w:val="both"/>
              <w:rPr>
                <w:rFonts w:ascii="Times New Roman" w:hAnsi="Times New Roman"/>
                <w:b/>
                <w:color w:val="000000"/>
              </w:rPr>
            </w:pPr>
            <w:r w:rsidRPr="00996A12">
              <w:rPr>
                <w:rFonts w:ascii="Times New Roman" w:hAnsi="Times New Roman"/>
                <w:b/>
                <w:color w:val="000000"/>
                <w:spacing w:val="-2"/>
              </w:rPr>
              <w:lastRenderedPageBreak/>
              <w:t>Rekomendowane rozwiązanie, w tym planowane narzędzia interwencji, i oczekiwany efekt</w:t>
            </w:r>
          </w:p>
        </w:tc>
      </w:tr>
      <w:tr w:rsidR="006A701A" w:rsidRPr="00996A12" w14:paraId="597362EE" w14:textId="77777777" w:rsidTr="00196538">
        <w:trPr>
          <w:trHeight w:val="142"/>
        </w:trPr>
        <w:tc>
          <w:tcPr>
            <w:tcW w:w="10803" w:type="dxa"/>
            <w:gridSpan w:val="28"/>
            <w:shd w:val="clear" w:color="auto" w:fill="auto"/>
          </w:tcPr>
          <w:p w14:paraId="4B61F101" w14:textId="77777777" w:rsidR="00C07962" w:rsidRPr="00996A12" w:rsidRDefault="007B60BF" w:rsidP="00C07962">
            <w:pPr>
              <w:spacing w:line="240" w:lineRule="auto"/>
              <w:jc w:val="both"/>
              <w:rPr>
                <w:rFonts w:ascii="Times New Roman" w:hAnsi="Times New Roman"/>
                <w:spacing w:val="-2"/>
              </w:rPr>
            </w:pPr>
            <w:r w:rsidRPr="00996A12">
              <w:rPr>
                <w:rFonts w:ascii="Times New Roman" w:hAnsi="Times New Roman"/>
                <w:b/>
                <w:spacing w:val="-2"/>
              </w:rPr>
              <w:t>I</w:t>
            </w:r>
            <w:r w:rsidRPr="00996A12">
              <w:rPr>
                <w:rFonts w:ascii="Times New Roman" w:hAnsi="Times New Roman"/>
                <w:spacing w:val="-2"/>
              </w:rPr>
              <w:t xml:space="preserve">. </w:t>
            </w:r>
            <w:r w:rsidR="00C07962" w:rsidRPr="00996A12">
              <w:rPr>
                <w:rFonts w:ascii="Times New Roman" w:hAnsi="Times New Roman"/>
                <w:spacing w:val="-2"/>
              </w:rPr>
              <w:t>Należy wyjaśnić, że w zakresie przepisów dyrektywy</w:t>
            </w:r>
            <w:r w:rsidR="00CD5704" w:rsidRPr="00996A12">
              <w:rPr>
                <w:rFonts w:ascii="Times New Roman" w:hAnsi="Times New Roman"/>
                <w:spacing w:val="-2"/>
              </w:rPr>
              <w:t xml:space="preserve"> Omnibus</w:t>
            </w:r>
            <w:r w:rsidR="00C07962" w:rsidRPr="00996A12">
              <w:rPr>
                <w:rFonts w:ascii="Times New Roman" w:hAnsi="Times New Roman"/>
                <w:spacing w:val="-2"/>
              </w:rPr>
              <w:t xml:space="preserve">, które przewidują skuteczniejsze, bardziej proporcjonalne i zniechęcające sankcje za powszechne naruszenia transgraniczne oraz w zakresie obowiązku do określenia indywidualnych środków prawnych  ochrony praw konsumentów – te rozwiązania nie wymagają implementacji, gdyż już obecne regulacje ustawy o ochronie konkurencji i konsumentów zawierają </w:t>
            </w:r>
            <w:r w:rsidR="00CD5704" w:rsidRPr="00996A12">
              <w:rPr>
                <w:rFonts w:ascii="Times New Roman" w:hAnsi="Times New Roman"/>
                <w:spacing w:val="-2"/>
              </w:rPr>
              <w:t>rozwiązania wymagane ww. dyrektywą, jak też przepisy ustawy o przeciwdziałaniu nieuczciwym praktykom rynkowym określają katalog środków prawnych przysługujących konsumentom w sytuacji naruszeń.</w:t>
            </w:r>
          </w:p>
          <w:p w14:paraId="07679F0A" w14:textId="77777777" w:rsidR="00A76AC7" w:rsidRPr="00996A12" w:rsidRDefault="00A76AC7" w:rsidP="002B1B54">
            <w:pPr>
              <w:spacing w:line="240" w:lineRule="auto"/>
              <w:jc w:val="both"/>
              <w:rPr>
                <w:rFonts w:ascii="Times New Roman" w:hAnsi="Times New Roman"/>
                <w:spacing w:val="-2"/>
              </w:rPr>
            </w:pPr>
          </w:p>
          <w:p w14:paraId="2D4CF6C9" w14:textId="77777777" w:rsidR="00A76AC7" w:rsidRPr="00996A12" w:rsidRDefault="00A76AC7" w:rsidP="002B1B54">
            <w:pPr>
              <w:spacing w:line="240" w:lineRule="auto"/>
              <w:jc w:val="both"/>
              <w:rPr>
                <w:rFonts w:ascii="Times New Roman" w:hAnsi="Times New Roman"/>
                <w:spacing w:val="-2"/>
              </w:rPr>
            </w:pPr>
            <w:r w:rsidRPr="00996A12">
              <w:rPr>
                <w:rFonts w:ascii="Times New Roman" w:hAnsi="Times New Roman"/>
                <w:spacing w:val="-2"/>
              </w:rPr>
              <w:t>Implementacja dyrektywy</w:t>
            </w:r>
            <w:r w:rsidRPr="00996A12">
              <w:rPr>
                <w:rFonts w:ascii="Times New Roman" w:hAnsi="Times New Roman"/>
                <w:b/>
                <w:spacing w:val="-2"/>
              </w:rPr>
              <w:t xml:space="preserve"> </w:t>
            </w:r>
            <w:r w:rsidRPr="00996A12">
              <w:rPr>
                <w:rFonts w:ascii="Times New Roman" w:hAnsi="Times New Roman"/>
                <w:spacing w:val="-2"/>
              </w:rPr>
              <w:t xml:space="preserve">2019/2161 </w:t>
            </w:r>
            <w:r w:rsidR="00CA6F3A" w:rsidRPr="00996A12">
              <w:rPr>
                <w:rFonts w:ascii="Times New Roman" w:hAnsi="Times New Roman"/>
                <w:spacing w:val="-2"/>
              </w:rPr>
              <w:t>Omnibus wymaga wprowadzenia zmian w kilku ustawach konsumenckich takich jak:</w:t>
            </w:r>
          </w:p>
          <w:p w14:paraId="7CA440AD" w14:textId="77777777" w:rsidR="00CA6F3A" w:rsidRPr="00996A12" w:rsidRDefault="00CA6F3A" w:rsidP="002B1B54">
            <w:pPr>
              <w:spacing w:line="240" w:lineRule="auto"/>
              <w:jc w:val="both"/>
              <w:rPr>
                <w:rFonts w:ascii="Times New Roman" w:hAnsi="Times New Roman"/>
                <w:spacing w:val="-2"/>
              </w:rPr>
            </w:pPr>
            <w:r w:rsidRPr="00996A12">
              <w:rPr>
                <w:rFonts w:ascii="Times New Roman" w:hAnsi="Times New Roman"/>
                <w:spacing w:val="-2"/>
              </w:rPr>
              <w:t>- w ustawie z dnia 16 lutego 2007 r. o ochronie konkurencji i konsumentów (Dz.U. z 2020 r. poz. 1076),</w:t>
            </w:r>
          </w:p>
          <w:p w14:paraId="44522DE0" w14:textId="77777777" w:rsidR="00CA6F3A" w:rsidRPr="00996A12" w:rsidRDefault="00CA6F3A" w:rsidP="002B1B54">
            <w:pPr>
              <w:spacing w:line="240" w:lineRule="auto"/>
              <w:jc w:val="both"/>
              <w:rPr>
                <w:rFonts w:ascii="Times New Roman" w:hAnsi="Times New Roman"/>
                <w:spacing w:val="-2"/>
              </w:rPr>
            </w:pPr>
            <w:r w:rsidRPr="00996A12">
              <w:rPr>
                <w:rFonts w:ascii="Times New Roman" w:hAnsi="Times New Roman"/>
                <w:spacing w:val="-2"/>
              </w:rPr>
              <w:t>- w ustawie z dnia 23 sierpnia 2007 r. o przeciwdziałaniu nieuczciwym praktykom rynkowym (Dz.U. z 2017 r. poz. 2070),</w:t>
            </w:r>
          </w:p>
          <w:p w14:paraId="1FB6BC20" w14:textId="77777777" w:rsidR="00CA6F3A" w:rsidRPr="00996A12" w:rsidRDefault="00CA6F3A" w:rsidP="002B1B54">
            <w:pPr>
              <w:spacing w:line="240" w:lineRule="auto"/>
              <w:jc w:val="both"/>
              <w:rPr>
                <w:rFonts w:ascii="Times New Roman" w:hAnsi="Times New Roman"/>
                <w:spacing w:val="-2"/>
              </w:rPr>
            </w:pPr>
            <w:r w:rsidRPr="00996A12">
              <w:rPr>
                <w:rFonts w:ascii="Times New Roman" w:hAnsi="Times New Roman"/>
                <w:spacing w:val="-2"/>
              </w:rPr>
              <w:t xml:space="preserve">- w ustawie z dnia 9 maja 2014 r. o informowaniu o cenach towarów i usług (Dz. U. z 2019 r. poz. 178) oraz </w:t>
            </w:r>
          </w:p>
          <w:p w14:paraId="405BD19F" w14:textId="77777777" w:rsidR="00CA6F3A" w:rsidRPr="00996A12" w:rsidRDefault="00CA6F3A" w:rsidP="002B1B54">
            <w:pPr>
              <w:spacing w:line="240" w:lineRule="auto"/>
              <w:jc w:val="both"/>
              <w:rPr>
                <w:rFonts w:ascii="Times New Roman" w:hAnsi="Times New Roman"/>
                <w:bCs/>
                <w:spacing w:val="-2"/>
              </w:rPr>
            </w:pPr>
            <w:r w:rsidRPr="00996A12">
              <w:rPr>
                <w:rFonts w:ascii="Times New Roman" w:hAnsi="Times New Roman"/>
                <w:spacing w:val="-2"/>
              </w:rPr>
              <w:t>- w ustawie z dnia 30 maja 2014 r. o prawach konsumenta (</w:t>
            </w:r>
            <w:r w:rsidRPr="00996A12">
              <w:rPr>
                <w:rFonts w:ascii="Times New Roman" w:hAnsi="Times New Roman"/>
                <w:bCs/>
                <w:spacing w:val="-2"/>
              </w:rPr>
              <w:t>Dz.U. z 2020 r. poz. 287).</w:t>
            </w:r>
          </w:p>
          <w:p w14:paraId="1D858ADE" w14:textId="77777777" w:rsidR="00CA6F3A" w:rsidRPr="00996A12" w:rsidRDefault="00CA6F3A" w:rsidP="002B1B54">
            <w:pPr>
              <w:spacing w:line="240" w:lineRule="auto"/>
              <w:jc w:val="both"/>
              <w:rPr>
                <w:rFonts w:ascii="Times New Roman" w:hAnsi="Times New Roman"/>
                <w:bCs/>
                <w:spacing w:val="-2"/>
              </w:rPr>
            </w:pPr>
            <w:r w:rsidRPr="00996A12">
              <w:rPr>
                <w:rFonts w:ascii="Times New Roman" w:hAnsi="Times New Roman"/>
                <w:bCs/>
                <w:spacing w:val="-2"/>
              </w:rPr>
              <w:t xml:space="preserve">Implementacja przyjmie więc formę projektu ustawy o zmianie ustawy o </w:t>
            </w:r>
            <w:r w:rsidR="002B5309" w:rsidRPr="00996A12">
              <w:rPr>
                <w:rFonts w:ascii="Times New Roman" w:hAnsi="Times New Roman"/>
                <w:bCs/>
                <w:spacing w:val="-2"/>
              </w:rPr>
              <w:t xml:space="preserve">prawach konsumenta </w:t>
            </w:r>
            <w:r w:rsidRPr="00996A12">
              <w:rPr>
                <w:rFonts w:ascii="Times New Roman" w:hAnsi="Times New Roman"/>
                <w:bCs/>
                <w:spacing w:val="-2"/>
              </w:rPr>
              <w:t>oraz niektórych innych ustaw. Zasadnicze zmiany będą wprowadzane do ustawy o prawach konsumenta oraz ustawy o przeciwdziałaniu</w:t>
            </w:r>
            <w:r w:rsidR="00434D19" w:rsidRPr="00996A12">
              <w:rPr>
                <w:rFonts w:ascii="Times New Roman" w:hAnsi="Times New Roman"/>
                <w:bCs/>
                <w:spacing w:val="-2"/>
              </w:rPr>
              <w:t xml:space="preserve"> nieuczciwym praktykom rynkowym</w:t>
            </w:r>
            <w:r w:rsidRPr="00996A12">
              <w:rPr>
                <w:rFonts w:ascii="Times New Roman" w:hAnsi="Times New Roman"/>
                <w:bCs/>
                <w:spacing w:val="-2"/>
              </w:rPr>
              <w:t xml:space="preserve"> natomiast w ustawie o ochronie konkurencji i konsumentów zmiany są </w:t>
            </w:r>
            <w:r w:rsidR="00434D19" w:rsidRPr="00996A12">
              <w:rPr>
                <w:rFonts w:ascii="Times New Roman" w:hAnsi="Times New Roman"/>
                <w:bCs/>
                <w:spacing w:val="-2"/>
              </w:rPr>
              <w:t xml:space="preserve"> ograniczone.</w:t>
            </w:r>
          </w:p>
          <w:p w14:paraId="272D32C7" w14:textId="77777777" w:rsidR="005A3137" w:rsidRPr="00996A12" w:rsidRDefault="00915D8B" w:rsidP="005A3137">
            <w:pPr>
              <w:spacing w:line="240" w:lineRule="auto"/>
              <w:jc w:val="both"/>
              <w:rPr>
                <w:rFonts w:ascii="Times New Roman" w:hAnsi="Times New Roman"/>
                <w:bCs/>
                <w:spacing w:val="-2"/>
              </w:rPr>
            </w:pPr>
            <w:r w:rsidRPr="00996A12">
              <w:rPr>
                <w:rFonts w:ascii="Times New Roman" w:hAnsi="Times New Roman"/>
                <w:bCs/>
                <w:spacing w:val="-2"/>
              </w:rPr>
              <w:t xml:space="preserve">Dyrektywa Omnibus zmieniając dyrektywę 2011/83 w sprawie praw konsumentów wprowadza m.in. przepisy dostosowujące do </w:t>
            </w:r>
            <w:r w:rsidR="005A3137" w:rsidRPr="00996A12">
              <w:rPr>
                <w:rFonts w:ascii="Times New Roman" w:hAnsi="Times New Roman"/>
                <w:bCs/>
                <w:spacing w:val="-2"/>
              </w:rPr>
              <w:t>dyrektywy Parlamentu Europejskiego i Rady (UE) 2019/7</w:t>
            </w:r>
            <w:r w:rsidR="00CD5704" w:rsidRPr="00996A12">
              <w:rPr>
                <w:rFonts w:ascii="Times New Roman" w:hAnsi="Times New Roman"/>
                <w:bCs/>
                <w:spacing w:val="-2"/>
              </w:rPr>
              <w:t>70 dyrektywy cyfrowej</w:t>
            </w:r>
            <w:r w:rsidR="005A3137" w:rsidRPr="00996A12">
              <w:rPr>
                <w:rFonts w:ascii="Times New Roman" w:hAnsi="Times New Roman"/>
                <w:bCs/>
                <w:spacing w:val="-2"/>
              </w:rPr>
              <w:t xml:space="preserve"> oraz dyrektywy Parlamentu Europejskiego i Rady (UE) 2019/771 </w:t>
            </w:r>
            <w:r w:rsidR="00CD5704" w:rsidRPr="00996A12">
              <w:rPr>
                <w:rFonts w:ascii="Times New Roman" w:hAnsi="Times New Roman"/>
                <w:bCs/>
                <w:spacing w:val="-2"/>
              </w:rPr>
              <w:t>dyrektywy towarowej</w:t>
            </w:r>
            <w:r w:rsidR="005A3137" w:rsidRPr="00996A12">
              <w:rPr>
                <w:rFonts w:ascii="Times New Roman" w:hAnsi="Times New Roman"/>
                <w:bCs/>
                <w:spacing w:val="-2"/>
              </w:rPr>
              <w:t>. Dyrektywy te weszły w życie z dniem 11 czerwca 2019 r., a państwa członkowskie zobowiązane są do przyjęcia implementujących je przepisów do dnia 1 lipca 2021 r., z mocą od dnia 1 stycznia 2022 r.</w:t>
            </w:r>
          </w:p>
          <w:p w14:paraId="0C01C4C1" w14:textId="7AFA5D5D" w:rsidR="005A3137" w:rsidRPr="00996A12" w:rsidRDefault="005A3137" w:rsidP="005A3137">
            <w:pPr>
              <w:spacing w:line="240" w:lineRule="auto"/>
              <w:jc w:val="both"/>
              <w:rPr>
                <w:rFonts w:ascii="Times New Roman" w:hAnsi="Times New Roman"/>
                <w:bCs/>
                <w:spacing w:val="-2"/>
              </w:rPr>
            </w:pPr>
            <w:r w:rsidRPr="00996A12">
              <w:rPr>
                <w:rFonts w:ascii="Times New Roman" w:hAnsi="Times New Roman"/>
                <w:bCs/>
                <w:spacing w:val="-2"/>
              </w:rPr>
              <w:t>Prace imple</w:t>
            </w:r>
            <w:r w:rsidR="00CD5704" w:rsidRPr="00996A12">
              <w:rPr>
                <w:rFonts w:ascii="Times New Roman" w:hAnsi="Times New Roman"/>
                <w:bCs/>
                <w:spacing w:val="-2"/>
              </w:rPr>
              <w:t>mentacyjne nad dyrektywą cyfrową</w:t>
            </w:r>
            <w:r w:rsidRPr="00996A12">
              <w:rPr>
                <w:rFonts w:ascii="Times New Roman" w:hAnsi="Times New Roman"/>
                <w:bCs/>
                <w:spacing w:val="-2"/>
              </w:rPr>
              <w:t>, jak i dyrektywą towarową prowadzi Ministerstwo Sprawiedliwości</w:t>
            </w:r>
            <w:r w:rsidR="00F4157C" w:rsidRPr="00996A12">
              <w:rPr>
                <w:rFonts w:ascii="Times New Roman" w:hAnsi="Times New Roman"/>
                <w:bCs/>
                <w:spacing w:val="-2"/>
              </w:rPr>
              <w:t xml:space="preserve"> </w:t>
            </w:r>
            <w:r w:rsidR="004B2FAC" w:rsidRPr="00996A12">
              <w:rPr>
                <w:rFonts w:ascii="Times New Roman" w:hAnsi="Times New Roman"/>
                <w:bCs/>
                <w:spacing w:val="-2"/>
              </w:rPr>
              <w:t xml:space="preserve">(projekt UC53 w trakcie uzgodnień  międzyresortowych), </w:t>
            </w:r>
            <w:r w:rsidRPr="00996A12">
              <w:rPr>
                <w:rFonts w:ascii="Times New Roman" w:hAnsi="Times New Roman"/>
                <w:bCs/>
                <w:spacing w:val="-2"/>
              </w:rPr>
              <w:t>które wdraża obydwie dyrektywy do przepisów ustawy z dnia 30 maja 2014 r. o prawach konsumenta wyłączając w pewnym zakresie stosowanie przepisów Kodeksu cywilnego do np. rękojmi konsumenckiej poprzez jej odrębne uregulowanie w ww. ustawie o prawach konsumenta.</w:t>
            </w:r>
            <w:r w:rsidR="004B2FAC" w:rsidRPr="00996A12">
              <w:rPr>
                <w:rFonts w:ascii="Times New Roman" w:hAnsi="Times New Roman"/>
                <w:bCs/>
                <w:spacing w:val="-2"/>
              </w:rPr>
              <w:t xml:space="preserve"> </w:t>
            </w:r>
          </w:p>
          <w:p w14:paraId="3AE5C607" w14:textId="77777777" w:rsidR="006F442C" w:rsidRPr="00996A12" w:rsidRDefault="00497666" w:rsidP="006F442C">
            <w:pPr>
              <w:spacing w:line="240" w:lineRule="auto"/>
              <w:jc w:val="both"/>
              <w:rPr>
                <w:rFonts w:ascii="Times New Roman" w:hAnsi="Times New Roman"/>
                <w:bCs/>
                <w:color w:val="000000"/>
                <w:spacing w:val="-2"/>
              </w:rPr>
            </w:pPr>
            <w:r w:rsidRPr="00996A12">
              <w:rPr>
                <w:rFonts w:ascii="Times New Roman" w:hAnsi="Times New Roman"/>
                <w:color w:val="000000"/>
                <w:spacing w:val="-2"/>
              </w:rPr>
              <w:t xml:space="preserve">Niezależnie od powyższego najważniejsze zmiany wynikające z implementacji dyrektywy Omnibus w projekcie </w:t>
            </w:r>
            <w:r w:rsidRPr="00996A12">
              <w:rPr>
                <w:rFonts w:ascii="Times New Roman" w:hAnsi="Times New Roman"/>
                <w:bCs/>
                <w:color w:val="000000"/>
                <w:spacing w:val="-2"/>
              </w:rPr>
              <w:t xml:space="preserve">ustawy o zmianie ustawy </w:t>
            </w:r>
            <w:r w:rsidR="0086044D" w:rsidRPr="00996A12">
              <w:rPr>
                <w:rFonts w:ascii="Times New Roman" w:hAnsi="Times New Roman"/>
                <w:bCs/>
                <w:color w:val="000000"/>
                <w:spacing w:val="-2"/>
              </w:rPr>
              <w:t xml:space="preserve">prawach konsumenta </w:t>
            </w:r>
            <w:r w:rsidRPr="00996A12">
              <w:rPr>
                <w:rFonts w:ascii="Times New Roman" w:hAnsi="Times New Roman"/>
                <w:bCs/>
                <w:color w:val="000000"/>
                <w:spacing w:val="-2"/>
              </w:rPr>
              <w:t>oraz niektórych innych ustaw dotyczą</w:t>
            </w:r>
            <w:r w:rsidR="004E489C" w:rsidRPr="00996A12">
              <w:rPr>
                <w:rFonts w:ascii="Times New Roman" w:hAnsi="Times New Roman"/>
                <w:bCs/>
                <w:color w:val="000000"/>
                <w:spacing w:val="-2"/>
              </w:rPr>
              <w:t xml:space="preserve"> m.in</w:t>
            </w:r>
            <w:r w:rsidRPr="00996A12">
              <w:rPr>
                <w:rFonts w:ascii="Times New Roman" w:hAnsi="Times New Roman"/>
                <w:bCs/>
                <w:color w:val="000000"/>
                <w:spacing w:val="-2"/>
              </w:rPr>
              <w:t>:</w:t>
            </w:r>
          </w:p>
          <w:p w14:paraId="1BEAD0F0" w14:textId="77777777" w:rsidR="00497666" w:rsidRPr="00996A12" w:rsidRDefault="00497666" w:rsidP="00497666">
            <w:pPr>
              <w:pStyle w:val="Akapitzlist"/>
              <w:numPr>
                <w:ilvl w:val="0"/>
                <w:numId w:val="27"/>
              </w:numPr>
              <w:spacing w:line="240" w:lineRule="auto"/>
              <w:jc w:val="both"/>
              <w:rPr>
                <w:rFonts w:ascii="Times New Roman" w:hAnsi="Times New Roman"/>
                <w:color w:val="000000"/>
                <w:spacing w:val="-2"/>
              </w:rPr>
            </w:pPr>
            <w:r w:rsidRPr="00996A12">
              <w:rPr>
                <w:rFonts w:ascii="Times New Roman" w:hAnsi="Times New Roman"/>
                <w:b/>
                <w:color w:val="000000"/>
                <w:spacing w:val="-2"/>
              </w:rPr>
              <w:lastRenderedPageBreak/>
              <w:t>w ustawie z dnia 16 lutego 2007 r. o ochronie konkurencji i konsumentów</w:t>
            </w:r>
            <w:r w:rsidRPr="00996A12">
              <w:rPr>
                <w:rFonts w:ascii="Times New Roman" w:hAnsi="Times New Roman"/>
                <w:color w:val="000000"/>
                <w:spacing w:val="-2"/>
              </w:rPr>
              <w:t>:</w:t>
            </w:r>
          </w:p>
          <w:p w14:paraId="1A5E4B3A" w14:textId="3AC8BE35" w:rsidR="00497666" w:rsidRPr="00996A12" w:rsidRDefault="00497666"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wprowadzenie przepisu zgodnie, z którym, gdy przed wydaniem decyzji w sprawie nałożenia kary nie można ustalić wysokości obrotu osiągniętego przez przedsiębiorcę w roku obrotowym poprzedzającym rok nałożenia kary ze względu na brak dostępn</w:t>
            </w:r>
            <w:r w:rsidR="004B2FAC" w:rsidRPr="00996A12">
              <w:rPr>
                <w:rFonts w:ascii="Times New Roman" w:hAnsi="Times New Roman"/>
                <w:color w:val="000000"/>
                <w:spacing w:val="-2"/>
              </w:rPr>
              <w:t xml:space="preserve">ości danych </w:t>
            </w:r>
            <w:r w:rsidRPr="00996A12">
              <w:rPr>
                <w:rFonts w:ascii="Times New Roman" w:hAnsi="Times New Roman"/>
                <w:color w:val="000000"/>
                <w:spacing w:val="-2"/>
              </w:rPr>
              <w:t xml:space="preserve">o takim obrocie, </w:t>
            </w:r>
            <w:r w:rsidR="00F4157C" w:rsidRPr="00996A12">
              <w:rPr>
                <w:rFonts w:ascii="Times New Roman" w:hAnsi="Times New Roman"/>
                <w:color w:val="000000"/>
                <w:spacing w:val="-2"/>
              </w:rPr>
              <w:t xml:space="preserve">Prezes Urzędu będzie mógł nałożyć na przedsiębiorcę karę pieniężną </w:t>
            </w:r>
            <w:r w:rsidR="00F4157C" w:rsidRPr="00996A12">
              <w:rPr>
                <w:rFonts w:ascii="Times New Roman" w:hAnsi="Times New Roman"/>
                <w:color w:val="000000"/>
                <w:spacing w:val="-2"/>
              </w:rPr>
              <w:br/>
              <w:t>w wysokości stanowiącej równowartość do</w:t>
            </w:r>
            <w:r w:rsidR="00F4157C" w:rsidRPr="00996A12">
              <w:rPr>
                <w:rFonts w:ascii="Times New Roman" w:hAnsi="Times New Roman"/>
                <w:b/>
                <w:color w:val="000000"/>
                <w:spacing w:val="-2"/>
              </w:rPr>
              <w:t xml:space="preserve">  </w:t>
            </w:r>
            <w:r w:rsidR="00F4157C" w:rsidRPr="00996A12">
              <w:rPr>
                <w:rFonts w:ascii="Times New Roman" w:hAnsi="Times New Roman"/>
                <w:color w:val="000000"/>
                <w:spacing w:val="-2"/>
              </w:rPr>
              <w:t>2 000 000 euro</w:t>
            </w:r>
            <w:r w:rsidRPr="00996A12">
              <w:rPr>
                <w:rFonts w:ascii="Times New Roman" w:hAnsi="Times New Roman"/>
                <w:color w:val="000000"/>
                <w:spacing w:val="-2"/>
              </w:rPr>
              <w:t>,</w:t>
            </w:r>
          </w:p>
          <w:p w14:paraId="2E78A0DA" w14:textId="77777777" w:rsidR="00497666" w:rsidRPr="00996A12" w:rsidRDefault="00497666" w:rsidP="00497666">
            <w:pPr>
              <w:spacing w:line="240" w:lineRule="auto"/>
              <w:ind w:left="360"/>
              <w:jc w:val="both"/>
              <w:rPr>
                <w:rFonts w:ascii="Times New Roman" w:hAnsi="Times New Roman"/>
                <w:color w:val="000000"/>
                <w:spacing w:val="-2"/>
              </w:rPr>
            </w:pPr>
            <w:r w:rsidRPr="00996A12">
              <w:rPr>
                <w:rFonts w:ascii="Times New Roman" w:hAnsi="Times New Roman"/>
                <w:b/>
                <w:color w:val="000000"/>
                <w:spacing w:val="-2"/>
              </w:rPr>
              <w:t xml:space="preserve">- </w:t>
            </w:r>
            <w:r w:rsidR="00346362" w:rsidRPr="00996A12">
              <w:rPr>
                <w:rFonts w:ascii="Times New Roman" w:hAnsi="Times New Roman"/>
                <w:color w:val="000000"/>
                <w:spacing w:val="-2"/>
              </w:rPr>
              <w:t>dodanie dodatkowej przesłanki przed nałożeniem kary za łamanie zakazu praktyk naruszających zbiorowe interesy konsumentów aby Prezes Urzędu brał pod uwagę sankcje nałożone na przedsiębiorcę za to samo naruszenie w innych państwach członkowskich w sprawach transgranicznych, jeżeli informacje o takich sankcjach są dostępne w ramach mechanizmu ustanowionego rozporządzeniem Parlamentu Europejskiego i Rady (UE) 2017/2394 (ta przesłanka może mieć zarówno charakter obciążający jak i łagodzący wysokość kary);</w:t>
            </w:r>
          </w:p>
          <w:p w14:paraId="64BF882F" w14:textId="77777777" w:rsidR="00346362" w:rsidRPr="00996A12" w:rsidRDefault="00346362" w:rsidP="00497666">
            <w:pPr>
              <w:spacing w:line="240" w:lineRule="auto"/>
              <w:ind w:left="360"/>
              <w:jc w:val="both"/>
              <w:rPr>
                <w:rFonts w:ascii="Times New Roman" w:hAnsi="Times New Roman"/>
                <w:color w:val="000000"/>
                <w:spacing w:val="-2"/>
              </w:rPr>
            </w:pPr>
            <w:r w:rsidRPr="00996A12">
              <w:rPr>
                <w:rFonts w:ascii="Times New Roman" w:hAnsi="Times New Roman"/>
                <w:b/>
                <w:color w:val="000000"/>
                <w:spacing w:val="-2"/>
              </w:rPr>
              <w:t xml:space="preserve">2) w </w:t>
            </w:r>
            <w:r w:rsidR="004E489C" w:rsidRPr="00996A12">
              <w:rPr>
                <w:rFonts w:ascii="Times New Roman" w:hAnsi="Times New Roman"/>
                <w:b/>
                <w:color w:val="000000"/>
                <w:spacing w:val="-2"/>
              </w:rPr>
              <w:t>ustawie z dnia 23 sierpnia 2007 r. o przeciwdziałaniu nieuczciwym praktykom rynkowym</w:t>
            </w:r>
            <w:r w:rsidR="004E489C" w:rsidRPr="00996A12">
              <w:rPr>
                <w:rFonts w:ascii="Times New Roman" w:hAnsi="Times New Roman"/>
                <w:color w:val="000000"/>
                <w:spacing w:val="-2"/>
              </w:rPr>
              <w:t>:</w:t>
            </w:r>
          </w:p>
          <w:p w14:paraId="22D86DBC" w14:textId="77777777" w:rsidR="004E489C" w:rsidRPr="00996A12" w:rsidRDefault="004E489C"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wprowadzenie nowych definicji produktu, plasowania, internetowej platformy handlowej,</w:t>
            </w:r>
          </w:p>
          <w:p w14:paraId="63F68608" w14:textId="77777777" w:rsidR="004E489C" w:rsidRPr="00996A12" w:rsidRDefault="004E489C"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wprowadzenie przepisu dającego podstawę do zakwalifikowania jako działanie wprowadzające w błąd „działania przedsiębiorcy związanego z każdym rodzajem wprowadzenia towaru na rynek w jednym państwie członkowskim jako identycznego z towarem wprowadzonym na rynki w innych państwach członkowskich, w sytuacji gdy towar ten w sposób istotny różni się składem lub właściwościami, chyba że przemawiają za tym uzasadnione i obiektywne czynniki”,</w:t>
            </w:r>
          </w:p>
          <w:p w14:paraId="0380DEB7" w14:textId="77777777" w:rsidR="004E489C" w:rsidRPr="00996A12" w:rsidRDefault="004E489C"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xml:space="preserve">- </w:t>
            </w:r>
            <w:r w:rsidR="00560799" w:rsidRPr="00996A12">
              <w:rPr>
                <w:rFonts w:ascii="Times New Roman" w:hAnsi="Times New Roman"/>
                <w:color w:val="000000"/>
                <w:spacing w:val="-2"/>
              </w:rPr>
              <w:t>wprowadzenie nowej kategorii zaniechania wprowadzającego w błąd – w odniesieniu do informacji zamieszczanych na internetowych platformach handlowych – obowiązek podania informacji czy osoba oferująca produkty na platformie jest przedsiębiorcą czy też nie</w:t>
            </w:r>
            <w:r w:rsidR="00250909" w:rsidRPr="00996A12">
              <w:rPr>
                <w:rFonts w:ascii="Times New Roman" w:hAnsi="Times New Roman"/>
                <w:color w:val="000000"/>
                <w:spacing w:val="-2"/>
              </w:rPr>
              <w:t>,</w:t>
            </w:r>
          </w:p>
          <w:p w14:paraId="01ECC4FC" w14:textId="77777777" w:rsidR="00250909" w:rsidRPr="00996A12" w:rsidRDefault="00250909"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xml:space="preserve"> - za istotne informacje uważa się - dotyczące głównych parametrów decydujących o plasowaniu produktów przedstawianych konsumentowi w wyniku wyszukiwania oraz względne znaczenie tych parametrów w porównaniu z innymi parametrami; czy i w jaki sposób przedsiębiorca zapewnia, aby publikowane opinie pochodziły od konsumentów, którzy rzeczywiście używali danego produktu lub go kupili,</w:t>
            </w:r>
          </w:p>
          <w:p w14:paraId="734DBB5B" w14:textId="77777777" w:rsidR="00250909" w:rsidRPr="00996A12" w:rsidRDefault="00250909"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rozszerzono katalog nieuczciwych praktyk w każdych okolicznościach m.in. o działania przedsiębiorcy polegające na:</w:t>
            </w:r>
          </w:p>
          <w:p w14:paraId="08197AAA" w14:textId="161005A9" w:rsidR="00250909" w:rsidRPr="00996A12" w:rsidRDefault="00250909" w:rsidP="00497666">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xml:space="preserve">podawanie wyników wyszukiwania w odpowiedzi na wyszukiwanie internetowe konsumenta bez wyraźnego ujawnienia płatnej reklamy lub płatności dokonanej specjalnie w celu uzyskania wyższego plasowania produktów w ramach wyników wyszukiwania, czy też </w:t>
            </w:r>
            <w:r w:rsidR="00F4157C" w:rsidRPr="00996A12">
              <w:rPr>
                <w:rFonts w:ascii="Times New Roman" w:hAnsi="Times New Roman"/>
                <w:bCs/>
                <w:color w:val="000000"/>
                <w:spacing w:val="-2"/>
              </w:rPr>
              <w:t>zamieszczanie lub zlecanie zamieszczania innej osobie nieprawdziwych opinii lub rekomendacji konsumentów, albo zniekształcanie lub zlecanie innej osobie zniekształcania opinii  lub rekomendacji konsumentów, w celu promowania produktów</w:t>
            </w:r>
            <w:r w:rsidRPr="00996A12">
              <w:rPr>
                <w:rFonts w:ascii="Times New Roman" w:hAnsi="Times New Roman"/>
                <w:color w:val="000000"/>
                <w:spacing w:val="-2"/>
              </w:rPr>
              <w:t>;</w:t>
            </w:r>
          </w:p>
          <w:p w14:paraId="548385D4" w14:textId="77777777" w:rsidR="00250909" w:rsidRPr="00996A12" w:rsidRDefault="00D50187" w:rsidP="00D50187">
            <w:pPr>
              <w:spacing w:line="240" w:lineRule="auto"/>
              <w:ind w:left="360"/>
              <w:jc w:val="both"/>
              <w:rPr>
                <w:rFonts w:ascii="Times New Roman" w:hAnsi="Times New Roman"/>
                <w:color w:val="000000"/>
                <w:spacing w:val="-2"/>
              </w:rPr>
            </w:pPr>
            <w:r w:rsidRPr="00996A12">
              <w:rPr>
                <w:rFonts w:ascii="Times New Roman" w:hAnsi="Times New Roman"/>
                <w:b/>
                <w:color w:val="000000"/>
                <w:spacing w:val="-2"/>
              </w:rPr>
              <w:t>3</w:t>
            </w:r>
            <w:r w:rsidRPr="00996A12">
              <w:rPr>
                <w:rFonts w:ascii="Times New Roman" w:hAnsi="Times New Roman"/>
                <w:color w:val="000000"/>
                <w:spacing w:val="-2"/>
              </w:rPr>
              <w:t xml:space="preserve">) </w:t>
            </w:r>
            <w:r w:rsidRPr="00996A12">
              <w:rPr>
                <w:rFonts w:ascii="Times New Roman" w:hAnsi="Times New Roman"/>
                <w:b/>
                <w:color w:val="000000"/>
                <w:spacing w:val="-2"/>
              </w:rPr>
              <w:t>w ustawie z dnia 9 maja 2014 r. o informowaniu o cenach towarów i usług:</w:t>
            </w:r>
          </w:p>
          <w:p w14:paraId="54B1E716" w14:textId="503B79AE" w:rsidR="00D50187" w:rsidRPr="00996A12" w:rsidRDefault="00D50187"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wprowadzenie regulacji zgodnie, z którą przedsiębiorca w każdym przypadku obniżenia ceny towaru lub usługi</w:t>
            </w:r>
            <w:r w:rsidR="00941FCE" w:rsidRPr="00996A12">
              <w:rPr>
                <w:rFonts w:ascii="Times New Roman" w:hAnsi="Times New Roman"/>
                <w:color w:val="000000"/>
                <w:spacing w:val="-2"/>
              </w:rPr>
              <w:t xml:space="preserve"> </w:t>
            </w:r>
            <w:r w:rsidRPr="00996A12">
              <w:rPr>
                <w:rFonts w:ascii="Times New Roman" w:hAnsi="Times New Roman"/>
                <w:color w:val="000000"/>
                <w:spacing w:val="-2"/>
              </w:rPr>
              <w:t>podaje obok informacji o obniżonej cenie również informację o najniższej cenie tego towaru lub usługi jaka</w:t>
            </w:r>
            <w:r w:rsidR="0017256F" w:rsidRPr="00996A12">
              <w:rPr>
                <w:rFonts w:ascii="Times New Roman" w:hAnsi="Times New Roman"/>
                <w:color w:val="000000"/>
                <w:spacing w:val="-2"/>
              </w:rPr>
              <w:t xml:space="preserve"> </w:t>
            </w:r>
            <w:r w:rsidRPr="00996A12">
              <w:rPr>
                <w:rFonts w:ascii="Times New Roman" w:hAnsi="Times New Roman"/>
                <w:color w:val="000000"/>
                <w:spacing w:val="-2"/>
              </w:rPr>
              <w:t xml:space="preserve">        była stosowana w okresie 30 </w:t>
            </w:r>
            <w:r w:rsidR="003F454C" w:rsidRPr="00996A12">
              <w:rPr>
                <w:rFonts w:ascii="Times New Roman" w:hAnsi="Times New Roman"/>
                <w:color w:val="000000"/>
                <w:spacing w:val="-2"/>
              </w:rPr>
              <w:t>dni przed wprowadzeniem obniżki</w:t>
            </w:r>
            <w:r w:rsidR="00F4157C" w:rsidRPr="00996A12">
              <w:rPr>
                <w:rFonts w:ascii="Times New Roman" w:hAnsi="Times New Roman"/>
                <w:color w:val="000000"/>
                <w:spacing w:val="-2"/>
              </w:rPr>
              <w:t>.</w:t>
            </w:r>
          </w:p>
          <w:p w14:paraId="47FB255D" w14:textId="6BE0EFFB" w:rsidR="003F454C" w:rsidRPr="00996A12" w:rsidRDefault="003F454C" w:rsidP="00941FCE">
            <w:pPr>
              <w:spacing w:line="240" w:lineRule="auto"/>
              <w:ind w:left="360"/>
              <w:jc w:val="both"/>
              <w:rPr>
                <w:rFonts w:ascii="Times New Roman" w:hAnsi="Times New Roman"/>
                <w:color w:val="000000"/>
                <w:spacing w:val="-2"/>
              </w:rPr>
            </w:pPr>
          </w:p>
          <w:p w14:paraId="08D5299F" w14:textId="77777777" w:rsidR="00EB528D" w:rsidRPr="00996A12" w:rsidRDefault="00EB528D" w:rsidP="00941FCE">
            <w:pPr>
              <w:spacing w:line="240" w:lineRule="auto"/>
              <w:ind w:left="360"/>
              <w:jc w:val="both"/>
              <w:rPr>
                <w:rFonts w:ascii="Times New Roman" w:hAnsi="Times New Roman"/>
                <w:color w:val="000000"/>
                <w:spacing w:val="-2"/>
              </w:rPr>
            </w:pPr>
            <w:r w:rsidRPr="00996A12">
              <w:rPr>
                <w:rFonts w:ascii="Times New Roman" w:hAnsi="Times New Roman"/>
                <w:b/>
                <w:color w:val="000000"/>
                <w:spacing w:val="-2"/>
              </w:rPr>
              <w:t>4</w:t>
            </w:r>
            <w:r w:rsidRPr="00996A12">
              <w:rPr>
                <w:rFonts w:ascii="Times New Roman" w:hAnsi="Times New Roman"/>
                <w:color w:val="000000"/>
                <w:spacing w:val="-2"/>
              </w:rPr>
              <w:t>)</w:t>
            </w:r>
            <w:r w:rsidR="00FD197A" w:rsidRPr="00996A12">
              <w:rPr>
                <w:rFonts w:ascii="Times New Roman" w:hAnsi="Times New Roman"/>
                <w:color w:val="000000"/>
                <w:spacing w:val="-2"/>
              </w:rPr>
              <w:t xml:space="preserve"> </w:t>
            </w:r>
            <w:r w:rsidR="00FD197A" w:rsidRPr="00996A12">
              <w:rPr>
                <w:rFonts w:ascii="Times New Roman" w:hAnsi="Times New Roman"/>
                <w:b/>
                <w:color w:val="000000"/>
                <w:spacing w:val="-2"/>
              </w:rPr>
              <w:t>w ustawie z dnia 30 maja 2014 r. o prawach konsumenta:</w:t>
            </w:r>
          </w:p>
          <w:p w14:paraId="74AA5B27" w14:textId="2F6360F4" w:rsidR="00FD197A" w:rsidRPr="00996A12" w:rsidRDefault="00FD197A"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przepisy dostosowujące do nowych pojęć z dyrektywy cyfrowej i towarowej m.in. „definicja usług cyfrowych”,</w:t>
            </w:r>
            <w:r w:rsidR="0017256F" w:rsidRPr="00996A12">
              <w:rPr>
                <w:rFonts w:ascii="Times New Roman" w:hAnsi="Times New Roman"/>
                <w:color w:val="000000"/>
                <w:spacing w:val="-2"/>
              </w:rPr>
              <w:t>.</w:t>
            </w:r>
            <w:r w:rsidR="00C430DE" w:rsidRPr="00996A12">
              <w:rPr>
                <w:rFonts w:ascii="Times New Roman" w:hAnsi="Times New Roman"/>
                <w:color w:val="000000"/>
                <w:spacing w:val="-2"/>
              </w:rPr>
              <w:t xml:space="preserve">    </w:t>
            </w:r>
            <w:r w:rsidRPr="00996A12">
              <w:rPr>
                <w:rFonts w:ascii="Times New Roman" w:hAnsi="Times New Roman"/>
                <w:color w:val="000000"/>
                <w:spacing w:val="-2"/>
              </w:rPr>
              <w:t xml:space="preserve"> </w:t>
            </w:r>
            <w:r w:rsidR="00C430DE" w:rsidRPr="00996A12">
              <w:rPr>
                <w:rFonts w:ascii="Times New Roman" w:hAnsi="Times New Roman"/>
                <w:color w:val="000000"/>
                <w:spacing w:val="-2"/>
              </w:rPr>
              <w:t xml:space="preserve">   </w:t>
            </w:r>
            <w:r w:rsidRPr="00996A12">
              <w:rPr>
                <w:rFonts w:ascii="Times New Roman" w:hAnsi="Times New Roman"/>
                <w:color w:val="000000"/>
                <w:spacing w:val="-2"/>
              </w:rPr>
              <w:t>definicja „towarów z wbudowanymi elementami cyfrowymi” – tutaj sposób implementacji jest zależny od ostatecznej</w:t>
            </w:r>
            <w:r w:rsidR="00C430DE" w:rsidRPr="00996A12">
              <w:rPr>
                <w:rFonts w:ascii="Times New Roman" w:hAnsi="Times New Roman"/>
                <w:color w:val="000000"/>
                <w:spacing w:val="-2"/>
              </w:rPr>
              <w:t xml:space="preserve">        </w:t>
            </w:r>
            <w:r w:rsidRPr="00996A12">
              <w:rPr>
                <w:rFonts w:ascii="Times New Roman" w:hAnsi="Times New Roman"/>
                <w:color w:val="000000"/>
                <w:spacing w:val="-2"/>
              </w:rPr>
              <w:t>decyzji M</w:t>
            </w:r>
            <w:r w:rsidR="004B2FAC" w:rsidRPr="00996A12">
              <w:rPr>
                <w:rFonts w:ascii="Times New Roman" w:hAnsi="Times New Roman"/>
                <w:color w:val="000000"/>
                <w:spacing w:val="-2"/>
              </w:rPr>
              <w:t xml:space="preserve">inisterstwa </w:t>
            </w:r>
            <w:r w:rsidRPr="00996A12">
              <w:rPr>
                <w:rFonts w:ascii="Times New Roman" w:hAnsi="Times New Roman"/>
                <w:color w:val="000000"/>
                <w:spacing w:val="-2"/>
              </w:rPr>
              <w:t>S</w:t>
            </w:r>
            <w:r w:rsidR="004B2FAC" w:rsidRPr="00996A12">
              <w:rPr>
                <w:rFonts w:ascii="Times New Roman" w:hAnsi="Times New Roman"/>
                <w:color w:val="000000"/>
                <w:spacing w:val="-2"/>
              </w:rPr>
              <w:t>prawiedliwości</w:t>
            </w:r>
            <w:r w:rsidRPr="00996A12">
              <w:rPr>
                <w:rFonts w:ascii="Times New Roman" w:hAnsi="Times New Roman"/>
                <w:color w:val="000000"/>
                <w:spacing w:val="-2"/>
              </w:rPr>
              <w:t xml:space="preserve"> co do sposobu wdrożenia dyrektywy cyfrowej i towarowej (projekt </w:t>
            </w:r>
            <w:r w:rsidR="00C430DE" w:rsidRPr="00996A12">
              <w:rPr>
                <w:rFonts w:ascii="Times New Roman" w:hAnsi="Times New Roman"/>
                <w:color w:val="000000"/>
                <w:spacing w:val="-2"/>
              </w:rPr>
              <w:t xml:space="preserve">UC53 </w:t>
            </w:r>
            <w:r w:rsidRPr="00996A12">
              <w:rPr>
                <w:rFonts w:ascii="Times New Roman" w:hAnsi="Times New Roman"/>
                <w:color w:val="000000"/>
                <w:spacing w:val="-2"/>
              </w:rPr>
              <w:t>w trakcie uzgodnień</w:t>
            </w:r>
            <w:r w:rsidR="00C430DE" w:rsidRPr="00996A12">
              <w:rPr>
                <w:rFonts w:ascii="Times New Roman" w:hAnsi="Times New Roman"/>
                <w:color w:val="000000"/>
                <w:spacing w:val="-2"/>
              </w:rPr>
              <w:t xml:space="preserve">  </w:t>
            </w:r>
            <w:r w:rsidRPr="00996A12">
              <w:rPr>
                <w:rFonts w:ascii="Times New Roman" w:hAnsi="Times New Roman"/>
                <w:color w:val="000000"/>
                <w:spacing w:val="-2"/>
              </w:rPr>
              <w:t>międzyresortowych)</w:t>
            </w:r>
            <w:r w:rsidR="00C430DE" w:rsidRPr="00996A12">
              <w:rPr>
                <w:rFonts w:ascii="Times New Roman" w:hAnsi="Times New Roman"/>
                <w:color w:val="000000"/>
                <w:spacing w:val="-2"/>
              </w:rPr>
              <w:t>,</w:t>
            </w:r>
          </w:p>
          <w:p w14:paraId="4677CF51" w14:textId="77777777" w:rsidR="004B2FAC" w:rsidRPr="00996A12" w:rsidRDefault="00487187"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wprowadza definicję internetowej platformy handlowej oraz definicję dostawcy internetowej platformy handlowej,</w:t>
            </w:r>
            <w:r w:rsidR="0017256F" w:rsidRPr="00996A12">
              <w:rPr>
                <w:rFonts w:ascii="Times New Roman" w:hAnsi="Times New Roman"/>
                <w:color w:val="000000"/>
                <w:spacing w:val="-2"/>
              </w:rPr>
              <w:t xml:space="preserve"> </w:t>
            </w:r>
          </w:p>
          <w:p w14:paraId="7D5942D8" w14:textId="77777777" w:rsidR="00487187" w:rsidRPr="00996A12" w:rsidRDefault="00487187"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do dotychczasowych niektórych obowiązków informacyjnych dodaje się, że dotyczą one też towarów z elementami        cyfrowymi oraz usług cyfrowych,</w:t>
            </w:r>
          </w:p>
          <w:p w14:paraId="6466524D" w14:textId="706A8864" w:rsidR="00487187" w:rsidRPr="00996A12" w:rsidRDefault="00487187"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rezygnacja z obowiązku</w:t>
            </w:r>
            <w:r w:rsidR="00F4157C" w:rsidRPr="00996A12">
              <w:rPr>
                <w:rFonts w:ascii="Times New Roman" w:hAnsi="Times New Roman"/>
                <w:color w:val="000000"/>
                <w:spacing w:val="-2"/>
              </w:rPr>
              <w:t>,</w:t>
            </w:r>
            <w:r w:rsidRPr="00996A12">
              <w:rPr>
                <w:rFonts w:ascii="Times New Roman" w:hAnsi="Times New Roman"/>
                <w:color w:val="000000"/>
                <w:spacing w:val="-2"/>
              </w:rPr>
              <w:t xml:space="preserve"> aby w adresie przedsiębiorcy podawać numer faksu,</w:t>
            </w:r>
          </w:p>
          <w:p w14:paraId="44703B4C" w14:textId="77777777" w:rsidR="00487187" w:rsidRPr="00996A12" w:rsidRDefault="00487187"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wprowadzenie możliwości komunikacji z konsumentem za pomącą „innych środków online” i wprowadzenie         warunków takiej komunikacji,</w:t>
            </w:r>
          </w:p>
          <w:p w14:paraId="209FBEF5" w14:textId="128B325B" w:rsidR="00487187" w:rsidRPr="00996A12" w:rsidRDefault="00487187"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xml:space="preserve">- </w:t>
            </w:r>
            <w:r w:rsidR="008379EC" w:rsidRPr="00996A12">
              <w:rPr>
                <w:rFonts w:ascii="Times New Roman" w:hAnsi="Times New Roman"/>
                <w:color w:val="000000"/>
                <w:spacing w:val="-2"/>
              </w:rPr>
              <w:t>wprowadzenie obowiązków informacyjnych dla dostawcy internetowej platformy handlowej w         przypadku umów zawartych za pośrednictwem internetowych platform handlowych,</w:t>
            </w:r>
          </w:p>
          <w:p w14:paraId="2B6D8982" w14:textId="7F62A5A7" w:rsidR="008379EC" w:rsidRPr="00996A12" w:rsidRDefault="008379EC"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xml:space="preserve">-  wprowadzenie regulacji, zgodnie z którą konsument,  który w związku z nieumówioną wizytą przedsiębiorcy </w:t>
            </w:r>
            <w:r w:rsidR="00F15803" w:rsidRPr="00996A12">
              <w:rPr>
                <w:rFonts w:ascii="Times New Roman" w:hAnsi="Times New Roman"/>
                <w:color w:val="000000"/>
                <w:spacing w:val="-2"/>
              </w:rPr>
              <w:t xml:space="preserve">w miejscu zamieszkania lub zwykłego pobytu konsumenta </w:t>
            </w:r>
            <w:r w:rsidRPr="00996A12">
              <w:rPr>
                <w:rFonts w:ascii="Times New Roman" w:hAnsi="Times New Roman"/>
                <w:color w:val="000000"/>
                <w:spacing w:val="-2"/>
              </w:rPr>
              <w:t>lub wycieczką zorganizowaną przez przedsiębiorcę zawarł z tym przedsiębiorcą umowę poza lokalem</w:t>
            </w:r>
            <w:r w:rsidR="00F15803" w:rsidRPr="00996A12">
              <w:rPr>
                <w:rFonts w:ascii="Times New Roman" w:hAnsi="Times New Roman"/>
                <w:color w:val="000000"/>
                <w:spacing w:val="-2"/>
              </w:rPr>
              <w:t xml:space="preserve"> </w:t>
            </w:r>
            <w:r w:rsidRPr="00996A12">
              <w:rPr>
                <w:rFonts w:ascii="Times New Roman" w:hAnsi="Times New Roman"/>
                <w:color w:val="000000"/>
                <w:spacing w:val="-2"/>
              </w:rPr>
              <w:t>przedsiębiorstwa, może w terminie 30 dni odstąpić od niej bez podawania przyczyny i bez ponoszenia kosztów</w:t>
            </w:r>
            <w:r w:rsidR="003A6C41" w:rsidRPr="00996A12">
              <w:rPr>
                <w:rFonts w:ascii="Times New Roman" w:hAnsi="Times New Roman"/>
                <w:color w:val="000000"/>
                <w:spacing w:val="-2"/>
              </w:rPr>
              <w:t xml:space="preserve"> oraz wprowadzenie odstępstwa od określonych wyjątków od prawa do odstąpienia od umowy w przypadku tych umów</w:t>
            </w:r>
            <w:r w:rsidR="00F15803" w:rsidRPr="00996A12">
              <w:rPr>
                <w:rFonts w:ascii="Times New Roman" w:hAnsi="Times New Roman"/>
                <w:color w:val="000000"/>
                <w:spacing w:val="-2"/>
              </w:rPr>
              <w:t>;</w:t>
            </w:r>
          </w:p>
          <w:p w14:paraId="2441052A" w14:textId="77777777" w:rsidR="00497666" w:rsidRPr="00996A12" w:rsidRDefault="0004606A" w:rsidP="00941FCE">
            <w:pPr>
              <w:spacing w:line="240" w:lineRule="auto"/>
              <w:ind w:left="360"/>
              <w:jc w:val="both"/>
              <w:rPr>
                <w:rFonts w:ascii="Times New Roman" w:hAnsi="Times New Roman"/>
                <w:color w:val="000000"/>
                <w:spacing w:val="-2"/>
              </w:rPr>
            </w:pPr>
            <w:r w:rsidRPr="00996A12">
              <w:rPr>
                <w:rFonts w:ascii="Times New Roman" w:hAnsi="Times New Roman"/>
                <w:color w:val="000000"/>
                <w:spacing w:val="-2"/>
              </w:rPr>
              <w:t>- inne drobne zmiany dostosowujące.</w:t>
            </w:r>
          </w:p>
          <w:p w14:paraId="6D6FD3ED" w14:textId="01D476BD" w:rsidR="003D79B2" w:rsidRPr="00996A12" w:rsidRDefault="007B60BF" w:rsidP="006F442C">
            <w:pPr>
              <w:spacing w:line="240" w:lineRule="auto"/>
              <w:jc w:val="both"/>
              <w:rPr>
                <w:rFonts w:ascii="Times New Roman" w:hAnsi="Times New Roman"/>
                <w:color w:val="000000"/>
                <w:spacing w:val="-2"/>
              </w:rPr>
            </w:pPr>
            <w:r w:rsidRPr="00996A12">
              <w:rPr>
                <w:rFonts w:ascii="Times New Roman" w:hAnsi="Times New Roman"/>
                <w:b/>
                <w:color w:val="000000"/>
                <w:spacing w:val="-2"/>
              </w:rPr>
              <w:t xml:space="preserve">II. </w:t>
            </w:r>
            <w:r w:rsidRPr="00996A12">
              <w:rPr>
                <w:rFonts w:ascii="Times New Roman" w:hAnsi="Times New Roman"/>
                <w:color w:val="000000"/>
                <w:spacing w:val="-2"/>
              </w:rPr>
              <w:t>Niezależn</w:t>
            </w:r>
            <w:r w:rsidR="004658B8" w:rsidRPr="00996A12">
              <w:rPr>
                <w:rFonts w:ascii="Times New Roman" w:hAnsi="Times New Roman"/>
                <w:color w:val="000000"/>
                <w:spacing w:val="-2"/>
              </w:rPr>
              <w:t>ie od zmian wymaganych dyrektywą</w:t>
            </w:r>
            <w:r w:rsidRPr="00996A12">
              <w:rPr>
                <w:rFonts w:ascii="Times New Roman" w:hAnsi="Times New Roman"/>
                <w:color w:val="000000"/>
                <w:spacing w:val="-2"/>
              </w:rPr>
              <w:t xml:space="preserve"> Omnibus planuje się również </w:t>
            </w:r>
            <w:r w:rsidR="003A6C41" w:rsidRPr="00996A12">
              <w:rPr>
                <w:rFonts w:ascii="Times New Roman" w:hAnsi="Times New Roman"/>
                <w:color w:val="000000"/>
                <w:spacing w:val="-2"/>
              </w:rPr>
              <w:t>dodatkowe regulacje dotyczące umów zawieranych poza lokalem, mające na celu eliminację nieprawidłowości identyfikowanych przez Prezesa UOKiK.</w:t>
            </w:r>
          </w:p>
          <w:p w14:paraId="762229B9" w14:textId="77777777" w:rsidR="007B60BF" w:rsidRPr="00996A12" w:rsidRDefault="007B60BF" w:rsidP="006F442C">
            <w:pPr>
              <w:spacing w:line="240" w:lineRule="auto"/>
              <w:jc w:val="both"/>
              <w:rPr>
                <w:rFonts w:ascii="Times New Roman" w:hAnsi="Times New Roman"/>
                <w:color w:val="000000"/>
                <w:spacing w:val="-2"/>
                <w:u w:val="single"/>
              </w:rPr>
            </w:pPr>
            <w:r w:rsidRPr="00996A12">
              <w:rPr>
                <w:rFonts w:ascii="Times New Roman" w:hAnsi="Times New Roman"/>
                <w:color w:val="000000"/>
                <w:spacing w:val="-2"/>
              </w:rPr>
              <w:t xml:space="preserve">W tym zakresie </w:t>
            </w:r>
            <w:r w:rsidRPr="00996A12">
              <w:rPr>
                <w:rFonts w:ascii="Times New Roman" w:hAnsi="Times New Roman"/>
                <w:color w:val="000000"/>
                <w:spacing w:val="-2"/>
                <w:u w:val="single"/>
              </w:rPr>
              <w:t>proponuje się wprowadzenie kilku zmian w ustawie o prawach konsumenta</w:t>
            </w:r>
            <w:r w:rsidR="008125B1" w:rsidRPr="00996A12">
              <w:rPr>
                <w:rFonts w:ascii="Times New Roman" w:hAnsi="Times New Roman"/>
                <w:color w:val="000000"/>
                <w:spacing w:val="-2"/>
                <w:u w:val="single"/>
              </w:rPr>
              <w:t>, które obejmą</w:t>
            </w:r>
            <w:r w:rsidR="00CC6D45" w:rsidRPr="00996A12">
              <w:rPr>
                <w:rFonts w:ascii="Times New Roman" w:hAnsi="Times New Roman"/>
                <w:color w:val="000000"/>
                <w:spacing w:val="-2"/>
                <w:u w:val="single"/>
              </w:rPr>
              <w:t>:</w:t>
            </w:r>
          </w:p>
          <w:p w14:paraId="17A79D83" w14:textId="77777777" w:rsidR="008B0F65" w:rsidRPr="00996A12" w:rsidRDefault="008B0F65" w:rsidP="006F442C">
            <w:pPr>
              <w:spacing w:line="240" w:lineRule="auto"/>
              <w:jc w:val="both"/>
              <w:rPr>
                <w:rFonts w:ascii="Times New Roman" w:hAnsi="Times New Roman"/>
                <w:color w:val="000000"/>
                <w:spacing w:val="-2"/>
                <w:u w:val="single"/>
              </w:rPr>
            </w:pPr>
          </w:p>
          <w:p w14:paraId="14527572" w14:textId="0679E6B7" w:rsidR="005F74C7" w:rsidRPr="00996A12" w:rsidRDefault="006D6E3D" w:rsidP="006D6E3D">
            <w:pPr>
              <w:spacing w:line="240" w:lineRule="auto"/>
              <w:jc w:val="both"/>
              <w:rPr>
                <w:rFonts w:ascii="Times New Roman" w:hAnsi="Times New Roman"/>
                <w:color w:val="000000"/>
                <w:spacing w:val="-2"/>
              </w:rPr>
            </w:pPr>
            <w:r w:rsidRPr="00996A12">
              <w:rPr>
                <w:rFonts w:ascii="Times New Roman" w:hAnsi="Times New Roman"/>
                <w:color w:val="000000"/>
                <w:spacing w:val="-2"/>
              </w:rPr>
              <w:lastRenderedPageBreak/>
              <w:t>1.</w:t>
            </w:r>
            <w:r w:rsidR="008125B1" w:rsidRPr="00996A12">
              <w:rPr>
                <w:rFonts w:ascii="Times New Roman" w:hAnsi="Times New Roman"/>
                <w:color w:val="000000"/>
                <w:spacing w:val="-2"/>
              </w:rPr>
              <w:t>Wprowadzenie p</w:t>
            </w:r>
            <w:r w:rsidR="00CC6D45" w:rsidRPr="00996A12">
              <w:rPr>
                <w:rFonts w:ascii="Times New Roman" w:hAnsi="Times New Roman"/>
                <w:color w:val="000000"/>
                <w:spacing w:val="-2"/>
              </w:rPr>
              <w:t xml:space="preserve">rawa do odstąpienia od niektórych umów o świadczenie usług zdrowotnych </w:t>
            </w:r>
            <w:r w:rsidR="00895361" w:rsidRPr="00996A12">
              <w:rPr>
                <w:rFonts w:ascii="Times New Roman" w:hAnsi="Times New Roman"/>
                <w:color w:val="000000"/>
                <w:spacing w:val="-2"/>
              </w:rPr>
              <w:t>zawieranych poza lokalem przedsiębiorstwa lub na odległość. Chodzi przede wszystkim o tzw. umowy obejmujące</w:t>
            </w:r>
            <w:r w:rsidR="00CC6D45" w:rsidRPr="00996A12">
              <w:rPr>
                <w:rFonts w:ascii="Times New Roman" w:hAnsi="Times New Roman"/>
                <w:color w:val="000000"/>
                <w:spacing w:val="-2"/>
              </w:rPr>
              <w:t xml:space="preserve"> abonamenty medyczne </w:t>
            </w:r>
            <w:r w:rsidR="00895361" w:rsidRPr="00996A12">
              <w:rPr>
                <w:rFonts w:ascii="Times New Roman" w:hAnsi="Times New Roman"/>
                <w:color w:val="000000"/>
                <w:spacing w:val="-2"/>
              </w:rPr>
              <w:t>(czyli odpłatne umowy</w:t>
            </w:r>
            <w:r w:rsidR="003F062E" w:rsidRPr="00996A12">
              <w:rPr>
                <w:rFonts w:ascii="Times New Roman" w:hAnsi="Times New Roman"/>
                <w:color w:val="000000"/>
                <w:spacing w:val="-2"/>
              </w:rPr>
              <w:t xml:space="preserve"> opieki medycznej </w:t>
            </w:r>
            <w:r w:rsidR="00895361" w:rsidRPr="00996A12">
              <w:rPr>
                <w:rFonts w:ascii="Times New Roman" w:hAnsi="Times New Roman"/>
                <w:color w:val="000000"/>
                <w:spacing w:val="-2"/>
              </w:rPr>
              <w:t>lub umowy</w:t>
            </w:r>
            <w:r w:rsidR="003F062E" w:rsidRPr="00996A12">
              <w:rPr>
                <w:rFonts w:ascii="Times New Roman" w:hAnsi="Times New Roman"/>
                <w:color w:val="000000"/>
                <w:spacing w:val="-2"/>
              </w:rPr>
              <w:t xml:space="preserve"> o przystąpienie do </w:t>
            </w:r>
            <w:r w:rsidR="00895361" w:rsidRPr="00996A12">
              <w:rPr>
                <w:rFonts w:ascii="Times New Roman" w:hAnsi="Times New Roman"/>
                <w:color w:val="000000"/>
                <w:spacing w:val="-2"/>
              </w:rPr>
              <w:t>usług opieki medycznej zawarte</w:t>
            </w:r>
            <w:r w:rsidR="003F062E" w:rsidRPr="00996A12">
              <w:rPr>
                <w:rFonts w:ascii="Times New Roman" w:hAnsi="Times New Roman"/>
                <w:color w:val="000000"/>
                <w:spacing w:val="-2"/>
              </w:rPr>
              <w:t xml:space="preserve"> pomiędzy prywatnym po</w:t>
            </w:r>
            <w:r w:rsidR="005F74C7" w:rsidRPr="00996A12">
              <w:rPr>
                <w:rFonts w:ascii="Times New Roman" w:hAnsi="Times New Roman"/>
                <w:color w:val="000000"/>
                <w:spacing w:val="-2"/>
              </w:rPr>
              <w:t xml:space="preserve">dmiotem leczniczym a </w:t>
            </w:r>
            <w:r w:rsidR="003F062E" w:rsidRPr="00996A12">
              <w:rPr>
                <w:rFonts w:ascii="Times New Roman" w:hAnsi="Times New Roman"/>
                <w:color w:val="000000"/>
                <w:spacing w:val="-2"/>
              </w:rPr>
              <w:t>osobą fizyc</w:t>
            </w:r>
            <w:r w:rsidR="005F74C7" w:rsidRPr="00996A12">
              <w:rPr>
                <w:rFonts w:ascii="Times New Roman" w:hAnsi="Times New Roman"/>
                <w:color w:val="000000"/>
                <w:spacing w:val="-2"/>
              </w:rPr>
              <w:t>zną (konsumentem</w:t>
            </w:r>
            <w:r w:rsidR="003F062E" w:rsidRPr="00996A12">
              <w:rPr>
                <w:rFonts w:ascii="Times New Roman" w:hAnsi="Times New Roman"/>
                <w:color w:val="000000"/>
                <w:spacing w:val="-2"/>
              </w:rPr>
              <w:t xml:space="preserve">) </w:t>
            </w:r>
            <w:r w:rsidR="00895361" w:rsidRPr="00996A12">
              <w:rPr>
                <w:rFonts w:ascii="Times New Roman" w:hAnsi="Times New Roman"/>
                <w:color w:val="000000"/>
                <w:spacing w:val="-2"/>
              </w:rPr>
              <w:t>oraz odpłatne</w:t>
            </w:r>
            <w:r w:rsidR="00CC6D45" w:rsidRPr="00996A12">
              <w:rPr>
                <w:rFonts w:ascii="Times New Roman" w:hAnsi="Times New Roman"/>
                <w:color w:val="000000"/>
                <w:spacing w:val="-2"/>
              </w:rPr>
              <w:t xml:space="preserve"> </w:t>
            </w:r>
            <w:r w:rsidR="00895361" w:rsidRPr="00996A12">
              <w:rPr>
                <w:rFonts w:ascii="Times New Roman" w:hAnsi="Times New Roman"/>
                <w:color w:val="000000"/>
                <w:spacing w:val="-2"/>
              </w:rPr>
              <w:t>umowy</w:t>
            </w:r>
            <w:r w:rsidR="005F74C7" w:rsidRPr="00996A12">
              <w:rPr>
                <w:rFonts w:ascii="Times New Roman" w:hAnsi="Times New Roman"/>
                <w:color w:val="000000"/>
                <w:spacing w:val="-2"/>
              </w:rPr>
              <w:t xml:space="preserve"> o świadczen</w:t>
            </w:r>
            <w:r w:rsidR="00895361" w:rsidRPr="00996A12">
              <w:rPr>
                <w:rFonts w:ascii="Times New Roman" w:hAnsi="Times New Roman"/>
                <w:color w:val="000000"/>
                <w:spacing w:val="-2"/>
              </w:rPr>
              <w:t>ie usług zdrowotnych zawierane</w:t>
            </w:r>
            <w:r w:rsidR="005F74C7" w:rsidRPr="00996A12">
              <w:rPr>
                <w:rFonts w:ascii="Times New Roman" w:hAnsi="Times New Roman"/>
                <w:color w:val="000000"/>
                <w:spacing w:val="-2"/>
              </w:rPr>
              <w:t xml:space="preserve"> poza lokalem przedsiębiorstwa </w:t>
            </w:r>
            <w:r w:rsidR="00895361" w:rsidRPr="00996A12">
              <w:rPr>
                <w:rFonts w:ascii="Times New Roman" w:hAnsi="Times New Roman"/>
                <w:color w:val="000000"/>
                <w:spacing w:val="-2"/>
              </w:rPr>
              <w:t xml:space="preserve">lub na odległość </w:t>
            </w:r>
            <w:r w:rsidR="005F74C7" w:rsidRPr="00996A12">
              <w:rPr>
                <w:rFonts w:ascii="Times New Roman" w:hAnsi="Times New Roman"/>
                <w:color w:val="000000"/>
                <w:spacing w:val="-2"/>
              </w:rPr>
              <w:t>pomiędzy prywatnym podmiotem leczniczym a osobą fizyczną (konsumentem). W zakresie pojęcia umowy o świadczenie usług zdrowotnych, które będą objęte proponowan</w:t>
            </w:r>
            <w:r w:rsidR="00F15803" w:rsidRPr="00996A12">
              <w:rPr>
                <w:rFonts w:ascii="Times New Roman" w:hAnsi="Times New Roman"/>
                <w:color w:val="000000"/>
                <w:spacing w:val="-2"/>
              </w:rPr>
              <w:t>ą</w:t>
            </w:r>
            <w:r w:rsidR="005F74C7" w:rsidRPr="00996A12">
              <w:rPr>
                <w:rFonts w:ascii="Times New Roman" w:hAnsi="Times New Roman"/>
                <w:color w:val="000000"/>
                <w:spacing w:val="-2"/>
              </w:rPr>
              <w:t xml:space="preserve"> zmianą nie będą mieściły się umowy dotyczące wyrobów medycznych czy produktów leczniczych, gdyż zasady ochrony konsumentów zawierających tego rodzaju umowy poza lokalem lub na odległość będą</w:t>
            </w:r>
            <w:r w:rsidR="00F36512" w:rsidRPr="00996A12">
              <w:rPr>
                <w:rFonts w:ascii="Times New Roman" w:hAnsi="Times New Roman"/>
                <w:color w:val="000000"/>
                <w:spacing w:val="-2"/>
              </w:rPr>
              <w:t xml:space="preserve"> regulowane w innym przepisie tej nowelizacji.</w:t>
            </w:r>
          </w:p>
          <w:p w14:paraId="3A705B80" w14:textId="0D94C0D7" w:rsidR="00F121B7" w:rsidRPr="00996A12" w:rsidRDefault="00895361" w:rsidP="00F121B7">
            <w:pPr>
              <w:spacing w:line="240" w:lineRule="auto"/>
              <w:jc w:val="both"/>
              <w:rPr>
                <w:rFonts w:ascii="Times New Roman" w:hAnsi="Times New Roman"/>
                <w:color w:val="000000"/>
                <w:spacing w:val="-2"/>
              </w:rPr>
            </w:pPr>
            <w:r w:rsidRPr="00996A12">
              <w:rPr>
                <w:rFonts w:ascii="Times New Roman" w:hAnsi="Times New Roman"/>
                <w:color w:val="000000"/>
                <w:spacing w:val="-2"/>
              </w:rPr>
              <w:t>Zmiana</w:t>
            </w:r>
            <w:r w:rsidR="00F121B7" w:rsidRPr="00996A12">
              <w:rPr>
                <w:rFonts w:ascii="Times New Roman" w:hAnsi="Times New Roman"/>
                <w:color w:val="000000"/>
                <w:spacing w:val="-2"/>
              </w:rPr>
              <w:t xml:space="preserve"> ma na celu wyeliminowanie praktyki powoływania się na wyłączenie wskazane w art. 3 ust. 1 pkt 7 ustawy o prawach konsumenta, jako podstawę braku możliwości odstąpienia od umowy. Wyłączenie to dotyczy braku możliwości stosowania przepisów korzystnych dla konsumentów wynikających z ustawy o prawach konsumenta wobec „umów dotyczących usług zdrowotnych świadczonych przez pracowników służby zdrowia pacjentom w celu oceny, utrzymania lub poprawy ich stanu zdrowia, łącznie z przepisywaniem, wydawaniem i udostępnianiem produktów leczniczych oraz wyrobów medycznych, bez względu na to, czy są one oferowane za pośrednictwem placówek opieki zdrowotnej”.</w:t>
            </w:r>
          </w:p>
          <w:p w14:paraId="0373031D" w14:textId="77777777" w:rsidR="00F121B7" w:rsidRPr="00996A12" w:rsidRDefault="00F121B7" w:rsidP="00F121B7">
            <w:pPr>
              <w:spacing w:line="240" w:lineRule="auto"/>
              <w:jc w:val="both"/>
              <w:rPr>
                <w:rFonts w:ascii="Times New Roman" w:hAnsi="Times New Roman"/>
                <w:color w:val="000000"/>
                <w:spacing w:val="-2"/>
              </w:rPr>
            </w:pPr>
            <w:r w:rsidRPr="00996A12">
              <w:rPr>
                <w:rFonts w:ascii="Times New Roman" w:hAnsi="Times New Roman"/>
                <w:color w:val="000000"/>
                <w:spacing w:val="-2"/>
              </w:rPr>
              <w:t>Chodzi w szczególności o sytuacje swoistego przymuszania pewnych grup konsumentów (np. osób starszych) do zawierania umów o tzw. abonamenty medyczne, które często oferowane są na tzw. pokazach. Wartość takich pakietów to często  kwoty od kilku do kilkunastu tysięcy złotych, co jest znacznym wydatkiem, szczególnie w przypadku budżetów osób starszych. Wobec takich umów obecnie brak jest możliwości odstąpienia.</w:t>
            </w:r>
          </w:p>
          <w:p w14:paraId="6E4B1931" w14:textId="77777777" w:rsidR="00F121B7" w:rsidRPr="00996A12" w:rsidRDefault="00F121B7" w:rsidP="00F121B7">
            <w:pPr>
              <w:spacing w:line="240" w:lineRule="auto"/>
              <w:jc w:val="both"/>
              <w:rPr>
                <w:rFonts w:ascii="Times New Roman" w:hAnsi="Times New Roman"/>
                <w:color w:val="000000"/>
                <w:spacing w:val="-2"/>
              </w:rPr>
            </w:pPr>
            <w:r w:rsidRPr="00996A12">
              <w:rPr>
                <w:rFonts w:ascii="Times New Roman" w:hAnsi="Times New Roman"/>
                <w:color w:val="000000"/>
                <w:spacing w:val="-2"/>
              </w:rPr>
              <w:t>Obecnie abonamenty medyczne są bardzo popularnym instrumentem umożliwiającym pacjentom korzystanie ze służby zdrowia finansowanej ze środków prywatnych. Stanowią alternatywę dla publicznej opieki zdrowotnej. Podstawą udzielania świadczeń opieki zdrowotnej w ramach abonamentu medycznego jest umowa nazywana w praktyce – w zależności od podmiotu, który ją zawiera – umową opieki medycznej czy umową o przystąpienie do usług opieki medycznej.</w:t>
            </w:r>
          </w:p>
          <w:p w14:paraId="52126CB4" w14:textId="77777777" w:rsidR="006D3F67" w:rsidRPr="00996A12" w:rsidRDefault="006D3F67" w:rsidP="006D3F67">
            <w:pPr>
              <w:spacing w:line="240" w:lineRule="auto"/>
              <w:jc w:val="both"/>
              <w:rPr>
                <w:rFonts w:ascii="Times New Roman" w:hAnsi="Times New Roman"/>
                <w:color w:val="000000"/>
                <w:spacing w:val="-2"/>
                <w:u w:val="single"/>
              </w:rPr>
            </w:pPr>
          </w:p>
          <w:p w14:paraId="27E111A1" w14:textId="1EB6C117" w:rsidR="001C2D6A" w:rsidRPr="00996A12" w:rsidRDefault="006D3F67" w:rsidP="00281065">
            <w:pPr>
              <w:spacing w:line="240" w:lineRule="auto"/>
              <w:jc w:val="both"/>
              <w:rPr>
                <w:rFonts w:ascii="Times New Roman" w:hAnsi="Times New Roman"/>
              </w:rPr>
            </w:pPr>
            <w:r w:rsidRPr="00996A12">
              <w:rPr>
                <w:rFonts w:ascii="Times New Roman" w:hAnsi="Times New Roman"/>
                <w:color w:val="000000"/>
                <w:spacing w:val="-2"/>
              </w:rPr>
              <w:t xml:space="preserve">2.Wprowadzenie </w:t>
            </w:r>
            <w:r w:rsidR="00E9524B" w:rsidRPr="00996A12">
              <w:rPr>
                <w:rFonts w:ascii="Times New Roman" w:hAnsi="Times New Roman"/>
                <w:color w:val="000000"/>
                <w:spacing w:val="-2"/>
              </w:rPr>
              <w:t>zakazu świadczenia usług finansowych na pokazach</w:t>
            </w:r>
            <w:r w:rsidR="00D2142E" w:rsidRPr="00996A12">
              <w:rPr>
                <w:rFonts w:ascii="Times New Roman" w:hAnsi="Times New Roman"/>
                <w:color w:val="000000"/>
                <w:spacing w:val="-2"/>
              </w:rPr>
              <w:t xml:space="preserve"> oraz podczas wszelkiego rodzaju wyjazdów zorganizowanych przez przedsiębiorcę, np. pielgrzymek, wycieczek, itp.</w:t>
            </w:r>
            <w:r w:rsidR="00E9524B" w:rsidRPr="00996A12">
              <w:rPr>
                <w:rFonts w:ascii="Times New Roman" w:hAnsi="Times New Roman"/>
                <w:color w:val="000000"/>
                <w:spacing w:val="-2"/>
              </w:rPr>
              <w:t xml:space="preserve"> </w:t>
            </w:r>
            <w:r w:rsidR="00D2142E" w:rsidRPr="00996A12">
              <w:rPr>
                <w:rFonts w:ascii="Times New Roman" w:hAnsi="Times New Roman"/>
                <w:color w:val="000000"/>
                <w:spacing w:val="-2"/>
              </w:rPr>
              <w:t xml:space="preserve">Jednocześnie, </w:t>
            </w:r>
            <w:r w:rsidR="00D2142E" w:rsidRPr="00996A12">
              <w:rPr>
                <w:rFonts w:ascii="Times New Roman" w:hAnsi="Times New Roman"/>
              </w:rPr>
              <w:t>w</w:t>
            </w:r>
            <w:r w:rsidR="001C2D6A" w:rsidRPr="00996A12">
              <w:rPr>
                <w:rFonts w:ascii="Times New Roman" w:hAnsi="Times New Roman"/>
              </w:rPr>
              <w:t xml:space="preserve">prowadzenie takiej regulacji wymaga określenia definicji pokazu. </w:t>
            </w:r>
            <w:r w:rsidR="003A6C41" w:rsidRPr="00996A12">
              <w:rPr>
                <w:rFonts w:ascii="Times New Roman" w:hAnsi="Times New Roman"/>
              </w:rPr>
              <w:t xml:space="preserve">Proponuje się </w:t>
            </w:r>
            <w:r w:rsidR="00D2142E" w:rsidRPr="00996A12">
              <w:rPr>
                <w:rFonts w:ascii="Times New Roman" w:hAnsi="Times New Roman"/>
              </w:rPr>
              <w:t>wskazanie</w:t>
            </w:r>
            <w:r w:rsidR="003A6C41" w:rsidRPr="00996A12">
              <w:rPr>
                <w:rFonts w:ascii="Times New Roman" w:hAnsi="Times New Roman"/>
              </w:rPr>
              <w:t xml:space="preserve">, że </w:t>
            </w:r>
            <w:r w:rsidR="001C2D6A" w:rsidRPr="00996A12">
              <w:rPr>
                <w:rFonts w:ascii="Times New Roman" w:hAnsi="Times New Roman"/>
              </w:rPr>
              <w:t xml:space="preserve">pokazem jest </w:t>
            </w:r>
            <w:r w:rsidR="001C2D6A" w:rsidRPr="00996A12">
              <w:rPr>
                <w:rFonts w:ascii="Times New Roman" w:hAnsi="Times New Roman"/>
                <w:shd w:val="clear" w:color="auto" w:fill="FFFFFF"/>
              </w:rPr>
              <w:t xml:space="preserve">spotkanie, w którym uczestniczy zaproszona bezpośrednio lub pośrednio, określona liczba konsumentów, zorganizowane w celu  promocji, złożenia oferty sprzedaży lub sprzedaży towarów lub usług. Dla określenia czy spotkanie ma charakter pokazu, nie ma znaczenia czy zorganizowany został transport na spotkanie. Definicja obejmuje wszystkie formy działalności przedsiębiorcy, które pozwalają określić, że spotkanie ma cel handlowy tj. promocję, złożenie oferty sprzedaży lub sprzedaż towarów lub usług. </w:t>
            </w:r>
          </w:p>
          <w:p w14:paraId="006E17F9" w14:textId="14B057B2" w:rsidR="006D3F67" w:rsidRPr="00996A12" w:rsidRDefault="006D3F67" w:rsidP="00281065">
            <w:pPr>
              <w:spacing w:line="240" w:lineRule="auto"/>
              <w:jc w:val="both"/>
              <w:rPr>
                <w:rFonts w:ascii="Times New Roman" w:hAnsi="Times New Roman"/>
                <w:color w:val="000000"/>
                <w:spacing w:val="-2"/>
              </w:rPr>
            </w:pPr>
          </w:p>
          <w:p w14:paraId="1A9A4DB4" w14:textId="369AE89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Jedną ze zidentyfikowanych przez UOKiK praktyk, występującą na etapie przedkontraktowym, </w:t>
            </w:r>
            <w:r w:rsidR="00D2142E" w:rsidRPr="00996A12">
              <w:rPr>
                <w:rFonts w:ascii="Times New Roman" w:hAnsi="Times New Roman"/>
                <w:color w:val="000000"/>
                <w:spacing w:val="-2"/>
              </w:rPr>
              <w:t xml:space="preserve">jest </w:t>
            </w:r>
            <w:r w:rsidR="00C8645E" w:rsidRPr="00996A12">
              <w:rPr>
                <w:rFonts w:ascii="Times New Roman" w:hAnsi="Times New Roman"/>
                <w:color w:val="000000"/>
                <w:spacing w:val="-2"/>
              </w:rPr>
              <w:t xml:space="preserve">stosowanie </w:t>
            </w:r>
            <w:r w:rsidR="00C8645E" w:rsidRPr="00996A12">
              <w:rPr>
                <w:rFonts w:ascii="Times New Roman" w:hAnsi="Times New Roman"/>
                <w:color w:val="000000"/>
                <w:lang w:bidi="pl-PL"/>
              </w:rPr>
              <w:t xml:space="preserve">technik sprzedażowych mających na celu skłonienie konsumentów do zawarcia dodatkowych umów dotyczących usług finansowych np. pożyczki, w celu sfinansowania płatności za oferowane w formie sprzedaży poza lokalem usługi czy wręcz </w:t>
            </w:r>
            <w:r w:rsidR="00D2142E" w:rsidRPr="00996A12">
              <w:rPr>
                <w:rFonts w:ascii="Times New Roman" w:hAnsi="Times New Roman"/>
                <w:color w:val="000000"/>
                <w:spacing w:val="-2"/>
              </w:rPr>
              <w:t xml:space="preserve">zmuszanie konsumentów </w:t>
            </w:r>
            <w:r w:rsidR="00D2142E" w:rsidRPr="00996A12">
              <w:rPr>
                <w:rFonts w:ascii="Times New Roman" w:hAnsi="Times New Roman"/>
              </w:rPr>
              <w:t>do zawierania</w:t>
            </w:r>
            <w:r w:rsidR="00C8645E" w:rsidRPr="00996A12">
              <w:rPr>
                <w:rFonts w:ascii="Times New Roman" w:hAnsi="Times New Roman"/>
              </w:rPr>
              <w:t xml:space="preserve"> takich umów</w:t>
            </w:r>
            <w:r w:rsidR="00D2142E" w:rsidRPr="00996A12">
              <w:rPr>
                <w:rFonts w:ascii="Times New Roman" w:hAnsi="Times New Roman"/>
              </w:rPr>
              <w:t>, w przypadku braku wystarczającej ilości środków</w:t>
            </w:r>
            <w:r w:rsidR="00C8645E" w:rsidRPr="00996A12">
              <w:rPr>
                <w:rFonts w:ascii="Times New Roman" w:hAnsi="Times New Roman"/>
              </w:rPr>
              <w:t xml:space="preserve"> na zakup.</w:t>
            </w:r>
            <w:r w:rsidR="00D2142E" w:rsidRPr="00996A12">
              <w:rPr>
                <w:rFonts w:ascii="Times New Roman" w:hAnsi="Times New Roman"/>
              </w:rPr>
              <w:t xml:space="preserve"> Konsumenci często nawet nie są świadomi, że zawierają takie umowy –do podpisu przedstawiane im są różne dokumenty, w tym w sposób wprowadzający w błąd</w:t>
            </w:r>
            <w:r w:rsidR="00C8645E" w:rsidRPr="00996A12">
              <w:rPr>
                <w:rFonts w:ascii="Times New Roman" w:hAnsi="Times New Roman"/>
              </w:rPr>
              <w:t xml:space="preserve"> dokumenty</w:t>
            </w:r>
            <w:r w:rsidR="00D2142E" w:rsidRPr="00996A12">
              <w:rPr>
                <w:rFonts w:ascii="Times New Roman" w:hAnsi="Times New Roman"/>
              </w:rPr>
              <w:t xml:space="preserve"> umowy pożyczki/kredytu. </w:t>
            </w:r>
            <w:r w:rsidR="00D2142E" w:rsidRPr="00996A12">
              <w:rPr>
                <w:rFonts w:ascii="Times New Roman" w:hAnsi="Times New Roman"/>
                <w:color w:val="000000"/>
                <w:spacing w:val="-2"/>
              </w:rPr>
              <w:t>Przedsiębiorcy na pokazach często stosują również presję na konsumentów</w:t>
            </w:r>
            <w:r w:rsidR="00C8645E" w:rsidRPr="00996A12">
              <w:rPr>
                <w:rFonts w:ascii="Times New Roman" w:hAnsi="Times New Roman"/>
                <w:color w:val="000000"/>
                <w:spacing w:val="-2"/>
              </w:rPr>
              <w:t>,</w:t>
            </w:r>
            <w:r w:rsidR="00D2142E" w:rsidRPr="00996A12">
              <w:rPr>
                <w:rFonts w:ascii="Times New Roman" w:hAnsi="Times New Roman"/>
                <w:color w:val="000000"/>
                <w:spacing w:val="-2"/>
              </w:rPr>
              <w:t xml:space="preserve"> aby takie umowy zawierali, </w:t>
            </w:r>
            <w:r w:rsidRPr="00996A12">
              <w:rPr>
                <w:rFonts w:ascii="Times New Roman" w:hAnsi="Times New Roman"/>
                <w:color w:val="000000"/>
                <w:spacing w:val="-2"/>
              </w:rPr>
              <w:t xml:space="preserve">, łącznie z przypadkami „podwożenia” konsumentów do banków, w celu zawarcia takich umów. </w:t>
            </w:r>
          </w:p>
          <w:p w14:paraId="2CA3A63E" w14:textId="7777777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Proponuje się zatem wprowadzenie regulacji, zgodnie z którą umowa o świadczenie usług finansowych nie może być zawarta podczas pokazu</w:t>
            </w:r>
            <w:r w:rsidR="00D2142E" w:rsidRPr="00996A12">
              <w:rPr>
                <w:rFonts w:ascii="Times New Roman" w:hAnsi="Times New Roman"/>
                <w:color w:val="000000"/>
                <w:spacing w:val="-2"/>
              </w:rPr>
              <w:t xml:space="preserve"> oraz wycieczki</w:t>
            </w:r>
            <w:r w:rsidRPr="00996A12">
              <w:rPr>
                <w:rFonts w:ascii="Times New Roman" w:hAnsi="Times New Roman"/>
                <w:color w:val="000000"/>
                <w:spacing w:val="-2"/>
              </w:rPr>
              <w:t xml:space="preserve">. W przypadku zawarcia takiej umowy, jest ona nieważna z mocy prawa. </w:t>
            </w:r>
          </w:p>
          <w:p w14:paraId="1D2D722D" w14:textId="7777777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Jednocześnie, regulacja taka nie będzie mieć zastosowania do pokazu zorganizowanego na wyraźne zaproszenie konsumenta, w jego miejscu zamieszkania czy pobytu. Doprecyzowanie ma na celu wyłączenie z regulacji pokazów sytuacji, w której prezentacja wykonywana jest dla danych konsumentów indywidualnie i są oni jego inicjatorami. Dotyczy to na przykład produktów/usług o znacznej wartości np. dóbr luksusowych, sprzedaży kosmetyków czy sprzętów kuchennych.</w:t>
            </w:r>
          </w:p>
          <w:p w14:paraId="7381FBC7" w14:textId="7777777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Takie pokazy w domach z inicjatywy samych konsumentów nie niosą ze sobą ryzyka analogicznego do tego, jakie występuje np. na pokazach organizowanych przez przedsiębiorcę w wynajętych salach, na których konsumenci często są wprowadzeni w błąd co do samego  charakteru spotkania lub niemający świadomości, jakie towary/usługi będą im prezentowane lub sprzedawane.</w:t>
            </w:r>
          </w:p>
          <w:p w14:paraId="5CA4F82A" w14:textId="7777777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Natomiast poprzez zaproszenie przedsiębiorcy do domu/miejsca pobytu konsumenta, konsument wyraża wolę zapoznania się z ofertą przedsiębiorcy, a następnie  ewentualnego zakupu towarów/usług. Wyłączenie zatem możliwości sfinansowania takiego zakupu kredytem konsumenckim/pożyczką byłoby nieuzasadnione</w:t>
            </w:r>
            <w:r w:rsidR="00D2142E" w:rsidRPr="00996A12">
              <w:rPr>
                <w:rFonts w:ascii="Times New Roman" w:hAnsi="Times New Roman"/>
                <w:color w:val="000000"/>
                <w:spacing w:val="-2"/>
              </w:rPr>
              <w:t>.</w:t>
            </w:r>
          </w:p>
          <w:p w14:paraId="3FD15706" w14:textId="7777777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Zakaz ten ma bowiem na celu zapobieganie „wyłudzaniu” od konsumentów zakupów finansowanych kredytem/pożyczką w sytuacji zaskoczenia i często nawet bez świadomości zaciągnięcia takiego zobowiązania finansowego.</w:t>
            </w:r>
          </w:p>
          <w:p w14:paraId="5D044D01" w14:textId="77777777" w:rsidR="006D3F67" w:rsidRPr="00996A12" w:rsidRDefault="006D3F67" w:rsidP="006D3F67">
            <w:pPr>
              <w:spacing w:line="240" w:lineRule="auto"/>
              <w:jc w:val="both"/>
              <w:rPr>
                <w:rFonts w:ascii="Times New Roman" w:hAnsi="Times New Roman"/>
                <w:color w:val="000000"/>
                <w:spacing w:val="-2"/>
              </w:rPr>
            </w:pPr>
          </w:p>
          <w:p w14:paraId="090B18AD" w14:textId="486BF224"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3. Wprowadzenie zakazu przyjmowania płatności przed upływem terminu do odstąpienia od umowy, o którym mowa w art. 27 ustawy o prawach konsumenta (w terminie 14 dni bez podawania przyczyny i bez ponoszenia kosztów) w odniesieniu </w:t>
            </w:r>
            <w:r w:rsidRPr="00996A12">
              <w:rPr>
                <w:rFonts w:ascii="Times New Roman" w:hAnsi="Times New Roman"/>
                <w:color w:val="000000"/>
                <w:spacing w:val="-2"/>
              </w:rPr>
              <w:lastRenderedPageBreak/>
              <w:t>do umów zawartych poza lokalem przedsiębiorstwa</w:t>
            </w:r>
            <w:r w:rsidR="00F15803" w:rsidRPr="00996A12">
              <w:rPr>
                <w:rFonts w:ascii="Times New Roman" w:hAnsi="Times New Roman"/>
                <w:color w:val="000000"/>
                <w:spacing w:val="-2"/>
              </w:rPr>
              <w:t xml:space="preserve"> podczas wycieczki, nieumówionej wizyty przedsiębiorcy w miejscu zamieszkania lub zwykłego pobytu konsumenta, albo pokazu</w:t>
            </w:r>
            <w:r w:rsidRPr="00996A12">
              <w:rPr>
                <w:rFonts w:ascii="Times New Roman" w:hAnsi="Times New Roman"/>
                <w:color w:val="000000"/>
                <w:spacing w:val="-2"/>
              </w:rPr>
              <w:t>.</w:t>
            </w:r>
            <w:r w:rsidR="00F15803" w:rsidRPr="00996A12">
              <w:rPr>
                <w:rFonts w:ascii="Times New Roman" w:hAnsi="Times New Roman"/>
                <w:color w:val="000000"/>
                <w:spacing w:val="-2"/>
              </w:rPr>
              <w:t xml:space="preserve"> </w:t>
            </w:r>
          </w:p>
          <w:p w14:paraId="09BE5B40" w14:textId="75AF569C"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Proponuje się wprowadzenie zakazu przyjmowania płatności przed upływem terminu do odstąpienia od umowy, który zgodnie z regulacją art. 27 ustawy o prawach konsumenta wynosi 14 dni, w odniesieniu do </w:t>
            </w:r>
            <w:r w:rsidR="00F15803" w:rsidRPr="00996A12">
              <w:rPr>
                <w:rFonts w:ascii="Times New Roman" w:hAnsi="Times New Roman"/>
                <w:color w:val="000000"/>
                <w:spacing w:val="-2"/>
              </w:rPr>
              <w:t xml:space="preserve">ww. </w:t>
            </w:r>
            <w:r w:rsidRPr="00996A12">
              <w:rPr>
                <w:rFonts w:ascii="Times New Roman" w:hAnsi="Times New Roman"/>
                <w:color w:val="000000"/>
                <w:spacing w:val="-2"/>
              </w:rPr>
              <w:t>umów zawieranych poza lokalem.  Zgodnie z projektowan</w:t>
            </w:r>
            <w:r w:rsidR="006D44C4" w:rsidRPr="00996A12">
              <w:rPr>
                <w:rFonts w:ascii="Times New Roman" w:hAnsi="Times New Roman"/>
                <w:color w:val="000000"/>
                <w:spacing w:val="-2"/>
              </w:rPr>
              <w:t>ą</w:t>
            </w:r>
            <w:r w:rsidRPr="00996A12">
              <w:rPr>
                <w:rFonts w:ascii="Times New Roman" w:hAnsi="Times New Roman"/>
                <w:color w:val="000000"/>
                <w:spacing w:val="-2"/>
              </w:rPr>
              <w:t xml:space="preserve"> regulacją nie będzie możliwe przyjęcie płatności </w:t>
            </w:r>
            <w:r w:rsidR="00147998" w:rsidRPr="00996A12">
              <w:rPr>
                <w:rFonts w:ascii="Times New Roman" w:hAnsi="Times New Roman"/>
                <w:color w:val="000000"/>
                <w:spacing w:val="-2"/>
              </w:rPr>
              <w:t xml:space="preserve">w odniesieniu do </w:t>
            </w:r>
            <w:r w:rsidR="00F15803" w:rsidRPr="00996A12">
              <w:rPr>
                <w:rFonts w:ascii="Times New Roman" w:hAnsi="Times New Roman"/>
                <w:color w:val="000000"/>
                <w:spacing w:val="-2"/>
              </w:rPr>
              <w:t xml:space="preserve">takiej </w:t>
            </w:r>
            <w:r w:rsidR="00147998" w:rsidRPr="00996A12">
              <w:rPr>
                <w:rFonts w:ascii="Times New Roman" w:hAnsi="Times New Roman"/>
                <w:color w:val="000000"/>
                <w:spacing w:val="-2"/>
              </w:rPr>
              <w:t>umowy zawartej poza lokalem przedsiębiorstwa</w:t>
            </w:r>
            <w:r w:rsidRPr="00996A12">
              <w:rPr>
                <w:rFonts w:ascii="Times New Roman" w:hAnsi="Times New Roman"/>
                <w:color w:val="000000"/>
                <w:spacing w:val="-2"/>
              </w:rPr>
              <w:t xml:space="preserve"> i do czasu zakończenia biegu terminu na odstąpieni</w:t>
            </w:r>
            <w:r w:rsidR="00147998" w:rsidRPr="00996A12">
              <w:rPr>
                <w:rFonts w:ascii="Times New Roman" w:hAnsi="Times New Roman"/>
                <w:color w:val="000000"/>
                <w:spacing w:val="-2"/>
              </w:rPr>
              <w:t>e</w:t>
            </w:r>
            <w:r w:rsidRPr="00996A12">
              <w:rPr>
                <w:rFonts w:ascii="Times New Roman" w:hAnsi="Times New Roman"/>
                <w:color w:val="000000"/>
                <w:spacing w:val="-2"/>
              </w:rPr>
              <w:t xml:space="preserve"> od umowy. </w:t>
            </w:r>
          </w:p>
          <w:p w14:paraId="66BF54C7" w14:textId="11F175C6"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Projektowana regulacja pozwoli skutecznie ograniczyć ryzyko strat po stronie konsumentów</w:t>
            </w:r>
            <w:r w:rsidR="00D2142E" w:rsidRPr="00996A12">
              <w:rPr>
                <w:rFonts w:ascii="Times New Roman" w:hAnsi="Times New Roman"/>
                <w:color w:val="000000"/>
                <w:spacing w:val="-2"/>
              </w:rPr>
              <w:t>. Na skutek wprowadzających w błąd działań przedsiębiorców konsumenci często nawet nie są świadomi, że przysługuje im prawo do odstąpienia od umowy.</w:t>
            </w:r>
            <w:r w:rsidR="00281065" w:rsidRPr="00996A12">
              <w:rPr>
                <w:rFonts w:ascii="Times New Roman" w:hAnsi="Times New Roman"/>
                <w:color w:val="000000"/>
                <w:spacing w:val="-2"/>
              </w:rPr>
              <w:t xml:space="preserve"> </w:t>
            </w:r>
            <w:r w:rsidR="00D2142E" w:rsidRPr="00996A12">
              <w:rPr>
                <w:rFonts w:ascii="Times New Roman" w:hAnsi="Times New Roman"/>
                <w:color w:val="000000"/>
                <w:spacing w:val="-2"/>
              </w:rPr>
              <w:t>N</w:t>
            </w:r>
            <w:r w:rsidRPr="00996A12">
              <w:rPr>
                <w:rFonts w:ascii="Times New Roman" w:hAnsi="Times New Roman"/>
                <w:color w:val="000000"/>
                <w:spacing w:val="-2"/>
              </w:rPr>
              <w:t xml:space="preserve">awet </w:t>
            </w:r>
            <w:r w:rsidR="00D2142E" w:rsidRPr="00996A12">
              <w:rPr>
                <w:rFonts w:ascii="Times New Roman" w:hAnsi="Times New Roman"/>
                <w:color w:val="000000"/>
                <w:spacing w:val="-2"/>
              </w:rPr>
              <w:t xml:space="preserve">jednak </w:t>
            </w:r>
            <w:r w:rsidRPr="00996A12">
              <w:rPr>
                <w:rFonts w:ascii="Times New Roman" w:hAnsi="Times New Roman"/>
                <w:color w:val="000000"/>
                <w:spacing w:val="-2"/>
              </w:rPr>
              <w:t xml:space="preserve">w przypadku odstąpienia od umowy w terminie, konsumenci </w:t>
            </w:r>
            <w:r w:rsidR="00D2142E" w:rsidRPr="00996A12">
              <w:rPr>
                <w:rFonts w:ascii="Times New Roman" w:hAnsi="Times New Roman"/>
                <w:color w:val="000000"/>
                <w:spacing w:val="-2"/>
              </w:rPr>
              <w:t xml:space="preserve">również </w:t>
            </w:r>
            <w:r w:rsidRPr="00996A12">
              <w:rPr>
                <w:rFonts w:ascii="Times New Roman" w:hAnsi="Times New Roman"/>
                <w:color w:val="000000"/>
                <w:spacing w:val="-2"/>
              </w:rPr>
              <w:t>często nie mogą odzyskać swoich pieniędzy i zmuszeni są występować na drogę sądową. Z informacji posiadanych przez UOKiK wynika, że pokazy często celowo organizowane są w sposób sprzyjający podejmowaniu pochopnych decyzji, których konsekwencje finansowe potrafią być dotkliwe.</w:t>
            </w:r>
            <w:r w:rsidR="00DC457D" w:rsidRPr="00996A12">
              <w:rPr>
                <w:rFonts w:ascii="Times New Roman" w:hAnsi="Times New Roman"/>
                <w:color w:val="000000"/>
                <w:spacing w:val="-2"/>
              </w:rPr>
              <w:t xml:space="preserve"> Wskazane praktyki mają charakter celowo przyjętej techniki sprzedaży mającej na celu wywieranie presji </w:t>
            </w:r>
            <w:r w:rsidR="00E35D57" w:rsidRPr="00996A12">
              <w:rPr>
                <w:rFonts w:ascii="Times New Roman" w:hAnsi="Times New Roman"/>
                <w:color w:val="000000"/>
                <w:spacing w:val="-2"/>
              </w:rPr>
              <w:t xml:space="preserve">i jak najszybsze podpisanie umowy. </w:t>
            </w:r>
            <w:r w:rsidRPr="00996A12">
              <w:rPr>
                <w:rFonts w:ascii="Times New Roman" w:hAnsi="Times New Roman"/>
                <w:color w:val="000000"/>
                <w:spacing w:val="-2"/>
              </w:rPr>
              <w:t xml:space="preserve"> Proponowane rozwiązanie pozwoli na podjęcie świadomej decyzji dotyczącej zakupu danego produktu czy usługi, zaś konsumenci nie będą narażeni na straty finansowe. </w:t>
            </w:r>
          </w:p>
          <w:p w14:paraId="55244EC7" w14:textId="77777777" w:rsidR="006D3F67" w:rsidRPr="00996A12" w:rsidRDefault="006D3F67" w:rsidP="006D3F67">
            <w:pPr>
              <w:spacing w:line="240" w:lineRule="auto"/>
              <w:jc w:val="both"/>
              <w:rPr>
                <w:rFonts w:ascii="Times New Roman" w:hAnsi="Times New Roman"/>
                <w:color w:val="000000"/>
                <w:spacing w:val="-2"/>
              </w:rPr>
            </w:pPr>
            <w:r w:rsidRPr="00996A12">
              <w:rPr>
                <w:rFonts w:ascii="Times New Roman" w:hAnsi="Times New Roman"/>
                <w:color w:val="000000"/>
                <w:spacing w:val="-2"/>
              </w:rPr>
              <w:t>Co więcej regulacja taka przyczyni się w dużym stopniu do wyeliminowania z rynku nieuczciwych przedsiębiorców, którzy zorganizowali swoją działalność w oparciu o nieuczciwe praktyki. Tacy przedsiębiorcy celowo nie dokonują zwrotu płatności konsumentom twierdząc że np. minął czas na odstąpienie od umowy albo, że odstąpienie od umowy w ogóle nie przysługuje konsumentowi. Wprowadzenie tzw. odroczonej płatności uniemożliwi takie praktyki, a w związku z powyższym sprawi, że działalność nieuczciwych przedsiębiorców przestanie być opłacalna.</w:t>
            </w:r>
          </w:p>
          <w:p w14:paraId="6CEF0520" w14:textId="70352B9D" w:rsidR="00201ABB" w:rsidRPr="00996A12" w:rsidRDefault="006C30BC" w:rsidP="00277DCD">
            <w:pPr>
              <w:spacing w:line="240" w:lineRule="auto"/>
              <w:jc w:val="both"/>
              <w:rPr>
                <w:rFonts w:ascii="Times New Roman" w:hAnsi="Times New Roman"/>
                <w:color w:val="000000"/>
                <w:spacing w:val="-2"/>
                <w:u w:val="single"/>
              </w:rPr>
            </w:pPr>
            <w:r w:rsidRPr="00996A12">
              <w:rPr>
                <w:rFonts w:ascii="Times New Roman" w:hAnsi="Times New Roman"/>
                <w:color w:val="000000"/>
                <w:spacing w:val="-2"/>
              </w:rPr>
              <w:t xml:space="preserve">Zakaz ten nie będzie miał zastosowania do umów zawieranych w trakcie pokazów </w:t>
            </w:r>
            <w:r w:rsidRPr="00996A12">
              <w:rPr>
                <w:rFonts w:ascii="Times New Roman" w:hAnsi="Times New Roman"/>
                <w:bCs/>
                <w:color w:val="000000"/>
                <w:spacing w:val="-2"/>
              </w:rPr>
              <w:t>zorganizowanych w miejscu zamieszkania lub pobytu konsumenta na jego wyraźne zaproszenie</w:t>
            </w:r>
          </w:p>
          <w:p w14:paraId="4E6EDF58" w14:textId="1221EA4C" w:rsidR="00CC6D45" w:rsidRPr="00996A12" w:rsidRDefault="00A2048D" w:rsidP="00CC6D45">
            <w:pPr>
              <w:spacing w:line="240" w:lineRule="auto"/>
              <w:jc w:val="both"/>
              <w:rPr>
                <w:rFonts w:ascii="Times New Roman" w:hAnsi="Times New Roman"/>
                <w:color w:val="000000"/>
                <w:spacing w:val="-2"/>
              </w:rPr>
            </w:pPr>
            <w:r w:rsidRPr="00996A12">
              <w:rPr>
                <w:rFonts w:ascii="Times New Roman" w:hAnsi="Times New Roman"/>
                <w:color w:val="000000"/>
                <w:spacing w:val="-2"/>
              </w:rPr>
              <w:t>4</w:t>
            </w:r>
            <w:r w:rsidR="00277DCD" w:rsidRPr="00996A12">
              <w:rPr>
                <w:rFonts w:ascii="Times New Roman" w:hAnsi="Times New Roman"/>
                <w:color w:val="000000"/>
                <w:spacing w:val="-2"/>
              </w:rPr>
              <w:t xml:space="preserve">. Wprowadzenie </w:t>
            </w:r>
            <w:r w:rsidR="00CC6D45" w:rsidRPr="00996A12">
              <w:rPr>
                <w:rFonts w:ascii="Times New Roman" w:hAnsi="Times New Roman"/>
                <w:color w:val="000000"/>
                <w:spacing w:val="-2"/>
              </w:rPr>
              <w:t xml:space="preserve">zakazu sprzedaży </w:t>
            </w:r>
            <w:r w:rsidR="00281065" w:rsidRPr="00996A12">
              <w:rPr>
                <w:rFonts w:ascii="Times New Roman" w:hAnsi="Times New Roman"/>
                <w:color w:val="000000"/>
                <w:spacing w:val="-2"/>
              </w:rPr>
              <w:t>wyrobów medycznych poza lokalem – zmiany w ustawie o wyrobach medycznych.</w:t>
            </w:r>
          </w:p>
          <w:p w14:paraId="0E7B1E1F" w14:textId="77777777" w:rsidR="00334D9C" w:rsidRPr="00996A12" w:rsidRDefault="00334D9C" w:rsidP="00334D9C">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Proponuje się wprowadzenie zakazu sprzedaży wyrobów medycznych poza lokalem w rozumieniu ustawy o prawach konsumenta. </w:t>
            </w:r>
          </w:p>
          <w:p w14:paraId="243F3500" w14:textId="77777777" w:rsidR="00165A6D" w:rsidRPr="00996A12" w:rsidRDefault="00201ABB" w:rsidP="00334D9C">
            <w:pPr>
              <w:spacing w:line="240" w:lineRule="auto"/>
              <w:jc w:val="both"/>
              <w:rPr>
                <w:rFonts w:ascii="Times New Roman" w:hAnsi="Times New Roman"/>
                <w:color w:val="000000"/>
                <w:spacing w:val="-2"/>
              </w:rPr>
            </w:pPr>
            <w:r w:rsidRPr="00996A12">
              <w:rPr>
                <w:rFonts w:ascii="Times New Roman" w:hAnsi="Times New Roman"/>
                <w:color w:val="000000"/>
                <w:spacing w:val="-2"/>
              </w:rPr>
              <w:t>Sprzedaż wyrobów medycznych należy do jednych z najczęstszych ofert podczas pokazów organizowanych w celach handlowych. W tym przypadku, podobnie jak ma to miejsce w odniesieniu do pakietów medycznych, konsumentami najczęściej narażonymi na negatywne konsekwencje są osoby starsze. Najbardziej skuteczną metodą wyeliminowania takich praktyk jest wprowadzenie zakazu sprzedaży takich wyrobów poza lokalem przedsiębiorstwa. Warto podkreślić, że często są to produkty o wątpliwej jakości. Wprowadzenie proponowanej regulacji pozwoli to na skuteczną ochronę konsumenta.</w:t>
            </w:r>
          </w:p>
          <w:p w14:paraId="27E0FB25" w14:textId="77777777" w:rsidR="00201ABB" w:rsidRPr="00996A12" w:rsidRDefault="00201ABB" w:rsidP="00334D9C">
            <w:pPr>
              <w:spacing w:line="240" w:lineRule="auto"/>
              <w:jc w:val="both"/>
              <w:rPr>
                <w:rFonts w:ascii="Times New Roman" w:hAnsi="Times New Roman"/>
                <w:color w:val="000000"/>
                <w:spacing w:val="-2"/>
              </w:rPr>
            </w:pPr>
          </w:p>
          <w:p w14:paraId="7D0F927B" w14:textId="5E09FC7B" w:rsidR="003F062E" w:rsidRPr="00996A12" w:rsidRDefault="00165A6D" w:rsidP="00381883">
            <w:pPr>
              <w:spacing w:line="240" w:lineRule="auto"/>
              <w:jc w:val="both"/>
              <w:rPr>
                <w:rFonts w:ascii="Times New Roman" w:hAnsi="Times New Roman"/>
                <w:color w:val="000000"/>
                <w:spacing w:val="-2"/>
              </w:rPr>
            </w:pPr>
            <w:r w:rsidRPr="00996A12">
              <w:rPr>
                <w:rFonts w:ascii="Times New Roman" w:hAnsi="Times New Roman"/>
                <w:color w:val="000000"/>
                <w:spacing w:val="-2"/>
              </w:rPr>
              <w:t>Jak wynika z dotychczasowych doświadczeń n</w:t>
            </w:r>
            <w:r w:rsidR="00334D9C" w:rsidRPr="00996A12">
              <w:rPr>
                <w:rFonts w:ascii="Times New Roman" w:hAnsi="Times New Roman"/>
                <w:color w:val="000000"/>
                <w:spacing w:val="-2"/>
              </w:rPr>
              <w:t xml:space="preserve">ajbardziej skuteczną metodą wyeliminowania </w:t>
            </w:r>
            <w:r w:rsidRPr="00996A12">
              <w:rPr>
                <w:rFonts w:ascii="Times New Roman" w:hAnsi="Times New Roman"/>
                <w:color w:val="000000"/>
                <w:spacing w:val="-2"/>
              </w:rPr>
              <w:t>nieuczciwych</w:t>
            </w:r>
            <w:r w:rsidR="00334D9C" w:rsidRPr="00996A12">
              <w:rPr>
                <w:rFonts w:ascii="Times New Roman" w:hAnsi="Times New Roman"/>
                <w:color w:val="000000"/>
                <w:spacing w:val="-2"/>
              </w:rPr>
              <w:t xml:space="preserve"> praktyk</w:t>
            </w:r>
            <w:r w:rsidRPr="00996A12">
              <w:rPr>
                <w:rFonts w:ascii="Times New Roman" w:hAnsi="Times New Roman"/>
                <w:color w:val="000000"/>
                <w:spacing w:val="-2"/>
              </w:rPr>
              <w:t xml:space="preserve"> przedsiębiorców w zakresie zawierania umów poza lokalem przedsiębiorstwa</w:t>
            </w:r>
            <w:r w:rsidR="00334D9C" w:rsidRPr="00996A12">
              <w:rPr>
                <w:rFonts w:ascii="Times New Roman" w:hAnsi="Times New Roman"/>
                <w:color w:val="000000"/>
                <w:spacing w:val="-2"/>
              </w:rPr>
              <w:t xml:space="preserve"> jest </w:t>
            </w:r>
            <w:r w:rsidR="00824699" w:rsidRPr="00996A12">
              <w:rPr>
                <w:rFonts w:ascii="Times New Roman" w:hAnsi="Times New Roman"/>
                <w:color w:val="000000"/>
                <w:spacing w:val="-2"/>
              </w:rPr>
              <w:t xml:space="preserve">obok administracyjnego trybu postępowań - </w:t>
            </w:r>
            <w:r w:rsidR="00334D9C" w:rsidRPr="00996A12">
              <w:rPr>
                <w:rFonts w:ascii="Times New Roman" w:hAnsi="Times New Roman"/>
                <w:color w:val="000000"/>
                <w:spacing w:val="-2"/>
              </w:rPr>
              <w:t xml:space="preserve">wprowadzenie </w:t>
            </w:r>
            <w:r w:rsidRPr="00996A12">
              <w:rPr>
                <w:rFonts w:ascii="Times New Roman" w:hAnsi="Times New Roman"/>
                <w:color w:val="000000"/>
                <w:spacing w:val="-2"/>
              </w:rPr>
              <w:t xml:space="preserve">instrumentów </w:t>
            </w:r>
            <w:r w:rsidR="00A2048D" w:rsidRPr="00996A12">
              <w:rPr>
                <w:rFonts w:ascii="Times New Roman" w:hAnsi="Times New Roman"/>
                <w:color w:val="000000"/>
                <w:spacing w:val="-2"/>
              </w:rPr>
              <w:t xml:space="preserve">o charakterze cywilnoprawnych </w:t>
            </w:r>
            <w:r w:rsidRPr="00996A12">
              <w:rPr>
                <w:rFonts w:ascii="Times New Roman" w:hAnsi="Times New Roman"/>
                <w:color w:val="000000"/>
                <w:spacing w:val="-2"/>
              </w:rPr>
              <w:t xml:space="preserve"> przyznających z jednej strony konsumentom uprawnienie do odstąpienia od takich umów</w:t>
            </w:r>
            <w:r w:rsidR="00A2048D" w:rsidRPr="00996A12">
              <w:rPr>
                <w:rFonts w:ascii="Times New Roman" w:hAnsi="Times New Roman"/>
                <w:color w:val="000000"/>
                <w:spacing w:val="-2"/>
              </w:rPr>
              <w:t>,</w:t>
            </w:r>
            <w:r w:rsidRPr="00996A12">
              <w:rPr>
                <w:rFonts w:ascii="Times New Roman" w:hAnsi="Times New Roman"/>
                <w:color w:val="000000"/>
                <w:spacing w:val="-2"/>
              </w:rPr>
              <w:t xml:space="preserve"> natomiast w </w:t>
            </w:r>
            <w:r w:rsidR="00A2048D" w:rsidRPr="00996A12">
              <w:rPr>
                <w:rFonts w:ascii="Times New Roman" w:hAnsi="Times New Roman"/>
                <w:color w:val="000000"/>
                <w:spacing w:val="-2"/>
              </w:rPr>
              <w:t>stosunku do</w:t>
            </w:r>
            <w:r w:rsidR="006C30BC" w:rsidRPr="00996A12">
              <w:rPr>
                <w:rFonts w:ascii="Times New Roman" w:hAnsi="Times New Roman"/>
                <w:color w:val="000000"/>
                <w:spacing w:val="-2"/>
              </w:rPr>
              <w:t xml:space="preserve"> </w:t>
            </w:r>
            <w:r w:rsidRPr="00996A12">
              <w:rPr>
                <w:rFonts w:ascii="Times New Roman" w:hAnsi="Times New Roman"/>
                <w:color w:val="000000"/>
                <w:spacing w:val="-2"/>
              </w:rPr>
              <w:t xml:space="preserve">niektórych produktów </w:t>
            </w:r>
            <w:r w:rsidR="00A2048D" w:rsidRPr="00996A12">
              <w:rPr>
                <w:rFonts w:ascii="Times New Roman" w:hAnsi="Times New Roman"/>
                <w:color w:val="000000"/>
                <w:spacing w:val="-2"/>
              </w:rPr>
              <w:t xml:space="preserve"> - </w:t>
            </w:r>
            <w:r w:rsidRPr="00996A12">
              <w:rPr>
                <w:rFonts w:ascii="Times New Roman" w:hAnsi="Times New Roman"/>
                <w:color w:val="000000"/>
                <w:spacing w:val="-2"/>
              </w:rPr>
              <w:t xml:space="preserve">wprowadzenie </w:t>
            </w:r>
            <w:r w:rsidR="00334D9C" w:rsidRPr="00996A12">
              <w:rPr>
                <w:rFonts w:ascii="Times New Roman" w:hAnsi="Times New Roman"/>
                <w:color w:val="000000"/>
                <w:spacing w:val="-2"/>
              </w:rPr>
              <w:t xml:space="preserve">zakazu </w:t>
            </w:r>
            <w:r w:rsidR="00A2048D" w:rsidRPr="00996A12">
              <w:rPr>
                <w:rFonts w:ascii="Times New Roman" w:hAnsi="Times New Roman"/>
                <w:color w:val="000000"/>
                <w:spacing w:val="-2"/>
              </w:rPr>
              <w:t xml:space="preserve">ich </w:t>
            </w:r>
            <w:r w:rsidR="00334D9C" w:rsidRPr="00996A12">
              <w:rPr>
                <w:rFonts w:ascii="Times New Roman" w:hAnsi="Times New Roman"/>
                <w:color w:val="000000"/>
                <w:spacing w:val="-2"/>
              </w:rPr>
              <w:t>sprzedaży poza lokalem przedsiębiorstwa. Wprowadzenie p</w:t>
            </w:r>
            <w:r w:rsidR="00824699" w:rsidRPr="00996A12">
              <w:rPr>
                <w:rFonts w:ascii="Times New Roman" w:hAnsi="Times New Roman"/>
                <w:color w:val="000000"/>
                <w:spacing w:val="-2"/>
              </w:rPr>
              <w:t xml:space="preserve">roponowanej regulacji pozwoli  na skuteczniejszą </w:t>
            </w:r>
            <w:r w:rsidR="00334D9C" w:rsidRPr="00996A12">
              <w:rPr>
                <w:rFonts w:ascii="Times New Roman" w:hAnsi="Times New Roman"/>
                <w:color w:val="000000"/>
                <w:spacing w:val="-2"/>
              </w:rPr>
              <w:t>ochronę konsumenta</w:t>
            </w:r>
            <w:r w:rsidR="00A2048D" w:rsidRPr="00996A12">
              <w:rPr>
                <w:rFonts w:ascii="Times New Roman" w:hAnsi="Times New Roman"/>
                <w:color w:val="000000"/>
                <w:spacing w:val="-2"/>
              </w:rPr>
              <w:t xml:space="preserve"> a jednocześnie pozwoli eliminować z rynku najbardziej patologiczne praktyki nieuczciwych przedsiębiorców.</w:t>
            </w:r>
          </w:p>
        </w:tc>
      </w:tr>
      <w:tr w:rsidR="006A701A" w:rsidRPr="00996A12" w14:paraId="3B899BE2" w14:textId="77777777" w:rsidTr="00196538">
        <w:trPr>
          <w:trHeight w:val="307"/>
        </w:trPr>
        <w:tc>
          <w:tcPr>
            <w:tcW w:w="10803" w:type="dxa"/>
            <w:gridSpan w:val="28"/>
            <w:shd w:val="clear" w:color="auto" w:fill="99CCFF"/>
            <w:vAlign w:val="center"/>
          </w:tcPr>
          <w:p w14:paraId="3AA7342E" w14:textId="77777777" w:rsidR="006A701A" w:rsidRPr="00996A12" w:rsidRDefault="009E3C4B" w:rsidP="00A7795B">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lastRenderedPageBreak/>
              <w:t>Jak problem został rozwiązany w innych krajach, w szczególności krajach członkowskich OECD/UE</w:t>
            </w:r>
            <w:r w:rsidR="006A701A" w:rsidRPr="00996A12">
              <w:rPr>
                <w:rFonts w:ascii="Times New Roman" w:hAnsi="Times New Roman"/>
                <w:b/>
                <w:color w:val="000000"/>
                <w:spacing w:val="-2"/>
              </w:rPr>
              <w:t xml:space="preserve">? </w:t>
            </w:r>
          </w:p>
        </w:tc>
      </w:tr>
      <w:tr w:rsidR="006A701A" w:rsidRPr="00996A12" w14:paraId="4F79F5A3" w14:textId="77777777" w:rsidTr="00196538">
        <w:trPr>
          <w:trHeight w:val="142"/>
        </w:trPr>
        <w:tc>
          <w:tcPr>
            <w:tcW w:w="10803" w:type="dxa"/>
            <w:gridSpan w:val="28"/>
            <w:shd w:val="clear" w:color="auto" w:fill="auto"/>
          </w:tcPr>
          <w:p w14:paraId="292DF868" w14:textId="77777777" w:rsidR="00547450" w:rsidRPr="00996A12" w:rsidRDefault="00CE597F" w:rsidP="00547450">
            <w:pPr>
              <w:spacing w:line="240" w:lineRule="auto"/>
              <w:jc w:val="both"/>
              <w:rPr>
                <w:rFonts w:ascii="Times New Roman" w:hAnsi="Times New Roman"/>
                <w:color w:val="000000"/>
                <w:spacing w:val="-2"/>
              </w:rPr>
            </w:pPr>
            <w:r w:rsidRPr="00996A12">
              <w:rPr>
                <w:rFonts w:ascii="Times New Roman" w:hAnsi="Times New Roman"/>
                <w:color w:val="000000"/>
                <w:spacing w:val="-2"/>
              </w:rPr>
              <w:t>W odniesieniu do dyrektywy Omnibus - o</w:t>
            </w:r>
            <w:r w:rsidR="00C22320" w:rsidRPr="00996A12">
              <w:rPr>
                <w:rFonts w:ascii="Times New Roman" w:hAnsi="Times New Roman"/>
                <w:color w:val="000000"/>
                <w:spacing w:val="-2"/>
              </w:rPr>
              <w:t>becnie wszystkie Państwa Członkowskie są na etapie implementacji prze</w:t>
            </w:r>
            <w:r w:rsidRPr="00996A12">
              <w:rPr>
                <w:rFonts w:ascii="Times New Roman" w:hAnsi="Times New Roman"/>
                <w:color w:val="000000"/>
                <w:spacing w:val="-2"/>
              </w:rPr>
              <w:t xml:space="preserve">pisów przedmiotowej dyrektywy więc </w:t>
            </w:r>
            <w:r w:rsidR="00C22320" w:rsidRPr="00996A12">
              <w:rPr>
                <w:rFonts w:ascii="Times New Roman" w:hAnsi="Times New Roman"/>
                <w:color w:val="000000"/>
                <w:spacing w:val="-2"/>
              </w:rPr>
              <w:t>brak jeszcze ostatecznych rozwiązań legislacyjnych.</w:t>
            </w:r>
          </w:p>
          <w:p w14:paraId="639F764F" w14:textId="77777777" w:rsidR="00CE597F" w:rsidRPr="00996A12" w:rsidRDefault="00CE597F" w:rsidP="00547450">
            <w:pPr>
              <w:spacing w:line="240" w:lineRule="auto"/>
              <w:jc w:val="both"/>
              <w:rPr>
                <w:rFonts w:ascii="Times New Roman" w:hAnsi="Times New Roman"/>
                <w:color w:val="000000"/>
                <w:spacing w:val="-2"/>
              </w:rPr>
            </w:pPr>
            <w:r w:rsidRPr="00996A12">
              <w:rPr>
                <w:rFonts w:ascii="Times New Roman" w:hAnsi="Times New Roman"/>
                <w:color w:val="000000"/>
                <w:spacing w:val="-2"/>
              </w:rPr>
              <w:t>W odniesieniu do regulacji zawierania umów poza lokalem przedsiębiorstwa w zakresie, który jest proponowany do uregulowania w niniejszej Ocenie Skutków Regulacji</w:t>
            </w:r>
            <w:r w:rsidR="00170137" w:rsidRPr="00996A12">
              <w:rPr>
                <w:rFonts w:ascii="Times New Roman" w:hAnsi="Times New Roman"/>
                <w:color w:val="000000"/>
                <w:spacing w:val="-2"/>
              </w:rPr>
              <w:t xml:space="preserve"> ustalono co następuje.</w:t>
            </w:r>
          </w:p>
          <w:p w14:paraId="778AAE4E" w14:textId="77777777" w:rsidR="00170137" w:rsidRPr="00996A12" w:rsidRDefault="00170137" w:rsidP="00170137">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Analizując możliwe rozwiązania, Prezes UOKiK wysłał zapytanie przez sieć CPN do innych państw członkowskich, dotyczące przyjętych w tych krajach rozwiązań legislacyjnych chroniących konsumentów w odniesieniu do sprzedaży poza lokalem (poza tymi wynikającymi z dyrektywy 2011/83/UE). Z uzyskanych odpowiedzi w poszczególnych państwach UE zastosowane są poniżej przedstawione rozwiązania: </w:t>
            </w:r>
          </w:p>
          <w:p w14:paraId="1E4DDEF9" w14:textId="77777777" w:rsidR="00170137" w:rsidRPr="00996A12" w:rsidRDefault="00170137" w:rsidP="00170137">
            <w:pPr>
              <w:spacing w:line="240" w:lineRule="auto"/>
              <w:jc w:val="both"/>
              <w:rPr>
                <w:rFonts w:ascii="Times New Roman" w:hAnsi="Times New Roman"/>
                <w:color w:val="000000"/>
                <w:spacing w:val="-2"/>
              </w:rPr>
            </w:pPr>
            <w:r w:rsidRPr="00996A12">
              <w:rPr>
                <w:rFonts w:ascii="Times New Roman" w:hAnsi="Times New Roman"/>
                <w:b/>
                <w:color w:val="000000"/>
                <w:spacing w:val="-2"/>
              </w:rPr>
              <w:t>Austria:</w:t>
            </w:r>
            <w:r w:rsidRPr="00996A12">
              <w:rPr>
                <w:rFonts w:ascii="Times New Roman" w:hAnsi="Times New Roman"/>
                <w:color w:val="000000"/>
                <w:spacing w:val="-2"/>
              </w:rPr>
              <w:t xml:space="preserve"> Sprzedaż niektórych produktów poza lokalem jest zakazana (np. suplementy diety, trucizny, leki, broń, amunicja, produkty pirotechniczne). W przypadku innych grup produktów, przedsiębiorcy muszą notyfikować pokaz organom administracji z przynajmniej sześciotygodniowym wyprzedzeniem.</w:t>
            </w:r>
          </w:p>
          <w:p w14:paraId="2C6FBB05" w14:textId="77777777" w:rsidR="008D0929" w:rsidRPr="00996A12" w:rsidRDefault="008D0929" w:rsidP="008D0929">
            <w:pPr>
              <w:spacing w:line="240" w:lineRule="auto"/>
              <w:jc w:val="both"/>
              <w:rPr>
                <w:rFonts w:ascii="Times New Roman" w:hAnsi="Times New Roman"/>
                <w:color w:val="000000"/>
                <w:spacing w:val="-2"/>
              </w:rPr>
            </w:pPr>
            <w:r w:rsidRPr="00996A12">
              <w:rPr>
                <w:rFonts w:ascii="Times New Roman" w:hAnsi="Times New Roman"/>
                <w:b/>
                <w:color w:val="000000"/>
                <w:spacing w:val="-2"/>
              </w:rPr>
              <w:t>Chorwacja:</w:t>
            </w:r>
            <w:r w:rsidRPr="00996A12">
              <w:rPr>
                <w:rFonts w:ascii="Times New Roman" w:hAnsi="Times New Roman"/>
                <w:color w:val="000000"/>
                <w:spacing w:val="-2"/>
              </w:rPr>
              <w:t xml:space="preserve"> Nie ma żadnych dodatkowych przepisów dotyczących sprzedaży poza lokalem oprócz tych wynikających z dyrektywy 2011/83/UE. Niemniej jednak, 31 stycznia 2017 r. Chorwacja wprowadziła specjalny rejestr (DO NOT CALL Register), prowadzony przez krajowego regulatora sieci, zawierający numery telefonów konsumentów, którzy nie chcą być kontaktowani przez przedsiębiorców oferujących swoje usługi/towary przez telefon/sms.</w:t>
            </w:r>
          </w:p>
          <w:p w14:paraId="55666A02" w14:textId="77777777" w:rsidR="008D0929" w:rsidRPr="00996A12" w:rsidRDefault="008D0929" w:rsidP="008D0929">
            <w:pPr>
              <w:spacing w:line="240" w:lineRule="auto"/>
              <w:jc w:val="both"/>
              <w:rPr>
                <w:rFonts w:ascii="Times New Roman" w:hAnsi="Times New Roman"/>
                <w:color w:val="000000"/>
                <w:spacing w:val="-2"/>
              </w:rPr>
            </w:pPr>
            <w:r w:rsidRPr="00996A12">
              <w:rPr>
                <w:rFonts w:ascii="Times New Roman" w:hAnsi="Times New Roman"/>
                <w:color w:val="000000"/>
                <w:spacing w:val="-2"/>
              </w:rPr>
              <w:t>W tym celu, konsumenci, którzy nie życzą sobie takich telefonów/wiadomości sms, mają możliwość wpisania swojego numeru do rejestru. Przedsiębiorca przed kontaktem z konsumentem musi sprawdzić, czy jego numer nie znajduje się w rejestrze. W przypadku, gdy przedsiębiorca kontaktuje się z konsumentem, aby przedstawić swoją ofertę handlową mimo, że numer konsumenta jest wpisany do rejestru, grozi mu grzywna od 1300 do 13 000 euro.</w:t>
            </w:r>
          </w:p>
          <w:p w14:paraId="54FDBB99" w14:textId="77777777" w:rsidR="008D0929" w:rsidRPr="00996A12" w:rsidRDefault="008D0929" w:rsidP="008D0929">
            <w:pPr>
              <w:spacing w:line="240" w:lineRule="auto"/>
              <w:jc w:val="both"/>
              <w:rPr>
                <w:rFonts w:ascii="Times New Roman" w:hAnsi="Times New Roman"/>
                <w:color w:val="000000"/>
                <w:spacing w:val="-2"/>
              </w:rPr>
            </w:pPr>
            <w:r w:rsidRPr="00996A12">
              <w:rPr>
                <w:rFonts w:ascii="Times New Roman" w:hAnsi="Times New Roman"/>
                <w:b/>
                <w:color w:val="000000"/>
                <w:spacing w:val="-2"/>
              </w:rPr>
              <w:t>Niemcy</w:t>
            </w:r>
            <w:r w:rsidRPr="00996A12">
              <w:rPr>
                <w:rFonts w:ascii="Times New Roman" w:hAnsi="Times New Roman"/>
                <w:color w:val="000000"/>
                <w:spacing w:val="-2"/>
              </w:rPr>
              <w:t xml:space="preserve">: Sprzedaż niektórych produktów poza lokalem jest zakazana (np. wyroby medyczne, metale i kamienie szlachetne). W przypadku innych grup produktów, przedsiębiorcy muszą notyfikować pokaz organom administracji z dwutygodniowym </w:t>
            </w:r>
            <w:r w:rsidRPr="00996A12">
              <w:rPr>
                <w:rFonts w:ascii="Times New Roman" w:hAnsi="Times New Roman"/>
                <w:color w:val="000000"/>
                <w:spacing w:val="-2"/>
              </w:rPr>
              <w:lastRenderedPageBreak/>
              <w:t>wyprzedzeniem. Notyfikacja musi zawierać miejsce i czas sprzedaży poza lokalem, nazwę organizatora oraz przedmiot sprzedaży.</w:t>
            </w:r>
          </w:p>
          <w:p w14:paraId="2512B380" w14:textId="77777777" w:rsidR="008D0929" w:rsidRPr="00996A12" w:rsidRDefault="008D0929" w:rsidP="008D0929">
            <w:pPr>
              <w:spacing w:line="240" w:lineRule="auto"/>
              <w:jc w:val="both"/>
              <w:rPr>
                <w:rFonts w:ascii="Times New Roman" w:hAnsi="Times New Roman"/>
                <w:color w:val="000000"/>
                <w:spacing w:val="-2"/>
              </w:rPr>
            </w:pPr>
            <w:r w:rsidRPr="00996A12">
              <w:rPr>
                <w:rFonts w:ascii="Times New Roman" w:hAnsi="Times New Roman"/>
                <w:b/>
                <w:color w:val="000000"/>
                <w:spacing w:val="-2"/>
              </w:rPr>
              <w:t>Węgry</w:t>
            </w:r>
            <w:r w:rsidRPr="00996A12">
              <w:rPr>
                <w:rFonts w:ascii="Times New Roman" w:hAnsi="Times New Roman"/>
                <w:color w:val="000000"/>
                <w:spacing w:val="-2"/>
              </w:rPr>
              <w:t>: W związku z nieuczciwymi praktykami przedsiębiorców, które miały często miejsce podczas sprzedaży poza lokalem, Węgry od grudnia 2015 r. wprowadziły zakaz reklamowania pokazów przez obietnicę różnego rodzaju prezentów, obniżek cenowych czy innych korzyści, który miałyby zostać uzyskane na pokazach. Dodatkowo na pokazach nie można świadczyć żadnych dodatkowych usług finansowych. Związane jest to z powszechną praktyką przymuszania konsumentów do zawierania umów kredytów, celem zdobycia środków na sfinansowanie nabytych na pokazie usług/dóbr. Natomiast od stycznia 2016 r. obowiązuje przepis zobowiązujący przedsiębiorców oferujących swoje usługi/towary na pokazach, do zapewnienia obsługi klienta (os</w:t>
            </w:r>
            <w:r w:rsidR="009E2980" w:rsidRPr="00996A12">
              <w:rPr>
                <w:rFonts w:ascii="Times New Roman" w:hAnsi="Times New Roman"/>
                <w:color w:val="000000"/>
                <w:spacing w:val="-2"/>
              </w:rPr>
              <w:t>obistej, telefonicznej, mailowej</w:t>
            </w:r>
            <w:r w:rsidRPr="00996A12">
              <w:rPr>
                <w:rFonts w:ascii="Times New Roman" w:hAnsi="Times New Roman"/>
                <w:color w:val="000000"/>
                <w:spacing w:val="-2"/>
              </w:rPr>
              <w:t xml:space="preserve">) mającej na celu udzielanie informacji i rozpatrywanie reklamacji. Obsługa klienta powinna znajdować się w głównym mieście regionu, w którym odbywa się pokaz, a w przypadku pokazów połączonych z wycieczkami, w każdym mieście, z którego organizowany jest wyjazd. Godziny otwarcia i obsługa klienta powinna być prowadzona w sposób, który umożliwia egzekwowanie konsumentom ich praw. W związku z powyższym, obsługa klienta powinna być dostępna każdego dnia przez co najmniej sześć godzin i w jeden weekend przynajmniej do godziny 20. </w:t>
            </w:r>
          </w:p>
          <w:p w14:paraId="597D03F3" w14:textId="77777777" w:rsidR="008D0929" w:rsidRPr="00996A12" w:rsidRDefault="008D0929" w:rsidP="008D0929">
            <w:pPr>
              <w:spacing w:line="240" w:lineRule="auto"/>
              <w:jc w:val="both"/>
              <w:rPr>
                <w:rFonts w:ascii="Times New Roman" w:hAnsi="Times New Roman"/>
                <w:color w:val="000000"/>
                <w:spacing w:val="-2"/>
              </w:rPr>
            </w:pPr>
            <w:r w:rsidRPr="00996A12">
              <w:rPr>
                <w:rFonts w:ascii="Times New Roman" w:hAnsi="Times New Roman"/>
                <w:color w:val="000000"/>
                <w:spacing w:val="-2"/>
              </w:rPr>
              <w:t>Przedsiębiorca powinien również zorganizować podróż powrotną z pokazu, który odbył się podczas zorganizowanego wyjazdu.</w:t>
            </w:r>
          </w:p>
          <w:p w14:paraId="2C0D61F0" w14:textId="77777777" w:rsidR="008D0929" w:rsidRPr="00996A12" w:rsidRDefault="008D0929" w:rsidP="008D0929">
            <w:pPr>
              <w:spacing w:line="240" w:lineRule="auto"/>
              <w:jc w:val="both"/>
              <w:rPr>
                <w:rFonts w:ascii="Times New Roman" w:hAnsi="Times New Roman"/>
                <w:color w:val="000000"/>
                <w:spacing w:val="-2"/>
              </w:rPr>
            </w:pPr>
            <w:r w:rsidRPr="00996A12">
              <w:rPr>
                <w:rFonts w:ascii="Times New Roman" w:hAnsi="Times New Roman"/>
                <w:b/>
                <w:color w:val="000000"/>
                <w:spacing w:val="-2"/>
              </w:rPr>
              <w:t>Słowacja</w:t>
            </w:r>
            <w:r w:rsidRPr="00996A12">
              <w:rPr>
                <w:rFonts w:ascii="Times New Roman" w:hAnsi="Times New Roman"/>
                <w:color w:val="000000"/>
                <w:spacing w:val="-2"/>
              </w:rPr>
              <w:t>: Istnieje prawny obowiązek notyfikacji pokazów Inspekcji Handlowej przynajmniej na 20 dni przed planowanym pokazem. Podczas pokazów mogą byś sprzedawane tylko te towary, które były wcześniej notyfikowane, zaś cena nie może przewyższać ceny uprzednio notyfikowanej Inspekcji. Jeśli te warunki nie zostaną spełnione, umowa zawarta na takim pokazie nie dochodzi do skutku. Ponadto, przedsiębiorca nie może przyjmować zapłaty za towar podczas pokazu ani w terminie przed upływem prawa do odstąpienia od umowy. Podczas pokazów przedsiębiorca powinien powstrzymać się od jakichkolwiek działań mogących mieć wpływ na swobodne podjęcie decyzji przez konsumenta, w szczególności nie powinien separować konsumenta od innych uczestników pokazu.</w:t>
            </w:r>
          </w:p>
          <w:p w14:paraId="0CFFE17B" w14:textId="77777777" w:rsidR="006A701A" w:rsidRPr="00996A12" w:rsidRDefault="006A701A" w:rsidP="00290A50">
            <w:pPr>
              <w:spacing w:line="240" w:lineRule="auto"/>
              <w:jc w:val="both"/>
              <w:rPr>
                <w:rFonts w:ascii="Times New Roman" w:hAnsi="Times New Roman"/>
                <w:color w:val="000000"/>
                <w:spacing w:val="-2"/>
              </w:rPr>
            </w:pPr>
          </w:p>
        </w:tc>
      </w:tr>
      <w:tr w:rsidR="006A701A" w:rsidRPr="00996A12" w14:paraId="3D612044" w14:textId="77777777" w:rsidTr="00196538">
        <w:trPr>
          <w:trHeight w:val="359"/>
        </w:trPr>
        <w:tc>
          <w:tcPr>
            <w:tcW w:w="10803" w:type="dxa"/>
            <w:gridSpan w:val="28"/>
            <w:shd w:val="clear" w:color="auto" w:fill="99CCFF"/>
            <w:vAlign w:val="center"/>
          </w:tcPr>
          <w:p w14:paraId="14D152C6" w14:textId="77777777" w:rsidR="006A701A" w:rsidRPr="00996A12" w:rsidRDefault="006A701A" w:rsidP="00A7795B">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lastRenderedPageBreak/>
              <w:t>Podmioty, na które oddziałuje projekt</w:t>
            </w:r>
          </w:p>
        </w:tc>
      </w:tr>
      <w:tr w:rsidR="00260F33" w:rsidRPr="00996A12" w14:paraId="16ABC7B4" w14:textId="77777777" w:rsidTr="003B2C53">
        <w:trPr>
          <w:trHeight w:val="142"/>
        </w:trPr>
        <w:tc>
          <w:tcPr>
            <w:tcW w:w="1872" w:type="dxa"/>
            <w:gridSpan w:val="2"/>
            <w:shd w:val="clear" w:color="auto" w:fill="auto"/>
          </w:tcPr>
          <w:p w14:paraId="521F9C3B" w14:textId="77777777" w:rsidR="00260F33" w:rsidRPr="00996A12" w:rsidRDefault="00260F33" w:rsidP="0072636A">
            <w:pPr>
              <w:spacing w:before="40" w:line="240" w:lineRule="auto"/>
              <w:jc w:val="center"/>
              <w:rPr>
                <w:rFonts w:ascii="Times New Roman" w:hAnsi="Times New Roman"/>
                <w:color w:val="000000"/>
                <w:spacing w:val="-2"/>
              </w:rPr>
            </w:pPr>
            <w:r w:rsidRPr="00996A12">
              <w:rPr>
                <w:rFonts w:ascii="Times New Roman" w:hAnsi="Times New Roman"/>
                <w:color w:val="000000"/>
                <w:spacing w:val="-2"/>
              </w:rPr>
              <w:t>Grupa</w:t>
            </w:r>
          </w:p>
        </w:tc>
        <w:tc>
          <w:tcPr>
            <w:tcW w:w="3402" w:type="dxa"/>
            <w:gridSpan w:val="10"/>
            <w:shd w:val="clear" w:color="auto" w:fill="auto"/>
          </w:tcPr>
          <w:p w14:paraId="21B960DF" w14:textId="77777777" w:rsidR="00260F33" w:rsidRPr="00996A12" w:rsidRDefault="00563199" w:rsidP="0072636A">
            <w:pPr>
              <w:spacing w:before="40" w:line="240" w:lineRule="auto"/>
              <w:jc w:val="center"/>
              <w:rPr>
                <w:rFonts w:ascii="Times New Roman" w:hAnsi="Times New Roman"/>
                <w:color w:val="000000"/>
                <w:spacing w:val="-2"/>
              </w:rPr>
            </w:pPr>
            <w:r w:rsidRPr="00996A12">
              <w:rPr>
                <w:rFonts w:ascii="Times New Roman" w:hAnsi="Times New Roman"/>
                <w:color w:val="000000"/>
                <w:spacing w:val="-2"/>
              </w:rPr>
              <w:t>Wielkość</w:t>
            </w:r>
          </w:p>
        </w:tc>
        <w:tc>
          <w:tcPr>
            <w:tcW w:w="1843" w:type="dxa"/>
            <w:gridSpan w:val="7"/>
            <w:shd w:val="clear" w:color="auto" w:fill="auto"/>
          </w:tcPr>
          <w:p w14:paraId="5FC611E4" w14:textId="77777777" w:rsidR="00260F33" w:rsidRPr="00996A12" w:rsidRDefault="00260F33" w:rsidP="0072636A">
            <w:pPr>
              <w:spacing w:before="40" w:line="240" w:lineRule="auto"/>
              <w:jc w:val="center"/>
              <w:rPr>
                <w:rFonts w:ascii="Times New Roman" w:hAnsi="Times New Roman"/>
                <w:color w:val="000000"/>
                <w:spacing w:val="-2"/>
              </w:rPr>
            </w:pPr>
            <w:r w:rsidRPr="00996A12">
              <w:rPr>
                <w:rFonts w:ascii="Times New Roman" w:hAnsi="Times New Roman"/>
                <w:color w:val="000000"/>
                <w:spacing w:val="-2"/>
              </w:rPr>
              <w:t>Źródło danych</w:t>
            </w:r>
            <w:r w:rsidRPr="00996A12" w:rsidDel="00260F33">
              <w:rPr>
                <w:rFonts w:ascii="Times New Roman" w:hAnsi="Times New Roman"/>
                <w:color w:val="000000"/>
                <w:spacing w:val="-2"/>
              </w:rPr>
              <w:t xml:space="preserve"> </w:t>
            </w:r>
          </w:p>
        </w:tc>
        <w:tc>
          <w:tcPr>
            <w:tcW w:w="3686" w:type="dxa"/>
            <w:gridSpan w:val="9"/>
            <w:shd w:val="clear" w:color="auto" w:fill="auto"/>
          </w:tcPr>
          <w:p w14:paraId="4CA95196" w14:textId="77777777" w:rsidR="00260F33" w:rsidRPr="00996A12" w:rsidRDefault="00260F33" w:rsidP="0072636A">
            <w:pPr>
              <w:spacing w:before="40" w:line="240" w:lineRule="auto"/>
              <w:jc w:val="center"/>
              <w:rPr>
                <w:rFonts w:ascii="Times New Roman" w:hAnsi="Times New Roman"/>
                <w:color w:val="000000"/>
                <w:spacing w:val="-2"/>
              </w:rPr>
            </w:pPr>
            <w:r w:rsidRPr="00996A12">
              <w:rPr>
                <w:rFonts w:ascii="Times New Roman" w:hAnsi="Times New Roman"/>
                <w:color w:val="000000"/>
                <w:spacing w:val="-2"/>
              </w:rPr>
              <w:t>Oddziaływanie</w:t>
            </w:r>
          </w:p>
        </w:tc>
      </w:tr>
      <w:tr w:rsidR="00260F33" w:rsidRPr="00996A12" w14:paraId="0315739E" w14:textId="77777777" w:rsidTr="003B2C53">
        <w:trPr>
          <w:trHeight w:val="142"/>
        </w:trPr>
        <w:tc>
          <w:tcPr>
            <w:tcW w:w="1872" w:type="dxa"/>
            <w:gridSpan w:val="2"/>
            <w:shd w:val="clear" w:color="auto" w:fill="auto"/>
          </w:tcPr>
          <w:p w14:paraId="5719008F" w14:textId="77777777" w:rsidR="00260F33" w:rsidRPr="00996A12" w:rsidRDefault="00BD34C2" w:rsidP="00A17CB2">
            <w:pPr>
              <w:spacing w:line="240" w:lineRule="auto"/>
              <w:rPr>
                <w:rFonts w:ascii="Times New Roman" w:hAnsi="Times New Roman"/>
                <w:color w:val="000000"/>
                <w:spacing w:val="-2"/>
              </w:rPr>
            </w:pPr>
            <w:r w:rsidRPr="00996A12">
              <w:rPr>
                <w:rFonts w:ascii="Times New Roman" w:hAnsi="Times New Roman"/>
                <w:color w:val="000000"/>
              </w:rPr>
              <w:t>Konsumenci</w:t>
            </w:r>
            <w:r w:rsidR="001854A2" w:rsidRPr="00996A12">
              <w:rPr>
                <w:rFonts w:ascii="Times New Roman" w:hAnsi="Times New Roman"/>
                <w:color w:val="000000"/>
              </w:rPr>
              <w:t xml:space="preserve"> przeprowadzający transakcje poza lokalem</w:t>
            </w:r>
          </w:p>
        </w:tc>
        <w:tc>
          <w:tcPr>
            <w:tcW w:w="3402" w:type="dxa"/>
            <w:gridSpan w:val="10"/>
            <w:shd w:val="clear" w:color="auto" w:fill="auto"/>
          </w:tcPr>
          <w:p w14:paraId="75374251" w14:textId="77777777" w:rsidR="00260F33" w:rsidRPr="00996A12" w:rsidRDefault="00C715FA" w:rsidP="00A17CB2">
            <w:pPr>
              <w:spacing w:line="240" w:lineRule="auto"/>
              <w:rPr>
                <w:rFonts w:ascii="Times New Roman" w:hAnsi="Times New Roman"/>
                <w:color w:val="000000"/>
                <w:spacing w:val="-2"/>
              </w:rPr>
            </w:pPr>
            <w:r w:rsidRPr="00996A12">
              <w:rPr>
                <w:rFonts w:ascii="Times New Roman" w:hAnsi="Times New Roman"/>
                <w:color w:val="000000"/>
                <w:spacing w:val="-2"/>
              </w:rPr>
              <w:t>18,2 mln</w:t>
            </w:r>
          </w:p>
        </w:tc>
        <w:tc>
          <w:tcPr>
            <w:tcW w:w="1843" w:type="dxa"/>
            <w:gridSpan w:val="7"/>
            <w:shd w:val="clear" w:color="auto" w:fill="auto"/>
          </w:tcPr>
          <w:p w14:paraId="63F80B7E" w14:textId="77777777" w:rsidR="00260F33" w:rsidRPr="00996A12" w:rsidRDefault="001854A2" w:rsidP="00A17CB2">
            <w:pPr>
              <w:spacing w:line="240" w:lineRule="auto"/>
              <w:rPr>
                <w:rFonts w:ascii="Times New Roman" w:hAnsi="Times New Roman"/>
                <w:color w:val="000000"/>
                <w:spacing w:val="-2"/>
              </w:rPr>
            </w:pPr>
            <w:r w:rsidRPr="00996A12">
              <w:rPr>
                <w:rFonts w:ascii="Times New Roman" w:hAnsi="Times New Roman"/>
                <w:color w:val="000000"/>
                <w:spacing w:val="-2"/>
              </w:rPr>
              <w:t>Szacunki</w:t>
            </w:r>
            <w:r w:rsidRPr="00996A12">
              <w:rPr>
                <w:rFonts w:ascii="Times New Roman" w:hAnsi="Times New Roman"/>
              </w:rPr>
              <w:t xml:space="preserve"> </w:t>
            </w:r>
            <w:r w:rsidRPr="00996A12">
              <w:rPr>
                <w:rFonts w:ascii="Times New Roman" w:hAnsi="Times New Roman"/>
                <w:color w:val="000000"/>
                <w:spacing w:val="-2"/>
              </w:rPr>
              <w:t>Polskiego Stowarzyszenia Sprzedaży Bezpośredniej (PSSB)</w:t>
            </w:r>
          </w:p>
        </w:tc>
        <w:tc>
          <w:tcPr>
            <w:tcW w:w="3686" w:type="dxa"/>
            <w:gridSpan w:val="9"/>
            <w:shd w:val="clear" w:color="auto" w:fill="auto"/>
          </w:tcPr>
          <w:p w14:paraId="3DDDDA88" w14:textId="77777777" w:rsidR="00260F33" w:rsidRPr="00996A12" w:rsidRDefault="008F1F39" w:rsidP="00A35AA8">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Zwiększenie poziomu ochrony wynikające </w:t>
            </w:r>
            <w:r w:rsidR="00C715FA" w:rsidRPr="00996A12">
              <w:rPr>
                <w:rFonts w:ascii="Times New Roman" w:hAnsi="Times New Roman"/>
                <w:color w:val="000000"/>
                <w:spacing w:val="-2"/>
              </w:rPr>
              <w:t>ze zwiększonych możliwości odstąpienia od umowy oraz opóźnieniem zapłaty należności.</w:t>
            </w:r>
          </w:p>
        </w:tc>
      </w:tr>
      <w:tr w:rsidR="00267F2B" w:rsidRPr="00996A12" w14:paraId="7CA38FCE" w14:textId="77777777" w:rsidTr="003B2C53">
        <w:trPr>
          <w:trHeight w:val="373"/>
        </w:trPr>
        <w:tc>
          <w:tcPr>
            <w:tcW w:w="1872" w:type="dxa"/>
            <w:gridSpan w:val="2"/>
            <w:shd w:val="clear" w:color="auto" w:fill="auto"/>
          </w:tcPr>
          <w:p w14:paraId="69013090" w14:textId="77777777" w:rsidR="00267F2B" w:rsidRPr="00996A12" w:rsidRDefault="007A73CD" w:rsidP="007F0021">
            <w:pPr>
              <w:spacing w:line="240" w:lineRule="auto"/>
              <w:rPr>
                <w:rFonts w:ascii="Times New Roman" w:hAnsi="Times New Roman"/>
                <w:color w:val="000000"/>
                <w:spacing w:val="-2"/>
              </w:rPr>
            </w:pPr>
            <w:r w:rsidRPr="00996A12">
              <w:rPr>
                <w:rFonts w:ascii="Times New Roman" w:hAnsi="Times New Roman"/>
                <w:color w:val="000000"/>
                <w:spacing w:val="-2"/>
              </w:rPr>
              <w:t>Konsumenci</w:t>
            </w:r>
            <w:r w:rsidR="006805B5" w:rsidRPr="00996A12">
              <w:rPr>
                <w:rFonts w:ascii="Times New Roman" w:hAnsi="Times New Roman"/>
                <w:color w:val="000000"/>
                <w:spacing w:val="-2"/>
              </w:rPr>
              <w:t xml:space="preserve"> dokonujący zakupów przez Internet</w:t>
            </w:r>
          </w:p>
        </w:tc>
        <w:tc>
          <w:tcPr>
            <w:tcW w:w="3402" w:type="dxa"/>
            <w:gridSpan w:val="10"/>
            <w:shd w:val="clear" w:color="auto" w:fill="auto"/>
          </w:tcPr>
          <w:p w14:paraId="6DB0FF0B" w14:textId="77777777" w:rsidR="00267F2B" w:rsidRPr="00996A12" w:rsidRDefault="006805B5" w:rsidP="007F0021">
            <w:pPr>
              <w:spacing w:line="240" w:lineRule="auto"/>
              <w:rPr>
                <w:rFonts w:ascii="Times New Roman" w:hAnsi="Times New Roman"/>
                <w:color w:val="000000"/>
                <w:spacing w:val="-2"/>
              </w:rPr>
            </w:pPr>
            <w:r w:rsidRPr="00996A12">
              <w:rPr>
                <w:rFonts w:ascii="Times New Roman" w:hAnsi="Times New Roman"/>
                <w:color w:val="000000"/>
                <w:spacing w:val="-2"/>
              </w:rPr>
              <w:t xml:space="preserve">17,6 mln (wykonujący ok. </w:t>
            </w:r>
            <w:r w:rsidR="00C715FA" w:rsidRPr="00996A12">
              <w:rPr>
                <w:rFonts w:ascii="Times New Roman" w:hAnsi="Times New Roman"/>
                <w:color w:val="000000"/>
                <w:spacing w:val="-2"/>
              </w:rPr>
              <w:t>30 mln transakcji</w:t>
            </w:r>
            <w:r w:rsidRPr="00996A12">
              <w:rPr>
                <w:rFonts w:ascii="Times New Roman" w:hAnsi="Times New Roman"/>
                <w:color w:val="000000"/>
                <w:spacing w:val="-2"/>
              </w:rPr>
              <w:t xml:space="preserve">). </w:t>
            </w:r>
          </w:p>
        </w:tc>
        <w:tc>
          <w:tcPr>
            <w:tcW w:w="1843" w:type="dxa"/>
            <w:gridSpan w:val="7"/>
            <w:shd w:val="clear" w:color="auto" w:fill="auto"/>
          </w:tcPr>
          <w:p w14:paraId="3A354E12" w14:textId="77777777" w:rsidR="00267F2B" w:rsidRPr="00996A12" w:rsidRDefault="007A73CD" w:rsidP="007F0021">
            <w:pPr>
              <w:spacing w:line="240" w:lineRule="auto"/>
              <w:rPr>
                <w:rFonts w:ascii="Times New Roman" w:hAnsi="Times New Roman"/>
                <w:color w:val="000000"/>
                <w:spacing w:val="-2"/>
              </w:rPr>
            </w:pPr>
            <w:r w:rsidRPr="00996A12">
              <w:rPr>
                <w:rFonts w:ascii="Times New Roman" w:hAnsi="Times New Roman"/>
                <w:color w:val="000000"/>
                <w:spacing w:val="-2"/>
              </w:rPr>
              <w:t>UKE, GUS</w:t>
            </w:r>
          </w:p>
        </w:tc>
        <w:tc>
          <w:tcPr>
            <w:tcW w:w="3686" w:type="dxa"/>
            <w:gridSpan w:val="9"/>
            <w:shd w:val="clear" w:color="auto" w:fill="auto"/>
          </w:tcPr>
          <w:p w14:paraId="2A00D2CB" w14:textId="77777777" w:rsidR="00267F2B" w:rsidRPr="00996A12" w:rsidRDefault="007A73CD" w:rsidP="004B2FAC">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Zwiększenie poziomu ochrony wynikające </w:t>
            </w:r>
            <w:r w:rsidR="00C715FA" w:rsidRPr="00996A12">
              <w:rPr>
                <w:rFonts w:ascii="Times New Roman" w:hAnsi="Times New Roman"/>
                <w:color w:val="000000"/>
                <w:spacing w:val="-2"/>
              </w:rPr>
              <w:t>z</w:t>
            </w:r>
            <w:r w:rsidR="009D0E38" w:rsidRPr="00996A12">
              <w:rPr>
                <w:rFonts w:ascii="Times New Roman" w:hAnsi="Times New Roman"/>
                <w:color w:val="000000"/>
                <w:spacing w:val="-2"/>
              </w:rPr>
              <w:t>e zwiększenia</w:t>
            </w:r>
            <w:r w:rsidR="004B2FAC" w:rsidRPr="00996A12">
              <w:rPr>
                <w:rFonts w:ascii="Times New Roman" w:hAnsi="Times New Roman"/>
                <w:color w:val="000000"/>
                <w:spacing w:val="-2"/>
              </w:rPr>
              <w:t xml:space="preserve"> świadomości konsumentów</w:t>
            </w:r>
            <w:r w:rsidR="009D0E38" w:rsidRPr="00996A12">
              <w:rPr>
                <w:rFonts w:ascii="Times New Roman" w:hAnsi="Times New Roman"/>
                <w:color w:val="000000"/>
                <w:spacing w:val="-2"/>
              </w:rPr>
              <w:t xml:space="preserve"> </w:t>
            </w:r>
            <w:r w:rsidR="004B2FAC" w:rsidRPr="00996A12">
              <w:rPr>
                <w:rFonts w:ascii="Times New Roman" w:hAnsi="Times New Roman"/>
                <w:color w:val="000000"/>
                <w:spacing w:val="-2"/>
              </w:rPr>
              <w:t xml:space="preserve">w związku z obowiązkiem przekazywania </w:t>
            </w:r>
            <w:r w:rsidR="009D0E38" w:rsidRPr="00996A12">
              <w:rPr>
                <w:rFonts w:ascii="Times New Roman" w:hAnsi="Times New Roman"/>
                <w:color w:val="000000"/>
                <w:spacing w:val="-2"/>
              </w:rPr>
              <w:t xml:space="preserve"> </w:t>
            </w:r>
            <w:r w:rsidR="004B2FAC" w:rsidRPr="00996A12">
              <w:rPr>
                <w:rFonts w:ascii="Times New Roman" w:hAnsi="Times New Roman"/>
                <w:color w:val="000000"/>
                <w:spacing w:val="-2"/>
              </w:rPr>
              <w:t>przez przedsi</w:t>
            </w:r>
            <w:r w:rsidR="009D0E38" w:rsidRPr="00996A12">
              <w:rPr>
                <w:rFonts w:ascii="Times New Roman" w:hAnsi="Times New Roman"/>
                <w:color w:val="000000"/>
                <w:spacing w:val="-2"/>
              </w:rPr>
              <w:t>ębiorców</w:t>
            </w:r>
            <w:r w:rsidR="004B2FAC" w:rsidRPr="00996A12">
              <w:rPr>
                <w:rFonts w:ascii="Times New Roman" w:hAnsi="Times New Roman"/>
                <w:color w:val="000000"/>
                <w:spacing w:val="-2"/>
              </w:rPr>
              <w:t xml:space="preserve"> nowych kategorii informacji przed zawarciem umowy</w:t>
            </w:r>
            <w:r w:rsidR="009D0E38" w:rsidRPr="00996A12">
              <w:rPr>
                <w:rFonts w:ascii="Times New Roman" w:hAnsi="Times New Roman"/>
                <w:color w:val="000000"/>
                <w:spacing w:val="-2"/>
              </w:rPr>
              <w:t xml:space="preserve">, w szczególności ujawniania źródeł publikowanych opinii oraz informacji o opłatach przyjętych za pozycjonowanie </w:t>
            </w:r>
            <w:r w:rsidR="00230202" w:rsidRPr="00996A12">
              <w:rPr>
                <w:rFonts w:ascii="Times New Roman" w:hAnsi="Times New Roman"/>
                <w:color w:val="000000"/>
                <w:spacing w:val="-2"/>
              </w:rPr>
              <w:t>produktu</w:t>
            </w:r>
            <w:r w:rsidR="009D0E38" w:rsidRPr="00996A12">
              <w:rPr>
                <w:rFonts w:ascii="Times New Roman" w:hAnsi="Times New Roman"/>
                <w:color w:val="000000"/>
                <w:spacing w:val="-2"/>
              </w:rPr>
              <w:t xml:space="preserve">. </w:t>
            </w:r>
          </w:p>
        </w:tc>
      </w:tr>
      <w:tr w:rsidR="00AC6FA6" w:rsidRPr="00996A12" w14:paraId="68AD23DE" w14:textId="77777777" w:rsidTr="003B2C53">
        <w:trPr>
          <w:trHeight w:val="1395"/>
        </w:trPr>
        <w:tc>
          <w:tcPr>
            <w:tcW w:w="1872" w:type="dxa"/>
            <w:gridSpan w:val="2"/>
            <w:shd w:val="clear" w:color="auto" w:fill="auto"/>
          </w:tcPr>
          <w:p w14:paraId="29D0DEC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Konsumenci kupujący detalicznie (osoby mające pełną i ograniczoną zdolność do czynności prawnych)</w:t>
            </w:r>
          </w:p>
        </w:tc>
        <w:tc>
          <w:tcPr>
            <w:tcW w:w="3402" w:type="dxa"/>
            <w:gridSpan w:val="10"/>
            <w:shd w:val="clear" w:color="auto" w:fill="auto"/>
          </w:tcPr>
          <w:p w14:paraId="4CFF4565"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33,2 mln</w:t>
            </w:r>
          </w:p>
        </w:tc>
        <w:tc>
          <w:tcPr>
            <w:tcW w:w="1843" w:type="dxa"/>
            <w:gridSpan w:val="7"/>
            <w:shd w:val="clear" w:color="auto" w:fill="auto"/>
          </w:tcPr>
          <w:p w14:paraId="78160A01"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GUS</w:t>
            </w:r>
          </w:p>
        </w:tc>
        <w:tc>
          <w:tcPr>
            <w:tcW w:w="3686" w:type="dxa"/>
            <w:gridSpan w:val="9"/>
            <w:shd w:val="clear" w:color="auto" w:fill="auto"/>
          </w:tcPr>
          <w:p w14:paraId="008AD229"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Zwiększenie poziomu ochrony poprzez uniemożliwienie promowania produktu za pomocą eksponowania nieprawdziwej informacji o obniżkach.</w:t>
            </w:r>
          </w:p>
        </w:tc>
      </w:tr>
      <w:tr w:rsidR="00AC6FA6" w:rsidRPr="00996A12" w14:paraId="2209B7F6" w14:textId="77777777" w:rsidTr="003B2C53">
        <w:trPr>
          <w:trHeight w:val="1395"/>
        </w:trPr>
        <w:tc>
          <w:tcPr>
            <w:tcW w:w="1872" w:type="dxa"/>
            <w:gridSpan w:val="2"/>
            <w:shd w:val="clear" w:color="auto" w:fill="auto"/>
          </w:tcPr>
          <w:p w14:paraId="5545E59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Przedsiębiorcy sprzedający towary online, w tym internetowe platformy handlowe</w:t>
            </w:r>
          </w:p>
        </w:tc>
        <w:tc>
          <w:tcPr>
            <w:tcW w:w="3402" w:type="dxa"/>
            <w:gridSpan w:val="10"/>
            <w:shd w:val="clear" w:color="auto" w:fill="auto"/>
          </w:tcPr>
          <w:p w14:paraId="7585FDBD"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150 tys.</w:t>
            </w:r>
          </w:p>
        </w:tc>
        <w:tc>
          <w:tcPr>
            <w:tcW w:w="1843" w:type="dxa"/>
            <w:gridSpan w:val="7"/>
            <w:shd w:val="clear" w:color="auto" w:fill="auto"/>
          </w:tcPr>
          <w:p w14:paraId="30642FBA"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 xml:space="preserve">Raport </w:t>
            </w:r>
            <w:proofErr w:type="spellStart"/>
            <w:r w:rsidRPr="00996A12">
              <w:rPr>
                <w:rFonts w:ascii="Times New Roman" w:hAnsi="Times New Roman"/>
                <w:color w:val="000000"/>
                <w:spacing w:val="-2"/>
              </w:rPr>
              <w:t>PwC</w:t>
            </w:r>
            <w:proofErr w:type="spellEnd"/>
            <w:r w:rsidRPr="00996A12">
              <w:rPr>
                <w:rFonts w:ascii="Times New Roman" w:hAnsi="Times New Roman"/>
                <w:color w:val="000000"/>
                <w:spacing w:val="-2"/>
              </w:rPr>
              <w:t xml:space="preserve"> (</w:t>
            </w:r>
            <w:proofErr w:type="spellStart"/>
            <w:r w:rsidRPr="00996A12">
              <w:rPr>
                <w:rFonts w:ascii="Times New Roman" w:hAnsi="Times New Roman"/>
                <w:color w:val="000000"/>
                <w:spacing w:val="-2"/>
              </w:rPr>
              <w:t>PricewaterhouseCoopers</w:t>
            </w:r>
            <w:proofErr w:type="spellEnd"/>
            <w:r w:rsidRPr="00996A12">
              <w:rPr>
                <w:rFonts w:ascii="Times New Roman" w:hAnsi="Times New Roman"/>
                <w:color w:val="000000"/>
                <w:spacing w:val="-2"/>
              </w:rPr>
              <w:t>)</w:t>
            </w:r>
          </w:p>
        </w:tc>
        <w:tc>
          <w:tcPr>
            <w:tcW w:w="3686" w:type="dxa"/>
            <w:gridSpan w:val="9"/>
            <w:shd w:val="clear" w:color="auto" w:fill="auto"/>
          </w:tcPr>
          <w:p w14:paraId="0E87B3FC"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Zwiększenie obowiązków informacyjnych: informowanie o płatności dokonanej specjalnie w celu uzyskania wyższego plasowania produktów lub płatnych reklamach wpływających na pozycję wyników  wyszukiwania, podawanie informacji o statusie przedsiębiorcy, podawanie </w:t>
            </w:r>
            <w:r w:rsidRPr="00996A12">
              <w:rPr>
                <w:rFonts w:ascii="Times New Roman" w:hAnsi="Times New Roman"/>
                <w:color w:val="000000"/>
                <w:spacing w:val="-2"/>
              </w:rPr>
              <w:lastRenderedPageBreak/>
              <w:t>źródeł opinii przedstawianych w serwisie.</w:t>
            </w:r>
          </w:p>
          <w:p w14:paraId="071093FB"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Zmniejszenie obowiązków informacyjnych poprzez rezygnację z podawania nr faksu oraz wprowadzenie możliwości komunikacji z konsumentem za pomącą innych środków porozumiewania się na odległość.</w:t>
            </w:r>
          </w:p>
        </w:tc>
      </w:tr>
      <w:tr w:rsidR="00AC6FA6" w:rsidRPr="00996A12" w14:paraId="62B22429" w14:textId="77777777" w:rsidTr="003B2C53">
        <w:trPr>
          <w:trHeight w:val="408"/>
        </w:trPr>
        <w:tc>
          <w:tcPr>
            <w:tcW w:w="1872" w:type="dxa"/>
            <w:gridSpan w:val="2"/>
            <w:shd w:val="clear" w:color="auto" w:fill="auto"/>
          </w:tcPr>
          <w:p w14:paraId="69E31F8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lastRenderedPageBreak/>
              <w:t>Przedsiębiorcy zajmujący się sprzedażą bezpośrednią (np. na pokazach lub w domu konsumenta)</w:t>
            </w:r>
          </w:p>
        </w:tc>
        <w:tc>
          <w:tcPr>
            <w:tcW w:w="3402" w:type="dxa"/>
            <w:gridSpan w:val="10"/>
            <w:shd w:val="clear" w:color="auto" w:fill="auto"/>
          </w:tcPr>
          <w:p w14:paraId="493E2D21"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 xml:space="preserve">ok. 50 (w tym 45 członków PSSB) o stabilnym charakterze i ugruntowanej pozycji rynkowej i dodatkowo efemeryczne podmioty stosujące budzące wątpliwości techniki sprzedaży, które mogą naruszać prawa konsumenta. W latach 2018-19 UOKiK prowadził postępowania wobec 30 podmiotów prowadzących sprzedaż bezpośrednią, które zakończyły się wydaniem 13 decyzji związanych z naruszeniem praw konsumenta. </w:t>
            </w:r>
          </w:p>
        </w:tc>
        <w:tc>
          <w:tcPr>
            <w:tcW w:w="1843" w:type="dxa"/>
            <w:gridSpan w:val="7"/>
            <w:shd w:val="clear" w:color="auto" w:fill="auto"/>
          </w:tcPr>
          <w:p w14:paraId="71561AB6"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PSSB, dane UOKiK</w:t>
            </w:r>
          </w:p>
        </w:tc>
        <w:tc>
          <w:tcPr>
            <w:tcW w:w="3686" w:type="dxa"/>
            <w:gridSpan w:val="9"/>
            <w:shd w:val="clear" w:color="auto" w:fill="auto"/>
          </w:tcPr>
          <w:p w14:paraId="3ADB5205"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Ograniczenie lub wyeliminowanie stosowania przez przedsiębiorców nieuczciwych praktyk  rynkowych podczas sprzedaży np. na pokazach. Dodatkowym efektem będzie oczekiwana przez uczciwych przedsiębiorców poprawa wizerunku całej branży.</w:t>
            </w:r>
          </w:p>
          <w:p w14:paraId="0F4B9C26" w14:textId="7ABC4E51" w:rsidR="002E72C1" w:rsidRPr="00996A12" w:rsidRDefault="002E72C1"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Na tych przedsiębiorców zostaną nałożone nowe obowiązki regulacyjne, których efektem będzie zmiana dotychczas stosowanego modelu sprzedaży w odniesieniu do niektórych oferowanych produktów. </w:t>
            </w:r>
          </w:p>
        </w:tc>
      </w:tr>
      <w:tr w:rsidR="00AC6FA6" w:rsidRPr="00996A12" w14:paraId="5CB86E83" w14:textId="77777777" w:rsidTr="003B2C53">
        <w:trPr>
          <w:trHeight w:val="142"/>
        </w:trPr>
        <w:tc>
          <w:tcPr>
            <w:tcW w:w="1872" w:type="dxa"/>
            <w:gridSpan w:val="2"/>
            <w:shd w:val="clear" w:color="auto" w:fill="auto"/>
          </w:tcPr>
          <w:p w14:paraId="6722283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Przed</w:t>
            </w:r>
            <w:r w:rsidR="00843334" w:rsidRPr="00996A12">
              <w:rPr>
                <w:rFonts w:ascii="Times New Roman" w:hAnsi="Times New Roman"/>
                <w:color w:val="000000"/>
              </w:rPr>
              <w:t>siębiorcy</w:t>
            </w:r>
            <w:r w:rsidR="00D26938" w:rsidRPr="00996A12">
              <w:rPr>
                <w:rFonts w:ascii="Times New Roman" w:hAnsi="Times New Roman"/>
                <w:color w:val="000000"/>
              </w:rPr>
              <w:t xml:space="preserve"> świadczące </w:t>
            </w:r>
            <w:r w:rsidR="0091150E" w:rsidRPr="00996A12">
              <w:rPr>
                <w:rFonts w:ascii="Times New Roman" w:hAnsi="Times New Roman"/>
                <w:color w:val="000000"/>
              </w:rPr>
              <w:t>usługi finansowe (w tym</w:t>
            </w:r>
            <w:r w:rsidR="00843334" w:rsidRPr="00996A12">
              <w:rPr>
                <w:rFonts w:ascii="Times New Roman" w:hAnsi="Times New Roman"/>
                <w:color w:val="000000"/>
              </w:rPr>
              <w:t>: 1)finansowa działalność usługowa, z wyłączeniem ubezpieczeń i funduszów emerytalnych,</w:t>
            </w:r>
          </w:p>
          <w:p w14:paraId="246E82DB" w14:textId="77777777" w:rsidR="00843334" w:rsidRPr="00996A12" w:rsidRDefault="00843334" w:rsidP="00843334">
            <w:pPr>
              <w:spacing w:line="240" w:lineRule="auto"/>
              <w:rPr>
                <w:rFonts w:ascii="Times New Roman" w:hAnsi="Times New Roman"/>
                <w:color w:val="000000"/>
              </w:rPr>
            </w:pPr>
            <w:r w:rsidRPr="00996A12">
              <w:rPr>
                <w:rFonts w:ascii="Times New Roman" w:hAnsi="Times New Roman"/>
                <w:color w:val="000000"/>
              </w:rPr>
              <w:t>2)ubezpieczenia, z wyłączeniem obowiązkowego ubezpieczenia społecznego,</w:t>
            </w:r>
          </w:p>
          <w:p w14:paraId="3E9EC51B" w14:textId="77777777" w:rsidR="00843334" w:rsidRPr="00996A12" w:rsidRDefault="00843334" w:rsidP="00843334">
            <w:pPr>
              <w:spacing w:line="240" w:lineRule="auto"/>
              <w:rPr>
                <w:rFonts w:ascii="Times New Roman" w:hAnsi="Times New Roman"/>
                <w:color w:val="000000"/>
              </w:rPr>
            </w:pPr>
            <w:r w:rsidRPr="00996A12">
              <w:rPr>
                <w:rFonts w:ascii="Times New Roman" w:hAnsi="Times New Roman"/>
                <w:color w:val="000000"/>
              </w:rPr>
              <w:t>3)</w:t>
            </w:r>
            <w:r w:rsidRPr="00996A12">
              <w:rPr>
                <w:rFonts w:ascii="Times New Roman" w:hAnsi="Times New Roman"/>
                <w:color w:val="212121"/>
                <w:shd w:val="clear" w:color="auto" w:fill="FFFFFF"/>
              </w:rPr>
              <w:t xml:space="preserve"> </w:t>
            </w:r>
            <w:r w:rsidRPr="00996A12">
              <w:rPr>
                <w:rFonts w:ascii="Times New Roman" w:hAnsi="Times New Roman"/>
                <w:color w:val="000000"/>
              </w:rPr>
              <w:t>działalność wspomagająca usługi finansowe oraz ubezpieczenia</w:t>
            </w:r>
          </w:p>
          <w:p w14:paraId="6BFC6377" w14:textId="77777777" w:rsidR="0091150E" w:rsidRPr="00996A12" w:rsidRDefault="0091150E" w:rsidP="00AC6FA6">
            <w:pPr>
              <w:spacing w:line="240" w:lineRule="auto"/>
              <w:rPr>
                <w:rFonts w:ascii="Times New Roman" w:hAnsi="Times New Roman"/>
                <w:color w:val="000000"/>
              </w:rPr>
            </w:pPr>
          </w:p>
        </w:tc>
        <w:tc>
          <w:tcPr>
            <w:tcW w:w="3402" w:type="dxa"/>
            <w:gridSpan w:val="10"/>
            <w:shd w:val="clear" w:color="auto" w:fill="auto"/>
          </w:tcPr>
          <w:p w14:paraId="4C80B115" w14:textId="77777777" w:rsidR="00AC6FA6" w:rsidRPr="00996A12" w:rsidRDefault="00843334" w:rsidP="00843334">
            <w:pPr>
              <w:pStyle w:val="Akapitzlist"/>
              <w:numPr>
                <w:ilvl w:val="0"/>
                <w:numId w:val="38"/>
              </w:numPr>
              <w:spacing w:line="240" w:lineRule="auto"/>
              <w:rPr>
                <w:rFonts w:ascii="Times New Roman" w:hAnsi="Times New Roman"/>
                <w:color w:val="000000"/>
                <w:spacing w:val="-2"/>
              </w:rPr>
            </w:pPr>
            <w:r w:rsidRPr="00996A12">
              <w:rPr>
                <w:rFonts w:ascii="Times New Roman" w:hAnsi="Times New Roman"/>
                <w:color w:val="000000"/>
                <w:spacing w:val="-2"/>
              </w:rPr>
              <w:t>ok 26 tysięcy podmiotów,</w:t>
            </w:r>
          </w:p>
          <w:p w14:paraId="00165F5B" w14:textId="77777777" w:rsidR="00843334" w:rsidRPr="00996A12" w:rsidRDefault="00843334" w:rsidP="00843334">
            <w:pPr>
              <w:pStyle w:val="Akapitzlist"/>
              <w:numPr>
                <w:ilvl w:val="0"/>
                <w:numId w:val="38"/>
              </w:numPr>
              <w:spacing w:line="240" w:lineRule="auto"/>
              <w:rPr>
                <w:rFonts w:ascii="Times New Roman" w:hAnsi="Times New Roman"/>
                <w:color w:val="000000"/>
                <w:spacing w:val="-2"/>
              </w:rPr>
            </w:pPr>
            <w:r w:rsidRPr="00996A12">
              <w:rPr>
                <w:rFonts w:ascii="Times New Roman" w:hAnsi="Times New Roman"/>
                <w:color w:val="000000"/>
                <w:spacing w:val="-2"/>
              </w:rPr>
              <w:t>ok 1400 podmiotów,</w:t>
            </w:r>
          </w:p>
          <w:p w14:paraId="7554C8AC" w14:textId="77777777" w:rsidR="00843334" w:rsidRPr="00996A12" w:rsidRDefault="00843334" w:rsidP="00843334">
            <w:pPr>
              <w:pStyle w:val="Akapitzlist"/>
              <w:numPr>
                <w:ilvl w:val="0"/>
                <w:numId w:val="38"/>
              </w:numPr>
              <w:spacing w:line="240" w:lineRule="auto"/>
              <w:rPr>
                <w:rFonts w:ascii="Times New Roman" w:hAnsi="Times New Roman"/>
                <w:color w:val="000000"/>
                <w:spacing w:val="-2"/>
              </w:rPr>
            </w:pPr>
            <w:r w:rsidRPr="00996A12">
              <w:rPr>
                <w:rFonts w:ascii="Times New Roman" w:hAnsi="Times New Roman"/>
                <w:color w:val="000000"/>
                <w:spacing w:val="-2"/>
              </w:rPr>
              <w:t>ok 95 tysięcy podmiotów</w:t>
            </w:r>
          </w:p>
        </w:tc>
        <w:tc>
          <w:tcPr>
            <w:tcW w:w="1843" w:type="dxa"/>
            <w:gridSpan w:val="7"/>
            <w:shd w:val="clear" w:color="auto" w:fill="auto"/>
          </w:tcPr>
          <w:p w14:paraId="50A36B8A"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GUS</w:t>
            </w:r>
          </w:p>
        </w:tc>
        <w:tc>
          <w:tcPr>
            <w:tcW w:w="3686" w:type="dxa"/>
            <w:gridSpan w:val="9"/>
            <w:shd w:val="clear" w:color="auto" w:fill="auto"/>
          </w:tcPr>
          <w:p w14:paraId="28617AC1" w14:textId="75163B41" w:rsidR="00AC6FA6" w:rsidRPr="00996A12" w:rsidRDefault="00AC6FA6" w:rsidP="00046764">
            <w:pPr>
              <w:spacing w:line="240" w:lineRule="auto"/>
              <w:jc w:val="both"/>
              <w:rPr>
                <w:rFonts w:ascii="Times New Roman" w:hAnsi="Times New Roman"/>
                <w:color w:val="000000"/>
                <w:spacing w:val="-2"/>
              </w:rPr>
            </w:pPr>
            <w:r w:rsidRPr="00996A12">
              <w:rPr>
                <w:rFonts w:ascii="Times New Roman" w:hAnsi="Times New Roman"/>
                <w:color w:val="000000"/>
                <w:spacing w:val="-2"/>
              </w:rPr>
              <w:t>Ograniczenie i wyeliminowanie stosowania nieuczciwych praktyk handlowych</w:t>
            </w:r>
            <w:r w:rsidR="00E35D57" w:rsidRPr="00996A12">
              <w:rPr>
                <w:rFonts w:ascii="Times New Roman" w:hAnsi="Times New Roman"/>
                <w:color w:val="000000"/>
                <w:spacing w:val="-2"/>
              </w:rPr>
              <w:t xml:space="preserve"> </w:t>
            </w:r>
            <w:r w:rsidRPr="00996A12">
              <w:rPr>
                <w:rFonts w:ascii="Times New Roman" w:hAnsi="Times New Roman"/>
                <w:color w:val="000000"/>
                <w:spacing w:val="-2"/>
              </w:rPr>
              <w:t xml:space="preserve"> zmierzających do</w:t>
            </w:r>
            <w:r w:rsidR="00046764" w:rsidRPr="00996A12">
              <w:rPr>
                <w:rFonts w:ascii="Times New Roman" w:hAnsi="Times New Roman"/>
                <w:color w:val="000000"/>
                <w:spacing w:val="-2"/>
              </w:rPr>
              <w:t xml:space="preserve"> zawierania umów o świadczenie usług finansowych na pok</w:t>
            </w:r>
            <w:r w:rsidR="00D26938" w:rsidRPr="00996A12">
              <w:rPr>
                <w:rFonts w:ascii="Times New Roman" w:hAnsi="Times New Roman"/>
                <w:color w:val="000000"/>
                <w:spacing w:val="-2"/>
              </w:rPr>
              <w:t>azach</w:t>
            </w:r>
            <w:r w:rsidR="005E03D1" w:rsidRPr="00996A12">
              <w:rPr>
                <w:rFonts w:ascii="Times New Roman" w:hAnsi="Times New Roman"/>
                <w:color w:val="000000"/>
                <w:spacing w:val="-2"/>
              </w:rPr>
              <w:t xml:space="preserve"> lub podczas </w:t>
            </w:r>
            <w:r w:rsidR="007B4E59" w:rsidRPr="00996A12">
              <w:rPr>
                <w:rFonts w:ascii="Times New Roman" w:hAnsi="Times New Roman"/>
                <w:color w:val="000000"/>
                <w:spacing w:val="-2"/>
              </w:rPr>
              <w:t xml:space="preserve">różnego rodzaju </w:t>
            </w:r>
            <w:r w:rsidR="002F60F0" w:rsidRPr="00996A12">
              <w:rPr>
                <w:rFonts w:ascii="Times New Roman" w:hAnsi="Times New Roman"/>
                <w:color w:val="000000"/>
                <w:spacing w:val="-2"/>
              </w:rPr>
              <w:t>wyjazdów zorganizowanych</w:t>
            </w:r>
            <w:r w:rsidR="008757CF" w:rsidRPr="00996A12">
              <w:rPr>
                <w:rFonts w:ascii="Times New Roman" w:hAnsi="Times New Roman"/>
                <w:color w:val="000000"/>
                <w:spacing w:val="-2"/>
              </w:rPr>
              <w:t xml:space="preserve"> (np. pielgrzymki</w:t>
            </w:r>
            <w:r w:rsidR="007B4E59" w:rsidRPr="00996A12">
              <w:rPr>
                <w:rFonts w:ascii="Times New Roman" w:hAnsi="Times New Roman"/>
                <w:color w:val="000000"/>
                <w:spacing w:val="-2"/>
              </w:rPr>
              <w:t>)</w:t>
            </w:r>
            <w:r w:rsidR="005E03D1" w:rsidRPr="00996A12">
              <w:rPr>
                <w:rFonts w:ascii="Times New Roman" w:hAnsi="Times New Roman"/>
                <w:color w:val="000000"/>
                <w:spacing w:val="-2"/>
              </w:rPr>
              <w:t>.</w:t>
            </w:r>
          </w:p>
          <w:p w14:paraId="3EAF0DFD" w14:textId="4027E7B4" w:rsidR="005E03D1" w:rsidRPr="00996A12" w:rsidRDefault="005E03D1" w:rsidP="00E35D57">
            <w:pPr>
              <w:spacing w:line="240" w:lineRule="auto"/>
              <w:jc w:val="both"/>
              <w:rPr>
                <w:rFonts w:ascii="Times New Roman" w:hAnsi="Times New Roman"/>
                <w:color w:val="000000"/>
                <w:spacing w:val="-2"/>
              </w:rPr>
            </w:pPr>
          </w:p>
        </w:tc>
      </w:tr>
      <w:tr w:rsidR="00AC6FA6" w:rsidRPr="00996A12" w14:paraId="71238B74" w14:textId="77777777" w:rsidTr="003B2C53">
        <w:trPr>
          <w:trHeight w:val="142"/>
        </w:trPr>
        <w:tc>
          <w:tcPr>
            <w:tcW w:w="1872" w:type="dxa"/>
            <w:gridSpan w:val="2"/>
            <w:shd w:val="clear" w:color="auto" w:fill="auto"/>
          </w:tcPr>
          <w:p w14:paraId="2A747BF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Prezes Urzędu Ochrony Konkurencji i Konsumentów</w:t>
            </w:r>
          </w:p>
        </w:tc>
        <w:tc>
          <w:tcPr>
            <w:tcW w:w="3402" w:type="dxa"/>
            <w:gridSpan w:val="10"/>
            <w:shd w:val="clear" w:color="auto" w:fill="auto"/>
          </w:tcPr>
          <w:p w14:paraId="51C5A866"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1</w:t>
            </w:r>
          </w:p>
        </w:tc>
        <w:tc>
          <w:tcPr>
            <w:tcW w:w="1843" w:type="dxa"/>
            <w:gridSpan w:val="7"/>
            <w:shd w:val="clear" w:color="auto" w:fill="auto"/>
          </w:tcPr>
          <w:p w14:paraId="26DA24D4"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Ustawa z dnia 16 lutego 2007 r. o ochronie konkurencji i konsumentów</w:t>
            </w:r>
          </w:p>
        </w:tc>
        <w:tc>
          <w:tcPr>
            <w:tcW w:w="3686" w:type="dxa"/>
            <w:gridSpan w:val="9"/>
            <w:shd w:val="clear" w:color="auto" w:fill="auto"/>
          </w:tcPr>
          <w:p w14:paraId="19C38F57"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Zwiększenie efektywności działania, związane </w:t>
            </w:r>
            <w:r w:rsidR="00046764" w:rsidRPr="00996A12">
              <w:rPr>
                <w:rFonts w:ascii="Times New Roman" w:hAnsi="Times New Roman"/>
                <w:color w:val="000000"/>
                <w:spacing w:val="-2"/>
              </w:rPr>
              <w:t xml:space="preserve">m.in. </w:t>
            </w:r>
            <w:r w:rsidRPr="00996A12">
              <w:rPr>
                <w:rFonts w:ascii="Times New Roman" w:hAnsi="Times New Roman"/>
                <w:color w:val="000000"/>
                <w:spacing w:val="-2"/>
              </w:rPr>
              <w:t>z:</w:t>
            </w:r>
          </w:p>
          <w:p w14:paraId="7E5ECA87"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doprecyzowaniem sposobu postępowania w przypadku niemożliwości ustalenia obrotu przedsiębiorcy,</w:t>
            </w:r>
          </w:p>
          <w:p w14:paraId="158C99A7"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wprowadzeniem nowych kategorii niedozwolonych praktyk rynkowych</w:t>
            </w:r>
            <w:r w:rsidR="00046764" w:rsidRPr="00996A12">
              <w:rPr>
                <w:rFonts w:ascii="Times New Roman" w:hAnsi="Times New Roman"/>
                <w:color w:val="000000"/>
                <w:spacing w:val="-2"/>
              </w:rPr>
              <w:t>.</w:t>
            </w:r>
          </w:p>
          <w:p w14:paraId="4DEF51D7" w14:textId="77777777" w:rsidR="00AC6FA6" w:rsidRPr="00996A12" w:rsidRDefault="00AC6FA6" w:rsidP="00D26938">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Zwiększenie liczby realizowanych działań w związku z rozszerzeniem </w:t>
            </w:r>
            <w:r w:rsidR="00046764" w:rsidRPr="00996A12">
              <w:rPr>
                <w:rFonts w:ascii="Times New Roman" w:hAnsi="Times New Roman"/>
                <w:color w:val="000000"/>
              </w:rPr>
              <w:t>katalogu</w:t>
            </w:r>
            <w:r w:rsidRPr="00996A12">
              <w:rPr>
                <w:rFonts w:ascii="Times New Roman" w:hAnsi="Times New Roman"/>
                <w:color w:val="000000"/>
              </w:rPr>
              <w:t xml:space="preserve"> niedozwolonych</w:t>
            </w:r>
            <w:r w:rsidR="00046764" w:rsidRPr="00996A12">
              <w:rPr>
                <w:rFonts w:ascii="Times New Roman" w:hAnsi="Times New Roman"/>
                <w:color w:val="000000"/>
              </w:rPr>
              <w:t xml:space="preserve"> praktyk rynkowych oraz</w:t>
            </w:r>
            <w:r w:rsidRPr="00996A12">
              <w:rPr>
                <w:rFonts w:ascii="Times New Roman" w:hAnsi="Times New Roman"/>
                <w:color w:val="000000"/>
              </w:rPr>
              <w:t xml:space="preserve"> o nowe rodzaje umów</w:t>
            </w:r>
            <w:r w:rsidR="00046764" w:rsidRPr="00996A12">
              <w:rPr>
                <w:rFonts w:ascii="Times New Roman" w:hAnsi="Times New Roman"/>
                <w:color w:val="000000"/>
              </w:rPr>
              <w:t xml:space="preserve"> podlegające przepisom chroniącym konsumentów</w:t>
            </w:r>
            <w:r w:rsidRPr="00996A12">
              <w:rPr>
                <w:rFonts w:ascii="Times New Roman" w:hAnsi="Times New Roman"/>
                <w:color w:val="000000"/>
              </w:rPr>
              <w:t>, możliwy wzro</w:t>
            </w:r>
            <w:r w:rsidR="00D26938" w:rsidRPr="00996A12">
              <w:rPr>
                <w:rFonts w:ascii="Times New Roman" w:hAnsi="Times New Roman"/>
                <w:color w:val="000000"/>
              </w:rPr>
              <w:t xml:space="preserve">st liczby </w:t>
            </w:r>
            <w:r w:rsidR="00D26938" w:rsidRPr="00996A12">
              <w:rPr>
                <w:rFonts w:ascii="Times New Roman" w:hAnsi="Times New Roman"/>
                <w:color w:val="000000"/>
              </w:rPr>
              <w:lastRenderedPageBreak/>
              <w:t>wydawanych decyzji i prowadzonych postępowań.</w:t>
            </w:r>
          </w:p>
        </w:tc>
      </w:tr>
      <w:tr w:rsidR="00AC6FA6" w:rsidRPr="00996A12" w14:paraId="13369284" w14:textId="77777777" w:rsidTr="003B2C53">
        <w:trPr>
          <w:trHeight w:val="142"/>
        </w:trPr>
        <w:tc>
          <w:tcPr>
            <w:tcW w:w="1872" w:type="dxa"/>
            <w:gridSpan w:val="2"/>
            <w:shd w:val="clear" w:color="auto" w:fill="auto"/>
          </w:tcPr>
          <w:p w14:paraId="7BA9E5FC" w14:textId="77777777" w:rsidR="00AC6FA6" w:rsidRPr="00996A12" w:rsidRDefault="00FF3890" w:rsidP="00AC6FA6">
            <w:pPr>
              <w:spacing w:line="240" w:lineRule="auto"/>
              <w:rPr>
                <w:rFonts w:ascii="Times New Roman" w:hAnsi="Times New Roman"/>
                <w:color w:val="000000"/>
              </w:rPr>
            </w:pPr>
            <w:r w:rsidRPr="00996A12">
              <w:rPr>
                <w:rFonts w:ascii="Times New Roman" w:hAnsi="Times New Roman"/>
                <w:color w:val="000000"/>
              </w:rPr>
              <w:lastRenderedPageBreak/>
              <w:t>Minister właściwy ds. gospodarki.</w:t>
            </w:r>
          </w:p>
        </w:tc>
        <w:tc>
          <w:tcPr>
            <w:tcW w:w="3402" w:type="dxa"/>
            <w:gridSpan w:val="10"/>
            <w:shd w:val="clear" w:color="auto" w:fill="auto"/>
          </w:tcPr>
          <w:p w14:paraId="3FE8F6B3"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spacing w:val="-2"/>
              </w:rPr>
              <w:t>1</w:t>
            </w:r>
          </w:p>
        </w:tc>
        <w:tc>
          <w:tcPr>
            <w:tcW w:w="1843" w:type="dxa"/>
            <w:gridSpan w:val="7"/>
            <w:shd w:val="clear" w:color="auto" w:fill="auto"/>
          </w:tcPr>
          <w:p w14:paraId="674CF822" w14:textId="77777777" w:rsidR="00AC6FA6" w:rsidRPr="00996A12" w:rsidRDefault="00FF3890" w:rsidP="00FF3890">
            <w:pPr>
              <w:spacing w:line="240" w:lineRule="auto"/>
              <w:jc w:val="both"/>
              <w:rPr>
                <w:rFonts w:ascii="Times New Roman" w:hAnsi="Times New Roman"/>
                <w:color w:val="000000"/>
                <w:spacing w:val="-2"/>
              </w:rPr>
            </w:pPr>
            <w:r w:rsidRPr="00996A12">
              <w:rPr>
                <w:rFonts w:ascii="Times New Roman" w:hAnsi="Times New Roman"/>
                <w:color w:val="000000"/>
                <w:spacing w:val="-2"/>
              </w:rPr>
              <w:t>Ustawa z dnia 9 maja 2014 r.  o informowaniu o cenach towarów i usług</w:t>
            </w:r>
          </w:p>
        </w:tc>
        <w:tc>
          <w:tcPr>
            <w:tcW w:w="3686" w:type="dxa"/>
            <w:gridSpan w:val="9"/>
            <w:shd w:val="clear" w:color="auto" w:fill="auto"/>
          </w:tcPr>
          <w:p w14:paraId="0ED818A8" w14:textId="77777777" w:rsidR="00AC6FA6" w:rsidRPr="00996A12" w:rsidRDefault="00AC6FA6" w:rsidP="00AC6FA6">
            <w:pPr>
              <w:spacing w:line="240" w:lineRule="auto"/>
              <w:jc w:val="both"/>
              <w:rPr>
                <w:rFonts w:ascii="Times New Roman" w:hAnsi="Times New Roman"/>
                <w:i/>
                <w:color w:val="000000"/>
                <w:spacing w:val="-2"/>
              </w:rPr>
            </w:pPr>
            <w:r w:rsidRPr="00996A12">
              <w:rPr>
                <w:rFonts w:ascii="Times New Roman" w:hAnsi="Times New Roman"/>
                <w:color w:val="000000"/>
                <w:spacing w:val="-2"/>
              </w:rPr>
              <w:t>Możliwe wydanie nowego rozporządzenia w sprawie cen</w:t>
            </w:r>
            <w:r w:rsidR="00FF3890" w:rsidRPr="00996A12">
              <w:rPr>
                <w:rFonts w:ascii="Times New Roman" w:hAnsi="Times New Roman"/>
                <w:color w:val="000000"/>
                <w:spacing w:val="-2"/>
              </w:rPr>
              <w:t>.</w:t>
            </w:r>
          </w:p>
        </w:tc>
      </w:tr>
      <w:tr w:rsidR="00AC6FA6" w:rsidRPr="00996A12" w14:paraId="17472DB2" w14:textId="77777777" w:rsidTr="00196538">
        <w:trPr>
          <w:trHeight w:val="302"/>
        </w:trPr>
        <w:tc>
          <w:tcPr>
            <w:tcW w:w="10803" w:type="dxa"/>
            <w:gridSpan w:val="28"/>
            <w:shd w:val="clear" w:color="auto" w:fill="99CCFF"/>
            <w:vAlign w:val="center"/>
          </w:tcPr>
          <w:p w14:paraId="2F9F8F3F"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t>Informacje na temat zakresu, czasu trwania i podsumowanie wyników konsultacji</w:t>
            </w:r>
          </w:p>
        </w:tc>
      </w:tr>
      <w:tr w:rsidR="00AC6FA6" w:rsidRPr="00996A12" w14:paraId="494DB4D7" w14:textId="77777777" w:rsidTr="00196538">
        <w:trPr>
          <w:trHeight w:val="342"/>
        </w:trPr>
        <w:tc>
          <w:tcPr>
            <w:tcW w:w="10803" w:type="dxa"/>
            <w:gridSpan w:val="28"/>
            <w:shd w:val="clear" w:color="auto" w:fill="FFFFFF"/>
          </w:tcPr>
          <w:p w14:paraId="7BC237C0" w14:textId="77777777" w:rsidR="007B4E59"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Projekt ustawy będzie podlegał konsultacjom z organizacjami konsumenckimi, przedstawicielami organizacji przedsiębiorców, z rzecznikami konsumentów oraz konsultacjom międzyresortowym.</w:t>
            </w:r>
            <w:r w:rsidR="007B4E59" w:rsidRPr="00996A12">
              <w:rPr>
                <w:rFonts w:ascii="Times New Roman" w:hAnsi="Times New Roman"/>
                <w:color w:val="000000"/>
                <w:spacing w:val="-2"/>
              </w:rPr>
              <w:t xml:space="preserve"> W ramach konsultacji społecznych projekt został skierowany do następujących podmiotów:</w:t>
            </w:r>
          </w:p>
          <w:p w14:paraId="20B0B5EC" w14:textId="2FE83EE9" w:rsidR="00AC6FA6" w:rsidRPr="00996A12" w:rsidRDefault="007B4E59"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 </w:t>
            </w:r>
          </w:p>
          <w:p w14:paraId="6AA98FF6"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Business Center Club</w:t>
            </w:r>
          </w:p>
          <w:p w14:paraId="0604C196"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Konfederacja Lewiatan</w:t>
            </w:r>
          </w:p>
          <w:p w14:paraId="7F835C93"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Krajowa Izba Gospodarcza</w:t>
            </w:r>
          </w:p>
          <w:p w14:paraId="6D835F5F" w14:textId="77777777" w:rsidR="00945481" w:rsidRPr="00E760EB" w:rsidRDefault="00945481" w:rsidP="00945481">
            <w:pPr>
              <w:numPr>
                <w:ilvl w:val="0"/>
                <w:numId w:val="40"/>
              </w:numPr>
              <w:spacing w:line="240" w:lineRule="auto"/>
              <w:jc w:val="both"/>
              <w:rPr>
                <w:rFonts w:ascii="Times New Roman" w:hAnsi="Times New Roman"/>
                <w:bCs/>
                <w:spacing w:val="-2"/>
              </w:rPr>
            </w:pPr>
            <w:r w:rsidRPr="00E760EB">
              <w:rPr>
                <w:rFonts w:ascii="Times New Roman" w:hAnsi="Times New Roman"/>
                <w:spacing w:val="-2"/>
              </w:rPr>
              <w:t>Pracodawcy Rzeczypospolitej Polskiej</w:t>
            </w:r>
          </w:p>
          <w:p w14:paraId="63EEB5F9" w14:textId="77777777" w:rsidR="00945481" w:rsidRPr="00E760EB" w:rsidRDefault="00945481" w:rsidP="00945481">
            <w:pPr>
              <w:numPr>
                <w:ilvl w:val="0"/>
                <w:numId w:val="40"/>
              </w:numPr>
              <w:spacing w:line="240" w:lineRule="auto"/>
              <w:jc w:val="both"/>
              <w:rPr>
                <w:rFonts w:ascii="Times New Roman" w:hAnsi="Times New Roman"/>
                <w:spacing w:val="-2"/>
              </w:rPr>
            </w:pPr>
            <w:r w:rsidRPr="00E760EB">
              <w:rPr>
                <w:rFonts w:ascii="Times New Roman" w:hAnsi="Times New Roman"/>
                <w:spacing w:val="-2"/>
              </w:rPr>
              <w:t>Związek Przedsiębiorców i Pracodawców</w:t>
            </w:r>
          </w:p>
          <w:p w14:paraId="57C7F20A" w14:textId="77777777" w:rsidR="00945481" w:rsidRPr="00E760EB" w:rsidRDefault="003469A4" w:rsidP="00945481">
            <w:pPr>
              <w:numPr>
                <w:ilvl w:val="0"/>
                <w:numId w:val="40"/>
              </w:numPr>
              <w:spacing w:line="240" w:lineRule="auto"/>
              <w:jc w:val="both"/>
              <w:rPr>
                <w:rFonts w:ascii="Times New Roman" w:hAnsi="Times New Roman"/>
                <w:bCs/>
                <w:spacing w:val="-2"/>
              </w:rPr>
            </w:pPr>
            <w:hyperlink r:id="rId12" w:history="1">
              <w:r w:rsidR="00945481" w:rsidRPr="00E760EB">
                <w:rPr>
                  <w:rStyle w:val="Hipercze"/>
                  <w:rFonts w:ascii="Times New Roman" w:hAnsi="Times New Roman"/>
                  <w:bCs/>
                  <w:color w:val="auto"/>
                  <w:spacing w:val="-2"/>
                  <w:u w:val="none"/>
                </w:rPr>
                <w:t>Związek Rzemiosła Polskiego (ZRP)</w:t>
              </w:r>
            </w:hyperlink>
          </w:p>
          <w:p w14:paraId="2C9D48A5" w14:textId="77777777" w:rsidR="00945481" w:rsidRPr="00E760EB" w:rsidRDefault="003469A4" w:rsidP="00945481">
            <w:pPr>
              <w:numPr>
                <w:ilvl w:val="0"/>
                <w:numId w:val="40"/>
              </w:numPr>
              <w:spacing w:line="240" w:lineRule="auto"/>
              <w:jc w:val="both"/>
              <w:rPr>
                <w:rFonts w:ascii="Times New Roman" w:hAnsi="Times New Roman"/>
                <w:bCs/>
                <w:spacing w:val="-2"/>
              </w:rPr>
            </w:pPr>
            <w:hyperlink r:id="rId13" w:history="1">
              <w:r w:rsidR="00945481" w:rsidRPr="00E760EB">
                <w:rPr>
                  <w:rStyle w:val="Hipercze"/>
                  <w:rFonts w:ascii="Times New Roman" w:hAnsi="Times New Roman"/>
                  <w:color w:val="auto"/>
                  <w:spacing w:val="-2"/>
                  <w:u w:val="none"/>
                </w:rPr>
                <w:t>Niezależny Samorządny Związek Zawodowy “Solidarność” (NSZZ “Solidarność”)</w:t>
              </w:r>
            </w:hyperlink>
          </w:p>
          <w:p w14:paraId="28F8A1B5" w14:textId="77777777" w:rsidR="00945481" w:rsidRPr="00E760EB" w:rsidRDefault="003469A4" w:rsidP="00945481">
            <w:pPr>
              <w:numPr>
                <w:ilvl w:val="0"/>
                <w:numId w:val="40"/>
              </w:numPr>
              <w:spacing w:line="240" w:lineRule="auto"/>
              <w:jc w:val="both"/>
              <w:rPr>
                <w:rFonts w:ascii="Times New Roman" w:hAnsi="Times New Roman"/>
                <w:bCs/>
                <w:spacing w:val="-2"/>
              </w:rPr>
            </w:pPr>
            <w:hyperlink r:id="rId14" w:history="1">
              <w:r w:rsidR="00945481" w:rsidRPr="00E760EB">
                <w:rPr>
                  <w:rStyle w:val="Hipercze"/>
                  <w:rFonts w:ascii="Times New Roman" w:hAnsi="Times New Roman"/>
                  <w:color w:val="auto"/>
                  <w:spacing w:val="-2"/>
                  <w:u w:val="none"/>
                </w:rPr>
                <w:t>Ogólnopolskie Porozumienie Związków Zawodowych (OPZZ)</w:t>
              </w:r>
            </w:hyperlink>
          </w:p>
          <w:p w14:paraId="65606655"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 xml:space="preserve">Centrum im. Adama </w:t>
            </w:r>
            <w:proofErr w:type="spellStart"/>
            <w:r w:rsidRPr="00996A12">
              <w:rPr>
                <w:rFonts w:ascii="Times New Roman" w:hAnsi="Times New Roman"/>
                <w:color w:val="000000"/>
                <w:spacing w:val="-2"/>
              </w:rPr>
              <w:t>Smitha</w:t>
            </w:r>
            <w:proofErr w:type="spellEnd"/>
          </w:p>
          <w:p w14:paraId="3E42B2F4"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 xml:space="preserve"> Forum Odpowiedzialnego Biznesu</w:t>
            </w:r>
          </w:p>
          <w:p w14:paraId="1FD81FF2"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Fundacja Instytut Ochrony Praw Konsumentów</w:t>
            </w:r>
          </w:p>
          <w:p w14:paraId="414E5092"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Fundacja Konsumentów</w:t>
            </w:r>
          </w:p>
          <w:p w14:paraId="7475B9B7"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Fundacja na Rzecz Bezpiecznego Obrotu Prawnego</w:t>
            </w:r>
          </w:p>
          <w:p w14:paraId="6362A906"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 Izba Gospodarki Elektronicznej</w:t>
            </w:r>
          </w:p>
          <w:p w14:paraId="5AFB3BA5"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Konferencja Przedsiębiorstw Finansowych w Polsce Związek Pracodawców</w:t>
            </w:r>
          </w:p>
          <w:p w14:paraId="732C1B6E"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Koordynator do spraw negocjacji przy Prezesie Urzędu Regulacji Energetyki</w:t>
            </w:r>
          </w:p>
          <w:p w14:paraId="7E2539C7"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Krajowa Izba Gospodarczej Elektroniki i Telekomunikacji </w:t>
            </w:r>
          </w:p>
          <w:p w14:paraId="75267A01"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bCs/>
                <w:color w:val="000000"/>
                <w:spacing w:val="-2"/>
              </w:rPr>
              <w:t xml:space="preserve">Krajowa Izba Komunikacji </w:t>
            </w:r>
            <w:proofErr w:type="spellStart"/>
            <w:r w:rsidRPr="00996A12">
              <w:rPr>
                <w:rFonts w:ascii="Times New Roman" w:hAnsi="Times New Roman"/>
                <w:bCs/>
                <w:color w:val="000000"/>
                <w:spacing w:val="-2"/>
              </w:rPr>
              <w:t>Ethernetowej</w:t>
            </w:r>
            <w:proofErr w:type="spellEnd"/>
          </w:p>
          <w:p w14:paraId="60237C29"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Miejski Rzecznik Konsumentów w Warszawie</w:t>
            </w:r>
          </w:p>
          <w:p w14:paraId="4C5F1E37"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Bankowy Arbitraż Konsumencki</w:t>
            </w:r>
          </w:p>
          <w:p w14:paraId="7816FE57"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Naczelna Rada Zrzeszeń Handlu i Usług</w:t>
            </w:r>
          </w:p>
          <w:p w14:paraId="2528520F"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NASK</w:t>
            </w:r>
          </w:p>
          <w:p w14:paraId="16E0C612"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Polska Izba Informatyki i Telekomunikacji</w:t>
            </w:r>
          </w:p>
          <w:p w14:paraId="481B51FE"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Polska Izba Komunikacji Elektronicznej</w:t>
            </w:r>
          </w:p>
          <w:p w14:paraId="5B25529E"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Polska Izba Pośredników Ubezpieczeniowych i Finansowych</w:t>
            </w:r>
          </w:p>
          <w:p w14:paraId="41DF4CF7"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Polska Izba Radiodyfuzji Cyfrowej</w:t>
            </w:r>
          </w:p>
          <w:p w14:paraId="2E988A34"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Polska Izba Turystyki</w:t>
            </w:r>
          </w:p>
          <w:p w14:paraId="2CFACB01"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Polska Izba Ubezpieczeń</w:t>
            </w:r>
          </w:p>
          <w:p w14:paraId="2C4A9E3C"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Polska Organizacja Handlu i Dystrybucji</w:t>
            </w:r>
          </w:p>
          <w:p w14:paraId="45A53877"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Polski Związek Organizatorów Turystyki </w:t>
            </w:r>
          </w:p>
          <w:p w14:paraId="6E7410CF"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Polskie Stowarzyszenie Marketingu SMB</w:t>
            </w:r>
          </w:p>
          <w:p w14:paraId="75B5BE65"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Polskie Stowarzyszenie Sprzedaży Bezpośredniej</w:t>
            </w:r>
          </w:p>
          <w:p w14:paraId="585629CB"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Stowarzyszenie Krzewienia Edukacji Finansowej</w:t>
            </w:r>
          </w:p>
          <w:p w14:paraId="7C8E2962"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Rada Konsultacyjna ds. Ochrony  Konsumentów przy Zarządzie Województwa Małopolskiego w Krakowie</w:t>
            </w:r>
          </w:p>
          <w:p w14:paraId="74D6903B"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Rada Krajowa Federacji Konsumentów</w:t>
            </w:r>
          </w:p>
          <w:p w14:paraId="66681C8B"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Rzecznik Praw Pasażera Kolei przy Prezesie Urzędu Transportu Kolejowego</w:t>
            </w:r>
          </w:p>
          <w:p w14:paraId="431BFD1A"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Sąd Polubowny przy Komisji Nadzoru Finansowego</w:t>
            </w:r>
          </w:p>
          <w:p w14:paraId="23C9AAE9"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Stowarzyszenie </w:t>
            </w:r>
            <w:proofErr w:type="spellStart"/>
            <w:r w:rsidRPr="00996A12">
              <w:rPr>
                <w:rFonts w:ascii="Times New Roman" w:hAnsi="Times New Roman"/>
                <w:color w:val="000000"/>
                <w:spacing w:val="-2"/>
              </w:rPr>
              <w:t>Aquila</w:t>
            </w:r>
            <w:proofErr w:type="spellEnd"/>
          </w:p>
          <w:p w14:paraId="0AAE65AB"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Stowarzyszenie dla Powiatu</w:t>
            </w:r>
          </w:p>
          <w:p w14:paraId="5F7F0D5D"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Stowarzyszenie Konsumentów Polskich</w:t>
            </w:r>
          </w:p>
          <w:p w14:paraId="28308420"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 xml:space="preserve">Stowarzyszenie Na Rzecz Obrony Praw Konsumenta i Obywatela „Pro </w:t>
            </w:r>
            <w:proofErr w:type="spellStart"/>
            <w:r w:rsidRPr="00996A12">
              <w:rPr>
                <w:rFonts w:ascii="Times New Roman" w:hAnsi="Times New Roman"/>
                <w:color w:val="000000"/>
                <w:spacing w:val="-2"/>
              </w:rPr>
              <w:t>Futuris</w:t>
            </w:r>
            <w:proofErr w:type="spellEnd"/>
            <w:r w:rsidRPr="00996A12">
              <w:rPr>
                <w:rFonts w:ascii="Times New Roman" w:hAnsi="Times New Roman"/>
                <w:color w:val="000000"/>
                <w:spacing w:val="-2"/>
              </w:rPr>
              <w:t>”</w:t>
            </w:r>
          </w:p>
          <w:p w14:paraId="68498335"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Stowarzyszenie Praw Pasażerów Przyjazne Latanie</w:t>
            </w:r>
          </w:p>
          <w:p w14:paraId="673B824F"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Stowarzyszenie Rzeczników Konsumentów</w:t>
            </w:r>
          </w:p>
          <w:p w14:paraId="71030CC7"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Związek Banków Polskich</w:t>
            </w:r>
          </w:p>
          <w:p w14:paraId="1D0E26B5"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Związek Instytucji Pożyczkowych</w:t>
            </w:r>
          </w:p>
          <w:p w14:paraId="42EF9D55"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t>Związek Pracodawców Branży Internetowej IAB Polska</w:t>
            </w:r>
          </w:p>
          <w:p w14:paraId="7D73ACD4" w14:textId="77777777" w:rsidR="00945481" w:rsidRPr="00996A12" w:rsidRDefault="00945481" w:rsidP="00945481">
            <w:pPr>
              <w:numPr>
                <w:ilvl w:val="0"/>
                <w:numId w:val="40"/>
              </w:numPr>
              <w:spacing w:line="240" w:lineRule="auto"/>
              <w:jc w:val="both"/>
              <w:rPr>
                <w:rFonts w:ascii="Times New Roman" w:hAnsi="Times New Roman"/>
                <w:bCs/>
                <w:color w:val="000000"/>
                <w:spacing w:val="-2"/>
              </w:rPr>
            </w:pPr>
            <w:r w:rsidRPr="00996A12">
              <w:rPr>
                <w:rFonts w:ascii="Times New Roman" w:hAnsi="Times New Roman"/>
                <w:color w:val="000000"/>
                <w:spacing w:val="-2"/>
              </w:rPr>
              <w:lastRenderedPageBreak/>
              <w:t>Związek Stowarzyszeń Rada Reklamy</w:t>
            </w:r>
          </w:p>
          <w:p w14:paraId="59BA30E2"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Rzecznik Małych i  Średnich Przedsiębiorców</w:t>
            </w:r>
          </w:p>
          <w:p w14:paraId="56F22F48"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Polska Agencja Rozwoju Przedsiębiorczości</w:t>
            </w:r>
          </w:p>
          <w:p w14:paraId="240CCD8D"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color w:val="000000"/>
                <w:spacing w:val="-2"/>
              </w:rPr>
              <w:t>Stowarzyszenie Prawa Konkurencji</w:t>
            </w:r>
          </w:p>
          <w:p w14:paraId="1A365F62" w14:textId="77777777" w:rsidR="00945481" w:rsidRPr="00996A12" w:rsidRDefault="00945481" w:rsidP="00945481">
            <w:pPr>
              <w:numPr>
                <w:ilvl w:val="0"/>
                <w:numId w:val="40"/>
              </w:numPr>
              <w:spacing w:line="240" w:lineRule="auto"/>
              <w:jc w:val="both"/>
              <w:rPr>
                <w:rFonts w:ascii="Times New Roman" w:hAnsi="Times New Roman"/>
                <w:color w:val="000000"/>
                <w:spacing w:val="-2"/>
              </w:rPr>
            </w:pPr>
            <w:r w:rsidRPr="00996A12">
              <w:rPr>
                <w:rFonts w:ascii="Times New Roman" w:hAnsi="Times New Roman"/>
                <w:bCs/>
                <w:color w:val="000000"/>
                <w:spacing w:val="-2"/>
              </w:rPr>
              <w:t>Stowarzyszenie Konsumentów Polskich</w:t>
            </w:r>
          </w:p>
          <w:p w14:paraId="363FD150" w14:textId="77777777" w:rsidR="00AC6FA6" w:rsidRPr="00996A12" w:rsidRDefault="00AC6FA6" w:rsidP="00AC6FA6">
            <w:pPr>
              <w:spacing w:line="240" w:lineRule="auto"/>
              <w:jc w:val="both"/>
              <w:rPr>
                <w:rFonts w:ascii="Times New Roman" w:hAnsi="Times New Roman"/>
                <w:color w:val="000000"/>
                <w:spacing w:val="-2"/>
              </w:rPr>
            </w:pPr>
          </w:p>
        </w:tc>
      </w:tr>
      <w:tr w:rsidR="00AC6FA6" w:rsidRPr="00996A12" w14:paraId="6494C438" w14:textId="77777777" w:rsidTr="00196538">
        <w:trPr>
          <w:trHeight w:val="363"/>
        </w:trPr>
        <w:tc>
          <w:tcPr>
            <w:tcW w:w="10803" w:type="dxa"/>
            <w:gridSpan w:val="28"/>
            <w:shd w:val="clear" w:color="auto" w:fill="99CCFF"/>
            <w:vAlign w:val="center"/>
          </w:tcPr>
          <w:p w14:paraId="451F8096"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lastRenderedPageBreak/>
              <w:t xml:space="preserve"> Wpływ na sektor finansów publicznych</w:t>
            </w:r>
          </w:p>
        </w:tc>
      </w:tr>
      <w:tr w:rsidR="00AC6FA6" w:rsidRPr="00996A12" w14:paraId="4BEF6DAA" w14:textId="77777777" w:rsidTr="00196538">
        <w:trPr>
          <w:trHeight w:val="142"/>
        </w:trPr>
        <w:tc>
          <w:tcPr>
            <w:tcW w:w="3239" w:type="dxa"/>
            <w:gridSpan w:val="4"/>
            <w:vMerge w:val="restart"/>
            <w:shd w:val="clear" w:color="auto" w:fill="FFFFFF"/>
          </w:tcPr>
          <w:p w14:paraId="3A388E5B" w14:textId="77777777" w:rsidR="00AC6FA6" w:rsidRPr="00996A12" w:rsidRDefault="00AC6FA6" w:rsidP="00AC6FA6">
            <w:pPr>
              <w:spacing w:before="40" w:after="40"/>
              <w:rPr>
                <w:rFonts w:ascii="Times New Roman" w:hAnsi="Times New Roman"/>
                <w:i/>
                <w:color w:val="000000"/>
              </w:rPr>
            </w:pPr>
            <w:r w:rsidRPr="00996A12">
              <w:rPr>
                <w:rFonts w:ascii="Times New Roman" w:hAnsi="Times New Roman"/>
                <w:color w:val="000000"/>
              </w:rPr>
              <w:t>(ceny stałe z 2020 r.)</w:t>
            </w:r>
          </w:p>
        </w:tc>
        <w:tc>
          <w:tcPr>
            <w:tcW w:w="7564" w:type="dxa"/>
            <w:gridSpan w:val="24"/>
            <w:shd w:val="clear" w:color="auto" w:fill="FFFFFF"/>
          </w:tcPr>
          <w:p w14:paraId="26BA161F" w14:textId="77777777" w:rsidR="00AC6FA6" w:rsidRPr="00996A12" w:rsidRDefault="00AC6FA6" w:rsidP="00AC6FA6">
            <w:pPr>
              <w:spacing w:before="40" w:after="40" w:line="240" w:lineRule="auto"/>
              <w:jc w:val="center"/>
              <w:rPr>
                <w:rFonts w:ascii="Times New Roman" w:hAnsi="Times New Roman"/>
                <w:i/>
                <w:color w:val="000000"/>
                <w:spacing w:val="-2"/>
              </w:rPr>
            </w:pPr>
            <w:r w:rsidRPr="00996A12">
              <w:rPr>
                <w:rFonts w:ascii="Times New Roman" w:hAnsi="Times New Roman"/>
                <w:color w:val="000000"/>
              </w:rPr>
              <w:t>Skutki w okresie 10 lat od wejścia w życie zmian [mln zł]</w:t>
            </w:r>
          </w:p>
        </w:tc>
      </w:tr>
      <w:tr w:rsidR="00AC6FA6" w:rsidRPr="00996A12" w14:paraId="209F5719" w14:textId="77777777" w:rsidTr="00A92C7F">
        <w:trPr>
          <w:trHeight w:val="142"/>
        </w:trPr>
        <w:tc>
          <w:tcPr>
            <w:tcW w:w="3239" w:type="dxa"/>
            <w:gridSpan w:val="4"/>
            <w:vMerge/>
            <w:shd w:val="clear" w:color="auto" w:fill="FFFFFF"/>
          </w:tcPr>
          <w:p w14:paraId="3B4EFAC2" w14:textId="77777777" w:rsidR="00AC6FA6" w:rsidRPr="00996A12" w:rsidRDefault="00AC6FA6" w:rsidP="00AC6FA6">
            <w:pPr>
              <w:spacing w:before="40" w:after="40" w:line="240" w:lineRule="auto"/>
              <w:rPr>
                <w:rFonts w:ascii="Times New Roman" w:hAnsi="Times New Roman"/>
                <w:i/>
                <w:color w:val="000000"/>
              </w:rPr>
            </w:pPr>
          </w:p>
        </w:tc>
        <w:tc>
          <w:tcPr>
            <w:tcW w:w="600" w:type="dxa"/>
            <w:gridSpan w:val="2"/>
            <w:shd w:val="clear" w:color="auto" w:fill="FFFFFF"/>
          </w:tcPr>
          <w:p w14:paraId="5FF6C2CF"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189C7357"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1</w:t>
            </w:r>
          </w:p>
        </w:tc>
        <w:tc>
          <w:tcPr>
            <w:tcW w:w="601" w:type="dxa"/>
            <w:gridSpan w:val="2"/>
            <w:shd w:val="clear" w:color="auto" w:fill="FFFFFF"/>
          </w:tcPr>
          <w:p w14:paraId="450198E9"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2</w:t>
            </w:r>
          </w:p>
        </w:tc>
        <w:tc>
          <w:tcPr>
            <w:tcW w:w="600" w:type="dxa"/>
            <w:gridSpan w:val="3"/>
            <w:shd w:val="clear" w:color="auto" w:fill="FFFFFF"/>
          </w:tcPr>
          <w:p w14:paraId="69540759"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3</w:t>
            </w:r>
          </w:p>
        </w:tc>
        <w:tc>
          <w:tcPr>
            <w:tcW w:w="601" w:type="dxa"/>
            <w:gridSpan w:val="2"/>
            <w:shd w:val="clear" w:color="auto" w:fill="FFFFFF"/>
          </w:tcPr>
          <w:p w14:paraId="57AABFF7"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4</w:t>
            </w:r>
          </w:p>
        </w:tc>
        <w:tc>
          <w:tcPr>
            <w:tcW w:w="600" w:type="dxa"/>
            <w:gridSpan w:val="3"/>
            <w:shd w:val="clear" w:color="auto" w:fill="FFFFFF"/>
          </w:tcPr>
          <w:p w14:paraId="4C935061"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5</w:t>
            </w:r>
          </w:p>
        </w:tc>
        <w:tc>
          <w:tcPr>
            <w:tcW w:w="600" w:type="dxa"/>
            <w:gridSpan w:val="3"/>
            <w:shd w:val="clear" w:color="auto" w:fill="FFFFFF"/>
          </w:tcPr>
          <w:p w14:paraId="4A7F776C"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6</w:t>
            </w:r>
          </w:p>
        </w:tc>
        <w:tc>
          <w:tcPr>
            <w:tcW w:w="601" w:type="dxa"/>
            <w:gridSpan w:val="2"/>
            <w:shd w:val="clear" w:color="auto" w:fill="FFFFFF"/>
          </w:tcPr>
          <w:p w14:paraId="17155070"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7</w:t>
            </w:r>
          </w:p>
        </w:tc>
        <w:tc>
          <w:tcPr>
            <w:tcW w:w="493" w:type="dxa"/>
            <w:gridSpan w:val="2"/>
            <w:shd w:val="clear" w:color="auto" w:fill="FFFFFF"/>
          </w:tcPr>
          <w:p w14:paraId="27BBA93D"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8</w:t>
            </w:r>
          </w:p>
        </w:tc>
        <w:tc>
          <w:tcPr>
            <w:tcW w:w="708" w:type="dxa"/>
            <w:shd w:val="clear" w:color="auto" w:fill="FFFFFF"/>
          </w:tcPr>
          <w:p w14:paraId="655846C0"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9</w:t>
            </w:r>
          </w:p>
        </w:tc>
        <w:tc>
          <w:tcPr>
            <w:tcW w:w="1560" w:type="dxa"/>
            <w:gridSpan w:val="2"/>
            <w:shd w:val="clear" w:color="auto" w:fill="FFFFFF"/>
          </w:tcPr>
          <w:p w14:paraId="069F196E" w14:textId="77777777" w:rsidR="00AC6FA6" w:rsidRPr="00996A12" w:rsidRDefault="00AC6FA6" w:rsidP="00AC6FA6">
            <w:pPr>
              <w:spacing w:before="40" w:after="40" w:line="240" w:lineRule="auto"/>
              <w:jc w:val="center"/>
              <w:rPr>
                <w:rFonts w:ascii="Times New Roman" w:hAnsi="Times New Roman"/>
                <w:i/>
                <w:color w:val="000000"/>
                <w:spacing w:val="-2"/>
              </w:rPr>
            </w:pPr>
            <w:r w:rsidRPr="00996A12">
              <w:rPr>
                <w:rFonts w:ascii="Times New Roman" w:hAnsi="Times New Roman"/>
                <w:i/>
                <w:color w:val="000000"/>
                <w:spacing w:val="-2"/>
              </w:rPr>
              <w:t>Łącznie (0-9)</w:t>
            </w:r>
          </w:p>
        </w:tc>
      </w:tr>
      <w:tr w:rsidR="00AC6FA6" w:rsidRPr="00996A12" w14:paraId="17AF361C" w14:textId="77777777" w:rsidTr="00A92C7F">
        <w:trPr>
          <w:trHeight w:val="321"/>
        </w:trPr>
        <w:tc>
          <w:tcPr>
            <w:tcW w:w="3239" w:type="dxa"/>
            <w:gridSpan w:val="4"/>
            <w:shd w:val="clear" w:color="auto" w:fill="FFFFFF"/>
            <w:vAlign w:val="center"/>
          </w:tcPr>
          <w:p w14:paraId="1BDD0E2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b/>
                <w:color w:val="000000"/>
              </w:rPr>
              <w:t>Dochody ogółem</w:t>
            </w:r>
          </w:p>
        </w:tc>
        <w:tc>
          <w:tcPr>
            <w:tcW w:w="600" w:type="dxa"/>
            <w:gridSpan w:val="2"/>
            <w:shd w:val="clear" w:color="auto" w:fill="FFFFFF"/>
          </w:tcPr>
          <w:p w14:paraId="0A74F79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444B144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0F55B90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6A7A46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485A9DA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575E8C7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13ED28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421F21B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3F5E3F4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1DAF5F8A"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6BF1008E"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rPr>
              <w:t>0</w:t>
            </w:r>
          </w:p>
        </w:tc>
      </w:tr>
      <w:tr w:rsidR="00AC6FA6" w:rsidRPr="00996A12" w14:paraId="6D177C63" w14:textId="77777777" w:rsidTr="00A92C7F">
        <w:trPr>
          <w:trHeight w:val="321"/>
        </w:trPr>
        <w:tc>
          <w:tcPr>
            <w:tcW w:w="3239" w:type="dxa"/>
            <w:gridSpan w:val="4"/>
            <w:shd w:val="clear" w:color="auto" w:fill="FFFFFF"/>
            <w:vAlign w:val="center"/>
          </w:tcPr>
          <w:p w14:paraId="37BB80A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budżet państwa</w:t>
            </w:r>
          </w:p>
        </w:tc>
        <w:tc>
          <w:tcPr>
            <w:tcW w:w="600" w:type="dxa"/>
            <w:gridSpan w:val="2"/>
            <w:shd w:val="clear" w:color="auto" w:fill="FFFFFF"/>
          </w:tcPr>
          <w:p w14:paraId="2F434E2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4419EC9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3195F5B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100EC7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7B7C496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A19BD4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787F2F2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424197C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6968A39A"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6E5943E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718DEF05" w14:textId="77777777" w:rsidR="00AC6FA6" w:rsidRPr="00996A12" w:rsidRDefault="00AC6FA6" w:rsidP="00AC6FA6">
            <w:pPr>
              <w:spacing w:line="240" w:lineRule="auto"/>
              <w:rPr>
                <w:rFonts w:ascii="Times New Roman" w:hAnsi="Times New Roman"/>
                <w:color w:val="000000"/>
                <w:spacing w:val="-2"/>
              </w:rPr>
            </w:pPr>
            <w:r w:rsidRPr="00996A12">
              <w:rPr>
                <w:rFonts w:ascii="Times New Roman" w:hAnsi="Times New Roman"/>
                <w:color w:val="000000"/>
              </w:rPr>
              <w:t>0</w:t>
            </w:r>
          </w:p>
        </w:tc>
      </w:tr>
      <w:tr w:rsidR="00AC6FA6" w:rsidRPr="00996A12" w14:paraId="2A5CC5DA" w14:textId="77777777" w:rsidTr="00A92C7F">
        <w:trPr>
          <w:trHeight w:val="344"/>
        </w:trPr>
        <w:tc>
          <w:tcPr>
            <w:tcW w:w="3239" w:type="dxa"/>
            <w:gridSpan w:val="4"/>
            <w:shd w:val="clear" w:color="auto" w:fill="FFFFFF"/>
            <w:vAlign w:val="center"/>
          </w:tcPr>
          <w:p w14:paraId="390BDF9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JST</w:t>
            </w:r>
          </w:p>
        </w:tc>
        <w:tc>
          <w:tcPr>
            <w:tcW w:w="600" w:type="dxa"/>
            <w:gridSpan w:val="2"/>
            <w:shd w:val="clear" w:color="auto" w:fill="FFFFFF"/>
          </w:tcPr>
          <w:p w14:paraId="178EA1C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55E0AF3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7AF017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7FD6F67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74B9DF5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19BACC2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2E37A8A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84DBB0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490CC36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09B1015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668C2B0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7D1D73BF" w14:textId="77777777" w:rsidTr="00A92C7F">
        <w:trPr>
          <w:trHeight w:val="344"/>
        </w:trPr>
        <w:tc>
          <w:tcPr>
            <w:tcW w:w="3239" w:type="dxa"/>
            <w:gridSpan w:val="4"/>
            <w:shd w:val="clear" w:color="auto" w:fill="FFFFFF"/>
            <w:vAlign w:val="center"/>
          </w:tcPr>
          <w:p w14:paraId="441F092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pozostałe jednostki (oddzielnie)</w:t>
            </w:r>
          </w:p>
        </w:tc>
        <w:tc>
          <w:tcPr>
            <w:tcW w:w="600" w:type="dxa"/>
            <w:gridSpan w:val="2"/>
            <w:shd w:val="clear" w:color="auto" w:fill="FFFFFF"/>
          </w:tcPr>
          <w:p w14:paraId="75AEBF2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4BE959B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5224CEF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925177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4F016D5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04CBB4C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15E26BB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A4C15C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43EBCD7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4835BF6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50FC60E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1FE83B4B" w14:textId="77777777" w:rsidTr="00A92C7F">
        <w:trPr>
          <w:trHeight w:val="330"/>
        </w:trPr>
        <w:tc>
          <w:tcPr>
            <w:tcW w:w="3239" w:type="dxa"/>
            <w:gridSpan w:val="4"/>
            <w:shd w:val="clear" w:color="auto" w:fill="FFFFFF"/>
            <w:vAlign w:val="center"/>
          </w:tcPr>
          <w:p w14:paraId="6DEE68A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b/>
                <w:color w:val="000000"/>
              </w:rPr>
              <w:t>Wydatki ogółem</w:t>
            </w:r>
          </w:p>
        </w:tc>
        <w:tc>
          <w:tcPr>
            <w:tcW w:w="600" w:type="dxa"/>
            <w:gridSpan w:val="2"/>
            <w:shd w:val="clear" w:color="auto" w:fill="FFFFFF"/>
          </w:tcPr>
          <w:p w14:paraId="6E32FCF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3520095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912441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3CC9F94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B6CB5A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04812BC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A79F51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63BB83B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2BB8C49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6A5ACF2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38C95C5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5B49F573" w14:textId="77777777" w:rsidTr="00A92C7F">
        <w:trPr>
          <w:trHeight w:val="330"/>
        </w:trPr>
        <w:tc>
          <w:tcPr>
            <w:tcW w:w="3239" w:type="dxa"/>
            <w:gridSpan w:val="4"/>
            <w:shd w:val="clear" w:color="auto" w:fill="FFFFFF"/>
            <w:vAlign w:val="center"/>
          </w:tcPr>
          <w:p w14:paraId="2B375CE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budżet państwa</w:t>
            </w:r>
          </w:p>
        </w:tc>
        <w:tc>
          <w:tcPr>
            <w:tcW w:w="600" w:type="dxa"/>
            <w:gridSpan w:val="2"/>
            <w:shd w:val="clear" w:color="auto" w:fill="FFFFFF"/>
          </w:tcPr>
          <w:p w14:paraId="05F2D2C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4F8D924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0531BA8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5FCCEBB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537B80D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440A2B7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5531738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6528F37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6F108FF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696EF27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6059421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0F5FCA50" w14:textId="77777777" w:rsidTr="00A92C7F">
        <w:trPr>
          <w:trHeight w:val="351"/>
        </w:trPr>
        <w:tc>
          <w:tcPr>
            <w:tcW w:w="3239" w:type="dxa"/>
            <w:gridSpan w:val="4"/>
            <w:shd w:val="clear" w:color="auto" w:fill="FFFFFF"/>
            <w:vAlign w:val="center"/>
          </w:tcPr>
          <w:p w14:paraId="3F5A2F5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JST</w:t>
            </w:r>
          </w:p>
        </w:tc>
        <w:tc>
          <w:tcPr>
            <w:tcW w:w="600" w:type="dxa"/>
            <w:gridSpan w:val="2"/>
            <w:shd w:val="clear" w:color="auto" w:fill="FFFFFF"/>
          </w:tcPr>
          <w:p w14:paraId="01D7126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32E974D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41347F9A"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16100E7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0107A4B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1D464D1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2D07E13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258D8D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45843D2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7D2A354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574BBB5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787E81C0" w14:textId="77777777" w:rsidTr="00A92C7F">
        <w:trPr>
          <w:trHeight w:val="351"/>
        </w:trPr>
        <w:tc>
          <w:tcPr>
            <w:tcW w:w="3239" w:type="dxa"/>
            <w:gridSpan w:val="4"/>
            <w:shd w:val="clear" w:color="auto" w:fill="FFFFFF"/>
            <w:vAlign w:val="center"/>
          </w:tcPr>
          <w:p w14:paraId="68E1054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pozostałe jednostki (oddzielnie)</w:t>
            </w:r>
          </w:p>
        </w:tc>
        <w:tc>
          <w:tcPr>
            <w:tcW w:w="600" w:type="dxa"/>
            <w:gridSpan w:val="2"/>
            <w:shd w:val="clear" w:color="auto" w:fill="FFFFFF"/>
          </w:tcPr>
          <w:p w14:paraId="1B9440B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2182C69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3108F46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3F950F0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546F345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49371C6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248B95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1AFAFB0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297BF1EA"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12FC595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75FCA62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16B11643" w14:textId="77777777" w:rsidTr="00A92C7F">
        <w:trPr>
          <w:trHeight w:val="360"/>
        </w:trPr>
        <w:tc>
          <w:tcPr>
            <w:tcW w:w="3239" w:type="dxa"/>
            <w:gridSpan w:val="4"/>
            <w:shd w:val="clear" w:color="auto" w:fill="FFFFFF"/>
            <w:vAlign w:val="center"/>
          </w:tcPr>
          <w:p w14:paraId="2844987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b/>
                <w:color w:val="000000"/>
              </w:rPr>
              <w:t>Saldo ogółem</w:t>
            </w:r>
          </w:p>
        </w:tc>
        <w:tc>
          <w:tcPr>
            <w:tcW w:w="600" w:type="dxa"/>
            <w:gridSpan w:val="2"/>
            <w:shd w:val="clear" w:color="auto" w:fill="FFFFFF"/>
          </w:tcPr>
          <w:p w14:paraId="6A99CE7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299399A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1E7997D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39C40C7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311E415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70BE5F5A"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525D0657"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55C9212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200AB8E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5665466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064B6D6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7AB2155F" w14:textId="77777777" w:rsidTr="00A92C7F">
        <w:trPr>
          <w:trHeight w:val="360"/>
        </w:trPr>
        <w:tc>
          <w:tcPr>
            <w:tcW w:w="3239" w:type="dxa"/>
            <w:gridSpan w:val="4"/>
            <w:shd w:val="clear" w:color="auto" w:fill="FFFFFF"/>
            <w:vAlign w:val="center"/>
          </w:tcPr>
          <w:p w14:paraId="22AFB5E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budżet państwa</w:t>
            </w:r>
          </w:p>
        </w:tc>
        <w:tc>
          <w:tcPr>
            <w:tcW w:w="600" w:type="dxa"/>
            <w:gridSpan w:val="2"/>
            <w:shd w:val="clear" w:color="auto" w:fill="FFFFFF"/>
          </w:tcPr>
          <w:p w14:paraId="49E1FCD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7DACA39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630D6EA9"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155B454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697C8BC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A0A4D5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284607D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21A7283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24BE4B1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3352FF3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1216406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7FC4D896" w14:textId="77777777" w:rsidTr="00A92C7F">
        <w:trPr>
          <w:trHeight w:val="357"/>
        </w:trPr>
        <w:tc>
          <w:tcPr>
            <w:tcW w:w="3239" w:type="dxa"/>
            <w:gridSpan w:val="4"/>
            <w:shd w:val="clear" w:color="auto" w:fill="FFFFFF"/>
            <w:vAlign w:val="center"/>
          </w:tcPr>
          <w:p w14:paraId="1CEAC8D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JST</w:t>
            </w:r>
          </w:p>
        </w:tc>
        <w:tc>
          <w:tcPr>
            <w:tcW w:w="600" w:type="dxa"/>
            <w:gridSpan w:val="2"/>
            <w:shd w:val="clear" w:color="auto" w:fill="FFFFFF"/>
          </w:tcPr>
          <w:p w14:paraId="76268B3B"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3FB8551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1DA41FC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3C62F9E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3C19844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39F5946E"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1D4C0F9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09FFB0B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312BE6B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7C3E490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7C846FE0"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251FFC85" w14:textId="77777777" w:rsidTr="00A92C7F">
        <w:trPr>
          <w:trHeight w:val="357"/>
        </w:trPr>
        <w:tc>
          <w:tcPr>
            <w:tcW w:w="3239" w:type="dxa"/>
            <w:gridSpan w:val="4"/>
            <w:shd w:val="clear" w:color="auto" w:fill="FFFFFF"/>
            <w:vAlign w:val="center"/>
          </w:tcPr>
          <w:p w14:paraId="3DB5E83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pozostałe jednostki (oddzielnie)</w:t>
            </w:r>
          </w:p>
        </w:tc>
        <w:tc>
          <w:tcPr>
            <w:tcW w:w="600" w:type="dxa"/>
            <w:gridSpan w:val="2"/>
            <w:shd w:val="clear" w:color="auto" w:fill="FFFFFF"/>
          </w:tcPr>
          <w:p w14:paraId="0699FA8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2"/>
            <w:shd w:val="clear" w:color="auto" w:fill="FFFFFF"/>
          </w:tcPr>
          <w:p w14:paraId="5C2C7BC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3196969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791B988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32B89C4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6F4F88F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0" w:type="dxa"/>
            <w:gridSpan w:val="3"/>
            <w:shd w:val="clear" w:color="auto" w:fill="FFFFFF"/>
          </w:tcPr>
          <w:p w14:paraId="594712C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601" w:type="dxa"/>
            <w:gridSpan w:val="2"/>
            <w:shd w:val="clear" w:color="auto" w:fill="FFFFFF"/>
          </w:tcPr>
          <w:p w14:paraId="16A901A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493" w:type="dxa"/>
            <w:gridSpan w:val="2"/>
            <w:shd w:val="clear" w:color="auto" w:fill="FFFFFF"/>
          </w:tcPr>
          <w:p w14:paraId="6CB0A8C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708" w:type="dxa"/>
            <w:shd w:val="clear" w:color="auto" w:fill="FFFFFF"/>
          </w:tcPr>
          <w:p w14:paraId="5047969C"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c>
          <w:tcPr>
            <w:tcW w:w="1560" w:type="dxa"/>
            <w:gridSpan w:val="2"/>
            <w:shd w:val="clear" w:color="auto" w:fill="FFFFFF"/>
          </w:tcPr>
          <w:p w14:paraId="6569C10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085D0EA7" w14:textId="77777777" w:rsidTr="00196538">
        <w:trPr>
          <w:trHeight w:val="348"/>
        </w:trPr>
        <w:tc>
          <w:tcPr>
            <w:tcW w:w="2349" w:type="dxa"/>
            <w:gridSpan w:val="3"/>
            <w:shd w:val="clear" w:color="auto" w:fill="FFFFFF"/>
            <w:vAlign w:val="center"/>
          </w:tcPr>
          <w:p w14:paraId="57274A4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 xml:space="preserve">Źródła finansowania </w:t>
            </w:r>
          </w:p>
        </w:tc>
        <w:tc>
          <w:tcPr>
            <w:tcW w:w="8454" w:type="dxa"/>
            <w:gridSpan w:val="25"/>
            <w:shd w:val="clear" w:color="auto" w:fill="FFFFFF"/>
            <w:vAlign w:val="center"/>
          </w:tcPr>
          <w:p w14:paraId="1958E547" w14:textId="77777777" w:rsidR="00AC6FA6" w:rsidRPr="00996A12" w:rsidRDefault="00AC6FA6" w:rsidP="00AC6FA6">
            <w:pPr>
              <w:spacing w:line="240" w:lineRule="auto"/>
              <w:jc w:val="both"/>
              <w:rPr>
                <w:rFonts w:ascii="Times New Roman" w:hAnsi="Times New Roman"/>
                <w:color w:val="000000"/>
              </w:rPr>
            </w:pPr>
            <w:r w:rsidRPr="00996A12">
              <w:rPr>
                <w:rFonts w:ascii="Times New Roman" w:hAnsi="Times New Roman"/>
                <w:color w:val="000000"/>
              </w:rPr>
              <w:t>Nie dotyczy</w:t>
            </w:r>
          </w:p>
          <w:p w14:paraId="4D4FC59E" w14:textId="77777777" w:rsidR="00AC6FA6" w:rsidRPr="00996A12" w:rsidRDefault="00AC6FA6" w:rsidP="00AC6FA6">
            <w:pPr>
              <w:spacing w:line="240" w:lineRule="auto"/>
              <w:jc w:val="both"/>
              <w:rPr>
                <w:rFonts w:ascii="Times New Roman" w:hAnsi="Times New Roman"/>
                <w:color w:val="000000"/>
              </w:rPr>
            </w:pPr>
          </w:p>
        </w:tc>
      </w:tr>
      <w:tr w:rsidR="00AC6FA6" w:rsidRPr="00996A12" w14:paraId="2F8F03BC" w14:textId="77777777" w:rsidTr="007B4E59">
        <w:trPr>
          <w:trHeight w:val="1526"/>
        </w:trPr>
        <w:tc>
          <w:tcPr>
            <w:tcW w:w="2349" w:type="dxa"/>
            <w:gridSpan w:val="3"/>
            <w:shd w:val="clear" w:color="auto" w:fill="FFFFFF"/>
          </w:tcPr>
          <w:p w14:paraId="7507D563"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Dodatkowe informacje, w tym wskazanie źródeł danych i przyjętych do obliczeń założeń</w:t>
            </w:r>
          </w:p>
        </w:tc>
        <w:tc>
          <w:tcPr>
            <w:tcW w:w="8454" w:type="dxa"/>
            <w:gridSpan w:val="25"/>
            <w:shd w:val="clear" w:color="auto" w:fill="FFFFFF"/>
          </w:tcPr>
          <w:p w14:paraId="4892240F" w14:textId="55F0C93E" w:rsidR="00E35D57" w:rsidRPr="00996A12" w:rsidRDefault="00E35D57" w:rsidP="00AC6FA6">
            <w:pPr>
              <w:spacing w:line="240" w:lineRule="auto"/>
              <w:jc w:val="both"/>
              <w:rPr>
                <w:rFonts w:ascii="Times New Roman" w:hAnsi="Times New Roman"/>
                <w:color w:val="000000"/>
              </w:rPr>
            </w:pPr>
          </w:p>
          <w:p w14:paraId="6B4E2284" w14:textId="0A03AE5A" w:rsidR="00AC6FA6" w:rsidRPr="00996A12" w:rsidRDefault="00E35D57" w:rsidP="00AC6FA6">
            <w:pPr>
              <w:spacing w:line="240" w:lineRule="auto"/>
              <w:jc w:val="both"/>
              <w:rPr>
                <w:rFonts w:ascii="Times New Roman" w:hAnsi="Times New Roman"/>
                <w:color w:val="000000"/>
              </w:rPr>
            </w:pPr>
            <w:r w:rsidRPr="00996A12">
              <w:rPr>
                <w:rFonts w:ascii="Times New Roman" w:hAnsi="Times New Roman"/>
                <w:color w:val="000000"/>
              </w:rPr>
              <w:t xml:space="preserve">Z uwagi na wprowadzenie ograniczeń w zakresie zawierania umów poza lokalem takich jak zakaz sprzedaży poza lokalem wyrobów medycznych oraz brak możliwości przyjęcia płatności przed upływem terminu do odstąpienia od umowy, może zwiększyć się liczba decyzji stwierdzających naruszenie zbiorowych interesów konsumentów. </w:t>
            </w:r>
          </w:p>
        </w:tc>
      </w:tr>
      <w:tr w:rsidR="00AC6FA6" w:rsidRPr="00996A12" w14:paraId="399CD68B" w14:textId="77777777" w:rsidTr="00196538">
        <w:trPr>
          <w:trHeight w:val="345"/>
        </w:trPr>
        <w:tc>
          <w:tcPr>
            <w:tcW w:w="10803" w:type="dxa"/>
            <w:gridSpan w:val="28"/>
            <w:shd w:val="clear" w:color="auto" w:fill="99CCFF"/>
          </w:tcPr>
          <w:p w14:paraId="1C8F1EC9"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t xml:space="preserve">Wpływ na konkurencyjność gospodarki i przedsiębiorczość, w tym funkcjonowanie przedsiębiorców oraz na rodzinę, obywateli i gospodarstwa domowe </w:t>
            </w:r>
          </w:p>
        </w:tc>
      </w:tr>
      <w:tr w:rsidR="00AC6FA6" w:rsidRPr="00996A12" w14:paraId="242409BF" w14:textId="77777777" w:rsidTr="00196538">
        <w:trPr>
          <w:trHeight w:val="142"/>
        </w:trPr>
        <w:tc>
          <w:tcPr>
            <w:tcW w:w="10803" w:type="dxa"/>
            <w:gridSpan w:val="28"/>
            <w:shd w:val="clear" w:color="auto" w:fill="FFFFFF"/>
          </w:tcPr>
          <w:p w14:paraId="50DF5DF3" w14:textId="77777777" w:rsidR="00AC6FA6" w:rsidRPr="00996A12" w:rsidRDefault="00AC6FA6" w:rsidP="00AC6FA6">
            <w:pPr>
              <w:spacing w:line="240" w:lineRule="auto"/>
              <w:jc w:val="center"/>
              <w:rPr>
                <w:rFonts w:ascii="Times New Roman" w:hAnsi="Times New Roman"/>
                <w:color w:val="000000"/>
                <w:spacing w:val="-2"/>
              </w:rPr>
            </w:pPr>
            <w:r w:rsidRPr="00996A12">
              <w:rPr>
                <w:rFonts w:ascii="Times New Roman" w:hAnsi="Times New Roman"/>
                <w:color w:val="000000"/>
                <w:spacing w:val="-2"/>
              </w:rPr>
              <w:t>Skutki</w:t>
            </w:r>
          </w:p>
        </w:tc>
      </w:tr>
      <w:tr w:rsidR="00AC6FA6" w:rsidRPr="00996A12" w14:paraId="05F5EB23" w14:textId="77777777" w:rsidTr="00196538">
        <w:trPr>
          <w:trHeight w:val="142"/>
        </w:trPr>
        <w:tc>
          <w:tcPr>
            <w:tcW w:w="3857" w:type="dxa"/>
            <w:gridSpan w:val="7"/>
            <w:shd w:val="clear" w:color="auto" w:fill="FFFFFF"/>
          </w:tcPr>
          <w:p w14:paraId="1596AF65"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Czas w latach od wejścia w życie zmian</w:t>
            </w:r>
          </w:p>
        </w:tc>
        <w:tc>
          <w:tcPr>
            <w:tcW w:w="908" w:type="dxa"/>
            <w:gridSpan w:val="2"/>
            <w:shd w:val="clear" w:color="auto" w:fill="FFFFFF"/>
          </w:tcPr>
          <w:p w14:paraId="50D36259"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0</w:t>
            </w:r>
          </w:p>
        </w:tc>
        <w:tc>
          <w:tcPr>
            <w:tcW w:w="938" w:type="dxa"/>
            <w:gridSpan w:val="5"/>
            <w:shd w:val="clear" w:color="auto" w:fill="FFFFFF"/>
          </w:tcPr>
          <w:p w14:paraId="5870D40F"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1</w:t>
            </w:r>
          </w:p>
        </w:tc>
        <w:tc>
          <w:tcPr>
            <w:tcW w:w="938" w:type="dxa"/>
            <w:gridSpan w:val="3"/>
            <w:shd w:val="clear" w:color="auto" w:fill="FFFFFF"/>
          </w:tcPr>
          <w:p w14:paraId="7B843A95"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2</w:t>
            </w:r>
          </w:p>
        </w:tc>
        <w:tc>
          <w:tcPr>
            <w:tcW w:w="937" w:type="dxa"/>
            <w:gridSpan w:val="5"/>
            <w:shd w:val="clear" w:color="auto" w:fill="FFFFFF"/>
          </w:tcPr>
          <w:p w14:paraId="1AC85EFE"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3</w:t>
            </w:r>
          </w:p>
        </w:tc>
        <w:tc>
          <w:tcPr>
            <w:tcW w:w="938" w:type="dxa"/>
            <w:gridSpan w:val="2"/>
            <w:shd w:val="clear" w:color="auto" w:fill="FFFFFF"/>
          </w:tcPr>
          <w:p w14:paraId="13F0E94D"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5</w:t>
            </w:r>
          </w:p>
        </w:tc>
        <w:tc>
          <w:tcPr>
            <w:tcW w:w="1153" w:type="dxa"/>
            <w:gridSpan w:val="3"/>
            <w:shd w:val="clear" w:color="auto" w:fill="FFFFFF"/>
          </w:tcPr>
          <w:p w14:paraId="1C32FD33" w14:textId="77777777" w:rsidR="00AC6FA6" w:rsidRPr="00996A12" w:rsidRDefault="00AC6FA6" w:rsidP="00AC6FA6">
            <w:pPr>
              <w:spacing w:line="240" w:lineRule="auto"/>
              <w:jc w:val="center"/>
              <w:rPr>
                <w:rFonts w:ascii="Times New Roman" w:hAnsi="Times New Roman"/>
                <w:color w:val="000000"/>
              </w:rPr>
            </w:pPr>
            <w:r w:rsidRPr="00996A12">
              <w:rPr>
                <w:rFonts w:ascii="Times New Roman" w:hAnsi="Times New Roman"/>
                <w:color w:val="000000"/>
              </w:rPr>
              <w:t>10</w:t>
            </w:r>
          </w:p>
        </w:tc>
        <w:tc>
          <w:tcPr>
            <w:tcW w:w="1134" w:type="dxa"/>
            <w:shd w:val="clear" w:color="auto" w:fill="FFFFFF"/>
          </w:tcPr>
          <w:p w14:paraId="6B285947" w14:textId="77777777" w:rsidR="00AC6FA6" w:rsidRPr="00996A12" w:rsidRDefault="00AC6FA6" w:rsidP="00AC6FA6">
            <w:pPr>
              <w:spacing w:line="240" w:lineRule="auto"/>
              <w:jc w:val="center"/>
              <w:rPr>
                <w:rFonts w:ascii="Times New Roman" w:hAnsi="Times New Roman"/>
                <w:i/>
                <w:color w:val="000000"/>
                <w:spacing w:val="-2"/>
              </w:rPr>
            </w:pPr>
            <w:r w:rsidRPr="00996A12">
              <w:rPr>
                <w:rFonts w:ascii="Times New Roman" w:hAnsi="Times New Roman"/>
                <w:i/>
                <w:color w:val="000000"/>
                <w:spacing w:val="-2"/>
              </w:rPr>
              <w:t>Łącznie</w:t>
            </w:r>
            <w:r w:rsidRPr="00996A12" w:rsidDel="0073273A">
              <w:rPr>
                <w:rFonts w:ascii="Times New Roman" w:hAnsi="Times New Roman"/>
                <w:i/>
                <w:color w:val="000000"/>
                <w:spacing w:val="-2"/>
              </w:rPr>
              <w:t xml:space="preserve"> </w:t>
            </w:r>
            <w:r w:rsidRPr="00996A12">
              <w:rPr>
                <w:rFonts w:ascii="Times New Roman" w:hAnsi="Times New Roman"/>
                <w:i/>
                <w:color w:val="000000"/>
                <w:spacing w:val="-2"/>
              </w:rPr>
              <w:t>(0-10)</w:t>
            </w:r>
          </w:p>
        </w:tc>
      </w:tr>
      <w:tr w:rsidR="00AC6FA6" w:rsidRPr="00996A12" w14:paraId="5454A0E4" w14:textId="77777777" w:rsidTr="00B946EE">
        <w:trPr>
          <w:trHeight w:val="142"/>
        </w:trPr>
        <w:tc>
          <w:tcPr>
            <w:tcW w:w="1447" w:type="dxa"/>
            <w:vMerge w:val="restart"/>
            <w:shd w:val="clear" w:color="auto" w:fill="FFFFFF"/>
          </w:tcPr>
          <w:p w14:paraId="464A5862" w14:textId="77777777" w:rsidR="00AC6FA6" w:rsidRPr="00996A12" w:rsidRDefault="00AC6FA6" w:rsidP="00AC6FA6">
            <w:pPr>
              <w:rPr>
                <w:rFonts w:ascii="Times New Roman" w:hAnsi="Times New Roman"/>
                <w:color w:val="000000"/>
              </w:rPr>
            </w:pPr>
            <w:r w:rsidRPr="00996A12">
              <w:rPr>
                <w:rFonts w:ascii="Times New Roman" w:hAnsi="Times New Roman"/>
                <w:color w:val="000000"/>
              </w:rPr>
              <w:t>W ujęciu pieniężnym</w:t>
            </w:r>
          </w:p>
          <w:p w14:paraId="2D2D8A0F" w14:textId="77777777" w:rsidR="00AC6FA6" w:rsidRPr="00996A12" w:rsidRDefault="00AC6FA6" w:rsidP="00AC6FA6">
            <w:pPr>
              <w:rPr>
                <w:rFonts w:ascii="Times New Roman" w:hAnsi="Times New Roman"/>
                <w:color w:val="000000"/>
              </w:rPr>
            </w:pPr>
            <w:r w:rsidRPr="00996A12">
              <w:rPr>
                <w:rFonts w:ascii="Times New Roman" w:hAnsi="Times New Roman"/>
                <w:color w:val="000000"/>
              </w:rPr>
              <w:t>(Ceny stałe z 2020 r.)</w:t>
            </w:r>
          </w:p>
          <w:p w14:paraId="47162EDA" w14:textId="77777777" w:rsidR="00AC6FA6" w:rsidRPr="00996A12" w:rsidRDefault="00AC6FA6" w:rsidP="00AC6FA6">
            <w:pPr>
              <w:spacing w:line="240" w:lineRule="auto"/>
              <w:rPr>
                <w:rFonts w:ascii="Times New Roman" w:hAnsi="Times New Roman"/>
                <w:color w:val="000000"/>
              </w:rPr>
            </w:pPr>
          </w:p>
        </w:tc>
        <w:tc>
          <w:tcPr>
            <w:tcW w:w="2410" w:type="dxa"/>
            <w:gridSpan w:val="6"/>
            <w:shd w:val="clear" w:color="auto" w:fill="FFFFFF"/>
          </w:tcPr>
          <w:p w14:paraId="39102D06"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rPr>
              <w:t>przedsiębiorstwa (dostępne informacje nie pozwalają na podział kosztów na sektory dużych oraz  średnich, małych i mikro przedsiębiorstw)</w:t>
            </w:r>
          </w:p>
        </w:tc>
        <w:tc>
          <w:tcPr>
            <w:tcW w:w="908" w:type="dxa"/>
            <w:gridSpan w:val="2"/>
            <w:shd w:val="clear" w:color="auto" w:fill="FFFFFF"/>
          </w:tcPr>
          <w:p w14:paraId="3C9C1220" w14:textId="4D1BF995"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8" w:type="dxa"/>
            <w:gridSpan w:val="5"/>
            <w:shd w:val="clear" w:color="auto" w:fill="FFFFFF"/>
          </w:tcPr>
          <w:p w14:paraId="4A703263" w14:textId="4542A956"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8" w:type="dxa"/>
            <w:gridSpan w:val="3"/>
            <w:shd w:val="clear" w:color="auto" w:fill="FFFFFF"/>
          </w:tcPr>
          <w:p w14:paraId="4D49D4DC" w14:textId="29672AC6"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7" w:type="dxa"/>
            <w:gridSpan w:val="5"/>
            <w:shd w:val="clear" w:color="auto" w:fill="FFFFFF"/>
          </w:tcPr>
          <w:p w14:paraId="2477CE0C" w14:textId="75E0C24C"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8" w:type="dxa"/>
            <w:gridSpan w:val="2"/>
            <w:shd w:val="clear" w:color="auto" w:fill="FFFFFF"/>
          </w:tcPr>
          <w:p w14:paraId="232858D6" w14:textId="4A8ACBAE"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1153" w:type="dxa"/>
            <w:gridSpan w:val="3"/>
            <w:shd w:val="clear" w:color="auto" w:fill="FFFFFF"/>
          </w:tcPr>
          <w:p w14:paraId="5DE4BF3D" w14:textId="49B4A59B"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1134" w:type="dxa"/>
            <w:shd w:val="clear" w:color="auto" w:fill="FFFFFF"/>
          </w:tcPr>
          <w:p w14:paraId="2B897B86" w14:textId="32420B85"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42DBCAAB" w14:textId="77777777" w:rsidTr="00B946EE">
        <w:trPr>
          <w:trHeight w:val="1065"/>
        </w:trPr>
        <w:tc>
          <w:tcPr>
            <w:tcW w:w="1447" w:type="dxa"/>
            <w:vMerge/>
            <w:shd w:val="clear" w:color="auto" w:fill="FFFFFF"/>
          </w:tcPr>
          <w:p w14:paraId="4DAD232B" w14:textId="77777777" w:rsidR="00AC6FA6" w:rsidRPr="00996A12" w:rsidRDefault="00AC6FA6" w:rsidP="00AC6FA6">
            <w:pPr>
              <w:spacing w:line="240" w:lineRule="auto"/>
              <w:rPr>
                <w:rFonts w:ascii="Times New Roman" w:hAnsi="Times New Roman"/>
                <w:color w:val="000000"/>
              </w:rPr>
            </w:pPr>
          </w:p>
        </w:tc>
        <w:tc>
          <w:tcPr>
            <w:tcW w:w="2410" w:type="dxa"/>
            <w:gridSpan w:val="6"/>
            <w:shd w:val="clear" w:color="auto" w:fill="FFFFFF"/>
          </w:tcPr>
          <w:p w14:paraId="062B0862"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rPr>
              <w:t>rodzina, obywatele oraz gospodarstwa domowe</w:t>
            </w:r>
          </w:p>
        </w:tc>
        <w:tc>
          <w:tcPr>
            <w:tcW w:w="908" w:type="dxa"/>
            <w:gridSpan w:val="2"/>
            <w:shd w:val="clear" w:color="auto" w:fill="FFFFFF"/>
          </w:tcPr>
          <w:p w14:paraId="3BED5053" w14:textId="33744F16"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8" w:type="dxa"/>
            <w:gridSpan w:val="5"/>
            <w:shd w:val="clear" w:color="auto" w:fill="FFFFFF"/>
          </w:tcPr>
          <w:p w14:paraId="1A2F46E3" w14:textId="100AD83C"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8" w:type="dxa"/>
            <w:gridSpan w:val="3"/>
            <w:shd w:val="clear" w:color="auto" w:fill="FFFFFF"/>
          </w:tcPr>
          <w:p w14:paraId="22BF37ED" w14:textId="0B163617"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37" w:type="dxa"/>
            <w:gridSpan w:val="5"/>
            <w:shd w:val="clear" w:color="auto" w:fill="FFFFFF"/>
          </w:tcPr>
          <w:p w14:paraId="1CD14130" w14:textId="6E25BDFC"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957" w:type="dxa"/>
            <w:gridSpan w:val="3"/>
            <w:shd w:val="clear" w:color="auto" w:fill="FFFFFF"/>
          </w:tcPr>
          <w:p w14:paraId="22BE89DC" w14:textId="38F65E24"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1134" w:type="dxa"/>
            <w:gridSpan w:val="2"/>
            <w:shd w:val="clear" w:color="auto" w:fill="FFFFFF"/>
          </w:tcPr>
          <w:p w14:paraId="02BB71FA" w14:textId="5E864CA4"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c>
          <w:tcPr>
            <w:tcW w:w="1134" w:type="dxa"/>
            <w:shd w:val="clear" w:color="auto" w:fill="FFFFFF"/>
          </w:tcPr>
          <w:p w14:paraId="6C102802" w14:textId="0425A695" w:rsidR="00AC6FA6" w:rsidRPr="00996A12" w:rsidRDefault="00FF0D6A" w:rsidP="00AC6FA6">
            <w:pPr>
              <w:spacing w:line="240" w:lineRule="auto"/>
              <w:rPr>
                <w:rFonts w:ascii="Times New Roman" w:hAnsi="Times New Roman"/>
                <w:color w:val="000000"/>
              </w:rPr>
            </w:pPr>
            <w:r w:rsidRPr="00996A12">
              <w:rPr>
                <w:rFonts w:ascii="Times New Roman" w:hAnsi="Times New Roman"/>
                <w:color w:val="000000"/>
              </w:rPr>
              <w:t>0</w:t>
            </w:r>
          </w:p>
        </w:tc>
      </w:tr>
      <w:tr w:rsidR="00AC6FA6" w:rsidRPr="00996A12" w14:paraId="08B69A6B" w14:textId="77777777" w:rsidTr="00196538">
        <w:trPr>
          <w:trHeight w:val="142"/>
        </w:trPr>
        <w:tc>
          <w:tcPr>
            <w:tcW w:w="1447" w:type="dxa"/>
            <w:vMerge w:val="restart"/>
            <w:shd w:val="clear" w:color="auto" w:fill="FFFFFF"/>
          </w:tcPr>
          <w:p w14:paraId="04FAC8EF"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Niepoliczalne</w:t>
            </w:r>
          </w:p>
        </w:tc>
        <w:tc>
          <w:tcPr>
            <w:tcW w:w="2410" w:type="dxa"/>
            <w:gridSpan w:val="6"/>
            <w:shd w:val="clear" w:color="auto" w:fill="FFFFFF"/>
          </w:tcPr>
          <w:p w14:paraId="23FB1EE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rPr>
              <w:t>przedsiębiorstwa (dostępne informacje nie pozwalają na podział kosztów na sektory dużych oraz  średnich, małych i mikro przedsiębiorstw)</w:t>
            </w:r>
          </w:p>
        </w:tc>
        <w:tc>
          <w:tcPr>
            <w:tcW w:w="6946" w:type="dxa"/>
            <w:gridSpan w:val="21"/>
            <w:shd w:val="clear" w:color="auto" w:fill="FFFFFF"/>
          </w:tcPr>
          <w:p w14:paraId="54E59D54" w14:textId="7E4EE335" w:rsidR="00AC6FA6" w:rsidRPr="00996A12" w:rsidRDefault="00AC6FA6" w:rsidP="00AC6FA6">
            <w:pPr>
              <w:spacing w:line="240" w:lineRule="auto"/>
              <w:jc w:val="both"/>
              <w:rPr>
                <w:rFonts w:ascii="Times New Roman" w:hAnsi="Times New Roman"/>
                <w:color w:val="000000"/>
                <w:spacing w:val="-2"/>
              </w:rPr>
            </w:pPr>
          </w:p>
          <w:p w14:paraId="07D16FB1" w14:textId="50EDC5F2" w:rsidR="00AC6FA6" w:rsidRPr="00996A12" w:rsidRDefault="00282395" w:rsidP="00AC6FA6">
            <w:pPr>
              <w:spacing w:line="240" w:lineRule="auto"/>
              <w:jc w:val="both"/>
              <w:rPr>
                <w:rFonts w:ascii="Times New Roman" w:hAnsi="Times New Roman"/>
                <w:color w:val="000000"/>
                <w:spacing w:val="-2"/>
              </w:rPr>
            </w:pPr>
            <w:r w:rsidRPr="00996A12">
              <w:rPr>
                <w:rFonts w:ascii="Times New Roman" w:hAnsi="Times New Roman"/>
                <w:spacing w:val="-2"/>
              </w:rPr>
              <w:t>I</w:t>
            </w:r>
            <w:r w:rsidR="00AC6FA6" w:rsidRPr="00996A12">
              <w:rPr>
                <w:rFonts w:ascii="Times New Roman" w:hAnsi="Times New Roman"/>
                <w:spacing w:val="-2"/>
              </w:rPr>
              <w:t>mplementacja dyrektywy</w:t>
            </w:r>
            <w:r w:rsidR="00AC6FA6" w:rsidRPr="00996A12">
              <w:rPr>
                <w:rFonts w:ascii="Times New Roman" w:hAnsi="Times New Roman"/>
                <w:b/>
                <w:spacing w:val="-2"/>
              </w:rPr>
              <w:t xml:space="preserve"> </w:t>
            </w:r>
            <w:r w:rsidR="00AC6FA6" w:rsidRPr="00996A12">
              <w:rPr>
                <w:rFonts w:ascii="Times New Roman" w:hAnsi="Times New Roman"/>
                <w:spacing w:val="-2"/>
              </w:rPr>
              <w:t>2019/2161 Omnibus spowoduje nałożenie na przedsiębiorców obowiązków informacyjnych, a także w niektórych przypadkach zmniejszenie tych obowiązków. Szersze omówienie obowiązków informacyjnych znajduje się w p. 8 niniejszego dokumentu.</w:t>
            </w:r>
          </w:p>
        </w:tc>
      </w:tr>
      <w:tr w:rsidR="00AC6FA6" w:rsidRPr="00996A12" w14:paraId="102C13CB" w14:textId="77777777" w:rsidTr="004B65FE">
        <w:trPr>
          <w:trHeight w:val="516"/>
        </w:trPr>
        <w:tc>
          <w:tcPr>
            <w:tcW w:w="1447" w:type="dxa"/>
            <w:vMerge/>
            <w:shd w:val="clear" w:color="auto" w:fill="FFFFFF"/>
          </w:tcPr>
          <w:p w14:paraId="604EA86D" w14:textId="77777777" w:rsidR="00AC6FA6" w:rsidRPr="00996A12" w:rsidRDefault="00AC6FA6" w:rsidP="00AC6FA6">
            <w:pPr>
              <w:spacing w:line="240" w:lineRule="auto"/>
              <w:rPr>
                <w:rFonts w:ascii="Times New Roman" w:hAnsi="Times New Roman"/>
                <w:color w:val="000000"/>
              </w:rPr>
            </w:pPr>
          </w:p>
        </w:tc>
        <w:tc>
          <w:tcPr>
            <w:tcW w:w="2410" w:type="dxa"/>
            <w:gridSpan w:val="6"/>
            <w:shd w:val="clear" w:color="auto" w:fill="FFFFFF"/>
          </w:tcPr>
          <w:p w14:paraId="44A0483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rPr>
              <w:t>rodzina, obywatele oraz gospodarstwa domowe</w:t>
            </w:r>
          </w:p>
        </w:tc>
        <w:tc>
          <w:tcPr>
            <w:tcW w:w="6946" w:type="dxa"/>
            <w:gridSpan w:val="21"/>
            <w:shd w:val="clear" w:color="auto" w:fill="FFFFFF"/>
          </w:tcPr>
          <w:p w14:paraId="53FF7864" w14:textId="4D6363F2" w:rsidR="00AC6FA6" w:rsidRPr="00996A12" w:rsidRDefault="00282395" w:rsidP="00AC6FA6">
            <w:pPr>
              <w:spacing w:line="240" w:lineRule="auto"/>
              <w:rPr>
                <w:rFonts w:ascii="Times New Roman" w:hAnsi="Times New Roman"/>
                <w:color w:val="000000"/>
                <w:spacing w:val="-2"/>
              </w:rPr>
            </w:pPr>
            <w:r w:rsidRPr="00996A12">
              <w:rPr>
                <w:rFonts w:ascii="Times New Roman" w:hAnsi="Times New Roman"/>
                <w:color w:val="000000"/>
                <w:spacing w:val="-2"/>
              </w:rPr>
              <w:t xml:space="preserve">Trudno jest bezpośrednio </w:t>
            </w:r>
            <w:r w:rsidR="00AC6FA6" w:rsidRPr="00996A12">
              <w:rPr>
                <w:rFonts w:ascii="Times New Roman" w:hAnsi="Times New Roman"/>
                <w:color w:val="000000"/>
                <w:spacing w:val="-2"/>
              </w:rPr>
              <w:t>oszacować korzyści wynikając</w:t>
            </w:r>
            <w:r w:rsidRPr="00996A12">
              <w:rPr>
                <w:rFonts w:ascii="Times New Roman" w:hAnsi="Times New Roman"/>
                <w:color w:val="000000"/>
                <w:spacing w:val="-2"/>
              </w:rPr>
              <w:t>e</w:t>
            </w:r>
            <w:r w:rsidR="00AC6FA6" w:rsidRPr="00996A12">
              <w:rPr>
                <w:rFonts w:ascii="Times New Roman" w:hAnsi="Times New Roman"/>
                <w:color w:val="000000"/>
                <w:spacing w:val="-2"/>
              </w:rPr>
              <w:t xml:space="preserve"> z przyjęcia projektowanych rozwiązań dla gospodarstw domowych z powodu uniknięcia zakupu niechcianych produktów na  pokazach </w:t>
            </w:r>
            <w:r w:rsidRPr="00996A12">
              <w:rPr>
                <w:rFonts w:ascii="Times New Roman" w:hAnsi="Times New Roman"/>
                <w:color w:val="000000"/>
                <w:spacing w:val="-2"/>
              </w:rPr>
              <w:t>czy zorganizowanych wyjazdach.</w:t>
            </w:r>
            <w:r w:rsidR="00AC6FA6" w:rsidRPr="00996A12">
              <w:rPr>
                <w:rFonts w:ascii="Times New Roman" w:hAnsi="Times New Roman"/>
                <w:color w:val="000000"/>
                <w:spacing w:val="-2"/>
              </w:rPr>
              <w:t xml:space="preserve"> </w:t>
            </w:r>
          </w:p>
          <w:p w14:paraId="2CB3FE35" w14:textId="2C194EAD" w:rsidR="00AC6FA6" w:rsidRPr="00996A12" w:rsidRDefault="00AC6FA6" w:rsidP="00AC6FA6">
            <w:pPr>
              <w:spacing w:line="240" w:lineRule="auto"/>
              <w:rPr>
                <w:rFonts w:ascii="Times New Roman" w:hAnsi="Times New Roman"/>
                <w:color w:val="000000"/>
                <w:spacing w:val="-2"/>
              </w:rPr>
            </w:pPr>
          </w:p>
        </w:tc>
      </w:tr>
      <w:tr w:rsidR="00AC6FA6" w:rsidRPr="00996A12" w14:paraId="5E67394C" w14:textId="77777777" w:rsidTr="004B65FE">
        <w:trPr>
          <w:trHeight w:val="294"/>
        </w:trPr>
        <w:tc>
          <w:tcPr>
            <w:tcW w:w="1447" w:type="dxa"/>
            <w:vMerge w:val="restart"/>
            <w:tcBorders>
              <w:bottom w:val="single" w:sz="4" w:space="0" w:color="auto"/>
            </w:tcBorders>
            <w:shd w:val="clear" w:color="auto" w:fill="FFFFFF"/>
          </w:tcPr>
          <w:p w14:paraId="060012BD"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Niemierzalne</w:t>
            </w:r>
          </w:p>
        </w:tc>
        <w:tc>
          <w:tcPr>
            <w:tcW w:w="2410" w:type="dxa"/>
            <w:gridSpan w:val="6"/>
            <w:tcBorders>
              <w:bottom w:val="single" w:sz="4" w:space="0" w:color="auto"/>
            </w:tcBorders>
            <w:shd w:val="clear" w:color="auto" w:fill="FFFFFF"/>
          </w:tcPr>
          <w:p w14:paraId="4BDB94C8" w14:textId="77777777" w:rsidR="00AC6FA6" w:rsidRPr="00996A12" w:rsidDel="00ED70FA" w:rsidRDefault="00AC6FA6" w:rsidP="00AC6FA6">
            <w:pPr>
              <w:spacing w:line="240" w:lineRule="auto"/>
              <w:rPr>
                <w:rFonts w:ascii="Times New Roman" w:hAnsi="Times New Roman"/>
                <w:color w:val="000000"/>
              </w:rPr>
            </w:pPr>
            <w:r w:rsidRPr="00996A12">
              <w:rPr>
                <w:rFonts w:ascii="Times New Roman" w:hAnsi="Times New Roman"/>
              </w:rPr>
              <w:t>przedsiębiorstwa (dostępne informacje nie pozwalają na podział kosztów na sektory dużych oraz  średnich, małych i mikro przedsiębiorstw)</w:t>
            </w:r>
          </w:p>
        </w:tc>
        <w:tc>
          <w:tcPr>
            <w:tcW w:w="6946" w:type="dxa"/>
            <w:gridSpan w:val="21"/>
            <w:tcBorders>
              <w:bottom w:val="single" w:sz="4" w:space="0" w:color="auto"/>
            </w:tcBorders>
            <w:shd w:val="clear" w:color="auto" w:fill="FFFFFF"/>
          </w:tcPr>
          <w:p w14:paraId="41E7985E"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Przedsiębiorstwa działające legalnie i w sposób nie budzący wątpliwości na rynku sprzedaży poza lokalem skorzystają na przyjęciu projektowanych rozwiązań, które powinny poprawić wizerunek całej branży i zwiększyć zaufanie do działających w niej przedsiębiorców. Skutkiem wzrostu zaufania może być zwiększenie przychodów całej branży. </w:t>
            </w:r>
          </w:p>
          <w:p w14:paraId="6CCD3493" w14:textId="77777777" w:rsidR="00AC6FA6" w:rsidRPr="00996A12" w:rsidRDefault="00AC6FA6" w:rsidP="00AC6FA6">
            <w:pPr>
              <w:spacing w:line="240" w:lineRule="auto"/>
              <w:jc w:val="both"/>
              <w:rPr>
                <w:rFonts w:ascii="Times New Roman" w:hAnsi="Times New Roman"/>
                <w:color w:val="000000"/>
                <w:spacing w:val="-2"/>
              </w:rPr>
            </w:pPr>
          </w:p>
          <w:p w14:paraId="1766D0DC" w14:textId="37AE3949"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Podobnie wprowadzenie nowych obowiązków informacyjnych dla przedsiębiorstw oferujących </w:t>
            </w:r>
            <w:r w:rsidR="0058117C" w:rsidRPr="00996A12">
              <w:rPr>
                <w:rFonts w:ascii="Times New Roman" w:hAnsi="Times New Roman"/>
                <w:color w:val="000000"/>
                <w:spacing w:val="-2"/>
              </w:rPr>
              <w:t xml:space="preserve">sprzedaż on-line, w tym internetowych platform handlowych </w:t>
            </w:r>
            <w:r w:rsidRPr="00996A12">
              <w:rPr>
                <w:rFonts w:ascii="Times New Roman" w:hAnsi="Times New Roman"/>
                <w:color w:val="000000"/>
                <w:spacing w:val="-2"/>
              </w:rPr>
              <w:t xml:space="preserve"> wpłynie pozytywnie na ich wizerunek i spowoduje wzrost zaufania klientów do ich działalności, co może zaowocować wzrostem popytu na oferowane towary</w:t>
            </w:r>
            <w:r w:rsidR="0058117C" w:rsidRPr="00996A12">
              <w:rPr>
                <w:rFonts w:ascii="Times New Roman" w:hAnsi="Times New Roman"/>
                <w:color w:val="000000"/>
                <w:spacing w:val="-2"/>
              </w:rPr>
              <w:t xml:space="preserve"> czy usługi</w:t>
            </w:r>
          </w:p>
        </w:tc>
      </w:tr>
      <w:tr w:rsidR="00AC6FA6" w:rsidRPr="00996A12" w14:paraId="6CB1890D" w14:textId="77777777" w:rsidTr="00196538">
        <w:trPr>
          <w:trHeight w:val="142"/>
        </w:trPr>
        <w:tc>
          <w:tcPr>
            <w:tcW w:w="1447" w:type="dxa"/>
            <w:vMerge/>
            <w:shd w:val="clear" w:color="auto" w:fill="FFFFFF"/>
          </w:tcPr>
          <w:p w14:paraId="390E0D59" w14:textId="77777777" w:rsidR="00AC6FA6" w:rsidRPr="00996A12" w:rsidRDefault="00AC6FA6" w:rsidP="00AC6FA6">
            <w:pPr>
              <w:spacing w:line="240" w:lineRule="auto"/>
              <w:rPr>
                <w:rFonts w:ascii="Times New Roman" w:hAnsi="Times New Roman"/>
                <w:color w:val="000000"/>
              </w:rPr>
            </w:pPr>
          </w:p>
        </w:tc>
        <w:tc>
          <w:tcPr>
            <w:tcW w:w="2410" w:type="dxa"/>
            <w:gridSpan w:val="6"/>
            <w:shd w:val="clear" w:color="auto" w:fill="FFFFFF"/>
          </w:tcPr>
          <w:p w14:paraId="6B22E905" w14:textId="6762F1E1" w:rsidR="00AC6FA6" w:rsidRPr="00996A12" w:rsidDel="00ED70FA" w:rsidRDefault="00AC6FA6" w:rsidP="00AC6FA6">
            <w:pPr>
              <w:spacing w:line="240" w:lineRule="auto"/>
              <w:rPr>
                <w:rFonts w:ascii="Times New Roman" w:hAnsi="Times New Roman"/>
                <w:color w:val="000000"/>
              </w:rPr>
            </w:pPr>
            <w:r w:rsidRPr="00996A12">
              <w:rPr>
                <w:rFonts w:ascii="Times New Roman" w:hAnsi="Times New Roman"/>
              </w:rPr>
              <w:t>rodzina, obywatele oraz gospodarstwa domowe</w:t>
            </w:r>
            <w:r w:rsidR="003E4640" w:rsidRPr="00996A12">
              <w:rPr>
                <w:rFonts w:ascii="Times New Roman" w:hAnsi="Times New Roman"/>
              </w:rPr>
              <w:t>, osoby niepełnosprawne oraz osoby starsze</w:t>
            </w:r>
          </w:p>
        </w:tc>
        <w:tc>
          <w:tcPr>
            <w:tcW w:w="6946" w:type="dxa"/>
            <w:gridSpan w:val="21"/>
            <w:shd w:val="clear" w:color="auto" w:fill="FFFFFF"/>
          </w:tcPr>
          <w:p w14:paraId="35524EEA" w14:textId="58B4F7A6"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Obowiązki informacyjne nałożone na przedsiębiorców prowadzących </w:t>
            </w:r>
            <w:r w:rsidR="00EF3E9C" w:rsidRPr="00996A12">
              <w:rPr>
                <w:rFonts w:ascii="Times New Roman" w:hAnsi="Times New Roman"/>
                <w:color w:val="000000"/>
                <w:spacing w:val="-2"/>
              </w:rPr>
              <w:t xml:space="preserve">– sprzedaż przez </w:t>
            </w:r>
            <w:r w:rsidR="004A10E2" w:rsidRPr="00996A12">
              <w:rPr>
                <w:rFonts w:ascii="Times New Roman" w:hAnsi="Times New Roman"/>
                <w:color w:val="000000"/>
                <w:spacing w:val="-2"/>
              </w:rPr>
              <w:t>Internet</w:t>
            </w:r>
            <w:r w:rsidR="00EF3E9C" w:rsidRPr="00996A12">
              <w:rPr>
                <w:rFonts w:ascii="Times New Roman" w:hAnsi="Times New Roman"/>
                <w:color w:val="000000"/>
                <w:spacing w:val="-2"/>
              </w:rPr>
              <w:t xml:space="preserve"> </w:t>
            </w:r>
            <w:r w:rsidRPr="00996A12">
              <w:rPr>
                <w:rFonts w:ascii="Times New Roman" w:hAnsi="Times New Roman"/>
                <w:color w:val="000000"/>
                <w:spacing w:val="-2"/>
              </w:rPr>
              <w:t>spowodują, że obywatele będą mogli podejmować decyzje dotyczące zakupów w bardziej świadomy sposób.</w:t>
            </w:r>
          </w:p>
          <w:p w14:paraId="6EB0E898" w14:textId="77777777" w:rsidR="00AC6FA6" w:rsidRPr="00996A12" w:rsidRDefault="00290A50" w:rsidP="00290A50">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Ograniczenie </w:t>
            </w:r>
            <w:r w:rsidR="00AC6FA6" w:rsidRPr="00996A12">
              <w:rPr>
                <w:rFonts w:ascii="Times New Roman" w:hAnsi="Times New Roman"/>
                <w:color w:val="000000"/>
                <w:spacing w:val="-2"/>
              </w:rPr>
              <w:t xml:space="preserve">problemu </w:t>
            </w:r>
            <w:r w:rsidRPr="00996A12">
              <w:rPr>
                <w:rFonts w:ascii="Times New Roman" w:hAnsi="Times New Roman"/>
                <w:color w:val="000000"/>
                <w:spacing w:val="-2"/>
              </w:rPr>
              <w:t>dotyczącego umów zawieranych poza lokalem, w szczególności na pokazach</w:t>
            </w:r>
            <w:r w:rsidR="00E74391" w:rsidRPr="00996A12">
              <w:rPr>
                <w:rFonts w:ascii="Times New Roman" w:hAnsi="Times New Roman"/>
                <w:color w:val="000000"/>
                <w:spacing w:val="-2"/>
              </w:rPr>
              <w:t xml:space="preserve"> </w:t>
            </w:r>
            <w:r w:rsidR="00AC6FA6" w:rsidRPr="00996A12">
              <w:rPr>
                <w:rFonts w:ascii="Times New Roman" w:hAnsi="Times New Roman"/>
                <w:color w:val="000000"/>
                <w:spacing w:val="-2"/>
              </w:rPr>
              <w:t>spowoduje wzrost zaufania obywateli do działania organów państwowych.</w:t>
            </w:r>
          </w:p>
          <w:p w14:paraId="3695542A" w14:textId="0EDAEFD5" w:rsidR="003E4640" w:rsidRPr="00996A12" w:rsidRDefault="003E4640" w:rsidP="00290A50">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Projekt </w:t>
            </w:r>
            <w:r w:rsidR="00A7501E" w:rsidRPr="00996A12">
              <w:rPr>
                <w:rFonts w:ascii="Times New Roman" w:hAnsi="Times New Roman"/>
                <w:color w:val="000000"/>
                <w:spacing w:val="-2"/>
              </w:rPr>
              <w:t>wpływa na</w:t>
            </w:r>
            <w:r w:rsidRPr="00996A12">
              <w:rPr>
                <w:rFonts w:ascii="Times New Roman" w:hAnsi="Times New Roman"/>
                <w:color w:val="000000"/>
                <w:spacing w:val="-2"/>
              </w:rPr>
              <w:t xml:space="preserve"> sytuację </w:t>
            </w:r>
            <w:r w:rsidR="00C17B3A">
              <w:rPr>
                <w:rFonts w:ascii="Times New Roman" w:hAnsi="Times New Roman"/>
                <w:color w:val="000000"/>
                <w:spacing w:val="-2"/>
              </w:rPr>
              <w:t xml:space="preserve">osób </w:t>
            </w:r>
            <w:r w:rsidRPr="00996A12">
              <w:rPr>
                <w:rFonts w:ascii="Times New Roman" w:hAnsi="Times New Roman"/>
                <w:color w:val="000000"/>
                <w:spacing w:val="-2"/>
              </w:rPr>
              <w:t xml:space="preserve">starszych zwiększając ich ochronę przed wykorzystaniem przez sprzedawców stosujących wątpliwe praktyki rynkowe (z informacji posiadanych przez UOKiK wynika, że kwestionowane działania dotyczą przede wszystkim osób starszych o ograniczonych możliwościach poznawczych). </w:t>
            </w:r>
          </w:p>
          <w:p w14:paraId="31AA48A4" w14:textId="3A8423F8" w:rsidR="00EB4CEB" w:rsidRPr="00996A12" w:rsidRDefault="00EB4CEB" w:rsidP="00290A50">
            <w:pPr>
              <w:spacing w:line="240" w:lineRule="auto"/>
              <w:jc w:val="both"/>
              <w:rPr>
                <w:rFonts w:ascii="Times New Roman" w:hAnsi="Times New Roman"/>
                <w:color w:val="000000"/>
                <w:spacing w:val="-2"/>
              </w:rPr>
            </w:pPr>
            <w:r w:rsidRPr="00996A12">
              <w:rPr>
                <w:rFonts w:ascii="Times New Roman" w:hAnsi="Times New Roman"/>
                <w:color w:val="000000"/>
                <w:spacing w:val="-2"/>
              </w:rPr>
              <w:t xml:space="preserve">Projekt nie </w:t>
            </w:r>
            <w:r w:rsidR="00A7501E" w:rsidRPr="00996A12">
              <w:rPr>
                <w:rFonts w:ascii="Times New Roman" w:hAnsi="Times New Roman"/>
                <w:color w:val="000000"/>
                <w:spacing w:val="-2"/>
              </w:rPr>
              <w:t>wpływa</w:t>
            </w:r>
            <w:r w:rsidRPr="00996A12">
              <w:rPr>
                <w:rFonts w:ascii="Times New Roman" w:hAnsi="Times New Roman"/>
                <w:color w:val="000000"/>
                <w:spacing w:val="-2"/>
              </w:rPr>
              <w:t xml:space="preserve"> na sytuację osób niepełnosprawnych.</w:t>
            </w:r>
          </w:p>
        </w:tc>
      </w:tr>
      <w:tr w:rsidR="00AC6FA6" w:rsidRPr="00996A12" w14:paraId="2CB5DDC8" w14:textId="77777777" w:rsidTr="00E760EB">
        <w:trPr>
          <w:trHeight w:val="852"/>
        </w:trPr>
        <w:tc>
          <w:tcPr>
            <w:tcW w:w="2349" w:type="dxa"/>
            <w:gridSpan w:val="3"/>
            <w:shd w:val="clear" w:color="auto" w:fill="FFFFFF"/>
          </w:tcPr>
          <w:p w14:paraId="71E3B0E1"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 xml:space="preserve">Dodatkowe informacje, w tym wskazanie źródeł danych i przyjętych do obliczeń założeń </w:t>
            </w:r>
          </w:p>
        </w:tc>
        <w:tc>
          <w:tcPr>
            <w:tcW w:w="8454" w:type="dxa"/>
            <w:gridSpan w:val="25"/>
            <w:shd w:val="clear" w:color="auto" w:fill="FFFFFF"/>
            <w:vAlign w:val="center"/>
          </w:tcPr>
          <w:p w14:paraId="47059D00" w14:textId="22D7FC57" w:rsidR="00AC6FA6" w:rsidRPr="00996A12" w:rsidRDefault="00AC6FA6" w:rsidP="00AC6FA6">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 xml:space="preserve">Głównym skutkiem finansowym dla przedsiębiorców będzie w przypadku sprzedaży poza lokalem opóźnienie w płatności za oferowany produkt do momentu upłynięcia terminu na odstąpienie </w:t>
            </w:r>
            <w:r w:rsidR="00253955">
              <w:rPr>
                <w:rFonts w:ascii="Times New Roman" w:hAnsi="Times New Roman"/>
                <w:color w:val="000000"/>
              </w:rPr>
              <w:t>od</w:t>
            </w:r>
            <w:r w:rsidRPr="00996A12">
              <w:rPr>
                <w:rFonts w:ascii="Times New Roman" w:hAnsi="Times New Roman"/>
                <w:color w:val="000000"/>
              </w:rPr>
              <w:t xml:space="preserve"> umowy</w:t>
            </w:r>
            <w:r w:rsidR="00FF0D6A" w:rsidRPr="00996A12">
              <w:rPr>
                <w:rFonts w:ascii="Times New Roman" w:hAnsi="Times New Roman"/>
                <w:color w:val="000000"/>
              </w:rPr>
              <w:t xml:space="preserve">, oszacowany na </w:t>
            </w:r>
            <w:r w:rsidR="002B7D99" w:rsidRPr="00996A12">
              <w:rPr>
                <w:rFonts w:ascii="Times New Roman" w:hAnsi="Times New Roman"/>
                <w:color w:val="000000"/>
              </w:rPr>
              <w:t>1,2-1,5</w:t>
            </w:r>
            <w:r w:rsidR="00FF0D6A" w:rsidRPr="00996A12">
              <w:rPr>
                <w:rFonts w:ascii="Times New Roman" w:hAnsi="Times New Roman"/>
                <w:color w:val="000000"/>
              </w:rPr>
              <w:t xml:space="preserve"> mln zł. rocznie (</w:t>
            </w:r>
            <w:r w:rsidR="002B7D99" w:rsidRPr="00996A12">
              <w:rPr>
                <w:rFonts w:ascii="Times New Roman" w:hAnsi="Times New Roman"/>
                <w:color w:val="000000"/>
              </w:rPr>
              <w:t>15,5</w:t>
            </w:r>
            <w:r w:rsidR="00FF0D6A" w:rsidRPr="00996A12">
              <w:rPr>
                <w:rFonts w:ascii="Times New Roman" w:hAnsi="Times New Roman"/>
                <w:color w:val="000000"/>
              </w:rPr>
              <w:t xml:space="preserve"> mln zł w ciągu 11 lat)</w:t>
            </w:r>
            <w:r w:rsidRPr="00996A12">
              <w:rPr>
                <w:rFonts w:ascii="Times New Roman" w:hAnsi="Times New Roman"/>
                <w:color w:val="000000"/>
              </w:rPr>
              <w:t xml:space="preserve">. W przedstawionych wyliczeniach założono, że </w:t>
            </w:r>
            <w:r w:rsidR="00A4732C" w:rsidRPr="00996A12">
              <w:rPr>
                <w:rFonts w:ascii="Times New Roman" w:hAnsi="Times New Roman"/>
                <w:color w:val="000000"/>
              </w:rPr>
              <w:t xml:space="preserve">przesunięcie płatności </w:t>
            </w:r>
            <w:r w:rsidRPr="00996A12">
              <w:rPr>
                <w:rFonts w:ascii="Times New Roman" w:hAnsi="Times New Roman"/>
                <w:color w:val="000000"/>
              </w:rPr>
              <w:t xml:space="preserve">wynosi 14 </w:t>
            </w:r>
            <w:r w:rsidR="00290A50" w:rsidRPr="00996A12">
              <w:rPr>
                <w:rFonts w:ascii="Times New Roman" w:hAnsi="Times New Roman"/>
                <w:color w:val="000000"/>
              </w:rPr>
              <w:t>dni</w:t>
            </w:r>
            <w:r w:rsidRPr="00996A12">
              <w:rPr>
                <w:rFonts w:ascii="Times New Roman" w:hAnsi="Times New Roman"/>
                <w:color w:val="000000"/>
              </w:rPr>
              <w:t xml:space="preserve">. </w:t>
            </w:r>
            <w:r w:rsidR="00402318" w:rsidRPr="00996A12">
              <w:rPr>
                <w:rFonts w:ascii="Times New Roman" w:hAnsi="Times New Roman"/>
                <w:color w:val="000000"/>
              </w:rPr>
              <w:t>Prezentowana wartość jest wartością maksymalną, ponieważ część sprzedaży bezpośredniej polegająca na zaproszeniu przez klienta sprzedawcy do domu na pokaz będzie wyłączona ze stosowania proponowanych przepisów.</w:t>
            </w:r>
          </w:p>
          <w:p w14:paraId="3D64ED2E" w14:textId="21B07276" w:rsidR="00A4732C" w:rsidRPr="00996A12" w:rsidRDefault="0058117C" w:rsidP="00AC6FA6">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Jako skutek finansowy (koszt kapitału) założono wysokość odsetek kapitałowych (3,6% w stosunku rocznym), w odniesieniu do wartości rynku sprzedaży poza lokalem (3,4 mld zł. rocznie) oszacowano na podstawie danych PSSB</w:t>
            </w:r>
            <w:r w:rsidR="002B7D99" w:rsidRPr="00996A12">
              <w:rPr>
                <w:rFonts w:ascii="Times New Roman" w:hAnsi="Times New Roman"/>
                <w:color w:val="000000"/>
              </w:rPr>
              <w:t>, uwzględniając, że 75% transakcji jest zawieranych on-line, a zatem nie będą objęte projektowaną regulacją</w:t>
            </w:r>
            <w:r w:rsidRPr="00996A12">
              <w:rPr>
                <w:rFonts w:ascii="Times New Roman" w:hAnsi="Times New Roman"/>
                <w:color w:val="000000"/>
              </w:rPr>
              <w:t>. </w:t>
            </w:r>
            <w:r w:rsidR="00C83B58" w:rsidRPr="00996A12">
              <w:rPr>
                <w:rFonts w:ascii="Times New Roman" w:hAnsi="Times New Roman"/>
                <w:color w:val="000000"/>
              </w:rPr>
              <w:t>W związku z tym niektórzy przedsiębiorcy, w szczególności niewielkie podmioty będą musiały uzyskać zewnętrzne finansowanie celem zabezpieczenia płatności dokonywanej poprzez konsumentów. Może to spowodować wzrost cen oferowanych towarów, jednak wysokość wzrostu nie jest możliwa do oszacowania ze względu na różnorodną ofertę przedsiębiorców (produkty o różnej elastyczności cenowej popytu).</w:t>
            </w:r>
          </w:p>
          <w:p w14:paraId="11DD877D" w14:textId="5B980852" w:rsidR="00C83B58" w:rsidRPr="00996A12" w:rsidRDefault="00C83B58" w:rsidP="00AC6FA6">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 xml:space="preserve">Dodatkowo proponowane rozwiązanie może wpłynąć na wynagrodzenia pracowników zatrudnionych przez ww. podmioty. Ponieważ w wielu przypadkach </w:t>
            </w:r>
            <w:r w:rsidR="0007664A" w:rsidRPr="00996A12">
              <w:rPr>
                <w:rFonts w:ascii="Times New Roman" w:hAnsi="Times New Roman"/>
                <w:color w:val="000000"/>
              </w:rPr>
              <w:t xml:space="preserve">wynagrodzenie oparte jest o system premii/prowizji, opóźnienie płatności może oznaczać przesunięcie wypłacania premii na następny miesiąc. Wielkość tego przesunięcia nie jest możliwa do oszacowania ze względu na różnorodność form zatrudnienia stosowanych w tym przypadku, a w szczególności na podmioty działające w formie jednoosobowej działalności gospodarczej. </w:t>
            </w:r>
          </w:p>
          <w:p w14:paraId="63EBD1EE" w14:textId="22D12184" w:rsidR="00AC6FA6" w:rsidRPr="00996A12" w:rsidRDefault="00AC6FA6" w:rsidP="00AC6FA6">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Korzyści dla gospodarstw domowych oznaczają oszczędności wynikające z niezakupienia niechcianych dóbr i usług</w:t>
            </w:r>
            <w:r w:rsidR="00290A50" w:rsidRPr="00996A12">
              <w:rPr>
                <w:rFonts w:ascii="Times New Roman" w:hAnsi="Times New Roman"/>
                <w:color w:val="000000"/>
              </w:rPr>
              <w:t xml:space="preserve"> oferowanych w ramach sprzedaży poza lokalem, w szczególności na pokazach</w:t>
            </w:r>
            <w:r w:rsidR="00FF0D6A" w:rsidRPr="00996A12">
              <w:rPr>
                <w:rFonts w:ascii="Times New Roman" w:hAnsi="Times New Roman"/>
                <w:color w:val="000000"/>
              </w:rPr>
              <w:t xml:space="preserve"> (ok. </w:t>
            </w:r>
            <w:r w:rsidR="00533F78" w:rsidRPr="00996A12">
              <w:rPr>
                <w:rFonts w:ascii="Times New Roman" w:hAnsi="Times New Roman"/>
                <w:color w:val="000000"/>
              </w:rPr>
              <w:t>17-18</w:t>
            </w:r>
            <w:r w:rsidR="002A32E5" w:rsidRPr="00996A12">
              <w:rPr>
                <w:rFonts w:ascii="Times New Roman" w:hAnsi="Times New Roman"/>
                <w:color w:val="000000"/>
              </w:rPr>
              <w:t xml:space="preserve"> </w:t>
            </w:r>
            <w:r w:rsidR="00FF0D6A" w:rsidRPr="00996A12">
              <w:rPr>
                <w:rFonts w:ascii="Times New Roman" w:hAnsi="Times New Roman"/>
                <w:color w:val="000000"/>
              </w:rPr>
              <w:t xml:space="preserve">mln zł rocznie, </w:t>
            </w:r>
            <w:r w:rsidR="00533F78" w:rsidRPr="00996A12">
              <w:rPr>
                <w:rFonts w:ascii="Times New Roman" w:hAnsi="Times New Roman"/>
                <w:color w:val="000000"/>
              </w:rPr>
              <w:t>201</w:t>
            </w:r>
            <w:r w:rsidR="00CB19A8" w:rsidRPr="00996A12">
              <w:rPr>
                <w:rFonts w:ascii="Times New Roman" w:hAnsi="Times New Roman"/>
                <w:color w:val="000000"/>
              </w:rPr>
              <w:t>,5</w:t>
            </w:r>
            <w:r w:rsidR="00821FE0" w:rsidRPr="00996A12">
              <w:rPr>
                <w:rFonts w:ascii="Times New Roman" w:hAnsi="Times New Roman"/>
                <w:color w:val="000000"/>
              </w:rPr>
              <w:t xml:space="preserve"> </w:t>
            </w:r>
            <w:r w:rsidR="00FF0D6A" w:rsidRPr="00996A12">
              <w:rPr>
                <w:rFonts w:ascii="Times New Roman" w:hAnsi="Times New Roman"/>
                <w:color w:val="000000"/>
              </w:rPr>
              <w:t>m</w:t>
            </w:r>
            <w:r w:rsidR="004A10E2" w:rsidRPr="00996A12">
              <w:rPr>
                <w:rFonts w:ascii="Times New Roman" w:hAnsi="Times New Roman"/>
                <w:color w:val="000000"/>
              </w:rPr>
              <w:t>l</w:t>
            </w:r>
            <w:r w:rsidR="00FF0D6A" w:rsidRPr="00996A12">
              <w:rPr>
                <w:rFonts w:ascii="Times New Roman" w:hAnsi="Times New Roman"/>
                <w:color w:val="000000"/>
              </w:rPr>
              <w:t>n</w:t>
            </w:r>
            <w:r w:rsidR="004A10E2" w:rsidRPr="00996A12">
              <w:rPr>
                <w:rFonts w:ascii="Times New Roman" w:hAnsi="Times New Roman"/>
                <w:color w:val="000000"/>
              </w:rPr>
              <w:t xml:space="preserve"> </w:t>
            </w:r>
            <w:r w:rsidR="00FF0D6A" w:rsidRPr="00996A12">
              <w:rPr>
                <w:rFonts w:ascii="Times New Roman" w:hAnsi="Times New Roman"/>
                <w:color w:val="000000"/>
              </w:rPr>
              <w:t>zł w przeciągu 11 lat)</w:t>
            </w:r>
            <w:r w:rsidRPr="00996A12">
              <w:rPr>
                <w:rFonts w:ascii="Times New Roman" w:hAnsi="Times New Roman"/>
                <w:color w:val="000000"/>
              </w:rPr>
              <w:t xml:space="preserve">. Założono, że skargi wpływające do UOKiK (ok. 600 rocznie) to </w:t>
            </w:r>
            <w:r w:rsidR="00CB19A8" w:rsidRPr="00996A12">
              <w:rPr>
                <w:rFonts w:ascii="Times New Roman" w:hAnsi="Times New Roman"/>
                <w:color w:val="000000"/>
              </w:rPr>
              <w:t>33</w:t>
            </w:r>
            <w:r w:rsidRPr="00996A12">
              <w:rPr>
                <w:rFonts w:ascii="Times New Roman" w:hAnsi="Times New Roman"/>
                <w:color w:val="000000"/>
              </w:rPr>
              <w:t xml:space="preserve">% rzeczywistej wielkości. </w:t>
            </w:r>
            <w:r w:rsidR="004B123C" w:rsidRPr="00996A12">
              <w:rPr>
                <w:rFonts w:ascii="Times New Roman" w:hAnsi="Times New Roman"/>
                <w:color w:val="000000"/>
              </w:rPr>
              <w:t>W</w:t>
            </w:r>
            <w:r w:rsidRPr="00996A12">
              <w:rPr>
                <w:rFonts w:ascii="Times New Roman" w:hAnsi="Times New Roman"/>
                <w:color w:val="000000"/>
              </w:rPr>
              <w:t xml:space="preserve">artość pojedynczej transakcji przyjęto jako </w:t>
            </w:r>
            <w:r w:rsidR="00533F78" w:rsidRPr="00996A12">
              <w:rPr>
                <w:rFonts w:ascii="Times New Roman" w:hAnsi="Times New Roman"/>
                <w:color w:val="000000"/>
              </w:rPr>
              <w:t>8500</w:t>
            </w:r>
            <w:r w:rsidR="004B123C" w:rsidRPr="00996A12">
              <w:rPr>
                <w:rFonts w:ascii="Times New Roman" w:hAnsi="Times New Roman"/>
                <w:color w:val="000000"/>
              </w:rPr>
              <w:t xml:space="preserve"> </w:t>
            </w:r>
            <w:r w:rsidR="004B008E" w:rsidRPr="00996A12">
              <w:rPr>
                <w:rFonts w:ascii="Times New Roman" w:hAnsi="Times New Roman"/>
                <w:color w:val="000000"/>
              </w:rPr>
              <w:t xml:space="preserve">zł </w:t>
            </w:r>
            <w:r w:rsidR="004B123C" w:rsidRPr="00996A12">
              <w:rPr>
                <w:rFonts w:ascii="Times New Roman" w:hAnsi="Times New Roman"/>
                <w:color w:val="000000"/>
              </w:rPr>
              <w:t>(średnia wartość wartości ze skarg wpływających do UOKiK</w:t>
            </w:r>
            <w:r w:rsidR="00CB19A8" w:rsidRPr="00996A12">
              <w:rPr>
                <w:rFonts w:ascii="Times New Roman" w:hAnsi="Times New Roman"/>
                <w:color w:val="000000"/>
              </w:rPr>
              <w:t xml:space="preserve"> w latach 2020-</w:t>
            </w:r>
            <w:r w:rsidR="00533F78" w:rsidRPr="00996A12">
              <w:rPr>
                <w:rFonts w:ascii="Times New Roman" w:hAnsi="Times New Roman"/>
                <w:color w:val="000000"/>
              </w:rPr>
              <w:t>2021</w:t>
            </w:r>
            <w:r w:rsidR="004B123C" w:rsidRPr="00996A12">
              <w:rPr>
                <w:rFonts w:ascii="Times New Roman" w:hAnsi="Times New Roman"/>
                <w:color w:val="000000"/>
              </w:rPr>
              <w:t>)</w:t>
            </w:r>
            <w:r w:rsidRPr="00996A12">
              <w:rPr>
                <w:rFonts w:ascii="Times New Roman" w:hAnsi="Times New Roman"/>
                <w:color w:val="000000"/>
              </w:rPr>
              <w:t>.</w:t>
            </w:r>
            <w:r w:rsidR="00F04D2D" w:rsidRPr="00996A12">
              <w:rPr>
                <w:rFonts w:ascii="Times New Roman" w:hAnsi="Times New Roman"/>
                <w:color w:val="000000"/>
              </w:rPr>
              <w:t xml:space="preserve"> Należy zaznaczyć, że ww. wartość jest wyliczona na podstawie bardzo ostrożnych szacunków, zatem można oczekiwać, że ostateczny efekt będzie większy.</w:t>
            </w:r>
          </w:p>
          <w:p w14:paraId="68E17797" w14:textId="5C198EE4" w:rsidR="00AC6FA6" w:rsidRPr="00996A12" w:rsidRDefault="00AC6FA6" w:rsidP="00AC6FA6">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Dl</w:t>
            </w:r>
            <w:r w:rsidR="00802DA0" w:rsidRPr="00996A12">
              <w:rPr>
                <w:rFonts w:ascii="Times New Roman" w:hAnsi="Times New Roman"/>
                <w:color w:val="000000"/>
              </w:rPr>
              <w:t>a</w:t>
            </w:r>
            <w:r w:rsidRPr="00996A12">
              <w:rPr>
                <w:rFonts w:ascii="Times New Roman" w:hAnsi="Times New Roman"/>
                <w:color w:val="000000"/>
              </w:rPr>
              <w:t xml:space="preserve"> obu kategorii wartości w kolejnych latach indeksowano prognozowanymi zmianami w PKB, zgodnie z </w:t>
            </w:r>
            <w:r w:rsidRPr="00996A12">
              <w:rPr>
                <w:rFonts w:ascii="Times New Roman" w:hAnsi="Times New Roman"/>
                <w:i/>
                <w:color w:val="000000"/>
              </w:rPr>
              <w:t xml:space="preserve">Wytycznymi dotyczącymi stosowania jednolitych wskaźników </w:t>
            </w:r>
            <w:r w:rsidRPr="00996A12">
              <w:rPr>
                <w:rFonts w:ascii="Times New Roman" w:hAnsi="Times New Roman"/>
                <w:i/>
                <w:color w:val="000000"/>
              </w:rPr>
              <w:lastRenderedPageBreak/>
              <w:t>makroekonomicznych będących podstawą oszacowania skutków finansowych projektowanych ustaw (Aktualizacja – lipiec 2020 r.)</w:t>
            </w:r>
            <w:r w:rsidRPr="00996A12">
              <w:rPr>
                <w:rFonts w:ascii="Times New Roman" w:hAnsi="Times New Roman"/>
                <w:color w:val="000000"/>
              </w:rPr>
              <w:t xml:space="preserve">  </w:t>
            </w:r>
          </w:p>
        </w:tc>
      </w:tr>
      <w:tr w:rsidR="00AC6FA6" w:rsidRPr="00996A12" w14:paraId="1699EB24" w14:textId="77777777" w:rsidTr="00196538">
        <w:trPr>
          <w:trHeight w:val="342"/>
        </w:trPr>
        <w:tc>
          <w:tcPr>
            <w:tcW w:w="10803" w:type="dxa"/>
            <w:gridSpan w:val="28"/>
            <w:shd w:val="clear" w:color="auto" w:fill="99CCFF"/>
            <w:vAlign w:val="center"/>
          </w:tcPr>
          <w:p w14:paraId="580A1A25"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lastRenderedPageBreak/>
              <w:t xml:space="preserve"> Zmiana obciążeń regulacyjnych (w tym obowiązków informacyjnych) wynikających z projektu</w:t>
            </w:r>
          </w:p>
        </w:tc>
      </w:tr>
      <w:tr w:rsidR="00AC6FA6" w:rsidRPr="00996A12" w14:paraId="562A596E" w14:textId="77777777" w:rsidTr="00196538">
        <w:trPr>
          <w:trHeight w:val="151"/>
        </w:trPr>
        <w:tc>
          <w:tcPr>
            <w:tcW w:w="10803" w:type="dxa"/>
            <w:gridSpan w:val="28"/>
            <w:shd w:val="clear" w:color="auto" w:fill="FFFFFF"/>
          </w:tcPr>
          <w:p w14:paraId="29DE748F"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spacing w:val="-2"/>
                </w:rPr>
                <w:id w:val="1930998347"/>
              </w:sdtPr>
              <w:sdtEndPr/>
              <w:sdtContent>
                <w:r w:rsidR="00AC6FA6" w:rsidRPr="00996A12">
                  <w:rPr>
                    <w:rFonts w:ascii="Segoe UI Emoji" w:hAnsi="Segoe UI Emoji" w:cs="Segoe UI Emoji"/>
                    <w:color w:val="000000"/>
                    <w:spacing w:val="-2"/>
                  </w:rPr>
                  <w:t>⬜</w:t>
                </w:r>
              </w:sdtContent>
            </w:sdt>
            <w:r w:rsidR="00AC6FA6" w:rsidRPr="00996A12">
              <w:rPr>
                <w:rFonts w:ascii="Times New Roman" w:hAnsi="Times New Roman"/>
                <w:color w:val="000000"/>
                <w:spacing w:val="-2"/>
              </w:rPr>
              <w:t xml:space="preserve"> nie dotyczy</w:t>
            </w:r>
          </w:p>
        </w:tc>
      </w:tr>
      <w:tr w:rsidR="00AC6FA6" w:rsidRPr="00996A12" w14:paraId="0D380EF0" w14:textId="77777777" w:rsidTr="00196538">
        <w:trPr>
          <w:trHeight w:val="946"/>
        </w:trPr>
        <w:tc>
          <w:tcPr>
            <w:tcW w:w="5050" w:type="dxa"/>
            <w:gridSpan w:val="11"/>
            <w:shd w:val="clear" w:color="auto" w:fill="FFFFFF"/>
          </w:tcPr>
          <w:p w14:paraId="31B5B5BE" w14:textId="77777777" w:rsidR="00AC6FA6" w:rsidRPr="00996A12" w:rsidRDefault="00AC6FA6" w:rsidP="00AC6FA6">
            <w:pPr>
              <w:rPr>
                <w:rFonts w:ascii="Times New Roman" w:hAnsi="Times New Roman"/>
                <w:color w:val="000000"/>
                <w:spacing w:val="-2"/>
              </w:rPr>
            </w:pPr>
            <w:r w:rsidRPr="00996A12">
              <w:rPr>
                <w:rFonts w:ascii="Times New Roman" w:hAnsi="Times New Roman"/>
                <w:color w:val="000000"/>
                <w:spacing w:val="-2"/>
              </w:rPr>
              <w:t xml:space="preserve">Wprowadzane są obciążenia poza bezwzględnie wymaganymi przez UE </w:t>
            </w:r>
            <w:r w:rsidRPr="00996A12">
              <w:rPr>
                <w:rFonts w:ascii="Times New Roman" w:hAnsi="Times New Roman"/>
                <w:color w:val="000000"/>
              </w:rPr>
              <w:t>(szczegóły w odwróconej tabeli zgodności).</w:t>
            </w:r>
          </w:p>
        </w:tc>
        <w:tc>
          <w:tcPr>
            <w:tcW w:w="5753" w:type="dxa"/>
            <w:gridSpan w:val="17"/>
            <w:shd w:val="clear" w:color="auto" w:fill="FFFFFF"/>
          </w:tcPr>
          <w:p w14:paraId="2309F944" w14:textId="77777777" w:rsidR="00AC6FA6" w:rsidRPr="00996A12" w:rsidRDefault="003469A4" w:rsidP="00AC6FA6">
            <w:pPr>
              <w:spacing w:line="240" w:lineRule="auto"/>
              <w:rPr>
                <w:rFonts w:ascii="Times New Roman" w:hAnsi="Times New Roman"/>
                <w:b/>
                <w:color w:val="000000"/>
              </w:rPr>
            </w:pPr>
            <w:sdt>
              <w:sdtPr>
                <w:rPr>
                  <w:rFonts w:ascii="Times New Roman" w:hAnsi="Times New Roman"/>
                  <w:color w:val="000000"/>
                  <w:spacing w:val="-2"/>
                </w:rPr>
                <w:id w:val="1588647135"/>
              </w:sdtPr>
              <w:sdtEndPr/>
              <w:sdtContent>
                <w:r w:rsidR="00AC6FA6" w:rsidRPr="00996A12">
                  <w:rPr>
                    <w:rFonts w:ascii="Times New Roman" w:eastAsia="MS Gothic" w:hAnsi="Times New Roman"/>
                    <w:color w:val="000000"/>
                    <w:spacing w:val="-2"/>
                  </w:rPr>
                  <w:t>x</w:t>
                </w:r>
              </w:sdtContent>
            </w:sdt>
            <w:r w:rsidR="00AC6FA6" w:rsidRPr="00996A12">
              <w:rPr>
                <w:rFonts w:ascii="Times New Roman" w:hAnsi="Times New Roman"/>
                <w:b/>
                <w:color w:val="000000"/>
              </w:rPr>
              <w:t xml:space="preserve">  tak</w:t>
            </w:r>
          </w:p>
          <w:p w14:paraId="50AC64DE" w14:textId="77777777" w:rsidR="00AC6FA6" w:rsidRPr="00996A12" w:rsidRDefault="003469A4" w:rsidP="00AC6FA6">
            <w:pPr>
              <w:spacing w:line="240" w:lineRule="auto"/>
              <w:rPr>
                <w:rFonts w:ascii="Times New Roman" w:hAnsi="Times New Roman"/>
                <w:b/>
                <w:color w:val="000000"/>
              </w:rPr>
            </w:pPr>
            <w:sdt>
              <w:sdtPr>
                <w:rPr>
                  <w:rFonts w:ascii="Times New Roman" w:hAnsi="Times New Roman"/>
                  <w:color w:val="000000"/>
                </w:rPr>
                <w:id w:val="-1774005171"/>
              </w:sdtPr>
              <w:sdtEndPr/>
              <w:sdtContent>
                <w:sdt>
                  <w:sdtPr>
                    <w:rPr>
                      <w:rFonts w:ascii="Times New Roman" w:hAnsi="Times New Roman"/>
                      <w:color w:val="000000"/>
                    </w:rPr>
                    <w:id w:val="-501432790"/>
                  </w:sdtPr>
                  <w:sdtEndPr/>
                  <w:sdtContent>
                    <w:r w:rsidR="00AC6FA6" w:rsidRPr="00996A12">
                      <w:rPr>
                        <w:rFonts w:ascii="Segoe UI Symbol" w:eastAsia="MS Gothic" w:hAnsi="Segoe UI Symbol" w:cs="Segoe UI Symbol"/>
                        <w:color w:val="000000"/>
                      </w:rPr>
                      <w:t>☐</w:t>
                    </w:r>
                  </w:sdtContent>
                </w:sdt>
              </w:sdtContent>
            </w:sdt>
            <w:r w:rsidR="00AC6FA6" w:rsidRPr="00996A12">
              <w:rPr>
                <w:rFonts w:ascii="Times New Roman" w:hAnsi="Times New Roman"/>
                <w:color w:val="000000"/>
              </w:rPr>
              <w:t xml:space="preserve"> nie</w:t>
            </w:r>
          </w:p>
          <w:p w14:paraId="00A67736" w14:textId="77777777" w:rsidR="00AC6FA6" w:rsidRPr="00996A12" w:rsidRDefault="003469A4" w:rsidP="00AC6FA6">
            <w:pPr>
              <w:rPr>
                <w:rFonts w:ascii="Times New Roman" w:hAnsi="Times New Roman"/>
                <w:color w:val="000000"/>
              </w:rPr>
            </w:pPr>
            <w:sdt>
              <w:sdtPr>
                <w:rPr>
                  <w:rFonts w:ascii="Times New Roman" w:hAnsi="Times New Roman"/>
                  <w:color w:val="000000"/>
                </w:rPr>
                <w:id w:val="351533669"/>
              </w:sdtPr>
              <w:sdtEndPr/>
              <w:sdtContent>
                <w:sdt>
                  <w:sdtPr>
                    <w:rPr>
                      <w:rFonts w:ascii="Times New Roman" w:eastAsia="MS Gothic" w:hAnsi="Times New Roman"/>
                      <w:color w:val="000000"/>
                    </w:rPr>
                    <w:id w:val="-458495689"/>
                  </w:sdtPr>
                  <w:sdtEndPr/>
                  <w:sdtContent>
                    <w:r w:rsidR="00AC6FA6" w:rsidRPr="00996A12">
                      <w:rPr>
                        <w:rFonts w:ascii="Segoe UI Symbol" w:eastAsia="MS Gothic" w:hAnsi="Segoe UI Symbol" w:cs="Segoe UI Symbol"/>
                        <w:color w:val="000000"/>
                      </w:rPr>
                      <w:t>☐</w:t>
                    </w:r>
                  </w:sdtContent>
                </w:sdt>
                <w:r w:rsidR="00AC6FA6" w:rsidRPr="00996A12">
                  <w:rPr>
                    <w:rFonts w:ascii="Times New Roman" w:eastAsia="MS Gothic" w:hAnsi="Times New Roman"/>
                    <w:color w:val="000000"/>
                  </w:rPr>
                  <w:t xml:space="preserve"> </w:t>
                </w:r>
              </w:sdtContent>
            </w:sdt>
            <w:r w:rsidR="00AC6FA6" w:rsidRPr="00996A12">
              <w:rPr>
                <w:rFonts w:ascii="Times New Roman" w:hAnsi="Times New Roman"/>
                <w:color w:val="000000"/>
              </w:rPr>
              <w:t xml:space="preserve"> nie dotyczy</w:t>
            </w:r>
          </w:p>
        </w:tc>
      </w:tr>
      <w:tr w:rsidR="00AC6FA6" w:rsidRPr="00996A12" w14:paraId="2AACE415" w14:textId="77777777" w:rsidTr="00196538">
        <w:trPr>
          <w:trHeight w:val="1245"/>
        </w:trPr>
        <w:tc>
          <w:tcPr>
            <w:tcW w:w="5050" w:type="dxa"/>
            <w:gridSpan w:val="11"/>
            <w:shd w:val="clear" w:color="auto" w:fill="FFFFFF"/>
          </w:tcPr>
          <w:p w14:paraId="3AA1C922"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1646118103"/>
              </w:sdtPr>
              <w:sdtEndPr/>
              <w:sdtContent>
                <w:r w:rsidR="00AC6FA6" w:rsidRPr="00996A12">
                  <w:rPr>
                    <w:rFonts w:ascii="Times New Roman" w:eastAsia="MS Gothic" w:hAnsi="Times New Roman"/>
                    <w:color w:val="000000"/>
                    <w:spacing w:val="-2"/>
                  </w:rPr>
                  <w:t>x</w:t>
                </w:r>
              </w:sdtContent>
            </w:sdt>
            <w:r w:rsidR="00AC6FA6" w:rsidRPr="00996A12">
              <w:rPr>
                <w:rFonts w:ascii="Times New Roman" w:hAnsi="Times New Roman"/>
                <w:color w:val="000000"/>
                <w:spacing w:val="-2"/>
              </w:rPr>
              <w:t xml:space="preserve"> </w:t>
            </w:r>
            <w:r w:rsidR="00AC6FA6" w:rsidRPr="00996A12">
              <w:rPr>
                <w:rFonts w:ascii="Times New Roman" w:hAnsi="Times New Roman"/>
                <w:b/>
                <w:color w:val="000000"/>
                <w:spacing w:val="-2"/>
              </w:rPr>
              <w:t>zmniejszenie liczby dokumentów</w:t>
            </w:r>
            <w:r w:rsidR="00AC6FA6" w:rsidRPr="00996A12">
              <w:rPr>
                <w:rFonts w:ascii="Times New Roman" w:hAnsi="Times New Roman"/>
                <w:color w:val="000000"/>
                <w:spacing w:val="-2"/>
              </w:rPr>
              <w:t xml:space="preserve"> </w:t>
            </w:r>
          </w:p>
          <w:p w14:paraId="6BADE851"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1876505849"/>
              </w:sdtPr>
              <w:sdtEndPr/>
              <w:sdtContent>
                <w:r w:rsidR="00AC6FA6" w:rsidRPr="00996A12">
                  <w:rPr>
                    <w:rFonts w:ascii="Times New Roman" w:eastAsia="MS Gothic" w:hAnsi="Times New Roman"/>
                    <w:color w:val="000000"/>
                    <w:spacing w:val="-2"/>
                  </w:rPr>
                  <w:t xml:space="preserve">x </w:t>
                </w:r>
              </w:sdtContent>
            </w:sdt>
            <w:r w:rsidR="00AC6FA6" w:rsidRPr="00996A12">
              <w:rPr>
                <w:rFonts w:ascii="Times New Roman" w:hAnsi="Times New Roman"/>
                <w:color w:val="000000"/>
                <w:spacing w:val="-2"/>
              </w:rPr>
              <w:t xml:space="preserve"> </w:t>
            </w:r>
            <w:r w:rsidR="00AC6FA6" w:rsidRPr="00996A12">
              <w:rPr>
                <w:rFonts w:ascii="Times New Roman" w:hAnsi="Times New Roman"/>
                <w:b/>
                <w:color w:val="000000"/>
                <w:spacing w:val="-2"/>
              </w:rPr>
              <w:t>zmniejszenie liczby procedur</w:t>
            </w:r>
          </w:p>
          <w:p w14:paraId="09B64E2F"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2082051990"/>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skrócenie czasu na załatwienie sprawy</w:t>
            </w:r>
          </w:p>
          <w:p w14:paraId="31E22423" w14:textId="77777777" w:rsidR="00AC6FA6" w:rsidRPr="00996A12" w:rsidRDefault="003469A4" w:rsidP="00AC6FA6">
            <w:pPr>
              <w:rPr>
                <w:rFonts w:ascii="Times New Roman" w:hAnsi="Times New Roman"/>
                <w:b/>
                <w:color w:val="000000"/>
                <w:spacing w:val="-2"/>
              </w:rPr>
            </w:pPr>
            <w:sdt>
              <w:sdtPr>
                <w:rPr>
                  <w:rFonts w:ascii="Times New Roman" w:hAnsi="Times New Roman"/>
                  <w:color w:val="000000"/>
                  <w:spacing w:val="-2"/>
                </w:rPr>
                <w:id w:val="2112540246"/>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inne:</w:t>
            </w:r>
            <w:r w:rsidR="00AC6FA6" w:rsidRPr="00996A12">
              <w:rPr>
                <w:rFonts w:ascii="Times New Roman" w:hAnsi="Times New Roman"/>
                <w:color w:val="000000"/>
              </w:rPr>
              <w:t xml:space="preserve"> …</w:t>
            </w:r>
          </w:p>
        </w:tc>
        <w:tc>
          <w:tcPr>
            <w:tcW w:w="5753" w:type="dxa"/>
            <w:gridSpan w:val="17"/>
            <w:shd w:val="clear" w:color="auto" w:fill="FFFFFF"/>
          </w:tcPr>
          <w:p w14:paraId="4B911BFF"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rPr>
                <w:id w:val="2080243135"/>
              </w:sdtPr>
              <w:sdtEndPr/>
              <w:sdtContent>
                <w:r w:rsidR="00AC6FA6" w:rsidRPr="00996A12">
                  <w:rPr>
                    <w:rFonts w:ascii="Segoe UI Symbol" w:eastAsia="MS Gothic" w:hAnsi="Segoe UI Symbol" w:cs="Segoe UI Symbol"/>
                    <w:color w:val="000000"/>
                  </w:rPr>
                  <w:t>☐</w:t>
                </w:r>
              </w:sdtContent>
            </w:sdt>
            <w:r w:rsidR="00AC6FA6" w:rsidRPr="00996A12">
              <w:rPr>
                <w:rFonts w:ascii="Times New Roman" w:hAnsi="Times New Roman"/>
                <w:color w:val="000000"/>
                <w:spacing w:val="-2"/>
              </w:rPr>
              <w:t xml:space="preserve"> zwiększenie liczby dokumentów</w:t>
            </w:r>
          </w:p>
          <w:p w14:paraId="18EBD1D7"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rPr>
                <w:id w:val="762415844"/>
              </w:sdtPr>
              <w:sdtEndPr/>
              <w:sdtContent>
                <w:r w:rsidR="00AC6FA6" w:rsidRPr="00996A12">
                  <w:rPr>
                    <w:rFonts w:ascii="Times New Roman" w:eastAsia="MS Gothic" w:hAnsi="Times New Roman"/>
                    <w:color w:val="000000"/>
                  </w:rPr>
                  <w:t xml:space="preserve">x </w:t>
                </w:r>
              </w:sdtContent>
            </w:sdt>
            <w:r w:rsidR="00AC6FA6" w:rsidRPr="00996A12">
              <w:rPr>
                <w:rFonts w:ascii="Times New Roman" w:hAnsi="Times New Roman"/>
                <w:color w:val="000000"/>
              </w:rPr>
              <w:t xml:space="preserve"> </w:t>
            </w:r>
            <w:r w:rsidR="00AC6FA6" w:rsidRPr="00996A12">
              <w:rPr>
                <w:rFonts w:ascii="Times New Roman" w:hAnsi="Times New Roman"/>
                <w:b/>
                <w:color w:val="000000"/>
                <w:spacing w:val="-2"/>
              </w:rPr>
              <w:t>zwiększenie liczby procedur</w:t>
            </w:r>
          </w:p>
          <w:p w14:paraId="29DDF488"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357036351"/>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wydłużenie czasu na załatwienie sprawy</w:t>
            </w:r>
          </w:p>
          <w:p w14:paraId="42FACD90"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spacing w:val="-2"/>
                </w:rPr>
                <w:id w:val="1149557140"/>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inne:</w:t>
            </w:r>
            <w:r w:rsidR="00AC6FA6" w:rsidRPr="00996A12">
              <w:rPr>
                <w:rFonts w:ascii="Times New Roman" w:hAnsi="Times New Roman"/>
                <w:color w:val="000000"/>
              </w:rPr>
              <w:t xml:space="preserve"> …</w:t>
            </w:r>
          </w:p>
        </w:tc>
      </w:tr>
      <w:tr w:rsidR="00AC6FA6" w:rsidRPr="00996A12" w14:paraId="477584B9" w14:textId="77777777" w:rsidTr="00196538">
        <w:trPr>
          <w:trHeight w:val="870"/>
        </w:trPr>
        <w:tc>
          <w:tcPr>
            <w:tcW w:w="5050" w:type="dxa"/>
            <w:gridSpan w:val="11"/>
            <w:shd w:val="clear" w:color="auto" w:fill="FFFFFF"/>
          </w:tcPr>
          <w:p w14:paraId="45B6BA24"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spacing w:val="-2"/>
              </w:rPr>
              <w:t xml:space="preserve">Wprowadzane obciążenia są przystosowane do ich elektronizacji. </w:t>
            </w:r>
          </w:p>
        </w:tc>
        <w:tc>
          <w:tcPr>
            <w:tcW w:w="5753" w:type="dxa"/>
            <w:gridSpan w:val="17"/>
            <w:shd w:val="clear" w:color="auto" w:fill="FFFFFF"/>
          </w:tcPr>
          <w:p w14:paraId="0E0FDFFB"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rPr>
                <w:id w:val="297268939"/>
              </w:sdtPr>
              <w:sdtEndPr/>
              <w:sdtContent>
                <w:r w:rsidR="00AC6FA6" w:rsidRPr="00996A12">
                  <w:rPr>
                    <w:rFonts w:ascii="Times New Roman" w:eastAsia="MS Gothic" w:hAnsi="Times New Roman"/>
                    <w:color w:val="000000"/>
                  </w:rPr>
                  <w:t xml:space="preserve">x </w:t>
                </w:r>
              </w:sdtContent>
            </w:sdt>
            <w:r w:rsidR="00AC6FA6" w:rsidRPr="00996A12">
              <w:rPr>
                <w:rFonts w:ascii="Times New Roman" w:hAnsi="Times New Roman"/>
                <w:color w:val="000000"/>
              </w:rPr>
              <w:t xml:space="preserve"> </w:t>
            </w:r>
            <w:r w:rsidR="00AC6FA6" w:rsidRPr="00996A12">
              <w:rPr>
                <w:rFonts w:ascii="Times New Roman" w:hAnsi="Times New Roman"/>
                <w:b/>
                <w:color w:val="000000"/>
              </w:rPr>
              <w:t>tak</w:t>
            </w:r>
          </w:p>
          <w:p w14:paraId="12105F0D"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rPr>
                <w:id w:val="-1887021666"/>
              </w:sdtPr>
              <w:sdtEndPr/>
              <w:sdtContent>
                <w:r w:rsidR="00AC6FA6" w:rsidRPr="00996A12">
                  <w:rPr>
                    <w:rFonts w:ascii="Segoe UI Symbol" w:eastAsia="MS Gothic" w:hAnsi="Segoe UI Symbol" w:cs="Segoe UI Symbol"/>
                    <w:color w:val="000000"/>
                  </w:rPr>
                  <w:t>☐</w:t>
                </w:r>
              </w:sdtContent>
            </w:sdt>
            <w:r w:rsidR="00AC6FA6" w:rsidRPr="00996A12">
              <w:rPr>
                <w:rFonts w:ascii="Times New Roman" w:hAnsi="Times New Roman"/>
                <w:color w:val="000000"/>
              </w:rPr>
              <w:t xml:space="preserve"> nie</w:t>
            </w:r>
          </w:p>
          <w:p w14:paraId="191B3869"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rPr>
                <w:id w:val="1904862519"/>
              </w:sdtPr>
              <w:sdtEndPr/>
              <w:sdtContent>
                <w:sdt>
                  <w:sdtPr>
                    <w:rPr>
                      <w:rFonts w:ascii="Times New Roman" w:hAnsi="Times New Roman"/>
                      <w:color w:val="000000"/>
                    </w:rPr>
                    <w:id w:val="-2041730958"/>
                  </w:sdtPr>
                  <w:sdtEndPr/>
                  <w:sdtContent>
                    <w:r w:rsidR="00AC6FA6" w:rsidRPr="00996A12">
                      <w:rPr>
                        <w:rFonts w:ascii="Segoe UI Symbol" w:hAnsi="Segoe UI Symbol" w:cs="Segoe UI Symbol"/>
                        <w:color w:val="000000"/>
                      </w:rPr>
                      <w:t>☐</w:t>
                    </w:r>
                  </w:sdtContent>
                </w:sdt>
              </w:sdtContent>
            </w:sdt>
            <w:r w:rsidR="00AC6FA6" w:rsidRPr="00996A12">
              <w:rPr>
                <w:rFonts w:ascii="Times New Roman" w:hAnsi="Times New Roman"/>
                <w:color w:val="000000"/>
              </w:rPr>
              <w:t xml:space="preserve"> nie dotyczy</w:t>
            </w:r>
          </w:p>
          <w:p w14:paraId="444FE0F2" w14:textId="77777777" w:rsidR="00AC6FA6" w:rsidRPr="00996A12" w:rsidRDefault="00AC6FA6" w:rsidP="00AC6FA6">
            <w:pPr>
              <w:spacing w:line="240" w:lineRule="auto"/>
              <w:rPr>
                <w:rFonts w:ascii="Times New Roman" w:hAnsi="Times New Roman"/>
                <w:color w:val="000000"/>
              </w:rPr>
            </w:pPr>
          </w:p>
        </w:tc>
      </w:tr>
      <w:tr w:rsidR="00AC6FA6" w:rsidRPr="00996A12" w14:paraId="2BE1E17C" w14:textId="77777777" w:rsidTr="00196538">
        <w:trPr>
          <w:trHeight w:val="630"/>
        </w:trPr>
        <w:tc>
          <w:tcPr>
            <w:tcW w:w="10803" w:type="dxa"/>
            <w:gridSpan w:val="28"/>
            <w:shd w:val="clear" w:color="auto" w:fill="FFFFFF"/>
          </w:tcPr>
          <w:p w14:paraId="02717AC3" w14:textId="61548D3E" w:rsidR="00AC6FA6" w:rsidRPr="00996A12" w:rsidRDefault="00AC6FA6" w:rsidP="00AC6FA6">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 xml:space="preserve">I. Projekt implementujący dyrektywę Omnibus wprowadza jedynie obowiązki informacyjne wymagane przepisami dyrektywy wobec podmiotów objętych regulacją </w:t>
            </w:r>
            <w:r w:rsidR="00131B9B" w:rsidRPr="00996A12">
              <w:rPr>
                <w:rFonts w:ascii="Times New Roman" w:hAnsi="Times New Roman"/>
                <w:color w:val="000000"/>
              </w:rPr>
              <w:t>tj. przedsiębiorców prowadzących działalność on-line</w:t>
            </w:r>
            <w:r w:rsidR="0058117C" w:rsidRPr="00996A12">
              <w:rPr>
                <w:rFonts w:ascii="Times New Roman" w:hAnsi="Times New Roman"/>
                <w:color w:val="000000"/>
              </w:rPr>
              <w:t>, w tym</w:t>
            </w:r>
            <w:r w:rsidRPr="00996A12">
              <w:rPr>
                <w:rFonts w:ascii="Times New Roman" w:hAnsi="Times New Roman"/>
                <w:color w:val="000000"/>
              </w:rPr>
              <w:t xml:space="preserve"> internetowych platform handlowych oraz sprzedawców, w sytuacji obniżki cen towarów: </w:t>
            </w:r>
          </w:p>
          <w:p w14:paraId="567F3E3D" w14:textId="77777777" w:rsidR="00AC6FA6" w:rsidRPr="00996A12" w:rsidRDefault="00AC6FA6" w:rsidP="00AC6FA6">
            <w:pPr>
              <w:pStyle w:val="Akapitzlist"/>
              <w:numPr>
                <w:ilvl w:val="0"/>
                <w:numId w:val="35"/>
              </w:num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 xml:space="preserve">Wprowadzone zostaną obowiązki dla internetowych platform handlowych polegające na wymogu dostarczenia konsumentom informacji o: </w:t>
            </w:r>
          </w:p>
          <w:p w14:paraId="6A839B3A" w14:textId="77777777" w:rsidR="00AC6FA6" w:rsidRPr="00996A12" w:rsidRDefault="00AC6FA6" w:rsidP="00AC6FA6">
            <w:pPr>
              <w:tabs>
                <w:tab w:val="center" w:pos="4536"/>
                <w:tab w:val="right" w:pos="9072"/>
              </w:tabs>
              <w:spacing w:line="240" w:lineRule="auto"/>
              <w:ind w:left="708"/>
              <w:jc w:val="both"/>
              <w:rPr>
                <w:rFonts w:ascii="Times New Roman" w:hAnsi="Times New Roman"/>
                <w:color w:val="000000"/>
              </w:rPr>
            </w:pPr>
            <w:r w:rsidRPr="00996A12">
              <w:rPr>
                <w:rFonts w:ascii="Times New Roman" w:hAnsi="Times New Roman"/>
                <w:color w:val="000000"/>
              </w:rPr>
              <w:t xml:space="preserve">- głównych parametrach decydujących o rankingu różnych ofert, </w:t>
            </w:r>
          </w:p>
          <w:p w14:paraId="55E6F495" w14:textId="77777777" w:rsidR="00AC6FA6" w:rsidRPr="00996A12" w:rsidRDefault="00AC6FA6" w:rsidP="00AC6FA6">
            <w:pPr>
              <w:tabs>
                <w:tab w:val="center" w:pos="4536"/>
                <w:tab w:val="right" w:pos="9072"/>
              </w:tabs>
              <w:spacing w:line="240" w:lineRule="auto"/>
              <w:ind w:left="708"/>
              <w:jc w:val="both"/>
              <w:rPr>
                <w:rFonts w:ascii="Times New Roman" w:hAnsi="Times New Roman"/>
                <w:color w:val="000000"/>
              </w:rPr>
            </w:pPr>
            <w:r w:rsidRPr="00996A12">
              <w:rPr>
                <w:rFonts w:ascii="Times New Roman" w:hAnsi="Times New Roman"/>
                <w:color w:val="000000"/>
              </w:rPr>
              <w:t>- czy umowa jest zawierana z przedsię</w:t>
            </w:r>
            <w:r w:rsidR="00FF3890" w:rsidRPr="00996A12">
              <w:rPr>
                <w:rFonts w:ascii="Times New Roman" w:hAnsi="Times New Roman"/>
                <w:color w:val="000000"/>
              </w:rPr>
              <w:t>biorcą czy z konsumentem</w:t>
            </w:r>
            <w:r w:rsidRPr="00996A12">
              <w:rPr>
                <w:rFonts w:ascii="Times New Roman" w:hAnsi="Times New Roman"/>
                <w:color w:val="000000"/>
              </w:rPr>
              <w:t xml:space="preserve">, </w:t>
            </w:r>
          </w:p>
          <w:p w14:paraId="1841E347" w14:textId="77777777" w:rsidR="00AC6FA6" w:rsidRPr="00996A12" w:rsidRDefault="00AC6FA6" w:rsidP="00AC6FA6">
            <w:pPr>
              <w:tabs>
                <w:tab w:val="center" w:pos="4536"/>
                <w:tab w:val="right" w:pos="9072"/>
              </w:tabs>
              <w:spacing w:line="240" w:lineRule="auto"/>
              <w:ind w:left="708"/>
              <w:jc w:val="both"/>
              <w:rPr>
                <w:rFonts w:ascii="Times New Roman" w:hAnsi="Times New Roman"/>
                <w:color w:val="000000"/>
              </w:rPr>
            </w:pPr>
            <w:r w:rsidRPr="00996A12">
              <w:rPr>
                <w:rFonts w:ascii="Times New Roman" w:hAnsi="Times New Roman"/>
                <w:color w:val="000000"/>
              </w:rPr>
              <w:t xml:space="preserve">- czy mają zastosowanie przepisy prawne chroniące interesy konsumentów oraz </w:t>
            </w:r>
          </w:p>
          <w:p w14:paraId="32B8EAE4" w14:textId="6C2E970A" w:rsidR="00AC6FA6" w:rsidRPr="00996A12" w:rsidRDefault="00AC6FA6" w:rsidP="00AC6FA6">
            <w:pPr>
              <w:tabs>
                <w:tab w:val="center" w:pos="4536"/>
                <w:tab w:val="right" w:pos="9072"/>
              </w:tabs>
              <w:spacing w:line="240" w:lineRule="auto"/>
              <w:ind w:left="708"/>
              <w:jc w:val="both"/>
              <w:rPr>
                <w:rFonts w:ascii="Times New Roman" w:hAnsi="Times New Roman"/>
                <w:color w:val="000000"/>
              </w:rPr>
            </w:pPr>
            <w:r w:rsidRPr="00996A12">
              <w:rPr>
                <w:rFonts w:ascii="Times New Roman" w:hAnsi="Times New Roman"/>
                <w:color w:val="000000"/>
              </w:rPr>
              <w:t>- który przedsiębiorca (</w:t>
            </w:r>
            <w:r w:rsidR="007B4E59" w:rsidRPr="00996A12">
              <w:rPr>
                <w:rFonts w:ascii="Times New Roman" w:hAnsi="Times New Roman"/>
                <w:color w:val="000000"/>
                <w:lang w:bidi="pl-PL"/>
              </w:rPr>
              <w:t xml:space="preserve">przedsiębiorca oferujący towary </w:t>
            </w:r>
            <w:r w:rsidRPr="00996A12">
              <w:rPr>
                <w:rFonts w:ascii="Times New Roman" w:hAnsi="Times New Roman"/>
                <w:color w:val="000000"/>
              </w:rPr>
              <w:t xml:space="preserve">będący stroną trzecią lub internetowa platforma handlowa) jest odpowiedzialny za zapewnienie przestrzegania praw konsumentów z tytułu umowy (takich jak prawo do odstąpienia od umowy lub gwarancje prawne). </w:t>
            </w:r>
          </w:p>
          <w:p w14:paraId="7B180D55" w14:textId="03BB65D5" w:rsidR="00AC6FA6" w:rsidRPr="00996A12" w:rsidRDefault="00AC6FA6" w:rsidP="00AC6FA6">
            <w:pPr>
              <w:pStyle w:val="Akapitzlist"/>
              <w:numPr>
                <w:ilvl w:val="0"/>
                <w:numId w:val="35"/>
              </w:num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 xml:space="preserve">Ponadto </w:t>
            </w:r>
            <w:r w:rsidR="00131B9B" w:rsidRPr="00996A12">
              <w:rPr>
                <w:rFonts w:ascii="Times New Roman" w:hAnsi="Times New Roman"/>
                <w:color w:val="000000"/>
              </w:rPr>
              <w:t>przedsiębiorcy</w:t>
            </w:r>
            <w:r w:rsidRPr="00996A12">
              <w:rPr>
                <w:rFonts w:ascii="Times New Roman" w:hAnsi="Times New Roman"/>
                <w:color w:val="000000"/>
              </w:rPr>
              <w:t xml:space="preserve"> będą miały obowiązek wskazywać wyniki wyszukiwania, które zawierają „płatne materiały”, tzn. gdy osoby trzecie płacą za wyższą pozycję w rankingu lub „płatne wyniki”, tzn. gdy osoby trzecie płacą za włączenie do listy wyników wyszukiwania.</w:t>
            </w:r>
          </w:p>
          <w:p w14:paraId="64C47448" w14:textId="77777777" w:rsidR="00AC6FA6" w:rsidRPr="00996A12" w:rsidRDefault="00AC6FA6" w:rsidP="00AC6FA6">
            <w:pPr>
              <w:pStyle w:val="Akapitzlist"/>
              <w:numPr>
                <w:ilvl w:val="0"/>
                <w:numId w:val="35"/>
              </w:num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W przypadku obniżki cen towarów sprzedawcy (niezależnie od formy sprzedaży) będą mieli obowiązek podawania obok informacji o obniżonej cenie również informacji o najniższej cenie tego towaru lub usł</w:t>
            </w:r>
            <w:r w:rsidR="00FF3890" w:rsidRPr="00996A12">
              <w:rPr>
                <w:rFonts w:ascii="Times New Roman" w:hAnsi="Times New Roman"/>
                <w:color w:val="000000"/>
              </w:rPr>
              <w:t xml:space="preserve">ugi jaka obowiązywała </w:t>
            </w:r>
            <w:r w:rsidRPr="00996A12">
              <w:rPr>
                <w:rFonts w:ascii="Times New Roman" w:hAnsi="Times New Roman"/>
                <w:color w:val="000000"/>
              </w:rPr>
              <w:t>w okresie 30 dni  przed wprowadzeniem obniżki.</w:t>
            </w:r>
          </w:p>
          <w:p w14:paraId="5FADD87A" w14:textId="77777777" w:rsidR="00AC6FA6" w:rsidRPr="00996A12" w:rsidRDefault="00AC6FA6" w:rsidP="00AC6FA6">
            <w:pPr>
              <w:pStyle w:val="Akapitzlist"/>
              <w:numPr>
                <w:ilvl w:val="0"/>
                <w:numId w:val="35"/>
              </w:num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Jeżeli na żądanie konsumenta wykonywanie usługi ma się rozpocząć przed upływem terminu do odstąpienia od umowy, przedsiębiorca jest obowiązany uzyskać od konsumenta oświadcz</w:t>
            </w:r>
            <w:r w:rsidR="00FF3890" w:rsidRPr="00996A12">
              <w:rPr>
                <w:rFonts w:ascii="Times New Roman" w:hAnsi="Times New Roman"/>
                <w:color w:val="000000"/>
              </w:rPr>
              <w:t>enie zawierające</w:t>
            </w:r>
            <w:r w:rsidRPr="00996A12">
              <w:rPr>
                <w:rFonts w:ascii="Times New Roman" w:hAnsi="Times New Roman"/>
                <w:color w:val="000000"/>
              </w:rPr>
              <w:t xml:space="preserve"> takie żądanie oraz potwierdzenia przyjęcia przez konsumenta do wiadomości, że z chwilą pełnego wykonania umowy konsument traci prawo do odstąpienia od umowy.</w:t>
            </w:r>
          </w:p>
          <w:p w14:paraId="2B56B6DC" w14:textId="526557FD" w:rsidR="00FF3890" w:rsidRPr="00996A12" w:rsidRDefault="00AC6FA6" w:rsidP="0058524B">
            <w:pPr>
              <w:pStyle w:val="Akapitzlist"/>
              <w:numPr>
                <w:ilvl w:val="0"/>
                <w:numId w:val="35"/>
              </w:num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Planowana jest rezygnacja z niektórych obciążeń informacyjnych: umożliwienie przedsiębiorcom na używanie nowych internetowych środków komunikacji, takich jak formularze internetowe lub czaty jako alternatywy dla tradycyjnych e</w:t>
            </w:r>
            <w:r w:rsidR="007B4E59" w:rsidRPr="00996A12">
              <w:rPr>
                <w:rFonts w:ascii="Times New Roman" w:hAnsi="Times New Roman"/>
                <w:color w:val="000000"/>
              </w:rPr>
              <w:t>-</w:t>
            </w:r>
            <w:r w:rsidRPr="00996A12">
              <w:rPr>
                <w:rFonts w:ascii="Times New Roman" w:hAnsi="Times New Roman"/>
                <w:color w:val="000000"/>
              </w:rPr>
              <w:t>maili, o ile konsument będzie mógł zachować swoją komunikację z przedsiębiorcą</w:t>
            </w:r>
            <w:r w:rsidR="00FF3890" w:rsidRPr="00996A12">
              <w:rPr>
                <w:rFonts w:ascii="Times New Roman" w:hAnsi="Times New Roman"/>
                <w:color w:val="000000"/>
              </w:rPr>
              <w:t>.</w:t>
            </w:r>
          </w:p>
          <w:p w14:paraId="179AE222" w14:textId="0C158980" w:rsidR="00FF3890" w:rsidRPr="00996A12" w:rsidRDefault="00AC6FA6" w:rsidP="00281065">
            <w:pPr>
              <w:tabs>
                <w:tab w:val="center" w:pos="4536"/>
                <w:tab w:val="right" w:pos="9072"/>
              </w:tabs>
              <w:spacing w:line="240" w:lineRule="auto"/>
              <w:jc w:val="both"/>
              <w:rPr>
                <w:rFonts w:ascii="Times New Roman" w:hAnsi="Times New Roman"/>
                <w:color w:val="000000"/>
              </w:rPr>
            </w:pPr>
            <w:r w:rsidRPr="00996A12">
              <w:rPr>
                <w:rFonts w:ascii="Times New Roman" w:hAnsi="Times New Roman"/>
                <w:color w:val="000000"/>
              </w:rPr>
              <w:t>II. B</w:t>
            </w:r>
            <w:r w:rsidR="00FF3890" w:rsidRPr="00996A12">
              <w:rPr>
                <w:rFonts w:ascii="Times New Roman" w:hAnsi="Times New Roman"/>
                <w:color w:val="000000"/>
              </w:rPr>
              <w:t>ardziej szczegółowe uregulowanie</w:t>
            </w:r>
            <w:r w:rsidRPr="00996A12">
              <w:rPr>
                <w:rFonts w:ascii="Times New Roman" w:hAnsi="Times New Roman"/>
                <w:color w:val="000000"/>
              </w:rPr>
              <w:t xml:space="preserve"> problemu sprzedaży poza lokalem przedsiębiorstwa spowoduje rozszerzenie aktualnie istniejących obowiązków </w:t>
            </w:r>
            <w:r w:rsidR="00EF3E9C" w:rsidRPr="00996A12">
              <w:rPr>
                <w:rFonts w:ascii="Times New Roman" w:hAnsi="Times New Roman"/>
                <w:color w:val="000000"/>
              </w:rPr>
              <w:t xml:space="preserve">informacyjnych wynikających z przepisów ustawy </w:t>
            </w:r>
            <w:r w:rsidR="00E74391" w:rsidRPr="00996A12">
              <w:rPr>
                <w:rFonts w:ascii="Times New Roman" w:hAnsi="Times New Roman"/>
                <w:color w:val="000000"/>
              </w:rPr>
              <w:t xml:space="preserve">o prawach konsumenta </w:t>
            </w:r>
            <w:r w:rsidRPr="00996A12">
              <w:rPr>
                <w:rFonts w:ascii="Times New Roman" w:hAnsi="Times New Roman"/>
                <w:color w:val="000000"/>
              </w:rPr>
              <w:t xml:space="preserve">na przedsiębiorców oferujących </w:t>
            </w:r>
            <w:r w:rsidR="00FF3890" w:rsidRPr="00996A12">
              <w:rPr>
                <w:rFonts w:ascii="Times New Roman" w:hAnsi="Times New Roman"/>
                <w:color w:val="000000"/>
              </w:rPr>
              <w:t xml:space="preserve">odpłatne </w:t>
            </w:r>
            <w:r w:rsidRPr="00996A12">
              <w:rPr>
                <w:rFonts w:ascii="Times New Roman" w:hAnsi="Times New Roman"/>
                <w:color w:val="000000"/>
              </w:rPr>
              <w:t>usługi zdrowotne</w:t>
            </w:r>
            <w:r w:rsidR="00E74391" w:rsidRPr="00996A12">
              <w:rPr>
                <w:rFonts w:ascii="Times New Roman" w:hAnsi="Times New Roman"/>
                <w:color w:val="000000"/>
              </w:rPr>
              <w:t>, które obecnie są wyłączone z tej regulacji</w:t>
            </w:r>
            <w:r w:rsidRPr="00996A12">
              <w:rPr>
                <w:rFonts w:ascii="Times New Roman" w:hAnsi="Times New Roman"/>
                <w:color w:val="000000"/>
              </w:rPr>
              <w:t xml:space="preserve">. </w:t>
            </w:r>
          </w:p>
        </w:tc>
      </w:tr>
      <w:tr w:rsidR="00AC6FA6" w:rsidRPr="00996A12" w14:paraId="321786AB" w14:textId="77777777" w:rsidTr="00196538">
        <w:trPr>
          <w:trHeight w:val="142"/>
        </w:trPr>
        <w:tc>
          <w:tcPr>
            <w:tcW w:w="10803" w:type="dxa"/>
            <w:gridSpan w:val="28"/>
            <w:shd w:val="clear" w:color="auto" w:fill="99CCFF"/>
          </w:tcPr>
          <w:p w14:paraId="13940F31"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t xml:space="preserve">Wpływ na rynek pracy </w:t>
            </w:r>
          </w:p>
        </w:tc>
      </w:tr>
      <w:tr w:rsidR="00AC6FA6" w:rsidRPr="00996A12" w14:paraId="053241B3" w14:textId="77777777" w:rsidTr="00196538">
        <w:trPr>
          <w:trHeight w:val="142"/>
        </w:trPr>
        <w:tc>
          <w:tcPr>
            <w:tcW w:w="10803" w:type="dxa"/>
            <w:gridSpan w:val="28"/>
            <w:shd w:val="clear" w:color="auto" w:fill="auto"/>
          </w:tcPr>
          <w:p w14:paraId="4B962CFB" w14:textId="77777777" w:rsidR="00AC6FA6" w:rsidRPr="00996A12" w:rsidRDefault="00AC6FA6" w:rsidP="00AC6FA6">
            <w:pPr>
              <w:spacing w:line="240" w:lineRule="auto"/>
              <w:jc w:val="both"/>
              <w:rPr>
                <w:rFonts w:ascii="Times New Roman" w:hAnsi="Times New Roman"/>
                <w:color w:val="000000"/>
              </w:rPr>
            </w:pPr>
            <w:r w:rsidRPr="00996A12">
              <w:rPr>
                <w:rFonts w:ascii="Times New Roman" w:hAnsi="Times New Roman"/>
                <w:color w:val="000000"/>
              </w:rPr>
              <w:t>Brak istotnego wpływu na rynek pracy.</w:t>
            </w:r>
          </w:p>
          <w:p w14:paraId="5B48715F" w14:textId="77777777" w:rsidR="00AC6FA6" w:rsidRPr="00996A12" w:rsidRDefault="00AC6FA6" w:rsidP="00AC6FA6">
            <w:pPr>
              <w:spacing w:line="240" w:lineRule="auto"/>
              <w:jc w:val="both"/>
              <w:rPr>
                <w:rFonts w:ascii="Times New Roman" w:hAnsi="Times New Roman"/>
                <w:color w:val="000000"/>
              </w:rPr>
            </w:pPr>
          </w:p>
        </w:tc>
      </w:tr>
      <w:tr w:rsidR="00AC6FA6" w:rsidRPr="00996A12" w14:paraId="05D74643" w14:textId="77777777" w:rsidTr="00196538">
        <w:trPr>
          <w:trHeight w:val="142"/>
        </w:trPr>
        <w:tc>
          <w:tcPr>
            <w:tcW w:w="10803" w:type="dxa"/>
            <w:gridSpan w:val="28"/>
            <w:shd w:val="clear" w:color="auto" w:fill="99CCFF"/>
          </w:tcPr>
          <w:p w14:paraId="740F30FD"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t>Wpływ na pozostałe obszary</w:t>
            </w:r>
          </w:p>
        </w:tc>
      </w:tr>
      <w:tr w:rsidR="00AC6FA6" w:rsidRPr="00996A12" w14:paraId="40DE757B" w14:textId="77777777" w:rsidTr="00196538">
        <w:trPr>
          <w:trHeight w:val="1031"/>
        </w:trPr>
        <w:tc>
          <w:tcPr>
            <w:tcW w:w="3653" w:type="dxa"/>
            <w:gridSpan w:val="5"/>
            <w:shd w:val="clear" w:color="auto" w:fill="FFFFFF"/>
          </w:tcPr>
          <w:p w14:paraId="2EAF1EA1" w14:textId="77777777" w:rsidR="00AC6FA6" w:rsidRPr="00996A12" w:rsidRDefault="00AC6FA6" w:rsidP="00AC6FA6">
            <w:pPr>
              <w:spacing w:line="240" w:lineRule="auto"/>
              <w:rPr>
                <w:rFonts w:ascii="Times New Roman" w:hAnsi="Times New Roman"/>
                <w:color w:val="000000"/>
              </w:rPr>
            </w:pPr>
          </w:p>
          <w:p w14:paraId="0F36D95D"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rPr>
                <w:id w:val="365952688"/>
              </w:sdtPr>
              <w:sdtEndPr/>
              <w:sdtContent>
                <w:r w:rsidR="00AC6FA6" w:rsidRPr="00996A12">
                  <w:rPr>
                    <w:rFonts w:ascii="Segoe UI Symbol" w:eastAsia="MS Gothic" w:hAnsi="Segoe UI Symbol" w:cs="Segoe UI Symbol"/>
                    <w:color w:val="000000"/>
                  </w:rPr>
                  <w:t>☐</w:t>
                </w:r>
              </w:sdtContent>
            </w:sdt>
            <w:r w:rsidR="00AC6FA6" w:rsidRPr="00996A12">
              <w:rPr>
                <w:rFonts w:ascii="Times New Roman" w:hAnsi="Times New Roman"/>
                <w:color w:val="000000"/>
              </w:rPr>
              <w:t xml:space="preserve"> </w:t>
            </w:r>
            <w:r w:rsidR="00AC6FA6" w:rsidRPr="00996A12">
              <w:rPr>
                <w:rFonts w:ascii="Times New Roman" w:hAnsi="Times New Roman"/>
                <w:color w:val="000000"/>
                <w:spacing w:val="-2"/>
              </w:rPr>
              <w:t>środowisko naturalne</w:t>
            </w:r>
          </w:p>
          <w:p w14:paraId="463D7437"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rPr>
                <w:id w:val="-1888785328"/>
              </w:sdtPr>
              <w:sdtEndPr/>
              <w:sdtContent>
                <w:r w:rsidR="00AC6FA6" w:rsidRPr="00996A12">
                  <w:rPr>
                    <w:rFonts w:ascii="Segoe UI Symbol" w:eastAsia="MS Gothic" w:hAnsi="Segoe UI Symbol" w:cs="Segoe UI Symbol"/>
                    <w:color w:val="000000"/>
                  </w:rPr>
                  <w:t>☐</w:t>
                </w:r>
              </w:sdtContent>
            </w:sdt>
            <w:r w:rsidR="00AC6FA6" w:rsidRPr="00996A12">
              <w:rPr>
                <w:rFonts w:ascii="Times New Roman" w:hAnsi="Times New Roman"/>
                <w:color w:val="000000"/>
              </w:rPr>
              <w:t xml:space="preserve"> sytuacja i rozwój regionalny</w:t>
            </w:r>
          </w:p>
          <w:p w14:paraId="3EA03AFF"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366884454"/>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inne: </w:t>
            </w:r>
            <w:r w:rsidR="00AC6FA6" w:rsidRPr="00996A12">
              <w:rPr>
                <w:rFonts w:ascii="Times New Roman" w:hAnsi="Times New Roman"/>
                <w:color w:val="000000"/>
              </w:rPr>
              <w:t>…</w:t>
            </w:r>
          </w:p>
        </w:tc>
        <w:tc>
          <w:tcPr>
            <w:tcW w:w="3520" w:type="dxa"/>
            <w:gridSpan w:val="15"/>
            <w:shd w:val="clear" w:color="auto" w:fill="FFFFFF"/>
          </w:tcPr>
          <w:p w14:paraId="24041A63" w14:textId="77777777" w:rsidR="00AC6FA6" w:rsidRPr="00996A12" w:rsidRDefault="00AC6FA6" w:rsidP="00AC6FA6">
            <w:pPr>
              <w:spacing w:line="240" w:lineRule="auto"/>
              <w:rPr>
                <w:rFonts w:ascii="Times New Roman" w:hAnsi="Times New Roman"/>
                <w:color w:val="000000"/>
              </w:rPr>
            </w:pPr>
          </w:p>
          <w:p w14:paraId="4C7501F5"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1170861332"/>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demografia</w:t>
            </w:r>
          </w:p>
          <w:p w14:paraId="3FD90479"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rPr>
                <w:id w:val="1090503991"/>
              </w:sdtPr>
              <w:sdtEndPr/>
              <w:sdtContent>
                <w:r w:rsidR="00AC6FA6" w:rsidRPr="00996A12">
                  <w:rPr>
                    <w:rFonts w:ascii="Segoe UI Symbol" w:eastAsia="MS Gothic" w:hAnsi="Segoe UI Symbol" w:cs="Segoe UI Symbol"/>
                    <w:color w:val="000000"/>
                  </w:rPr>
                  <w:t>☐</w:t>
                </w:r>
              </w:sdtContent>
            </w:sdt>
            <w:r w:rsidR="00AC6FA6" w:rsidRPr="00996A12">
              <w:rPr>
                <w:rFonts w:ascii="Times New Roman" w:hAnsi="Times New Roman"/>
                <w:color w:val="000000"/>
              </w:rPr>
              <w:t xml:space="preserve"> mienie państwowe</w:t>
            </w:r>
          </w:p>
        </w:tc>
        <w:tc>
          <w:tcPr>
            <w:tcW w:w="3630" w:type="dxa"/>
            <w:gridSpan w:val="8"/>
            <w:shd w:val="clear" w:color="auto" w:fill="FFFFFF"/>
          </w:tcPr>
          <w:p w14:paraId="038D6217" w14:textId="77777777" w:rsidR="00AC6FA6" w:rsidRPr="00996A12" w:rsidRDefault="00AC6FA6" w:rsidP="00AC6FA6">
            <w:pPr>
              <w:spacing w:line="240" w:lineRule="auto"/>
              <w:rPr>
                <w:rFonts w:ascii="Times New Roman" w:hAnsi="Times New Roman"/>
                <w:color w:val="000000"/>
              </w:rPr>
            </w:pPr>
          </w:p>
          <w:p w14:paraId="61F8AE72" w14:textId="77777777" w:rsidR="00AC6FA6" w:rsidRPr="00996A12" w:rsidRDefault="003469A4" w:rsidP="00AC6FA6">
            <w:pPr>
              <w:spacing w:line="240" w:lineRule="auto"/>
              <w:rPr>
                <w:rFonts w:ascii="Times New Roman" w:hAnsi="Times New Roman"/>
                <w:color w:val="000000"/>
                <w:spacing w:val="-2"/>
              </w:rPr>
            </w:pPr>
            <w:sdt>
              <w:sdtPr>
                <w:rPr>
                  <w:rFonts w:ascii="Times New Roman" w:hAnsi="Times New Roman"/>
                  <w:color w:val="000000"/>
                  <w:spacing w:val="-2"/>
                </w:rPr>
                <w:id w:val="1485042436"/>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informatyzacja</w:t>
            </w:r>
          </w:p>
          <w:p w14:paraId="1C493E0F" w14:textId="77777777" w:rsidR="00AC6FA6" w:rsidRPr="00996A12" w:rsidRDefault="003469A4" w:rsidP="00AC6FA6">
            <w:pPr>
              <w:spacing w:line="240" w:lineRule="auto"/>
              <w:rPr>
                <w:rFonts w:ascii="Times New Roman" w:hAnsi="Times New Roman"/>
                <w:color w:val="000000"/>
              </w:rPr>
            </w:pPr>
            <w:sdt>
              <w:sdtPr>
                <w:rPr>
                  <w:rFonts w:ascii="Times New Roman" w:hAnsi="Times New Roman"/>
                  <w:color w:val="000000"/>
                  <w:spacing w:val="-2"/>
                </w:rPr>
                <w:id w:val="-170105530"/>
              </w:sdtPr>
              <w:sdtEndPr/>
              <w:sdtContent>
                <w:r w:rsidR="00AC6FA6" w:rsidRPr="00996A12">
                  <w:rPr>
                    <w:rFonts w:ascii="Segoe UI Symbol" w:eastAsia="MS Gothic" w:hAnsi="Segoe UI Symbol" w:cs="Segoe UI Symbol"/>
                    <w:color w:val="000000"/>
                    <w:spacing w:val="-2"/>
                  </w:rPr>
                  <w:t>☐</w:t>
                </w:r>
              </w:sdtContent>
            </w:sdt>
            <w:r w:rsidR="00AC6FA6" w:rsidRPr="00996A12">
              <w:rPr>
                <w:rFonts w:ascii="Times New Roman" w:hAnsi="Times New Roman"/>
                <w:color w:val="000000"/>
                <w:spacing w:val="-2"/>
              </w:rPr>
              <w:t xml:space="preserve"> zdrowie</w:t>
            </w:r>
          </w:p>
        </w:tc>
      </w:tr>
      <w:tr w:rsidR="00AC6FA6" w:rsidRPr="00996A12" w14:paraId="27D5EEB8" w14:textId="77777777" w:rsidTr="00196538">
        <w:trPr>
          <w:trHeight w:val="712"/>
        </w:trPr>
        <w:tc>
          <w:tcPr>
            <w:tcW w:w="2349" w:type="dxa"/>
            <w:gridSpan w:val="3"/>
            <w:shd w:val="clear" w:color="auto" w:fill="FFFFFF"/>
            <w:vAlign w:val="center"/>
          </w:tcPr>
          <w:p w14:paraId="314DB3B8" w14:textId="77777777" w:rsidR="00AC6FA6" w:rsidRPr="00996A12" w:rsidRDefault="00AC6FA6" w:rsidP="00AC6FA6">
            <w:pPr>
              <w:spacing w:line="240" w:lineRule="auto"/>
              <w:rPr>
                <w:rFonts w:ascii="Times New Roman" w:hAnsi="Times New Roman"/>
                <w:color w:val="000000"/>
              </w:rPr>
            </w:pPr>
            <w:r w:rsidRPr="00996A12">
              <w:rPr>
                <w:rFonts w:ascii="Times New Roman" w:hAnsi="Times New Roman"/>
                <w:color w:val="000000"/>
              </w:rPr>
              <w:t>Omówienie wpływu</w:t>
            </w:r>
          </w:p>
        </w:tc>
        <w:tc>
          <w:tcPr>
            <w:tcW w:w="8454" w:type="dxa"/>
            <w:gridSpan w:val="25"/>
            <w:shd w:val="clear" w:color="auto" w:fill="FFFFFF"/>
            <w:vAlign w:val="center"/>
          </w:tcPr>
          <w:p w14:paraId="0CF470FD" w14:textId="77777777" w:rsidR="00AC6FA6" w:rsidRPr="00996A12" w:rsidRDefault="00AC6FA6" w:rsidP="00AC6FA6">
            <w:pPr>
              <w:spacing w:line="240" w:lineRule="auto"/>
              <w:jc w:val="both"/>
              <w:rPr>
                <w:rFonts w:ascii="Times New Roman" w:hAnsi="Times New Roman"/>
                <w:color w:val="000000"/>
                <w:spacing w:val="-2"/>
              </w:rPr>
            </w:pPr>
          </w:p>
          <w:p w14:paraId="189F56E8" w14:textId="77777777" w:rsidR="00AC6FA6" w:rsidRPr="00996A12" w:rsidRDefault="00AC6FA6" w:rsidP="00AC6FA6">
            <w:pPr>
              <w:spacing w:line="240" w:lineRule="auto"/>
              <w:jc w:val="both"/>
              <w:rPr>
                <w:rFonts w:ascii="Times New Roman" w:hAnsi="Times New Roman"/>
                <w:color w:val="000000"/>
                <w:spacing w:val="-2"/>
              </w:rPr>
            </w:pPr>
            <w:r w:rsidRPr="00996A12">
              <w:rPr>
                <w:rFonts w:ascii="Times New Roman" w:hAnsi="Times New Roman"/>
                <w:color w:val="000000"/>
                <w:spacing w:val="-2"/>
              </w:rPr>
              <w:t>Nie dotyczy</w:t>
            </w:r>
          </w:p>
          <w:p w14:paraId="33D5B037" w14:textId="77777777" w:rsidR="00AC6FA6" w:rsidRPr="00996A12" w:rsidRDefault="00AC6FA6" w:rsidP="00AC6FA6">
            <w:pPr>
              <w:spacing w:line="240" w:lineRule="auto"/>
              <w:jc w:val="both"/>
              <w:rPr>
                <w:rFonts w:ascii="Times New Roman" w:hAnsi="Times New Roman"/>
                <w:color w:val="000000"/>
                <w:spacing w:val="-2"/>
              </w:rPr>
            </w:pPr>
          </w:p>
        </w:tc>
      </w:tr>
      <w:tr w:rsidR="00AC6FA6" w:rsidRPr="00996A12" w14:paraId="42302962" w14:textId="77777777" w:rsidTr="00196538">
        <w:trPr>
          <w:trHeight w:val="142"/>
        </w:trPr>
        <w:tc>
          <w:tcPr>
            <w:tcW w:w="10803" w:type="dxa"/>
            <w:gridSpan w:val="28"/>
            <w:shd w:val="clear" w:color="auto" w:fill="99CCFF"/>
          </w:tcPr>
          <w:p w14:paraId="5533E049"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lastRenderedPageBreak/>
              <w:t>Planowane wykonanie przepisów aktu prawnego</w:t>
            </w:r>
          </w:p>
        </w:tc>
      </w:tr>
      <w:tr w:rsidR="00AC6FA6" w:rsidRPr="00996A12" w14:paraId="56B02939" w14:textId="77777777" w:rsidTr="00196538">
        <w:trPr>
          <w:trHeight w:val="142"/>
        </w:trPr>
        <w:tc>
          <w:tcPr>
            <w:tcW w:w="10803" w:type="dxa"/>
            <w:gridSpan w:val="28"/>
            <w:shd w:val="clear" w:color="auto" w:fill="FFFFFF"/>
          </w:tcPr>
          <w:p w14:paraId="4CB07EC6" w14:textId="77777777" w:rsidR="00AC6FA6" w:rsidRPr="00996A12" w:rsidRDefault="00AC6FA6" w:rsidP="00FF3890">
            <w:pPr>
              <w:spacing w:line="240" w:lineRule="auto"/>
              <w:jc w:val="both"/>
              <w:rPr>
                <w:rFonts w:ascii="Times New Roman" w:hAnsi="Times New Roman"/>
                <w:spacing w:val="-2"/>
              </w:rPr>
            </w:pPr>
            <w:r w:rsidRPr="00996A12">
              <w:rPr>
                <w:rFonts w:ascii="Times New Roman" w:hAnsi="Times New Roman"/>
                <w:spacing w:val="-2"/>
              </w:rPr>
              <w:t>Zgodnie z art. 7 dyrektywy Państwa członkowskie przyjmują i publikują przepisy niezbędne do wykonania niniejszej dyrektywy do dnia 28 listopada 2021 r. Państwa członkowskie stosują te przepisy od dnia 28 maja 2022 r.</w:t>
            </w:r>
          </w:p>
          <w:p w14:paraId="29FC5A88" w14:textId="77777777" w:rsidR="00FF3890" w:rsidRPr="00996A12" w:rsidRDefault="00FF3890" w:rsidP="00FF3890">
            <w:pPr>
              <w:spacing w:line="240" w:lineRule="auto"/>
              <w:jc w:val="both"/>
              <w:rPr>
                <w:rFonts w:ascii="Times New Roman" w:hAnsi="Times New Roman"/>
                <w:spacing w:val="-2"/>
              </w:rPr>
            </w:pPr>
          </w:p>
          <w:p w14:paraId="5129DCC3" w14:textId="1796A778" w:rsidR="00AC6FA6" w:rsidRPr="00996A12" w:rsidRDefault="00AC6FA6" w:rsidP="00AC6FA6">
            <w:pPr>
              <w:spacing w:after="120"/>
              <w:jc w:val="both"/>
              <w:rPr>
                <w:rFonts w:ascii="Times New Roman" w:hAnsi="Times New Roman"/>
              </w:rPr>
            </w:pPr>
            <w:r w:rsidRPr="00996A12">
              <w:rPr>
                <w:rFonts w:ascii="Times New Roman" w:hAnsi="Times New Roman"/>
              </w:rPr>
              <w:t>Termin przesłania projektu do uzgodnień międzyresortowych: II</w:t>
            </w:r>
            <w:r w:rsidR="007B4E59" w:rsidRPr="00996A12">
              <w:rPr>
                <w:rFonts w:ascii="Times New Roman" w:hAnsi="Times New Roman"/>
              </w:rPr>
              <w:t>I</w:t>
            </w:r>
            <w:r w:rsidRPr="00996A12">
              <w:rPr>
                <w:rFonts w:ascii="Times New Roman" w:hAnsi="Times New Roman"/>
              </w:rPr>
              <w:t xml:space="preserve"> kwartał 2021 r. </w:t>
            </w:r>
          </w:p>
          <w:p w14:paraId="4E06F802" w14:textId="22D7366D" w:rsidR="00AC6FA6" w:rsidRPr="00996A12" w:rsidRDefault="00AC6FA6" w:rsidP="00AC6FA6">
            <w:pPr>
              <w:spacing w:after="120"/>
              <w:jc w:val="both"/>
              <w:rPr>
                <w:rFonts w:ascii="Times New Roman" w:hAnsi="Times New Roman"/>
              </w:rPr>
            </w:pPr>
            <w:r w:rsidRPr="00996A12">
              <w:rPr>
                <w:rFonts w:ascii="Times New Roman" w:hAnsi="Times New Roman"/>
              </w:rPr>
              <w:t>Termin wniesienia na SKRM: I</w:t>
            </w:r>
            <w:r w:rsidR="007B4E59" w:rsidRPr="00996A12">
              <w:rPr>
                <w:rFonts w:ascii="Times New Roman" w:hAnsi="Times New Roman"/>
              </w:rPr>
              <w:t>V</w:t>
            </w:r>
            <w:r w:rsidRPr="00996A12">
              <w:rPr>
                <w:rFonts w:ascii="Times New Roman" w:hAnsi="Times New Roman"/>
              </w:rPr>
              <w:t xml:space="preserve"> kwartał 2021 r. </w:t>
            </w:r>
          </w:p>
          <w:p w14:paraId="7C655664" w14:textId="354FC426" w:rsidR="00AC6FA6" w:rsidRPr="00996A12" w:rsidRDefault="00AC6FA6" w:rsidP="00AC6FA6">
            <w:pPr>
              <w:spacing w:after="120"/>
              <w:jc w:val="both"/>
              <w:rPr>
                <w:rFonts w:ascii="Times New Roman" w:hAnsi="Times New Roman"/>
              </w:rPr>
            </w:pPr>
            <w:r w:rsidRPr="00996A12">
              <w:rPr>
                <w:rFonts w:ascii="Times New Roman" w:hAnsi="Times New Roman"/>
              </w:rPr>
              <w:t>Termin przedłożenia na RM: I</w:t>
            </w:r>
            <w:r w:rsidR="007B4E59" w:rsidRPr="00996A12">
              <w:rPr>
                <w:rFonts w:ascii="Times New Roman" w:hAnsi="Times New Roman"/>
              </w:rPr>
              <w:t>V</w:t>
            </w:r>
            <w:r w:rsidRPr="00996A12">
              <w:rPr>
                <w:rFonts w:ascii="Times New Roman" w:hAnsi="Times New Roman"/>
              </w:rPr>
              <w:t xml:space="preserve"> kwartał 2021 r.</w:t>
            </w:r>
          </w:p>
        </w:tc>
      </w:tr>
      <w:tr w:rsidR="00AC6FA6" w:rsidRPr="00996A12" w14:paraId="53575CE9" w14:textId="77777777" w:rsidTr="00196538">
        <w:trPr>
          <w:trHeight w:val="142"/>
        </w:trPr>
        <w:tc>
          <w:tcPr>
            <w:tcW w:w="10803" w:type="dxa"/>
            <w:gridSpan w:val="28"/>
            <w:shd w:val="clear" w:color="auto" w:fill="99CCFF"/>
          </w:tcPr>
          <w:p w14:paraId="3F2A42F4"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t xml:space="preserve"> W jaki sposób i kiedy nastąpi ewaluacja efektów projektu oraz jakie mierniki zostaną zastosowane?</w:t>
            </w:r>
          </w:p>
        </w:tc>
      </w:tr>
      <w:tr w:rsidR="00AC6FA6" w:rsidRPr="00996A12" w14:paraId="279E797E" w14:textId="77777777" w:rsidTr="00196538">
        <w:trPr>
          <w:trHeight w:val="142"/>
        </w:trPr>
        <w:tc>
          <w:tcPr>
            <w:tcW w:w="10803" w:type="dxa"/>
            <w:gridSpan w:val="28"/>
            <w:shd w:val="clear" w:color="auto" w:fill="FFFFFF"/>
          </w:tcPr>
          <w:p w14:paraId="5994416B" w14:textId="77777777" w:rsidR="00AC6FA6" w:rsidRPr="00996A12" w:rsidRDefault="00AC6FA6" w:rsidP="00AC6FA6">
            <w:pPr>
              <w:spacing w:line="240" w:lineRule="auto"/>
              <w:jc w:val="both"/>
              <w:rPr>
                <w:rFonts w:ascii="Times New Roman" w:hAnsi="Times New Roman"/>
                <w:spacing w:val="-2"/>
              </w:rPr>
            </w:pPr>
            <w:r w:rsidRPr="00996A12">
              <w:rPr>
                <w:rFonts w:ascii="Times New Roman" w:hAnsi="Times New Roman"/>
                <w:color w:val="000000"/>
                <w:spacing w:val="-2"/>
              </w:rPr>
              <w:t>Przewiduje się przeprowadzenie ewaluacji efektów projektu w terminie 3 lat od daty wejścia w życie ustawy. Zastosowane mierniki: zmiana liczby sygnałów rynkowych, które docierają do UOKiK, liczba prowadzonych postępowań, liczba wydanych decyzji w sprawach praktyk naruszających interesy konsumentów</w:t>
            </w:r>
            <w:r w:rsidRPr="00996A12">
              <w:rPr>
                <w:rFonts w:ascii="Times New Roman" w:hAnsi="Times New Roman"/>
                <w:spacing w:val="-2"/>
              </w:rPr>
              <w:t xml:space="preserve">. </w:t>
            </w:r>
          </w:p>
        </w:tc>
      </w:tr>
      <w:tr w:rsidR="00AC6FA6" w:rsidRPr="00996A12" w14:paraId="0B85DBDA" w14:textId="77777777" w:rsidTr="00196538">
        <w:trPr>
          <w:trHeight w:val="142"/>
        </w:trPr>
        <w:tc>
          <w:tcPr>
            <w:tcW w:w="10803" w:type="dxa"/>
            <w:gridSpan w:val="28"/>
            <w:shd w:val="clear" w:color="auto" w:fill="99CCFF"/>
          </w:tcPr>
          <w:p w14:paraId="05A7A587" w14:textId="77777777" w:rsidR="00AC6FA6" w:rsidRPr="00996A12" w:rsidRDefault="00AC6FA6" w:rsidP="00AC6FA6">
            <w:pPr>
              <w:numPr>
                <w:ilvl w:val="0"/>
                <w:numId w:val="3"/>
              </w:numPr>
              <w:spacing w:before="60" w:after="60" w:line="240" w:lineRule="auto"/>
              <w:ind w:left="318" w:hanging="284"/>
              <w:jc w:val="both"/>
              <w:rPr>
                <w:rFonts w:ascii="Times New Roman" w:hAnsi="Times New Roman"/>
                <w:b/>
                <w:color w:val="000000"/>
                <w:spacing w:val="-2"/>
              </w:rPr>
            </w:pPr>
            <w:r w:rsidRPr="00996A12">
              <w:rPr>
                <w:rFonts w:ascii="Times New Roman" w:hAnsi="Times New Roman"/>
                <w:b/>
                <w:color w:val="000000"/>
                <w:spacing w:val="-2"/>
              </w:rPr>
              <w:t xml:space="preserve">Załączniki (istotne dokumenty źródłowe, badania, analizy itp.) </w:t>
            </w:r>
          </w:p>
        </w:tc>
      </w:tr>
      <w:tr w:rsidR="00AC6FA6" w:rsidRPr="00996A12" w14:paraId="79B6F8A7" w14:textId="77777777" w:rsidTr="00196538">
        <w:trPr>
          <w:trHeight w:val="142"/>
        </w:trPr>
        <w:tc>
          <w:tcPr>
            <w:tcW w:w="10803" w:type="dxa"/>
            <w:gridSpan w:val="28"/>
            <w:shd w:val="clear" w:color="auto" w:fill="FFFFFF"/>
          </w:tcPr>
          <w:p w14:paraId="294FE954" w14:textId="77777777" w:rsidR="00AC6FA6" w:rsidRPr="00996A12" w:rsidRDefault="00AC6FA6" w:rsidP="00AC6FA6">
            <w:pPr>
              <w:spacing w:line="240" w:lineRule="auto"/>
              <w:jc w:val="both"/>
              <w:rPr>
                <w:rFonts w:ascii="Times New Roman" w:hAnsi="Times New Roman"/>
                <w:color w:val="000000"/>
                <w:spacing w:val="-2"/>
              </w:rPr>
            </w:pPr>
          </w:p>
        </w:tc>
      </w:tr>
    </w:tbl>
    <w:p w14:paraId="7B6E2742" w14:textId="77777777" w:rsidR="006176ED" w:rsidRPr="00996A12" w:rsidRDefault="006176ED" w:rsidP="00B73CD8">
      <w:pPr>
        <w:pStyle w:val="Nagwek1"/>
        <w:rPr>
          <w:rFonts w:ascii="Times New Roman" w:hAnsi="Times New Roman" w:cs="Times New Roman"/>
          <w:sz w:val="22"/>
          <w:szCs w:val="22"/>
        </w:rPr>
      </w:pPr>
    </w:p>
    <w:sectPr w:rsidR="006176ED" w:rsidRPr="00996A12" w:rsidSect="00725DE7">
      <w:headerReference w:type="default" r:id="rId15"/>
      <w:footerReference w:type="default" r:id="rId16"/>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6B67" w14:textId="77777777" w:rsidR="00F56569" w:rsidRDefault="00F56569" w:rsidP="00044739">
      <w:pPr>
        <w:spacing w:line="240" w:lineRule="auto"/>
      </w:pPr>
      <w:r>
        <w:separator/>
      </w:r>
    </w:p>
  </w:endnote>
  <w:endnote w:type="continuationSeparator" w:id="0">
    <w:p w14:paraId="1B50B2FE" w14:textId="77777777" w:rsidR="00F56569" w:rsidRDefault="00F56569" w:rsidP="00044739">
      <w:pPr>
        <w:spacing w:line="240" w:lineRule="auto"/>
      </w:pPr>
      <w:r>
        <w:continuationSeparator/>
      </w:r>
    </w:p>
  </w:endnote>
  <w:endnote w:type="continuationNotice" w:id="1">
    <w:p w14:paraId="5DE41BC9" w14:textId="77777777" w:rsidR="00F56569" w:rsidRDefault="00F565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8083"/>
      <w:docPartObj>
        <w:docPartGallery w:val="Page Numbers (Bottom of Page)"/>
        <w:docPartUnique/>
      </w:docPartObj>
    </w:sdtPr>
    <w:sdtEndPr/>
    <w:sdtContent>
      <w:p w14:paraId="6A5AD5FF" w14:textId="77777777" w:rsidR="00253955" w:rsidRDefault="00253955">
        <w:pPr>
          <w:pStyle w:val="Stopk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9D0869B" w14:textId="77777777" w:rsidR="00253955" w:rsidRDefault="002539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B374" w14:textId="77777777" w:rsidR="00F56569" w:rsidRDefault="00F56569" w:rsidP="00044739">
      <w:pPr>
        <w:spacing w:line="240" w:lineRule="auto"/>
      </w:pPr>
      <w:r>
        <w:separator/>
      </w:r>
    </w:p>
  </w:footnote>
  <w:footnote w:type="continuationSeparator" w:id="0">
    <w:p w14:paraId="1532CA48" w14:textId="77777777" w:rsidR="00F56569" w:rsidRDefault="00F56569" w:rsidP="00044739">
      <w:pPr>
        <w:spacing w:line="240" w:lineRule="auto"/>
      </w:pPr>
      <w:r>
        <w:continuationSeparator/>
      </w:r>
    </w:p>
  </w:footnote>
  <w:footnote w:type="continuationNotice" w:id="1">
    <w:p w14:paraId="4A383046" w14:textId="77777777" w:rsidR="00F56569" w:rsidRDefault="00F565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9E7D" w14:textId="77777777" w:rsidR="00253955" w:rsidRDefault="00253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D0B12"/>
    <w:multiLevelType w:val="hybridMultilevel"/>
    <w:tmpl w:val="BF048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48B3F33"/>
    <w:multiLevelType w:val="hybridMultilevel"/>
    <w:tmpl w:val="1BD4DB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4D08BC"/>
    <w:multiLevelType w:val="hybridMultilevel"/>
    <w:tmpl w:val="7AF47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53A47"/>
    <w:multiLevelType w:val="hybridMultilevel"/>
    <w:tmpl w:val="BD307AD2"/>
    <w:lvl w:ilvl="0" w:tplc="025CF1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B1359"/>
    <w:multiLevelType w:val="hybridMultilevel"/>
    <w:tmpl w:val="F188A19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681052"/>
    <w:multiLevelType w:val="hybridMultilevel"/>
    <w:tmpl w:val="1F54191C"/>
    <w:lvl w:ilvl="0" w:tplc="CC3A4A9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5D7E43"/>
    <w:multiLevelType w:val="hybridMultilevel"/>
    <w:tmpl w:val="D5084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C7900"/>
    <w:multiLevelType w:val="hybridMultilevel"/>
    <w:tmpl w:val="76725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1D4A98"/>
    <w:multiLevelType w:val="hybridMultilevel"/>
    <w:tmpl w:val="97DA3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5E94BFC"/>
    <w:multiLevelType w:val="hybridMultilevel"/>
    <w:tmpl w:val="652E1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FD42F0"/>
    <w:multiLevelType w:val="hybridMultilevel"/>
    <w:tmpl w:val="52AAA5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4" w15:restartNumberingAfterBreak="0">
    <w:nsid w:val="4F6B7FC5"/>
    <w:multiLevelType w:val="hybridMultilevel"/>
    <w:tmpl w:val="C12671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17420C2"/>
    <w:multiLevelType w:val="hybridMultilevel"/>
    <w:tmpl w:val="CACC9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275041"/>
    <w:multiLevelType w:val="hybridMultilevel"/>
    <w:tmpl w:val="52B41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D790E"/>
    <w:multiLevelType w:val="hybridMultilevel"/>
    <w:tmpl w:val="BF048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15:restartNumberingAfterBreak="0">
    <w:nsid w:val="641B3565"/>
    <w:multiLevelType w:val="hybridMultilevel"/>
    <w:tmpl w:val="38F46D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4F241F"/>
    <w:multiLevelType w:val="hybridMultilevel"/>
    <w:tmpl w:val="F3525BBA"/>
    <w:lvl w:ilvl="0" w:tplc="0415000F">
      <w:start w:val="1"/>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A81084"/>
    <w:multiLevelType w:val="hybridMultilevel"/>
    <w:tmpl w:val="80DE2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C7F06"/>
    <w:multiLevelType w:val="hybridMultilevel"/>
    <w:tmpl w:val="0AF6E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32"/>
  </w:num>
  <w:num w:numId="5">
    <w:abstractNumId w:val="2"/>
  </w:num>
  <w:num w:numId="6">
    <w:abstractNumId w:val="14"/>
  </w:num>
  <w:num w:numId="7">
    <w:abstractNumId w:val="22"/>
  </w:num>
  <w:num w:numId="8">
    <w:abstractNumId w:val="10"/>
  </w:num>
  <w:num w:numId="9">
    <w:abstractNumId w:val="25"/>
  </w:num>
  <w:num w:numId="10">
    <w:abstractNumId w:val="19"/>
  </w:num>
  <w:num w:numId="11">
    <w:abstractNumId w:val="23"/>
  </w:num>
  <w:num w:numId="12">
    <w:abstractNumId w:val="3"/>
  </w:num>
  <w:num w:numId="13">
    <w:abstractNumId w:val="18"/>
  </w:num>
  <w:num w:numId="14">
    <w:abstractNumId w:val="33"/>
  </w:num>
  <w:num w:numId="15">
    <w:abstractNumId w:val="27"/>
  </w:num>
  <w:num w:numId="16">
    <w:abstractNumId w:val="31"/>
  </w:num>
  <w:num w:numId="17">
    <w:abstractNumId w:val="11"/>
  </w:num>
  <w:num w:numId="18">
    <w:abstractNumId w:val="36"/>
  </w:num>
  <w:num w:numId="19">
    <w:abstractNumId w:val="38"/>
  </w:num>
  <w:num w:numId="20">
    <w:abstractNumId w:val="28"/>
  </w:num>
  <w:num w:numId="21">
    <w:abstractNumId w:val="13"/>
  </w:num>
  <w:num w:numId="22">
    <w:abstractNumId w:val="21"/>
  </w:num>
  <w:num w:numId="23">
    <w:abstractNumId w:val="35"/>
  </w:num>
  <w:num w:numId="24">
    <w:abstractNumId w:val="34"/>
  </w:num>
  <w:num w:numId="25">
    <w:abstractNumId w:val="26"/>
  </w:num>
  <w:num w:numId="26">
    <w:abstractNumId w:val="15"/>
  </w:num>
  <w:num w:numId="27">
    <w:abstractNumId w:val="24"/>
  </w:num>
  <w:num w:numId="28">
    <w:abstractNumId w:val="8"/>
  </w:num>
  <w:num w:numId="29">
    <w:abstractNumId w:val="16"/>
  </w:num>
  <w:num w:numId="30">
    <w:abstractNumId w:val="39"/>
  </w:num>
  <w:num w:numId="31">
    <w:abstractNumId w:val="29"/>
  </w:num>
  <w:num w:numId="32">
    <w:abstractNumId w:val="12"/>
  </w:num>
  <w:num w:numId="33">
    <w:abstractNumId w:val="4"/>
  </w:num>
  <w:num w:numId="34">
    <w:abstractNumId w:val="7"/>
  </w:num>
  <w:num w:numId="35">
    <w:abstractNumId w:val="1"/>
  </w:num>
  <w:num w:numId="36">
    <w:abstractNumId w:val="6"/>
  </w:num>
  <w:num w:numId="37">
    <w:abstractNumId w:val="30"/>
  </w:num>
  <w:num w:numId="38">
    <w:abstractNumId w:val="5"/>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07AE5"/>
    <w:rsid w:val="00011C83"/>
    <w:rsid w:val="00012D11"/>
    <w:rsid w:val="00013EB5"/>
    <w:rsid w:val="00023836"/>
    <w:rsid w:val="0002456F"/>
    <w:rsid w:val="0002459B"/>
    <w:rsid w:val="000249E2"/>
    <w:rsid w:val="00030DB3"/>
    <w:rsid w:val="00033516"/>
    <w:rsid w:val="000356A9"/>
    <w:rsid w:val="000425BB"/>
    <w:rsid w:val="00042E74"/>
    <w:rsid w:val="00044138"/>
    <w:rsid w:val="000446F1"/>
    <w:rsid w:val="00044739"/>
    <w:rsid w:val="00045515"/>
    <w:rsid w:val="0004606A"/>
    <w:rsid w:val="00046764"/>
    <w:rsid w:val="00051637"/>
    <w:rsid w:val="000555C6"/>
    <w:rsid w:val="00056681"/>
    <w:rsid w:val="000628D5"/>
    <w:rsid w:val="0006324E"/>
    <w:rsid w:val="0006437F"/>
    <w:rsid w:val="000648A7"/>
    <w:rsid w:val="000655E2"/>
    <w:rsid w:val="0006618B"/>
    <w:rsid w:val="000670C0"/>
    <w:rsid w:val="00071B99"/>
    <w:rsid w:val="000756E5"/>
    <w:rsid w:val="0007664A"/>
    <w:rsid w:val="0007704E"/>
    <w:rsid w:val="0007783F"/>
    <w:rsid w:val="00077FAB"/>
    <w:rsid w:val="00080EC8"/>
    <w:rsid w:val="000860B4"/>
    <w:rsid w:val="00090D1A"/>
    <w:rsid w:val="00091C58"/>
    <w:rsid w:val="00092046"/>
    <w:rsid w:val="000944AC"/>
    <w:rsid w:val="00094971"/>
    <w:rsid w:val="00094CB9"/>
    <w:rsid w:val="000956B2"/>
    <w:rsid w:val="00095AA2"/>
    <w:rsid w:val="00096682"/>
    <w:rsid w:val="000969E7"/>
    <w:rsid w:val="00097C99"/>
    <w:rsid w:val="000A0CAA"/>
    <w:rsid w:val="000A23DE"/>
    <w:rsid w:val="000A4020"/>
    <w:rsid w:val="000A49C1"/>
    <w:rsid w:val="000A61CB"/>
    <w:rsid w:val="000B005A"/>
    <w:rsid w:val="000B54FB"/>
    <w:rsid w:val="000B7DAF"/>
    <w:rsid w:val="000C29B0"/>
    <w:rsid w:val="000C5F6C"/>
    <w:rsid w:val="000C76FC"/>
    <w:rsid w:val="000C7EE8"/>
    <w:rsid w:val="000D3013"/>
    <w:rsid w:val="000D38FC"/>
    <w:rsid w:val="000D4D90"/>
    <w:rsid w:val="000D76BA"/>
    <w:rsid w:val="000E11DD"/>
    <w:rsid w:val="000E1F96"/>
    <w:rsid w:val="000E2D10"/>
    <w:rsid w:val="000E4441"/>
    <w:rsid w:val="000E5C6E"/>
    <w:rsid w:val="000F010F"/>
    <w:rsid w:val="000F3204"/>
    <w:rsid w:val="000F42FB"/>
    <w:rsid w:val="000F4E06"/>
    <w:rsid w:val="000F68BD"/>
    <w:rsid w:val="0010222C"/>
    <w:rsid w:val="0010454C"/>
    <w:rsid w:val="0010548B"/>
    <w:rsid w:val="001072D1"/>
    <w:rsid w:val="001127C7"/>
    <w:rsid w:val="00117017"/>
    <w:rsid w:val="001219BD"/>
    <w:rsid w:val="00122A48"/>
    <w:rsid w:val="00130E8E"/>
    <w:rsid w:val="00131730"/>
    <w:rsid w:val="00131B9B"/>
    <w:rsid w:val="0013216E"/>
    <w:rsid w:val="00137702"/>
    <w:rsid w:val="001401B5"/>
    <w:rsid w:val="00142127"/>
    <w:rsid w:val="001422B9"/>
    <w:rsid w:val="0014341E"/>
    <w:rsid w:val="00144BA4"/>
    <w:rsid w:val="00146322"/>
    <w:rsid w:val="001463F9"/>
    <w:rsid w:val="0014665F"/>
    <w:rsid w:val="00147998"/>
    <w:rsid w:val="001508D0"/>
    <w:rsid w:val="001518CF"/>
    <w:rsid w:val="00152523"/>
    <w:rsid w:val="00153464"/>
    <w:rsid w:val="001541B3"/>
    <w:rsid w:val="00155B15"/>
    <w:rsid w:val="001569F6"/>
    <w:rsid w:val="00160278"/>
    <w:rsid w:val="00160DC0"/>
    <w:rsid w:val="001625BE"/>
    <w:rsid w:val="00163F8F"/>
    <w:rsid w:val="001643A4"/>
    <w:rsid w:val="00165A6D"/>
    <w:rsid w:val="001673F4"/>
    <w:rsid w:val="00167768"/>
    <w:rsid w:val="00170137"/>
    <w:rsid w:val="0017256F"/>
    <w:rsid w:val="001727BB"/>
    <w:rsid w:val="0017460A"/>
    <w:rsid w:val="00174BE4"/>
    <w:rsid w:val="00180CA1"/>
    <w:rsid w:val="00180D25"/>
    <w:rsid w:val="0018318D"/>
    <w:rsid w:val="001847F3"/>
    <w:rsid w:val="001854A2"/>
    <w:rsid w:val="0018572C"/>
    <w:rsid w:val="00187E79"/>
    <w:rsid w:val="00187F0D"/>
    <w:rsid w:val="00192286"/>
    <w:rsid w:val="00192CC5"/>
    <w:rsid w:val="00193AC0"/>
    <w:rsid w:val="001956A7"/>
    <w:rsid w:val="00196538"/>
    <w:rsid w:val="00196D03"/>
    <w:rsid w:val="00196F83"/>
    <w:rsid w:val="001A0F81"/>
    <w:rsid w:val="001A118A"/>
    <w:rsid w:val="001A27F4"/>
    <w:rsid w:val="001A2D95"/>
    <w:rsid w:val="001B112E"/>
    <w:rsid w:val="001B3460"/>
    <w:rsid w:val="001B4CA1"/>
    <w:rsid w:val="001B75D8"/>
    <w:rsid w:val="001C1060"/>
    <w:rsid w:val="001C21EB"/>
    <w:rsid w:val="001C2D6A"/>
    <w:rsid w:val="001C3C63"/>
    <w:rsid w:val="001C4265"/>
    <w:rsid w:val="001C5E6F"/>
    <w:rsid w:val="001D4732"/>
    <w:rsid w:val="001D5476"/>
    <w:rsid w:val="001D6A3C"/>
    <w:rsid w:val="001D6D51"/>
    <w:rsid w:val="001D7DD0"/>
    <w:rsid w:val="001D7FFB"/>
    <w:rsid w:val="001E1E8F"/>
    <w:rsid w:val="001E3B3C"/>
    <w:rsid w:val="001E3DC8"/>
    <w:rsid w:val="001E77C1"/>
    <w:rsid w:val="001F4AD2"/>
    <w:rsid w:val="001F653A"/>
    <w:rsid w:val="001F6979"/>
    <w:rsid w:val="00201ABB"/>
    <w:rsid w:val="00202BC6"/>
    <w:rsid w:val="00205141"/>
    <w:rsid w:val="0020516B"/>
    <w:rsid w:val="00206406"/>
    <w:rsid w:val="00207ACC"/>
    <w:rsid w:val="00213559"/>
    <w:rsid w:val="00213EFD"/>
    <w:rsid w:val="00216231"/>
    <w:rsid w:val="002172F1"/>
    <w:rsid w:val="00220014"/>
    <w:rsid w:val="00220B68"/>
    <w:rsid w:val="00223374"/>
    <w:rsid w:val="00223C7B"/>
    <w:rsid w:val="00224AB1"/>
    <w:rsid w:val="0022687A"/>
    <w:rsid w:val="00230202"/>
    <w:rsid w:val="00230728"/>
    <w:rsid w:val="00231FDC"/>
    <w:rsid w:val="00232258"/>
    <w:rsid w:val="002336BA"/>
    <w:rsid w:val="00234040"/>
    <w:rsid w:val="0023484E"/>
    <w:rsid w:val="00235CD2"/>
    <w:rsid w:val="00240210"/>
    <w:rsid w:val="00250909"/>
    <w:rsid w:val="00251435"/>
    <w:rsid w:val="00253955"/>
    <w:rsid w:val="00254DED"/>
    <w:rsid w:val="00255619"/>
    <w:rsid w:val="00255DAD"/>
    <w:rsid w:val="00256108"/>
    <w:rsid w:val="00260F33"/>
    <w:rsid w:val="002613BD"/>
    <w:rsid w:val="002624F1"/>
    <w:rsid w:val="00266247"/>
    <w:rsid w:val="00267F2B"/>
    <w:rsid w:val="00270C81"/>
    <w:rsid w:val="00271558"/>
    <w:rsid w:val="00274862"/>
    <w:rsid w:val="00277DCD"/>
    <w:rsid w:val="00281065"/>
    <w:rsid w:val="00282395"/>
    <w:rsid w:val="00282D72"/>
    <w:rsid w:val="00283402"/>
    <w:rsid w:val="00285994"/>
    <w:rsid w:val="00290A50"/>
    <w:rsid w:val="00290FD6"/>
    <w:rsid w:val="00293A49"/>
    <w:rsid w:val="00294259"/>
    <w:rsid w:val="002A1511"/>
    <w:rsid w:val="002A2C81"/>
    <w:rsid w:val="002A32E5"/>
    <w:rsid w:val="002A437D"/>
    <w:rsid w:val="002A7DEF"/>
    <w:rsid w:val="002B1539"/>
    <w:rsid w:val="002B1B54"/>
    <w:rsid w:val="002B3D1A"/>
    <w:rsid w:val="002B419C"/>
    <w:rsid w:val="002B44CB"/>
    <w:rsid w:val="002B47A8"/>
    <w:rsid w:val="002B5309"/>
    <w:rsid w:val="002B7D99"/>
    <w:rsid w:val="002C1E82"/>
    <w:rsid w:val="002C27D0"/>
    <w:rsid w:val="002C2C9B"/>
    <w:rsid w:val="002C63B6"/>
    <w:rsid w:val="002D17D6"/>
    <w:rsid w:val="002D18D7"/>
    <w:rsid w:val="002D1D52"/>
    <w:rsid w:val="002D21CE"/>
    <w:rsid w:val="002D5FDF"/>
    <w:rsid w:val="002D7207"/>
    <w:rsid w:val="002E1EDE"/>
    <w:rsid w:val="002E3DA3"/>
    <w:rsid w:val="002E450F"/>
    <w:rsid w:val="002E58C7"/>
    <w:rsid w:val="002E6B38"/>
    <w:rsid w:val="002E6D63"/>
    <w:rsid w:val="002E6E2B"/>
    <w:rsid w:val="002E72C1"/>
    <w:rsid w:val="002F07B8"/>
    <w:rsid w:val="002F0D14"/>
    <w:rsid w:val="002F500B"/>
    <w:rsid w:val="002F60F0"/>
    <w:rsid w:val="002F7F50"/>
    <w:rsid w:val="00300991"/>
    <w:rsid w:val="00300DBB"/>
    <w:rsid w:val="0030108C"/>
    <w:rsid w:val="00301959"/>
    <w:rsid w:val="003043DB"/>
    <w:rsid w:val="00305B8A"/>
    <w:rsid w:val="0031101A"/>
    <w:rsid w:val="00316233"/>
    <w:rsid w:val="003168C0"/>
    <w:rsid w:val="00317F40"/>
    <w:rsid w:val="0032281B"/>
    <w:rsid w:val="00330013"/>
    <w:rsid w:val="00330DF9"/>
    <w:rsid w:val="003319E2"/>
    <w:rsid w:val="00331BF9"/>
    <w:rsid w:val="00334040"/>
    <w:rsid w:val="0033495E"/>
    <w:rsid w:val="00334A79"/>
    <w:rsid w:val="00334D8D"/>
    <w:rsid w:val="00334D9C"/>
    <w:rsid w:val="00337345"/>
    <w:rsid w:val="00337DD2"/>
    <w:rsid w:val="003404D1"/>
    <w:rsid w:val="00341560"/>
    <w:rsid w:val="003443FF"/>
    <w:rsid w:val="00344FF5"/>
    <w:rsid w:val="00346362"/>
    <w:rsid w:val="003469A4"/>
    <w:rsid w:val="00355808"/>
    <w:rsid w:val="00355F44"/>
    <w:rsid w:val="0035656E"/>
    <w:rsid w:val="00356625"/>
    <w:rsid w:val="00357761"/>
    <w:rsid w:val="003615C8"/>
    <w:rsid w:val="00362C7E"/>
    <w:rsid w:val="00363309"/>
    <w:rsid w:val="00363601"/>
    <w:rsid w:val="00365B68"/>
    <w:rsid w:val="00365D28"/>
    <w:rsid w:val="00371256"/>
    <w:rsid w:val="00371857"/>
    <w:rsid w:val="00372180"/>
    <w:rsid w:val="003740E4"/>
    <w:rsid w:val="003764A2"/>
    <w:rsid w:val="00376AC9"/>
    <w:rsid w:val="00381883"/>
    <w:rsid w:val="003905C3"/>
    <w:rsid w:val="003921E2"/>
    <w:rsid w:val="00393032"/>
    <w:rsid w:val="00394B69"/>
    <w:rsid w:val="00395205"/>
    <w:rsid w:val="00397078"/>
    <w:rsid w:val="003A203A"/>
    <w:rsid w:val="003A2CAE"/>
    <w:rsid w:val="003A5040"/>
    <w:rsid w:val="003A6953"/>
    <w:rsid w:val="003A6C41"/>
    <w:rsid w:val="003A7FEB"/>
    <w:rsid w:val="003B2C53"/>
    <w:rsid w:val="003B3BE3"/>
    <w:rsid w:val="003B42C1"/>
    <w:rsid w:val="003B6083"/>
    <w:rsid w:val="003B6F5E"/>
    <w:rsid w:val="003B7719"/>
    <w:rsid w:val="003B780A"/>
    <w:rsid w:val="003B7FE1"/>
    <w:rsid w:val="003C3838"/>
    <w:rsid w:val="003C3877"/>
    <w:rsid w:val="003C410A"/>
    <w:rsid w:val="003C5847"/>
    <w:rsid w:val="003D0681"/>
    <w:rsid w:val="003D0ACD"/>
    <w:rsid w:val="003D12F6"/>
    <w:rsid w:val="003D1426"/>
    <w:rsid w:val="003D4048"/>
    <w:rsid w:val="003D53F9"/>
    <w:rsid w:val="003D79B2"/>
    <w:rsid w:val="003E045E"/>
    <w:rsid w:val="003E2F4E"/>
    <w:rsid w:val="003E4640"/>
    <w:rsid w:val="003E4A62"/>
    <w:rsid w:val="003E5A23"/>
    <w:rsid w:val="003E720A"/>
    <w:rsid w:val="003F062E"/>
    <w:rsid w:val="003F3B3A"/>
    <w:rsid w:val="003F3D71"/>
    <w:rsid w:val="003F454C"/>
    <w:rsid w:val="003F6B7B"/>
    <w:rsid w:val="00402318"/>
    <w:rsid w:val="00403E6E"/>
    <w:rsid w:val="004040B9"/>
    <w:rsid w:val="004104C6"/>
    <w:rsid w:val="0041106A"/>
    <w:rsid w:val="00411B00"/>
    <w:rsid w:val="004129B4"/>
    <w:rsid w:val="00416877"/>
    <w:rsid w:val="00417EF0"/>
    <w:rsid w:val="00422181"/>
    <w:rsid w:val="004244A8"/>
    <w:rsid w:val="00425F72"/>
    <w:rsid w:val="00427736"/>
    <w:rsid w:val="00430CE0"/>
    <w:rsid w:val="0043182A"/>
    <w:rsid w:val="00434D19"/>
    <w:rsid w:val="00437CAC"/>
    <w:rsid w:val="00441787"/>
    <w:rsid w:val="00441B30"/>
    <w:rsid w:val="00444F2D"/>
    <w:rsid w:val="004455DD"/>
    <w:rsid w:val="00445C96"/>
    <w:rsid w:val="00450DBF"/>
    <w:rsid w:val="00452034"/>
    <w:rsid w:val="0045398B"/>
    <w:rsid w:val="00455FA6"/>
    <w:rsid w:val="004572A1"/>
    <w:rsid w:val="00461ECD"/>
    <w:rsid w:val="004658B8"/>
    <w:rsid w:val="00466A28"/>
    <w:rsid w:val="00466C70"/>
    <w:rsid w:val="004702C9"/>
    <w:rsid w:val="00472E45"/>
    <w:rsid w:val="00473FEA"/>
    <w:rsid w:val="00475003"/>
    <w:rsid w:val="00475664"/>
    <w:rsid w:val="0047579D"/>
    <w:rsid w:val="00483164"/>
    <w:rsid w:val="00483262"/>
    <w:rsid w:val="00484107"/>
    <w:rsid w:val="0048526C"/>
    <w:rsid w:val="00485CC5"/>
    <w:rsid w:val="00487187"/>
    <w:rsid w:val="0049343F"/>
    <w:rsid w:val="004964FC"/>
    <w:rsid w:val="00496F93"/>
    <w:rsid w:val="00497666"/>
    <w:rsid w:val="004A10E2"/>
    <w:rsid w:val="004A145E"/>
    <w:rsid w:val="004A1F15"/>
    <w:rsid w:val="004A2A81"/>
    <w:rsid w:val="004A61B9"/>
    <w:rsid w:val="004A7BD7"/>
    <w:rsid w:val="004B008E"/>
    <w:rsid w:val="004B123C"/>
    <w:rsid w:val="004B2404"/>
    <w:rsid w:val="004B2FAC"/>
    <w:rsid w:val="004B30CA"/>
    <w:rsid w:val="004B5F96"/>
    <w:rsid w:val="004B65FE"/>
    <w:rsid w:val="004C109C"/>
    <w:rsid w:val="004C15C2"/>
    <w:rsid w:val="004C36D8"/>
    <w:rsid w:val="004C3937"/>
    <w:rsid w:val="004C4E36"/>
    <w:rsid w:val="004C7F9E"/>
    <w:rsid w:val="004D1144"/>
    <w:rsid w:val="004D1248"/>
    <w:rsid w:val="004D1E3C"/>
    <w:rsid w:val="004D4169"/>
    <w:rsid w:val="004D539D"/>
    <w:rsid w:val="004D663D"/>
    <w:rsid w:val="004D6E14"/>
    <w:rsid w:val="004E489C"/>
    <w:rsid w:val="004E4B4B"/>
    <w:rsid w:val="004F0575"/>
    <w:rsid w:val="004F3D47"/>
    <w:rsid w:val="004F4A13"/>
    <w:rsid w:val="004F4E17"/>
    <w:rsid w:val="004F529F"/>
    <w:rsid w:val="005004C3"/>
    <w:rsid w:val="0050082F"/>
    <w:rsid w:val="00500C56"/>
    <w:rsid w:val="00501161"/>
    <w:rsid w:val="00501713"/>
    <w:rsid w:val="00503E7C"/>
    <w:rsid w:val="00506568"/>
    <w:rsid w:val="0050739A"/>
    <w:rsid w:val="005074D2"/>
    <w:rsid w:val="00511B47"/>
    <w:rsid w:val="0051339E"/>
    <w:rsid w:val="0051368F"/>
    <w:rsid w:val="00514058"/>
    <w:rsid w:val="00514CA3"/>
    <w:rsid w:val="0051551B"/>
    <w:rsid w:val="00520C57"/>
    <w:rsid w:val="00521AD4"/>
    <w:rsid w:val="00522D94"/>
    <w:rsid w:val="00523E74"/>
    <w:rsid w:val="005276CD"/>
    <w:rsid w:val="005311C2"/>
    <w:rsid w:val="00533D2E"/>
    <w:rsid w:val="00533D89"/>
    <w:rsid w:val="00533F78"/>
    <w:rsid w:val="005358B1"/>
    <w:rsid w:val="00535BAB"/>
    <w:rsid w:val="0053655F"/>
    <w:rsid w:val="00536564"/>
    <w:rsid w:val="005413CC"/>
    <w:rsid w:val="00542F43"/>
    <w:rsid w:val="00544597"/>
    <w:rsid w:val="00544FFE"/>
    <w:rsid w:val="005473F5"/>
    <w:rsid w:val="00547450"/>
    <w:rsid w:val="005477E7"/>
    <w:rsid w:val="00552794"/>
    <w:rsid w:val="00554D9A"/>
    <w:rsid w:val="00555E3A"/>
    <w:rsid w:val="00556050"/>
    <w:rsid w:val="00556300"/>
    <w:rsid w:val="00560799"/>
    <w:rsid w:val="00563199"/>
    <w:rsid w:val="00563399"/>
    <w:rsid w:val="00564874"/>
    <w:rsid w:val="0056514D"/>
    <w:rsid w:val="00565F03"/>
    <w:rsid w:val="00567372"/>
    <w:rsid w:val="00567963"/>
    <w:rsid w:val="0057009A"/>
    <w:rsid w:val="00571260"/>
    <w:rsid w:val="0057189C"/>
    <w:rsid w:val="00571AEE"/>
    <w:rsid w:val="005738B7"/>
    <w:rsid w:val="00573FC1"/>
    <w:rsid w:val="005741EE"/>
    <w:rsid w:val="00575009"/>
    <w:rsid w:val="00575148"/>
    <w:rsid w:val="0057668E"/>
    <w:rsid w:val="0058117C"/>
    <w:rsid w:val="005814F0"/>
    <w:rsid w:val="00584376"/>
    <w:rsid w:val="0058524B"/>
    <w:rsid w:val="00590C45"/>
    <w:rsid w:val="005943AA"/>
    <w:rsid w:val="00595E83"/>
    <w:rsid w:val="00596530"/>
    <w:rsid w:val="005967F3"/>
    <w:rsid w:val="005A06DF"/>
    <w:rsid w:val="005A3137"/>
    <w:rsid w:val="005A529F"/>
    <w:rsid w:val="005A5527"/>
    <w:rsid w:val="005A5AE6"/>
    <w:rsid w:val="005B061F"/>
    <w:rsid w:val="005B1206"/>
    <w:rsid w:val="005B37E8"/>
    <w:rsid w:val="005B3E5D"/>
    <w:rsid w:val="005B65A8"/>
    <w:rsid w:val="005B711D"/>
    <w:rsid w:val="005C0056"/>
    <w:rsid w:val="005D08F3"/>
    <w:rsid w:val="005D254F"/>
    <w:rsid w:val="005D61D6"/>
    <w:rsid w:val="005D6760"/>
    <w:rsid w:val="005E03D1"/>
    <w:rsid w:val="005E0D13"/>
    <w:rsid w:val="005E36A4"/>
    <w:rsid w:val="005E5047"/>
    <w:rsid w:val="005E7205"/>
    <w:rsid w:val="005E7371"/>
    <w:rsid w:val="005F027B"/>
    <w:rsid w:val="005F116C"/>
    <w:rsid w:val="005F2034"/>
    <w:rsid w:val="005F2131"/>
    <w:rsid w:val="005F74C7"/>
    <w:rsid w:val="00602218"/>
    <w:rsid w:val="00605EF6"/>
    <w:rsid w:val="00606168"/>
    <w:rsid w:val="00606455"/>
    <w:rsid w:val="00614929"/>
    <w:rsid w:val="00615337"/>
    <w:rsid w:val="00616511"/>
    <w:rsid w:val="006176ED"/>
    <w:rsid w:val="006202F3"/>
    <w:rsid w:val="0062097A"/>
    <w:rsid w:val="00620C18"/>
    <w:rsid w:val="00621DA6"/>
    <w:rsid w:val="0062221E"/>
    <w:rsid w:val="00623457"/>
    <w:rsid w:val="00623CFE"/>
    <w:rsid w:val="00627221"/>
    <w:rsid w:val="00627EE8"/>
    <w:rsid w:val="006316FA"/>
    <w:rsid w:val="0063275A"/>
    <w:rsid w:val="00635616"/>
    <w:rsid w:val="00635B6E"/>
    <w:rsid w:val="0063615F"/>
    <w:rsid w:val="006370D2"/>
    <w:rsid w:val="0064074F"/>
    <w:rsid w:val="00641F55"/>
    <w:rsid w:val="00645A2A"/>
    <w:rsid w:val="00645E4A"/>
    <w:rsid w:val="00647C64"/>
    <w:rsid w:val="00652B72"/>
    <w:rsid w:val="00653688"/>
    <w:rsid w:val="006552E1"/>
    <w:rsid w:val="0066091B"/>
    <w:rsid w:val="00661A03"/>
    <w:rsid w:val="006653F4"/>
    <w:rsid w:val="006660E9"/>
    <w:rsid w:val="00667249"/>
    <w:rsid w:val="00667440"/>
    <w:rsid w:val="00667558"/>
    <w:rsid w:val="00671523"/>
    <w:rsid w:val="00672406"/>
    <w:rsid w:val="0067335D"/>
    <w:rsid w:val="00673F70"/>
    <w:rsid w:val="006754EF"/>
    <w:rsid w:val="00676C8D"/>
    <w:rsid w:val="00676F1F"/>
    <w:rsid w:val="00677381"/>
    <w:rsid w:val="00677414"/>
    <w:rsid w:val="006805B5"/>
    <w:rsid w:val="006825A0"/>
    <w:rsid w:val="006832CF"/>
    <w:rsid w:val="006843AF"/>
    <w:rsid w:val="0068601E"/>
    <w:rsid w:val="00687739"/>
    <w:rsid w:val="00693050"/>
    <w:rsid w:val="0069486B"/>
    <w:rsid w:val="006960A5"/>
    <w:rsid w:val="006A0E3B"/>
    <w:rsid w:val="006A1EC0"/>
    <w:rsid w:val="006A29C4"/>
    <w:rsid w:val="006A314D"/>
    <w:rsid w:val="006A371B"/>
    <w:rsid w:val="006A4904"/>
    <w:rsid w:val="006A548F"/>
    <w:rsid w:val="006A701A"/>
    <w:rsid w:val="006B2375"/>
    <w:rsid w:val="006B4677"/>
    <w:rsid w:val="006B4D38"/>
    <w:rsid w:val="006B64DC"/>
    <w:rsid w:val="006B7A91"/>
    <w:rsid w:val="006C30BC"/>
    <w:rsid w:val="006C4267"/>
    <w:rsid w:val="006C4798"/>
    <w:rsid w:val="006C717C"/>
    <w:rsid w:val="006C781C"/>
    <w:rsid w:val="006D1567"/>
    <w:rsid w:val="006D2689"/>
    <w:rsid w:val="006D2A55"/>
    <w:rsid w:val="006D3979"/>
    <w:rsid w:val="006D3F67"/>
    <w:rsid w:val="006D44C4"/>
    <w:rsid w:val="006D4704"/>
    <w:rsid w:val="006D4BAC"/>
    <w:rsid w:val="006D6A2D"/>
    <w:rsid w:val="006D6E3D"/>
    <w:rsid w:val="006D6F82"/>
    <w:rsid w:val="006E0F2D"/>
    <w:rsid w:val="006E13DA"/>
    <w:rsid w:val="006E1E18"/>
    <w:rsid w:val="006E31CE"/>
    <w:rsid w:val="006E34D3"/>
    <w:rsid w:val="006E6B90"/>
    <w:rsid w:val="006E6F75"/>
    <w:rsid w:val="006F1435"/>
    <w:rsid w:val="006F2FBE"/>
    <w:rsid w:val="006F442C"/>
    <w:rsid w:val="006F4785"/>
    <w:rsid w:val="006F78C4"/>
    <w:rsid w:val="0070219E"/>
    <w:rsid w:val="007031A0"/>
    <w:rsid w:val="00703A66"/>
    <w:rsid w:val="00704B1E"/>
    <w:rsid w:val="00705A29"/>
    <w:rsid w:val="00707498"/>
    <w:rsid w:val="00711A65"/>
    <w:rsid w:val="00711F1A"/>
    <w:rsid w:val="00714133"/>
    <w:rsid w:val="00714DA4"/>
    <w:rsid w:val="007158B2"/>
    <w:rsid w:val="00716081"/>
    <w:rsid w:val="007173CF"/>
    <w:rsid w:val="00720C12"/>
    <w:rsid w:val="00721598"/>
    <w:rsid w:val="0072296E"/>
    <w:rsid w:val="00722B48"/>
    <w:rsid w:val="00724164"/>
    <w:rsid w:val="007255FD"/>
    <w:rsid w:val="00725DE7"/>
    <w:rsid w:val="0072636A"/>
    <w:rsid w:val="00726B44"/>
    <w:rsid w:val="00727BAA"/>
    <w:rsid w:val="0073133A"/>
    <w:rsid w:val="007318DD"/>
    <w:rsid w:val="00731BB8"/>
    <w:rsid w:val="0073308A"/>
    <w:rsid w:val="00733167"/>
    <w:rsid w:val="007331D9"/>
    <w:rsid w:val="00734384"/>
    <w:rsid w:val="00734901"/>
    <w:rsid w:val="00740D2C"/>
    <w:rsid w:val="007415D0"/>
    <w:rsid w:val="007424FB"/>
    <w:rsid w:val="00744487"/>
    <w:rsid w:val="00744BF9"/>
    <w:rsid w:val="00744C6A"/>
    <w:rsid w:val="0074712B"/>
    <w:rsid w:val="00752623"/>
    <w:rsid w:val="00755EE1"/>
    <w:rsid w:val="00756432"/>
    <w:rsid w:val="00760BC3"/>
    <w:rsid w:val="00760F1F"/>
    <w:rsid w:val="0076423E"/>
    <w:rsid w:val="007646CB"/>
    <w:rsid w:val="0076658F"/>
    <w:rsid w:val="00767257"/>
    <w:rsid w:val="0077040A"/>
    <w:rsid w:val="00770E54"/>
    <w:rsid w:val="00771395"/>
    <w:rsid w:val="00772D64"/>
    <w:rsid w:val="0077306C"/>
    <w:rsid w:val="00774647"/>
    <w:rsid w:val="00777187"/>
    <w:rsid w:val="00783156"/>
    <w:rsid w:val="00785093"/>
    <w:rsid w:val="00785495"/>
    <w:rsid w:val="00791063"/>
    <w:rsid w:val="00792609"/>
    <w:rsid w:val="00792887"/>
    <w:rsid w:val="007943E2"/>
    <w:rsid w:val="00794F2C"/>
    <w:rsid w:val="00795D23"/>
    <w:rsid w:val="007A01A7"/>
    <w:rsid w:val="007A3BC7"/>
    <w:rsid w:val="007A4694"/>
    <w:rsid w:val="007A5AC4"/>
    <w:rsid w:val="007A73CD"/>
    <w:rsid w:val="007A73D6"/>
    <w:rsid w:val="007A7933"/>
    <w:rsid w:val="007B03D3"/>
    <w:rsid w:val="007B0A55"/>
    <w:rsid w:val="007B0FDD"/>
    <w:rsid w:val="007B4802"/>
    <w:rsid w:val="007B4E59"/>
    <w:rsid w:val="007B5551"/>
    <w:rsid w:val="007B60BF"/>
    <w:rsid w:val="007B6668"/>
    <w:rsid w:val="007B6A58"/>
    <w:rsid w:val="007B6B33"/>
    <w:rsid w:val="007C2701"/>
    <w:rsid w:val="007C4355"/>
    <w:rsid w:val="007C4A8B"/>
    <w:rsid w:val="007D2192"/>
    <w:rsid w:val="007D4367"/>
    <w:rsid w:val="007E12D1"/>
    <w:rsid w:val="007F0021"/>
    <w:rsid w:val="007F03A5"/>
    <w:rsid w:val="007F2F52"/>
    <w:rsid w:val="007F429A"/>
    <w:rsid w:val="007F4C04"/>
    <w:rsid w:val="007F6F4E"/>
    <w:rsid w:val="00801F71"/>
    <w:rsid w:val="00802DA0"/>
    <w:rsid w:val="00805F28"/>
    <w:rsid w:val="0080749F"/>
    <w:rsid w:val="00810080"/>
    <w:rsid w:val="00811D46"/>
    <w:rsid w:val="008125B0"/>
    <w:rsid w:val="008125B1"/>
    <w:rsid w:val="00813461"/>
    <w:rsid w:val="0081402A"/>
    <w:rsid w:val="008144CB"/>
    <w:rsid w:val="00817E9C"/>
    <w:rsid w:val="0082024E"/>
    <w:rsid w:val="00821717"/>
    <w:rsid w:val="00821F06"/>
    <w:rsid w:val="00821FE0"/>
    <w:rsid w:val="008227D8"/>
    <w:rsid w:val="00824210"/>
    <w:rsid w:val="00824699"/>
    <w:rsid w:val="00825F99"/>
    <w:rsid w:val="008263C0"/>
    <w:rsid w:val="008379EC"/>
    <w:rsid w:val="00841422"/>
    <w:rsid w:val="00841D3B"/>
    <w:rsid w:val="0084314C"/>
    <w:rsid w:val="00843171"/>
    <w:rsid w:val="0084319B"/>
    <w:rsid w:val="00843334"/>
    <w:rsid w:val="00843564"/>
    <w:rsid w:val="008462B3"/>
    <w:rsid w:val="00847F44"/>
    <w:rsid w:val="00856799"/>
    <w:rsid w:val="00856C98"/>
    <w:rsid w:val="008575C3"/>
    <w:rsid w:val="0086044D"/>
    <w:rsid w:val="00861A79"/>
    <w:rsid w:val="00863D28"/>
    <w:rsid w:val="008648C3"/>
    <w:rsid w:val="00872599"/>
    <w:rsid w:val="008757CF"/>
    <w:rsid w:val="00876F6A"/>
    <w:rsid w:val="00876F8D"/>
    <w:rsid w:val="0088081B"/>
    <w:rsid w:val="00880F26"/>
    <w:rsid w:val="00881F01"/>
    <w:rsid w:val="00885C3B"/>
    <w:rsid w:val="00891F64"/>
    <w:rsid w:val="00893F08"/>
    <w:rsid w:val="00895361"/>
    <w:rsid w:val="00896C2E"/>
    <w:rsid w:val="008A27F4"/>
    <w:rsid w:val="008A2D7B"/>
    <w:rsid w:val="008A5095"/>
    <w:rsid w:val="008A608F"/>
    <w:rsid w:val="008A6499"/>
    <w:rsid w:val="008B0F65"/>
    <w:rsid w:val="008B1A9A"/>
    <w:rsid w:val="008B3014"/>
    <w:rsid w:val="008B4FE6"/>
    <w:rsid w:val="008B641D"/>
    <w:rsid w:val="008B6C37"/>
    <w:rsid w:val="008B7243"/>
    <w:rsid w:val="008C0825"/>
    <w:rsid w:val="008C5550"/>
    <w:rsid w:val="008C7052"/>
    <w:rsid w:val="008D0929"/>
    <w:rsid w:val="008D642F"/>
    <w:rsid w:val="008E18F7"/>
    <w:rsid w:val="008E1E10"/>
    <w:rsid w:val="008E291B"/>
    <w:rsid w:val="008E3524"/>
    <w:rsid w:val="008E4F2F"/>
    <w:rsid w:val="008E74B0"/>
    <w:rsid w:val="008F165C"/>
    <w:rsid w:val="008F1888"/>
    <w:rsid w:val="008F1F39"/>
    <w:rsid w:val="008F662D"/>
    <w:rsid w:val="008F69EF"/>
    <w:rsid w:val="009008A8"/>
    <w:rsid w:val="00901B58"/>
    <w:rsid w:val="00903A60"/>
    <w:rsid w:val="009063B0"/>
    <w:rsid w:val="00907106"/>
    <w:rsid w:val="00907BED"/>
    <w:rsid w:val="009107FD"/>
    <w:rsid w:val="0091137C"/>
    <w:rsid w:val="0091150E"/>
    <w:rsid w:val="00911567"/>
    <w:rsid w:val="00912BEB"/>
    <w:rsid w:val="0091447F"/>
    <w:rsid w:val="00915D8B"/>
    <w:rsid w:val="009170A0"/>
    <w:rsid w:val="00917AAE"/>
    <w:rsid w:val="009251A9"/>
    <w:rsid w:val="00926908"/>
    <w:rsid w:val="00930699"/>
    <w:rsid w:val="0093072A"/>
    <w:rsid w:val="00931F69"/>
    <w:rsid w:val="00934123"/>
    <w:rsid w:val="00935ADD"/>
    <w:rsid w:val="0093710A"/>
    <w:rsid w:val="00941FCE"/>
    <w:rsid w:val="00942E86"/>
    <w:rsid w:val="00945481"/>
    <w:rsid w:val="009535D1"/>
    <w:rsid w:val="009546FB"/>
    <w:rsid w:val="00955774"/>
    <w:rsid w:val="009560B5"/>
    <w:rsid w:val="009576C1"/>
    <w:rsid w:val="009611CB"/>
    <w:rsid w:val="00962228"/>
    <w:rsid w:val="00962CE5"/>
    <w:rsid w:val="00963D51"/>
    <w:rsid w:val="00964158"/>
    <w:rsid w:val="0096667E"/>
    <w:rsid w:val="009703D6"/>
    <w:rsid w:val="009711AD"/>
    <w:rsid w:val="0097181B"/>
    <w:rsid w:val="009746E1"/>
    <w:rsid w:val="00976DC5"/>
    <w:rsid w:val="00977CC2"/>
    <w:rsid w:val="009818C7"/>
    <w:rsid w:val="00981A87"/>
    <w:rsid w:val="00982DD4"/>
    <w:rsid w:val="009841E5"/>
    <w:rsid w:val="0098479F"/>
    <w:rsid w:val="00984A8A"/>
    <w:rsid w:val="009857B6"/>
    <w:rsid w:val="00985A8D"/>
    <w:rsid w:val="00986610"/>
    <w:rsid w:val="00986B2C"/>
    <w:rsid w:val="009877DC"/>
    <w:rsid w:val="009906AB"/>
    <w:rsid w:val="00991F96"/>
    <w:rsid w:val="00996A12"/>
    <w:rsid w:val="00996F0A"/>
    <w:rsid w:val="009A0658"/>
    <w:rsid w:val="009A1D86"/>
    <w:rsid w:val="009A37F3"/>
    <w:rsid w:val="009B00CF"/>
    <w:rsid w:val="009B049C"/>
    <w:rsid w:val="009B11C8"/>
    <w:rsid w:val="009B2BCF"/>
    <w:rsid w:val="009B2FF8"/>
    <w:rsid w:val="009B5BA3"/>
    <w:rsid w:val="009B67A1"/>
    <w:rsid w:val="009C2126"/>
    <w:rsid w:val="009C4CEB"/>
    <w:rsid w:val="009D0027"/>
    <w:rsid w:val="009D0395"/>
    <w:rsid w:val="009D0655"/>
    <w:rsid w:val="009D0E38"/>
    <w:rsid w:val="009D2D56"/>
    <w:rsid w:val="009D62AA"/>
    <w:rsid w:val="009D63D0"/>
    <w:rsid w:val="009D71C7"/>
    <w:rsid w:val="009D7AF7"/>
    <w:rsid w:val="009E0B89"/>
    <w:rsid w:val="009E1E98"/>
    <w:rsid w:val="009E2980"/>
    <w:rsid w:val="009E3ABE"/>
    <w:rsid w:val="009E3C4B"/>
    <w:rsid w:val="009E60C3"/>
    <w:rsid w:val="009F0637"/>
    <w:rsid w:val="009F1BB6"/>
    <w:rsid w:val="009F5551"/>
    <w:rsid w:val="009F62A6"/>
    <w:rsid w:val="009F674F"/>
    <w:rsid w:val="009F7512"/>
    <w:rsid w:val="009F799E"/>
    <w:rsid w:val="00A00A14"/>
    <w:rsid w:val="00A02020"/>
    <w:rsid w:val="00A056CB"/>
    <w:rsid w:val="00A0600A"/>
    <w:rsid w:val="00A07A29"/>
    <w:rsid w:val="00A10FF1"/>
    <w:rsid w:val="00A12DE1"/>
    <w:rsid w:val="00A14FC5"/>
    <w:rsid w:val="00A1506B"/>
    <w:rsid w:val="00A16BF2"/>
    <w:rsid w:val="00A17CB2"/>
    <w:rsid w:val="00A2048D"/>
    <w:rsid w:val="00A21823"/>
    <w:rsid w:val="00A23191"/>
    <w:rsid w:val="00A23F1D"/>
    <w:rsid w:val="00A243EF"/>
    <w:rsid w:val="00A263CB"/>
    <w:rsid w:val="00A30778"/>
    <w:rsid w:val="00A3180C"/>
    <w:rsid w:val="00A319C0"/>
    <w:rsid w:val="00A32F05"/>
    <w:rsid w:val="00A33560"/>
    <w:rsid w:val="00A356E2"/>
    <w:rsid w:val="00A35AA8"/>
    <w:rsid w:val="00A364E4"/>
    <w:rsid w:val="00A368B5"/>
    <w:rsid w:val="00A37112"/>
    <w:rsid w:val="00A371A5"/>
    <w:rsid w:val="00A4257A"/>
    <w:rsid w:val="00A45CA1"/>
    <w:rsid w:val="00A4732C"/>
    <w:rsid w:val="00A47BDF"/>
    <w:rsid w:val="00A51CD7"/>
    <w:rsid w:val="00A52ADB"/>
    <w:rsid w:val="00A533E8"/>
    <w:rsid w:val="00A535E9"/>
    <w:rsid w:val="00A542D9"/>
    <w:rsid w:val="00A56894"/>
    <w:rsid w:val="00A56E64"/>
    <w:rsid w:val="00A602BF"/>
    <w:rsid w:val="00A624C3"/>
    <w:rsid w:val="00A63411"/>
    <w:rsid w:val="00A63C4C"/>
    <w:rsid w:val="00A64E53"/>
    <w:rsid w:val="00A65E94"/>
    <w:rsid w:val="00A6610C"/>
    <w:rsid w:val="00A6641C"/>
    <w:rsid w:val="00A66BD9"/>
    <w:rsid w:val="00A70461"/>
    <w:rsid w:val="00A70D66"/>
    <w:rsid w:val="00A71365"/>
    <w:rsid w:val="00A7501E"/>
    <w:rsid w:val="00A767D2"/>
    <w:rsid w:val="00A76AC7"/>
    <w:rsid w:val="00A77616"/>
    <w:rsid w:val="00A7795B"/>
    <w:rsid w:val="00A805DA"/>
    <w:rsid w:val="00A811B4"/>
    <w:rsid w:val="00A8243E"/>
    <w:rsid w:val="00A86063"/>
    <w:rsid w:val="00A87CDE"/>
    <w:rsid w:val="00A927BD"/>
    <w:rsid w:val="00A92BAF"/>
    <w:rsid w:val="00A92C7F"/>
    <w:rsid w:val="00A94737"/>
    <w:rsid w:val="00A9493B"/>
    <w:rsid w:val="00A94BA3"/>
    <w:rsid w:val="00A96CBA"/>
    <w:rsid w:val="00AA1697"/>
    <w:rsid w:val="00AA2704"/>
    <w:rsid w:val="00AA3468"/>
    <w:rsid w:val="00AA509C"/>
    <w:rsid w:val="00AA7338"/>
    <w:rsid w:val="00AB0D99"/>
    <w:rsid w:val="00AB1ACD"/>
    <w:rsid w:val="00AB2316"/>
    <w:rsid w:val="00AB277F"/>
    <w:rsid w:val="00AB311D"/>
    <w:rsid w:val="00AB4099"/>
    <w:rsid w:val="00AB449A"/>
    <w:rsid w:val="00AC6FA6"/>
    <w:rsid w:val="00AD057B"/>
    <w:rsid w:val="00AD09FD"/>
    <w:rsid w:val="00AD14F9"/>
    <w:rsid w:val="00AD35D6"/>
    <w:rsid w:val="00AD58C5"/>
    <w:rsid w:val="00AD69F3"/>
    <w:rsid w:val="00AE36C4"/>
    <w:rsid w:val="00AE472C"/>
    <w:rsid w:val="00AE5375"/>
    <w:rsid w:val="00AE6CF8"/>
    <w:rsid w:val="00AF2BA1"/>
    <w:rsid w:val="00AF375B"/>
    <w:rsid w:val="00AF4CAC"/>
    <w:rsid w:val="00B005E5"/>
    <w:rsid w:val="00B03E0D"/>
    <w:rsid w:val="00B054F8"/>
    <w:rsid w:val="00B1085B"/>
    <w:rsid w:val="00B11431"/>
    <w:rsid w:val="00B2219A"/>
    <w:rsid w:val="00B2409F"/>
    <w:rsid w:val="00B24878"/>
    <w:rsid w:val="00B24FB3"/>
    <w:rsid w:val="00B25888"/>
    <w:rsid w:val="00B31749"/>
    <w:rsid w:val="00B3581B"/>
    <w:rsid w:val="00B36B81"/>
    <w:rsid w:val="00B36FEE"/>
    <w:rsid w:val="00B37126"/>
    <w:rsid w:val="00B37C80"/>
    <w:rsid w:val="00B4176C"/>
    <w:rsid w:val="00B500CD"/>
    <w:rsid w:val="00B503F4"/>
    <w:rsid w:val="00B5092B"/>
    <w:rsid w:val="00B51158"/>
    <w:rsid w:val="00B5194E"/>
    <w:rsid w:val="00B51AF5"/>
    <w:rsid w:val="00B52BF8"/>
    <w:rsid w:val="00B531FC"/>
    <w:rsid w:val="00B55347"/>
    <w:rsid w:val="00B561AE"/>
    <w:rsid w:val="00B57E5E"/>
    <w:rsid w:val="00B61F37"/>
    <w:rsid w:val="00B63812"/>
    <w:rsid w:val="00B73CD8"/>
    <w:rsid w:val="00B7770F"/>
    <w:rsid w:val="00B77A89"/>
    <w:rsid w:val="00B77B27"/>
    <w:rsid w:val="00B77D10"/>
    <w:rsid w:val="00B8134E"/>
    <w:rsid w:val="00B81B55"/>
    <w:rsid w:val="00B8262A"/>
    <w:rsid w:val="00B838B9"/>
    <w:rsid w:val="00B84613"/>
    <w:rsid w:val="00B86217"/>
    <w:rsid w:val="00B87AF0"/>
    <w:rsid w:val="00B9037B"/>
    <w:rsid w:val="00B910BD"/>
    <w:rsid w:val="00B9189C"/>
    <w:rsid w:val="00B92DFB"/>
    <w:rsid w:val="00B93834"/>
    <w:rsid w:val="00B9406B"/>
    <w:rsid w:val="00B946EE"/>
    <w:rsid w:val="00B95BA9"/>
    <w:rsid w:val="00B96469"/>
    <w:rsid w:val="00BA0DA2"/>
    <w:rsid w:val="00BA2981"/>
    <w:rsid w:val="00BA2BB7"/>
    <w:rsid w:val="00BA42EE"/>
    <w:rsid w:val="00BA48F9"/>
    <w:rsid w:val="00BA69F1"/>
    <w:rsid w:val="00BB0DCA"/>
    <w:rsid w:val="00BB2666"/>
    <w:rsid w:val="00BB6B80"/>
    <w:rsid w:val="00BB6D81"/>
    <w:rsid w:val="00BC2B2C"/>
    <w:rsid w:val="00BC36A3"/>
    <w:rsid w:val="00BC3773"/>
    <w:rsid w:val="00BC381A"/>
    <w:rsid w:val="00BD0962"/>
    <w:rsid w:val="00BD1B4A"/>
    <w:rsid w:val="00BD1EED"/>
    <w:rsid w:val="00BD2F14"/>
    <w:rsid w:val="00BD34C2"/>
    <w:rsid w:val="00BD52B2"/>
    <w:rsid w:val="00BD7E88"/>
    <w:rsid w:val="00BE0773"/>
    <w:rsid w:val="00BE2E19"/>
    <w:rsid w:val="00BE673F"/>
    <w:rsid w:val="00BF0DA2"/>
    <w:rsid w:val="00BF109C"/>
    <w:rsid w:val="00BF2EDB"/>
    <w:rsid w:val="00BF34FA"/>
    <w:rsid w:val="00C004B6"/>
    <w:rsid w:val="00C047A7"/>
    <w:rsid w:val="00C05DE5"/>
    <w:rsid w:val="00C07962"/>
    <w:rsid w:val="00C11499"/>
    <w:rsid w:val="00C14FDF"/>
    <w:rsid w:val="00C17B3A"/>
    <w:rsid w:val="00C213B2"/>
    <w:rsid w:val="00C22320"/>
    <w:rsid w:val="00C24897"/>
    <w:rsid w:val="00C33027"/>
    <w:rsid w:val="00C37667"/>
    <w:rsid w:val="00C41E71"/>
    <w:rsid w:val="00C430DE"/>
    <w:rsid w:val="00C435DB"/>
    <w:rsid w:val="00C44D73"/>
    <w:rsid w:val="00C50B42"/>
    <w:rsid w:val="00C50FC0"/>
    <w:rsid w:val="00C516FF"/>
    <w:rsid w:val="00C517D9"/>
    <w:rsid w:val="00C52BFA"/>
    <w:rsid w:val="00C53D1D"/>
    <w:rsid w:val="00C53F26"/>
    <w:rsid w:val="00C540BC"/>
    <w:rsid w:val="00C5499D"/>
    <w:rsid w:val="00C64F7D"/>
    <w:rsid w:val="00C669AE"/>
    <w:rsid w:val="00C66E91"/>
    <w:rsid w:val="00C67309"/>
    <w:rsid w:val="00C7128A"/>
    <w:rsid w:val="00C715FA"/>
    <w:rsid w:val="00C722B4"/>
    <w:rsid w:val="00C7614E"/>
    <w:rsid w:val="00C77710"/>
    <w:rsid w:val="00C77BF1"/>
    <w:rsid w:val="00C80D60"/>
    <w:rsid w:val="00C82CF5"/>
    <w:rsid w:val="00C82FBD"/>
    <w:rsid w:val="00C83B58"/>
    <w:rsid w:val="00C85267"/>
    <w:rsid w:val="00C8645E"/>
    <w:rsid w:val="00C86D0D"/>
    <w:rsid w:val="00C8721B"/>
    <w:rsid w:val="00C93214"/>
    <w:rsid w:val="00C9372C"/>
    <w:rsid w:val="00C9470E"/>
    <w:rsid w:val="00C95CEB"/>
    <w:rsid w:val="00CA1054"/>
    <w:rsid w:val="00CA35FB"/>
    <w:rsid w:val="00CA63EB"/>
    <w:rsid w:val="00CA69F1"/>
    <w:rsid w:val="00CA6F3A"/>
    <w:rsid w:val="00CB0A62"/>
    <w:rsid w:val="00CB19A8"/>
    <w:rsid w:val="00CB4E8E"/>
    <w:rsid w:val="00CB5D7B"/>
    <w:rsid w:val="00CB6308"/>
    <w:rsid w:val="00CB6991"/>
    <w:rsid w:val="00CB773E"/>
    <w:rsid w:val="00CC0805"/>
    <w:rsid w:val="00CC1990"/>
    <w:rsid w:val="00CC50AC"/>
    <w:rsid w:val="00CC6194"/>
    <w:rsid w:val="00CC6305"/>
    <w:rsid w:val="00CC6C86"/>
    <w:rsid w:val="00CC6D45"/>
    <w:rsid w:val="00CC78A5"/>
    <w:rsid w:val="00CD0516"/>
    <w:rsid w:val="00CD3A8C"/>
    <w:rsid w:val="00CD5704"/>
    <w:rsid w:val="00CD756B"/>
    <w:rsid w:val="00CE597F"/>
    <w:rsid w:val="00CE64A9"/>
    <w:rsid w:val="00CE734F"/>
    <w:rsid w:val="00CE7B0F"/>
    <w:rsid w:val="00CF112E"/>
    <w:rsid w:val="00CF34D1"/>
    <w:rsid w:val="00CF5F4F"/>
    <w:rsid w:val="00CF75B5"/>
    <w:rsid w:val="00D00D78"/>
    <w:rsid w:val="00D1712A"/>
    <w:rsid w:val="00D17F05"/>
    <w:rsid w:val="00D20D63"/>
    <w:rsid w:val="00D2142E"/>
    <w:rsid w:val="00D218DC"/>
    <w:rsid w:val="00D24E56"/>
    <w:rsid w:val="00D25C85"/>
    <w:rsid w:val="00D26938"/>
    <w:rsid w:val="00D26E42"/>
    <w:rsid w:val="00D30365"/>
    <w:rsid w:val="00D30BA1"/>
    <w:rsid w:val="00D31643"/>
    <w:rsid w:val="00D31AEB"/>
    <w:rsid w:val="00D323F2"/>
    <w:rsid w:val="00D3245E"/>
    <w:rsid w:val="00D32ECD"/>
    <w:rsid w:val="00D361E4"/>
    <w:rsid w:val="00D36738"/>
    <w:rsid w:val="00D37878"/>
    <w:rsid w:val="00D42A8F"/>
    <w:rsid w:val="00D437BD"/>
    <w:rsid w:val="00D439F6"/>
    <w:rsid w:val="00D459C6"/>
    <w:rsid w:val="00D50187"/>
    <w:rsid w:val="00D50729"/>
    <w:rsid w:val="00D50C19"/>
    <w:rsid w:val="00D51216"/>
    <w:rsid w:val="00D5379E"/>
    <w:rsid w:val="00D55638"/>
    <w:rsid w:val="00D61EC9"/>
    <w:rsid w:val="00D62643"/>
    <w:rsid w:val="00D63115"/>
    <w:rsid w:val="00D64C0F"/>
    <w:rsid w:val="00D65652"/>
    <w:rsid w:val="00D728CA"/>
    <w:rsid w:val="00D72EFE"/>
    <w:rsid w:val="00D76227"/>
    <w:rsid w:val="00D77DF1"/>
    <w:rsid w:val="00D80647"/>
    <w:rsid w:val="00D83D41"/>
    <w:rsid w:val="00D86AFF"/>
    <w:rsid w:val="00D90BD2"/>
    <w:rsid w:val="00D95A44"/>
    <w:rsid w:val="00D95D16"/>
    <w:rsid w:val="00D9620C"/>
    <w:rsid w:val="00D97C76"/>
    <w:rsid w:val="00DA312F"/>
    <w:rsid w:val="00DA3475"/>
    <w:rsid w:val="00DA5D8F"/>
    <w:rsid w:val="00DA6133"/>
    <w:rsid w:val="00DB02B4"/>
    <w:rsid w:val="00DB099C"/>
    <w:rsid w:val="00DB4E3B"/>
    <w:rsid w:val="00DB538D"/>
    <w:rsid w:val="00DC03B5"/>
    <w:rsid w:val="00DC275C"/>
    <w:rsid w:val="00DC457D"/>
    <w:rsid w:val="00DC493E"/>
    <w:rsid w:val="00DC4B0D"/>
    <w:rsid w:val="00DC620F"/>
    <w:rsid w:val="00DC732D"/>
    <w:rsid w:val="00DC7FE1"/>
    <w:rsid w:val="00DD07A1"/>
    <w:rsid w:val="00DD09C6"/>
    <w:rsid w:val="00DD3F3F"/>
    <w:rsid w:val="00DD5572"/>
    <w:rsid w:val="00DD582F"/>
    <w:rsid w:val="00DD755E"/>
    <w:rsid w:val="00DE31B1"/>
    <w:rsid w:val="00DE5954"/>
    <w:rsid w:val="00DE5D80"/>
    <w:rsid w:val="00DF2268"/>
    <w:rsid w:val="00DF2DAF"/>
    <w:rsid w:val="00DF58CD"/>
    <w:rsid w:val="00DF65DE"/>
    <w:rsid w:val="00DF7852"/>
    <w:rsid w:val="00E019A5"/>
    <w:rsid w:val="00E029BE"/>
    <w:rsid w:val="00E02EC8"/>
    <w:rsid w:val="00E037F5"/>
    <w:rsid w:val="00E04061"/>
    <w:rsid w:val="00E04ECB"/>
    <w:rsid w:val="00E05A09"/>
    <w:rsid w:val="00E06CA1"/>
    <w:rsid w:val="00E1140B"/>
    <w:rsid w:val="00E14726"/>
    <w:rsid w:val="00E172B8"/>
    <w:rsid w:val="00E17FB4"/>
    <w:rsid w:val="00E20B75"/>
    <w:rsid w:val="00E214F2"/>
    <w:rsid w:val="00E2371E"/>
    <w:rsid w:val="00E24580"/>
    <w:rsid w:val="00E24BD7"/>
    <w:rsid w:val="00E24D13"/>
    <w:rsid w:val="00E26523"/>
    <w:rsid w:val="00E26809"/>
    <w:rsid w:val="00E338D7"/>
    <w:rsid w:val="00E3412D"/>
    <w:rsid w:val="00E35250"/>
    <w:rsid w:val="00E35D57"/>
    <w:rsid w:val="00E37FC6"/>
    <w:rsid w:val="00E463FF"/>
    <w:rsid w:val="00E469DE"/>
    <w:rsid w:val="00E46C68"/>
    <w:rsid w:val="00E510AF"/>
    <w:rsid w:val="00E51BF6"/>
    <w:rsid w:val="00E57322"/>
    <w:rsid w:val="00E574ED"/>
    <w:rsid w:val="00E6045D"/>
    <w:rsid w:val="00E628CB"/>
    <w:rsid w:val="00E62AD9"/>
    <w:rsid w:val="00E638C8"/>
    <w:rsid w:val="00E66ABF"/>
    <w:rsid w:val="00E71604"/>
    <w:rsid w:val="00E726CA"/>
    <w:rsid w:val="00E74391"/>
    <w:rsid w:val="00E7509B"/>
    <w:rsid w:val="00E760EB"/>
    <w:rsid w:val="00E80D73"/>
    <w:rsid w:val="00E81F88"/>
    <w:rsid w:val="00E853BC"/>
    <w:rsid w:val="00E86590"/>
    <w:rsid w:val="00E907FF"/>
    <w:rsid w:val="00E94DC5"/>
    <w:rsid w:val="00E94E78"/>
    <w:rsid w:val="00E9524B"/>
    <w:rsid w:val="00EA26C8"/>
    <w:rsid w:val="00EA42D1"/>
    <w:rsid w:val="00EA42EF"/>
    <w:rsid w:val="00EA686F"/>
    <w:rsid w:val="00EB0B07"/>
    <w:rsid w:val="00EB267A"/>
    <w:rsid w:val="00EB2DD1"/>
    <w:rsid w:val="00EB4CEB"/>
    <w:rsid w:val="00EB528D"/>
    <w:rsid w:val="00EB6B37"/>
    <w:rsid w:val="00EB7224"/>
    <w:rsid w:val="00EB7F08"/>
    <w:rsid w:val="00EC29FE"/>
    <w:rsid w:val="00EC3C70"/>
    <w:rsid w:val="00ED3A3D"/>
    <w:rsid w:val="00ED491F"/>
    <w:rsid w:val="00ED538A"/>
    <w:rsid w:val="00ED5CE4"/>
    <w:rsid w:val="00ED6193"/>
    <w:rsid w:val="00ED660D"/>
    <w:rsid w:val="00ED6FBC"/>
    <w:rsid w:val="00ED70FA"/>
    <w:rsid w:val="00EE2871"/>
    <w:rsid w:val="00EE2F16"/>
    <w:rsid w:val="00EE3861"/>
    <w:rsid w:val="00EE724C"/>
    <w:rsid w:val="00EE7584"/>
    <w:rsid w:val="00EE7760"/>
    <w:rsid w:val="00EF290C"/>
    <w:rsid w:val="00EF2E73"/>
    <w:rsid w:val="00EF2FA8"/>
    <w:rsid w:val="00EF3E9C"/>
    <w:rsid w:val="00EF7683"/>
    <w:rsid w:val="00EF7A2D"/>
    <w:rsid w:val="00F04D2D"/>
    <w:rsid w:val="00F04F8D"/>
    <w:rsid w:val="00F075E5"/>
    <w:rsid w:val="00F10AD0"/>
    <w:rsid w:val="00F116CC"/>
    <w:rsid w:val="00F121B7"/>
    <w:rsid w:val="00F1228F"/>
    <w:rsid w:val="00F12BD1"/>
    <w:rsid w:val="00F149C2"/>
    <w:rsid w:val="00F1500A"/>
    <w:rsid w:val="00F15327"/>
    <w:rsid w:val="00F153EA"/>
    <w:rsid w:val="00F15803"/>
    <w:rsid w:val="00F168CF"/>
    <w:rsid w:val="00F216BE"/>
    <w:rsid w:val="00F242A2"/>
    <w:rsid w:val="00F2555C"/>
    <w:rsid w:val="00F265BE"/>
    <w:rsid w:val="00F2761C"/>
    <w:rsid w:val="00F27E90"/>
    <w:rsid w:val="00F31DF3"/>
    <w:rsid w:val="00F33AE5"/>
    <w:rsid w:val="00F3458D"/>
    <w:rsid w:val="00F3597D"/>
    <w:rsid w:val="00F36512"/>
    <w:rsid w:val="00F4157C"/>
    <w:rsid w:val="00F4376D"/>
    <w:rsid w:val="00F43D7F"/>
    <w:rsid w:val="00F45399"/>
    <w:rsid w:val="00F465EA"/>
    <w:rsid w:val="00F5136F"/>
    <w:rsid w:val="00F53D1A"/>
    <w:rsid w:val="00F546F7"/>
    <w:rsid w:val="00F54A5A"/>
    <w:rsid w:val="00F54E7B"/>
    <w:rsid w:val="00F55A88"/>
    <w:rsid w:val="00F55CB1"/>
    <w:rsid w:val="00F56569"/>
    <w:rsid w:val="00F57767"/>
    <w:rsid w:val="00F57B34"/>
    <w:rsid w:val="00F66273"/>
    <w:rsid w:val="00F6749A"/>
    <w:rsid w:val="00F72158"/>
    <w:rsid w:val="00F74005"/>
    <w:rsid w:val="00F74744"/>
    <w:rsid w:val="00F74C28"/>
    <w:rsid w:val="00F76884"/>
    <w:rsid w:val="00F809C9"/>
    <w:rsid w:val="00F812FD"/>
    <w:rsid w:val="00F83D24"/>
    <w:rsid w:val="00F83DD9"/>
    <w:rsid w:val="00F83F40"/>
    <w:rsid w:val="00F84AA7"/>
    <w:rsid w:val="00F85282"/>
    <w:rsid w:val="00F86FA6"/>
    <w:rsid w:val="00F91CF3"/>
    <w:rsid w:val="00FA117A"/>
    <w:rsid w:val="00FA3004"/>
    <w:rsid w:val="00FA399E"/>
    <w:rsid w:val="00FA3A5D"/>
    <w:rsid w:val="00FB2CAB"/>
    <w:rsid w:val="00FB3044"/>
    <w:rsid w:val="00FB386A"/>
    <w:rsid w:val="00FB76FF"/>
    <w:rsid w:val="00FC0786"/>
    <w:rsid w:val="00FC0C9B"/>
    <w:rsid w:val="00FC3993"/>
    <w:rsid w:val="00FC49EF"/>
    <w:rsid w:val="00FD197A"/>
    <w:rsid w:val="00FD299A"/>
    <w:rsid w:val="00FE36E2"/>
    <w:rsid w:val="00FE4F8D"/>
    <w:rsid w:val="00FF0D6A"/>
    <w:rsid w:val="00FF11AD"/>
    <w:rsid w:val="00FF2971"/>
    <w:rsid w:val="00FF339E"/>
    <w:rsid w:val="00FF34D4"/>
    <w:rsid w:val="00FF3890"/>
    <w:rsid w:val="00FF3C0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6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aliases w:val="note TESI,Ref,de nota al pi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styleId="Tekstpodstawowywcity2">
    <w:name w:val="Body Text Indent 2"/>
    <w:basedOn w:val="Normalny"/>
    <w:link w:val="Tekstpodstawowywcity2Znak"/>
    <w:rsid w:val="00F55CB1"/>
    <w:pPr>
      <w:spacing w:after="120" w:line="480" w:lineRule="auto"/>
      <w:ind w:left="283"/>
    </w:pPr>
    <w:rPr>
      <w:rFonts w:ascii="Trebuchet MS" w:eastAsia="Times New Roman" w:hAnsi="Trebuchet MS"/>
      <w:sz w:val="18"/>
    </w:rPr>
  </w:style>
  <w:style w:type="character" w:customStyle="1" w:styleId="Tekstpodstawowywcity2Znak">
    <w:name w:val="Tekst podstawowy wcięty 2 Znak"/>
    <w:basedOn w:val="Domylnaczcionkaakapitu"/>
    <w:link w:val="Tekstpodstawowywcity2"/>
    <w:rsid w:val="00F55CB1"/>
    <w:rPr>
      <w:rFonts w:ascii="Trebuchet MS" w:eastAsia="Times New Roman" w:hAnsi="Trebuchet MS"/>
      <w:sz w:val="18"/>
      <w:szCs w:val="22"/>
      <w:lang w:eastAsia="en-US"/>
    </w:rPr>
  </w:style>
  <w:style w:type="paragraph" w:styleId="Zwykytekst">
    <w:name w:val="Plain Text"/>
    <w:basedOn w:val="Normalny"/>
    <w:link w:val="ZwykytekstZnak"/>
    <w:uiPriority w:val="99"/>
    <w:unhideWhenUsed/>
    <w:rsid w:val="00F55CB1"/>
    <w:pPr>
      <w:spacing w:line="240" w:lineRule="auto"/>
    </w:pPr>
    <w:rPr>
      <w:szCs w:val="21"/>
    </w:rPr>
  </w:style>
  <w:style w:type="character" w:customStyle="1" w:styleId="ZwykytekstZnak">
    <w:name w:val="Zwykły tekst Znak"/>
    <w:basedOn w:val="Domylnaczcionkaakapitu"/>
    <w:link w:val="Zwykytekst"/>
    <w:uiPriority w:val="99"/>
    <w:rsid w:val="00F55CB1"/>
    <w:rPr>
      <w:sz w:val="22"/>
      <w:szCs w:val="21"/>
      <w:lang w:eastAsia="en-US"/>
    </w:rPr>
  </w:style>
  <w:style w:type="paragraph" w:styleId="Poprawka">
    <w:name w:val="Revision"/>
    <w:hidden/>
    <w:uiPriority w:val="99"/>
    <w:semiHidden/>
    <w:rsid w:val="009170A0"/>
    <w:rPr>
      <w:sz w:val="22"/>
      <w:szCs w:val="22"/>
      <w:lang w:eastAsia="en-US"/>
    </w:rPr>
  </w:style>
  <w:style w:type="paragraph" w:styleId="Tekstpodstawowy">
    <w:name w:val="Body Text"/>
    <w:basedOn w:val="Normalny"/>
    <w:link w:val="TekstpodstawowyZnak"/>
    <w:rsid w:val="004F529F"/>
    <w:pPr>
      <w:spacing w:after="120"/>
    </w:pPr>
  </w:style>
  <w:style w:type="character" w:customStyle="1" w:styleId="TekstpodstawowyZnak">
    <w:name w:val="Tekst podstawowy Znak"/>
    <w:basedOn w:val="Domylnaczcionkaakapitu"/>
    <w:link w:val="Tekstpodstawowy"/>
    <w:rsid w:val="004F529F"/>
    <w:rPr>
      <w:sz w:val="22"/>
      <w:szCs w:val="22"/>
      <w:lang w:eastAsia="en-US"/>
    </w:rPr>
  </w:style>
  <w:style w:type="table" w:customStyle="1" w:styleId="Jasnalistaakcent11">
    <w:name w:val="Jasna lista — akcent 11"/>
    <w:basedOn w:val="Standardowy"/>
    <w:uiPriority w:val="61"/>
    <w:rsid w:val="002C63B6"/>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Nierozpoznanawzmianka">
    <w:name w:val="Unresolved Mention"/>
    <w:basedOn w:val="Domylnaczcionkaakapitu"/>
    <w:uiPriority w:val="99"/>
    <w:semiHidden/>
    <w:unhideWhenUsed/>
    <w:rsid w:val="00733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336">
      <w:bodyDiv w:val="1"/>
      <w:marLeft w:val="0"/>
      <w:marRight w:val="0"/>
      <w:marTop w:val="0"/>
      <w:marBottom w:val="0"/>
      <w:divBdr>
        <w:top w:val="none" w:sz="0" w:space="0" w:color="auto"/>
        <w:left w:val="none" w:sz="0" w:space="0" w:color="auto"/>
        <w:bottom w:val="none" w:sz="0" w:space="0" w:color="auto"/>
        <w:right w:val="none" w:sz="0" w:space="0" w:color="auto"/>
      </w:divBdr>
    </w:div>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1426679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70726535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37848361">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09798531">
      <w:bodyDiv w:val="1"/>
      <w:marLeft w:val="0"/>
      <w:marRight w:val="0"/>
      <w:marTop w:val="0"/>
      <w:marBottom w:val="0"/>
      <w:divBdr>
        <w:top w:val="none" w:sz="0" w:space="0" w:color="auto"/>
        <w:left w:val="none" w:sz="0" w:space="0" w:color="auto"/>
        <w:bottom w:val="none" w:sz="0" w:space="0" w:color="auto"/>
        <w:right w:val="none" w:sz="0" w:space="0" w:color="auto"/>
      </w:divBdr>
    </w:div>
    <w:div w:id="1213033673">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85798348">
      <w:bodyDiv w:val="1"/>
      <w:marLeft w:val="0"/>
      <w:marRight w:val="0"/>
      <w:marTop w:val="0"/>
      <w:marBottom w:val="0"/>
      <w:divBdr>
        <w:top w:val="none" w:sz="0" w:space="0" w:color="auto"/>
        <w:left w:val="none" w:sz="0" w:space="0" w:color="auto"/>
        <w:bottom w:val="none" w:sz="0" w:space="0" w:color="auto"/>
        <w:right w:val="none" w:sz="0" w:space="0" w:color="auto"/>
      </w:divBdr>
    </w:div>
    <w:div w:id="1680618687">
      <w:bodyDiv w:val="1"/>
      <w:marLeft w:val="0"/>
      <w:marRight w:val="0"/>
      <w:marTop w:val="0"/>
      <w:marBottom w:val="0"/>
      <w:divBdr>
        <w:top w:val="none" w:sz="0" w:space="0" w:color="auto"/>
        <w:left w:val="none" w:sz="0" w:space="0" w:color="auto"/>
        <w:bottom w:val="none" w:sz="0" w:space="0" w:color="auto"/>
        <w:right w:val="none" w:sz="0" w:space="0" w:color="auto"/>
      </w:divBdr>
    </w:div>
    <w:div w:id="1746536846">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7349657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46516534">
      <w:bodyDiv w:val="1"/>
      <w:marLeft w:val="0"/>
      <w:marRight w:val="0"/>
      <w:marTop w:val="0"/>
      <w:marBottom w:val="0"/>
      <w:divBdr>
        <w:top w:val="none" w:sz="0" w:space="0" w:color="auto"/>
        <w:left w:val="none" w:sz="0" w:space="0" w:color="auto"/>
        <w:bottom w:val="none" w:sz="0" w:space="0" w:color="auto"/>
        <w:right w:val="none" w:sz="0" w:space="0" w:color="auto"/>
      </w:divBdr>
    </w:div>
    <w:div w:id="20853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a.szewczyk-krzyzanowska@uokik.gov.pl" TargetMode="External"/><Relationship Id="rId13" Type="http://schemas.openxmlformats.org/officeDocument/2006/relationships/hyperlink" Target="http://www.solidarnosc.org.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r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dwiga.teklak@uokik.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gdalena.sobczynska@uokik.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dia.persson@uokik.gov.pl" TargetMode="External"/><Relationship Id="rId14" Type="http://schemas.openxmlformats.org/officeDocument/2006/relationships/hyperlink" Target="http://opzz.org.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8A923326E4CFD8C5EB0CCF6CCED93"/>
        <w:category>
          <w:name w:val="Ogólne"/>
          <w:gallery w:val="placeholder"/>
        </w:category>
        <w:types>
          <w:type w:val="bbPlcHdr"/>
        </w:types>
        <w:behaviors>
          <w:behavior w:val="content"/>
        </w:behaviors>
        <w:guid w:val="{1C1192AC-1F6F-4D6A-81D1-B16519AD0A5B}"/>
      </w:docPartPr>
      <w:docPartBody>
        <w:p w:rsidR="00121507" w:rsidRDefault="00121507" w:rsidP="00121507">
          <w:pPr>
            <w:pStyle w:val="0E38A923326E4CFD8C5EB0CCF6CCED93"/>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66A9"/>
    <w:rsid w:val="00025B6F"/>
    <w:rsid w:val="000D3F14"/>
    <w:rsid w:val="000D49EE"/>
    <w:rsid w:val="000F01C2"/>
    <w:rsid w:val="00121507"/>
    <w:rsid w:val="0016247D"/>
    <w:rsid w:val="0019277D"/>
    <w:rsid w:val="00284653"/>
    <w:rsid w:val="002A18CC"/>
    <w:rsid w:val="002D2E62"/>
    <w:rsid w:val="002D4E5D"/>
    <w:rsid w:val="002F03C1"/>
    <w:rsid w:val="0030299D"/>
    <w:rsid w:val="0033212B"/>
    <w:rsid w:val="00333C98"/>
    <w:rsid w:val="00345FFB"/>
    <w:rsid w:val="003C3EAB"/>
    <w:rsid w:val="003F018E"/>
    <w:rsid w:val="004130D8"/>
    <w:rsid w:val="00414010"/>
    <w:rsid w:val="00477621"/>
    <w:rsid w:val="00495AE7"/>
    <w:rsid w:val="004B1BDE"/>
    <w:rsid w:val="004C1A70"/>
    <w:rsid w:val="0054019B"/>
    <w:rsid w:val="0057384B"/>
    <w:rsid w:val="00575F97"/>
    <w:rsid w:val="00577C16"/>
    <w:rsid w:val="0058143C"/>
    <w:rsid w:val="005969E4"/>
    <w:rsid w:val="005D5FCE"/>
    <w:rsid w:val="006068D1"/>
    <w:rsid w:val="00624BE5"/>
    <w:rsid w:val="00654D7B"/>
    <w:rsid w:val="0066301F"/>
    <w:rsid w:val="00674EBF"/>
    <w:rsid w:val="00762318"/>
    <w:rsid w:val="007A187D"/>
    <w:rsid w:val="007B0DBE"/>
    <w:rsid w:val="007F2329"/>
    <w:rsid w:val="007F4C4B"/>
    <w:rsid w:val="00816FCD"/>
    <w:rsid w:val="00850726"/>
    <w:rsid w:val="008607AC"/>
    <w:rsid w:val="00867FC0"/>
    <w:rsid w:val="008B6B4B"/>
    <w:rsid w:val="008C7CA2"/>
    <w:rsid w:val="00905843"/>
    <w:rsid w:val="00923B92"/>
    <w:rsid w:val="0094701C"/>
    <w:rsid w:val="009869C0"/>
    <w:rsid w:val="009E5F2E"/>
    <w:rsid w:val="00A1304F"/>
    <w:rsid w:val="00A50C4B"/>
    <w:rsid w:val="00A511BB"/>
    <w:rsid w:val="00AD66A9"/>
    <w:rsid w:val="00B24C8E"/>
    <w:rsid w:val="00B530F3"/>
    <w:rsid w:val="00BA2D5A"/>
    <w:rsid w:val="00BE1434"/>
    <w:rsid w:val="00BE2556"/>
    <w:rsid w:val="00BF16BB"/>
    <w:rsid w:val="00BF7624"/>
    <w:rsid w:val="00C03B08"/>
    <w:rsid w:val="00C17746"/>
    <w:rsid w:val="00C52742"/>
    <w:rsid w:val="00D079CD"/>
    <w:rsid w:val="00D463AF"/>
    <w:rsid w:val="00D507E8"/>
    <w:rsid w:val="00D62D80"/>
    <w:rsid w:val="00DB6D0D"/>
    <w:rsid w:val="00DC76CD"/>
    <w:rsid w:val="00DE7613"/>
    <w:rsid w:val="00DF1B61"/>
    <w:rsid w:val="00E03F1B"/>
    <w:rsid w:val="00E93212"/>
    <w:rsid w:val="00E937A2"/>
    <w:rsid w:val="00EA5288"/>
    <w:rsid w:val="00ED1AD3"/>
    <w:rsid w:val="00F17829"/>
    <w:rsid w:val="00F37EE1"/>
    <w:rsid w:val="00F501F5"/>
    <w:rsid w:val="00F51CC8"/>
    <w:rsid w:val="00F523DD"/>
    <w:rsid w:val="00F67275"/>
    <w:rsid w:val="00FA2ECD"/>
    <w:rsid w:val="00FF128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16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21507"/>
    <w:rPr>
      <w:color w:val="808080"/>
    </w:rPr>
  </w:style>
  <w:style w:type="paragraph" w:customStyle="1" w:styleId="0E38A923326E4CFD8C5EB0CCF6CCED93">
    <w:name w:val="0E38A923326E4CFD8C5EB0CCF6CCED93"/>
    <w:rsid w:val="001215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221F-794A-468D-84C1-B08621DE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7146</Words>
  <Characters>48247</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55283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2021-07-05T06:51:00Z</dcterms:created>
  <dcterms:modified xsi:type="dcterms:W3CDTF">2021-07-05T06:51:00Z</dcterms:modified>
</cp:coreProperties>
</file>