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3"/>
        <w:gridCol w:w="645"/>
        <w:gridCol w:w="425"/>
        <w:gridCol w:w="170"/>
        <w:gridCol w:w="712"/>
        <w:gridCol w:w="339"/>
        <w:gridCol w:w="366"/>
        <w:gridCol w:w="709"/>
        <w:gridCol w:w="712"/>
        <w:gridCol w:w="90"/>
        <w:gridCol w:w="506"/>
        <w:gridCol w:w="359"/>
        <w:gridCol w:w="73"/>
        <w:gridCol w:w="248"/>
        <w:gridCol w:w="282"/>
        <w:gridCol w:w="285"/>
        <w:gridCol w:w="122"/>
        <w:gridCol w:w="176"/>
        <w:gridCol w:w="269"/>
        <w:gridCol w:w="350"/>
        <w:gridCol w:w="217"/>
        <w:gridCol w:w="567"/>
        <w:gridCol w:w="154"/>
        <w:gridCol w:w="441"/>
        <w:gridCol w:w="1106"/>
      </w:tblGrid>
      <w:tr w:rsidR="006A701A" w:rsidRPr="008B4FE6" w14:paraId="710D7CB4" w14:textId="77777777" w:rsidTr="006E49F8">
        <w:trPr>
          <w:trHeight w:val="1611"/>
        </w:trPr>
        <w:tc>
          <w:tcPr>
            <w:tcW w:w="6626" w:type="dxa"/>
            <w:gridSpan w:val="12"/>
          </w:tcPr>
          <w:p w14:paraId="3950CC8F" w14:textId="77777777" w:rsidR="00FB4F5C" w:rsidRDefault="006A701A" w:rsidP="00DA7A8E">
            <w:pPr>
              <w:spacing w:line="240" w:lineRule="auto"/>
              <w:ind w:hanging="45"/>
              <w:rPr>
                <w:rFonts w:ascii="Times New Roman" w:hAnsi="Times New Roman"/>
                <w:b/>
                <w:color w:val="000000"/>
              </w:rPr>
            </w:pPr>
            <w:bookmarkStart w:id="0" w:name="t1"/>
            <w:r w:rsidRPr="00554C1F">
              <w:rPr>
                <w:rFonts w:ascii="Times New Roman" w:hAnsi="Times New Roman"/>
                <w:b/>
                <w:color w:val="000000"/>
              </w:rPr>
              <w:t xml:space="preserve">Nazwa </w:t>
            </w:r>
            <w:r w:rsidR="001B75D8" w:rsidRPr="00554C1F">
              <w:rPr>
                <w:rFonts w:ascii="Times New Roman" w:hAnsi="Times New Roman"/>
                <w:b/>
                <w:color w:val="000000"/>
              </w:rPr>
              <w:t>projektu</w:t>
            </w:r>
            <w:r w:rsidR="00FB4F5C">
              <w:rPr>
                <w:rFonts w:ascii="Times New Roman" w:hAnsi="Times New Roman"/>
                <w:b/>
                <w:color w:val="000000"/>
              </w:rPr>
              <w:t>:</w:t>
            </w:r>
          </w:p>
          <w:p w14:paraId="6BC456F9" w14:textId="77777777" w:rsidR="006D2BF4" w:rsidRPr="005E1C68" w:rsidRDefault="006D2BF4" w:rsidP="008A3178">
            <w:pPr>
              <w:spacing w:line="240" w:lineRule="auto"/>
              <w:ind w:hanging="34"/>
              <w:jc w:val="both"/>
              <w:rPr>
                <w:rFonts w:ascii="Times New Roman" w:hAnsi="Times New Roman"/>
              </w:rPr>
            </w:pPr>
            <w:r w:rsidRPr="005E1C68">
              <w:rPr>
                <w:rFonts w:ascii="Times New Roman" w:hAnsi="Times New Roman"/>
                <w:bCs/>
              </w:rPr>
              <w:t xml:space="preserve">Projekt </w:t>
            </w:r>
            <w:r w:rsidR="000D6B94">
              <w:rPr>
                <w:rFonts w:ascii="Times New Roman" w:hAnsi="Times New Roman"/>
                <w:bCs/>
              </w:rPr>
              <w:t xml:space="preserve">ustawy o jakości </w:t>
            </w:r>
            <w:r w:rsidR="00A00313">
              <w:rPr>
                <w:rFonts w:ascii="Times New Roman" w:hAnsi="Times New Roman"/>
                <w:bCs/>
              </w:rPr>
              <w:t>w o</w:t>
            </w:r>
            <w:r w:rsidR="00350F8D">
              <w:rPr>
                <w:rFonts w:ascii="Times New Roman" w:hAnsi="Times New Roman"/>
                <w:bCs/>
              </w:rPr>
              <w:t xml:space="preserve">piece zdrowotnej </w:t>
            </w:r>
            <w:r w:rsidR="000D6B94">
              <w:rPr>
                <w:rFonts w:ascii="Times New Roman" w:hAnsi="Times New Roman"/>
                <w:bCs/>
              </w:rPr>
              <w:t>i bezpieczeństwie pacjenta</w:t>
            </w:r>
          </w:p>
          <w:p w14:paraId="6649842B" w14:textId="77777777" w:rsidR="000C7019" w:rsidRDefault="000C7019" w:rsidP="00DA7A8E">
            <w:pPr>
              <w:spacing w:line="240" w:lineRule="auto"/>
              <w:ind w:hanging="45"/>
              <w:rPr>
                <w:rFonts w:ascii="Times New Roman" w:hAnsi="Times New Roman"/>
                <w:b/>
                <w:color w:val="000000"/>
              </w:rPr>
            </w:pPr>
          </w:p>
          <w:p w14:paraId="2D604D40" w14:textId="77777777" w:rsidR="006A701A" w:rsidRPr="00554C1F" w:rsidRDefault="006A701A" w:rsidP="00DA7A8E">
            <w:pPr>
              <w:spacing w:line="240" w:lineRule="auto"/>
              <w:ind w:hanging="45"/>
              <w:rPr>
                <w:rFonts w:ascii="Times New Roman" w:hAnsi="Times New Roman"/>
                <w:color w:val="000000"/>
              </w:rPr>
            </w:pPr>
            <w:r w:rsidRPr="00554C1F">
              <w:rPr>
                <w:rFonts w:ascii="Times New Roman" w:hAnsi="Times New Roman"/>
                <w:b/>
                <w:color w:val="000000"/>
              </w:rPr>
              <w:t>Ministerstwo wiodące i ministerstwa współpracujące</w:t>
            </w:r>
            <w:r w:rsidR="00FB4F5C">
              <w:rPr>
                <w:rFonts w:ascii="Times New Roman" w:hAnsi="Times New Roman"/>
                <w:b/>
                <w:color w:val="000000"/>
              </w:rPr>
              <w:t>:</w:t>
            </w:r>
          </w:p>
          <w:bookmarkEnd w:id="0"/>
          <w:p w14:paraId="62804BBE" w14:textId="77777777" w:rsidR="00FB4F5C" w:rsidRDefault="00CF7A9D" w:rsidP="00DA7A8E">
            <w:pPr>
              <w:spacing w:line="240" w:lineRule="auto"/>
              <w:ind w:hanging="34"/>
              <w:rPr>
                <w:rFonts w:ascii="Times New Roman" w:hAnsi="Times New Roman"/>
                <w:color w:val="000000"/>
              </w:rPr>
            </w:pPr>
            <w:r w:rsidRPr="00554C1F">
              <w:rPr>
                <w:rFonts w:ascii="Times New Roman" w:hAnsi="Times New Roman"/>
                <w:color w:val="000000"/>
              </w:rPr>
              <w:t>Ministerstwo Zdrowia</w:t>
            </w:r>
          </w:p>
          <w:p w14:paraId="6EE69A67" w14:textId="77777777" w:rsidR="000C7019" w:rsidRDefault="000C7019" w:rsidP="008A3178">
            <w:pPr>
              <w:spacing w:line="240" w:lineRule="auto"/>
              <w:ind w:left="-34"/>
              <w:rPr>
                <w:rFonts w:ascii="Times New Roman" w:hAnsi="Times New Roman"/>
                <w:b/>
              </w:rPr>
            </w:pPr>
          </w:p>
          <w:p w14:paraId="1FBE4E37" w14:textId="77777777" w:rsidR="00FB4F5C" w:rsidRDefault="001B3460" w:rsidP="008A3178">
            <w:pPr>
              <w:spacing w:line="240" w:lineRule="auto"/>
              <w:ind w:left="-34"/>
              <w:rPr>
                <w:rFonts w:ascii="Times New Roman" w:hAnsi="Times New Roman"/>
                <w:color w:val="000000"/>
              </w:rPr>
            </w:pPr>
            <w:r w:rsidRPr="00554C1F">
              <w:rPr>
                <w:rFonts w:ascii="Times New Roman" w:hAnsi="Times New Roman"/>
                <w:b/>
              </w:rPr>
              <w:t>Osoba odpowiedzialna za projekt w randze Ministra, Sekretarz</w:t>
            </w:r>
            <w:r w:rsidR="00FB4F5C">
              <w:rPr>
                <w:rFonts w:ascii="Times New Roman" w:hAnsi="Times New Roman"/>
                <w:b/>
              </w:rPr>
              <w:t>a Stanu lub Podsekretarza Stanu:</w:t>
            </w:r>
          </w:p>
          <w:p w14:paraId="62CB63ED" w14:textId="77777777" w:rsidR="001B3460" w:rsidRPr="00FB4F5C" w:rsidRDefault="00F5136F" w:rsidP="00DA7A8E">
            <w:pPr>
              <w:spacing w:line="240" w:lineRule="auto"/>
              <w:ind w:left="-34"/>
              <w:rPr>
                <w:rFonts w:ascii="Times New Roman" w:hAnsi="Times New Roman"/>
                <w:color w:val="000000"/>
              </w:rPr>
            </w:pPr>
            <w:r>
              <w:rPr>
                <w:rFonts w:ascii="Times New Roman" w:hAnsi="Times New Roman"/>
              </w:rPr>
              <w:t xml:space="preserve">Pan </w:t>
            </w:r>
            <w:r w:rsidR="00937EA3">
              <w:rPr>
                <w:rFonts w:ascii="Times New Roman" w:hAnsi="Times New Roman"/>
              </w:rPr>
              <w:t>Waldemar Kraska</w:t>
            </w:r>
            <w:r w:rsidR="00FB4F5C">
              <w:rPr>
                <w:rFonts w:ascii="Times New Roman" w:hAnsi="Times New Roman"/>
              </w:rPr>
              <w:t xml:space="preserve">, </w:t>
            </w:r>
            <w:r w:rsidR="00937EA3">
              <w:rPr>
                <w:rFonts w:ascii="Times New Roman" w:hAnsi="Times New Roman"/>
              </w:rPr>
              <w:t>S</w:t>
            </w:r>
            <w:r w:rsidR="00CF7A9D" w:rsidRPr="00554C1F">
              <w:rPr>
                <w:rFonts w:ascii="Times New Roman" w:hAnsi="Times New Roman"/>
              </w:rPr>
              <w:t>ekretarz Stanu</w:t>
            </w:r>
            <w:r w:rsidR="000910C5" w:rsidRPr="00554C1F">
              <w:rPr>
                <w:rFonts w:ascii="Times New Roman" w:hAnsi="Times New Roman"/>
              </w:rPr>
              <w:t xml:space="preserve"> w Ministerstwie Zdrowia</w:t>
            </w:r>
          </w:p>
          <w:p w14:paraId="2FC57409" w14:textId="77777777" w:rsidR="000C7019" w:rsidRDefault="000C7019" w:rsidP="00DA7A8E">
            <w:pPr>
              <w:spacing w:line="240" w:lineRule="auto"/>
              <w:ind w:hanging="45"/>
              <w:rPr>
                <w:rFonts w:ascii="Times New Roman" w:hAnsi="Times New Roman"/>
                <w:b/>
                <w:color w:val="000000"/>
              </w:rPr>
            </w:pPr>
          </w:p>
          <w:p w14:paraId="45013730" w14:textId="77777777" w:rsidR="006A701A" w:rsidRPr="00554C1F" w:rsidRDefault="006A701A" w:rsidP="00DA7A8E">
            <w:pPr>
              <w:spacing w:line="240" w:lineRule="auto"/>
              <w:ind w:hanging="45"/>
              <w:rPr>
                <w:rFonts w:ascii="Times New Roman" w:hAnsi="Times New Roman"/>
                <w:b/>
                <w:color w:val="000000"/>
              </w:rPr>
            </w:pPr>
            <w:r w:rsidRPr="00554C1F">
              <w:rPr>
                <w:rFonts w:ascii="Times New Roman" w:hAnsi="Times New Roman"/>
                <w:b/>
                <w:color w:val="000000"/>
              </w:rPr>
              <w:t>Kontakt do opiekuna merytorycznego projektu</w:t>
            </w:r>
            <w:r w:rsidR="00F5136F">
              <w:rPr>
                <w:rFonts w:ascii="Times New Roman" w:hAnsi="Times New Roman"/>
                <w:b/>
                <w:color w:val="000000"/>
              </w:rPr>
              <w:t>:</w:t>
            </w:r>
          </w:p>
          <w:p w14:paraId="5AAF15EF" w14:textId="77777777" w:rsidR="00C37522" w:rsidRPr="00554C1F" w:rsidRDefault="00F5136F" w:rsidP="000C7019">
            <w:pPr>
              <w:spacing w:line="240" w:lineRule="auto"/>
              <w:ind w:left="-34"/>
              <w:rPr>
                <w:rFonts w:ascii="Times New Roman" w:hAnsi="Times New Roman"/>
                <w:color w:val="000000"/>
              </w:rPr>
            </w:pPr>
            <w:r>
              <w:rPr>
                <w:rFonts w:ascii="Times New Roman" w:hAnsi="Times New Roman"/>
                <w:color w:val="000000"/>
              </w:rPr>
              <w:t>P</w:t>
            </w:r>
            <w:r w:rsidR="00997372">
              <w:rPr>
                <w:rFonts w:ascii="Times New Roman" w:hAnsi="Times New Roman"/>
                <w:color w:val="000000"/>
              </w:rPr>
              <w:t>ani Dominika Janiszewska-Kajka</w:t>
            </w:r>
            <w:r w:rsidR="00FB4F5C">
              <w:rPr>
                <w:rFonts w:ascii="Times New Roman" w:hAnsi="Times New Roman"/>
                <w:color w:val="000000"/>
              </w:rPr>
              <w:t xml:space="preserve">, </w:t>
            </w:r>
            <w:r w:rsidR="000C7019">
              <w:rPr>
                <w:rFonts w:ascii="Times New Roman" w:hAnsi="Times New Roman"/>
                <w:color w:val="000000"/>
              </w:rPr>
              <w:t>Z</w:t>
            </w:r>
            <w:r w:rsidR="00997372">
              <w:rPr>
                <w:rFonts w:ascii="Times New Roman" w:hAnsi="Times New Roman"/>
                <w:color w:val="000000"/>
              </w:rPr>
              <w:t>astępca D</w:t>
            </w:r>
            <w:r w:rsidR="00CF7A9D" w:rsidRPr="00554C1F">
              <w:rPr>
                <w:rFonts w:ascii="Times New Roman" w:hAnsi="Times New Roman"/>
                <w:color w:val="000000"/>
              </w:rPr>
              <w:t>yr</w:t>
            </w:r>
            <w:r w:rsidR="00195901">
              <w:rPr>
                <w:rFonts w:ascii="Times New Roman" w:hAnsi="Times New Roman"/>
                <w:color w:val="000000"/>
              </w:rPr>
              <w:t>ektor</w:t>
            </w:r>
            <w:r w:rsidR="00997372">
              <w:rPr>
                <w:rFonts w:ascii="Times New Roman" w:hAnsi="Times New Roman"/>
                <w:color w:val="000000"/>
              </w:rPr>
              <w:t>a</w:t>
            </w:r>
            <w:r w:rsidR="00F77786" w:rsidRPr="00554C1F">
              <w:rPr>
                <w:rFonts w:ascii="Times New Roman" w:hAnsi="Times New Roman"/>
                <w:color w:val="000000"/>
              </w:rPr>
              <w:t xml:space="preserve"> Departamentu </w:t>
            </w:r>
            <w:r w:rsidR="00937EA3">
              <w:rPr>
                <w:rFonts w:ascii="Times New Roman" w:hAnsi="Times New Roman"/>
                <w:color w:val="000000"/>
              </w:rPr>
              <w:t xml:space="preserve">Lecznictwa </w:t>
            </w:r>
            <w:r w:rsidR="008A7E5B">
              <w:rPr>
                <w:rFonts w:ascii="Times New Roman" w:hAnsi="Times New Roman"/>
                <w:color w:val="000000"/>
              </w:rPr>
              <w:t>w Ministerstwie Zdrowia</w:t>
            </w:r>
            <w:r w:rsidR="00CF7A9D" w:rsidRPr="00554C1F">
              <w:rPr>
                <w:rFonts w:ascii="Times New Roman" w:hAnsi="Times New Roman"/>
                <w:color w:val="000000"/>
              </w:rPr>
              <w:t xml:space="preserve">, </w:t>
            </w:r>
            <w:r w:rsidR="008A7E5B">
              <w:rPr>
                <w:rFonts w:ascii="Times New Roman" w:hAnsi="Times New Roman"/>
                <w:color w:val="000000"/>
              </w:rPr>
              <w:t xml:space="preserve">tel. </w:t>
            </w:r>
            <w:r w:rsidR="00FB4F5C" w:rsidRPr="001802B0">
              <w:rPr>
                <w:rFonts w:ascii="Times New Roman" w:hAnsi="Times New Roman"/>
                <w:color w:val="000000"/>
              </w:rPr>
              <w:t>(</w:t>
            </w:r>
            <w:r w:rsidR="00CF7A9D" w:rsidRPr="001802B0">
              <w:rPr>
                <w:rFonts w:ascii="Times New Roman" w:hAnsi="Times New Roman"/>
                <w:color w:val="000000"/>
              </w:rPr>
              <w:t>22</w:t>
            </w:r>
            <w:r w:rsidR="00FB4F5C" w:rsidRPr="001802B0">
              <w:rPr>
                <w:rFonts w:ascii="Times New Roman" w:hAnsi="Times New Roman"/>
                <w:color w:val="000000"/>
              </w:rPr>
              <w:t>)</w:t>
            </w:r>
            <w:r w:rsidR="001802B0">
              <w:rPr>
                <w:rFonts w:ascii="Times New Roman" w:hAnsi="Times New Roman"/>
                <w:color w:val="000000"/>
              </w:rPr>
              <w:t xml:space="preserve"> </w:t>
            </w:r>
            <w:r w:rsidR="001802B0" w:rsidRPr="001802B0">
              <w:rPr>
                <w:rFonts w:ascii="Times New Roman" w:hAnsi="Times New Roman"/>
                <w:color w:val="000000"/>
              </w:rPr>
              <w:t>530 02 84</w:t>
            </w:r>
            <w:r w:rsidR="00CF7A9D" w:rsidRPr="001802B0">
              <w:rPr>
                <w:rFonts w:ascii="Times New Roman" w:hAnsi="Times New Roman"/>
                <w:color w:val="000000"/>
              </w:rPr>
              <w:t xml:space="preserve">, </w:t>
            </w:r>
            <w:hyperlink r:id="rId11" w:history="1">
              <w:r w:rsidR="00182F44" w:rsidRPr="003953B9">
                <w:rPr>
                  <w:rStyle w:val="Hipercze"/>
                  <w:rFonts w:ascii="Times New Roman" w:hAnsi="Times New Roman"/>
                </w:rPr>
                <w:t>dep-dl@mz.gov.pl</w:t>
              </w:r>
            </w:hyperlink>
            <w:r w:rsidR="00FB4F5C">
              <w:rPr>
                <w:rFonts w:ascii="Times New Roman" w:hAnsi="Times New Roman"/>
                <w:color w:val="000000"/>
              </w:rPr>
              <w:t xml:space="preserve"> </w:t>
            </w:r>
          </w:p>
        </w:tc>
        <w:tc>
          <w:tcPr>
            <w:tcW w:w="4290" w:type="dxa"/>
            <w:gridSpan w:val="13"/>
            <w:shd w:val="clear" w:color="auto" w:fill="FFFFFF"/>
          </w:tcPr>
          <w:p w14:paraId="09E96870" w14:textId="77777777" w:rsidR="00937EA3" w:rsidRDefault="001B3460" w:rsidP="00DA7A8E">
            <w:pPr>
              <w:spacing w:line="240" w:lineRule="auto"/>
              <w:rPr>
                <w:rFonts w:ascii="Times New Roman" w:hAnsi="Times New Roman"/>
                <w:b/>
              </w:rPr>
            </w:pPr>
            <w:r w:rsidRPr="00554C1F">
              <w:rPr>
                <w:rFonts w:ascii="Times New Roman" w:hAnsi="Times New Roman"/>
                <w:b/>
              </w:rPr>
              <w:t>Data sporządzenia</w:t>
            </w:r>
            <w:r w:rsidR="00036DC7">
              <w:rPr>
                <w:rFonts w:ascii="Times New Roman" w:hAnsi="Times New Roman"/>
                <w:b/>
              </w:rPr>
              <w:t>:</w:t>
            </w:r>
          </w:p>
          <w:p w14:paraId="5A5858C4" w14:textId="2CD6AFD6" w:rsidR="001B3460" w:rsidRPr="00554C1F" w:rsidRDefault="00E132FB" w:rsidP="00DA7A8E">
            <w:pPr>
              <w:spacing w:line="240" w:lineRule="auto"/>
              <w:rPr>
                <w:rFonts w:ascii="Times New Roman" w:hAnsi="Times New Roman"/>
                <w:b/>
              </w:rPr>
            </w:pPr>
            <w:r>
              <w:rPr>
                <w:rFonts w:ascii="Times New Roman" w:hAnsi="Times New Roman"/>
              </w:rPr>
              <w:t>2</w:t>
            </w:r>
            <w:r w:rsidR="00CA0777">
              <w:rPr>
                <w:rFonts w:ascii="Times New Roman" w:hAnsi="Times New Roman"/>
              </w:rPr>
              <w:t>2</w:t>
            </w:r>
            <w:r w:rsidR="00937EA3">
              <w:rPr>
                <w:rFonts w:ascii="Times New Roman" w:hAnsi="Times New Roman"/>
              </w:rPr>
              <w:t>.0</w:t>
            </w:r>
            <w:r>
              <w:rPr>
                <w:rFonts w:ascii="Times New Roman" w:hAnsi="Times New Roman"/>
              </w:rPr>
              <w:t>7</w:t>
            </w:r>
            <w:r w:rsidR="00937EA3">
              <w:rPr>
                <w:rFonts w:ascii="Times New Roman" w:hAnsi="Times New Roman"/>
              </w:rPr>
              <w:t>.2021 r.</w:t>
            </w:r>
          </w:p>
          <w:p w14:paraId="0A524D5E" w14:textId="77777777" w:rsidR="00F76884" w:rsidRPr="00554C1F" w:rsidRDefault="00F76884" w:rsidP="008A3178">
            <w:pPr>
              <w:spacing w:line="240" w:lineRule="auto"/>
              <w:rPr>
                <w:rFonts w:ascii="Times New Roman" w:hAnsi="Times New Roman"/>
                <w:b/>
              </w:rPr>
            </w:pPr>
          </w:p>
          <w:p w14:paraId="126ED3C9" w14:textId="77777777" w:rsidR="00C414DD" w:rsidRDefault="00F76884" w:rsidP="00DA7A8E">
            <w:pPr>
              <w:spacing w:line="240" w:lineRule="auto"/>
              <w:rPr>
                <w:rFonts w:ascii="Times New Roman" w:hAnsi="Times New Roman"/>
                <w:b/>
              </w:rPr>
            </w:pPr>
            <w:r w:rsidRPr="00554C1F">
              <w:rPr>
                <w:rFonts w:ascii="Times New Roman" w:hAnsi="Times New Roman"/>
                <w:b/>
              </w:rPr>
              <w:t xml:space="preserve">Źródło: </w:t>
            </w:r>
          </w:p>
          <w:p w14:paraId="40BF882E" w14:textId="77777777" w:rsidR="004B67A4" w:rsidRDefault="00865F93" w:rsidP="00DA7A8E">
            <w:pPr>
              <w:spacing w:line="240" w:lineRule="auto"/>
              <w:jc w:val="both"/>
              <w:rPr>
                <w:rFonts w:ascii="Times New Roman" w:hAnsi="Times New Roman"/>
                <w:b/>
              </w:rPr>
            </w:pPr>
            <w:r>
              <w:rPr>
                <w:rFonts w:ascii="Times New Roman" w:hAnsi="Times New Roman"/>
                <w:color w:val="000000"/>
              </w:rPr>
              <w:t>Polski Ład</w:t>
            </w:r>
          </w:p>
          <w:p w14:paraId="0ED83577" w14:textId="77777777" w:rsidR="00FB4F5C" w:rsidRPr="00554C1F" w:rsidRDefault="00FB4F5C" w:rsidP="00DA7A8E">
            <w:pPr>
              <w:spacing w:line="240" w:lineRule="auto"/>
              <w:rPr>
                <w:rFonts w:ascii="Times New Roman" w:hAnsi="Times New Roman"/>
                <w:color w:val="000000"/>
              </w:rPr>
            </w:pPr>
          </w:p>
          <w:p w14:paraId="1787C729" w14:textId="5B4DB61D" w:rsidR="001C0D07" w:rsidRDefault="006A701A" w:rsidP="00DA7A8E">
            <w:pPr>
              <w:spacing w:line="240" w:lineRule="auto"/>
              <w:rPr>
                <w:rFonts w:ascii="Times New Roman" w:hAnsi="Times New Roman"/>
                <w:b/>
                <w:color w:val="000000"/>
              </w:rPr>
            </w:pPr>
            <w:r w:rsidRPr="00554C1F">
              <w:rPr>
                <w:rFonts w:ascii="Times New Roman" w:hAnsi="Times New Roman"/>
                <w:b/>
                <w:color w:val="000000"/>
              </w:rPr>
              <w:t xml:space="preserve">Nr </w:t>
            </w:r>
            <w:r w:rsidR="0057668E" w:rsidRPr="00554C1F">
              <w:rPr>
                <w:rFonts w:ascii="Times New Roman" w:hAnsi="Times New Roman"/>
                <w:b/>
                <w:color w:val="000000"/>
              </w:rPr>
              <w:t>w</w:t>
            </w:r>
            <w:r w:rsidRPr="00554C1F">
              <w:rPr>
                <w:rFonts w:ascii="Times New Roman" w:hAnsi="Times New Roman"/>
                <w:b/>
                <w:color w:val="000000"/>
              </w:rPr>
              <w:t xml:space="preserve"> wykaz</w:t>
            </w:r>
            <w:r w:rsidR="0057668E" w:rsidRPr="00554C1F">
              <w:rPr>
                <w:rFonts w:ascii="Times New Roman" w:hAnsi="Times New Roman"/>
                <w:b/>
                <w:color w:val="000000"/>
              </w:rPr>
              <w:t>ie</w:t>
            </w:r>
            <w:r w:rsidRPr="00554C1F">
              <w:rPr>
                <w:rFonts w:ascii="Times New Roman" w:hAnsi="Times New Roman"/>
                <w:b/>
                <w:color w:val="000000"/>
              </w:rPr>
              <w:t xml:space="preserve"> pra</w:t>
            </w:r>
            <w:r w:rsidR="003C2F67" w:rsidRPr="00554C1F">
              <w:rPr>
                <w:rFonts w:ascii="Times New Roman" w:hAnsi="Times New Roman"/>
                <w:b/>
                <w:color w:val="000000"/>
              </w:rPr>
              <w:t xml:space="preserve">c </w:t>
            </w:r>
            <w:r w:rsidR="000C7019">
              <w:rPr>
                <w:rFonts w:ascii="Times New Roman" w:hAnsi="Times New Roman"/>
                <w:b/>
                <w:color w:val="000000"/>
              </w:rPr>
              <w:t xml:space="preserve">legislacyjnych i programowych </w:t>
            </w:r>
            <w:r w:rsidR="001431B7">
              <w:rPr>
                <w:rFonts w:ascii="Times New Roman" w:hAnsi="Times New Roman"/>
                <w:b/>
                <w:color w:val="000000"/>
              </w:rPr>
              <w:t xml:space="preserve">Rady Ministrów: </w:t>
            </w:r>
          </w:p>
          <w:p w14:paraId="4F506222" w14:textId="59D185E5" w:rsidR="002D40EA" w:rsidRDefault="002D40EA" w:rsidP="00DA7A8E">
            <w:pPr>
              <w:spacing w:line="240" w:lineRule="auto"/>
              <w:rPr>
                <w:rFonts w:ascii="Times New Roman" w:hAnsi="Times New Roman"/>
                <w:b/>
                <w:color w:val="000000"/>
              </w:rPr>
            </w:pPr>
          </w:p>
          <w:p w14:paraId="560A9056" w14:textId="32BF0EE3" w:rsidR="002D40EA" w:rsidRDefault="002D40EA" w:rsidP="00DA7A8E">
            <w:pPr>
              <w:spacing w:line="240" w:lineRule="auto"/>
              <w:rPr>
                <w:rFonts w:ascii="Times New Roman" w:hAnsi="Times New Roman"/>
                <w:b/>
                <w:color w:val="000000"/>
              </w:rPr>
            </w:pPr>
            <w:r>
              <w:rPr>
                <w:rFonts w:ascii="Times New Roman" w:hAnsi="Times New Roman"/>
                <w:b/>
                <w:color w:val="000000"/>
              </w:rPr>
              <w:t>UD 255</w:t>
            </w:r>
          </w:p>
          <w:p w14:paraId="4EF03AD2" w14:textId="77777777" w:rsidR="006A701A" w:rsidRPr="00554C1F" w:rsidRDefault="006A701A" w:rsidP="00DA7A8E">
            <w:pPr>
              <w:spacing w:line="240" w:lineRule="auto"/>
              <w:rPr>
                <w:rFonts w:ascii="Times New Roman" w:hAnsi="Times New Roman"/>
                <w:color w:val="000000"/>
              </w:rPr>
            </w:pPr>
          </w:p>
        </w:tc>
      </w:tr>
      <w:tr w:rsidR="006A701A" w:rsidRPr="0022687A" w14:paraId="201B3413" w14:textId="77777777" w:rsidTr="003E4722">
        <w:trPr>
          <w:trHeight w:val="442"/>
        </w:trPr>
        <w:tc>
          <w:tcPr>
            <w:tcW w:w="10916" w:type="dxa"/>
            <w:gridSpan w:val="25"/>
            <w:shd w:val="clear" w:color="auto" w:fill="99CCFF"/>
            <w:vAlign w:val="center"/>
          </w:tcPr>
          <w:p w14:paraId="2D75ED3E" w14:textId="77777777" w:rsidR="006A701A" w:rsidRPr="000B55C6" w:rsidRDefault="006A701A" w:rsidP="008A3178">
            <w:pPr>
              <w:spacing w:line="240" w:lineRule="auto"/>
              <w:ind w:left="57"/>
              <w:jc w:val="center"/>
              <w:rPr>
                <w:rFonts w:ascii="Times New Roman" w:hAnsi="Times New Roman"/>
                <w:b/>
                <w:color w:val="FFFFFF"/>
                <w:sz w:val="28"/>
                <w:szCs w:val="28"/>
              </w:rPr>
            </w:pPr>
            <w:r w:rsidRPr="000B55C6">
              <w:rPr>
                <w:rFonts w:ascii="Times New Roman" w:hAnsi="Times New Roman"/>
                <w:b/>
                <w:color w:val="FFFFFF"/>
                <w:sz w:val="28"/>
                <w:szCs w:val="28"/>
              </w:rPr>
              <w:t>OCENA SKUTKÓW REGULACJI</w:t>
            </w:r>
          </w:p>
        </w:tc>
      </w:tr>
      <w:tr w:rsidR="006A701A" w:rsidRPr="008B4FE6" w14:paraId="56CD1973" w14:textId="77777777" w:rsidTr="003E4722">
        <w:trPr>
          <w:trHeight w:val="333"/>
        </w:trPr>
        <w:tc>
          <w:tcPr>
            <w:tcW w:w="10916" w:type="dxa"/>
            <w:gridSpan w:val="25"/>
            <w:shd w:val="clear" w:color="auto" w:fill="99CCFF"/>
            <w:vAlign w:val="center"/>
          </w:tcPr>
          <w:p w14:paraId="4EA97A7E" w14:textId="77777777" w:rsidR="006A701A" w:rsidRPr="00554C1F" w:rsidRDefault="003D12F6" w:rsidP="00DA7A8E">
            <w:pPr>
              <w:numPr>
                <w:ilvl w:val="0"/>
                <w:numId w:val="1"/>
              </w:numPr>
              <w:spacing w:line="240" w:lineRule="auto"/>
              <w:ind w:left="318" w:hanging="284"/>
              <w:jc w:val="both"/>
              <w:rPr>
                <w:rFonts w:ascii="Times New Roman" w:hAnsi="Times New Roman"/>
                <w:b/>
                <w:color w:val="000000"/>
              </w:rPr>
            </w:pPr>
            <w:r w:rsidRPr="00554C1F">
              <w:rPr>
                <w:rFonts w:ascii="Times New Roman" w:hAnsi="Times New Roman"/>
                <w:b/>
              </w:rPr>
              <w:t xml:space="preserve">Jaki problem jest </w:t>
            </w:r>
            <w:r w:rsidR="00CC6305" w:rsidRPr="00554C1F">
              <w:rPr>
                <w:rFonts w:ascii="Times New Roman" w:hAnsi="Times New Roman"/>
                <w:b/>
              </w:rPr>
              <w:t>rozwiązywany?</w:t>
            </w:r>
            <w:bookmarkStart w:id="1" w:name="Wybór1"/>
            <w:bookmarkEnd w:id="1"/>
          </w:p>
        </w:tc>
      </w:tr>
      <w:tr w:rsidR="006A701A" w:rsidRPr="008B4FE6" w14:paraId="169CE541" w14:textId="77777777" w:rsidTr="003E4722">
        <w:trPr>
          <w:trHeight w:val="142"/>
        </w:trPr>
        <w:tc>
          <w:tcPr>
            <w:tcW w:w="10916" w:type="dxa"/>
            <w:gridSpan w:val="25"/>
            <w:shd w:val="clear" w:color="auto" w:fill="FFFFFF"/>
          </w:tcPr>
          <w:p w14:paraId="15563D47" w14:textId="77777777" w:rsidR="000C7019" w:rsidRPr="00AF6DFE" w:rsidRDefault="000C7019" w:rsidP="000C7019">
            <w:pPr>
              <w:spacing w:line="240" w:lineRule="auto"/>
              <w:jc w:val="both"/>
              <w:rPr>
                <w:rFonts w:ascii="Times New Roman" w:hAnsi="Times New Roman"/>
              </w:rPr>
            </w:pPr>
            <w:r w:rsidRPr="00AF6DFE">
              <w:rPr>
                <w:rFonts w:ascii="Times New Roman" w:hAnsi="Times New Roman"/>
              </w:rPr>
              <w:t>Aktualnie zagadnienia jakości w opiece zdrowotnej są regulowane w wielu aktach prawnych</w:t>
            </w:r>
            <w:r>
              <w:rPr>
                <w:rFonts w:ascii="Times New Roman" w:hAnsi="Times New Roman"/>
              </w:rPr>
              <w:t xml:space="preserve"> </w:t>
            </w:r>
            <w:r w:rsidRPr="00AF6DFE">
              <w:rPr>
                <w:rFonts w:ascii="Times New Roman" w:hAnsi="Times New Roman"/>
              </w:rPr>
              <w:t xml:space="preserve">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 </w:t>
            </w:r>
          </w:p>
          <w:p w14:paraId="287980DF" w14:textId="384A3647" w:rsidR="00FB046B" w:rsidRPr="002E7025" w:rsidRDefault="00FB046B" w:rsidP="00FB046B">
            <w:pPr>
              <w:spacing w:line="240" w:lineRule="auto"/>
              <w:jc w:val="both"/>
              <w:rPr>
                <w:rFonts w:ascii="Times New Roman" w:hAnsi="Times New Roman"/>
              </w:rPr>
            </w:pPr>
            <w:r w:rsidRPr="002E7025">
              <w:rPr>
                <w:rFonts w:ascii="Times New Roman" w:hAnsi="Times New Roman"/>
              </w:rPr>
              <w:t xml:space="preserve">Celem projektu </w:t>
            </w:r>
            <w:r w:rsidR="00CA0777">
              <w:rPr>
                <w:rFonts w:ascii="Times New Roman" w:hAnsi="Times New Roman"/>
              </w:rPr>
              <w:t xml:space="preserve">ustawy </w:t>
            </w:r>
            <w:r w:rsidRPr="002E7025">
              <w:rPr>
                <w:rFonts w:ascii="Times New Roman" w:hAnsi="Times New Roman"/>
              </w:rPr>
              <w:t>jest wdrożenie rozwiązań prawno-organizacyjnych, które w sposób kompleksowy i skoordynowany będą realizowały priorytety polityki zdrowotnej w obszarze jakości. Przedmiotem uregulowania będzie wprowadzenie rozwiązań w zakresie:</w:t>
            </w:r>
          </w:p>
          <w:p w14:paraId="5851A7B4" w14:textId="77777777" w:rsidR="00FB046B" w:rsidRPr="002E7025" w:rsidRDefault="00FB046B" w:rsidP="00FB046B">
            <w:pPr>
              <w:tabs>
                <w:tab w:val="left" w:pos="284"/>
              </w:tabs>
              <w:spacing w:line="240" w:lineRule="auto"/>
              <w:jc w:val="both"/>
              <w:rPr>
                <w:rFonts w:ascii="Times New Roman" w:hAnsi="Times New Roman"/>
              </w:rPr>
            </w:pPr>
            <w:r w:rsidRPr="002E7025">
              <w:rPr>
                <w:rFonts w:ascii="Times New Roman" w:hAnsi="Times New Roman"/>
              </w:rPr>
              <w:t>1)</w:t>
            </w:r>
            <w:r w:rsidRPr="002E7025">
              <w:rPr>
                <w:rFonts w:ascii="Times New Roman" w:hAnsi="Times New Roman"/>
              </w:rPr>
              <w:tab/>
              <w:t>autoryzacji</w:t>
            </w:r>
            <w:r>
              <w:rPr>
                <w:rFonts w:ascii="Times New Roman" w:hAnsi="Times New Roman"/>
              </w:rPr>
              <w:t xml:space="preserve"> podmiotów wykonujących działalność leczniczą (szpitale)</w:t>
            </w:r>
            <w:r w:rsidRPr="002E7025">
              <w:rPr>
                <w:rFonts w:ascii="Times New Roman" w:hAnsi="Times New Roman"/>
              </w:rPr>
              <w:t>;</w:t>
            </w:r>
          </w:p>
          <w:p w14:paraId="4F9B832D" w14:textId="77777777" w:rsidR="00FB046B" w:rsidRPr="002E7025" w:rsidRDefault="00FB046B" w:rsidP="00FB046B">
            <w:pPr>
              <w:tabs>
                <w:tab w:val="left" w:pos="284"/>
              </w:tabs>
              <w:spacing w:line="240" w:lineRule="auto"/>
              <w:jc w:val="both"/>
              <w:rPr>
                <w:rFonts w:ascii="Times New Roman" w:hAnsi="Times New Roman"/>
              </w:rPr>
            </w:pPr>
            <w:r w:rsidRPr="002E7025">
              <w:rPr>
                <w:rFonts w:ascii="Times New Roman" w:hAnsi="Times New Roman"/>
              </w:rPr>
              <w:t>2)</w:t>
            </w:r>
            <w:r w:rsidRPr="002E7025">
              <w:rPr>
                <w:rFonts w:ascii="Times New Roman" w:hAnsi="Times New Roman"/>
              </w:rPr>
              <w:tab/>
            </w:r>
            <w:r>
              <w:rPr>
                <w:rFonts w:ascii="Times New Roman" w:hAnsi="Times New Roman"/>
              </w:rPr>
              <w:t>monitorowania zdarzeń niepożądanych</w:t>
            </w:r>
            <w:r w:rsidRPr="002E7025">
              <w:rPr>
                <w:rFonts w:ascii="Times New Roman" w:hAnsi="Times New Roman"/>
              </w:rPr>
              <w:t>;</w:t>
            </w:r>
          </w:p>
          <w:p w14:paraId="1C042693" w14:textId="77777777" w:rsidR="00FB046B" w:rsidRPr="002E7025" w:rsidRDefault="00FB046B" w:rsidP="00FB046B">
            <w:pPr>
              <w:tabs>
                <w:tab w:val="left" w:pos="284"/>
              </w:tabs>
              <w:spacing w:line="240" w:lineRule="auto"/>
              <w:jc w:val="both"/>
              <w:rPr>
                <w:rFonts w:ascii="Times New Roman" w:hAnsi="Times New Roman"/>
              </w:rPr>
            </w:pPr>
            <w:r w:rsidRPr="002E7025">
              <w:rPr>
                <w:rFonts w:ascii="Times New Roman" w:hAnsi="Times New Roman"/>
              </w:rPr>
              <w:t>3)</w:t>
            </w:r>
            <w:r w:rsidRPr="002E7025">
              <w:rPr>
                <w:rFonts w:ascii="Times New Roman" w:hAnsi="Times New Roman"/>
              </w:rPr>
              <w:tab/>
            </w:r>
            <w:r>
              <w:rPr>
                <w:rFonts w:ascii="Times New Roman" w:hAnsi="Times New Roman"/>
              </w:rPr>
              <w:t xml:space="preserve">usprawnienia </w:t>
            </w:r>
            <w:r w:rsidRPr="002E7025">
              <w:rPr>
                <w:rFonts w:ascii="Times New Roman" w:hAnsi="Times New Roman"/>
              </w:rPr>
              <w:t>akredytacji</w:t>
            </w:r>
            <w:r>
              <w:rPr>
                <w:rFonts w:ascii="Times New Roman" w:hAnsi="Times New Roman"/>
              </w:rPr>
              <w:t xml:space="preserve"> w ochronie zdrowia</w:t>
            </w:r>
            <w:r w:rsidRPr="002E7025">
              <w:rPr>
                <w:rFonts w:ascii="Times New Roman" w:hAnsi="Times New Roman"/>
              </w:rPr>
              <w:t>;</w:t>
            </w:r>
          </w:p>
          <w:p w14:paraId="664884FB" w14:textId="77777777" w:rsidR="00FB046B" w:rsidRPr="002E7025" w:rsidRDefault="00FB046B" w:rsidP="00FB046B">
            <w:pPr>
              <w:tabs>
                <w:tab w:val="left" w:pos="284"/>
              </w:tabs>
              <w:spacing w:line="240" w:lineRule="auto"/>
              <w:jc w:val="both"/>
              <w:rPr>
                <w:rFonts w:ascii="Times New Roman" w:hAnsi="Times New Roman"/>
              </w:rPr>
            </w:pPr>
            <w:r w:rsidRPr="002E7025">
              <w:rPr>
                <w:rFonts w:ascii="Times New Roman" w:hAnsi="Times New Roman"/>
              </w:rPr>
              <w:t>4)</w:t>
            </w:r>
            <w:r w:rsidRPr="002E7025">
              <w:rPr>
                <w:rFonts w:ascii="Times New Roman" w:hAnsi="Times New Roman"/>
              </w:rPr>
              <w:tab/>
            </w:r>
            <w:r>
              <w:rPr>
                <w:rFonts w:ascii="Times New Roman" w:hAnsi="Times New Roman"/>
              </w:rPr>
              <w:t>usprawnienia wypłaty pacjentom rekompensat za zdarzenia medyczne</w:t>
            </w:r>
            <w:r w:rsidRPr="002E7025">
              <w:rPr>
                <w:rFonts w:ascii="Times New Roman" w:hAnsi="Times New Roman"/>
              </w:rPr>
              <w:t>;</w:t>
            </w:r>
          </w:p>
          <w:p w14:paraId="07227824" w14:textId="77777777" w:rsidR="00FB046B" w:rsidRDefault="00FB046B" w:rsidP="00FB046B">
            <w:pPr>
              <w:tabs>
                <w:tab w:val="left" w:pos="284"/>
              </w:tabs>
              <w:spacing w:line="240" w:lineRule="auto"/>
              <w:jc w:val="both"/>
              <w:rPr>
                <w:rFonts w:ascii="Times New Roman" w:hAnsi="Times New Roman"/>
              </w:rPr>
            </w:pPr>
            <w:r w:rsidRPr="002E7025">
              <w:rPr>
                <w:rFonts w:ascii="Times New Roman" w:hAnsi="Times New Roman"/>
              </w:rPr>
              <w:t>5)</w:t>
            </w:r>
            <w:r w:rsidRPr="002E7025">
              <w:rPr>
                <w:rFonts w:ascii="Times New Roman" w:hAnsi="Times New Roman"/>
              </w:rPr>
              <w:tab/>
            </w:r>
            <w:r>
              <w:rPr>
                <w:rFonts w:ascii="Times New Roman" w:hAnsi="Times New Roman"/>
              </w:rPr>
              <w:t xml:space="preserve">tworzenia i prowadzenia </w:t>
            </w:r>
            <w:r w:rsidRPr="002E7025">
              <w:rPr>
                <w:rFonts w:ascii="Times New Roman" w:hAnsi="Times New Roman"/>
              </w:rPr>
              <w:t>rejestrów medycznych.</w:t>
            </w:r>
          </w:p>
          <w:p w14:paraId="5067A038" w14:textId="77777777" w:rsidR="00FB046B" w:rsidRPr="002E7025" w:rsidRDefault="00FB046B" w:rsidP="00FB046B">
            <w:pPr>
              <w:spacing w:line="240" w:lineRule="auto"/>
              <w:jc w:val="both"/>
              <w:rPr>
                <w:rFonts w:ascii="Times New Roman" w:hAnsi="Times New Roman"/>
              </w:rPr>
            </w:pPr>
            <w:r w:rsidRPr="002E7025">
              <w:rPr>
                <w:rFonts w:ascii="Times New Roman" w:hAnsi="Times New Roman"/>
              </w:rPr>
              <w:t>Uregulowanie kwestii systemowego monitorowania jakości udzielanych świadczeń zdrowotnych w drodze odrębnego aktu prawnego pozwoli na:</w:t>
            </w:r>
          </w:p>
          <w:p w14:paraId="327A6574" w14:textId="77777777" w:rsidR="00FB046B" w:rsidRPr="002E7025" w:rsidRDefault="00FB046B" w:rsidP="00FB046B">
            <w:pPr>
              <w:widowControl w:val="0"/>
              <w:numPr>
                <w:ilvl w:val="0"/>
                <w:numId w:val="12"/>
              </w:numPr>
              <w:tabs>
                <w:tab w:val="clear" w:pos="720"/>
                <w:tab w:val="num" w:pos="284"/>
              </w:tabs>
              <w:autoSpaceDE w:val="0"/>
              <w:autoSpaceDN w:val="0"/>
              <w:adjustRightInd w:val="0"/>
              <w:spacing w:line="240" w:lineRule="auto"/>
              <w:ind w:left="426" w:hanging="426"/>
              <w:jc w:val="both"/>
              <w:rPr>
                <w:rFonts w:ascii="Times New Roman" w:hAnsi="Times New Roman"/>
              </w:rPr>
            </w:pPr>
            <w:r w:rsidRPr="002E7025">
              <w:rPr>
                <w:rFonts w:ascii="Times New Roman" w:hAnsi="Times New Roman"/>
              </w:rPr>
              <w:t>poprawę skuteczności diagnostyki i leczenia przez systematyczną ocenę wskaźników jakości;</w:t>
            </w:r>
          </w:p>
          <w:p w14:paraId="1C92D634" w14:textId="77777777" w:rsidR="00FB046B" w:rsidRPr="002E7025" w:rsidRDefault="00FB046B" w:rsidP="00FB046B">
            <w:pPr>
              <w:widowControl w:val="0"/>
              <w:numPr>
                <w:ilvl w:val="0"/>
                <w:numId w:val="12"/>
              </w:numPr>
              <w:tabs>
                <w:tab w:val="clear" w:pos="720"/>
                <w:tab w:val="num" w:pos="284"/>
              </w:tabs>
              <w:autoSpaceDE w:val="0"/>
              <w:autoSpaceDN w:val="0"/>
              <w:adjustRightInd w:val="0"/>
              <w:spacing w:line="240" w:lineRule="auto"/>
              <w:ind w:left="426" w:hanging="426"/>
              <w:jc w:val="both"/>
              <w:rPr>
                <w:rFonts w:ascii="Times New Roman" w:hAnsi="Times New Roman"/>
              </w:rPr>
            </w:pPr>
            <w:r w:rsidRPr="002E7025">
              <w:rPr>
                <w:rFonts w:ascii="Times New Roman" w:hAnsi="Times New Roman"/>
              </w:rPr>
              <w:t>stałe udoskonalanie praktyki klinicznej przez prowadzenie rejestrów medycznych;</w:t>
            </w:r>
          </w:p>
          <w:p w14:paraId="4830522C" w14:textId="77777777" w:rsidR="00FB046B" w:rsidRPr="002E7025" w:rsidRDefault="00FB046B" w:rsidP="00FB046B">
            <w:pPr>
              <w:widowControl w:val="0"/>
              <w:numPr>
                <w:ilvl w:val="0"/>
                <w:numId w:val="12"/>
              </w:numPr>
              <w:tabs>
                <w:tab w:val="clear" w:pos="720"/>
                <w:tab w:val="num" w:pos="284"/>
              </w:tabs>
              <w:autoSpaceDE w:val="0"/>
              <w:autoSpaceDN w:val="0"/>
              <w:adjustRightInd w:val="0"/>
              <w:spacing w:line="240" w:lineRule="auto"/>
              <w:ind w:left="426" w:hanging="426"/>
              <w:jc w:val="both"/>
              <w:rPr>
                <w:rFonts w:ascii="Times New Roman" w:hAnsi="Times New Roman"/>
              </w:rPr>
            </w:pPr>
            <w:r w:rsidRPr="002E7025">
              <w:rPr>
                <w:rFonts w:ascii="Times New Roman" w:hAnsi="Times New Roman"/>
              </w:rPr>
              <w:t>poprawę bezpieczeństwa i satysfakcji pacjenta przez rejestrowanie i monitorowanie zdarzeń niepożądanych;</w:t>
            </w:r>
          </w:p>
          <w:p w14:paraId="00CD2E31" w14:textId="77777777" w:rsidR="00FB046B" w:rsidRPr="002E7025" w:rsidRDefault="00FB046B" w:rsidP="00FB046B">
            <w:pPr>
              <w:widowControl w:val="0"/>
              <w:numPr>
                <w:ilvl w:val="0"/>
                <w:numId w:val="12"/>
              </w:numPr>
              <w:tabs>
                <w:tab w:val="clear" w:pos="720"/>
                <w:tab w:val="num" w:pos="284"/>
              </w:tabs>
              <w:autoSpaceDE w:val="0"/>
              <w:autoSpaceDN w:val="0"/>
              <w:adjustRightInd w:val="0"/>
              <w:spacing w:line="240" w:lineRule="auto"/>
              <w:ind w:left="426" w:hanging="426"/>
              <w:jc w:val="both"/>
              <w:rPr>
                <w:rFonts w:ascii="Times New Roman" w:hAnsi="Times New Roman"/>
              </w:rPr>
            </w:pPr>
            <w:r w:rsidRPr="002E7025">
              <w:rPr>
                <w:rFonts w:ascii="Times New Roman" w:hAnsi="Times New Roman"/>
              </w:rPr>
              <w:t>stworzenie warunków do systematycznej oceny jakości świadczeń opieki zdrowotnej finansowanych ze środków publicznych i upubliczniania tych informacji;</w:t>
            </w:r>
          </w:p>
          <w:p w14:paraId="5A71B6DC" w14:textId="77777777" w:rsidR="00FB046B" w:rsidRPr="002E7025" w:rsidRDefault="00FB046B" w:rsidP="00FB046B">
            <w:pPr>
              <w:widowControl w:val="0"/>
              <w:numPr>
                <w:ilvl w:val="0"/>
                <w:numId w:val="12"/>
              </w:numPr>
              <w:tabs>
                <w:tab w:val="clear" w:pos="720"/>
                <w:tab w:val="num" w:pos="284"/>
              </w:tabs>
              <w:autoSpaceDE w:val="0"/>
              <w:autoSpaceDN w:val="0"/>
              <w:adjustRightInd w:val="0"/>
              <w:spacing w:line="240" w:lineRule="auto"/>
              <w:ind w:left="426" w:hanging="426"/>
              <w:jc w:val="both"/>
              <w:rPr>
                <w:rFonts w:ascii="Times New Roman" w:hAnsi="Times New Roman"/>
              </w:rPr>
            </w:pPr>
            <w:r w:rsidRPr="002E7025">
              <w:rPr>
                <w:rFonts w:ascii="Times New Roman" w:hAnsi="Times New Roman"/>
              </w:rPr>
              <w:t>uzyskanie porównywalności podmiotów udzielających świadczeń pod względem jakości i skuteczności oferowanej opieki oraz udostępnienie wyników opinii publicznej;</w:t>
            </w:r>
          </w:p>
          <w:p w14:paraId="57810471" w14:textId="77777777" w:rsidR="00FB046B" w:rsidRPr="00485A2E" w:rsidRDefault="00FB046B" w:rsidP="00FB046B">
            <w:pPr>
              <w:widowControl w:val="0"/>
              <w:numPr>
                <w:ilvl w:val="0"/>
                <w:numId w:val="12"/>
              </w:numPr>
              <w:tabs>
                <w:tab w:val="clear" w:pos="720"/>
                <w:tab w:val="num" w:pos="284"/>
              </w:tabs>
              <w:autoSpaceDE w:val="0"/>
              <w:autoSpaceDN w:val="0"/>
              <w:adjustRightInd w:val="0"/>
              <w:spacing w:line="240" w:lineRule="auto"/>
              <w:ind w:left="426" w:hanging="426"/>
              <w:jc w:val="both"/>
              <w:rPr>
                <w:rFonts w:ascii="Times New Roman" w:hAnsi="Times New Roman"/>
              </w:rPr>
            </w:pPr>
            <w:r w:rsidRPr="00485A2E">
              <w:rPr>
                <w:rFonts w:ascii="Times New Roman" w:hAnsi="Times New Roman"/>
              </w:rPr>
              <w:t xml:space="preserve">stworzenie warunków umożliwiających finansowe motywowanie podmiotów udzielających świadczeń opieki zdrowotnej finansowanych ze środków publicznych do podnoszenia poziomu jakości; </w:t>
            </w:r>
          </w:p>
          <w:p w14:paraId="0B944549" w14:textId="77777777" w:rsidR="00FB046B" w:rsidRPr="00485A2E" w:rsidRDefault="00FB046B" w:rsidP="00FB046B">
            <w:pPr>
              <w:widowControl w:val="0"/>
              <w:numPr>
                <w:ilvl w:val="0"/>
                <w:numId w:val="12"/>
              </w:numPr>
              <w:tabs>
                <w:tab w:val="clear" w:pos="720"/>
                <w:tab w:val="num" w:pos="284"/>
              </w:tabs>
              <w:autoSpaceDE w:val="0"/>
              <w:autoSpaceDN w:val="0"/>
              <w:adjustRightInd w:val="0"/>
              <w:spacing w:line="240" w:lineRule="auto"/>
              <w:ind w:left="426" w:hanging="426"/>
              <w:jc w:val="both"/>
              <w:rPr>
                <w:rFonts w:ascii="Times New Roman" w:hAnsi="Times New Roman"/>
              </w:rPr>
            </w:pPr>
            <w:r w:rsidRPr="00485A2E">
              <w:rPr>
                <w:rFonts w:ascii="Times New Roman" w:hAnsi="Times New Roman"/>
              </w:rPr>
              <w:t>efektywniejsze wykorzystanie środków publicznych w obszarze zdrowia.</w:t>
            </w:r>
          </w:p>
          <w:p w14:paraId="5232BA04" w14:textId="4228ED5D" w:rsidR="00A13772" w:rsidRDefault="00A13772" w:rsidP="000C7019">
            <w:pPr>
              <w:widowControl w:val="0"/>
              <w:autoSpaceDE w:val="0"/>
              <w:autoSpaceDN w:val="0"/>
              <w:adjustRightInd w:val="0"/>
              <w:spacing w:line="240" w:lineRule="auto"/>
              <w:jc w:val="both"/>
              <w:rPr>
                <w:rFonts w:ascii="Times New Roman" w:hAnsi="Times New Roman"/>
              </w:rPr>
            </w:pPr>
            <w:r>
              <w:rPr>
                <w:rFonts w:ascii="Times New Roman" w:hAnsi="Times New Roman"/>
              </w:rPr>
              <w:t>Propozycja wdrożenia autoryzacji szpitali ma na celu wprowadzenie do polskiego systemu opieki zdrowotnej rozwiązań stałej oceny spełni</w:t>
            </w:r>
            <w:r w:rsidR="00821706">
              <w:rPr>
                <w:rFonts w:ascii="Times New Roman" w:hAnsi="Times New Roman"/>
              </w:rPr>
              <w:t>a</w:t>
            </w:r>
            <w:r>
              <w:rPr>
                <w:rFonts w:ascii="Times New Roman" w:hAnsi="Times New Roman"/>
              </w:rPr>
              <w:t>nia wymagań jakościowych przez podmiot</w:t>
            </w:r>
            <w:r w:rsidR="00821706">
              <w:rPr>
                <w:rFonts w:ascii="Times New Roman" w:hAnsi="Times New Roman"/>
              </w:rPr>
              <w:t>y</w:t>
            </w:r>
            <w:r>
              <w:rPr>
                <w:rFonts w:ascii="Times New Roman" w:hAnsi="Times New Roman"/>
              </w:rPr>
              <w:t xml:space="preserve"> udzielające świadczeń finansowanych ze środków publicznych. Obecnie w polskim systemie opieki zdrowotnej nie funkcjonują rozwiązania motywujące podmioty udzielające świadczeń </w:t>
            </w:r>
            <w:r w:rsidR="000D6873">
              <w:rPr>
                <w:rFonts w:ascii="Times New Roman" w:hAnsi="Times New Roman"/>
              </w:rPr>
              <w:t xml:space="preserve">opieki zdrowotnej </w:t>
            </w:r>
            <w:r>
              <w:rPr>
                <w:rFonts w:ascii="Times New Roman" w:hAnsi="Times New Roman"/>
              </w:rPr>
              <w:t xml:space="preserve">ze środków publicznych do </w:t>
            </w:r>
            <w:r w:rsidR="00821706">
              <w:rPr>
                <w:rFonts w:ascii="Times New Roman" w:hAnsi="Times New Roman"/>
              </w:rPr>
              <w:t xml:space="preserve">utrzymywania swojej działalności leczniczej na co najmniej minimalnym poziomie spełnienia </w:t>
            </w:r>
            <w:r>
              <w:rPr>
                <w:rFonts w:ascii="Times New Roman" w:hAnsi="Times New Roman"/>
              </w:rPr>
              <w:t>wymagań związanych z jakością i bezpieczeństwem pacjenta</w:t>
            </w:r>
            <w:r w:rsidR="00821706">
              <w:rPr>
                <w:rFonts w:ascii="Times New Roman" w:hAnsi="Times New Roman"/>
              </w:rPr>
              <w:t>, jak również wymagań określonych w rozporządzeniach w sprawie świadczeń gwarantowanych. Autoryzacja ma na celu zapewnienie stałego spełniania przez podmiot</w:t>
            </w:r>
            <w:r w:rsidR="000D6873">
              <w:rPr>
                <w:rFonts w:ascii="Times New Roman" w:hAnsi="Times New Roman"/>
              </w:rPr>
              <w:t>y</w:t>
            </w:r>
            <w:r w:rsidR="00821706">
              <w:rPr>
                <w:rFonts w:ascii="Times New Roman" w:hAnsi="Times New Roman"/>
              </w:rPr>
              <w:t xml:space="preserve"> udzielające świadczeń </w:t>
            </w:r>
            <w:r w:rsidR="000D6873">
              <w:rPr>
                <w:rFonts w:ascii="Times New Roman" w:hAnsi="Times New Roman"/>
              </w:rPr>
              <w:t xml:space="preserve">opieki zdrowotnej </w:t>
            </w:r>
            <w:r w:rsidR="00821706">
              <w:rPr>
                <w:rFonts w:ascii="Times New Roman" w:hAnsi="Times New Roman"/>
              </w:rPr>
              <w:t xml:space="preserve">ze środków publicznych wymagań dla świadczeń gwarantowanych. Bez wdrożenia systemu autoryzacji nie nastąpi wyrównanie poziomu spełnienia przez szpitale wymagań dla świadczeń gwarantowanych, a tym samym niezbędna i oczekiwana poprawa jakości opieki nad pacjentami, zapewniona równość dostępu do świadczeń o „gwarantowanej” jakości. </w:t>
            </w:r>
          </w:p>
          <w:p w14:paraId="7F1703A4" w14:textId="2439F495" w:rsidR="000D3161" w:rsidRDefault="000D3161" w:rsidP="000D3161">
            <w:pPr>
              <w:widowControl w:val="0"/>
              <w:autoSpaceDE w:val="0"/>
              <w:autoSpaceDN w:val="0"/>
              <w:adjustRightInd w:val="0"/>
              <w:spacing w:line="240" w:lineRule="auto"/>
              <w:jc w:val="both"/>
              <w:rPr>
                <w:rFonts w:ascii="Times New Roman" w:hAnsi="Times New Roman"/>
              </w:rPr>
            </w:pPr>
            <w:r w:rsidRPr="000D3161">
              <w:rPr>
                <w:rFonts w:ascii="Times New Roman" w:hAnsi="Times New Roman"/>
              </w:rPr>
              <w:t>Wymagania w zakresie zbierania i analizy zdarzeń niepożądanych wprowadzono w</w:t>
            </w:r>
            <w:r>
              <w:rPr>
                <w:rFonts w:ascii="Times New Roman" w:hAnsi="Times New Roman"/>
              </w:rPr>
              <w:t xml:space="preserve"> </w:t>
            </w:r>
            <w:r w:rsidRPr="000D3161">
              <w:rPr>
                <w:rFonts w:ascii="Times New Roman" w:hAnsi="Times New Roman"/>
              </w:rPr>
              <w:t>Rzeczpospolitej Polskiej w 2009 r. w drodze obwieszczenia Ministra Zdrowia z dnia 18</w:t>
            </w:r>
            <w:r>
              <w:rPr>
                <w:rFonts w:ascii="Times New Roman" w:hAnsi="Times New Roman"/>
              </w:rPr>
              <w:t xml:space="preserve"> </w:t>
            </w:r>
            <w:r w:rsidRPr="000D3161">
              <w:rPr>
                <w:rFonts w:ascii="Times New Roman" w:hAnsi="Times New Roman"/>
              </w:rPr>
              <w:t>stycznia 2010 r. w sprawie standardów akredytacyjnych w zakresie udzielania</w:t>
            </w:r>
            <w:r>
              <w:rPr>
                <w:rFonts w:ascii="Times New Roman" w:hAnsi="Times New Roman"/>
              </w:rPr>
              <w:t xml:space="preserve"> </w:t>
            </w:r>
            <w:r w:rsidRPr="000D3161">
              <w:rPr>
                <w:rFonts w:ascii="Times New Roman" w:hAnsi="Times New Roman"/>
              </w:rPr>
              <w:t>świadczeń zdrowotnych oraz funkcjonowania szpitali (Dz.</w:t>
            </w:r>
            <w:r w:rsidR="000D6873">
              <w:rPr>
                <w:rFonts w:ascii="Times New Roman" w:hAnsi="Times New Roman"/>
              </w:rPr>
              <w:t xml:space="preserve"> </w:t>
            </w:r>
            <w:r w:rsidRPr="000D3161">
              <w:rPr>
                <w:rFonts w:ascii="Times New Roman" w:hAnsi="Times New Roman"/>
              </w:rPr>
              <w:t>Urz. Min. Zdrow. poz. 24). W</w:t>
            </w:r>
            <w:r>
              <w:rPr>
                <w:rFonts w:ascii="Times New Roman" w:hAnsi="Times New Roman"/>
              </w:rPr>
              <w:t xml:space="preserve"> </w:t>
            </w:r>
            <w:r w:rsidRPr="000D3161">
              <w:rPr>
                <w:rFonts w:ascii="Times New Roman" w:hAnsi="Times New Roman"/>
              </w:rPr>
              <w:t>standardach tych zdarzenie niepożądane zdefiniowano jako szkodę powstałą w trakcie</w:t>
            </w:r>
            <w:r>
              <w:rPr>
                <w:rFonts w:ascii="Times New Roman" w:hAnsi="Times New Roman"/>
              </w:rPr>
              <w:t xml:space="preserve"> </w:t>
            </w:r>
            <w:r w:rsidRPr="000D3161">
              <w:rPr>
                <w:rFonts w:ascii="Times New Roman" w:hAnsi="Times New Roman"/>
              </w:rPr>
              <w:t>lub w efekcie leczenia, niezwiązaną z naturalnym przebiegiem choroby i stanem zdrowia</w:t>
            </w:r>
            <w:r>
              <w:rPr>
                <w:rFonts w:ascii="Times New Roman" w:hAnsi="Times New Roman"/>
              </w:rPr>
              <w:t xml:space="preserve"> </w:t>
            </w:r>
            <w:r w:rsidRPr="000D3161">
              <w:rPr>
                <w:rFonts w:ascii="Times New Roman" w:hAnsi="Times New Roman"/>
              </w:rPr>
              <w:t>pacjenta lub ryzyko wystąpienia szkody. Prowadzenie wewnątrzszpitalnego systemu</w:t>
            </w:r>
            <w:r>
              <w:rPr>
                <w:rFonts w:ascii="Times New Roman" w:hAnsi="Times New Roman"/>
              </w:rPr>
              <w:t xml:space="preserve"> </w:t>
            </w:r>
            <w:r w:rsidRPr="000D3161">
              <w:rPr>
                <w:rFonts w:ascii="Times New Roman" w:hAnsi="Times New Roman"/>
              </w:rPr>
              <w:t>zgłaszania zdarzeń niepożądanych wprowadził standard „PJ 5.1: W szpitalu identyfikuje</w:t>
            </w:r>
            <w:r>
              <w:rPr>
                <w:rFonts w:ascii="Times New Roman" w:hAnsi="Times New Roman"/>
              </w:rPr>
              <w:t xml:space="preserve"> </w:t>
            </w:r>
            <w:r w:rsidRPr="000D3161">
              <w:rPr>
                <w:rFonts w:ascii="Times New Roman" w:hAnsi="Times New Roman"/>
              </w:rPr>
              <w:t xml:space="preserve">się i gromadzi dane na </w:t>
            </w:r>
            <w:r w:rsidRPr="000D3161">
              <w:rPr>
                <w:rFonts w:ascii="Times New Roman" w:hAnsi="Times New Roman"/>
              </w:rPr>
              <w:lastRenderedPageBreak/>
              <w:t>temat zdarzeń niepożądanych”. System ten jest nakierowany na</w:t>
            </w:r>
            <w:r>
              <w:rPr>
                <w:rFonts w:ascii="Times New Roman" w:hAnsi="Times New Roman"/>
              </w:rPr>
              <w:t xml:space="preserve"> </w:t>
            </w:r>
            <w:r w:rsidRPr="000D3161">
              <w:rPr>
                <w:rFonts w:ascii="Times New Roman" w:hAnsi="Times New Roman"/>
              </w:rPr>
              <w:t>raportowanie analizowanie i uczenie się na błędach. Dobrowolność tych rozwiązań</w:t>
            </w:r>
            <w:r>
              <w:rPr>
                <w:rFonts w:ascii="Times New Roman" w:hAnsi="Times New Roman"/>
              </w:rPr>
              <w:t xml:space="preserve"> </w:t>
            </w:r>
            <w:r w:rsidRPr="000D3161">
              <w:rPr>
                <w:rFonts w:ascii="Times New Roman" w:hAnsi="Times New Roman"/>
              </w:rPr>
              <w:t>powoduje, że tylko wybrane szpitale wykorzystują możliwość uczenia się na własnych</w:t>
            </w:r>
            <w:r>
              <w:rPr>
                <w:rFonts w:ascii="Times New Roman" w:hAnsi="Times New Roman"/>
              </w:rPr>
              <w:t xml:space="preserve"> </w:t>
            </w:r>
            <w:r w:rsidRPr="000D3161">
              <w:rPr>
                <w:rFonts w:ascii="Times New Roman" w:hAnsi="Times New Roman"/>
              </w:rPr>
              <w:t>błędach. W ramach systemu akredytacji w ochronie zdrowia większość jednostek</w:t>
            </w:r>
            <w:r>
              <w:rPr>
                <w:rFonts w:ascii="Times New Roman" w:hAnsi="Times New Roman"/>
              </w:rPr>
              <w:t xml:space="preserve"> </w:t>
            </w:r>
            <w:r w:rsidRPr="000D3161">
              <w:rPr>
                <w:rFonts w:ascii="Times New Roman" w:hAnsi="Times New Roman"/>
              </w:rPr>
              <w:t>wdrożyła taki system całościowo – 57% jednostek poddanych przeglądowi w 2015 r. lub</w:t>
            </w:r>
            <w:r>
              <w:rPr>
                <w:rFonts w:ascii="Times New Roman" w:hAnsi="Times New Roman"/>
              </w:rPr>
              <w:t xml:space="preserve"> </w:t>
            </w:r>
            <w:r w:rsidRPr="000D3161">
              <w:rPr>
                <w:rFonts w:ascii="Times New Roman" w:hAnsi="Times New Roman"/>
              </w:rPr>
              <w:t>częściowo (35%), zaledwie 8% wizytowanych szpitali nie wdrożyło efektywnego systemu</w:t>
            </w:r>
            <w:r>
              <w:rPr>
                <w:rFonts w:ascii="Times New Roman" w:hAnsi="Times New Roman"/>
              </w:rPr>
              <w:t xml:space="preserve"> </w:t>
            </w:r>
            <w:r w:rsidRPr="000D3161">
              <w:rPr>
                <w:rFonts w:ascii="Times New Roman" w:hAnsi="Times New Roman"/>
              </w:rPr>
              <w:t>monitorowania zdarzeń niepożądanych.</w:t>
            </w:r>
          </w:p>
          <w:p w14:paraId="30D8C151" w14:textId="38784846" w:rsidR="00940218" w:rsidRPr="00940218" w:rsidRDefault="000D3161" w:rsidP="00940218">
            <w:pPr>
              <w:widowControl w:val="0"/>
              <w:autoSpaceDE w:val="0"/>
              <w:autoSpaceDN w:val="0"/>
              <w:adjustRightInd w:val="0"/>
              <w:spacing w:line="240" w:lineRule="auto"/>
              <w:jc w:val="both"/>
              <w:rPr>
                <w:rFonts w:ascii="Times New Roman" w:hAnsi="Times New Roman"/>
              </w:rPr>
            </w:pPr>
            <w:r w:rsidRPr="000D3161">
              <w:rPr>
                <w:rFonts w:ascii="Times New Roman" w:hAnsi="Times New Roman"/>
              </w:rPr>
              <w:t>W zakresie systemu gromadzenia danych o zdarzeniach niepożądanych problemem jest</w:t>
            </w:r>
            <w:r>
              <w:rPr>
                <w:rFonts w:ascii="Times New Roman" w:hAnsi="Times New Roman"/>
              </w:rPr>
              <w:t xml:space="preserve"> </w:t>
            </w:r>
            <w:r w:rsidRPr="000D3161">
              <w:rPr>
                <w:rFonts w:ascii="Times New Roman" w:hAnsi="Times New Roman"/>
              </w:rPr>
              <w:t>zgłaszanie zdarzeń przez lekarzy. Ze względu na brak dostatecznej ochrony prawnej</w:t>
            </w:r>
            <w:r>
              <w:rPr>
                <w:rFonts w:ascii="Times New Roman" w:hAnsi="Times New Roman"/>
              </w:rPr>
              <w:t xml:space="preserve"> </w:t>
            </w:r>
            <w:r w:rsidRPr="000D3161">
              <w:rPr>
                <w:rFonts w:ascii="Times New Roman" w:hAnsi="Times New Roman"/>
              </w:rPr>
              <w:t>można odnotować tendencje do zgłaszania zdarzeń, które w większości nie stanowiły</w:t>
            </w:r>
            <w:r>
              <w:rPr>
                <w:rFonts w:ascii="Times New Roman" w:hAnsi="Times New Roman"/>
              </w:rPr>
              <w:t xml:space="preserve"> </w:t>
            </w:r>
            <w:r w:rsidRPr="000D3161">
              <w:rPr>
                <w:rFonts w:ascii="Times New Roman" w:hAnsi="Times New Roman"/>
              </w:rPr>
              <w:t>zagrożenia dla pacjenta oraz w których personel medyczny nie miał bezpośredniego</w:t>
            </w:r>
            <w:r>
              <w:rPr>
                <w:rFonts w:ascii="Times New Roman" w:hAnsi="Times New Roman"/>
              </w:rPr>
              <w:t xml:space="preserve"> </w:t>
            </w:r>
            <w:r w:rsidRPr="000D3161">
              <w:rPr>
                <w:rFonts w:ascii="Times New Roman" w:hAnsi="Times New Roman"/>
              </w:rPr>
              <w:t>udziału, takich jak upadki pacjentów, czy zdarzenia związane z wadliwym</w:t>
            </w:r>
            <w:r>
              <w:rPr>
                <w:rFonts w:ascii="Times New Roman" w:hAnsi="Times New Roman"/>
              </w:rPr>
              <w:t xml:space="preserve"> </w:t>
            </w:r>
            <w:r w:rsidRPr="000D3161">
              <w:rPr>
                <w:rFonts w:ascii="Times New Roman" w:hAnsi="Times New Roman"/>
              </w:rPr>
              <w:t>funkcjonowaniem sprzętu medycznego. Zauważa się także brak zgłoszeń dotyczących</w:t>
            </w:r>
            <w:r>
              <w:rPr>
                <w:rFonts w:ascii="Times New Roman" w:hAnsi="Times New Roman"/>
              </w:rPr>
              <w:t xml:space="preserve"> </w:t>
            </w:r>
            <w:r w:rsidRPr="000D3161">
              <w:rPr>
                <w:rFonts w:ascii="Times New Roman" w:hAnsi="Times New Roman"/>
              </w:rPr>
              <w:t>niewłaściwej farmakoterapii (np. pomylenie leku, pacjenta, dawki, drogi czy czasu</w:t>
            </w:r>
            <w:r>
              <w:rPr>
                <w:rFonts w:ascii="Times New Roman" w:hAnsi="Times New Roman"/>
              </w:rPr>
              <w:t xml:space="preserve"> </w:t>
            </w:r>
            <w:r w:rsidRPr="000D3161">
              <w:rPr>
                <w:rFonts w:ascii="Times New Roman" w:hAnsi="Times New Roman"/>
              </w:rPr>
              <w:t>podania). Prawdopodobnie znaczna część zdarzeń nie jest zgłaszana w obawie przed</w:t>
            </w:r>
            <w:r>
              <w:rPr>
                <w:rFonts w:ascii="Times New Roman" w:hAnsi="Times New Roman"/>
              </w:rPr>
              <w:t xml:space="preserve"> </w:t>
            </w:r>
            <w:r w:rsidRPr="000D3161">
              <w:rPr>
                <w:rFonts w:ascii="Times New Roman" w:hAnsi="Times New Roman"/>
              </w:rPr>
              <w:t>konsekwencjami prawnymi. Zdarzenia, które skutkowały lub mogły skutkować</w:t>
            </w:r>
            <w:r>
              <w:rPr>
                <w:rFonts w:ascii="Times New Roman" w:hAnsi="Times New Roman"/>
              </w:rPr>
              <w:t xml:space="preserve"> </w:t>
            </w:r>
            <w:r w:rsidRPr="000D3161">
              <w:rPr>
                <w:rFonts w:ascii="Times New Roman" w:hAnsi="Times New Roman"/>
              </w:rPr>
              <w:t>poważnymi konsekwencjami zdrowotnymi dla pacjentów, powinny zostać poddane</w:t>
            </w:r>
            <w:r>
              <w:rPr>
                <w:rFonts w:ascii="Times New Roman" w:hAnsi="Times New Roman"/>
              </w:rPr>
              <w:t xml:space="preserve"> </w:t>
            </w:r>
            <w:r w:rsidRPr="000D3161">
              <w:rPr>
                <w:rFonts w:ascii="Times New Roman" w:hAnsi="Times New Roman"/>
              </w:rPr>
              <w:t>szczegółowej analizie, a wynikające z niej wnioski zostać wdrożone do praktyki</w:t>
            </w:r>
            <w:r>
              <w:rPr>
                <w:rFonts w:ascii="Times New Roman" w:hAnsi="Times New Roman"/>
              </w:rPr>
              <w:t xml:space="preserve"> </w:t>
            </w:r>
            <w:r w:rsidRPr="000D3161">
              <w:rPr>
                <w:rFonts w:ascii="Times New Roman" w:hAnsi="Times New Roman"/>
              </w:rPr>
              <w:t>klinicznej i organizacji pracy w danej jednostce. Wnioski z prowadzenia systemu</w:t>
            </w:r>
            <w:r>
              <w:rPr>
                <w:rFonts w:ascii="Times New Roman" w:hAnsi="Times New Roman"/>
              </w:rPr>
              <w:t xml:space="preserve"> </w:t>
            </w:r>
            <w:r w:rsidRPr="000D3161">
              <w:rPr>
                <w:rFonts w:ascii="Times New Roman" w:hAnsi="Times New Roman"/>
              </w:rPr>
              <w:t>akredytacji wskazują na niedostateczne wdrożenie przez szpitale wniosków z</w:t>
            </w:r>
            <w:r>
              <w:rPr>
                <w:rFonts w:ascii="Times New Roman" w:hAnsi="Times New Roman"/>
              </w:rPr>
              <w:t xml:space="preserve"> </w:t>
            </w:r>
            <w:r w:rsidRPr="000D3161">
              <w:rPr>
                <w:rFonts w:ascii="Times New Roman" w:hAnsi="Times New Roman"/>
              </w:rPr>
              <w:t>prowadzonych analiz zdarzeń niepożądanych. Około 20% szpitali poddawanych ocenie</w:t>
            </w:r>
            <w:r>
              <w:rPr>
                <w:rFonts w:ascii="Times New Roman" w:hAnsi="Times New Roman"/>
              </w:rPr>
              <w:t xml:space="preserve"> </w:t>
            </w:r>
            <w:r w:rsidRPr="000D3161">
              <w:rPr>
                <w:rFonts w:ascii="Times New Roman" w:hAnsi="Times New Roman"/>
              </w:rPr>
              <w:t>akredytacyjnej nie spełniło standardów związanych z wdrożeniem wniosków z</w:t>
            </w:r>
            <w:r>
              <w:rPr>
                <w:rFonts w:ascii="Times New Roman" w:hAnsi="Times New Roman"/>
              </w:rPr>
              <w:t xml:space="preserve"> </w:t>
            </w:r>
            <w:r w:rsidRPr="000D3161">
              <w:rPr>
                <w:rFonts w:ascii="Times New Roman" w:hAnsi="Times New Roman"/>
              </w:rPr>
              <w:t>prowadzonych analiz.</w:t>
            </w:r>
            <w:r w:rsidR="00042BC0">
              <w:rPr>
                <w:rFonts w:ascii="Times New Roman" w:hAnsi="Times New Roman"/>
              </w:rPr>
              <w:t xml:space="preserve"> Na bazie 10 letnich doświadczeń i wniosków z systemu akredytacji w ochronie zdrowia, zaproponowano wdrożenie obowiązkowego monitorowania zdarzeń niepożądanych w szpitalach. Założenia dla systemu oparto na najlepszych dobrych praktykach</w:t>
            </w:r>
            <w:r w:rsidR="000D6873">
              <w:rPr>
                <w:rFonts w:ascii="Times New Roman" w:hAnsi="Times New Roman"/>
              </w:rPr>
              <w:t>,</w:t>
            </w:r>
            <w:r w:rsidR="00042BC0">
              <w:rPr>
                <w:rFonts w:ascii="Times New Roman" w:hAnsi="Times New Roman"/>
              </w:rPr>
              <w:t xml:space="preserve"> w tym zakresie innych państw, jak również rekomendacjach Światowej Organizacji Zdrowia. </w:t>
            </w:r>
            <w:r w:rsidR="00AE15D6">
              <w:rPr>
                <w:rFonts w:ascii="Times New Roman" w:hAnsi="Times New Roman"/>
              </w:rPr>
              <w:t>Dotychczas w ramach systemu akredytacji w ochronie zdrowia monitorowanie zdarzeń niepożądanych było prowadzone wyłącznie na poziomie szpitali. Wprowadzenie monitorowania zdarzeń niepożądanych obowiązkowego wymaga wdrożenia systemu nadzoru nad tym systemem, co czyni go systemem dwupoziomowym.</w:t>
            </w:r>
            <w:r w:rsidR="00940218">
              <w:rPr>
                <w:rFonts w:ascii="Times New Roman" w:hAnsi="Times New Roman"/>
              </w:rPr>
              <w:t xml:space="preserve"> Ponadto, w</w:t>
            </w:r>
            <w:r w:rsidR="00940218" w:rsidRPr="00940218">
              <w:rPr>
                <w:rFonts w:ascii="Times New Roman" w:hAnsi="Times New Roman"/>
              </w:rPr>
              <w:t xml:space="preserve"> obowiązującym systemie prawnym skutecznie funkcjonuje już inny system zgłaszania zdarzeń niepożądanych. Zgodnie bowiem z obowiązującą ustawą </w:t>
            </w:r>
            <w:r w:rsidR="000D6873">
              <w:rPr>
                <w:rFonts w:ascii="Times New Roman" w:hAnsi="Times New Roman"/>
              </w:rPr>
              <w:t xml:space="preserve">z dnia 6 września 2001 r. – </w:t>
            </w:r>
            <w:r w:rsidR="00940218" w:rsidRPr="00940218">
              <w:rPr>
                <w:rFonts w:ascii="Times New Roman" w:hAnsi="Times New Roman"/>
              </w:rPr>
              <w:t xml:space="preserve">Prawo farmaceutyczne </w:t>
            </w:r>
            <w:r w:rsidR="000D6873">
              <w:rPr>
                <w:rFonts w:ascii="Times New Roman" w:hAnsi="Times New Roman"/>
              </w:rPr>
              <w:t xml:space="preserve">(Dz. U. z 2021 r. poz. 974) </w:t>
            </w:r>
            <w:r w:rsidR="00940218" w:rsidRPr="00940218">
              <w:rPr>
                <w:rFonts w:ascii="Times New Roman" w:hAnsi="Times New Roman"/>
              </w:rPr>
              <w:t>pacjenci, ich przedstawiciele ustawowi lub opiekunowie faktyczni, jak również osoby wykonujące zawód medyczny mogą zgłosić działanie niepożądane produktu leczniczego. Działaniem niepożądanym produktu leczniczego jest każde niekorzystne</w:t>
            </w:r>
            <w:r w:rsidR="00940218">
              <w:rPr>
                <w:rFonts w:ascii="Times New Roman" w:hAnsi="Times New Roman"/>
              </w:rPr>
              <w:t xml:space="preserve"> </w:t>
            </w:r>
            <w:r w:rsidR="00940218" w:rsidRPr="00940218">
              <w:rPr>
                <w:rFonts w:ascii="Times New Roman" w:hAnsi="Times New Roman"/>
              </w:rPr>
              <w:t>i niezamierzone działanie produktu leczniczego.</w:t>
            </w:r>
          </w:p>
          <w:p w14:paraId="0DB7FA2B" w14:textId="79796BC9" w:rsidR="00140FDA" w:rsidRPr="00140FDA" w:rsidRDefault="00140FDA" w:rsidP="00140FDA">
            <w:pPr>
              <w:widowControl w:val="0"/>
              <w:autoSpaceDE w:val="0"/>
              <w:autoSpaceDN w:val="0"/>
              <w:adjustRightInd w:val="0"/>
              <w:spacing w:line="240" w:lineRule="auto"/>
              <w:jc w:val="both"/>
              <w:rPr>
                <w:rFonts w:ascii="Times New Roman" w:hAnsi="Times New Roman"/>
              </w:rPr>
            </w:pPr>
            <w:r w:rsidRPr="00140FDA">
              <w:rPr>
                <w:rFonts w:ascii="Times New Roman" w:hAnsi="Times New Roman"/>
              </w:rPr>
              <w:t>Akredytacja została wprowadzona ustawą z dnia 20 czerwca 1997 r. o zakładach opieki</w:t>
            </w:r>
            <w:r>
              <w:rPr>
                <w:rFonts w:ascii="Times New Roman" w:hAnsi="Times New Roman"/>
              </w:rPr>
              <w:t xml:space="preserve"> </w:t>
            </w:r>
            <w:r w:rsidRPr="00140FDA">
              <w:rPr>
                <w:rFonts w:ascii="Times New Roman" w:hAnsi="Times New Roman"/>
              </w:rPr>
              <w:t>zdrowotnej oraz zmiany niektórych innych ustaw (Dz.</w:t>
            </w:r>
            <w:r w:rsidR="000D6873">
              <w:rPr>
                <w:rFonts w:ascii="Times New Roman" w:hAnsi="Times New Roman"/>
              </w:rPr>
              <w:t xml:space="preserve"> </w:t>
            </w:r>
            <w:r w:rsidRPr="00140FDA">
              <w:rPr>
                <w:rFonts w:ascii="Times New Roman" w:hAnsi="Times New Roman"/>
              </w:rPr>
              <w:t>U. poz. 661, z późn. zm.) z dniem 5</w:t>
            </w:r>
            <w:r>
              <w:rPr>
                <w:rFonts w:ascii="Times New Roman" w:hAnsi="Times New Roman"/>
              </w:rPr>
              <w:t xml:space="preserve"> </w:t>
            </w:r>
            <w:r w:rsidRPr="00140FDA">
              <w:rPr>
                <w:rFonts w:ascii="Times New Roman" w:hAnsi="Times New Roman"/>
              </w:rPr>
              <w:t>grudnia 1997 r. Certyfikat akredytacyjny był wydawany przez Radę Akredytacyjną na</w:t>
            </w:r>
            <w:r>
              <w:rPr>
                <w:rFonts w:ascii="Times New Roman" w:hAnsi="Times New Roman"/>
              </w:rPr>
              <w:t xml:space="preserve"> </w:t>
            </w:r>
            <w:r w:rsidRPr="00140FDA">
              <w:rPr>
                <w:rFonts w:ascii="Times New Roman" w:hAnsi="Times New Roman"/>
              </w:rPr>
              <w:t>podstawie ustalonych przez siebie wymagań i po przeprowadzeniu przez ośrodek</w:t>
            </w:r>
            <w:r>
              <w:rPr>
                <w:rFonts w:ascii="Times New Roman" w:hAnsi="Times New Roman"/>
              </w:rPr>
              <w:t xml:space="preserve"> </w:t>
            </w:r>
            <w:r w:rsidRPr="00140FDA">
              <w:rPr>
                <w:rFonts w:ascii="Times New Roman" w:hAnsi="Times New Roman"/>
              </w:rPr>
              <w:t>akredytacyjny procedury oceniającej zakład opieki zdrowotnej. Rada powoływana była</w:t>
            </w:r>
            <w:r>
              <w:rPr>
                <w:rFonts w:ascii="Times New Roman" w:hAnsi="Times New Roman"/>
              </w:rPr>
              <w:t xml:space="preserve"> </w:t>
            </w:r>
            <w:r w:rsidRPr="00140FDA">
              <w:rPr>
                <w:rFonts w:ascii="Times New Roman" w:hAnsi="Times New Roman"/>
              </w:rPr>
              <w:t>przez ministra właściwego do spraw zdrowia. Akredytacja była dobrowolna, udzielana</w:t>
            </w:r>
            <w:r>
              <w:rPr>
                <w:rFonts w:ascii="Times New Roman" w:hAnsi="Times New Roman"/>
              </w:rPr>
              <w:t xml:space="preserve"> </w:t>
            </w:r>
            <w:r w:rsidRPr="00140FDA">
              <w:rPr>
                <w:rFonts w:ascii="Times New Roman" w:hAnsi="Times New Roman"/>
              </w:rPr>
              <w:t>każdorazowo na okres nie dłuższy niż 3 lata.</w:t>
            </w:r>
            <w:r>
              <w:rPr>
                <w:rFonts w:ascii="Times New Roman" w:hAnsi="Times New Roman"/>
              </w:rPr>
              <w:t xml:space="preserve"> </w:t>
            </w:r>
            <w:r w:rsidRPr="00140FDA">
              <w:rPr>
                <w:rFonts w:ascii="Times New Roman" w:hAnsi="Times New Roman"/>
              </w:rPr>
              <w:t>Od dnia 5 czerwca 2009 r. akredytacja jest udzielana przez ministra właściwego do</w:t>
            </w:r>
            <w:r>
              <w:rPr>
                <w:rFonts w:ascii="Times New Roman" w:hAnsi="Times New Roman"/>
              </w:rPr>
              <w:t xml:space="preserve"> </w:t>
            </w:r>
            <w:r w:rsidRPr="00140FDA">
              <w:rPr>
                <w:rFonts w:ascii="Times New Roman" w:hAnsi="Times New Roman"/>
              </w:rPr>
              <w:t>spraw zdrowia, na podstawie ustawy z dnia 6 listopada 2008 r. o akredytacji w ochronie</w:t>
            </w:r>
            <w:r>
              <w:rPr>
                <w:rFonts w:ascii="Times New Roman" w:hAnsi="Times New Roman"/>
              </w:rPr>
              <w:t xml:space="preserve"> </w:t>
            </w:r>
            <w:r w:rsidRPr="00140FDA">
              <w:rPr>
                <w:rFonts w:ascii="Times New Roman" w:hAnsi="Times New Roman"/>
              </w:rPr>
              <w:t>zdrowia. Akredytacja otrzymała status wymagań fakultatywnych, które są oceniane w</w:t>
            </w:r>
            <w:r>
              <w:rPr>
                <w:rFonts w:ascii="Times New Roman" w:hAnsi="Times New Roman"/>
              </w:rPr>
              <w:t xml:space="preserve"> </w:t>
            </w:r>
            <w:r w:rsidRPr="00140FDA">
              <w:rPr>
                <w:rFonts w:ascii="Times New Roman" w:hAnsi="Times New Roman"/>
              </w:rPr>
              <w:t>podmiotach, które wyrażają wolę poddania się przeglądowi akredytacyjnemu.</w:t>
            </w:r>
            <w:r>
              <w:rPr>
                <w:rFonts w:ascii="Times New Roman" w:hAnsi="Times New Roman"/>
              </w:rPr>
              <w:t xml:space="preserve"> </w:t>
            </w:r>
            <w:r w:rsidRPr="00140FDA">
              <w:rPr>
                <w:rFonts w:ascii="Times New Roman" w:hAnsi="Times New Roman"/>
              </w:rPr>
              <w:t>Akredytacja jest fakultatywna. Podmiot udzielający świadczeń zdrowotnych może</w:t>
            </w:r>
            <w:r>
              <w:rPr>
                <w:rFonts w:ascii="Times New Roman" w:hAnsi="Times New Roman"/>
              </w:rPr>
              <w:t xml:space="preserve"> </w:t>
            </w:r>
            <w:r w:rsidRPr="00140FDA">
              <w:rPr>
                <w:rFonts w:ascii="Times New Roman" w:hAnsi="Times New Roman"/>
              </w:rPr>
              <w:t>wystąpić do ministra właściwego do spraw zdrowia, za pośrednictwem ośrodka</w:t>
            </w:r>
            <w:r>
              <w:rPr>
                <w:rFonts w:ascii="Times New Roman" w:hAnsi="Times New Roman"/>
              </w:rPr>
              <w:t xml:space="preserve"> </w:t>
            </w:r>
            <w:r w:rsidRPr="00140FDA">
              <w:rPr>
                <w:rFonts w:ascii="Times New Roman" w:hAnsi="Times New Roman"/>
              </w:rPr>
              <w:t>akredytacyjnego (Centrum Monitorowania Jakości w Ochronie Zdrowia), z wnioskiem o</w:t>
            </w:r>
            <w:r>
              <w:rPr>
                <w:rFonts w:ascii="Times New Roman" w:hAnsi="Times New Roman"/>
              </w:rPr>
              <w:t xml:space="preserve"> </w:t>
            </w:r>
            <w:r w:rsidRPr="00140FDA">
              <w:rPr>
                <w:rFonts w:ascii="Times New Roman" w:hAnsi="Times New Roman"/>
              </w:rPr>
              <w:t>udzielenie akredytacji. Zasady i tryb udzielania akredytacji określa ustawa z dnia 6</w:t>
            </w:r>
            <w:r>
              <w:rPr>
                <w:rFonts w:ascii="Times New Roman" w:hAnsi="Times New Roman"/>
              </w:rPr>
              <w:t xml:space="preserve"> </w:t>
            </w:r>
            <w:r w:rsidRPr="00140FDA">
              <w:rPr>
                <w:rFonts w:ascii="Times New Roman" w:hAnsi="Times New Roman"/>
              </w:rPr>
              <w:t>listopada 2008 r. o akredytacji w ochronie zdrowia.</w:t>
            </w:r>
            <w:r>
              <w:rPr>
                <w:rFonts w:ascii="Times New Roman" w:hAnsi="Times New Roman"/>
              </w:rPr>
              <w:t xml:space="preserve"> </w:t>
            </w:r>
            <w:r w:rsidRPr="00140FDA">
              <w:rPr>
                <w:rFonts w:ascii="Times New Roman" w:hAnsi="Times New Roman"/>
              </w:rPr>
              <w:t>Akredytacji udziela minister właściwy do spraw zdrowia na okres 3 lat, w formie</w:t>
            </w:r>
            <w:r>
              <w:rPr>
                <w:rFonts w:ascii="Times New Roman" w:hAnsi="Times New Roman"/>
              </w:rPr>
              <w:t xml:space="preserve"> </w:t>
            </w:r>
            <w:r w:rsidRPr="00140FDA">
              <w:rPr>
                <w:rFonts w:ascii="Times New Roman" w:hAnsi="Times New Roman"/>
              </w:rPr>
              <w:t>certyfikatu akredytacyjnego. Akredytacji udziela się na podstawie rekomendacji Rady</w:t>
            </w:r>
            <w:r>
              <w:rPr>
                <w:rFonts w:ascii="Times New Roman" w:hAnsi="Times New Roman"/>
              </w:rPr>
              <w:t xml:space="preserve"> </w:t>
            </w:r>
            <w:r w:rsidRPr="00140FDA">
              <w:rPr>
                <w:rFonts w:ascii="Times New Roman" w:hAnsi="Times New Roman"/>
              </w:rPr>
              <w:t>Akredytacyjnej (organ doradczy Ministra Zdrowia ds. akredytacji) oraz po</w:t>
            </w:r>
            <w:r>
              <w:rPr>
                <w:rFonts w:ascii="Times New Roman" w:hAnsi="Times New Roman"/>
              </w:rPr>
              <w:t xml:space="preserve"> </w:t>
            </w:r>
            <w:r w:rsidRPr="00140FDA">
              <w:rPr>
                <w:rFonts w:ascii="Times New Roman" w:hAnsi="Times New Roman"/>
              </w:rPr>
              <w:t>przeprowadzeniu procedury oceniającej podmiot udzielający świadczeń zdrowotnych.</w:t>
            </w:r>
          </w:p>
          <w:p w14:paraId="6605099A" w14:textId="77777777" w:rsidR="00140FDA" w:rsidRDefault="00140FDA" w:rsidP="00140FDA">
            <w:pPr>
              <w:widowControl w:val="0"/>
              <w:autoSpaceDE w:val="0"/>
              <w:autoSpaceDN w:val="0"/>
              <w:adjustRightInd w:val="0"/>
              <w:spacing w:line="240" w:lineRule="auto"/>
              <w:jc w:val="both"/>
              <w:rPr>
                <w:rFonts w:ascii="Times New Roman" w:hAnsi="Times New Roman"/>
              </w:rPr>
            </w:pPr>
            <w:r w:rsidRPr="00140FDA">
              <w:rPr>
                <w:rFonts w:ascii="Times New Roman" w:hAnsi="Times New Roman"/>
              </w:rPr>
              <w:t>Procedura oceniająca polega na dokonaniu przeglądu podmiotu udzielającego</w:t>
            </w:r>
            <w:r>
              <w:rPr>
                <w:rFonts w:ascii="Times New Roman" w:hAnsi="Times New Roman"/>
              </w:rPr>
              <w:t xml:space="preserve"> </w:t>
            </w:r>
            <w:r w:rsidRPr="00140FDA">
              <w:rPr>
                <w:rFonts w:ascii="Times New Roman" w:hAnsi="Times New Roman"/>
              </w:rPr>
              <w:t>świadczeń zdrowotnych, pod względem spełniania standardów akredytacyjnych. Z</w:t>
            </w:r>
            <w:r>
              <w:rPr>
                <w:rFonts w:ascii="Times New Roman" w:hAnsi="Times New Roman"/>
              </w:rPr>
              <w:t xml:space="preserve"> </w:t>
            </w:r>
            <w:r w:rsidRPr="00140FDA">
              <w:rPr>
                <w:rFonts w:ascii="Times New Roman" w:hAnsi="Times New Roman"/>
              </w:rPr>
              <w:t>przeglądu sporządzany jest raport. Na podstawie raportu Rada Akredytacyjna dokonuje</w:t>
            </w:r>
            <w:r>
              <w:rPr>
                <w:rFonts w:ascii="Times New Roman" w:hAnsi="Times New Roman"/>
              </w:rPr>
              <w:t xml:space="preserve"> </w:t>
            </w:r>
            <w:r w:rsidRPr="00140FDA">
              <w:rPr>
                <w:rFonts w:ascii="Times New Roman" w:hAnsi="Times New Roman"/>
              </w:rPr>
              <w:t>oceny punktowej spełnienia poszczególnych standardów i przedstawia Ministrowi</w:t>
            </w:r>
            <w:r>
              <w:rPr>
                <w:rFonts w:ascii="Times New Roman" w:hAnsi="Times New Roman"/>
              </w:rPr>
              <w:t xml:space="preserve"> </w:t>
            </w:r>
            <w:r w:rsidRPr="00140FDA">
              <w:rPr>
                <w:rFonts w:ascii="Times New Roman" w:hAnsi="Times New Roman"/>
              </w:rPr>
              <w:t>Zdrowia rekomendację w zakresie udzielenia albo odmowy udzielenia akredytacji</w:t>
            </w:r>
            <w:r>
              <w:rPr>
                <w:rFonts w:ascii="Times New Roman" w:hAnsi="Times New Roman"/>
              </w:rPr>
              <w:t xml:space="preserve"> </w:t>
            </w:r>
            <w:r w:rsidRPr="00140FDA">
              <w:rPr>
                <w:rFonts w:ascii="Times New Roman" w:hAnsi="Times New Roman"/>
              </w:rPr>
              <w:t>podmiotowi udzielającemu świadczeń zdrowotnych. Do udzielenia akredytacji niezbędne</w:t>
            </w:r>
            <w:r>
              <w:rPr>
                <w:rFonts w:ascii="Times New Roman" w:hAnsi="Times New Roman"/>
              </w:rPr>
              <w:t xml:space="preserve"> </w:t>
            </w:r>
            <w:r w:rsidRPr="00140FDA">
              <w:rPr>
                <w:rFonts w:ascii="Times New Roman" w:hAnsi="Times New Roman"/>
              </w:rPr>
              <w:t>jest uzyskanie przez podmiot poddający się ocenie co najmniej 75% możliwej do</w:t>
            </w:r>
            <w:r>
              <w:rPr>
                <w:rFonts w:ascii="Times New Roman" w:hAnsi="Times New Roman"/>
              </w:rPr>
              <w:t xml:space="preserve"> </w:t>
            </w:r>
            <w:r w:rsidRPr="00140FDA">
              <w:rPr>
                <w:rFonts w:ascii="Times New Roman" w:hAnsi="Times New Roman"/>
              </w:rPr>
              <w:t>uzyskania liczby punktów.</w:t>
            </w:r>
            <w:r>
              <w:rPr>
                <w:rFonts w:ascii="Times New Roman" w:hAnsi="Times New Roman"/>
              </w:rPr>
              <w:t xml:space="preserve"> </w:t>
            </w:r>
            <w:r w:rsidRPr="00140FDA">
              <w:rPr>
                <w:rFonts w:ascii="Times New Roman" w:hAnsi="Times New Roman"/>
              </w:rPr>
              <w:t>Podmiot udzielający świadczeń zdrowotnych składający wniosek o akredytację wnosi</w:t>
            </w:r>
            <w:r>
              <w:rPr>
                <w:rFonts w:ascii="Times New Roman" w:hAnsi="Times New Roman"/>
              </w:rPr>
              <w:t xml:space="preserve"> </w:t>
            </w:r>
            <w:r w:rsidRPr="00140FDA">
              <w:rPr>
                <w:rFonts w:ascii="Times New Roman" w:hAnsi="Times New Roman"/>
              </w:rPr>
              <w:t>opłatę za przeprowadzenie procedury oceniającej na rachunek bankowy ośrodka</w:t>
            </w:r>
            <w:r>
              <w:rPr>
                <w:rFonts w:ascii="Times New Roman" w:hAnsi="Times New Roman"/>
              </w:rPr>
              <w:t xml:space="preserve"> </w:t>
            </w:r>
            <w:r w:rsidRPr="00140FDA">
              <w:rPr>
                <w:rFonts w:ascii="Times New Roman" w:hAnsi="Times New Roman"/>
              </w:rPr>
              <w:t>akredytacyjnego. Opłata stanowi dochód budżetu państwa</w:t>
            </w:r>
            <w:r>
              <w:rPr>
                <w:rFonts w:ascii="Times New Roman" w:hAnsi="Times New Roman"/>
              </w:rPr>
              <w:t xml:space="preserve">. </w:t>
            </w:r>
            <w:r w:rsidR="00AE15D6">
              <w:rPr>
                <w:rFonts w:ascii="Times New Roman" w:hAnsi="Times New Roman"/>
              </w:rPr>
              <w:t xml:space="preserve">Projekt ustawy zakłada poszerzenie zadań Narodowego Funduszu Zdrowia o ocenę jakości świadczeń finansowanych ze środków publicznych oraz powiązanie tej oceny z systemem finansowania świadczeń ze środków publicznych. Naturalną konsekwencją tego założenia jest delegowanie do Narodowego Funduszu Zdrowia zadań związanych z akredytacją w ochronie zdrowia. Zakłada się, że w następstwie tych działań możliwe będzie zwiększenie liczby podmiotów akredytowanych oraz realizowanych przeglądów akredytacyjnych, skrócenie czasu oczekiwania na przeprowadzenie przeglądu akredytacyjnego oraz poszerzenie systemu akredytacji o nowe obszary, np. standardy akredytacyjne w patomorfologii. </w:t>
            </w:r>
          </w:p>
          <w:p w14:paraId="6A4E4BCF" w14:textId="77777777" w:rsidR="00C768C0" w:rsidRDefault="00C768C0" w:rsidP="000C7019">
            <w:pPr>
              <w:widowControl w:val="0"/>
              <w:autoSpaceDE w:val="0"/>
              <w:autoSpaceDN w:val="0"/>
              <w:adjustRightInd w:val="0"/>
              <w:spacing w:line="240" w:lineRule="auto"/>
              <w:jc w:val="both"/>
              <w:rPr>
                <w:rFonts w:ascii="Times New Roman" w:hAnsi="Times New Roman"/>
              </w:rPr>
            </w:pPr>
            <w:r w:rsidRPr="00485A2E">
              <w:rPr>
                <w:rFonts w:ascii="Times New Roman" w:hAnsi="Times New Roman"/>
              </w:rPr>
              <w:t xml:space="preserve">Obecnie funkcjonujący model pozasądowego dochodzenia roszczeń odszkodowawczych przez pacjentów za szkody związane z leczeniem wymaga gruntownej zmiany. Aktualna regulacja, oparta na działalności wojewódzkich komisji do spraw orzekania o zdarzeniach medycznych, obowiązuje od </w:t>
            </w:r>
            <w:r w:rsidR="00485A2E" w:rsidRPr="00485A2E">
              <w:rPr>
                <w:rFonts w:ascii="Times New Roman" w:hAnsi="Times New Roman"/>
              </w:rPr>
              <w:t xml:space="preserve">dnia </w:t>
            </w:r>
            <w:r w:rsidRPr="00485A2E">
              <w:rPr>
                <w:rFonts w:ascii="Times New Roman" w:hAnsi="Times New Roman"/>
                <w:bCs/>
              </w:rPr>
              <w:t xml:space="preserve">1 stycznia 2012 r. </w:t>
            </w:r>
            <w:r w:rsidRPr="00485A2E">
              <w:rPr>
                <w:rFonts w:ascii="Times New Roman" w:hAnsi="Times New Roman"/>
              </w:rPr>
              <w:t xml:space="preserve">Celem ich utworzenia było zmniejszenie obciążenia sądów powszechnych postępowaniami w  sprawie odszkodowań za błędy medyczne. Miały one zatem stanowić szybszą i tańszą alternatywę do procesu cywilnego. Komisje orzekają w przedmiocie zdarzenia medycznego, będącego </w:t>
            </w:r>
            <w:r w:rsidRPr="00485A2E">
              <w:rPr>
                <w:rFonts w:ascii="Times New Roman" w:hAnsi="Times New Roman"/>
                <w:shd w:val="clear" w:color="auto" w:fill="FFFFFF"/>
              </w:rPr>
              <w:t xml:space="preserve">następstwem udzielania świadczeń zdrowotnych w szpitalu. </w:t>
            </w:r>
            <w:r w:rsidRPr="00485A2E">
              <w:rPr>
                <w:rFonts w:ascii="Times New Roman" w:hAnsi="Times New Roman"/>
              </w:rPr>
              <w:t xml:space="preserve">Należy też podkreślić, że wbrew założeniom działalność komisji nie przyczyniła się do zmniejszenia obciążenia sądów sprawami o </w:t>
            </w:r>
            <w:r w:rsidRPr="00485A2E">
              <w:rPr>
                <w:rFonts w:ascii="Times New Roman" w:hAnsi="Times New Roman"/>
                <w:bCs/>
              </w:rPr>
              <w:t>odszkodowania za szkody wyrządzone przez służbę zdrowia. P</w:t>
            </w:r>
            <w:r w:rsidRPr="00485A2E">
              <w:rPr>
                <w:rFonts w:ascii="Times New Roman" w:hAnsi="Times New Roman"/>
              </w:rPr>
              <w:t>oszkodowanym, nawet w razie skorzystania z trybu postępowania przed komisją, w znacznej części przypadków i tak pozostaje dochodzenie roszczeń odszkodowawczych na drodze sądowej. W</w:t>
            </w:r>
            <w:r w:rsidR="00485A2E">
              <w:rPr>
                <w:rFonts w:ascii="Times New Roman" w:hAnsi="Times New Roman"/>
              </w:rPr>
              <w:t> </w:t>
            </w:r>
            <w:r w:rsidRPr="00485A2E">
              <w:rPr>
                <w:rFonts w:ascii="Times New Roman" w:hAnsi="Times New Roman"/>
              </w:rPr>
              <w:t>ramach odpowiedzialności cywilnej opartej o zasadę winy poszkodowany musi zaś udowodnić nie tylko doznaną szkodę, ale i winę po stronie podmiotu leczniczego oraz adekwatny związek przyczynowy między zachowaniem podmiotu a szkodą. W praktyce oznacza to trudne i konfliktogenne dochodzenie roszczeń odszkodowawczych, stosunkowo  niewielką szansę na uznanie roszczeń (przyznawane wówczas kwoty są przy tym najczęściej zaniżane) lub ugodę na etapie przedsądowym, a także długie, drogie i mało przewidywalne postępowania sądowe.</w:t>
            </w:r>
          </w:p>
          <w:p w14:paraId="58BF2F7F" w14:textId="77777777" w:rsidR="00485A2E" w:rsidRPr="00485A2E" w:rsidRDefault="00485A2E" w:rsidP="000C7019">
            <w:pPr>
              <w:widowControl w:val="0"/>
              <w:autoSpaceDE w:val="0"/>
              <w:autoSpaceDN w:val="0"/>
              <w:adjustRightInd w:val="0"/>
              <w:spacing w:line="240" w:lineRule="auto"/>
              <w:jc w:val="both"/>
              <w:rPr>
                <w:rFonts w:ascii="Times New Roman" w:hAnsi="Times New Roman"/>
              </w:rPr>
            </w:pPr>
            <w:r w:rsidRPr="00485A2E">
              <w:rPr>
                <w:rFonts w:ascii="Times New Roman" w:hAnsi="Times New Roman"/>
                <w:iCs/>
              </w:rPr>
              <w:t>Procesy sądowe z uwagi na swoją istotę mają tendencję do poszukiwania winnych, a nie analizowania i eliminowania źródeł zdarzeń medycznych, nie przyczyniają się więc w istotnym stopniu do poprawy bezpieczeństwa leczenia. Zasadne jest wprowadzenie rozwiązań, które zwiększają bezpieczeństwo pacjentów oraz zmierzają do poprawy jakości leczenia w placówkach medycznych. Niezbędne jest też promowanie kultury uczenia się personelu medycznego i podmiotów leczniczych na błędach. Wsparcie tych procesów będzie możliwe, gdy stworzone zostaną warunki, w których na preferencyjnych warunkach i na zasadach no-fault mogłaby następować naprawa szkód doznanych przez pacjentów. Alternatywą dla klasycznej odpowiedzialności cywilnej może być szczególna forma odszkodowania dla pacjentów za niepożądane zdarzenia medyczne, do których nie powinno dochodzić w wyniku prawidłowego leczenia – niezależnie od winy świadczeniodawcy.</w:t>
            </w:r>
          </w:p>
          <w:p w14:paraId="398DF92C" w14:textId="77777777" w:rsidR="008827DD" w:rsidRPr="008827DD" w:rsidRDefault="00485A2E" w:rsidP="0020329B">
            <w:pPr>
              <w:widowControl w:val="0"/>
              <w:autoSpaceDE w:val="0"/>
              <w:autoSpaceDN w:val="0"/>
              <w:adjustRightInd w:val="0"/>
              <w:spacing w:line="240" w:lineRule="auto"/>
              <w:jc w:val="both"/>
              <w:rPr>
                <w:rFonts w:ascii="Times New Roman" w:hAnsi="Times New Roman"/>
              </w:rPr>
            </w:pPr>
            <w:r w:rsidRPr="00AF6DFE">
              <w:rPr>
                <w:rFonts w:ascii="Times New Roman" w:hAnsi="Times New Roman"/>
              </w:rPr>
              <w:t>Niezbędne jest zatem wprowadzenie ustawowej regulacji, która określi zadania, obowiązki</w:t>
            </w:r>
            <w:r w:rsidR="0020329B">
              <w:rPr>
                <w:rFonts w:ascii="Times New Roman" w:hAnsi="Times New Roman"/>
              </w:rPr>
              <w:t xml:space="preserve"> </w:t>
            </w:r>
            <w:r w:rsidRPr="00AF6DFE">
              <w:rPr>
                <w:rFonts w:ascii="Times New Roman" w:hAnsi="Times New Roman"/>
              </w:rPr>
              <w:t>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r>
      <w:tr w:rsidR="006A701A" w:rsidRPr="008B4FE6" w14:paraId="3815DFD7" w14:textId="77777777" w:rsidTr="003E4722">
        <w:trPr>
          <w:trHeight w:val="142"/>
        </w:trPr>
        <w:tc>
          <w:tcPr>
            <w:tcW w:w="10916" w:type="dxa"/>
            <w:gridSpan w:val="25"/>
            <w:shd w:val="clear" w:color="auto" w:fill="99CCFF"/>
            <w:vAlign w:val="center"/>
          </w:tcPr>
          <w:p w14:paraId="1C13A10B" w14:textId="77777777" w:rsidR="006A701A" w:rsidRPr="00554C1F" w:rsidRDefault="0013216E" w:rsidP="00DA7A8E">
            <w:pPr>
              <w:numPr>
                <w:ilvl w:val="0"/>
                <w:numId w:val="1"/>
              </w:numPr>
              <w:spacing w:line="240" w:lineRule="auto"/>
              <w:ind w:left="318" w:hanging="284"/>
              <w:jc w:val="both"/>
              <w:rPr>
                <w:rFonts w:ascii="Times New Roman" w:hAnsi="Times New Roman"/>
                <w:b/>
                <w:color w:val="000000"/>
              </w:rPr>
            </w:pPr>
            <w:r w:rsidRPr="00554C1F">
              <w:rPr>
                <w:rFonts w:ascii="Times New Roman" w:hAnsi="Times New Roman"/>
                <w:b/>
                <w:color w:val="000000"/>
                <w:spacing w:val="-2"/>
              </w:rPr>
              <w:lastRenderedPageBreak/>
              <w:t>Rekomendowane rozwiązanie, w tym planowane narzędzia interwencji, i oczekiwany efekt</w:t>
            </w:r>
          </w:p>
        </w:tc>
      </w:tr>
      <w:tr w:rsidR="006A701A" w:rsidRPr="008B4FE6" w14:paraId="4F968CA0" w14:textId="77777777" w:rsidTr="003E4722">
        <w:trPr>
          <w:trHeight w:val="142"/>
        </w:trPr>
        <w:tc>
          <w:tcPr>
            <w:tcW w:w="10916" w:type="dxa"/>
            <w:gridSpan w:val="25"/>
            <w:shd w:val="clear" w:color="auto" w:fill="auto"/>
          </w:tcPr>
          <w:p w14:paraId="3A390177" w14:textId="77777777" w:rsidR="00865F93" w:rsidRDefault="00865F93" w:rsidP="00865F93">
            <w:pPr>
              <w:spacing w:line="240" w:lineRule="auto"/>
              <w:jc w:val="both"/>
              <w:rPr>
                <w:rFonts w:ascii="Times New Roman" w:hAnsi="Times New Roman"/>
                <w:color w:val="000000"/>
                <w:spacing w:val="-2"/>
              </w:rPr>
            </w:pPr>
            <w:r w:rsidRPr="00DC673B">
              <w:rPr>
                <w:rFonts w:ascii="Times New Roman" w:hAnsi="Times New Roman"/>
                <w:color w:val="000000"/>
                <w:spacing w:val="-2"/>
              </w:rPr>
              <w:t>Nowoczesna opieka zdrowotna powinna być tak zorganizowana, aby zasoby kadrowe, infrastrukturalne i finansowe w</w:t>
            </w:r>
            <w:r>
              <w:rPr>
                <w:rFonts w:ascii="Times New Roman" w:hAnsi="Times New Roman"/>
                <w:color w:val="000000"/>
                <w:spacing w:val="-2"/>
              </w:rPr>
              <w:t> </w:t>
            </w:r>
            <w:r w:rsidRPr="00DC673B">
              <w:rPr>
                <w:rFonts w:ascii="Times New Roman" w:hAnsi="Times New Roman"/>
                <w:color w:val="000000"/>
                <w:spacing w:val="-2"/>
              </w:rPr>
              <w:t>najbardziej efektywny sposób zaspokajały medyczne potrzeby społeczeństwa zarówno w zakresie promocji zdrowia, profilaktyki, diagnostyki i leczenia, jak i rehabilitacji, przy zapewnieniu bezpieczeństwa opieki, racjonalizacji wykorzystania zasobów materialnych i finansowych, gwarantowały spełnienie oczekiwań społecznych. Optymalizacja procesów medycznych wymaga systemowego podejścia do zagadnienia jakości</w:t>
            </w:r>
            <w:r>
              <w:rPr>
                <w:rFonts w:ascii="Times New Roman" w:hAnsi="Times New Roman"/>
                <w:color w:val="000000"/>
                <w:spacing w:val="-2"/>
              </w:rPr>
              <w:t xml:space="preserve"> w opiece zdrowotnej</w:t>
            </w:r>
            <w:r w:rsidRPr="00DC673B">
              <w:rPr>
                <w:rFonts w:ascii="Times New Roman" w:hAnsi="Times New Roman"/>
                <w:color w:val="000000"/>
                <w:spacing w:val="-2"/>
              </w:rPr>
              <w:t>. Odpowiednio zorganizowane zarządzanie jakością</w:t>
            </w:r>
            <w:r>
              <w:rPr>
                <w:rFonts w:ascii="Times New Roman" w:hAnsi="Times New Roman"/>
                <w:color w:val="000000"/>
                <w:spacing w:val="-2"/>
              </w:rPr>
              <w:t xml:space="preserve"> w opiece zdrowotnej</w:t>
            </w:r>
            <w:r w:rsidRPr="00DC673B">
              <w:rPr>
                <w:rFonts w:ascii="Times New Roman" w:hAnsi="Times New Roman"/>
                <w:color w:val="000000"/>
                <w:spacing w:val="-2"/>
              </w:rPr>
              <w:t>, działające zarówno na poziomie poszczególnych jednostek ochrony zdrowia jak i na poziomie systemowym stymuluje poprawę funkcjonowania systemu</w:t>
            </w:r>
            <w:r>
              <w:rPr>
                <w:rFonts w:ascii="Times New Roman" w:hAnsi="Times New Roman"/>
                <w:color w:val="000000"/>
                <w:spacing w:val="-2"/>
              </w:rPr>
              <w:t xml:space="preserve"> opieki zdrowotnej</w:t>
            </w:r>
            <w:r w:rsidRPr="00DC673B">
              <w:rPr>
                <w:rFonts w:ascii="Times New Roman" w:hAnsi="Times New Roman"/>
                <w:color w:val="000000"/>
                <w:spacing w:val="-2"/>
              </w:rPr>
              <w:t>,</w:t>
            </w:r>
            <w:r>
              <w:rPr>
                <w:rFonts w:ascii="Times New Roman" w:hAnsi="Times New Roman"/>
                <w:color w:val="000000"/>
                <w:spacing w:val="-2"/>
              </w:rPr>
              <w:br/>
            </w:r>
            <w:r w:rsidRPr="00DC673B">
              <w:rPr>
                <w:rFonts w:ascii="Times New Roman" w:hAnsi="Times New Roman"/>
                <w:color w:val="000000"/>
                <w:spacing w:val="-2"/>
              </w:rPr>
              <w:t xml:space="preserve">a w konsekwencji wpływa na wzrost </w:t>
            </w:r>
            <w:r>
              <w:rPr>
                <w:rFonts w:ascii="Times New Roman" w:hAnsi="Times New Roman"/>
                <w:color w:val="000000"/>
                <w:spacing w:val="-2"/>
              </w:rPr>
              <w:t xml:space="preserve">poziomu </w:t>
            </w:r>
            <w:r w:rsidRPr="00DC673B">
              <w:rPr>
                <w:rFonts w:ascii="Times New Roman" w:hAnsi="Times New Roman"/>
                <w:color w:val="000000"/>
                <w:spacing w:val="-2"/>
              </w:rPr>
              <w:t>bezpieczeństwa zdrowotnego i</w:t>
            </w:r>
            <w:r>
              <w:rPr>
                <w:rFonts w:ascii="Times New Roman" w:hAnsi="Times New Roman"/>
                <w:color w:val="000000"/>
                <w:spacing w:val="-2"/>
              </w:rPr>
              <w:t xml:space="preserve"> </w:t>
            </w:r>
            <w:r w:rsidRPr="00DC673B">
              <w:rPr>
                <w:rFonts w:ascii="Times New Roman" w:hAnsi="Times New Roman"/>
                <w:color w:val="000000"/>
                <w:spacing w:val="-2"/>
              </w:rPr>
              <w:t>satysfakcji społecznej</w:t>
            </w:r>
            <w:r>
              <w:rPr>
                <w:rFonts w:ascii="Times New Roman" w:hAnsi="Times New Roman"/>
                <w:color w:val="000000"/>
                <w:spacing w:val="-2"/>
              </w:rPr>
              <w:t xml:space="preserve"> z opieki zdrowotnej</w:t>
            </w:r>
            <w:r w:rsidRPr="00DC673B">
              <w:rPr>
                <w:rFonts w:ascii="Times New Roman" w:hAnsi="Times New Roman"/>
                <w:color w:val="000000"/>
                <w:spacing w:val="-2"/>
              </w:rPr>
              <w:t>.</w:t>
            </w:r>
          </w:p>
          <w:p w14:paraId="37F9FB36" w14:textId="77777777" w:rsidR="00865F93" w:rsidRDefault="00865F93" w:rsidP="00865F93">
            <w:pPr>
              <w:spacing w:line="240" w:lineRule="auto"/>
              <w:jc w:val="both"/>
              <w:rPr>
                <w:rFonts w:ascii="Times New Roman" w:hAnsi="Times New Roman"/>
                <w:color w:val="000000"/>
                <w:spacing w:val="-2"/>
              </w:rPr>
            </w:pPr>
            <w:r>
              <w:rPr>
                <w:rFonts w:ascii="Times New Roman" w:hAnsi="Times New Roman"/>
                <w:color w:val="000000"/>
                <w:spacing w:val="-2"/>
              </w:rPr>
              <w:t xml:space="preserve">Rekomendowanym rozwiązaniem jest </w:t>
            </w:r>
            <w:r w:rsidRPr="00526428">
              <w:rPr>
                <w:rFonts w:ascii="Times New Roman" w:hAnsi="Times New Roman"/>
                <w:color w:val="000000"/>
                <w:spacing w:val="-2"/>
              </w:rPr>
              <w:t>wdrożenie rozwiązań prawno-organizacyjnych, które w sposób kompleksowy</w:t>
            </w:r>
            <w:r>
              <w:rPr>
                <w:rFonts w:ascii="Times New Roman" w:hAnsi="Times New Roman"/>
                <w:color w:val="000000"/>
                <w:spacing w:val="-2"/>
              </w:rPr>
              <w:br/>
            </w:r>
            <w:r w:rsidRPr="00526428">
              <w:rPr>
                <w:rFonts w:ascii="Times New Roman" w:hAnsi="Times New Roman"/>
                <w:color w:val="000000"/>
                <w:spacing w:val="-2"/>
              </w:rPr>
              <w:t>i skoordynowany będą realizowały priorytety polityki zdrowotnej w obszarze jakości. Przedmiotem uregulowania będzie wprowadzenie rozwiązań w zakresie:</w:t>
            </w:r>
          </w:p>
          <w:p w14:paraId="0C271D50" w14:textId="77777777" w:rsidR="00865F93" w:rsidRPr="00331BD2" w:rsidRDefault="00865F93" w:rsidP="004C04F3">
            <w:pPr>
              <w:numPr>
                <w:ilvl w:val="2"/>
                <w:numId w:val="15"/>
              </w:numPr>
              <w:tabs>
                <w:tab w:val="left" w:pos="458"/>
              </w:tabs>
              <w:spacing w:line="240" w:lineRule="auto"/>
              <w:ind w:left="456" w:hanging="456"/>
              <w:jc w:val="both"/>
              <w:rPr>
                <w:rFonts w:ascii="Times New Roman" w:hAnsi="Times New Roman"/>
                <w:color w:val="000000"/>
                <w:spacing w:val="-2"/>
              </w:rPr>
            </w:pPr>
            <w:r w:rsidRPr="00674779">
              <w:rPr>
                <w:rFonts w:ascii="Times New Roman" w:hAnsi="Times New Roman"/>
                <w:b/>
                <w:bCs/>
                <w:color w:val="000000"/>
                <w:spacing w:val="-2"/>
              </w:rPr>
              <w:t>autoryzacji podmiotów wykonujących działalność leczniczą (szpitale)</w:t>
            </w:r>
            <w:r>
              <w:rPr>
                <w:rFonts w:ascii="Times New Roman" w:hAnsi="Times New Roman"/>
                <w:b/>
                <w:bCs/>
                <w:color w:val="000000"/>
                <w:spacing w:val="-2"/>
              </w:rPr>
              <w:t>:</w:t>
            </w:r>
          </w:p>
          <w:p w14:paraId="539C3F9B" w14:textId="77777777" w:rsidR="004C04F3" w:rsidRPr="00674779" w:rsidRDefault="004C04F3" w:rsidP="004C04F3">
            <w:pPr>
              <w:spacing w:line="240" w:lineRule="auto"/>
              <w:jc w:val="both"/>
              <w:rPr>
                <w:rFonts w:ascii="Times New Roman" w:hAnsi="Times New Roman"/>
                <w:color w:val="000000"/>
                <w:spacing w:val="-2"/>
              </w:rPr>
            </w:pPr>
            <w:r>
              <w:rPr>
                <w:rFonts w:ascii="Times New Roman" w:hAnsi="Times New Roman"/>
                <w:color w:val="000000"/>
                <w:spacing w:val="-2"/>
              </w:rPr>
              <w:t>Projekt ustawy zakłada w</w:t>
            </w:r>
            <w:r w:rsidR="00865F93" w:rsidRPr="00674779">
              <w:rPr>
                <w:rFonts w:ascii="Times New Roman" w:hAnsi="Times New Roman"/>
                <w:color w:val="000000"/>
                <w:spacing w:val="-2"/>
              </w:rPr>
              <w:t xml:space="preserve">prowadzenie wymogu autoryzacji </w:t>
            </w:r>
            <w:r w:rsidRPr="00674779">
              <w:rPr>
                <w:rFonts w:ascii="Times New Roman" w:hAnsi="Times New Roman"/>
                <w:color w:val="000000"/>
                <w:spacing w:val="-2"/>
              </w:rPr>
              <w:t>podmiotów wykonujących działalność leczniczą</w:t>
            </w:r>
            <w:r>
              <w:rPr>
                <w:rFonts w:ascii="Times New Roman" w:hAnsi="Times New Roman"/>
                <w:color w:val="000000"/>
                <w:spacing w:val="-2"/>
              </w:rPr>
              <w:t xml:space="preserve"> </w:t>
            </w:r>
            <w:r w:rsidRPr="00674779">
              <w:rPr>
                <w:rFonts w:ascii="Times New Roman" w:hAnsi="Times New Roman"/>
                <w:color w:val="000000"/>
                <w:spacing w:val="-2"/>
              </w:rPr>
              <w:t>w rodzaju świadczenia szpitalne (szpitale)</w:t>
            </w:r>
            <w:r>
              <w:rPr>
                <w:rFonts w:ascii="Times New Roman" w:hAnsi="Times New Roman"/>
                <w:color w:val="000000"/>
                <w:spacing w:val="-2"/>
              </w:rPr>
              <w:t xml:space="preserve"> w zakresie udzielania przez nich </w:t>
            </w:r>
            <w:r w:rsidR="00865F93" w:rsidRPr="00674779">
              <w:rPr>
                <w:rFonts w:ascii="Times New Roman" w:hAnsi="Times New Roman"/>
                <w:color w:val="000000"/>
                <w:spacing w:val="-2"/>
              </w:rPr>
              <w:t xml:space="preserve">świadczeń </w:t>
            </w:r>
            <w:r>
              <w:rPr>
                <w:rFonts w:ascii="Times New Roman" w:hAnsi="Times New Roman"/>
                <w:color w:val="000000"/>
                <w:spacing w:val="-2"/>
              </w:rPr>
              <w:t xml:space="preserve">opieki zdrowotnej </w:t>
            </w:r>
            <w:r w:rsidR="00865F93" w:rsidRPr="00674779">
              <w:rPr>
                <w:rFonts w:ascii="Times New Roman" w:hAnsi="Times New Roman"/>
                <w:color w:val="000000"/>
                <w:spacing w:val="-2"/>
              </w:rPr>
              <w:t>finansowanych ze środków publicznych</w:t>
            </w:r>
            <w:r>
              <w:rPr>
                <w:rFonts w:ascii="Times New Roman" w:hAnsi="Times New Roman"/>
                <w:color w:val="000000"/>
                <w:spacing w:val="-2"/>
              </w:rPr>
              <w:t>. A</w:t>
            </w:r>
            <w:r w:rsidR="00865F93" w:rsidRPr="00674779">
              <w:rPr>
                <w:rFonts w:ascii="Times New Roman" w:hAnsi="Times New Roman"/>
                <w:color w:val="000000"/>
                <w:spacing w:val="-2"/>
              </w:rPr>
              <w:t>utoryzacji udzielać będą Dyrektorzy Oddziałów Wojewódzkich Narodowego Funduszu Zdrowia</w:t>
            </w:r>
            <w:r w:rsidR="0020329B">
              <w:rPr>
                <w:rFonts w:ascii="Times New Roman" w:hAnsi="Times New Roman"/>
                <w:color w:val="000000"/>
                <w:spacing w:val="-2"/>
              </w:rPr>
              <w:t>, zwanego dalej „NFZ”,</w:t>
            </w:r>
            <w:r w:rsidR="00865F93" w:rsidRPr="00674779">
              <w:rPr>
                <w:rFonts w:ascii="Times New Roman" w:hAnsi="Times New Roman"/>
                <w:color w:val="000000"/>
                <w:spacing w:val="-2"/>
              </w:rPr>
              <w:t xml:space="preserve"> w formie decyzji administracyjnej na wniosek podmiotów podlegających autoryzacji</w:t>
            </w:r>
            <w:r>
              <w:rPr>
                <w:rFonts w:ascii="Times New Roman" w:hAnsi="Times New Roman"/>
                <w:color w:val="000000"/>
                <w:spacing w:val="-2"/>
              </w:rPr>
              <w:t xml:space="preserve"> na okres 5 lat, </w:t>
            </w:r>
            <w:r w:rsidRPr="00674779">
              <w:rPr>
                <w:rFonts w:ascii="Times New Roman" w:hAnsi="Times New Roman"/>
                <w:color w:val="000000"/>
                <w:spacing w:val="-2"/>
              </w:rPr>
              <w:t>w przypadku zmiany zakresu działalności leczniczej wymagana decyzja o udzieleniu autoryzacji będzie mogła być zmieniona na wniosek podmiotu</w:t>
            </w:r>
            <w:r>
              <w:rPr>
                <w:rFonts w:ascii="Times New Roman" w:hAnsi="Times New Roman"/>
                <w:color w:val="000000"/>
                <w:spacing w:val="-2"/>
              </w:rPr>
              <w:t>. D</w:t>
            </w:r>
            <w:r w:rsidRPr="00674779">
              <w:rPr>
                <w:rFonts w:ascii="Times New Roman" w:hAnsi="Times New Roman"/>
                <w:color w:val="000000"/>
                <w:spacing w:val="-2"/>
              </w:rPr>
              <w:t>ecyzje dotyczące autoryzacji będą ostateczne, od decyzji o odmowie udzielenia autoryzacji lub jej cofnięciu przysługiwać będzie skarga do sądu administracyjnego</w:t>
            </w:r>
            <w:r>
              <w:rPr>
                <w:rFonts w:ascii="Times New Roman" w:hAnsi="Times New Roman"/>
                <w:color w:val="000000"/>
                <w:spacing w:val="-2"/>
              </w:rPr>
              <w:t xml:space="preserve">. </w:t>
            </w:r>
            <w:r w:rsidR="00CC6297">
              <w:rPr>
                <w:rFonts w:ascii="Times New Roman" w:hAnsi="Times New Roman"/>
                <w:color w:val="000000"/>
                <w:spacing w:val="-2"/>
              </w:rPr>
              <w:t>W</w:t>
            </w:r>
            <w:r w:rsidR="00CC6297" w:rsidRPr="00CC6297">
              <w:rPr>
                <w:rFonts w:ascii="Times New Roman" w:hAnsi="Times New Roman"/>
                <w:color w:val="000000"/>
                <w:spacing w:val="-2"/>
              </w:rPr>
              <w:t xml:space="preserve"> ramach autoryzacji weryfikowane będzie spełnienie przez podmioty wykonujących działalność leczniczą w rodzaju świadczenia szpitalne (szpitale) wymagań dla świadczeń gwarantowanych tzw. „koszykowych” (art. 31 d ustawy o świadczeniach</w:t>
            </w:r>
            <w:r w:rsidR="00CC6297">
              <w:rPr>
                <w:rFonts w:ascii="Times New Roman" w:hAnsi="Times New Roman"/>
                <w:color w:val="000000"/>
                <w:spacing w:val="-2"/>
              </w:rPr>
              <w:t xml:space="preserve"> opieki zdrowotnej finansowanych ze środków publicznych</w:t>
            </w:r>
            <w:r w:rsidR="00CC6297" w:rsidRPr="00CC6297">
              <w:rPr>
                <w:rFonts w:ascii="Times New Roman" w:hAnsi="Times New Roman"/>
                <w:color w:val="000000"/>
                <w:spacing w:val="-2"/>
              </w:rPr>
              <w:t>), będących „kryteriami autoryzacji”</w:t>
            </w:r>
            <w:r w:rsidR="00CC6297">
              <w:rPr>
                <w:rFonts w:ascii="Times New Roman" w:hAnsi="Times New Roman"/>
                <w:color w:val="000000"/>
                <w:spacing w:val="-2"/>
              </w:rPr>
              <w:t>. K</w:t>
            </w:r>
            <w:r w:rsidR="00CC6297" w:rsidRPr="00CC6297">
              <w:rPr>
                <w:rFonts w:ascii="Times New Roman" w:hAnsi="Times New Roman"/>
                <w:color w:val="000000"/>
                <w:spacing w:val="-2"/>
              </w:rPr>
              <w:t>ryteria autoryzacji i sposoby ich oceny będą określane przez Ministra Zdrowia, w drodze rozporządzenia</w:t>
            </w:r>
            <w:r w:rsidR="00CC6297">
              <w:rPr>
                <w:rFonts w:ascii="Times New Roman" w:hAnsi="Times New Roman"/>
                <w:color w:val="000000"/>
                <w:spacing w:val="-2"/>
              </w:rPr>
              <w:t>. D</w:t>
            </w:r>
            <w:r w:rsidR="00CC6297" w:rsidRPr="00CC6297">
              <w:rPr>
                <w:rFonts w:ascii="Times New Roman" w:hAnsi="Times New Roman"/>
                <w:color w:val="000000"/>
                <w:spacing w:val="-2"/>
              </w:rPr>
              <w:t>o udzielenia autoryzacji niezbędne będzie spełnienie wszystkich kryteriów autoryzacji,</w:t>
            </w:r>
            <w:r w:rsidR="00CC6297">
              <w:rPr>
                <w:rFonts w:ascii="Times New Roman" w:hAnsi="Times New Roman"/>
                <w:color w:val="000000"/>
                <w:spacing w:val="-2"/>
              </w:rPr>
              <w:t xml:space="preserve"> </w:t>
            </w:r>
            <w:r w:rsidR="00CC6297" w:rsidRPr="00CC6297">
              <w:rPr>
                <w:rFonts w:ascii="Times New Roman" w:hAnsi="Times New Roman"/>
                <w:color w:val="000000"/>
                <w:spacing w:val="-2"/>
              </w:rPr>
              <w:t>z zastrzeżeniem „autoryzacji warunkowej” udzielanej przy 95% stopniu spełnienia kryteriów autoryzacji w okresie przejściowym</w:t>
            </w:r>
            <w:r w:rsidR="00CC6297">
              <w:rPr>
                <w:rFonts w:ascii="Times New Roman" w:hAnsi="Times New Roman"/>
                <w:color w:val="000000"/>
                <w:spacing w:val="-2"/>
              </w:rPr>
              <w:t xml:space="preserve">. </w:t>
            </w:r>
            <w:r>
              <w:rPr>
                <w:rFonts w:ascii="Times New Roman" w:hAnsi="Times New Roman"/>
                <w:color w:val="000000"/>
                <w:spacing w:val="-2"/>
              </w:rPr>
              <w:t xml:space="preserve">Zakłada się zastosowanie </w:t>
            </w:r>
            <w:r w:rsidRPr="00674779">
              <w:rPr>
                <w:rFonts w:ascii="Times New Roman" w:hAnsi="Times New Roman"/>
                <w:color w:val="000000"/>
                <w:spacing w:val="-2"/>
              </w:rPr>
              <w:t xml:space="preserve">okresu przejściowego dla podmiotów podlegających autoryzacji na dostosowanie do kryteriów autoryzacji do </w:t>
            </w:r>
            <w:r>
              <w:rPr>
                <w:rFonts w:ascii="Times New Roman" w:hAnsi="Times New Roman"/>
                <w:color w:val="000000"/>
                <w:spacing w:val="-2"/>
              </w:rPr>
              <w:t>2</w:t>
            </w:r>
            <w:r w:rsidRPr="00674779">
              <w:rPr>
                <w:rFonts w:ascii="Times New Roman" w:hAnsi="Times New Roman"/>
                <w:color w:val="000000"/>
                <w:spacing w:val="-2"/>
              </w:rPr>
              <w:t xml:space="preserve"> lat od wejścia w życie ustawy,</w:t>
            </w:r>
            <w:r>
              <w:rPr>
                <w:rFonts w:ascii="Times New Roman" w:hAnsi="Times New Roman"/>
                <w:color w:val="000000"/>
                <w:spacing w:val="-2"/>
              </w:rPr>
              <w:t xml:space="preserve"> </w:t>
            </w:r>
            <w:r w:rsidRPr="00674779">
              <w:rPr>
                <w:rFonts w:ascii="Times New Roman" w:hAnsi="Times New Roman"/>
                <w:color w:val="000000"/>
                <w:spacing w:val="-2"/>
              </w:rPr>
              <w:t>w którym autoryzacja będzie udzielana warunkowo („autoryzacja warunkowa”) na okres 1 roku</w:t>
            </w:r>
            <w:r>
              <w:rPr>
                <w:rFonts w:ascii="Times New Roman" w:hAnsi="Times New Roman"/>
                <w:color w:val="000000"/>
                <w:spacing w:val="-2"/>
              </w:rPr>
              <w:t>.</w:t>
            </w:r>
            <w:r w:rsidR="00821706">
              <w:rPr>
                <w:rFonts w:ascii="Times New Roman" w:hAnsi="Times New Roman"/>
                <w:color w:val="000000"/>
                <w:spacing w:val="-2"/>
              </w:rPr>
              <w:t xml:space="preserve"> Posiadanie autoryzacji będzie warunkowało uczestnictwo szpitala w systemie podstawowego zabezpieczenia zdrowotnego tzw. „sieci szpitali”.</w:t>
            </w:r>
          </w:p>
          <w:p w14:paraId="2C410A55" w14:textId="77777777" w:rsidR="00865F93" w:rsidRPr="00AC7E1A" w:rsidRDefault="00865F93" w:rsidP="004C04F3">
            <w:pPr>
              <w:numPr>
                <w:ilvl w:val="2"/>
                <w:numId w:val="15"/>
              </w:numPr>
              <w:tabs>
                <w:tab w:val="left" w:pos="458"/>
              </w:tabs>
              <w:spacing w:line="240" w:lineRule="auto"/>
              <w:ind w:left="456" w:hanging="456"/>
              <w:jc w:val="both"/>
              <w:rPr>
                <w:rFonts w:ascii="Times New Roman" w:hAnsi="Times New Roman"/>
                <w:b/>
                <w:bCs/>
                <w:color w:val="000000"/>
                <w:spacing w:val="-2"/>
              </w:rPr>
            </w:pPr>
            <w:r w:rsidRPr="00AC7E1A">
              <w:rPr>
                <w:rFonts w:ascii="Times New Roman" w:hAnsi="Times New Roman"/>
                <w:b/>
                <w:bCs/>
                <w:color w:val="000000"/>
                <w:spacing w:val="-2"/>
              </w:rPr>
              <w:t>wewnętrznego systemu zapewnienia jakości i bezpieczeństwa;</w:t>
            </w:r>
          </w:p>
          <w:p w14:paraId="56361D5E" w14:textId="77777777" w:rsidR="00865F93" w:rsidRPr="00F529E3" w:rsidRDefault="00865F93" w:rsidP="00865F93">
            <w:pPr>
              <w:tabs>
                <w:tab w:val="left" w:pos="458"/>
              </w:tabs>
              <w:spacing w:line="240" w:lineRule="auto"/>
              <w:jc w:val="both"/>
              <w:rPr>
                <w:rFonts w:ascii="Times New Roman" w:hAnsi="Times New Roman"/>
                <w:color w:val="000000"/>
                <w:spacing w:val="-2"/>
              </w:rPr>
            </w:pPr>
            <w:r>
              <w:rPr>
                <w:rFonts w:ascii="Times New Roman" w:hAnsi="Times New Roman"/>
                <w:color w:val="000000"/>
                <w:spacing w:val="-2"/>
              </w:rPr>
              <w:t>O</w:t>
            </w:r>
            <w:r w:rsidRPr="00F529E3">
              <w:rPr>
                <w:rFonts w:ascii="Times New Roman" w:hAnsi="Times New Roman"/>
                <w:color w:val="000000"/>
                <w:spacing w:val="-2"/>
              </w:rPr>
              <w:t>bligatoryjny dla podmiotów leczniczych wykonujących działalność leczniczą w rodzaju świadczenia szpitalne</w:t>
            </w:r>
            <w:r w:rsidR="00D77A2B">
              <w:rPr>
                <w:rFonts w:ascii="Times New Roman" w:hAnsi="Times New Roman"/>
                <w:color w:val="000000"/>
                <w:spacing w:val="-2"/>
              </w:rPr>
              <w:t xml:space="preserve"> (szpitale)</w:t>
            </w:r>
            <w:r w:rsidRPr="00F529E3">
              <w:rPr>
                <w:rFonts w:ascii="Times New Roman" w:hAnsi="Times New Roman"/>
                <w:color w:val="000000"/>
                <w:spacing w:val="-2"/>
              </w:rPr>
              <w:t>, niezależnie od faktu korzystania ze środków publicznych</w:t>
            </w:r>
            <w:r>
              <w:rPr>
                <w:rFonts w:ascii="Times New Roman" w:hAnsi="Times New Roman"/>
                <w:color w:val="000000"/>
                <w:spacing w:val="-2"/>
              </w:rPr>
              <w:t>.</w:t>
            </w:r>
            <w:r w:rsidR="00D77A2B">
              <w:rPr>
                <w:rFonts w:ascii="Times New Roman" w:hAnsi="Times New Roman"/>
                <w:color w:val="000000"/>
                <w:spacing w:val="-2"/>
              </w:rPr>
              <w:t xml:space="preserve"> </w:t>
            </w:r>
            <w:r>
              <w:rPr>
                <w:rFonts w:ascii="Times New Roman" w:hAnsi="Times New Roman"/>
                <w:color w:val="000000"/>
                <w:spacing w:val="-2"/>
              </w:rPr>
              <w:t xml:space="preserve">System ten </w:t>
            </w:r>
            <w:r w:rsidR="00D77A2B">
              <w:rPr>
                <w:rFonts w:ascii="Times New Roman" w:hAnsi="Times New Roman"/>
                <w:color w:val="000000"/>
                <w:spacing w:val="-2"/>
              </w:rPr>
              <w:t xml:space="preserve">będzie </w:t>
            </w:r>
            <w:r w:rsidRPr="00F529E3">
              <w:rPr>
                <w:rFonts w:ascii="Times New Roman" w:hAnsi="Times New Roman"/>
                <w:color w:val="000000"/>
                <w:spacing w:val="-2"/>
              </w:rPr>
              <w:t xml:space="preserve">dwupoziomowy: </w:t>
            </w:r>
          </w:p>
          <w:p w14:paraId="75118BB7" w14:textId="77777777" w:rsidR="0020329B" w:rsidRDefault="00865F93" w:rsidP="00865F93">
            <w:pPr>
              <w:numPr>
                <w:ilvl w:val="0"/>
                <w:numId w:val="43"/>
              </w:numPr>
              <w:tabs>
                <w:tab w:val="left" w:pos="458"/>
              </w:tabs>
              <w:spacing w:line="240" w:lineRule="auto"/>
              <w:jc w:val="both"/>
              <w:rPr>
                <w:rFonts w:ascii="Times New Roman" w:hAnsi="Times New Roman"/>
                <w:color w:val="000000"/>
                <w:spacing w:val="-2"/>
              </w:rPr>
            </w:pPr>
            <w:r w:rsidRPr="00F529E3">
              <w:rPr>
                <w:rFonts w:ascii="Times New Roman" w:hAnsi="Times New Roman"/>
                <w:color w:val="000000"/>
                <w:spacing w:val="-2"/>
              </w:rPr>
              <w:t>wewnętrzny – prowadzony przez podmiot leczniczy prowadzący szpital,</w:t>
            </w:r>
          </w:p>
          <w:p w14:paraId="3D29F340" w14:textId="77777777" w:rsidR="00865F93" w:rsidRPr="0020329B" w:rsidRDefault="00865F93" w:rsidP="00865F93">
            <w:pPr>
              <w:numPr>
                <w:ilvl w:val="0"/>
                <w:numId w:val="43"/>
              </w:numPr>
              <w:tabs>
                <w:tab w:val="left" w:pos="458"/>
              </w:tabs>
              <w:spacing w:line="240" w:lineRule="auto"/>
              <w:jc w:val="both"/>
              <w:rPr>
                <w:rFonts w:ascii="Times New Roman" w:hAnsi="Times New Roman"/>
                <w:color w:val="000000"/>
                <w:spacing w:val="-2"/>
              </w:rPr>
            </w:pPr>
            <w:r w:rsidRPr="0020329B">
              <w:rPr>
                <w:rFonts w:ascii="Times New Roman" w:hAnsi="Times New Roman"/>
                <w:color w:val="000000"/>
                <w:spacing w:val="-2"/>
              </w:rPr>
              <w:t xml:space="preserve">zewnętrzny (rejestr zdarzeń niepożądanych) – prowadzony przez </w:t>
            </w:r>
            <w:r w:rsidR="0020329B">
              <w:rPr>
                <w:rFonts w:ascii="Times New Roman" w:hAnsi="Times New Roman"/>
                <w:color w:val="000000"/>
                <w:spacing w:val="-2"/>
              </w:rPr>
              <w:t>NFZ</w:t>
            </w:r>
            <w:r w:rsidRPr="0020329B">
              <w:rPr>
                <w:rFonts w:ascii="Times New Roman" w:hAnsi="Times New Roman"/>
                <w:color w:val="000000"/>
                <w:spacing w:val="-2"/>
              </w:rPr>
              <w:t>;</w:t>
            </w:r>
          </w:p>
          <w:p w14:paraId="0D65BD30" w14:textId="77777777" w:rsidR="00865F93" w:rsidRDefault="00865F93" w:rsidP="00865F93">
            <w:pPr>
              <w:tabs>
                <w:tab w:val="left" w:pos="458"/>
              </w:tabs>
              <w:spacing w:line="240" w:lineRule="auto"/>
              <w:jc w:val="both"/>
              <w:rPr>
                <w:rFonts w:ascii="Times New Roman" w:hAnsi="Times New Roman"/>
                <w:color w:val="000000"/>
                <w:spacing w:val="-2"/>
              </w:rPr>
            </w:pPr>
            <w:r>
              <w:rPr>
                <w:rFonts w:ascii="Times New Roman" w:hAnsi="Times New Roman"/>
                <w:color w:val="000000"/>
                <w:spacing w:val="-2"/>
              </w:rPr>
              <w:t>W ramach systemu podmioty będą zobowiązane m.in.</w:t>
            </w:r>
            <w:r w:rsidR="00D77A2B">
              <w:rPr>
                <w:rFonts w:ascii="Times New Roman" w:hAnsi="Times New Roman"/>
                <w:color w:val="000000"/>
                <w:spacing w:val="-2"/>
              </w:rPr>
              <w:t xml:space="preserve"> do</w:t>
            </w:r>
            <w:r>
              <w:rPr>
                <w:rFonts w:ascii="Times New Roman" w:hAnsi="Times New Roman"/>
                <w:color w:val="000000"/>
                <w:spacing w:val="-2"/>
              </w:rPr>
              <w:t>:</w:t>
            </w:r>
          </w:p>
          <w:p w14:paraId="1317933C" w14:textId="77777777" w:rsidR="0020329B" w:rsidRDefault="00D77A2B" w:rsidP="0020329B">
            <w:pPr>
              <w:numPr>
                <w:ilvl w:val="0"/>
                <w:numId w:val="44"/>
              </w:numPr>
              <w:tabs>
                <w:tab w:val="left" w:pos="314"/>
              </w:tabs>
              <w:spacing w:line="240" w:lineRule="auto"/>
              <w:jc w:val="both"/>
              <w:rPr>
                <w:rFonts w:ascii="Times New Roman" w:hAnsi="Times New Roman"/>
                <w:color w:val="000000"/>
                <w:spacing w:val="-2"/>
              </w:rPr>
            </w:pPr>
            <w:r w:rsidRPr="000803E9">
              <w:rPr>
                <w:rFonts w:ascii="Times New Roman" w:hAnsi="Times New Roman"/>
                <w:color w:val="000000"/>
                <w:spacing w:val="-2"/>
              </w:rPr>
              <w:t>wyznaczenia osoby odpowiedzialnej za prowadzenie wewnętrznego systemu zapewnienia jakości i bezpieczeństwa</w:t>
            </w:r>
            <w:r w:rsidR="0020329B">
              <w:rPr>
                <w:rFonts w:ascii="Times New Roman" w:hAnsi="Times New Roman"/>
                <w:color w:val="000000"/>
                <w:spacing w:val="-2"/>
              </w:rPr>
              <w:t>,</w:t>
            </w:r>
          </w:p>
          <w:p w14:paraId="0A783280" w14:textId="77777777" w:rsidR="0020329B" w:rsidRDefault="00865F93" w:rsidP="0020329B">
            <w:pPr>
              <w:numPr>
                <w:ilvl w:val="0"/>
                <w:numId w:val="44"/>
              </w:numPr>
              <w:tabs>
                <w:tab w:val="left" w:pos="314"/>
              </w:tabs>
              <w:spacing w:line="240" w:lineRule="auto"/>
              <w:jc w:val="both"/>
              <w:rPr>
                <w:rFonts w:ascii="Times New Roman" w:hAnsi="Times New Roman"/>
                <w:color w:val="000000"/>
                <w:spacing w:val="-2"/>
              </w:rPr>
            </w:pPr>
            <w:r w:rsidRPr="0020329B">
              <w:rPr>
                <w:rFonts w:ascii="Times New Roman" w:hAnsi="Times New Roman"/>
                <w:color w:val="000000"/>
                <w:spacing w:val="-2"/>
              </w:rPr>
              <w:t>opracowania standardowych procedur operacyjnych (SOP)</w:t>
            </w:r>
            <w:r w:rsidR="0020329B">
              <w:rPr>
                <w:rFonts w:ascii="Times New Roman" w:hAnsi="Times New Roman"/>
                <w:color w:val="000000"/>
                <w:spacing w:val="-2"/>
              </w:rPr>
              <w:t>,</w:t>
            </w:r>
          </w:p>
          <w:p w14:paraId="403619D6" w14:textId="77777777" w:rsidR="0020329B" w:rsidRDefault="00865F93" w:rsidP="0020329B">
            <w:pPr>
              <w:numPr>
                <w:ilvl w:val="0"/>
                <w:numId w:val="44"/>
              </w:numPr>
              <w:tabs>
                <w:tab w:val="left" w:pos="314"/>
              </w:tabs>
              <w:spacing w:line="240" w:lineRule="auto"/>
              <w:jc w:val="both"/>
              <w:rPr>
                <w:rFonts w:ascii="Times New Roman" w:hAnsi="Times New Roman"/>
                <w:color w:val="000000"/>
                <w:spacing w:val="-2"/>
              </w:rPr>
            </w:pPr>
            <w:r w:rsidRPr="0020329B">
              <w:rPr>
                <w:rFonts w:ascii="Times New Roman" w:hAnsi="Times New Roman"/>
                <w:color w:val="000000"/>
                <w:spacing w:val="-2"/>
              </w:rPr>
              <w:t>wdrażania rozwiązań służących identyfikacji i zarządzaniu ryzykiem zdrowotnym, w tym prowadz</w:t>
            </w:r>
            <w:r w:rsidR="00D77A2B" w:rsidRPr="0020329B">
              <w:rPr>
                <w:rFonts w:ascii="Times New Roman" w:hAnsi="Times New Roman"/>
                <w:color w:val="000000"/>
                <w:spacing w:val="-2"/>
              </w:rPr>
              <w:t xml:space="preserve">enia </w:t>
            </w:r>
            <w:r w:rsidRPr="0020329B">
              <w:rPr>
                <w:rFonts w:ascii="Times New Roman" w:hAnsi="Times New Roman"/>
                <w:color w:val="000000"/>
                <w:spacing w:val="-2"/>
              </w:rPr>
              <w:t>analiz identyfikując</w:t>
            </w:r>
            <w:r w:rsidR="00D77A2B" w:rsidRPr="0020329B">
              <w:rPr>
                <w:rFonts w:ascii="Times New Roman" w:hAnsi="Times New Roman"/>
                <w:color w:val="000000"/>
                <w:spacing w:val="-2"/>
              </w:rPr>
              <w:t>ych</w:t>
            </w:r>
            <w:r w:rsidRPr="0020329B">
              <w:rPr>
                <w:rFonts w:ascii="Times New Roman" w:hAnsi="Times New Roman"/>
                <w:color w:val="000000"/>
                <w:spacing w:val="-2"/>
              </w:rPr>
              <w:t xml:space="preserve"> zagrożenia,</w:t>
            </w:r>
          </w:p>
          <w:p w14:paraId="768A0F90" w14:textId="77777777" w:rsidR="0020329B" w:rsidRDefault="00865F93" w:rsidP="0020329B">
            <w:pPr>
              <w:numPr>
                <w:ilvl w:val="0"/>
                <w:numId w:val="44"/>
              </w:numPr>
              <w:tabs>
                <w:tab w:val="left" w:pos="314"/>
              </w:tabs>
              <w:spacing w:line="240" w:lineRule="auto"/>
              <w:jc w:val="both"/>
              <w:rPr>
                <w:rFonts w:ascii="Times New Roman" w:hAnsi="Times New Roman"/>
                <w:color w:val="000000"/>
                <w:spacing w:val="-2"/>
              </w:rPr>
            </w:pPr>
            <w:r w:rsidRPr="0020329B">
              <w:rPr>
                <w:rFonts w:ascii="Times New Roman" w:hAnsi="Times New Roman"/>
                <w:color w:val="000000"/>
                <w:spacing w:val="-2"/>
              </w:rPr>
              <w:t>identyfikowania priorytetowych obszarów do poprawy jakości i bezpieczeństwa udzielanych świadczeń zdrowotnych</w:t>
            </w:r>
            <w:r w:rsidR="0020329B">
              <w:rPr>
                <w:rFonts w:ascii="Times New Roman" w:hAnsi="Times New Roman"/>
                <w:color w:val="000000"/>
                <w:spacing w:val="-2"/>
              </w:rPr>
              <w:t>,</w:t>
            </w:r>
          </w:p>
          <w:p w14:paraId="29840BF0" w14:textId="77777777" w:rsidR="0020329B" w:rsidRDefault="00865F93" w:rsidP="0020329B">
            <w:pPr>
              <w:numPr>
                <w:ilvl w:val="0"/>
                <w:numId w:val="44"/>
              </w:numPr>
              <w:tabs>
                <w:tab w:val="left" w:pos="314"/>
              </w:tabs>
              <w:spacing w:line="240" w:lineRule="auto"/>
              <w:jc w:val="both"/>
              <w:rPr>
                <w:rFonts w:ascii="Times New Roman" w:hAnsi="Times New Roman"/>
                <w:color w:val="000000"/>
                <w:spacing w:val="-2"/>
              </w:rPr>
            </w:pPr>
            <w:r w:rsidRPr="0020329B">
              <w:rPr>
                <w:rFonts w:ascii="Times New Roman" w:hAnsi="Times New Roman"/>
                <w:color w:val="000000"/>
                <w:spacing w:val="-2"/>
              </w:rPr>
              <w:t>monitorowania niezgodności ze standardowymi procedurami operacyjnymi, w tym zgłaszani</w:t>
            </w:r>
            <w:r w:rsidR="00D77A2B" w:rsidRPr="0020329B">
              <w:rPr>
                <w:rFonts w:ascii="Times New Roman" w:hAnsi="Times New Roman"/>
                <w:color w:val="000000"/>
                <w:spacing w:val="-2"/>
              </w:rPr>
              <w:t>a</w:t>
            </w:r>
            <w:r w:rsidRPr="0020329B">
              <w:rPr>
                <w:rFonts w:ascii="Times New Roman" w:hAnsi="Times New Roman"/>
                <w:color w:val="000000"/>
                <w:spacing w:val="-2"/>
              </w:rPr>
              <w:t xml:space="preserve"> oraz prowadzeni</w:t>
            </w:r>
            <w:r w:rsidR="00D77A2B" w:rsidRPr="0020329B">
              <w:rPr>
                <w:rFonts w:ascii="Times New Roman" w:hAnsi="Times New Roman"/>
                <w:color w:val="000000"/>
                <w:spacing w:val="-2"/>
              </w:rPr>
              <w:t>a</w:t>
            </w:r>
            <w:r w:rsidRPr="0020329B">
              <w:rPr>
                <w:rFonts w:ascii="Times New Roman" w:hAnsi="Times New Roman"/>
                <w:color w:val="000000"/>
                <w:spacing w:val="-2"/>
              </w:rPr>
              <w:t xml:space="preserve"> analiz występowania niezgodności</w:t>
            </w:r>
            <w:r w:rsidR="0020329B">
              <w:rPr>
                <w:rFonts w:ascii="Times New Roman" w:hAnsi="Times New Roman"/>
                <w:color w:val="000000"/>
                <w:spacing w:val="-2"/>
              </w:rPr>
              <w:t>,</w:t>
            </w:r>
          </w:p>
          <w:p w14:paraId="49CABD25" w14:textId="77777777" w:rsidR="0020329B" w:rsidRDefault="00865F93" w:rsidP="0020329B">
            <w:pPr>
              <w:numPr>
                <w:ilvl w:val="0"/>
                <w:numId w:val="44"/>
              </w:numPr>
              <w:tabs>
                <w:tab w:val="left" w:pos="314"/>
              </w:tabs>
              <w:spacing w:line="240" w:lineRule="auto"/>
              <w:jc w:val="both"/>
              <w:rPr>
                <w:rFonts w:ascii="Times New Roman" w:hAnsi="Times New Roman"/>
                <w:color w:val="000000"/>
                <w:spacing w:val="-2"/>
              </w:rPr>
            </w:pPr>
            <w:r w:rsidRPr="0020329B">
              <w:rPr>
                <w:rFonts w:ascii="Times New Roman" w:hAnsi="Times New Roman"/>
                <w:color w:val="000000"/>
                <w:spacing w:val="-2"/>
              </w:rPr>
              <w:t>monitorowania zdarzeń niepożądanych, w tym identyfikowania i zgłaszania zdarzeń niepożądanych, rejestrowania zdarzeń niepożądanych, oceny zdarzeń niepożądanych według skali prawdopodobieństwa i ciężkości, opracowania analizy przyczyn zdarzeń niepożądanych oraz wniosków i zaleceń z tej analizy</w:t>
            </w:r>
            <w:r w:rsidR="0020329B">
              <w:rPr>
                <w:rFonts w:ascii="Times New Roman" w:hAnsi="Times New Roman"/>
                <w:color w:val="000000"/>
                <w:spacing w:val="-2"/>
              </w:rPr>
              <w:t>,</w:t>
            </w:r>
          </w:p>
          <w:p w14:paraId="01C70ECF" w14:textId="77777777" w:rsidR="0020329B" w:rsidRDefault="00865F93" w:rsidP="0020329B">
            <w:pPr>
              <w:numPr>
                <w:ilvl w:val="0"/>
                <w:numId w:val="44"/>
              </w:numPr>
              <w:tabs>
                <w:tab w:val="left" w:pos="314"/>
              </w:tabs>
              <w:spacing w:line="240" w:lineRule="auto"/>
              <w:jc w:val="both"/>
              <w:rPr>
                <w:rFonts w:ascii="Times New Roman" w:hAnsi="Times New Roman"/>
                <w:color w:val="000000"/>
                <w:spacing w:val="-2"/>
              </w:rPr>
            </w:pPr>
            <w:r w:rsidRPr="0020329B">
              <w:rPr>
                <w:rFonts w:ascii="Times New Roman" w:hAnsi="Times New Roman"/>
                <w:color w:val="000000"/>
                <w:spacing w:val="-2"/>
              </w:rPr>
              <w:t>wdrażania działań niezbędnych do poprawy jakości i bezpieczeństwa udzielanych świadczeń zdrowotnych na podstawie wyników analiz</w:t>
            </w:r>
            <w:r w:rsidR="0020329B">
              <w:rPr>
                <w:rFonts w:ascii="Times New Roman" w:hAnsi="Times New Roman"/>
                <w:color w:val="000000"/>
                <w:spacing w:val="-2"/>
              </w:rPr>
              <w:t>,</w:t>
            </w:r>
          </w:p>
          <w:p w14:paraId="4C8FD0EC" w14:textId="77777777" w:rsidR="0020329B" w:rsidRDefault="00865F93" w:rsidP="0020329B">
            <w:pPr>
              <w:numPr>
                <w:ilvl w:val="0"/>
                <w:numId w:val="44"/>
              </w:numPr>
              <w:tabs>
                <w:tab w:val="left" w:pos="314"/>
              </w:tabs>
              <w:spacing w:line="240" w:lineRule="auto"/>
              <w:jc w:val="both"/>
              <w:rPr>
                <w:rFonts w:ascii="Times New Roman" w:hAnsi="Times New Roman"/>
                <w:color w:val="000000"/>
                <w:spacing w:val="-2"/>
              </w:rPr>
            </w:pPr>
            <w:r w:rsidRPr="0020329B">
              <w:rPr>
                <w:rFonts w:ascii="Times New Roman" w:hAnsi="Times New Roman"/>
                <w:color w:val="000000"/>
                <w:spacing w:val="-2"/>
              </w:rPr>
              <w:t>opracowywani</w:t>
            </w:r>
            <w:r w:rsidR="00D77A2B" w:rsidRPr="0020329B">
              <w:rPr>
                <w:rFonts w:ascii="Times New Roman" w:hAnsi="Times New Roman"/>
                <w:color w:val="000000"/>
                <w:spacing w:val="-2"/>
              </w:rPr>
              <w:t>a</w:t>
            </w:r>
            <w:r w:rsidRPr="0020329B">
              <w:rPr>
                <w:rFonts w:ascii="Times New Roman" w:hAnsi="Times New Roman"/>
                <w:color w:val="000000"/>
                <w:spacing w:val="-2"/>
              </w:rPr>
              <w:t xml:space="preserve"> i wdrożeni</w:t>
            </w:r>
            <w:r w:rsidR="00D77A2B" w:rsidRPr="0020329B">
              <w:rPr>
                <w:rFonts w:ascii="Times New Roman" w:hAnsi="Times New Roman"/>
                <w:color w:val="000000"/>
                <w:spacing w:val="-2"/>
              </w:rPr>
              <w:t>a</w:t>
            </w:r>
            <w:r w:rsidRPr="0020329B">
              <w:rPr>
                <w:rFonts w:ascii="Times New Roman" w:hAnsi="Times New Roman"/>
                <w:color w:val="000000"/>
                <w:spacing w:val="-2"/>
              </w:rPr>
              <w:t xml:space="preserve"> rozwiązań ograniczających występowanie analogicznych zdarzeń niepożądanych w</w:t>
            </w:r>
            <w:r w:rsidR="00D77A2B" w:rsidRPr="0020329B">
              <w:rPr>
                <w:rFonts w:ascii="Times New Roman" w:hAnsi="Times New Roman"/>
                <w:color w:val="000000"/>
                <w:spacing w:val="-2"/>
              </w:rPr>
              <w:t> </w:t>
            </w:r>
            <w:r w:rsidRPr="0020329B">
              <w:rPr>
                <w:rFonts w:ascii="Times New Roman" w:hAnsi="Times New Roman"/>
                <w:color w:val="000000"/>
                <w:spacing w:val="-2"/>
              </w:rPr>
              <w:t>przyszłości,</w:t>
            </w:r>
          </w:p>
          <w:p w14:paraId="444ED0A4" w14:textId="77777777" w:rsidR="00865F93" w:rsidRPr="0020329B" w:rsidRDefault="00865F93" w:rsidP="0020329B">
            <w:pPr>
              <w:numPr>
                <w:ilvl w:val="0"/>
                <w:numId w:val="44"/>
              </w:numPr>
              <w:tabs>
                <w:tab w:val="left" w:pos="314"/>
              </w:tabs>
              <w:spacing w:line="240" w:lineRule="auto"/>
              <w:jc w:val="both"/>
              <w:rPr>
                <w:rFonts w:ascii="Times New Roman" w:hAnsi="Times New Roman"/>
                <w:color w:val="000000"/>
                <w:spacing w:val="-2"/>
              </w:rPr>
            </w:pPr>
            <w:r w:rsidRPr="0020329B">
              <w:rPr>
                <w:rFonts w:ascii="Times New Roman" w:hAnsi="Times New Roman"/>
                <w:color w:val="000000"/>
                <w:spacing w:val="-2"/>
              </w:rPr>
              <w:t>przekazywani</w:t>
            </w:r>
            <w:r w:rsidR="00D77A2B" w:rsidRPr="0020329B">
              <w:rPr>
                <w:rFonts w:ascii="Times New Roman" w:hAnsi="Times New Roman"/>
                <w:color w:val="000000"/>
                <w:spacing w:val="-2"/>
              </w:rPr>
              <w:t>a</w:t>
            </w:r>
            <w:r w:rsidRPr="0020329B">
              <w:rPr>
                <w:rFonts w:ascii="Times New Roman" w:hAnsi="Times New Roman"/>
                <w:color w:val="000000"/>
                <w:spacing w:val="-2"/>
              </w:rPr>
              <w:t xml:space="preserve"> informacji o zdarzeniach niepożądanych do </w:t>
            </w:r>
            <w:r w:rsidR="0020329B">
              <w:rPr>
                <w:rFonts w:ascii="Times New Roman" w:hAnsi="Times New Roman"/>
                <w:color w:val="000000"/>
                <w:spacing w:val="-2"/>
              </w:rPr>
              <w:t>NFZ</w:t>
            </w:r>
            <w:r w:rsidR="00D77A2B" w:rsidRPr="0020329B">
              <w:rPr>
                <w:rFonts w:ascii="Times New Roman" w:hAnsi="Times New Roman"/>
                <w:color w:val="000000"/>
                <w:spacing w:val="-2"/>
              </w:rPr>
              <w:t>.</w:t>
            </w:r>
          </w:p>
          <w:p w14:paraId="1EA70B6E" w14:textId="77777777" w:rsidR="00865F93" w:rsidRPr="00125991" w:rsidRDefault="00625C27" w:rsidP="00865F93">
            <w:pPr>
              <w:tabs>
                <w:tab w:val="left" w:pos="458"/>
              </w:tabs>
              <w:spacing w:line="240" w:lineRule="auto"/>
              <w:jc w:val="both"/>
              <w:rPr>
                <w:rFonts w:ascii="Times New Roman" w:hAnsi="Times New Roman"/>
                <w:color w:val="000000"/>
                <w:spacing w:val="-2"/>
              </w:rPr>
            </w:pPr>
            <w:r>
              <w:rPr>
                <w:rFonts w:ascii="Times New Roman" w:hAnsi="Times New Roman"/>
                <w:color w:val="000000"/>
                <w:spacing w:val="-2"/>
              </w:rPr>
              <w:t xml:space="preserve">Rejestr zdarzeń niepożądanych prowadzony przez Narodowy Fundusz Zdrowia nie będzie rejestrem jawnym. Założeniem zgłaszania zdarzeń niepożądanych jest ich analiza i wdrażanie działań naprawczych i korygujących, które mają przyczynić się do poprawy jakości opieki, zwłaszcza w aspekcie jej bezpieczeństwa. Zakłada się natomiast, że szpitale w ramach raportów jakości będą publikowały informację o liczbie zdarzeń niepożądanych oraz wdrożonych działaniach korygujących i naprawczych. Nadzór nad zgłaszaniem zdarzeń niepożądanych będzie miał Narodowy Fundusz Zdrowia. </w:t>
            </w:r>
            <w:r w:rsidR="00865F93">
              <w:rPr>
                <w:rFonts w:ascii="Times New Roman" w:hAnsi="Times New Roman"/>
                <w:color w:val="000000"/>
                <w:spacing w:val="-2"/>
              </w:rPr>
              <w:t>Ponadto</w:t>
            </w:r>
            <w:r>
              <w:rPr>
                <w:rFonts w:ascii="Times New Roman" w:hAnsi="Times New Roman"/>
                <w:color w:val="000000"/>
                <w:spacing w:val="-2"/>
              </w:rPr>
              <w:t>,</w:t>
            </w:r>
            <w:r w:rsidR="00865F93">
              <w:rPr>
                <w:rFonts w:ascii="Times New Roman" w:hAnsi="Times New Roman"/>
                <w:color w:val="000000"/>
                <w:spacing w:val="-2"/>
              </w:rPr>
              <w:t xml:space="preserve"> projekt przewiduje </w:t>
            </w:r>
            <w:r w:rsidR="00865F93" w:rsidRPr="00F529E3">
              <w:rPr>
                <w:rFonts w:ascii="Times New Roman" w:hAnsi="Times New Roman"/>
                <w:color w:val="000000"/>
                <w:spacing w:val="-2"/>
              </w:rPr>
              <w:t>wprowadzenie regulacji o braku sankcji wobec personelu medycznego w związku ze</w:t>
            </w:r>
            <w:r w:rsidR="00D77A2B">
              <w:rPr>
                <w:rFonts w:ascii="Times New Roman" w:hAnsi="Times New Roman"/>
                <w:color w:val="000000"/>
                <w:spacing w:val="-2"/>
              </w:rPr>
              <w:t> </w:t>
            </w:r>
            <w:r w:rsidR="00865F93" w:rsidRPr="00F529E3">
              <w:rPr>
                <w:rFonts w:ascii="Times New Roman" w:hAnsi="Times New Roman"/>
                <w:color w:val="000000"/>
                <w:spacing w:val="-2"/>
              </w:rPr>
              <w:t>zgłoszeniem zdarzenia niepożądanego</w:t>
            </w:r>
            <w:r w:rsidR="00D77A2B">
              <w:rPr>
                <w:rFonts w:ascii="Times New Roman" w:hAnsi="Times New Roman"/>
                <w:color w:val="000000"/>
                <w:spacing w:val="-2"/>
              </w:rPr>
              <w:t xml:space="preserve">. </w:t>
            </w:r>
            <w:r>
              <w:rPr>
                <w:rFonts w:ascii="Times New Roman" w:hAnsi="Times New Roman"/>
                <w:color w:val="000000"/>
                <w:spacing w:val="-2"/>
              </w:rPr>
              <w:t xml:space="preserve">Brak sankcji z tytułu zgłoszenia zdarzenia niepożądanego nie jest tożsamy z brakiem sankcji w przypadku działań na szkodę pacjenta. </w:t>
            </w:r>
            <w:r w:rsidR="00D77A2B">
              <w:rPr>
                <w:rFonts w:ascii="Times New Roman" w:hAnsi="Times New Roman"/>
                <w:color w:val="000000"/>
                <w:spacing w:val="-2"/>
              </w:rPr>
              <w:t xml:space="preserve">Zakłada się, że </w:t>
            </w:r>
            <w:r w:rsidR="00865F93" w:rsidRPr="00F529E3">
              <w:rPr>
                <w:rFonts w:ascii="Times New Roman" w:hAnsi="Times New Roman"/>
                <w:color w:val="000000"/>
                <w:spacing w:val="-2"/>
              </w:rPr>
              <w:t>dane osobowe osób zgłaszających zdarzenia niepożądane w</w:t>
            </w:r>
            <w:r w:rsidR="00D77A2B">
              <w:rPr>
                <w:rFonts w:ascii="Times New Roman" w:hAnsi="Times New Roman"/>
                <w:color w:val="000000"/>
                <w:spacing w:val="-2"/>
              </w:rPr>
              <w:t> </w:t>
            </w:r>
            <w:r w:rsidR="00865F93" w:rsidRPr="00F529E3">
              <w:rPr>
                <w:rFonts w:ascii="Times New Roman" w:hAnsi="Times New Roman"/>
                <w:color w:val="000000"/>
                <w:spacing w:val="-2"/>
              </w:rPr>
              <w:t>powiązaniu z danymi identyfikującymi konkretne zdarzenie niepożądane, a także wszelkie informacje zgromadzone w</w:t>
            </w:r>
            <w:r w:rsidR="00D77A2B">
              <w:rPr>
                <w:rFonts w:ascii="Times New Roman" w:hAnsi="Times New Roman"/>
                <w:color w:val="000000"/>
                <w:spacing w:val="-2"/>
              </w:rPr>
              <w:t> </w:t>
            </w:r>
            <w:r w:rsidR="00865F93" w:rsidRPr="00F529E3">
              <w:rPr>
                <w:rFonts w:ascii="Times New Roman" w:hAnsi="Times New Roman"/>
                <w:color w:val="000000"/>
                <w:spacing w:val="-2"/>
              </w:rPr>
              <w:t>ramach analizy przyczyn zdarzeń niepożądanych nie będą podlegały udostępnieni</w:t>
            </w:r>
            <w:r w:rsidR="00865F93">
              <w:rPr>
                <w:rFonts w:ascii="Times New Roman" w:hAnsi="Times New Roman"/>
                <w:color w:val="000000"/>
                <w:spacing w:val="-2"/>
              </w:rPr>
              <w:t>u.</w:t>
            </w:r>
          </w:p>
          <w:p w14:paraId="096E4B5D" w14:textId="77777777" w:rsidR="00865F93" w:rsidRPr="00125991" w:rsidRDefault="00FB046B" w:rsidP="004C04F3">
            <w:pPr>
              <w:numPr>
                <w:ilvl w:val="2"/>
                <w:numId w:val="15"/>
              </w:numPr>
              <w:tabs>
                <w:tab w:val="left" w:pos="458"/>
              </w:tabs>
              <w:spacing w:line="240" w:lineRule="auto"/>
              <w:ind w:left="456" w:hanging="456"/>
              <w:jc w:val="both"/>
              <w:rPr>
                <w:rFonts w:ascii="Times New Roman" w:hAnsi="Times New Roman"/>
                <w:b/>
                <w:bCs/>
                <w:color w:val="000000"/>
                <w:spacing w:val="-2"/>
              </w:rPr>
            </w:pPr>
            <w:r w:rsidRPr="003D0137">
              <w:rPr>
                <w:rFonts w:ascii="Times New Roman" w:hAnsi="Times New Roman"/>
                <w:b/>
                <w:bCs/>
                <w:color w:val="000000"/>
                <w:spacing w:val="-2"/>
              </w:rPr>
              <w:t>udzielania przez NFZ akredytacji w ochronie zdrowia</w:t>
            </w:r>
          </w:p>
          <w:p w14:paraId="674DDE70" w14:textId="77777777" w:rsidR="00865F93" w:rsidRDefault="00865F93" w:rsidP="00865F93">
            <w:pPr>
              <w:tabs>
                <w:tab w:val="left" w:pos="456"/>
              </w:tabs>
              <w:spacing w:line="240" w:lineRule="auto"/>
              <w:jc w:val="both"/>
              <w:rPr>
                <w:rFonts w:ascii="Times New Roman" w:hAnsi="Times New Roman"/>
                <w:color w:val="000000"/>
                <w:spacing w:val="-2"/>
              </w:rPr>
            </w:pPr>
            <w:r>
              <w:rPr>
                <w:rFonts w:ascii="Times New Roman" w:hAnsi="Times New Roman"/>
                <w:color w:val="000000"/>
                <w:spacing w:val="-2"/>
              </w:rPr>
              <w:t>Fa</w:t>
            </w:r>
            <w:r w:rsidRPr="00D12320">
              <w:rPr>
                <w:rFonts w:ascii="Times New Roman" w:hAnsi="Times New Roman"/>
                <w:color w:val="000000"/>
                <w:spacing w:val="-2"/>
              </w:rPr>
              <w:t>kultatywna zewnętrzna ocena jakości</w:t>
            </w:r>
            <w:r>
              <w:rPr>
                <w:rFonts w:ascii="Times New Roman" w:hAnsi="Times New Roman"/>
                <w:color w:val="000000"/>
                <w:spacing w:val="-2"/>
              </w:rPr>
              <w:t xml:space="preserve"> </w:t>
            </w:r>
            <w:r w:rsidR="00D77A2B">
              <w:rPr>
                <w:rFonts w:ascii="Times New Roman" w:hAnsi="Times New Roman"/>
                <w:color w:val="000000"/>
                <w:spacing w:val="-2"/>
              </w:rPr>
              <w:t xml:space="preserve">w ochronie zdrowia </w:t>
            </w:r>
            <w:r>
              <w:rPr>
                <w:rFonts w:ascii="Times New Roman" w:hAnsi="Times New Roman"/>
                <w:color w:val="000000"/>
                <w:spacing w:val="-2"/>
              </w:rPr>
              <w:t xml:space="preserve">dokonywana </w:t>
            </w:r>
            <w:r w:rsidR="00D77A2B">
              <w:rPr>
                <w:rFonts w:ascii="Times New Roman" w:hAnsi="Times New Roman"/>
                <w:color w:val="000000"/>
                <w:spacing w:val="-2"/>
              </w:rPr>
              <w:t xml:space="preserve">będzie </w:t>
            </w:r>
            <w:r w:rsidRPr="00D12320">
              <w:rPr>
                <w:rFonts w:ascii="Times New Roman" w:hAnsi="Times New Roman"/>
                <w:color w:val="000000"/>
                <w:spacing w:val="-2"/>
              </w:rPr>
              <w:t>przez N</w:t>
            </w:r>
            <w:r>
              <w:rPr>
                <w:rFonts w:ascii="Times New Roman" w:hAnsi="Times New Roman"/>
                <w:color w:val="000000"/>
                <w:spacing w:val="-2"/>
              </w:rPr>
              <w:t xml:space="preserve">arodowy </w:t>
            </w:r>
            <w:r w:rsidRPr="00D12320">
              <w:rPr>
                <w:rFonts w:ascii="Times New Roman" w:hAnsi="Times New Roman"/>
                <w:color w:val="000000"/>
                <w:spacing w:val="-2"/>
              </w:rPr>
              <w:t>Fundusz Zdrowia</w:t>
            </w:r>
            <w:r>
              <w:rPr>
                <w:rFonts w:ascii="Times New Roman" w:hAnsi="Times New Roman"/>
                <w:color w:val="000000"/>
                <w:spacing w:val="-2"/>
              </w:rPr>
              <w:t xml:space="preserve"> przy jednoczesnej </w:t>
            </w:r>
            <w:r w:rsidRPr="00D12320">
              <w:rPr>
                <w:rFonts w:ascii="Times New Roman" w:hAnsi="Times New Roman"/>
                <w:color w:val="000000"/>
                <w:spacing w:val="-2"/>
              </w:rPr>
              <w:t>likwidacj</w:t>
            </w:r>
            <w:r>
              <w:rPr>
                <w:rFonts w:ascii="Times New Roman" w:hAnsi="Times New Roman"/>
                <w:color w:val="000000"/>
                <w:spacing w:val="-2"/>
              </w:rPr>
              <w:t xml:space="preserve">i </w:t>
            </w:r>
            <w:r w:rsidRPr="00D12320">
              <w:rPr>
                <w:rFonts w:ascii="Times New Roman" w:hAnsi="Times New Roman"/>
                <w:color w:val="000000"/>
                <w:spacing w:val="-2"/>
              </w:rPr>
              <w:t>Centrum Monitorowania Jakości w Ochronie Zdrowia</w:t>
            </w:r>
            <w:r>
              <w:rPr>
                <w:rFonts w:ascii="Times New Roman" w:hAnsi="Times New Roman"/>
                <w:color w:val="000000"/>
                <w:spacing w:val="-2"/>
              </w:rPr>
              <w:t xml:space="preserve">. Ponadto </w:t>
            </w:r>
            <w:r w:rsidR="00B342EC">
              <w:rPr>
                <w:rFonts w:ascii="Times New Roman" w:hAnsi="Times New Roman"/>
                <w:color w:val="000000"/>
                <w:spacing w:val="-2"/>
              </w:rPr>
              <w:t xml:space="preserve">projekt </w:t>
            </w:r>
            <w:r>
              <w:rPr>
                <w:rFonts w:ascii="Times New Roman" w:hAnsi="Times New Roman"/>
                <w:color w:val="000000"/>
                <w:spacing w:val="-2"/>
              </w:rPr>
              <w:t>ustaw</w:t>
            </w:r>
            <w:r w:rsidR="00B342EC">
              <w:rPr>
                <w:rFonts w:ascii="Times New Roman" w:hAnsi="Times New Roman"/>
                <w:color w:val="000000"/>
                <w:spacing w:val="-2"/>
              </w:rPr>
              <w:t>y</w:t>
            </w:r>
            <w:r>
              <w:rPr>
                <w:rFonts w:ascii="Times New Roman" w:hAnsi="Times New Roman"/>
                <w:color w:val="000000"/>
                <w:spacing w:val="-2"/>
              </w:rPr>
              <w:t xml:space="preserve"> </w:t>
            </w:r>
            <w:r w:rsidRPr="00D12320">
              <w:rPr>
                <w:rFonts w:ascii="Times New Roman" w:hAnsi="Times New Roman"/>
                <w:color w:val="000000"/>
                <w:spacing w:val="-2"/>
              </w:rPr>
              <w:t>doprecyzow</w:t>
            </w:r>
            <w:r>
              <w:rPr>
                <w:rFonts w:ascii="Times New Roman" w:hAnsi="Times New Roman"/>
                <w:color w:val="000000"/>
                <w:spacing w:val="-2"/>
              </w:rPr>
              <w:t>uje</w:t>
            </w:r>
            <w:r w:rsidRPr="00D12320">
              <w:rPr>
                <w:rFonts w:ascii="Times New Roman" w:hAnsi="Times New Roman"/>
                <w:color w:val="000000"/>
                <w:spacing w:val="-2"/>
              </w:rPr>
              <w:t xml:space="preserve"> i</w:t>
            </w:r>
            <w:r w:rsidR="00B342EC">
              <w:rPr>
                <w:rFonts w:ascii="Times New Roman" w:hAnsi="Times New Roman"/>
                <w:color w:val="000000"/>
                <w:spacing w:val="-2"/>
              </w:rPr>
              <w:t> </w:t>
            </w:r>
            <w:r w:rsidRPr="00D12320">
              <w:rPr>
                <w:rFonts w:ascii="Times New Roman" w:hAnsi="Times New Roman"/>
                <w:color w:val="000000"/>
                <w:spacing w:val="-2"/>
              </w:rPr>
              <w:t>uporządkow</w:t>
            </w:r>
            <w:r>
              <w:rPr>
                <w:rFonts w:ascii="Times New Roman" w:hAnsi="Times New Roman"/>
                <w:color w:val="000000"/>
                <w:spacing w:val="-2"/>
              </w:rPr>
              <w:t>uje</w:t>
            </w:r>
            <w:r w:rsidRPr="00D12320">
              <w:rPr>
                <w:rFonts w:ascii="Times New Roman" w:hAnsi="Times New Roman"/>
                <w:color w:val="000000"/>
                <w:spacing w:val="-2"/>
              </w:rPr>
              <w:t xml:space="preserve"> proces</w:t>
            </w:r>
            <w:r>
              <w:rPr>
                <w:rFonts w:ascii="Times New Roman" w:hAnsi="Times New Roman"/>
                <w:color w:val="000000"/>
                <w:spacing w:val="-2"/>
              </w:rPr>
              <w:t xml:space="preserve"> </w:t>
            </w:r>
            <w:r w:rsidRPr="00D12320">
              <w:rPr>
                <w:rFonts w:ascii="Times New Roman" w:hAnsi="Times New Roman"/>
                <w:color w:val="000000"/>
                <w:spacing w:val="-2"/>
              </w:rPr>
              <w:t xml:space="preserve">akredytacji </w:t>
            </w:r>
            <w:r w:rsidR="00B342EC">
              <w:rPr>
                <w:rFonts w:ascii="Times New Roman" w:hAnsi="Times New Roman"/>
                <w:color w:val="000000"/>
                <w:spacing w:val="-2"/>
              </w:rPr>
              <w:t xml:space="preserve">w ochronie zdrowia, </w:t>
            </w:r>
            <w:r w:rsidRPr="00D12320">
              <w:rPr>
                <w:rFonts w:ascii="Times New Roman" w:hAnsi="Times New Roman"/>
                <w:color w:val="000000"/>
                <w:spacing w:val="-2"/>
              </w:rPr>
              <w:t xml:space="preserve">w szczególności w zakresie jej przebiegu, terminów i uczestników </w:t>
            </w:r>
            <w:r w:rsidR="00D77A2B">
              <w:rPr>
                <w:rFonts w:ascii="Times New Roman" w:hAnsi="Times New Roman"/>
                <w:color w:val="000000"/>
                <w:spacing w:val="-2"/>
              </w:rPr>
              <w:t xml:space="preserve">tego </w:t>
            </w:r>
            <w:r w:rsidRPr="00D12320">
              <w:rPr>
                <w:rFonts w:ascii="Times New Roman" w:hAnsi="Times New Roman"/>
                <w:color w:val="000000"/>
                <w:spacing w:val="-2"/>
              </w:rPr>
              <w:t>procesu</w:t>
            </w:r>
            <w:r w:rsidR="00B342EC">
              <w:rPr>
                <w:rFonts w:ascii="Times New Roman" w:hAnsi="Times New Roman"/>
                <w:color w:val="000000"/>
                <w:spacing w:val="-2"/>
              </w:rPr>
              <w:t xml:space="preserve">, wprowadzenia możliwości cofnięcia akredytacji, </w:t>
            </w:r>
            <w:r w:rsidR="00B342EC" w:rsidRPr="003D0137">
              <w:rPr>
                <w:rFonts w:ascii="Times New Roman" w:hAnsi="Times New Roman"/>
                <w:color w:val="000000"/>
                <w:spacing w:val="-2"/>
              </w:rPr>
              <w:t>wprowadzenie zasad dopuszczania do wykonywania i</w:t>
            </w:r>
            <w:r w:rsidR="00B342EC">
              <w:rPr>
                <w:rFonts w:ascii="Times New Roman" w:hAnsi="Times New Roman"/>
                <w:color w:val="000000"/>
                <w:spacing w:val="-2"/>
              </w:rPr>
              <w:t> </w:t>
            </w:r>
            <w:r w:rsidR="00B342EC" w:rsidRPr="003D0137">
              <w:rPr>
                <w:rFonts w:ascii="Times New Roman" w:hAnsi="Times New Roman"/>
                <w:color w:val="000000"/>
                <w:spacing w:val="-2"/>
              </w:rPr>
              <w:t>spełnienia funkcji wizytatora i koordynatora</w:t>
            </w:r>
            <w:r w:rsidR="00B342EC">
              <w:rPr>
                <w:rFonts w:ascii="Times New Roman" w:hAnsi="Times New Roman"/>
                <w:color w:val="000000"/>
                <w:spacing w:val="-2"/>
              </w:rPr>
              <w:t>, wprowadzenia dodatkowych warunków udzielenia akredytacji (spełnienia standardów obligatoryjnych oraz uzyskania minimum 50% punktów z każdego działu standardów).</w:t>
            </w:r>
          </w:p>
          <w:p w14:paraId="315B5C9C" w14:textId="77777777" w:rsidR="00865F93" w:rsidRPr="004C04F3" w:rsidRDefault="00865F93" w:rsidP="004C04F3">
            <w:pPr>
              <w:numPr>
                <w:ilvl w:val="2"/>
                <w:numId w:val="15"/>
              </w:numPr>
              <w:tabs>
                <w:tab w:val="left" w:pos="456"/>
              </w:tabs>
              <w:spacing w:line="240" w:lineRule="auto"/>
              <w:ind w:left="456" w:hanging="456"/>
              <w:jc w:val="both"/>
              <w:rPr>
                <w:rFonts w:ascii="Times New Roman" w:hAnsi="Times New Roman"/>
                <w:b/>
                <w:bCs/>
                <w:color w:val="000000"/>
                <w:spacing w:val="-2"/>
              </w:rPr>
            </w:pPr>
            <w:r w:rsidRPr="00665724">
              <w:rPr>
                <w:rFonts w:ascii="Times New Roman" w:hAnsi="Times New Roman"/>
                <w:b/>
                <w:bCs/>
                <w:color w:val="000000"/>
                <w:spacing w:val="-2"/>
              </w:rPr>
              <w:t>systemu świadczeń kompensacyjnych;</w:t>
            </w:r>
            <w:r>
              <w:rPr>
                <w:rFonts w:ascii="Times New Roman" w:hAnsi="Times New Roman"/>
                <w:b/>
                <w:bCs/>
                <w:color w:val="000000"/>
                <w:spacing w:val="-2"/>
              </w:rPr>
              <w:t xml:space="preserve"> </w:t>
            </w:r>
            <w:r w:rsidRPr="003D0137">
              <w:rPr>
                <w:rFonts w:ascii="Times New Roman" w:hAnsi="Times New Roman"/>
                <w:b/>
                <w:bCs/>
                <w:color w:val="000000"/>
                <w:spacing w:val="-2"/>
              </w:rPr>
              <w:t>wdrożeniem systemu pozasądowego rekompensowania szkód doznanych przez pacjentów w wyniku zaistnienia zdarzeń medycznych (w ramach nowelizacji ustawy o prawach pacjenta i Rzeczniku Praw Pacjenta</w:t>
            </w:r>
          </w:p>
          <w:p w14:paraId="18FC920F" w14:textId="76F84A57" w:rsidR="00865F93" w:rsidRDefault="00865F93" w:rsidP="00865F93">
            <w:pPr>
              <w:tabs>
                <w:tab w:val="left" w:pos="458"/>
              </w:tabs>
              <w:spacing w:line="240" w:lineRule="auto"/>
              <w:jc w:val="both"/>
              <w:rPr>
                <w:rFonts w:ascii="Times New Roman" w:hAnsi="Times New Roman"/>
                <w:color w:val="000000"/>
                <w:spacing w:val="-2"/>
              </w:rPr>
            </w:pPr>
            <w:r>
              <w:rPr>
                <w:rFonts w:ascii="Times New Roman" w:hAnsi="Times New Roman"/>
                <w:color w:val="000000"/>
                <w:spacing w:val="-2"/>
              </w:rPr>
              <w:t xml:space="preserve">Projekt przewiduje m.in. </w:t>
            </w:r>
            <w:r w:rsidRPr="00D12320">
              <w:rPr>
                <w:rFonts w:ascii="Times New Roman" w:hAnsi="Times New Roman"/>
                <w:color w:val="000000"/>
                <w:spacing w:val="-2"/>
              </w:rPr>
              <w:t>wprowadzenie dwuinstancyjnego pozasądowego systemu rekompensaty szkód z tytułu zdarzeń medycznych obsługiwanego przez Rzecznika Praw Pacjenta w miejsce obecnych Wojewódzkich Komisji ds. Orzekania o Zdarzeniach Medycznych (analiza oraz wyniki systemu wojewódzkich komisji wykazała nieefektywność obecnych rozwiązań)</w:t>
            </w:r>
            <w:r w:rsidR="001E3680">
              <w:rPr>
                <w:rFonts w:ascii="Times New Roman" w:hAnsi="Times New Roman"/>
                <w:color w:val="000000"/>
                <w:spacing w:val="-2"/>
              </w:rPr>
              <w:t xml:space="preserve"> oraz powołanie </w:t>
            </w:r>
            <w:r w:rsidR="001E3680" w:rsidRPr="005D34C8">
              <w:rPr>
                <w:rFonts w:ascii="Times New Roman" w:eastAsia="Times New Roman" w:hAnsi="Times New Roman"/>
                <w:lang w:eastAsia="pl-PL"/>
              </w:rPr>
              <w:t>Funduszu Kompensacyjn</w:t>
            </w:r>
            <w:r w:rsidR="000D6873">
              <w:rPr>
                <w:rFonts w:ascii="Times New Roman" w:eastAsia="Times New Roman" w:hAnsi="Times New Roman"/>
                <w:lang w:eastAsia="pl-PL"/>
              </w:rPr>
              <w:t>ego</w:t>
            </w:r>
            <w:r w:rsidR="001E3680" w:rsidRPr="005D34C8">
              <w:rPr>
                <w:rFonts w:ascii="Times New Roman" w:eastAsia="Times New Roman" w:hAnsi="Times New Roman"/>
                <w:lang w:eastAsia="pl-PL"/>
              </w:rPr>
              <w:t xml:space="preserve"> Zdarzeń Medycznych</w:t>
            </w:r>
            <w:r>
              <w:rPr>
                <w:rFonts w:ascii="Times New Roman" w:hAnsi="Times New Roman"/>
                <w:color w:val="000000"/>
                <w:spacing w:val="-2"/>
              </w:rPr>
              <w:t>. Przewiduje się wprowadzenie rekompensat</w:t>
            </w:r>
            <w:r w:rsidRPr="00D12320">
              <w:rPr>
                <w:rFonts w:ascii="Times New Roman" w:hAnsi="Times New Roman"/>
                <w:color w:val="000000"/>
                <w:spacing w:val="-2"/>
              </w:rPr>
              <w:t xml:space="preserve"> bez orzekania o winie, mającego na celu ustalenie czy w sprawie objętej wnioskiem doszło do zdarzenia medycznego oraz wskazanie wysokości świadczenia należnego wnioskodawcy z tego tytułu</w:t>
            </w:r>
            <w:r>
              <w:rPr>
                <w:rFonts w:ascii="Times New Roman" w:hAnsi="Times New Roman"/>
                <w:color w:val="000000"/>
                <w:spacing w:val="-2"/>
              </w:rPr>
              <w:t xml:space="preserve">. Świadczenie będzie </w:t>
            </w:r>
            <w:r w:rsidRPr="00D12320">
              <w:rPr>
                <w:rFonts w:ascii="Times New Roman" w:hAnsi="Times New Roman"/>
                <w:color w:val="000000"/>
                <w:spacing w:val="-2"/>
              </w:rPr>
              <w:t>wypłacanego szybciej i sprawniej niż w postępowaniach przed komisjami wojewódzkimi lub w postępowaniach sądowych,</w:t>
            </w:r>
            <w:r>
              <w:rPr>
                <w:rFonts w:ascii="Times New Roman" w:hAnsi="Times New Roman"/>
                <w:color w:val="000000"/>
                <w:spacing w:val="-2"/>
              </w:rPr>
              <w:t xml:space="preserve"> </w:t>
            </w:r>
            <w:r w:rsidRPr="00D12320">
              <w:rPr>
                <w:rFonts w:ascii="Times New Roman" w:hAnsi="Times New Roman"/>
                <w:color w:val="000000"/>
                <w:spacing w:val="-2"/>
              </w:rPr>
              <w:t>na poziomie akceptowalnym społecznie (niższym niż w postępowaniach sądowych, wyższym niż w systemie komisji wojewódzkich, w ramach którego pacjentom proponuje się nierzadko odszkodowania na poziomie 1 zł lub 100 zł)</w:t>
            </w:r>
            <w:r w:rsidR="00B342EC">
              <w:rPr>
                <w:rFonts w:ascii="Times New Roman" w:hAnsi="Times New Roman"/>
                <w:color w:val="000000"/>
                <w:spacing w:val="-2"/>
              </w:rPr>
              <w:t>.</w:t>
            </w:r>
          </w:p>
          <w:p w14:paraId="67200C90" w14:textId="77777777" w:rsidR="000D6873" w:rsidRDefault="00BD4997" w:rsidP="00BD4997">
            <w:pPr>
              <w:tabs>
                <w:tab w:val="left" w:pos="458"/>
              </w:tabs>
              <w:spacing w:line="240" w:lineRule="auto"/>
              <w:jc w:val="both"/>
              <w:rPr>
                <w:rFonts w:ascii="Times New Roman" w:hAnsi="Times New Roman"/>
                <w:color w:val="000000"/>
                <w:spacing w:val="-2"/>
              </w:rPr>
            </w:pPr>
            <w:r w:rsidRPr="00BD4997">
              <w:rPr>
                <w:rFonts w:ascii="Times New Roman" w:hAnsi="Times New Roman"/>
                <w:color w:val="000000"/>
                <w:spacing w:val="-2"/>
              </w:rPr>
              <w:t>Projektowana regulacja przewiduje, że system rekompensat za szkody bez orzekania o winie będzie zapewniał szybszą i sprawniejszą wypłatę świadczeń niż w postępowaniach przed komisjami wojewódzkimi lub w postępowaniach sądowych, a wysokość tych świadczeń została założona na poziomie akceptowalnym społecznie – niższym niż w postępowaniach sądowych (w których kwoty samych tylko zadośćuczynień, w przypadku błędów medycznych, przekraczają w jednostkowych sprawach 1 mln zł), a wyższym niż w systemie komisji wojewódzkich (w ramach którego pacjentom proponuje się nierzadko odszkodowania na poziomie 1 zł lub 100 zł). Minister właściwy do spraw zdrowia, po zasięgnięciu opinii Rzecznika Praw Pacjenta, określi, w drodze rozporządzenia, minimalne kryteria przyznania świadczenia kompensacyjnego oraz szczegółowy zakres i warunki ustalania wysokości świadczenia z tytułu zakażenia biologicznym czynnikiem chorobotwórczym, uszkodzenia ciała lub rozstroju zdrowia oraz śmierci pacjenta, kierując się koniecznością przejrzystości w ustalaniu wysokości świadczenia kompensacyjnego oraz zapewnienia ochrony interesów wnioskodawców. Wysokość świadczenia kompensacyjnego z tytułu jednego zdarzenia medycznego w odniesieniu do jednego wnioskodawcy wyniesie w przypadku:</w:t>
            </w:r>
            <w:bookmarkStart w:id="2" w:name="mip49383052"/>
            <w:bookmarkEnd w:id="2"/>
            <w:r w:rsidRPr="00BD4997">
              <w:rPr>
                <w:rFonts w:ascii="Times New Roman" w:hAnsi="Times New Roman"/>
                <w:color w:val="000000"/>
                <w:spacing w:val="-2"/>
              </w:rPr>
              <w:t xml:space="preserve"> zakażenia biologicznym czynnikiem chorobotwórczym lub uszkodzenia ciała lub rozstroju zdrowia – od 2 000 zł do 200 000 zł; śmierci pacjenta – od 20 000 zł do 100 000 zł. </w:t>
            </w:r>
          </w:p>
          <w:p w14:paraId="7C61DA30" w14:textId="538ECEDF" w:rsidR="00BD4997" w:rsidRPr="00BD4997" w:rsidRDefault="00BD4997" w:rsidP="00BD4997">
            <w:pPr>
              <w:tabs>
                <w:tab w:val="left" w:pos="458"/>
              </w:tabs>
              <w:spacing w:line="240" w:lineRule="auto"/>
              <w:jc w:val="both"/>
              <w:rPr>
                <w:rFonts w:ascii="Times New Roman" w:hAnsi="Times New Roman"/>
                <w:color w:val="000000"/>
                <w:spacing w:val="-2"/>
              </w:rPr>
            </w:pPr>
            <w:r w:rsidRPr="00BD4997">
              <w:rPr>
                <w:rFonts w:ascii="Times New Roman" w:hAnsi="Times New Roman"/>
                <w:color w:val="000000"/>
                <w:spacing w:val="-2"/>
              </w:rPr>
              <w:t>Ustalenie wysokości świadczenia będzie zależne</w:t>
            </w:r>
            <w:r w:rsidR="000D6873">
              <w:rPr>
                <w:rFonts w:ascii="Times New Roman" w:hAnsi="Times New Roman"/>
                <w:color w:val="000000"/>
                <w:spacing w:val="-2"/>
              </w:rPr>
              <w:t>:</w:t>
            </w:r>
          </w:p>
          <w:p w14:paraId="50FC6044" w14:textId="2E48D362" w:rsidR="00BD4997" w:rsidRPr="00BD4997" w:rsidRDefault="00BD4997" w:rsidP="00BD4997">
            <w:pPr>
              <w:tabs>
                <w:tab w:val="left" w:pos="458"/>
              </w:tabs>
              <w:spacing w:line="240" w:lineRule="auto"/>
              <w:jc w:val="both"/>
              <w:rPr>
                <w:rFonts w:ascii="Times New Roman" w:hAnsi="Times New Roman"/>
                <w:color w:val="000000"/>
                <w:spacing w:val="-2"/>
              </w:rPr>
            </w:pPr>
            <w:r w:rsidRPr="00BD4997">
              <w:rPr>
                <w:rFonts w:ascii="Times New Roman" w:hAnsi="Times New Roman"/>
                <w:color w:val="000000"/>
                <w:spacing w:val="-2"/>
              </w:rPr>
              <w:t xml:space="preserve">1) w </w:t>
            </w:r>
            <w:r w:rsidR="000D6873">
              <w:rPr>
                <w:rFonts w:ascii="Times New Roman" w:hAnsi="Times New Roman"/>
                <w:color w:val="000000"/>
                <w:spacing w:val="-2"/>
              </w:rPr>
              <w:t>przypadku</w:t>
            </w:r>
            <w:r w:rsidRPr="00BD4997">
              <w:rPr>
                <w:rFonts w:ascii="Times New Roman" w:hAnsi="Times New Roman"/>
                <w:color w:val="000000"/>
                <w:spacing w:val="-2"/>
              </w:rPr>
              <w:t xml:space="preserve"> zakażenia biologicznym czynnikiem chorobotwórczym – od rodzaju biologicznego czynnika chorobotwórczego oraz charakteru następstw zdrowotnych wynikających z zakażenia, w tym w zakresie uciążliwości leczenia oraz pogorszenia jakości życia;</w:t>
            </w:r>
          </w:p>
          <w:p w14:paraId="7D060237" w14:textId="3AE2201B" w:rsidR="00BD4997" w:rsidRPr="00BD4997" w:rsidRDefault="00BD4997" w:rsidP="00BD4997">
            <w:pPr>
              <w:tabs>
                <w:tab w:val="left" w:pos="458"/>
              </w:tabs>
              <w:spacing w:line="240" w:lineRule="auto"/>
              <w:jc w:val="both"/>
              <w:rPr>
                <w:rFonts w:ascii="Times New Roman" w:hAnsi="Times New Roman"/>
                <w:color w:val="000000"/>
                <w:spacing w:val="-2"/>
              </w:rPr>
            </w:pPr>
            <w:r w:rsidRPr="00BD4997">
              <w:rPr>
                <w:rFonts w:ascii="Times New Roman" w:hAnsi="Times New Roman"/>
                <w:color w:val="000000"/>
                <w:spacing w:val="-2"/>
              </w:rPr>
              <w:t xml:space="preserve">2) w </w:t>
            </w:r>
            <w:r w:rsidR="000D6873">
              <w:rPr>
                <w:rFonts w:ascii="Times New Roman" w:hAnsi="Times New Roman"/>
                <w:color w:val="000000"/>
                <w:spacing w:val="-2"/>
              </w:rPr>
              <w:t>przypadku</w:t>
            </w:r>
            <w:r w:rsidRPr="00BD4997">
              <w:rPr>
                <w:rFonts w:ascii="Times New Roman" w:hAnsi="Times New Roman"/>
                <w:color w:val="000000"/>
                <w:spacing w:val="-2"/>
              </w:rPr>
              <w:t xml:space="preserve"> uszkodzenia ciała lub rozstroju zdrowia – od charakter następstw zdrowotnych zdarzenia medycznego oraz stopnia dolegliwości wynikających z tego zdarzenia, w tym w zakresie uciążliwości leczenia oraz pogorszenia jakości życia;</w:t>
            </w:r>
          </w:p>
          <w:p w14:paraId="6A8FFF4C" w14:textId="0FF68CEB" w:rsidR="00BD4997" w:rsidRPr="00BD4997" w:rsidRDefault="00BD4997" w:rsidP="00BD4997">
            <w:pPr>
              <w:tabs>
                <w:tab w:val="left" w:pos="458"/>
              </w:tabs>
              <w:spacing w:line="240" w:lineRule="auto"/>
              <w:jc w:val="both"/>
              <w:rPr>
                <w:rFonts w:ascii="Times New Roman" w:hAnsi="Times New Roman"/>
                <w:color w:val="000000"/>
                <w:spacing w:val="-2"/>
              </w:rPr>
            </w:pPr>
            <w:r w:rsidRPr="00BD4997">
              <w:rPr>
                <w:rFonts w:ascii="Times New Roman" w:hAnsi="Times New Roman"/>
                <w:color w:val="000000"/>
                <w:spacing w:val="-2"/>
              </w:rPr>
              <w:t xml:space="preserve">3) w </w:t>
            </w:r>
            <w:r w:rsidR="000D6873">
              <w:rPr>
                <w:rFonts w:ascii="Times New Roman" w:hAnsi="Times New Roman"/>
                <w:color w:val="000000"/>
                <w:spacing w:val="-2"/>
              </w:rPr>
              <w:t>przypadku</w:t>
            </w:r>
            <w:r w:rsidRPr="00BD4997">
              <w:rPr>
                <w:rFonts w:ascii="Times New Roman" w:hAnsi="Times New Roman"/>
                <w:color w:val="000000"/>
                <w:spacing w:val="-2"/>
              </w:rPr>
              <w:t xml:space="preserve"> śmierci pacjenta – od rodzaju relacji między osobą najbliższą a zmarłym pacjentem oraz wieku osoby najbliższej i zmarłego pacjenta.</w:t>
            </w:r>
          </w:p>
          <w:p w14:paraId="3142089C" w14:textId="0088D670" w:rsidR="00BD4997" w:rsidRPr="00BD4997" w:rsidRDefault="00BD4997" w:rsidP="00BD4997">
            <w:pPr>
              <w:tabs>
                <w:tab w:val="left" w:pos="458"/>
              </w:tabs>
              <w:spacing w:line="240" w:lineRule="auto"/>
              <w:jc w:val="both"/>
              <w:rPr>
                <w:rFonts w:ascii="Times New Roman" w:hAnsi="Times New Roman"/>
                <w:color w:val="000000"/>
                <w:spacing w:val="-2"/>
              </w:rPr>
            </w:pPr>
            <w:r w:rsidRPr="00BD4997">
              <w:rPr>
                <w:rFonts w:ascii="Times New Roman" w:hAnsi="Times New Roman"/>
                <w:color w:val="000000"/>
                <w:spacing w:val="-2"/>
              </w:rPr>
              <w:t>Projekt rozporządzenia określ</w:t>
            </w:r>
            <w:r w:rsidR="000D6873">
              <w:rPr>
                <w:rFonts w:ascii="Times New Roman" w:hAnsi="Times New Roman"/>
                <w:color w:val="000000"/>
                <w:spacing w:val="-2"/>
              </w:rPr>
              <w:t>i</w:t>
            </w:r>
            <w:r w:rsidRPr="00BD4997">
              <w:rPr>
                <w:rFonts w:ascii="Times New Roman" w:hAnsi="Times New Roman"/>
                <w:color w:val="000000"/>
                <w:spacing w:val="-2"/>
              </w:rPr>
              <w:t xml:space="preserve"> dokładny sposób ustalania wysokości świadczenia kompensacyjnego z tytułu zdarzenia medycznego, dzięki czemu możliwe jest wstępne oszacowanie średniego poziomu wypłat.</w:t>
            </w:r>
          </w:p>
          <w:p w14:paraId="2C7C0492" w14:textId="7CEB553E" w:rsidR="00865F93" w:rsidRPr="00665724" w:rsidRDefault="00FB046B" w:rsidP="005E74AA">
            <w:pPr>
              <w:numPr>
                <w:ilvl w:val="2"/>
                <w:numId w:val="15"/>
              </w:numPr>
              <w:tabs>
                <w:tab w:val="left" w:pos="458"/>
              </w:tabs>
              <w:spacing w:line="240" w:lineRule="auto"/>
              <w:ind w:left="456" w:hanging="456"/>
              <w:jc w:val="both"/>
              <w:rPr>
                <w:rFonts w:ascii="Times New Roman" w:hAnsi="Times New Roman"/>
                <w:b/>
                <w:bCs/>
                <w:color w:val="000000"/>
                <w:spacing w:val="-2"/>
              </w:rPr>
            </w:pPr>
            <w:r w:rsidRPr="003D0137">
              <w:rPr>
                <w:rFonts w:ascii="Times New Roman" w:hAnsi="Times New Roman"/>
                <w:b/>
                <w:bCs/>
                <w:color w:val="000000"/>
                <w:spacing w:val="-2"/>
              </w:rPr>
              <w:t>wzmocnienie nadzoru nad prowadzeniem rejestrów medycznych oraz dookreślenie zasad ich tworzenia i finansowania (w ramach nowelizacji ustawy o systemie informacji w ochronie zdrowia</w:t>
            </w:r>
            <w:r>
              <w:rPr>
                <w:rFonts w:ascii="Times New Roman" w:hAnsi="Times New Roman"/>
                <w:b/>
                <w:bCs/>
                <w:color w:val="000000"/>
                <w:spacing w:val="-2"/>
              </w:rPr>
              <w:t>)</w:t>
            </w:r>
          </w:p>
          <w:p w14:paraId="2CC81494" w14:textId="77777777" w:rsidR="00865F93" w:rsidRPr="00665724" w:rsidRDefault="00865F93" w:rsidP="00865F93">
            <w:pPr>
              <w:tabs>
                <w:tab w:val="left" w:pos="458"/>
              </w:tabs>
              <w:spacing w:line="240" w:lineRule="auto"/>
              <w:jc w:val="both"/>
              <w:rPr>
                <w:rFonts w:ascii="Times New Roman" w:hAnsi="Times New Roman"/>
                <w:bCs/>
                <w:color w:val="000000"/>
                <w:spacing w:val="-2"/>
              </w:rPr>
            </w:pPr>
            <w:r>
              <w:rPr>
                <w:rFonts w:ascii="Times New Roman" w:hAnsi="Times New Roman"/>
                <w:bCs/>
                <w:color w:val="000000"/>
                <w:spacing w:val="-2"/>
              </w:rPr>
              <w:t xml:space="preserve">W ramach nowelizacji ustawy o systemie informacji w ochronie zdrowia. </w:t>
            </w:r>
            <w:r w:rsidRPr="00665724">
              <w:rPr>
                <w:rFonts w:ascii="Times New Roman" w:hAnsi="Times New Roman"/>
                <w:bCs/>
                <w:color w:val="000000"/>
                <w:spacing w:val="-2"/>
              </w:rPr>
              <w:t>Wzmocnienie nadzoru nad prowadzeniem rejestrów medycznych oraz dookreślenie zasad ich tworzenia i finansowania</w:t>
            </w:r>
            <w:r>
              <w:rPr>
                <w:rFonts w:ascii="Times New Roman" w:hAnsi="Times New Roman"/>
                <w:bCs/>
                <w:color w:val="000000"/>
                <w:spacing w:val="-2"/>
              </w:rPr>
              <w:t>.</w:t>
            </w:r>
          </w:p>
          <w:p w14:paraId="12CA4CCE" w14:textId="77777777" w:rsidR="00865F93" w:rsidRPr="00526428" w:rsidRDefault="00865F93" w:rsidP="00865F93">
            <w:pPr>
              <w:spacing w:line="240" w:lineRule="auto"/>
              <w:jc w:val="both"/>
              <w:rPr>
                <w:rFonts w:ascii="Times New Roman" w:hAnsi="Times New Roman"/>
                <w:color w:val="000000"/>
                <w:spacing w:val="-2"/>
              </w:rPr>
            </w:pPr>
            <w:r w:rsidRPr="00526428">
              <w:rPr>
                <w:rFonts w:ascii="Times New Roman" w:hAnsi="Times New Roman"/>
                <w:color w:val="000000"/>
                <w:spacing w:val="-2"/>
              </w:rPr>
              <w:t>Uregulowanie kwestii systemowego monitorowania jakości udzielanych świadczeń zdrowotnych w drodze odrębnego aktu prawnego pozwoli na:</w:t>
            </w:r>
          </w:p>
          <w:p w14:paraId="75F148E9" w14:textId="77777777" w:rsidR="00865F93" w:rsidRDefault="00865F93" w:rsidP="00865F93">
            <w:pPr>
              <w:numPr>
                <w:ilvl w:val="0"/>
                <w:numId w:val="13"/>
              </w:numPr>
              <w:spacing w:line="240" w:lineRule="auto"/>
              <w:ind w:left="316" w:hanging="316"/>
              <w:jc w:val="both"/>
              <w:rPr>
                <w:rFonts w:ascii="Times New Roman" w:hAnsi="Times New Roman"/>
                <w:color w:val="000000"/>
                <w:spacing w:val="-2"/>
              </w:rPr>
            </w:pPr>
            <w:r w:rsidRPr="00526428">
              <w:rPr>
                <w:rFonts w:ascii="Times New Roman" w:hAnsi="Times New Roman"/>
                <w:color w:val="000000"/>
                <w:spacing w:val="-2"/>
              </w:rPr>
              <w:t>poprawę skuteczności diagnostyki i leczenia, przez systematyczną ocenę klinicznych wskaźników jakości;</w:t>
            </w:r>
          </w:p>
          <w:p w14:paraId="4486F6D3" w14:textId="77777777" w:rsidR="00865F93" w:rsidRDefault="00865F93" w:rsidP="00865F93">
            <w:pPr>
              <w:numPr>
                <w:ilvl w:val="0"/>
                <w:numId w:val="13"/>
              </w:numPr>
              <w:spacing w:line="240" w:lineRule="auto"/>
              <w:ind w:left="316" w:hanging="316"/>
              <w:jc w:val="both"/>
              <w:rPr>
                <w:rFonts w:ascii="Times New Roman" w:hAnsi="Times New Roman"/>
                <w:color w:val="000000"/>
                <w:spacing w:val="-2"/>
              </w:rPr>
            </w:pPr>
            <w:r w:rsidRPr="00526428">
              <w:rPr>
                <w:rFonts w:ascii="Times New Roman" w:hAnsi="Times New Roman"/>
                <w:color w:val="000000"/>
                <w:spacing w:val="-2"/>
              </w:rPr>
              <w:t>stałe udoskonalanie praktyki klinicznej, przez prowadzenie rejestrów medycznych;</w:t>
            </w:r>
          </w:p>
          <w:p w14:paraId="08B7D0F3" w14:textId="77777777" w:rsidR="00865F93" w:rsidRDefault="00865F93" w:rsidP="00865F93">
            <w:pPr>
              <w:numPr>
                <w:ilvl w:val="0"/>
                <w:numId w:val="13"/>
              </w:numPr>
              <w:spacing w:line="240" w:lineRule="auto"/>
              <w:ind w:left="316" w:hanging="316"/>
              <w:jc w:val="both"/>
              <w:rPr>
                <w:rFonts w:ascii="Times New Roman" w:hAnsi="Times New Roman"/>
                <w:color w:val="000000"/>
                <w:spacing w:val="-2"/>
              </w:rPr>
            </w:pPr>
            <w:r w:rsidRPr="00526428">
              <w:rPr>
                <w:rFonts w:ascii="Times New Roman" w:hAnsi="Times New Roman"/>
                <w:color w:val="000000"/>
                <w:spacing w:val="-2"/>
              </w:rPr>
              <w:t>poprawę bezpieczeństwa i satysfakcji pacjenta przez rejestrowanie i monitorowanie zdarzeń niepożądanych;</w:t>
            </w:r>
          </w:p>
          <w:p w14:paraId="0ED7BB05" w14:textId="77777777" w:rsidR="00865F93" w:rsidRDefault="00865F93" w:rsidP="00865F93">
            <w:pPr>
              <w:numPr>
                <w:ilvl w:val="0"/>
                <w:numId w:val="13"/>
              </w:numPr>
              <w:spacing w:line="240" w:lineRule="auto"/>
              <w:ind w:left="316" w:hanging="316"/>
              <w:jc w:val="both"/>
              <w:rPr>
                <w:rFonts w:ascii="Times New Roman" w:hAnsi="Times New Roman"/>
                <w:color w:val="000000"/>
                <w:spacing w:val="-2"/>
              </w:rPr>
            </w:pPr>
            <w:r w:rsidRPr="00526428">
              <w:rPr>
                <w:rFonts w:ascii="Times New Roman" w:hAnsi="Times New Roman"/>
                <w:color w:val="000000"/>
                <w:spacing w:val="-2"/>
              </w:rPr>
              <w:t>stworzenie warunków do systematycznej oceny jakości świadczeń opieki zdrowotnej finansowanych ze środków publicznych i upubliczniania tych informacji;</w:t>
            </w:r>
          </w:p>
          <w:p w14:paraId="052E5FE6" w14:textId="77777777" w:rsidR="00865F93" w:rsidRDefault="00865F93" w:rsidP="00865F93">
            <w:pPr>
              <w:numPr>
                <w:ilvl w:val="0"/>
                <w:numId w:val="13"/>
              </w:numPr>
              <w:spacing w:line="240" w:lineRule="auto"/>
              <w:ind w:left="316" w:hanging="316"/>
              <w:jc w:val="both"/>
              <w:rPr>
                <w:rFonts w:ascii="Times New Roman" w:hAnsi="Times New Roman"/>
                <w:color w:val="000000"/>
                <w:spacing w:val="-2"/>
              </w:rPr>
            </w:pPr>
            <w:r w:rsidRPr="00526428">
              <w:rPr>
                <w:rFonts w:ascii="Times New Roman" w:hAnsi="Times New Roman"/>
                <w:color w:val="000000"/>
                <w:spacing w:val="-2"/>
              </w:rPr>
              <w:t>uzyskanie porównywalności podmiotów udzielających świadczeń pod względem jakości i skuteczności oferowanej opieki oraz udostępnienie wyników opinii publicznej;</w:t>
            </w:r>
          </w:p>
          <w:p w14:paraId="5F21AD0E" w14:textId="77777777" w:rsidR="00865F93" w:rsidRDefault="00865F93" w:rsidP="00865F93">
            <w:pPr>
              <w:numPr>
                <w:ilvl w:val="0"/>
                <w:numId w:val="13"/>
              </w:numPr>
              <w:spacing w:line="240" w:lineRule="auto"/>
              <w:ind w:left="316" w:hanging="316"/>
              <w:jc w:val="both"/>
              <w:rPr>
                <w:rFonts w:ascii="Times New Roman" w:hAnsi="Times New Roman"/>
                <w:color w:val="000000"/>
                <w:spacing w:val="-2"/>
              </w:rPr>
            </w:pPr>
            <w:r w:rsidRPr="00526428">
              <w:rPr>
                <w:rFonts w:ascii="Times New Roman" w:hAnsi="Times New Roman"/>
                <w:color w:val="000000"/>
                <w:spacing w:val="-2"/>
              </w:rPr>
              <w:t xml:space="preserve">stworzenie warunków umożliwiających finansowe motywowanie podmiotów udzielających świadczeń opieki zdrowotnej finansowanych ze środków publicznych do podnoszenia poziomu jakości; </w:t>
            </w:r>
          </w:p>
          <w:p w14:paraId="29F8DC43" w14:textId="77777777" w:rsidR="00865F93" w:rsidRDefault="00865F93" w:rsidP="00865F93">
            <w:pPr>
              <w:numPr>
                <w:ilvl w:val="0"/>
                <w:numId w:val="13"/>
              </w:numPr>
              <w:spacing w:line="240" w:lineRule="auto"/>
              <w:ind w:left="316" w:hanging="316"/>
              <w:jc w:val="both"/>
              <w:rPr>
                <w:rFonts w:ascii="Times New Roman" w:hAnsi="Times New Roman"/>
                <w:color w:val="000000"/>
                <w:spacing w:val="-2"/>
              </w:rPr>
            </w:pPr>
            <w:r w:rsidRPr="00526428">
              <w:rPr>
                <w:rFonts w:ascii="Times New Roman" w:hAnsi="Times New Roman"/>
                <w:color w:val="000000"/>
                <w:spacing w:val="-2"/>
              </w:rPr>
              <w:t>efektywniejsze wykorzystanie środków publicznych w obszarze zdrowia</w:t>
            </w:r>
            <w:r w:rsidRPr="002F2A9F">
              <w:rPr>
                <w:rFonts w:ascii="Times New Roman" w:hAnsi="Times New Roman"/>
                <w:color w:val="000000"/>
                <w:spacing w:val="-2"/>
              </w:rPr>
              <w:t>,</w:t>
            </w:r>
          </w:p>
          <w:p w14:paraId="4B26B893" w14:textId="77777777" w:rsidR="00865F93" w:rsidRPr="00526428" w:rsidRDefault="00B342EC" w:rsidP="00865F93">
            <w:pPr>
              <w:numPr>
                <w:ilvl w:val="0"/>
                <w:numId w:val="13"/>
              </w:numPr>
              <w:spacing w:line="240" w:lineRule="auto"/>
              <w:ind w:left="316" w:hanging="316"/>
              <w:jc w:val="both"/>
              <w:rPr>
                <w:rFonts w:ascii="Times New Roman" w:hAnsi="Times New Roman"/>
                <w:color w:val="000000"/>
                <w:spacing w:val="-2"/>
              </w:rPr>
            </w:pPr>
            <w:r>
              <w:rPr>
                <w:rFonts w:ascii="Times New Roman" w:hAnsi="Times New Roman"/>
                <w:color w:val="000000"/>
                <w:spacing w:val="-2"/>
              </w:rPr>
              <w:t>usprawnienie</w:t>
            </w:r>
            <w:r w:rsidR="00865F93" w:rsidRPr="002F2A9F">
              <w:rPr>
                <w:rFonts w:ascii="Times New Roman" w:hAnsi="Times New Roman"/>
                <w:color w:val="000000"/>
                <w:spacing w:val="-2"/>
              </w:rPr>
              <w:t xml:space="preserve"> dochodzeni</w:t>
            </w:r>
            <w:r>
              <w:rPr>
                <w:rFonts w:ascii="Times New Roman" w:hAnsi="Times New Roman"/>
                <w:color w:val="000000"/>
                <w:spacing w:val="-2"/>
              </w:rPr>
              <w:t>a</w:t>
            </w:r>
            <w:r w:rsidR="00865F93" w:rsidRPr="002F2A9F">
              <w:rPr>
                <w:rFonts w:ascii="Times New Roman" w:hAnsi="Times New Roman"/>
                <w:color w:val="000000"/>
                <w:spacing w:val="-2"/>
              </w:rPr>
              <w:t xml:space="preserve"> rekompensat z tytułu zdarzeń medycznych</w:t>
            </w:r>
          </w:p>
          <w:p w14:paraId="2783CF1F" w14:textId="77777777" w:rsidR="00865F93" w:rsidRDefault="00865F93" w:rsidP="00865F93">
            <w:pPr>
              <w:spacing w:line="240" w:lineRule="auto"/>
              <w:jc w:val="both"/>
              <w:rPr>
                <w:rFonts w:ascii="Times New Roman" w:hAnsi="Times New Roman"/>
                <w:color w:val="000000"/>
                <w:spacing w:val="-2"/>
              </w:rPr>
            </w:pPr>
          </w:p>
          <w:p w14:paraId="06ADAB70" w14:textId="77777777" w:rsidR="00485A2E" w:rsidRPr="0020329B" w:rsidRDefault="00865F93" w:rsidP="00BD56C6">
            <w:pPr>
              <w:shd w:val="clear" w:color="auto" w:fill="FFFFFF"/>
              <w:spacing w:line="240" w:lineRule="auto"/>
              <w:rPr>
                <w:rFonts w:ascii="Times New Roman" w:hAnsi="Times New Roman"/>
                <w:color w:val="000000"/>
                <w:spacing w:val="-2"/>
              </w:rPr>
            </w:pPr>
            <w:r w:rsidRPr="00526428">
              <w:rPr>
                <w:rFonts w:ascii="Times New Roman" w:hAnsi="Times New Roman"/>
                <w:color w:val="000000"/>
                <w:spacing w:val="-2"/>
              </w:rPr>
              <w:t>Niezbędne jest zatem wprowadzenie ustawowej regulacji, która określi zadania, obowiązki</w:t>
            </w:r>
            <w:r>
              <w:rPr>
                <w:rFonts w:ascii="Times New Roman" w:hAnsi="Times New Roman"/>
                <w:color w:val="000000"/>
                <w:spacing w:val="-2"/>
              </w:rPr>
              <w:t xml:space="preserve"> i </w:t>
            </w:r>
            <w:r w:rsidRPr="00526428">
              <w:rPr>
                <w:rFonts w:ascii="Times New Roman" w:hAnsi="Times New Roman"/>
                <w:color w:val="000000"/>
                <w:spacing w:val="-2"/>
              </w:rPr>
              <w:t>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r w:rsidR="00485A2E">
              <w:rPr>
                <w:rFonts w:ascii="Times New Roman" w:hAnsi="Times New Roman"/>
                <w:color w:val="000000"/>
                <w:spacing w:val="-2"/>
              </w:rPr>
              <w:t>.</w:t>
            </w:r>
          </w:p>
        </w:tc>
      </w:tr>
      <w:tr w:rsidR="006A701A" w:rsidRPr="008B4FE6" w14:paraId="089C2411" w14:textId="77777777" w:rsidTr="003E4722">
        <w:trPr>
          <w:trHeight w:val="307"/>
        </w:trPr>
        <w:tc>
          <w:tcPr>
            <w:tcW w:w="10916" w:type="dxa"/>
            <w:gridSpan w:val="25"/>
            <w:shd w:val="clear" w:color="auto" w:fill="99CCFF"/>
            <w:vAlign w:val="center"/>
          </w:tcPr>
          <w:p w14:paraId="5D9DC504" w14:textId="77777777" w:rsidR="006A701A" w:rsidRPr="00554C1F" w:rsidRDefault="009E3C4B" w:rsidP="00DA7A8E">
            <w:pPr>
              <w:numPr>
                <w:ilvl w:val="0"/>
                <w:numId w:val="1"/>
              </w:numPr>
              <w:spacing w:line="240" w:lineRule="auto"/>
              <w:ind w:left="318" w:hanging="284"/>
              <w:jc w:val="both"/>
              <w:rPr>
                <w:rFonts w:ascii="Times New Roman" w:hAnsi="Times New Roman"/>
                <w:b/>
                <w:color w:val="000000"/>
              </w:rPr>
            </w:pPr>
            <w:r w:rsidRPr="00554C1F">
              <w:rPr>
                <w:rFonts w:ascii="Times New Roman" w:hAnsi="Times New Roman"/>
                <w:b/>
                <w:spacing w:val="-2"/>
              </w:rPr>
              <w:t>Jak problem został rozwiązany w innych krajach, w szczególności krajach członkowskich OECD/UE</w:t>
            </w:r>
            <w:r w:rsidR="006A701A" w:rsidRPr="00554C1F">
              <w:rPr>
                <w:rFonts w:ascii="Times New Roman" w:hAnsi="Times New Roman"/>
                <w:b/>
                <w:color w:val="000000"/>
              </w:rPr>
              <w:t>?</w:t>
            </w:r>
            <w:r w:rsidR="006A701A" w:rsidRPr="00554C1F">
              <w:rPr>
                <w:rFonts w:ascii="Times New Roman" w:hAnsi="Times New Roman"/>
                <w:i/>
                <w:color w:val="000000"/>
              </w:rPr>
              <w:t xml:space="preserve"> </w:t>
            </w:r>
          </w:p>
        </w:tc>
      </w:tr>
      <w:tr w:rsidR="006A701A" w:rsidRPr="008B4FE6" w14:paraId="198F78F6" w14:textId="77777777" w:rsidTr="003E4722">
        <w:trPr>
          <w:trHeight w:val="142"/>
        </w:trPr>
        <w:tc>
          <w:tcPr>
            <w:tcW w:w="10916" w:type="dxa"/>
            <w:gridSpan w:val="25"/>
            <w:shd w:val="clear" w:color="auto" w:fill="auto"/>
          </w:tcPr>
          <w:p w14:paraId="69204C15" w14:textId="77777777" w:rsidR="00302F3F" w:rsidRDefault="008E5A12" w:rsidP="00DA7A8E">
            <w:pPr>
              <w:spacing w:line="240" w:lineRule="auto"/>
              <w:jc w:val="both"/>
              <w:rPr>
                <w:rFonts w:ascii="Times New Roman" w:hAnsi="Times New Roman"/>
                <w:color w:val="000000"/>
                <w:spacing w:val="-2"/>
              </w:rPr>
            </w:pPr>
            <w:r>
              <w:rPr>
                <w:rFonts w:ascii="Times New Roman" w:hAnsi="Times New Roman"/>
                <w:color w:val="000000"/>
                <w:spacing w:val="-2"/>
              </w:rPr>
              <w:t>Szereg państw Unii Europejskie</w:t>
            </w:r>
            <w:r w:rsidR="00584973">
              <w:rPr>
                <w:rFonts w:ascii="Times New Roman" w:hAnsi="Times New Roman"/>
                <w:color w:val="000000"/>
                <w:spacing w:val="-2"/>
              </w:rPr>
              <w:t>j</w:t>
            </w:r>
            <w:r>
              <w:rPr>
                <w:rFonts w:ascii="Times New Roman" w:hAnsi="Times New Roman"/>
                <w:color w:val="000000"/>
                <w:spacing w:val="-2"/>
              </w:rPr>
              <w:t xml:space="preserve"> stosuje rozwiązania ograniczające dostęp do </w:t>
            </w:r>
            <w:r w:rsidR="00584973">
              <w:rPr>
                <w:rFonts w:ascii="Times New Roman" w:hAnsi="Times New Roman"/>
                <w:color w:val="000000"/>
                <w:spacing w:val="-2"/>
              </w:rPr>
              <w:t xml:space="preserve">prowadzenia działalności w ochronie zdrowia </w:t>
            </w:r>
            <w:r>
              <w:rPr>
                <w:rFonts w:ascii="Times New Roman" w:hAnsi="Times New Roman"/>
                <w:color w:val="000000"/>
                <w:spacing w:val="-2"/>
              </w:rPr>
              <w:t xml:space="preserve">przez wymagania jakościowe. Rozwiązania te są zależne od organizacji systemu opieki zdrowotnej w danym państwie. </w:t>
            </w:r>
            <w:r w:rsidR="00350F8D">
              <w:rPr>
                <w:rFonts w:ascii="Times New Roman" w:hAnsi="Times New Roman"/>
                <w:color w:val="000000"/>
                <w:spacing w:val="-2"/>
              </w:rPr>
              <w:t xml:space="preserve">Proponowane </w:t>
            </w:r>
            <w:r>
              <w:rPr>
                <w:rFonts w:ascii="Times New Roman" w:hAnsi="Times New Roman"/>
                <w:color w:val="000000"/>
                <w:spacing w:val="-2"/>
              </w:rPr>
              <w:t xml:space="preserve">w projekcie </w:t>
            </w:r>
            <w:r w:rsidR="00350F8D">
              <w:rPr>
                <w:rFonts w:ascii="Times New Roman" w:hAnsi="Times New Roman"/>
                <w:color w:val="000000"/>
                <w:spacing w:val="-2"/>
              </w:rPr>
              <w:t xml:space="preserve">ustawy rozwiązania w zakresie </w:t>
            </w:r>
            <w:r>
              <w:rPr>
                <w:rFonts w:ascii="Times New Roman" w:hAnsi="Times New Roman"/>
                <w:color w:val="000000"/>
                <w:spacing w:val="-2"/>
              </w:rPr>
              <w:t>autoryzacji będ</w:t>
            </w:r>
            <w:r w:rsidR="00350F8D">
              <w:rPr>
                <w:rFonts w:ascii="Times New Roman" w:hAnsi="Times New Roman"/>
                <w:color w:val="000000"/>
                <w:spacing w:val="-2"/>
              </w:rPr>
              <w:t>ą</w:t>
            </w:r>
            <w:r w:rsidR="00DD042C">
              <w:rPr>
                <w:rFonts w:ascii="Times New Roman" w:hAnsi="Times New Roman"/>
                <w:color w:val="000000"/>
                <w:spacing w:val="-2"/>
              </w:rPr>
              <w:t xml:space="preserve"> </w:t>
            </w:r>
            <w:r>
              <w:rPr>
                <w:rFonts w:ascii="Times New Roman" w:hAnsi="Times New Roman"/>
                <w:color w:val="000000"/>
                <w:spacing w:val="-2"/>
              </w:rPr>
              <w:t>dotyczył</w:t>
            </w:r>
            <w:r w:rsidR="00350F8D">
              <w:rPr>
                <w:rFonts w:ascii="Times New Roman" w:hAnsi="Times New Roman"/>
                <w:color w:val="000000"/>
                <w:spacing w:val="-2"/>
              </w:rPr>
              <w:t>y</w:t>
            </w:r>
            <w:r>
              <w:rPr>
                <w:rFonts w:ascii="Times New Roman" w:hAnsi="Times New Roman"/>
                <w:color w:val="000000"/>
                <w:spacing w:val="-2"/>
              </w:rPr>
              <w:t xml:space="preserve"> wymagań istotnych z perspektywy zapewnienia jakości i bezpieczeństwa opieki </w:t>
            </w:r>
            <w:r w:rsidR="007E4E1F">
              <w:rPr>
                <w:rFonts w:ascii="Times New Roman" w:hAnsi="Times New Roman"/>
                <w:color w:val="000000"/>
                <w:spacing w:val="-2"/>
              </w:rPr>
              <w:t>p</w:t>
            </w:r>
            <w:r>
              <w:rPr>
                <w:rFonts w:ascii="Times New Roman" w:hAnsi="Times New Roman"/>
                <w:color w:val="000000"/>
                <w:spacing w:val="-2"/>
              </w:rPr>
              <w:t>olskich pacjentów.</w:t>
            </w:r>
          </w:p>
          <w:p w14:paraId="1713AC68" w14:textId="77777777" w:rsidR="001114F7" w:rsidRPr="001114F7" w:rsidRDefault="008E5A12" w:rsidP="00DA7A8E">
            <w:pPr>
              <w:spacing w:line="240" w:lineRule="auto"/>
              <w:jc w:val="both"/>
              <w:rPr>
                <w:rFonts w:ascii="Times New Roman" w:hAnsi="Times New Roman"/>
                <w:color w:val="000000"/>
                <w:spacing w:val="-2"/>
              </w:rPr>
            </w:pPr>
            <w:r>
              <w:rPr>
                <w:rFonts w:ascii="Times New Roman" w:hAnsi="Times New Roman"/>
                <w:color w:val="000000"/>
                <w:spacing w:val="-2"/>
              </w:rPr>
              <w:t xml:space="preserve">Rozwiązania w zakresie monitorowania zdarzeń niepożądanych </w:t>
            </w:r>
            <w:r w:rsidR="005B372D">
              <w:rPr>
                <w:rFonts w:ascii="Times New Roman" w:hAnsi="Times New Roman"/>
                <w:color w:val="000000"/>
                <w:spacing w:val="-2"/>
              </w:rPr>
              <w:t xml:space="preserve">zaproponowane w projekcie ustawy </w:t>
            </w:r>
            <w:r>
              <w:rPr>
                <w:rFonts w:ascii="Times New Roman" w:hAnsi="Times New Roman"/>
                <w:color w:val="000000"/>
                <w:spacing w:val="-2"/>
              </w:rPr>
              <w:t xml:space="preserve">bazują na dobrych praktykach państw, w których od lat takie systemy funkcjonują, </w:t>
            </w:r>
            <w:r w:rsidR="00584973">
              <w:rPr>
                <w:rFonts w:ascii="Times New Roman" w:hAnsi="Times New Roman"/>
                <w:color w:val="000000"/>
                <w:spacing w:val="-2"/>
              </w:rPr>
              <w:t xml:space="preserve">jak również </w:t>
            </w:r>
            <w:r>
              <w:rPr>
                <w:rFonts w:ascii="Times New Roman" w:hAnsi="Times New Roman"/>
                <w:color w:val="000000"/>
                <w:spacing w:val="-2"/>
              </w:rPr>
              <w:t>wytyczn</w:t>
            </w:r>
            <w:r w:rsidR="005B372D">
              <w:rPr>
                <w:rFonts w:ascii="Times New Roman" w:hAnsi="Times New Roman"/>
                <w:color w:val="000000"/>
                <w:spacing w:val="-2"/>
              </w:rPr>
              <w:t>ych</w:t>
            </w:r>
            <w:r>
              <w:rPr>
                <w:rFonts w:ascii="Times New Roman" w:hAnsi="Times New Roman"/>
                <w:color w:val="000000"/>
                <w:spacing w:val="-2"/>
              </w:rPr>
              <w:t xml:space="preserve"> Światowej Organizacji Zdrowia dotyczących rozwijania systemów monitorowania zdarzeń niepożądanych.</w:t>
            </w:r>
            <w:r w:rsidR="001114F7" w:rsidRPr="001114F7">
              <w:rPr>
                <w:rFonts w:ascii="Times New Roman" w:hAnsi="Times New Roman"/>
                <w:color w:val="000000"/>
                <w:spacing w:val="-2"/>
              </w:rPr>
              <w:t xml:space="preserve"> </w:t>
            </w:r>
            <w:r w:rsidR="00350F8D">
              <w:rPr>
                <w:rFonts w:ascii="Times New Roman" w:hAnsi="Times New Roman"/>
                <w:color w:val="000000"/>
                <w:spacing w:val="-2"/>
              </w:rPr>
              <w:t>Model</w:t>
            </w:r>
            <w:r w:rsidR="00350F8D" w:rsidRPr="001114F7">
              <w:rPr>
                <w:rFonts w:ascii="Times New Roman" w:hAnsi="Times New Roman"/>
                <w:color w:val="000000"/>
                <w:spacing w:val="-2"/>
              </w:rPr>
              <w:t xml:space="preserve"> </w:t>
            </w:r>
            <w:r w:rsidR="001114F7" w:rsidRPr="001114F7">
              <w:rPr>
                <w:rFonts w:ascii="Times New Roman" w:hAnsi="Times New Roman"/>
                <w:color w:val="000000"/>
                <w:spacing w:val="-2"/>
              </w:rPr>
              <w:t>zgłaszania zdarzeń niepożądanych, planowany do wdrożenia w Polsce, powinien być wzorowany na dobrych praktykach z krajów, gdzie takie systemy od lat funkcjonują, takich jak: Dania, Szwecja, Norwegia, Niemcy. Znaczące różnice między krajami UE w organizacji ich systemów opieki zdrowotnej odzwierciedlają różnice w funkcjonowaniu systemów identyfikowania i analizy zdarzeń niepożądanych. Różnice między tymi systemami dotyczą między innymi: obligatoryjności zgłaszania zdarzeń, osób uprawnionych do dokonania zgłoszenia (personel medyczny, pacjenci</w:t>
            </w:r>
            <w:r w:rsidR="004903A3">
              <w:rPr>
                <w:rFonts w:ascii="Times New Roman" w:hAnsi="Times New Roman"/>
                <w:color w:val="000000"/>
                <w:spacing w:val="-2"/>
              </w:rPr>
              <w:t>, rodziny</w:t>
            </w:r>
            <w:r w:rsidR="001114F7" w:rsidRPr="001114F7">
              <w:rPr>
                <w:rFonts w:ascii="Times New Roman" w:hAnsi="Times New Roman"/>
                <w:color w:val="000000"/>
                <w:spacing w:val="-2"/>
              </w:rPr>
              <w:t>), zakresu zgłaszanych przypadków. Obligatoryjności zgłaszania zdarzeń niepożądanych powinny towarzyszyć regulacje o braku sankcji w związku z</w:t>
            </w:r>
            <w:r w:rsidR="004903A3">
              <w:rPr>
                <w:rFonts w:ascii="Times New Roman" w:hAnsi="Times New Roman"/>
                <w:color w:val="000000"/>
                <w:spacing w:val="-2"/>
              </w:rPr>
              <w:t> </w:t>
            </w:r>
            <w:r w:rsidR="001114F7" w:rsidRPr="001114F7">
              <w:rPr>
                <w:rFonts w:ascii="Times New Roman" w:hAnsi="Times New Roman"/>
                <w:color w:val="000000"/>
                <w:spacing w:val="-2"/>
              </w:rPr>
              <w:t xml:space="preserve">zgłoszeniem (z wyłączeniem winy umyślnej lub zaniedbania) oraz wyraźnie określone zasady poufności danych. </w:t>
            </w:r>
          </w:p>
          <w:p w14:paraId="68C9BF09" w14:textId="77777777" w:rsidR="008E5A12" w:rsidRDefault="008E5A12" w:rsidP="00DA7A8E">
            <w:pPr>
              <w:autoSpaceDE w:val="0"/>
              <w:autoSpaceDN w:val="0"/>
              <w:adjustRightInd w:val="0"/>
              <w:spacing w:line="240" w:lineRule="auto"/>
              <w:jc w:val="both"/>
              <w:rPr>
                <w:rFonts w:ascii="Arial" w:hAnsi="Arial" w:cs="Arial"/>
              </w:rPr>
            </w:pPr>
            <w:r w:rsidRPr="008E5A12">
              <w:rPr>
                <w:rFonts w:ascii="Times New Roman" w:eastAsia="Times New Roman" w:hAnsi="Times New Roman"/>
                <w:bCs/>
                <w:lang w:eastAsia="pl-PL"/>
              </w:rPr>
              <w:t xml:space="preserve">Współcześnie w wielu krajach </w:t>
            </w:r>
            <w:r w:rsidR="004903A3">
              <w:rPr>
                <w:rFonts w:ascii="Times New Roman" w:eastAsia="Times New Roman" w:hAnsi="Times New Roman"/>
                <w:bCs/>
                <w:lang w:eastAsia="pl-PL"/>
              </w:rPr>
              <w:t>do</w:t>
            </w:r>
            <w:r w:rsidRPr="008E5A12">
              <w:rPr>
                <w:rFonts w:ascii="Times New Roman" w:eastAsia="Times New Roman" w:hAnsi="Times New Roman"/>
                <w:bCs/>
                <w:lang w:eastAsia="pl-PL"/>
              </w:rPr>
              <w:t xml:space="preserve"> oceny jakości opieki </w:t>
            </w:r>
            <w:r w:rsidR="004903A3">
              <w:rPr>
                <w:rFonts w:ascii="Times New Roman" w:eastAsia="Times New Roman" w:hAnsi="Times New Roman"/>
                <w:bCs/>
                <w:lang w:eastAsia="pl-PL"/>
              </w:rPr>
              <w:t xml:space="preserve">zdrowotnej </w:t>
            </w:r>
            <w:r w:rsidRPr="008E5A12">
              <w:rPr>
                <w:rFonts w:ascii="Times New Roman" w:eastAsia="Times New Roman" w:hAnsi="Times New Roman"/>
                <w:bCs/>
                <w:lang w:eastAsia="pl-PL"/>
              </w:rPr>
              <w:t>tworzone są rejestry</w:t>
            </w:r>
            <w:r w:rsidR="007E4E1F">
              <w:rPr>
                <w:rFonts w:ascii="Times New Roman" w:eastAsia="Times New Roman" w:hAnsi="Times New Roman"/>
                <w:bCs/>
                <w:lang w:eastAsia="pl-PL"/>
              </w:rPr>
              <w:t xml:space="preserve"> </w:t>
            </w:r>
            <w:r w:rsidR="004903A3">
              <w:rPr>
                <w:rFonts w:ascii="Times New Roman" w:eastAsia="Times New Roman" w:hAnsi="Times New Roman"/>
                <w:bCs/>
                <w:lang w:eastAsia="pl-PL"/>
              </w:rPr>
              <w:t xml:space="preserve">medyczne do celów oceny </w:t>
            </w:r>
            <w:r w:rsidR="007E4E1F">
              <w:rPr>
                <w:rFonts w:ascii="Times New Roman" w:eastAsia="Times New Roman" w:hAnsi="Times New Roman"/>
                <w:bCs/>
                <w:lang w:eastAsia="pl-PL"/>
              </w:rPr>
              <w:t>jakości (</w:t>
            </w:r>
            <w:r w:rsidR="004903A3">
              <w:rPr>
                <w:rFonts w:ascii="Times New Roman" w:eastAsia="Times New Roman" w:hAnsi="Times New Roman"/>
                <w:bCs/>
                <w:lang w:eastAsia="pl-PL"/>
              </w:rPr>
              <w:t xml:space="preserve">ang. </w:t>
            </w:r>
            <w:r w:rsidR="007E4E1F" w:rsidRPr="004903A3">
              <w:rPr>
                <w:rFonts w:ascii="Times New Roman" w:eastAsia="Times New Roman" w:hAnsi="Times New Roman"/>
                <w:bCs/>
                <w:i/>
                <w:lang w:eastAsia="pl-PL"/>
              </w:rPr>
              <w:t>quality registers, patient clinical registers</w:t>
            </w:r>
            <w:r w:rsidR="007E4E1F">
              <w:rPr>
                <w:rFonts w:ascii="Times New Roman" w:eastAsia="Times New Roman" w:hAnsi="Times New Roman"/>
                <w:bCs/>
                <w:lang w:eastAsia="pl-PL"/>
              </w:rPr>
              <w:t>)</w:t>
            </w:r>
            <w:r w:rsidRPr="008E5A12">
              <w:rPr>
                <w:rFonts w:ascii="Times New Roman" w:eastAsia="Times New Roman" w:hAnsi="Times New Roman"/>
                <w:bCs/>
                <w:lang w:eastAsia="pl-PL"/>
              </w:rPr>
              <w:t xml:space="preserve">. Szczególnie zaawansowane w wykorzystywaniu </w:t>
            </w:r>
            <w:r w:rsidR="004903A3">
              <w:rPr>
                <w:rFonts w:ascii="Times New Roman" w:eastAsia="Times New Roman" w:hAnsi="Times New Roman"/>
                <w:bCs/>
                <w:lang w:eastAsia="pl-PL"/>
              </w:rPr>
              <w:t xml:space="preserve">tego rodzaju </w:t>
            </w:r>
            <w:r w:rsidRPr="008E5A12">
              <w:rPr>
                <w:rFonts w:ascii="Times New Roman" w:eastAsia="Times New Roman" w:hAnsi="Times New Roman"/>
                <w:bCs/>
                <w:lang w:eastAsia="pl-PL"/>
              </w:rPr>
              <w:t>rejestrów są kraje skandynawskie, zwłaszcza Dania i Szwecja, w których władze publiczne finansują funkcjonowanie powszechnych rejestrów</w:t>
            </w:r>
            <w:r w:rsidR="004903A3">
              <w:rPr>
                <w:rFonts w:ascii="Times New Roman" w:eastAsia="Times New Roman" w:hAnsi="Times New Roman"/>
                <w:bCs/>
                <w:lang w:eastAsia="pl-PL"/>
              </w:rPr>
              <w:t xml:space="preserve"> medycznych</w:t>
            </w:r>
            <w:r w:rsidRPr="008E5A12">
              <w:rPr>
                <w:rFonts w:ascii="Times New Roman" w:eastAsia="Times New Roman" w:hAnsi="Times New Roman"/>
                <w:bCs/>
                <w:lang w:eastAsia="pl-PL"/>
              </w:rPr>
              <w:t xml:space="preserve">, prowadzonych we współpracy z organizacjami profesjonalnymi. </w:t>
            </w:r>
            <w:r>
              <w:rPr>
                <w:rFonts w:ascii="Times New Roman" w:eastAsia="Times New Roman" w:hAnsi="Times New Roman"/>
                <w:bCs/>
                <w:lang w:eastAsia="pl-PL"/>
              </w:rPr>
              <w:t xml:space="preserve">Celem tworzenia rejestrów </w:t>
            </w:r>
            <w:r w:rsidR="007E4E1F">
              <w:rPr>
                <w:rFonts w:ascii="Times New Roman" w:eastAsia="Times New Roman" w:hAnsi="Times New Roman"/>
                <w:bCs/>
                <w:lang w:eastAsia="pl-PL"/>
              </w:rPr>
              <w:t xml:space="preserve">jakości </w:t>
            </w:r>
            <w:r w:rsidR="004903A3">
              <w:rPr>
                <w:rFonts w:ascii="Times New Roman" w:eastAsia="Times New Roman" w:hAnsi="Times New Roman"/>
                <w:bCs/>
                <w:lang w:eastAsia="pl-PL"/>
              </w:rPr>
              <w:t>jest monitorowanie jakości oraz</w:t>
            </w:r>
            <w:r>
              <w:rPr>
                <w:rFonts w:ascii="Times New Roman" w:eastAsia="Times New Roman" w:hAnsi="Times New Roman"/>
                <w:bCs/>
                <w:lang w:eastAsia="pl-PL"/>
              </w:rPr>
              <w:t xml:space="preserve"> </w:t>
            </w:r>
            <w:r w:rsidR="007E4E1F">
              <w:rPr>
                <w:rFonts w:ascii="Times New Roman" w:eastAsia="Times New Roman" w:hAnsi="Times New Roman"/>
                <w:bCs/>
                <w:lang w:eastAsia="pl-PL"/>
              </w:rPr>
              <w:t xml:space="preserve">ocena </w:t>
            </w:r>
            <w:r>
              <w:rPr>
                <w:rFonts w:ascii="Times New Roman" w:eastAsia="Times New Roman" w:hAnsi="Times New Roman"/>
                <w:bCs/>
                <w:lang w:eastAsia="pl-PL"/>
              </w:rPr>
              <w:t xml:space="preserve">skuteczności opieki. </w:t>
            </w:r>
            <w:r w:rsidRPr="008E5A12">
              <w:rPr>
                <w:rFonts w:ascii="Times New Roman" w:eastAsia="Times New Roman" w:hAnsi="Times New Roman"/>
                <w:bCs/>
                <w:lang w:eastAsia="pl-PL"/>
              </w:rPr>
              <w:t>Rejestry te, stanowią bazy danych, które gromadz</w:t>
            </w:r>
            <w:r>
              <w:rPr>
                <w:rFonts w:ascii="Times New Roman" w:eastAsia="Times New Roman" w:hAnsi="Times New Roman"/>
                <w:bCs/>
                <w:lang w:eastAsia="pl-PL"/>
              </w:rPr>
              <w:t>ą dane indywidualnych pacjentów:</w:t>
            </w:r>
            <w:r w:rsidRPr="002C7240">
              <w:rPr>
                <w:rFonts w:ascii="Arial" w:hAnsi="Arial" w:cs="Arial"/>
              </w:rPr>
              <w:t xml:space="preserve"> </w:t>
            </w:r>
          </w:p>
          <w:p w14:paraId="1EB2B163" w14:textId="77777777" w:rsidR="004903A3" w:rsidRPr="004903A3" w:rsidRDefault="004903A3" w:rsidP="004903A3">
            <w:pPr>
              <w:numPr>
                <w:ilvl w:val="0"/>
                <w:numId w:val="7"/>
              </w:numPr>
              <w:autoSpaceDE w:val="0"/>
              <w:autoSpaceDN w:val="0"/>
              <w:adjustRightInd w:val="0"/>
              <w:spacing w:line="240" w:lineRule="auto"/>
              <w:jc w:val="both"/>
              <w:rPr>
                <w:rFonts w:ascii="Times New Roman" w:eastAsia="Times New Roman" w:hAnsi="Times New Roman"/>
                <w:bCs/>
                <w:lang w:eastAsia="pl-PL"/>
              </w:rPr>
            </w:pPr>
            <w:r w:rsidRPr="004903A3">
              <w:rPr>
                <w:rFonts w:ascii="Times New Roman" w:eastAsia="Times New Roman" w:hAnsi="Times New Roman"/>
                <w:bCs/>
                <w:lang w:eastAsia="pl-PL"/>
              </w:rPr>
              <w:t xml:space="preserve">z określonym rozpoznaniem, stanem chorobowym (rodzaj </w:t>
            </w:r>
            <w:r>
              <w:rPr>
                <w:rFonts w:ascii="Times New Roman" w:eastAsia="Times New Roman" w:hAnsi="Times New Roman"/>
                <w:bCs/>
                <w:lang w:eastAsia="pl-PL"/>
              </w:rPr>
              <w:t>schorzenia, rodzaj diagnostyki);</w:t>
            </w:r>
          </w:p>
          <w:p w14:paraId="484BD2C5" w14:textId="77777777" w:rsidR="004903A3" w:rsidRPr="004903A3" w:rsidRDefault="004903A3" w:rsidP="004903A3">
            <w:pPr>
              <w:numPr>
                <w:ilvl w:val="0"/>
                <w:numId w:val="7"/>
              </w:numPr>
              <w:autoSpaceDE w:val="0"/>
              <w:autoSpaceDN w:val="0"/>
              <w:adjustRightInd w:val="0"/>
              <w:spacing w:line="240" w:lineRule="auto"/>
              <w:jc w:val="both"/>
              <w:rPr>
                <w:rFonts w:ascii="Times New Roman" w:eastAsia="Times New Roman" w:hAnsi="Times New Roman"/>
                <w:bCs/>
                <w:lang w:eastAsia="pl-PL"/>
              </w:rPr>
            </w:pPr>
            <w:r w:rsidRPr="004903A3">
              <w:rPr>
                <w:rFonts w:ascii="Times New Roman" w:eastAsia="Times New Roman" w:hAnsi="Times New Roman"/>
                <w:bCs/>
                <w:lang w:eastAsia="pl-PL"/>
              </w:rPr>
              <w:t>poddawanych określonej terapii, określonemu postępowaniu (rodzaj opieki) – np</w:t>
            </w:r>
            <w:r>
              <w:rPr>
                <w:rFonts w:ascii="Times New Roman" w:eastAsia="Times New Roman" w:hAnsi="Times New Roman"/>
                <w:bCs/>
                <w:lang w:eastAsia="pl-PL"/>
              </w:rPr>
              <w:t>. rejestr zabiegów lub operacji;</w:t>
            </w:r>
          </w:p>
          <w:p w14:paraId="1FE1A510" w14:textId="77777777" w:rsidR="004903A3" w:rsidRPr="004903A3" w:rsidRDefault="004903A3" w:rsidP="004903A3">
            <w:pPr>
              <w:numPr>
                <w:ilvl w:val="0"/>
                <w:numId w:val="7"/>
              </w:numPr>
              <w:autoSpaceDE w:val="0"/>
              <w:autoSpaceDN w:val="0"/>
              <w:adjustRightInd w:val="0"/>
              <w:spacing w:line="240" w:lineRule="auto"/>
              <w:jc w:val="both"/>
              <w:rPr>
                <w:rFonts w:ascii="Times New Roman" w:eastAsia="Times New Roman" w:hAnsi="Times New Roman"/>
                <w:bCs/>
                <w:lang w:eastAsia="pl-PL"/>
              </w:rPr>
            </w:pPr>
            <w:r w:rsidRPr="004903A3">
              <w:rPr>
                <w:rFonts w:ascii="Times New Roman" w:eastAsia="Times New Roman" w:hAnsi="Times New Roman"/>
                <w:bCs/>
                <w:lang w:eastAsia="pl-PL"/>
              </w:rPr>
              <w:t>u których zastosow</w:t>
            </w:r>
            <w:r>
              <w:rPr>
                <w:rFonts w:ascii="Times New Roman" w:eastAsia="Times New Roman" w:hAnsi="Times New Roman"/>
                <w:bCs/>
                <w:lang w:eastAsia="pl-PL"/>
              </w:rPr>
              <w:t>ano określony produkt leczniczy;</w:t>
            </w:r>
          </w:p>
          <w:p w14:paraId="2E8613F5" w14:textId="77777777" w:rsidR="004903A3" w:rsidRDefault="004903A3" w:rsidP="004903A3">
            <w:pPr>
              <w:numPr>
                <w:ilvl w:val="0"/>
                <w:numId w:val="7"/>
              </w:numPr>
              <w:autoSpaceDE w:val="0"/>
              <w:autoSpaceDN w:val="0"/>
              <w:adjustRightInd w:val="0"/>
              <w:spacing w:line="240" w:lineRule="auto"/>
              <w:jc w:val="both"/>
              <w:rPr>
                <w:rFonts w:ascii="Times New Roman" w:eastAsia="Times New Roman" w:hAnsi="Times New Roman"/>
                <w:bCs/>
                <w:lang w:eastAsia="pl-PL"/>
              </w:rPr>
            </w:pPr>
            <w:r w:rsidRPr="004903A3">
              <w:rPr>
                <w:rFonts w:ascii="Times New Roman" w:eastAsia="Times New Roman" w:hAnsi="Times New Roman"/>
                <w:bCs/>
                <w:lang w:eastAsia="pl-PL"/>
              </w:rPr>
              <w:t>u których zastosowano określony wyrób medyczny – np. rejestr wszczepion</w:t>
            </w:r>
            <w:r>
              <w:rPr>
                <w:rFonts w:ascii="Times New Roman" w:eastAsia="Times New Roman" w:hAnsi="Times New Roman"/>
                <w:bCs/>
                <w:lang w:eastAsia="pl-PL"/>
              </w:rPr>
              <w:t>ych endoprotez stawu biodrowego.</w:t>
            </w:r>
          </w:p>
          <w:p w14:paraId="68B859DF" w14:textId="77777777" w:rsidR="00917FCB" w:rsidRPr="00917FCB" w:rsidRDefault="00917FCB" w:rsidP="00917FCB">
            <w:pPr>
              <w:autoSpaceDE w:val="0"/>
              <w:autoSpaceDN w:val="0"/>
              <w:adjustRightInd w:val="0"/>
              <w:spacing w:line="240" w:lineRule="auto"/>
              <w:jc w:val="both"/>
              <w:rPr>
                <w:rFonts w:ascii="Times New Roman" w:eastAsia="Times New Roman" w:hAnsi="Times New Roman"/>
                <w:bCs/>
                <w:lang w:eastAsia="pl-PL"/>
              </w:rPr>
            </w:pPr>
            <w:r w:rsidRPr="00917FCB">
              <w:rPr>
                <w:rFonts w:ascii="Times New Roman" w:eastAsia="Times New Roman" w:hAnsi="Times New Roman"/>
                <w:bCs/>
                <w:lang w:eastAsia="pl-PL"/>
              </w:rPr>
              <w:t>W wielu państwach Unii Europejskiej funkcjonują specjalne instytucje odpowiedzialne za kompensację szkód doznanych przez pacjentów. Takie rozwiązanie jest szczególnie popularne w ramach „modelu skandynawskiego”, czego przykładem są – finansowane z budżetu państwa lub wpłat od podmiotów leczniczych – Duńskie Stowarzyszenie Odszkodowań dla Pacjentów (Patienterstatningen), Centrum Ubezpieczenia Pacjentów (Potilasvakuutuskeskus) w Finlandii czy – już spoza grupy państw członkowskich UE – Norweski System Odszkodowań dla Pacjentów (NorskPasientskadeerstatning). Podstawowe wspólne założenia modelu wprowadzonego w państwach nordyckich przewidują, że:</w:t>
            </w:r>
          </w:p>
          <w:p w14:paraId="035C9EE0" w14:textId="77777777" w:rsidR="0020329B" w:rsidRDefault="00917FCB" w:rsidP="00917FCB">
            <w:pPr>
              <w:numPr>
                <w:ilvl w:val="0"/>
                <w:numId w:val="45"/>
              </w:numPr>
              <w:autoSpaceDE w:val="0"/>
              <w:autoSpaceDN w:val="0"/>
              <w:adjustRightInd w:val="0"/>
              <w:spacing w:line="240" w:lineRule="auto"/>
              <w:jc w:val="both"/>
              <w:rPr>
                <w:rFonts w:ascii="Times New Roman" w:eastAsia="Times New Roman" w:hAnsi="Times New Roman"/>
                <w:bCs/>
                <w:lang w:eastAsia="pl-PL"/>
              </w:rPr>
            </w:pPr>
            <w:r w:rsidRPr="00917FCB">
              <w:rPr>
                <w:rFonts w:ascii="Times New Roman" w:eastAsia="Times New Roman" w:hAnsi="Times New Roman"/>
                <w:bCs/>
                <w:lang w:eastAsia="pl-PL"/>
              </w:rPr>
              <w:t>dostęp poszkodowanych pacjentów do odszkodowania powinien być łatwy i powszechny;</w:t>
            </w:r>
          </w:p>
          <w:p w14:paraId="1347A935" w14:textId="77777777" w:rsidR="0020329B" w:rsidRDefault="00917FCB" w:rsidP="00917FCB">
            <w:pPr>
              <w:numPr>
                <w:ilvl w:val="0"/>
                <w:numId w:val="45"/>
              </w:numPr>
              <w:autoSpaceDE w:val="0"/>
              <w:autoSpaceDN w:val="0"/>
              <w:adjustRightInd w:val="0"/>
              <w:spacing w:line="240" w:lineRule="auto"/>
              <w:jc w:val="both"/>
              <w:rPr>
                <w:rFonts w:ascii="Times New Roman" w:eastAsia="Times New Roman" w:hAnsi="Times New Roman"/>
                <w:bCs/>
                <w:lang w:eastAsia="pl-PL"/>
              </w:rPr>
            </w:pPr>
            <w:r w:rsidRPr="0020329B">
              <w:rPr>
                <w:rFonts w:ascii="Times New Roman" w:eastAsia="Times New Roman" w:hAnsi="Times New Roman"/>
                <w:bCs/>
                <w:lang w:eastAsia="pl-PL"/>
              </w:rPr>
              <w:t>celem systemu winno być wspieranie dobrych relacji między personelem medycznym a pacjentami;</w:t>
            </w:r>
          </w:p>
          <w:p w14:paraId="3F3301B6" w14:textId="77777777" w:rsidR="0020329B" w:rsidRDefault="00917FCB" w:rsidP="00917FCB">
            <w:pPr>
              <w:numPr>
                <w:ilvl w:val="0"/>
                <w:numId w:val="45"/>
              </w:numPr>
              <w:autoSpaceDE w:val="0"/>
              <w:autoSpaceDN w:val="0"/>
              <w:adjustRightInd w:val="0"/>
              <w:spacing w:line="240" w:lineRule="auto"/>
              <w:jc w:val="both"/>
              <w:rPr>
                <w:rFonts w:ascii="Times New Roman" w:eastAsia="Times New Roman" w:hAnsi="Times New Roman"/>
                <w:bCs/>
                <w:lang w:eastAsia="pl-PL"/>
              </w:rPr>
            </w:pPr>
            <w:r w:rsidRPr="0020329B">
              <w:rPr>
                <w:rFonts w:ascii="Times New Roman" w:eastAsia="Times New Roman" w:hAnsi="Times New Roman"/>
                <w:bCs/>
                <w:lang w:eastAsia="pl-PL"/>
              </w:rPr>
              <w:t>ustalenie błędu medycznego winno służyć promocji bezpieczeństwa i jakości opieki zdrowotnej;</w:t>
            </w:r>
          </w:p>
          <w:p w14:paraId="22D58A72" w14:textId="77777777" w:rsidR="0020329B" w:rsidRDefault="00917FCB" w:rsidP="00917FCB">
            <w:pPr>
              <w:numPr>
                <w:ilvl w:val="0"/>
                <w:numId w:val="45"/>
              </w:numPr>
              <w:autoSpaceDE w:val="0"/>
              <w:autoSpaceDN w:val="0"/>
              <w:adjustRightInd w:val="0"/>
              <w:spacing w:line="240" w:lineRule="auto"/>
              <w:jc w:val="both"/>
              <w:rPr>
                <w:rFonts w:ascii="Times New Roman" w:eastAsia="Times New Roman" w:hAnsi="Times New Roman"/>
                <w:bCs/>
                <w:lang w:eastAsia="pl-PL"/>
              </w:rPr>
            </w:pPr>
            <w:r w:rsidRPr="0020329B">
              <w:rPr>
                <w:rFonts w:ascii="Times New Roman" w:eastAsia="Times New Roman" w:hAnsi="Times New Roman"/>
                <w:bCs/>
                <w:lang w:eastAsia="pl-PL"/>
              </w:rPr>
              <w:t>nacisk na obarczanie winą konkretnych osób nie służy uczeniu się na błędach medycznych i poprawie bezpieczeństwa pacjentów;</w:t>
            </w:r>
          </w:p>
          <w:p w14:paraId="752CFD65" w14:textId="77777777" w:rsidR="00917FCB" w:rsidRPr="00E132FB" w:rsidRDefault="00917FCB" w:rsidP="00917FCB">
            <w:pPr>
              <w:numPr>
                <w:ilvl w:val="0"/>
                <w:numId w:val="45"/>
              </w:numPr>
              <w:autoSpaceDE w:val="0"/>
              <w:autoSpaceDN w:val="0"/>
              <w:adjustRightInd w:val="0"/>
              <w:spacing w:line="240" w:lineRule="auto"/>
              <w:jc w:val="both"/>
              <w:rPr>
                <w:rFonts w:ascii="Times New Roman" w:eastAsia="Times New Roman" w:hAnsi="Times New Roman"/>
                <w:bCs/>
                <w:lang w:val="en-GB" w:eastAsia="pl-PL"/>
              </w:rPr>
            </w:pPr>
            <w:r w:rsidRPr="0020329B">
              <w:rPr>
                <w:rFonts w:ascii="Times New Roman" w:eastAsia="Times New Roman" w:hAnsi="Times New Roman"/>
                <w:bCs/>
                <w:lang w:eastAsia="pl-PL"/>
              </w:rPr>
              <w:t xml:space="preserve">schematy administracyjne zapewniające rekompensatę w związku z uszczerbkiem na zdrowiu są wydajniejsze pod względem kosztów i czasu (A. M. Farrell, S. Devaney, A. Dar, No-Fault compensation schemes for medical injury. </w:t>
            </w:r>
            <w:r w:rsidRPr="00E132FB">
              <w:rPr>
                <w:rFonts w:ascii="Times New Roman" w:eastAsia="Times New Roman" w:hAnsi="Times New Roman"/>
                <w:bCs/>
                <w:lang w:val="en-GB" w:eastAsia="pl-PL"/>
              </w:rPr>
              <w:t xml:space="preserve">A review, https://papers.ssrn.com/sol3/papers.cfm?abstract_id=2221836). </w:t>
            </w:r>
          </w:p>
          <w:p w14:paraId="5A01FE8E" w14:textId="77777777" w:rsidR="004903A3" w:rsidRPr="0020329B" w:rsidRDefault="00917FCB" w:rsidP="000C7019">
            <w:pPr>
              <w:autoSpaceDE w:val="0"/>
              <w:autoSpaceDN w:val="0"/>
              <w:adjustRightInd w:val="0"/>
              <w:spacing w:line="240" w:lineRule="auto"/>
              <w:jc w:val="both"/>
              <w:rPr>
                <w:rFonts w:ascii="Times New Roman" w:eastAsia="Times New Roman" w:hAnsi="Times New Roman"/>
                <w:bCs/>
                <w:lang w:eastAsia="pl-PL"/>
              </w:rPr>
            </w:pPr>
            <w:r w:rsidRPr="00917FCB">
              <w:rPr>
                <w:rFonts w:ascii="Times New Roman" w:eastAsia="Times New Roman" w:hAnsi="Times New Roman"/>
                <w:bCs/>
                <w:lang w:eastAsia="pl-PL"/>
              </w:rPr>
              <w:t>Inne europejskie instytucje publiczne zajmujących się wypłatą świadczeń na rzecz pacjentów to m.in. Krajowy Urząd Odszkodowań za Wypadki Medyczne (Office nationald'indemnisationdes accidentsmédicaux) we Francji czy Fundusz Wypadków Medycznych (Le Fonds des AccidentsMédicaux) w Belgii</w:t>
            </w:r>
          </w:p>
        </w:tc>
      </w:tr>
      <w:tr w:rsidR="006A701A" w:rsidRPr="008B4FE6" w14:paraId="5E7804DF" w14:textId="77777777" w:rsidTr="003E4722">
        <w:trPr>
          <w:trHeight w:val="359"/>
        </w:trPr>
        <w:tc>
          <w:tcPr>
            <w:tcW w:w="10916" w:type="dxa"/>
            <w:gridSpan w:val="25"/>
            <w:shd w:val="clear" w:color="auto" w:fill="99CCFF"/>
            <w:vAlign w:val="center"/>
          </w:tcPr>
          <w:p w14:paraId="30203402" w14:textId="77777777" w:rsidR="006A701A" w:rsidRPr="008B4FE6" w:rsidRDefault="006A701A" w:rsidP="00DA7A8E">
            <w:pPr>
              <w:numPr>
                <w:ilvl w:val="0"/>
                <w:numId w:val="1"/>
              </w:numPr>
              <w:spacing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080800" w14:paraId="7B725C6D" w14:textId="77777777" w:rsidTr="006E49F8">
        <w:trPr>
          <w:trHeight w:val="444"/>
        </w:trPr>
        <w:tc>
          <w:tcPr>
            <w:tcW w:w="2663" w:type="dxa"/>
            <w:gridSpan w:val="3"/>
            <w:shd w:val="clear" w:color="auto" w:fill="auto"/>
            <w:vAlign w:val="center"/>
          </w:tcPr>
          <w:p w14:paraId="3D5FB82D" w14:textId="77777777" w:rsidR="00260F33" w:rsidRPr="00D85279" w:rsidRDefault="00260F33" w:rsidP="00DA7A8E">
            <w:pPr>
              <w:spacing w:line="240" w:lineRule="auto"/>
              <w:jc w:val="center"/>
              <w:rPr>
                <w:rFonts w:ascii="Times New Roman" w:hAnsi="Times New Roman"/>
                <w:color w:val="000000"/>
                <w:spacing w:val="-2"/>
              </w:rPr>
            </w:pPr>
            <w:r w:rsidRPr="00D85279">
              <w:rPr>
                <w:rFonts w:ascii="Times New Roman" w:hAnsi="Times New Roman"/>
                <w:color w:val="000000"/>
                <w:spacing w:val="-2"/>
              </w:rPr>
              <w:t>Grupa</w:t>
            </w:r>
          </w:p>
        </w:tc>
        <w:tc>
          <w:tcPr>
            <w:tcW w:w="2296" w:type="dxa"/>
            <w:gridSpan w:val="5"/>
            <w:shd w:val="clear" w:color="auto" w:fill="auto"/>
            <w:vAlign w:val="center"/>
          </w:tcPr>
          <w:p w14:paraId="1C297609" w14:textId="77777777" w:rsidR="00260F33" w:rsidRPr="00D85279" w:rsidRDefault="00563199" w:rsidP="00DA7A8E">
            <w:pPr>
              <w:spacing w:line="240" w:lineRule="auto"/>
              <w:jc w:val="center"/>
              <w:rPr>
                <w:rFonts w:ascii="Times New Roman" w:hAnsi="Times New Roman"/>
                <w:color w:val="000000"/>
                <w:spacing w:val="-2"/>
              </w:rPr>
            </w:pPr>
            <w:r w:rsidRPr="00D85279">
              <w:rPr>
                <w:rFonts w:ascii="Times New Roman" w:hAnsi="Times New Roman"/>
                <w:color w:val="000000"/>
                <w:spacing w:val="-2"/>
              </w:rPr>
              <w:t>Wielkość</w:t>
            </w:r>
          </w:p>
        </w:tc>
        <w:tc>
          <w:tcPr>
            <w:tcW w:w="2853" w:type="dxa"/>
            <w:gridSpan w:val="10"/>
            <w:shd w:val="clear" w:color="auto" w:fill="auto"/>
            <w:vAlign w:val="center"/>
          </w:tcPr>
          <w:p w14:paraId="7DA1E905" w14:textId="77777777" w:rsidR="00260F33" w:rsidRPr="00D85279" w:rsidRDefault="00260F33" w:rsidP="00DA7A8E">
            <w:pPr>
              <w:spacing w:line="240" w:lineRule="auto"/>
              <w:jc w:val="center"/>
              <w:rPr>
                <w:rFonts w:ascii="Times New Roman" w:hAnsi="Times New Roman"/>
                <w:color w:val="000000"/>
                <w:spacing w:val="-2"/>
              </w:rPr>
            </w:pPr>
            <w:r w:rsidRPr="00D85279">
              <w:rPr>
                <w:rFonts w:ascii="Times New Roman" w:hAnsi="Times New Roman"/>
                <w:color w:val="000000"/>
                <w:spacing w:val="-2"/>
              </w:rPr>
              <w:t>Źródło danych</w:t>
            </w:r>
          </w:p>
        </w:tc>
        <w:tc>
          <w:tcPr>
            <w:tcW w:w="3104" w:type="dxa"/>
            <w:gridSpan w:val="7"/>
            <w:tcBorders>
              <w:bottom w:val="single" w:sz="4" w:space="0" w:color="auto"/>
            </w:tcBorders>
            <w:shd w:val="clear" w:color="auto" w:fill="auto"/>
            <w:vAlign w:val="center"/>
          </w:tcPr>
          <w:p w14:paraId="47755608" w14:textId="77777777" w:rsidR="00260F33" w:rsidRPr="00080800" w:rsidRDefault="00260F33" w:rsidP="00DA7A8E">
            <w:pPr>
              <w:spacing w:line="240" w:lineRule="auto"/>
              <w:jc w:val="center"/>
              <w:rPr>
                <w:rFonts w:ascii="Times New Roman" w:hAnsi="Times New Roman"/>
                <w:color w:val="000000"/>
                <w:spacing w:val="-2"/>
                <w:highlight w:val="yellow"/>
              </w:rPr>
            </w:pPr>
            <w:r w:rsidRPr="004136B7">
              <w:rPr>
                <w:rFonts w:ascii="Times New Roman" w:hAnsi="Times New Roman"/>
                <w:color w:val="000000"/>
                <w:spacing w:val="-2"/>
              </w:rPr>
              <w:t>Oddziaływanie</w:t>
            </w:r>
          </w:p>
        </w:tc>
      </w:tr>
      <w:tr w:rsidR="00BF5C76" w:rsidRPr="00080800" w14:paraId="0BA27D63" w14:textId="77777777" w:rsidTr="006E49F8">
        <w:trPr>
          <w:trHeight w:val="444"/>
        </w:trPr>
        <w:tc>
          <w:tcPr>
            <w:tcW w:w="2663" w:type="dxa"/>
            <w:gridSpan w:val="3"/>
            <w:shd w:val="clear" w:color="auto" w:fill="auto"/>
          </w:tcPr>
          <w:p w14:paraId="6D50B489" w14:textId="77777777" w:rsidR="00BF5C76" w:rsidRPr="00D85279" w:rsidRDefault="00BF5C76" w:rsidP="000C7019">
            <w:pPr>
              <w:spacing w:line="240" w:lineRule="auto"/>
              <w:rPr>
                <w:rFonts w:ascii="Times New Roman" w:hAnsi="Times New Roman"/>
                <w:color w:val="000000"/>
                <w:spacing w:val="-2"/>
              </w:rPr>
            </w:pPr>
            <w:r>
              <w:rPr>
                <w:rFonts w:ascii="Times New Roman" w:hAnsi="Times New Roman"/>
                <w:color w:val="000000"/>
                <w:spacing w:val="-2"/>
              </w:rPr>
              <w:t xml:space="preserve">Podmioty lecznicze wykonujące działalność leczniczą w rodzaju </w:t>
            </w:r>
            <w:r w:rsidR="004903A3">
              <w:rPr>
                <w:rFonts w:ascii="Times New Roman" w:hAnsi="Times New Roman"/>
                <w:color w:val="000000"/>
                <w:spacing w:val="-2"/>
              </w:rPr>
              <w:t>świadczenia szpitalne</w:t>
            </w:r>
            <w:r>
              <w:rPr>
                <w:rFonts w:ascii="Times New Roman" w:hAnsi="Times New Roman"/>
                <w:color w:val="000000"/>
                <w:spacing w:val="-2"/>
              </w:rPr>
              <w:t xml:space="preserve"> </w:t>
            </w:r>
          </w:p>
        </w:tc>
        <w:tc>
          <w:tcPr>
            <w:tcW w:w="2296" w:type="dxa"/>
            <w:gridSpan w:val="5"/>
            <w:shd w:val="clear" w:color="auto" w:fill="auto"/>
          </w:tcPr>
          <w:p w14:paraId="4C2ADE2F" w14:textId="77777777" w:rsidR="00BF5C76" w:rsidRDefault="00772322" w:rsidP="0020329B">
            <w:pPr>
              <w:spacing w:line="240" w:lineRule="auto"/>
              <w:jc w:val="center"/>
              <w:rPr>
                <w:rFonts w:ascii="Times New Roman" w:hAnsi="Times New Roman"/>
                <w:color w:val="000000"/>
                <w:spacing w:val="-2"/>
              </w:rPr>
            </w:pPr>
            <w:r>
              <w:rPr>
                <w:rFonts w:ascii="Times New Roman" w:hAnsi="Times New Roman"/>
                <w:color w:val="000000"/>
                <w:spacing w:val="-2"/>
              </w:rPr>
              <w:t>1</w:t>
            </w:r>
            <w:r w:rsidR="002F2A9F">
              <w:rPr>
                <w:rFonts w:ascii="Times New Roman" w:hAnsi="Times New Roman"/>
                <w:color w:val="000000"/>
                <w:spacing w:val="-2"/>
              </w:rPr>
              <w:t xml:space="preserve">412 </w:t>
            </w:r>
            <w:r w:rsidR="00BF5C76">
              <w:rPr>
                <w:rFonts w:ascii="Times New Roman" w:hAnsi="Times New Roman"/>
                <w:color w:val="000000"/>
                <w:spacing w:val="-2"/>
              </w:rPr>
              <w:t>podmioty</w:t>
            </w:r>
          </w:p>
          <w:p w14:paraId="239A9900" w14:textId="77777777" w:rsidR="00772322" w:rsidRPr="00D85279" w:rsidRDefault="002F2A9F" w:rsidP="0020329B">
            <w:pPr>
              <w:spacing w:line="240" w:lineRule="auto"/>
              <w:jc w:val="center"/>
              <w:rPr>
                <w:rFonts w:ascii="Times New Roman" w:hAnsi="Times New Roman"/>
                <w:color w:val="000000"/>
                <w:spacing w:val="-2"/>
              </w:rPr>
            </w:pPr>
            <w:r>
              <w:rPr>
                <w:rFonts w:ascii="Times New Roman" w:hAnsi="Times New Roman"/>
                <w:color w:val="000000"/>
                <w:spacing w:val="-2"/>
              </w:rPr>
              <w:t>(zgodnie z R</w:t>
            </w:r>
            <w:r w:rsidR="00E661A5">
              <w:rPr>
                <w:rFonts w:ascii="Times New Roman" w:hAnsi="Times New Roman"/>
                <w:color w:val="000000"/>
                <w:spacing w:val="-2"/>
              </w:rPr>
              <w:t xml:space="preserve">ejestrem </w:t>
            </w:r>
            <w:r>
              <w:rPr>
                <w:rFonts w:ascii="Times New Roman" w:hAnsi="Times New Roman"/>
                <w:color w:val="000000"/>
                <w:spacing w:val="-2"/>
              </w:rPr>
              <w:t>P</w:t>
            </w:r>
            <w:r w:rsidR="00E661A5">
              <w:rPr>
                <w:rFonts w:ascii="Times New Roman" w:hAnsi="Times New Roman"/>
                <w:color w:val="000000"/>
                <w:spacing w:val="-2"/>
              </w:rPr>
              <w:t xml:space="preserve">odmiotów </w:t>
            </w:r>
            <w:r>
              <w:rPr>
                <w:rFonts w:ascii="Times New Roman" w:hAnsi="Times New Roman"/>
                <w:color w:val="000000"/>
                <w:spacing w:val="-2"/>
              </w:rPr>
              <w:t>W</w:t>
            </w:r>
            <w:r w:rsidR="00E661A5">
              <w:rPr>
                <w:rFonts w:ascii="Times New Roman" w:hAnsi="Times New Roman"/>
                <w:color w:val="000000"/>
                <w:spacing w:val="-2"/>
              </w:rPr>
              <w:t xml:space="preserve">ykonujących </w:t>
            </w:r>
            <w:r>
              <w:rPr>
                <w:rFonts w:ascii="Times New Roman" w:hAnsi="Times New Roman"/>
                <w:color w:val="000000"/>
                <w:spacing w:val="-2"/>
              </w:rPr>
              <w:t>D</w:t>
            </w:r>
            <w:r w:rsidR="00E661A5">
              <w:rPr>
                <w:rFonts w:ascii="Times New Roman" w:hAnsi="Times New Roman"/>
                <w:color w:val="000000"/>
                <w:spacing w:val="-2"/>
              </w:rPr>
              <w:t>ziałalność Leczniczą</w:t>
            </w:r>
            <w:r>
              <w:rPr>
                <w:rFonts w:ascii="Times New Roman" w:hAnsi="Times New Roman"/>
                <w:color w:val="000000"/>
                <w:spacing w:val="-2"/>
              </w:rPr>
              <w:t xml:space="preserve"> </w:t>
            </w:r>
            <w:r w:rsidR="000C7019">
              <w:rPr>
                <w:rFonts w:ascii="Times New Roman" w:hAnsi="Times New Roman"/>
                <w:color w:val="000000"/>
                <w:spacing w:val="-2"/>
              </w:rPr>
              <w:t xml:space="preserve">stan </w:t>
            </w:r>
            <w:r>
              <w:rPr>
                <w:rFonts w:ascii="Times New Roman" w:hAnsi="Times New Roman"/>
                <w:color w:val="000000"/>
                <w:spacing w:val="-2"/>
              </w:rPr>
              <w:t>na dzień 20</w:t>
            </w:r>
            <w:r w:rsidR="000C7019">
              <w:rPr>
                <w:rFonts w:ascii="Times New Roman" w:hAnsi="Times New Roman"/>
                <w:color w:val="000000"/>
                <w:spacing w:val="-2"/>
              </w:rPr>
              <w:t xml:space="preserve"> maja </w:t>
            </w:r>
            <w:r>
              <w:rPr>
                <w:rFonts w:ascii="Times New Roman" w:hAnsi="Times New Roman"/>
                <w:color w:val="000000"/>
                <w:spacing w:val="-2"/>
              </w:rPr>
              <w:t>2021 r.)</w:t>
            </w:r>
          </w:p>
        </w:tc>
        <w:tc>
          <w:tcPr>
            <w:tcW w:w="2853" w:type="dxa"/>
            <w:gridSpan w:val="10"/>
            <w:shd w:val="clear" w:color="auto" w:fill="auto"/>
          </w:tcPr>
          <w:p w14:paraId="7CEC6C5D" w14:textId="77777777" w:rsidR="00BF5C76" w:rsidRPr="00D85279" w:rsidRDefault="000C7019" w:rsidP="0020329B">
            <w:pPr>
              <w:spacing w:line="240" w:lineRule="auto"/>
              <w:jc w:val="center"/>
              <w:rPr>
                <w:rFonts w:ascii="Times New Roman" w:hAnsi="Times New Roman"/>
                <w:color w:val="000000"/>
                <w:spacing w:val="-2"/>
              </w:rPr>
            </w:pPr>
            <w:r>
              <w:rPr>
                <w:rFonts w:ascii="Times New Roman" w:hAnsi="Times New Roman"/>
                <w:color w:val="000000"/>
                <w:spacing w:val="-2"/>
              </w:rPr>
              <w:t>R</w:t>
            </w:r>
            <w:r w:rsidR="004903A3">
              <w:rPr>
                <w:rFonts w:ascii="Times New Roman" w:hAnsi="Times New Roman"/>
                <w:color w:val="000000"/>
                <w:spacing w:val="-2"/>
              </w:rPr>
              <w:t>ejestr podmiotów wykonujących działalność lecznicz</w:t>
            </w:r>
            <w:r>
              <w:rPr>
                <w:rFonts w:ascii="Times New Roman" w:hAnsi="Times New Roman"/>
                <w:color w:val="000000"/>
                <w:spacing w:val="-2"/>
              </w:rPr>
              <w:t>ą</w:t>
            </w:r>
          </w:p>
        </w:tc>
        <w:tc>
          <w:tcPr>
            <w:tcW w:w="3104" w:type="dxa"/>
            <w:gridSpan w:val="7"/>
            <w:tcBorders>
              <w:bottom w:val="single" w:sz="4" w:space="0" w:color="auto"/>
            </w:tcBorders>
            <w:shd w:val="clear" w:color="auto" w:fill="auto"/>
            <w:vAlign w:val="center"/>
          </w:tcPr>
          <w:p w14:paraId="1506240C" w14:textId="77777777" w:rsidR="00BF5C76" w:rsidRDefault="00BF5C76" w:rsidP="00DA7A8E">
            <w:pPr>
              <w:numPr>
                <w:ilvl w:val="0"/>
                <w:numId w:val="4"/>
              </w:numPr>
              <w:spacing w:line="240" w:lineRule="auto"/>
              <w:rPr>
                <w:rFonts w:ascii="Times New Roman" w:hAnsi="Times New Roman"/>
                <w:color w:val="000000"/>
                <w:spacing w:val="-2"/>
              </w:rPr>
            </w:pPr>
            <w:r>
              <w:rPr>
                <w:rFonts w:ascii="Times New Roman" w:hAnsi="Times New Roman"/>
                <w:color w:val="000000"/>
                <w:spacing w:val="-2"/>
              </w:rPr>
              <w:t>popraw</w:t>
            </w:r>
            <w:r w:rsidR="007E4E1F">
              <w:rPr>
                <w:rFonts w:ascii="Times New Roman" w:hAnsi="Times New Roman"/>
                <w:color w:val="000000"/>
                <w:spacing w:val="-2"/>
              </w:rPr>
              <w:t>a</w:t>
            </w:r>
            <w:r>
              <w:rPr>
                <w:rFonts w:ascii="Times New Roman" w:hAnsi="Times New Roman"/>
                <w:color w:val="000000"/>
                <w:spacing w:val="-2"/>
              </w:rPr>
              <w:t xml:space="preserve"> jakości i</w:t>
            </w:r>
            <w:r w:rsidR="00736A87">
              <w:rPr>
                <w:rFonts w:ascii="Times New Roman" w:hAnsi="Times New Roman"/>
                <w:color w:val="000000"/>
                <w:spacing w:val="-2"/>
              </w:rPr>
              <w:t> </w:t>
            </w:r>
            <w:r>
              <w:rPr>
                <w:rFonts w:ascii="Times New Roman" w:hAnsi="Times New Roman"/>
                <w:color w:val="000000"/>
                <w:spacing w:val="-2"/>
              </w:rPr>
              <w:t>bezpieczeństwa udzielanych świadczeń</w:t>
            </w:r>
            <w:r w:rsidR="000C7019">
              <w:rPr>
                <w:rFonts w:ascii="Times New Roman" w:hAnsi="Times New Roman"/>
                <w:color w:val="000000"/>
                <w:spacing w:val="-2"/>
              </w:rPr>
              <w:t xml:space="preserve"> opieki zdrowotnej,</w:t>
            </w:r>
          </w:p>
          <w:p w14:paraId="27A1A85E" w14:textId="77777777" w:rsidR="004903A3" w:rsidRDefault="00BF5C76" w:rsidP="004903A3">
            <w:pPr>
              <w:numPr>
                <w:ilvl w:val="0"/>
                <w:numId w:val="4"/>
              </w:numPr>
              <w:spacing w:line="240" w:lineRule="auto"/>
              <w:rPr>
                <w:rFonts w:ascii="Times New Roman" w:hAnsi="Times New Roman"/>
                <w:color w:val="000000"/>
                <w:spacing w:val="-2"/>
              </w:rPr>
            </w:pPr>
            <w:r>
              <w:rPr>
                <w:rFonts w:ascii="Times New Roman" w:hAnsi="Times New Roman"/>
                <w:color w:val="000000"/>
                <w:spacing w:val="-2"/>
              </w:rPr>
              <w:t>ograniczenie zdarzeń niepożądanych (w związku z tym roszczeń odszkodowawczych)</w:t>
            </w:r>
            <w:r w:rsidR="000C7019">
              <w:rPr>
                <w:rFonts w:ascii="Times New Roman" w:hAnsi="Times New Roman"/>
                <w:color w:val="000000"/>
                <w:spacing w:val="-2"/>
              </w:rPr>
              <w:t>,</w:t>
            </w:r>
          </w:p>
          <w:p w14:paraId="7FC4E6FA" w14:textId="77777777" w:rsidR="00BF5C76" w:rsidRDefault="004903A3" w:rsidP="004903A3">
            <w:pPr>
              <w:numPr>
                <w:ilvl w:val="0"/>
                <w:numId w:val="4"/>
              </w:numPr>
              <w:spacing w:line="240" w:lineRule="auto"/>
              <w:rPr>
                <w:rFonts w:ascii="Times New Roman" w:hAnsi="Times New Roman"/>
                <w:color w:val="000000"/>
                <w:spacing w:val="-2"/>
              </w:rPr>
            </w:pPr>
            <w:r>
              <w:rPr>
                <w:rFonts w:ascii="Times New Roman" w:hAnsi="Times New Roman"/>
                <w:color w:val="000000"/>
                <w:spacing w:val="-2"/>
              </w:rPr>
              <w:t>poprawa skuteczności diagnostyki i leczenia</w:t>
            </w:r>
            <w:r w:rsidR="000C7019">
              <w:rPr>
                <w:rFonts w:ascii="Times New Roman" w:hAnsi="Times New Roman"/>
                <w:color w:val="000000"/>
                <w:spacing w:val="-2"/>
              </w:rPr>
              <w:t>,</w:t>
            </w:r>
          </w:p>
          <w:p w14:paraId="3FDDF3F0" w14:textId="77777777" w:rsidR="00850A13" w:rsidRDefault="00850A13" w:rsidP="004903A3">
            <w:pPr>
              <w:numPr>
                <w:ilvl w:val="0"/>
                <w:numId w:val="4"/>
              </w:numPr>
              <w:spacing w:line="240" w:lineRule="auto"/>
              <w:rPr>
                <w:rFonts w:ascii="Times New Roman" w:hAnsi="Times New Roman"/>
                <w:color w:val="000000"/>
                <w:spacing w:val="-2"/>
              </w:rPr>
            </w:pPr>
            <w:r>
              <w:rPr>
                <w:rFonts w:ascii="Times New Roman" w:hAnsi="Times New Roman"/>
                <w:color w:val="000000"/>
                <w:spacing w:val="-2"/>
              </w:rPr>
              <w:t>konieczność monitorowania zdarzeń niepożądanych</w:t>
            </w:r>
            <w:r w:rsidR="00D60A06">
              <w:rPr>
                <w:rFonts w:ascii="Times New Roman" w:hAnsi="Times New Roman"/>
                <w:color w:val="000000"/>
                <w:spacing w:val="-2"/>
              </w:rPr>
              <w:t>,</w:t>
            </w:r>
          </w:p>
          <w:p w14:paraId="40E4266A" w14:textId="77777777" w:rsidR="00D60A06" w:rsidRPr="004136B7" w:rsidRDefault="00D60A06" w:rsidP="004903A3">
            <w:pPr>
              <w:numPr>
                <w:ilvl w:val="0"/>
                <w:numId w:val="4"/>
              </w:numPr>
              <w:spacing w:line="240" w:lineRule="auto"/>
              <w:rPr>
                <w:rFonts w:ascii="Times New Roman" w:hAnsi="Times New Roman"/>
                <w:color w:val="000000"/>
                <w:spacing w:val="-2"/>
              </w:rPr>
            </w:pPr>
            <w:r>
              <w:rPr>
                <w:rFonts w:ascii="Times New Roman" w:hAnsi="Times New Roman"/>
                <w:color w:val="000000"/>
                <w:spacing w:val="-2"/>
              </w:rPr>
              <w:t>konieczność uzyskania autoryzacji</w:t>
            </w:r>
          </w:p>
        </w:tc>
      </w:tr>
      <w:tr w:rsidR="00147AA7" w:rsidRPr="008B4FE6" w14:paraId="7E520036" w14:textId="77777777" w:rsidTr="006E49F8">
        <w:trPr>
          <w:trHeight w:val="142"/>
        </w:trPr>
        <w:tc>
          <w:tcPr>
            <w:tcW w:w="2663" w:type="dxa"/>
            <w:gridSpan w:val="3"/>
            <w:shd w:val="clear" w:color="auto" w:fill="auto"/>
          </w:tcPr>
          <w:p w14:paraId="73B10060" w14:textId="77777777" w:rsidR="00147AA7" w:rsidRPr="00080800" w:rsidRDefault="00147AA7" w:rsidP="008A3178">
            <w:pPr>
              <w:spacing w:line="240" w:lineRule="auto"/>
              <w:rPr>
                <w:rFonts w:ascii="Times New Roman" w:hAnsi="Times New Roman"/>
                <w:spacing w:val="-2"/>
              </w:rPr>
            </w:pPr>
            <w:r>
              <w:rPr>
                <w:rFonts w:ascii="Times New Roman" w:hAnsi="Times New Roman"/>
              </w:rPr>
              <w:t>Centrum Monitorowania Jakości w Ochronie Zdrowia</w:t>
            </w:r>
            <w:r w:rsidR="00FE7321">
              <w:rPr>
                <w:rFonts w:ascii="Times New Roman" w:hAnsi="Times New Roman"/>
              </w:rPr>
              <w:t xml:space="preserve"> planowane do </w:t>
            </w:r>
            <w:r w:rsidR="00D60A06">
              <w:rPr>
                <w:rFonts w:ascii="Times New Roman" w:hAnsi="Times New Roman"/>
              </w:rPr>
              <w:t xml:space="preserve">włączenia w strukturę </w:t>
            </w:r>
            <w:r w:rsidR="0020329B">
              <w:rPr>
                <w:rFonts w:ascii="Times New Roman" w:hAnsi="Times New Roman"/>
              </w:rPr>
              <w:t>NFZ</w:t>
            </w:r>
          </w:p>
        </w:tc>
        <w:tc>
          <w:tcPr>
            <w:tcW w:w="2296" w:type="dxa"/>
            <w:gridSpan w:val="5"/>
            <w:shd w:val="clear" w:color="auto" w:fill="auto"/>
          </w:tcPr>
          <w:p w14:paraId="686852AA" w14:textId="77777777" w:rsidR="002F2A9F" w:rsidRDefault="00AA73EC" w:rsidP="0020329B">
            <w:pPr>
              <w:spacing w:line="240" w:lineRule="auto"/>
              <w:jc w:val="center"/>
              <w:rPr>
                <w:rFonts w:ascii="Times New Roman" w:hAnsi="Times New Roman"/>
                <w:spacing w:val="-2"/>
              </w:rPr>
            </w:pPr>
            <w:r>
              <w:rPr>
                <w:rFonts w:ascii="Times New Roman" w:hAnsi="Times New Roman"/>
                <w:spacing w:val="-2"/>
              </w:rPr>
              <w:t>17</w:t>
            </w:r>
            <w:r w:rsidR="00147AA7">
              <w:rPr>
                <w:rFonts w:ascii="Times New Roman" w:hAnsi="Times New Roman"/>
                <w:spacing w:val="-2"/>
              </w:rPr>
              <w:t xml:space="preserve"> pracowników</w:t>
            </w:r>
          </w:p>
          <w:p w14:paraId="05384444" w14:textId="77777777" w:rsidR="00147AA7" w:rsidRPr="00080800" w:rsidRDefault="00147AA7" w:rsidP="0020329B">
            <w:pPr>
              <w:spacing w:line="240" w:lineRule="auto"/>
              <w:jc w:val="center"/>
              <w:rPr>
                <w:rFonts w:ascii="Times New Roman" w:hAnsi="Times New Roman"/>
                <w:spacing w:val="-2"/>
              </w:rPr>
            </w:pPr>
            <w:r>
              <w:rPr>
                <w:rFonts w:ascii="Times New Roman" w:hAnsi="Times New Roman"/>
                <w:spacing w:val="-2"/>
              </w:rPr>
              <w:t>(w przeliczeniu na pełne etaty)</w:t>
            </w:r>
          </w:p>
        </w:tc>
        <w:tc>
          <w:tcPr>
            <w:tcW w:w="2853" w:type="dxa"/>
            <w:gridSpan w:val="10"/>
            <w:shd w:val="clear" w:color="auto" w:fill="auto"/>
          </w:tcPr>
          <w:p w14:paraId="5A9F8585" w14:textId="77777777" w:rsidR="00147AA7" w:rsidRPr="00AF5B78" w:rsidRDefault="00147AA7" w:rsidP="0020329B">
            <w:pPr>
              <w:spacing w:line="240" w:lineRule="auto"/>
              <w:jc w:val="center"/>
              <w:rPr>
                <w:rFonts w:ascii="Times New Roman" w:hAnsi="Times New Roman"/>
                <w:color w:val="000000"/>
                <w:spacing w:val="-2"/>
              </w:rPr>
            </w:pPr>
            <w:r>
              <w:rPr>
                <w:rFonts w:ascii="Times New Roman" w:hAnsi="Times New Roman"/>
                <w:color w:val="000000"/>
                <w:spacing w:val="-2"/>
              </w:rPr>
              <w:t>Centrum Monitorowania Jakości w Ochronie Zdrowia</w:t>
            </w:r>
          </w:p>
        </w:tc>
        <w:tc>
          <w:tcPr>
            <w:tcW w:w="3104" w:type="dxa"/>
            <w:gridSpan w:val="7"/>
            <w:shd w:val="clear" w:color="auto" w:fill="auto"/>
          </w:tcPr>
          <w:p w14:paraId="34D22E96" w14:textId="77777777" w:rsidR="00BF5C76" w:rsidRPr="006B2951" w:rsidRDefault="00850A13" w:rsidP="00331BD2">
            <w:pPr>
              <w:spacing w:line="240" w:lineRule="auto"/>
              <w:rPr>
                <w:rFonts w:ascii="Times New Roman" w:hAnsi="Times New Roman"/>
                <w:color w:val="000000"/>
                <w:spacing w:val="-2"/>
              </w:rPr>
            </w:pPr>
            <w:r>
              <w:rPr>
                <w:rFonts w:ascii="Times New Roman" w:hAnsi="Times New Roman"/>
                <w:color w:val="000000"/>
                <w:spacing w:val="-2"/>
              </w:rPr>
              <w:t xml:space="preserve">likwidacja i przeniesienie zadań oraz pracowników do struktury </w:t>
            </w:r>
            <w:r w:rsidR="0020329B">
              <w:rPr>
                <w:rFonts w:ascii="Times New Roman" w:hAnsi="Times New Roman"/>
                <w:color w:val="000000"/>
                <w:spacing w:val="-2"/>
              </w:rPr>
              <w:t>NFZ</w:t>
            </w:r>
          </w:p>
        </w:tc>
      </w:tr>
      <w:tr w:rsidR="00850A13" w:rsidRPr="008B4FE6" w14:paraId="7F0AF987" w14:textId="77777777" w:rsidTr="006E49F8">
        <w:trPr>
          <w:trHeight w:val="142"/>
        </w:trPr>
        <w:tc>
          <w:tcPr>
            <w:tcW w:w="2663" w:type="dxa"/>
            <w:gridSpan w:val="3"/>
            <w:shd w:val="clear" w:color="auto" w:fill="auto"/>
          </w:tcPr>
          <w:p w14:paraId="2ADF2203" w14:textId="72AA22C1" w:rsidR="00850A13" w:rsidRDefault="0020329B" w:rsidP="008A3178">
            <w:pPr>
              <w:spacing w:line="240" w:lineRule="auto"/>
              <w:rPr>
                <w:rFonts w:ascii="Times New Roman" w:hAnsi="Times New Roman"/>
              </w:rPr>
            </w:pPr>
            <w:r>
              <w:rPr>
                <w:rFonts w:ascii="Times New Roman" w:hAnsi="Times New Roman"/>
              </w:rPr>
              <w:t>NFZ</w:t>
            </w:r>
            <w:r w:rsidR="003B688C">
              <w:rPr>
                <w:rFonts w:ascii="Times New Roman" w:hAnsi="Times New Roman"/>
              </w:rPr>
              <w:t xml:space="preserve"> (Centrala i 16 OW NFZ)</w:t>
            </w:r>
          </w:p>
        </w:tc>
        <w:tc>
          <w:tcPr>
            <w:tcW w:w="2296" w:type="dxa"/>
            <w:gridSpan w:val="5"/>
            <w:shd w:val="clear" w:color="auto" w:fill="auto"/>
          </w:tcPr>
          <w:p w14:paraId="4D289372" w14:textId="77777777" w:rsidR="00850A13" w:rsidRDefault="00850A13" w:rsidP="0020329B">
            <w:pPr>
              <w:spacing w:line="240" w:lineRule="auto"/>
              <w:jc w:val="center"/>
              <w:rPr>
                <w:rFonts w:ascii="Times New Roman" w:hAnsi="Times New Roman"/>
                <w:spacing w:val="-2"/>
              </w:rPr>
            </w:pPr>
            <w:r>
              <w:rPr>
                <w:rFonts w:ascii="Times New Roman" w:hAnsi="Times New Roman"/>
                <w:spacing w:val="-2"/>
              </w:rPr>
              <w:t>1</w:t>
            </w:r>
          </w:p>
        </w:tc>
        <w:tc>
          <w:tcPr>
            <w:tcW w:w="2853" w:type="dxa"/>
            <w:gridSpan w:val="10"/>
            <w:shd w:val="clear" w:color="auto" w:fill="auto"/>
          </w:tcPr>
          <w:p w14:paraId="28AD6BC2" w14:textId="77777777" w:rsidR="00850A13" w:rsidRDefault="002F2A9F" w:rsidP="0020329B">
            <w:pPr>
              <w:spacing w:line="240" w:lineRule="auto"/>
              <w:jc w:val="center"/>
              <w:rPr>
                <w:rFonts w:ascii="Times New Roman" w:hAnsi="Times New Roman"/>
                <w:color w:val="000000"/>
                <w:spacing w:val="-2"/>
              </w:rPr>
            </w:pPr>
            <w:r>
              <w:rPr>
                <w:rFonts w:ascii="Times New Roman" w:hAnsi="Times New Roman"/>
                <w:color w:val="000000"/>
                <w:spacing w:val="-2"/>
              </w:rPr>
              <w:t>dane własne</w:t>
            </w:r>
          </w:p>
        </w:tc>
        <w:tc>
          <w:tcPr>
            <w:tcW w:w="3104" w:type="dxa"/>
            <w:gridSpan w:val="7"/>
            <w:shd w:val="clear" w:color="auto" w:fill="auto"/>
          </w:tcPr>
          <w:p w14:paraId="200BC82C" w14:textId="77777777" w:rsidR="00850A13" w:rsidRDefault="00850A13" w:rsidP="00331BD2">
            <w:pPr>
              <w:spacing w:line="240" w:lineRule="auto"/>
              <w:rPr>
                <w:rFonts w:ascii="Times New Roman" w:hAnsi="Times New Roman"/>
                <w:color w:val="000000"/>
                <w:spacing w:val="-2"/>
              </w:rPr>
            </w:pPr>
            <w:r>
              <w:rPr>
                <w:rFonts w:ascii="Times New Roman" w:hAnsi="Times New Roman"/>
                <w:color w:val="000000"/>
                <w:spacing w:val="-2"/>
              </w:rPr>
              <w:t>rozszerzenie zakresu zadań o prowadzenie autoryzacji, akredytacji, obsługi Rady Akredytacyjnej, monitorowanie zdarzeń niepożądanych</w:t>
            </w:r>
          </w:p>
        </w:tc>
      </w:tr>
      <w:tr w:rsidR="00BF5C76" w:rsidRPr="008B4FE6" w14:paraId="612593DF" w14:textId="77777777" w:rsidTr="006E49F8">
        <w:trPr>
          <w:trHeight w:val="142"/>
        </w:trPr>
        <w:tc>
          <w:tcPr>
            <w:tcW w:w="2663" w:type="dxa"/>
            <w:gridSpan w:val="3"/>
            <w:shd w:val="clear" w:color="auto" w:fill="auto"/>
          </w:tcPr>
          <w:p w14:paraId="63139D10" w14:textId="77777777" w:rsidR="00BF5C76" w:rsidRDefault="00D60A06" w:rsidP="008A3178">
            <w:pPr>
              <w:spacing w:line="240" w:lineRule="auto"/>
              <w:rPr>
                <w:rFonts w:ascii="Times New Roman" w:hAnsi="Times New Roman"/>
              </w:rPr>
            </w:pPr>
            <w:r>
              <w:rPr>
                <w:rFonts w:ascii="Times New Roman" w:hAnsi="Times New Roman"/>
              </w:rPr>
              <w:t>Rzecznik Praw Pacjenta</w:t>
            </w:r>
          </w:p>
        </w:tc>
        <w:tc>
          <w:tcPr>
            <w:tcW w:w="2296" w:type="dxa"/>
            <w:gridSpan w:val="5"/>
            <w:shd w:val="clear" w:color="auto" w:fill="auto"/>
          </w:tcPr>
          <w:p w14:paraId="027D53BF" w14:textId="77777777" w:rsidR="00BF5C76" w:rsidRDefault="002F2A9F" w:rsidP="0020329B">
            <w:pPr>
              <w:spacing w:line="240" w:lineRule="auto"/>
              <w:jc w:val="center"/>
              <w:rPr>
                <w:rFonts w:ascii="Times New Roman" w:hAnsi="Times New Roman"/>
                <w:spacing w:val="-2"/>
              </w:rPr>
            </w:pPr>
            <w:r>
              <w:rPr>
                <w:rFonts w:ascii="Times New Roman" w:hAnsi="Times New Roman"/>
                <w:spacing w:val="-2"/>
              </w:rPr>
              <w:t>1</w:t>
            </w:r>
          </w:p>
        </w:tc>
        <w:tc>
          <w:tcPr>
            <w:tcW w:w="2853" w:type="dxa"/>
            <w:gridSpan w:val="10"/>
            <w:shd w:val="clear" w:color="auto" w:fill="auto"/>
          </w:tcPr>
          <w:p w14:paraId="1D026D34" w14:textId="77777777" w:rsidR="00BF5C76" w:rsidRPr="0021411F" w:rsidRDefault="002F2A9F" w:rsidP="0020329B">
            <w:pPr>
              <w:spacing w:line="240" w:lineRule="auto"/>
              <w:jc w:val="center"/>
              <w:rPr>
                <w:rFonts w:ascii="Times New Roman" w:hAnsi="Times New Roman"/>
                <w:color w:val="000000"/>
                <w:spacing w:val="-2"/>
              </w:rPr>
            </w:pPr>
            <w:r>
              <w:rPr>
                <w:rFonts w:ascii="Times New Roman" w:hAnsi="Times New Roman"/>
                <w:color w:val="000000"/>
                <w:spacing w:val="-2"/>
              </w:rPr>
              <w:t>dane własne</w:t>
            </w:r>
          </w:p>
        </w:tc>
        <w:tc>
          <w:tcPr>
            <w:tcW w:w="3104" w:type="dxa"/>
            <w:gridSpan w:val="7"/>
            <w:shd w:val="clear" w:color="auto" w:fill="auto"/>
          </w:tcPr>
          <w:p w14:paraId="01241AD2" w14:textId="77777777" w:rsidR="00BF5C76" w:rsidRPr="00AF5B78" w:rsidRDefault="00D60A06" w:rsidP="00331BD2">
            <w:pPr>
              <w:spacing w:line="240" w:lineRule="auto"/>
              <w:rPr>
                <w:rFonts w:ascii="Times New Roman" w:hAnsi="Times New Roman"/>
                <w:color w:val="000000"/>
                <w:spacing w:val="-2"/>
              </w:rPr>
            </w:pPr>
            <w:r>
              <w:rPr>
                <w:rFonts w:ascii="Times New Roman" w:hAnsi="Times New Roman"/>
                <w:color w:val="000000"/>
                <w:spacing w:val="-2"/>
              </w:rPr>
              <w:t xml:space="preserve">realizacja zadań związanych z </w:t>
            </w:r>
            <w:r w:rsidRPr="00D60A06">
              <w:rPr>
                <w:rFonts w:ascii="Times New Roman" w:hAnsi="Times New Roman"/>
                <w:color w:val="000000"/>
                <w:spacing w:val="-2"/>
              </w:rPr>
              <w:t>pozasądow</w:t>
            </w:r>
            <w:r>
              <w:rPr>
                <w:rFonts w:ascii="Times New Roman" w:hAnsi="Times New Roman"/>
                <w:color w:val="000000"/>
                <w:spacing w:val="-2"/>
              </w:rPr>
              <w:t>ym</w:t>
            </w:r>
            <w:r w:rsidRPr="00D60A06">
              <w:rPr>
                <w:rFonts w:ascii="Times New Roman" w:hAnsi="Times New Roman"/>
                <w:color w:val="000000"/>
                <w:spacing w:val="-2"/>
              </w:rPr>
              <w:t xml:space="preserve"> system</w:t>
            </w:r>
            <w:r>
              <w:rPr>
                <w:rFonts w:ascii="Times New Roman" w:hAnsi="Times New Roman"/>
                <w:color w:val="000000"/>
                <w:spacing w:val="-2"/>
              </w:rPr>
              <w:t>em</w:t>
            </w:r>
            <w:r w:rsidRPr="00D60A06">
              <w:rPr>
                <w:rFonts w:ascii="Times New Roman" w:hAnsi="Times New Roman"/>
                <w:color w:val="000000"/>
                <w:spacing w:val="-2"/>
              </w:rPr>
              <w:t xml:space="preserve"> rekompensat</w:t>
            </w:r>
            <w:r>
              <w:rPr>
                <w:rFonts w:ascii="Times New Roman" w:hAnsi="Times New Roman"/>
                <w:color w:val="000000"/>
                <w:spacing w:val="-2"/>
              </w:rPr>
              <w:t xml:space="preserve"> </w:t>
            </w:r>
            <w:r w:rsidRPr="00D60A06">
              <w:rPr>
                <w:rFonts w:ascii="Times New Roman" w:hAnsi="Times New Roman"/>
                <w:color w:val="000000"/>
                <w:spacing w:val="-2"/>
              </w:rPr>
              <w:t xml:space="preserve">szkód z tytułu zdarzeń medycznych </w:t>
            </w:r>
          </w:p>
        </w:tc>
      </w:tr>
      <w:tr w:rsidR="00850A13" w:rsidRPr="008B4FE6" w14:paraId="6588F3DC" w14:textId="77777777" w:rsidTr="006E49F8">
        <w:trPr>
          <w:trHeight w:val="142"/>
        </w:trPr>
        <w:tc>
          <w:tcPr>
            <w:tcW w:w="2663" w:type="dxa"/>
            <w:gridSpan w:val="3"/>
            <w:shd w:val="clear" w:color="auto" w:fill="auto"/>
          </w:tcPr>
          <w:p w14:paraId="79A6CAF2" w14:textId="77777777" w:rsidR="00850A13" w:rsidRDefault="0020329B" w:rsidP="008A3178">
            <w:pPr>
              <w:spacing w:line="240" w:lineRule="auto"/>
              <w:rPr>
                <w:rFonts w:ascii="Times New Roman" w:hAnsi="Times New Roman"/>
              </w:rPr>
            </w:pPr>
            <w:r>
              <w:rPr>
                <w:rFonts w:ascii="Times New Roman" w:hAnsi="Times New Roman"/>
              </w:rPr>
              <w:t>P</w:t>
            </w:r>
            <w:r w:rsidR="00D60A06">
              <w:rPr>
                <w:rFonts w:ascii="Times New Roman" w:hAnsi="Times New Roman"/>
              </w:rPr>
              <w:t>acjenci</w:t>
            </w:r>
          </w:p>
        </w:tc>
        <w:tc>
          <w:tcPr>
            <w:tcW w:w="2296" w:type="dxa"/>
            <w:gridSpan w:val="5"/>
            <w:shd w:val="clear" w:color="auto" w:fill="auto"/>
          </w:tcPr>
          <w:p w14:paraId="0EC491AA" w14:textId="77777777" w:rsidR="00850A13" w:rsidRDefault="00850A13" w:rsidP="00DA7A8E">
            <w:pPr>
              <w:spacing w:line="240" w:lineRule="auto"/>
              <w:jc w:val="center"/>
              <w:rPr>
                <w:rFonts w:ascii="Times New Roman" w:hAnsi="Times New Roman"/>
                <w:spacing w:val="-2"/>
              </w:rPr>
            </w:pPr>
          </w:p>
        </w:tc>
        <w:tc>
          <w:tcPr>
            <w:tcW w:w="2853" w:type="dxa"/>
            <w:gridSpan w:val="10"/>
            <w:shd w:val="clear" w:color="auto" w:fill="auto"/>
          </w:tcPr>
          <w:p w14:paraId="2614E207" w14:textId="77777777" w:rsidR="00850A13" w:rsidRDefault="00850A13" w:rsidP="00DA7A8E">
            <w:pPr>
              <w:spacing w:line="240" w:lineRule="auto"/>
              <w:jc w:val="center"/>
              <w:rPr>
                <w:rFonts w:ascii="Times New Roman" w:hAnsi="Times New Roman"/>
                <w:color w:val="000000"/>
                <w:shd w:val="clear" w:color="auto" w:fill="FFFFFF"/>
              </w:rPr>
            </w:pPr>
          </w:p>
        </w:tc>
        <w:tc>
          <w:tcPr>
            <w:tcW w:w="3104" w:type="dxa"/>
            <w:gridSpan w:val="7"/>
            <w:shd w:val="clear" w:color="auto" w:fill="auto"/>
          </w:tcPr>
          <w:p w14:paraId="0A2FF406" w14:textId="77777777" w:rsidR="00850A13" w:rsidRDefault="00D60A06" w:rsidP="00DA7A8E">
            <w:pPr>
              <w:numPr>
                <w:ilvl w:val="0"/>
                <w:numId w:val="4"/>
              </w:numPr>
              <w:spacing w:line="240" w:lineRule="auto"/>
              <w:rPr>
                <w:rFonts w:ascii="Times New Roman" w:hAnsi="Times New Roman"/>
                <w:color w:val="000000"/>
                <w:spacing w:val="-2"/>
              </w:rPr>
            </w:pPr>
            <w:r>
              <w:rPr>
                <w:rFonts w:ascii="Times New Roman" w:hAnsi="Times New Roman"/>
                <w:color w:val="000000"/>
                <w:spacing w:val="-2"/>
              </w:rPr>
              <w:t>poprawa jakości świadczeń opieki zdrowotnej,</w:t>
            </w:r>
          </w:p>
          <w:p w14:paraId="6CB1369C" w14:textId="77777777" w:rsidR="00D60A06" w:rsidRDefault="00D60A06" w:rsidP="00DA7A8E">
            <w:pPr>
              <w:numPr>
                <w:ilvl w:val="0"/>
                <w:numId w:val="4"/>
              </w:numPr>
              <w:spacing w:line="240" w:lineRule="auto"/>
              <w:rPr>
                <w:rFonts w:ascii="Times New Roman" w:hAnsi="Times New Roman"/>
                <w:color w:val="000000"/>
                <w:spacing w:val="-2"/>
              </w:rPr>
            </w:pPr>
            <w:r>
              <w:rPr>
                <w:rFonts w:ascii="Times New Roman" w:hAnsi="Times New Roman"/>
                <w:color w:val="000000"/>
                <w:spacing w:val="-2"/>
              </w:rPr>
              <w:t>ułatwienie możliwości uzyskana odszkodowania  z tytułu zdarzeń niepożądanych</w:t>
            </w:r>
          </w:p>
        </w:tc>
      </w:tr>
      <w:tr w:rsidR="00302F3F" w:rsidRPr="008B4FE6" w14:paraId="69413CD2" w14:textId="77777777" w:rsidTr="003E4722">
        <w:trPr>
          <w:trHeight w:val="302"/>
        </w:trPr>
        <w:tc>
          <w:tcPr>
            <w:tcW w:w="10916" w:type="dxa"/>
            <w:gridSpan w:val="25"/>
            <w:shd w:val="clear" w:color="auto" w:fill="99CCFF"/>
            <w:vAlign w:val="center"/>
          </w:tcPr>
          <w:p w14:paraId="52001C0F" w14:textId="77777777" w:rsidR="00302F3F" w:rsidRPr="00D85279" w:rsidRDefault="00302F3F" w:rsidP="00DA7A8E">
            <w:pPr>
              <w:numPr>
                <w:ilvl w:val="0"/>
                <w:numId w:val="1"/>
              </w:numPr>
              <w:spacing w:line="240" w:lineRule="auto"/>
              <w:ind w:left="318" w:hanging="284"/>
              <w:jc w:val="both"/>
              <w:rPr>
                <w:rFonts w:ascii="Times New Roman" w:hAnsi="Times New Roman"/>
                <w:b/>
                <w:color w:val="000000"/>
              </w:rPr>
            </w:pPr>
            <w:r w:rsidRPr="00D85279">
              <w:rPr>
                <w:rFonts w:ascii="Times New Roman" w:hAnsi="Times New Roman"/>
                <w:b/>
                <w:color w:val="000000"/>
              </w:rPr>
              <w:t>Informacje na temat zakresu, czasu trwania i podsumowanie wyników konsultacji</w:t>
            </w:r>
          </w:p>
        </w:tc>
      </w:tr>
      <w:tr w:rsidR="00302F3F" w:rsidRPr="008B4FE6" w14:paraId="1A4F4F43" w14:textId="77777777" w:rsidTr="003E4722">
        <w:trPr>
          <w:trHeight w:val="342"/>
        </w:trPr>
        <w:tc>
          <w:tcPr>
            <w:tcW w:w="10916" w:type="dxa"/>
            <w:gridSpan w:val="25"/>
            <w:shd w:val="clear" w:color="auto" w:fill="FFFFFF"/>
          </w:tcPr>
          <w:p w14:paraId="06C7282C" w14:textId="77777777" w:rsidR="001314DF" w:rsidRDefault="00074E13" w:rsidP="00331BD2">
            <w:pPr>
              <w:spacing w:line="240" w:lineRule="auto"/>
              <w:jc w:val="both"/>
              <w:rPr>
                <w:rFonts w:ascii="Times New Roman" w:eastAsia="Times New Roman" w:hAnsi="Times New Roman"/>
                <w:bCs/>
                <w:lang w:eastAsia="pl-PL"/>
              </w:rPr>
            </w:pPr>
            <w:r>
              <w:rPr>
                <w:rFonts w:ascii="Times New Roman" w:hAnsi="Times New Roman"/>
              </w:rPr>
              <w:t xml:space="preserve">Projekt ustawy nie był przedmiotem </w:t>
            </w:r>
            <w:r w:rsidR="00302F3F">
              <w:rPr>
                <w:rFonts w:ascii="Times New Roman" w:hAnsi="Times New Roman"/>
              </w:rPr>
              <w:t>pre-konsultacj</w:t>
            </w:r>
            <w:r>
              <w:rPr>
                <w:rFonts w:ascii="Times New Roman" w:hAnsi="Times New Roman"/>
              </w:rPr>
              <w:t>i</w:t>
            </w:r>
            <w:r w:rsidR="00302F3F">
              <w:rPr>
                <w:rFonts w:ascii="Times New Roman" w:hAnsi="Times New Roman"/>
              </w:rPr>
              <w:t>.</w:t>
            </w:r>
          </w:p>
          <w:p w14:paraId="215CD855" w14:textId="77777777" w:rsidR="00302F3F" w:rsidRPr="00ED0900" w:rsidRDefault="00302F3F" w:rsidP="00DA7A8E">
            <w:pPr>
              <w:autoSpaceDE w:val="0"/>
              <w:autoSpaceDN w:val="0"/>
              <w:adjustRightInd w:val="0"/>
              <w:spacing w:line="240" w:lineRule="auto"/>
              <w:jc w:val="both"/>
              <w:rPr>
                <w:rFonts w:ascii="Times New Roman" w:eastAsia="Times New Roman" w:hAnsi="Times New Roman"/>
                <w:bCs/>
                <w:lang w:eastAsia="pl-PL"/>
              </w:rPr>
            </w:pPr>
            <w:r w:rsidRPr="00ED0900">
              <w:rPr>
                <w:rFonts w:ascii="Times New Roman" w:eastAsia="Times New Roman" w:hAnsi="Times New Roman"/>
                <w:bCs/>
                <w:lang w:eastAsia="pl-PL"/>
              </w:rPr>
              <w:t xml:space="preserve">W ramach </w:t>
            </w:r>
            <w:r>
              <w:rPr>
                <w:rFonts w:ascii="Times New Roman" w:eastAsia="Times New Roman" w:hAnsi="Times New Roman"/>
                <w:bCs/>
                <w:lang w:eastAsia="pl-PL"/>
              </w:rPr>
              <w:t xml:space="preserve">30-dniowych </w:t>
            </w:r>
            <w:r w:rsidRPr="00ED0900">
              <w:rPr>
                <w:rFonts w:ascii="Times New Roman" w:eastAsia="Times New Roman" w:hAnsi="Times New Roman"/>
                <w:bCs/>
                <w:lang w:eastAsia="pl-PL"/>
              </w:rPr>
              <w:t xml:space="preserve">konsultacji </w:t>
            </w:r>
            <w:r>
              <w:rPr>
                <w:rFonts w:ascii="Times New Roman" w:eastAsia="Times New Roman" w:hAnsi="Times New Roman"/>
                <w:bCs/>
                <w:lang w:eastAsia="pl-PL"/>
              </w:rPr>
              <w:t xml:space="preserve">publicznych i opiniowania </w:t>
            </w:r>
            <w:r w:rsidRPr="00ED0900">
              <w:rPr>
                <w:rFonts w:ascii="Times New Roman" w:eastAsia="Times New Roman" w:hAnsi="Times New Roman"/>
                <w:bCs/>
                <w:lang w:eastAsia="pl-PL"/>
              </w:rPr>
              <w:t xml:space="preserve">projekt </w:t>
            </w:r>
            <w:r w:rsidR="00350F8D">
              <w:rPr>
                <w:rFonts w:ascii="Times New Roman" w:eastAsia="Times New Roman" w:hAnsi="Times New Roman"/>
                <w:bCs/>
                <w:lang w:eastAsia="pl-PL"/>
              </w:rPr>
              <w:t xml:space="preserve">ustawy </w:t>
            </w:r>
            <w:r>
              <w:rPr>
                <w:rFonts w:ascii="Times New Roman" w:eastAsia="Times New Roman" w:hAnsi="Times New Roman"/>
                <w:bCs/>
                <w:lang w:eastAsia="pl-PL"/>
              </w:rPr>
              <w:t>zosta</w:t>
            </w:r>
            <w:r w:rsidR="00350F8D">
              <w:rPr>
                <w:rFonts w:ascii="Times New Roman" w:eastAsia="Times New Roman" w:hAnsi="Times New Roman"/>
                <w:bCs/>
                <w:lang w:eastAsia="pl-PL"/>
              </w:rPr>
              <w:t>nie</w:t>
            </w:r>
            <w:r w:rsidRPr="00ED0900">
              <w:rPr>
                <w:rFonts w:ascii="Times New Roman" w:eastAsia="Times New Roman" w:hAnsi="Times New Roman"/>
                <w:bCs/>
                <w:lang w:eastAsia="pl-PL"/>
              </w:rPr>
              <w:t xml:space="preserve"> </w:t>
            </w:r>
            <w:r>
              <w:rPr>
                <w:rFonts w:ascii="Times New Roman" w:eastAsia="Times New Roman" w:hAnsi="Times New Roman"/>
                <w:bCs/>
                <w:lang w:eastAsia="pl-PL"/>
              </w:rPr>
              <w:t>przesłany do zaopiniowania przez następujące podmioty</w:t>
            </w:r>
            <w:r w:rsidRPr="00ED0900">
              <w:rPr>
                <w:rFonts w:ascii="Times New Roman" w:eastAsia="Times New Roman" w:hAnsi="Times New Roman"/>
                <w:bCs/>
                <w:lang w:eastAsia="pl-PL"/>
              </w:rPr>
              <w:t>:</w:t>
            </w:r>
          </w:p>
          <w:p w14:paraId="22BF956B" w14:textId="77777777" w:rsidR="00A508FF" w:rsidRPr="00A508FF" w:rsidRDefault="00A508FF" w:rsidP="00DA7A8E">
            <w:pPr>
              <w:numPr>
                <w:ilvl w:val="0"/>
                <w:numId w:val="2"/>
              </w:numPr>
              <w:autoSpaceDE w:val="0"/>
              <w:autoSpaceDN w:val="0"/>
              <w:adjustRightInd w:val="0"/>
              <w:spacing w:line="240" w:lineRule="auto"/>
              <w:jc w:val="both"/>
              <w:rPr>
                <w:rFonts w:ascii="Times New Roman" w:eastAsia="Times New Roman" w:hAnsi="Times New Roman"/>
                <w:lang w:eastAsia="pl-PL"/>
              </w:rPr>
            </w:pPr>
            <w:r w:rsidRPr="00A508FF">
              <w:rPr>
                <w:rFonts w:ascii="Times New Roman" w:eastAsia="Times New Roman" w:hAnsi="Times New Roman"/>
                <w:lang w:eastAsia="pl-PL"/>
              </w:rPr>
              <w:t>samorząd</w:t>
            </w:r>
            <w:r w:rsidR="009F7BF9">
              <w:rPr>
                <w:rFonts w:ascii="Times New Roman" w:eastAsia="Times New Roman" w:hAnsi="Times New Roman"/>
                <w:lang w:eastAsia="pl-PL"/>
              </w:rPr>
              <w:t>y</w:t>
            </w:r>
            <w:r w:rsidRPr="00A508FF">
              <w:rPr>
                <w:rFonts w:ascii="Times New Roman" w:eastAsia="Times New Roman" w:hAnsi="Times New Roman"/>
                <w:lang w:eastAsia="pl-PL"/>
              </w:rPr>
              <w:t xml:space="preserve"> zawodów medycznych (Naczelna Izba Lekarska, Naczelna Izba Aptekarska, Naczelna Izba Pielęgniarek i Położnych, Krajowa Izba Diagnostów Laboratoryjnych</w:t>
            </w:r>
            <w:r w:rsidR="00074E13">
              <w:rPr>
                <w:rFonts w:ascii="Times New Roman" w:eastAsia="Times New Roman" w:hAnsi="Times New Roman"/>
                <w:lang w:eastAsia="pl-PL"/>
              </w:rPr>
              <w:t>, Krajowa Izba Fizjoterapeutów</w:t>
            </w:r>
            <w:r w:rsidRPr="00A508FF">
              <w:rPr>
                <w:rFonts w:ascii="Times New Roman" w:eastAsia="Times New Roman" w:hAnsi="Times New Roman"/>
                <w:lang w:eastAsia="pl-PL"/>
              </w:rPr>
              <w:t>);</w:t>
            </w:r>
          </w:p>
          <w:p w14:paraId="2AD3EA17" w14:textId="101084C5" w:rsidR="00A508FF" w:rsidRPr="00A508FF" w:rsidRDefault="00A508FF" w:rsidP="00DA7A8E">
            <w:pPr>
              <w:numPr>
                <w:ilvl w:val="0"/>
                <w:numId w:val="2"/>
              </w:numPr>
              <w:autoSpaceDE w:val="0"/>
              <w:autoSpaceDN w:val="0"/>
              <w:adjustRightInd w:val="0"/>
              <w:spacing w:line="240" w:lineRule="auto"/>
              <w:jc w:val="both"/>
              <w:rPr>
                <w:rFonts w:ascii="Times New Roman" w:eastAsia="Times New Roman" w:hAnsi="Times New Roman"/>
                <w:lang w:eastAsia="pl-PL"/>
              </w:rPr>
            </w:pPr>
            <w:r w:rsidRPr="00A508FF">
              <w:rPr>
                <w:rFonts w:ascii="Times New Roman" w:eastAsia="Times New Roman" w:hAnsi="Times New Roman"/>
                <w:lang w:eastAsia="pl-PL"/>
              </w:rPr>
              <w:t>związki zawodow</w:t>
            </w:r>
            <w:r w:rsidR="009F7BF9">
              <w:rPr>
                <w:rFonts w:ascii="Times New Roman" w:eastAsia="Times New Roman" w:hAnsi="Times New Roman"/>
                <w:lang w:eastAsia="pl-PL"/>
              </w:rPr>
              <w:t>e</w:t>
            </w:r>
            <w:r w:rsidRPr="00A508FF">
              <w:rPr>
                <w:rFonts w:ascii="Times New Roman" w:eastAsia="Times New Roman" w:hAnsi="Times New Roman"/>
                <w:lang w:eastAsia="pl-PL"/>
              </w:rPr>
              <w:t xml:space="preserve"> (Ogólnopolski Związek Zawodowy Lekarzy, Ogólnopolski Związek Zawodowy Pielęgniarek i Położnych, Ogólnopolski Związek Zawodowy Położnych, Kolegium Pielęgniarek i Położnych Rodzinnych w Polsce, Ogólnopolski Związek Zawodowy Lekarzy Radiologów, Ogólnopolski Związek Zawodowy Techników Medycznych Radioterapii, Forum Związków Zawodowych, Federacja Związków Zawodowych Pracowników Ochrony Zdrowia, Krajowy Sekretariat Ochrony Zdrowia NSZZ „Solidarność 80”, Ogólnopolska Konfederacja Związków Zawodowych Pracowników Ochrony Zdrowia, Ogólnopolskie Porozumienie Związków Zawodowych, Sekretariat Ochrony Zdrowia Komis</w:t>
            </w:r>
            <w:r>
              <w:rPr>
                <w:rFonts w:ascii="Times New Roman" w:eastAsia="Times New Roman" w:hAnsi="Times New Roman"/>
                <w:lang w:eastAsia="pl-PL"/>
              </w:rPr>
              <w:t>ji Krajowej NSZZ „Solidarność”);</w:t>
            </w:r>
          </w:p>
          <w:p w14:paraId="1EC83206" w14:textId="66A62CC6" w:rsidR="00A508FF" w:rsidRPr="00A508FF" w:rsidRDefault="00A508FF" w:rsidP="00DA7A8E">
            <w:pPr>
              <w:numPr>
                <w:ilvl w:val="0"/>
                <w:numId w:val="2"/>
              </w:numPr>
              <w:autoSpaceDE w:val="0"/>
              <w:autoSpaceDN w:val="0"/>
              <w:adjustRightInd w:val="0"/>
              <w:spacing w:line="240" w:lineRule="auto"/>
              <w:jc w:val="both"/>
              <w:rPr>
                <w:rFonts w:ascii="Times New Roman" w:eastAsia="Times New Roman" w:hAnsi="Times New Roman"/>
                <w:lang w:eastAsia="pl-PL"/>
              </w:rPr>
            </w:pPr>
            <w:r w:rsidRPr="00A508FF">
              <w:rPr>
                <w:rFonts w:ascii="Times New Roman" w:eastAsia="Times New Roman" w:hAnsi="Times New Roman"/>
                <w:lang w:eastAsia="pl-PL"/>
              </w:rPr>
              <w:t>organizacj</w:t>
            </w:r>
            <w:r w:rsidR="009F7BF9">
              <w:rPr>
                <w:rFonts w:ascii="Times New Roman" w:eastAsia="Times New Roman" w:hAnsi="Times New Roman"/>
                <w:lang w:eastAsia="pl-PL"/>
              </w:rPr>
              <w:t>e</w:t>
            </w:r>
            <w:r w:rsidRPr="00A508FF">
              <w:rPr>
                <w:rFonts w:ascii="Times New Roman" w:eastAsia="Times New Roman" w:hAnsi="Times New Roman"/>
                <w:lang w:eastAsia="pl-PL"/>
              </w:rPr>
              <w:t xml:space="preserve"> pracodawców w ochronie zdrowia (Business Centre Club, Federacja Związków Pracodawców Zakładów Opieki Zdrowotnej, Ogólnopolski Związek Pracodawców Samodzielnych Publicznych Szpitali Klinicznych, Federacja Związków Pracodawców Ochrony Zdrowia „Porozumienie Zielonogórskie”, Ogólnopolskie Stowarzyszenie Szpitali Prywatnych, Polska Federacja Pracodawców Ochrony Zdrowia, Pracodawcy Rzeczypospolitej Polskiej, Związek Powiatowych Samodzielnych Publicznych Zakładów Opieki Zdrowotnej Województwa Wielkopolskiego – Organizacja Pracodawców w Gnieźnie, Związek Pracodawców Samodzielnych Publicznych ZOZ Warmii i Mazur, Związek Pracodawców Służby Zdrowia w Łodzi, Wielkopolski Związek Zakładów Opieki Zdrowotnej – Organizacja Pracodawców, Porozumienie Pracodawców Ochrony Zdrowia, Konfederacja „Lewiatan”, Związek Rzemiosła Polskiego, Związek Powiatowych Publicznych Zakładów Opieki Zdrowot</w:t>
            </w:r>
            <w:r>
              <w:rPr>
                <w:rFonts w:ascii="Times New Roman" w:eastAsia="Times New Roman" w:hAnsi="Times New Roman"/>
                <w:lang w:eastAsia="pl-PL"/>
              </w:rPr>
              <w:t>nej Województwa Podkarpackiego);</w:t>
            </w:r>
          </w:p>
          <w:p w14:paraId="0133D677" w14:textId="191CBE50" w:rsidR="00A508FF" w:rsidRPr="00A508FF" w:rsidRDefault="00A508FF" w:rsidP="00DA7A8E">
            <w:pPr>
              <w:numPr>
                <w:ilvl w:val="0"/>
                <w:numId w:val="2"/>
              </w:numPr>
              <w:autoSpaceDE w:val="0"/>
              <w:autoSpaceDN w:val="0"/>
              <w:adjustRightInd w:val="0"/>
              <w:spacing w:line="240" w:lineRule="auto"/>
              <w:jc w:val="both"/>
              <w:rPr>
                <w:rFonts w:ascii="Times New Roman" w:eastAsia="Times New Roman" w:hAnsi="Times New Roman"/>
                <w:lang w:eastAsia="pl-PL"/>
              </w:rPr>
            </w:pPr>
            <w:r w:rsidRPr="00A508FF">
              <w:rPr>
                <w:rFonts w:ascii="Times New Roman" w:eastAsia="Times New Roman" w:hAnsi="Times New Roman"/>
                <w:lang w:eastAsia="pl-PL"/>
              </w:rPr>
              <w:t>stowarzyszenia i fundacj</w:t>
            </w:r>
            <w:r w:rsidR="009F7BF9">
              <w:rPr>
                <w:rFonts w:ascii="Times New Roman" w:eastAsia="Times New Roman" w:hAnsi="Times New Roman"/>
                <w:lang w:eastAsia="pl-PL"/>
              </w:rPr>
              <w:t>e</w:t>
            </w:r>
            <w:r w:rsidRPr="00A508FF">
              <w:rPr>
                <w:rFonts w:ascii="Times New Roman" w:eastAsia="Times New Roman" w:hAnsi="Times New Roman"/>
                <w:lang w:eastAsia="pl-PL"/>
              </w:rPr>
              <w:t xml:space="preserve"> w ochronie zdrowia (Unia Metropolii Polskich, Unia Uzdrowisk Polskich, Związek Powiatów Polskich, Związek Miast Polskich, Związek Gmin Wiejskich RP, Unia Miasteczek Polskich, Federacja Regionalnych Związków Gmin i Powiatów RP, Kolegium Lekarzy Rodzinnych, Stowarzyszenie Dyrektorów Szpitali Klinicznych, Stowarzyszenie Menadżerów Opieki Zdrowotnej STOMOZ, Stowarzyszenie Premium Non Nocere, Stowarzyszenie Szpitali Powiatowych Województwa Małopolskiego, Polskie Stowarzyszenie Dyrektorów Szpitali, Izba Lecznictwa Polskiego, Polska Unia Szpitali Klinicznych, Konsorcjum Szpitali Wrocławskich</w:t>
            </w:r>
            <w:r>
              <w:rPr>
                <w:rFonts w:ascii="Times New Roman" w:eastAsia="Times New Roman" w:hAnsi="Times New Roman"/>
                <w:lang w:eastAsia="pl-PL"/>
              </w:rPr>
              <w:t>);</w:t>
            </w:r>
          </w:p>
          <w:p w14:paraId="3CB7553E" w14:textId="77777777" w:rsidR="00A508FF" w:rsidRPr="00A508FF" w:rsidRDefault="00A508FF" w:rsidP="00DA7A8E">
            <w:pPr>
              <w:numPr>
                <w:ilvl w:val="0"/>
                <w:numId w:val="2"/>
              </w:numPr>
              <w:autoSpaceDE w:val="0"/>
              <w:autoSpaceDN w:val="0"/>
              <w:adjustRightInd w:val="0"/>
              <w:spacing w:line="240" w:lineRule="auto"/>
              <w:jc w:val="both"/>
              <w:rPr>
                <w:rFonts w:ascii="Times New Roman" w:eastAsia="Times New Roman" w:hAnsi="Times New Roman"/>
                <w:lang w:eastAsia="pl-PL"/>
              </w:rPr>
            </w:pPr>
            <w:r w:rsidRPr="00A508FF">
              <w:rPr>
                <w:rFonts w:ascii="Times New Roman" w:eastAsia="Times New Roman" w:hAnsi="Times New Roman"/>
                <w:lang w:eastAsia="pl-PL"/>
              </w:rPr>
              <w:t>organizacj</w:t>
            </w:r>
            <w:r w:rsidR="009F7BF9">
              <w:rPr>
                <w:rFonts w:ascii="Times New Roman" w:eastAsia="Times New Roman" w:hAnsi="Times New Roman"/>
                <w:lang w:eastAsia="pl-PL"/>
              </w:rPr>
              <w:t>e</w:t>
            </w:r>
            <w:r w:rsidRPr="00A508FF">
              <w:rPr>
                <w:rFonts w:ascii="Times New Roman" w:eastAsia="Times New Roman" w:hAnsi="Times New Roman"/>
                <w:lang w:eastAsia="pl-PL"/>
              </w:rPr>
              <w:t xml:space="preserve"> zajmując</w:t>
            </w:r>
            <w:r w:rsidR="009F7BF9">
              <w:rPr>
                <w:rFonts w:ascii="Times New Roman" w:eastAsia="Times New Roman" w:hAnsi="Times New Roman"/>
                <w:lang w:eastAsia="pl-PL"/>
              </w:rPr>
              <w:t>e</w:t>
            </w:r>
            <w:r w:rsidRPr="00A508FF">
              <w:rPr>
                <w:rFonts w:ascii="Times New Roman" w:eastAsia="Times New Roman" w:hAnsi="Times New Roman"/>
                <w:lang w:eastAsia="pl-PL"/>
              </w:rPr>
              <w:t xml:space="preserve"> się ochroną interesów pacjentów (Federacja Pacjentów Polskich, Instytut Praw Pacjenta i Edukacji Zdrowotnej, Obywatelskie Sto</w:t>
            </w:r>
            <w:r>
              <w:rPr>
                <w:rFonts w:ascii="Times New Roman" w:eastAsia="Times New Roman" w:hAnsi="Times New Roman"/>
                <w:lang w:eastAsia="pl-PL"/>
              </w:rPr>
              <w:t>warzyszenie DLA DOBRA PACJENTA);</w:t>
            </w:r>
          </w:p>
          <w:p w14:paraId="79BA98AF" w14:textId="6E834191" w:rsidR="00A508FF" w:rsidRPr="00A508FF" w:rsidRDefault="00A508FF" w:rsidP="00DA7A8E">
            <w:pPr>
              <w:numPr>
                <w:ilvl w:val="0"/>
                <w:numId w:val="2"/>
              </w:numPr>
              <w:autoSpaceDE w:val="0"/>
              <w:autoSpaceDN w:val="0"/>
              <w:adjustRightInd w:val="0"/>
              <w:spacing w:line="240" w:lineRule="auto"/>
              <w:jc w:val="both"/>
              <w:rPr>
                <w:rFonts w:ascii="Times New Roman" w:eastAsia="Times New Roman" w:hAnsi="Times New Roman"/>
                <w:lang w:eastAsia="pl-PL"/>
              </w:rPr>
            </w:pPr>
            <w:r w:rsidRPr="00A508FF">
              <w:rPr>
                <w:rFonts w:ascii="Times New Roman" w:eastAsia="Times New Roman" w:hAnsi="Times New Roman"/>
                <w:lang w:eastAsia="pl-PL"/>
              </w:rPr>
              <w:t>Rad</w:t>
            </w:r>
            <w:r w:rsidR="00315699">
              <w:rPr>
                <w:rFonts w:ascii="Times New Roman" w:eastAsia="Times New Roman" w:hAnsi="Times New Roman"/>
                <w:lang w:eastAsia="pl-PL"/>
              </w:rPr>
              <w:t>ę</w:t>
            </w:r>
            <w:r w:rsidRPr="00A508FF">
              <w:rPr>
                <w:rFonts w:ascii="Times New Roman" w:eastAsia="Times New Roman" w:hAnsi="Times New Roman"/>
                <w:lang w:eastAsia="pl-PL"/>
              </w:rPr>
              <w:t xml:space="preserve"> Działalności Pożytku Publicznego, Rad</w:t>
            </w:r>
            <w:r w:rsidR="00315699">
              <w:rPr>
                <w:rFonts w:ascii="Times New Roman" w:eastAsia="Times New Roman" w:hAnsi="Times New Roman"/>
                <w:lang w:eastAsia="pl-PL"/>
              </w:rPr>
              <w:t>ę</w:t>
            </w:r>
            <w:r w:rsidRPr="00A508FF">
              <w:rPr>
                <w:rFonts w:ascii="Times New Roman" w:eastAsia="Times New Roman" w:hAnsi="Times New Roman"/>
                <w:lang w:eastAsia="pl-PL"/>
              </w:rPr>
              <w:t xml:space="preserve"> Dialogu Społecznego i Komisj</w:t>
            </w:r>
            <w:r w:rsidR="00315699">
              <w:rPr>
                <w:rFonts w:ascii="Times New Roman" w:eastAsia="Times New Roman" w:hAnsi="Times New Roman"/>
                <w:lang w:eastAsia="pl-PL"/>
              </w:rPr>
              <w:t>ę</w:t>
            </w:r>
            <w:r w:rsidRPr="00A508FF">
              <w:rPr>
                <w:rFonts w:ascii="Times New Roman" w:eastAsia="Times New Roman" w:hAnsi="Times New Roman"/>
                <w:lang w:eastAsia="pl-PL"/>
              </w:rPr>
              <w:t xml:space="preserve"> Wspólną Rządu i Samorządu Terytorialnego</w:t>
            </w:r>
            <w:r w:rsidR="00D609BC">
              <w:rPr>
                <w:rFonts w:ascii="Times New Roman" w:eastAsia="Times New Roman" w:hAnsi="Times New Roman"/>
                <w:lang w:eastAsia="pl-PL"/>
              </w:rPr>
              <w:t>.</w:t>
            </w:r>
          </w:p>
          <w:p w14:paraId="0515F999" w14:textId="77777777" w:rsidR="00736A87" w:rsidRDefault="00736A87" w:rsidP="00736A87">
            <w:pPr>
              <w:autoSpaceDE w:val="0"/>
              <w:autoSpaceDN w:val="0"/>
              <w:adjustRightInd w:val="0"/>
              <w:spacing w:line="240" w:lineRule="auto"/>
              <w:jc w:val="both"/>
              <w:rPr>
                <w:rFonts w:ascii="Times New Roman" w:eastAsia="Times New Roman" w:hAnsi="Times New Roman"/>
                <w:lang w:eastAsia="pl-PL"/>
              </w:rPr>
            </w:pPr>
          </w:p>
          <w:p w14:paraId="37151516" w14:textId="77777777" w:rsidR="00736A87" w:rsidRPr="00482382" w:rsidRDefault="00736A87" w:rsidP="00736A87">
            <w:pPr>
              <w:spacing w:line="240" w:lineRule="auto"/>
              <w:jc w:val="both"/>
              <w:rPr>
                <w:rFonts w:ascii="Times New Roman" w:hAnsi="Times New Roman"/>
                <w:color w:val="000000"/>
                <w:spacing w:val="-2"/>
              </w:rPr>
            </w:pPr>
            <w:r w:rsidRPr="00482382">
              <w:rPr>
                <w:rFonts w:ascii="Times New Roman" w:hAnsi="Times New Roman"/>
                <w:color w:val="000000"/>
                <w:spacing w:val="-2"/>
              </w:rPr>
              <w:t xml:space="preserve">Projekt </w:t>
            </w:r>
            <w:r>
              <w:rPr>
                <w:rFonts w:ascii="Times New Roman" w:hAnsi="Times New Roman"/>
                <w:color w:val="000000"/>
                <w:spacing w:val="-2"/>
              </w:rPr>
              <w:t xml:space="preserve">ustawy </w:t>
            </w:r>
            <w:r w:rsidRPr="00482382">
              <w:rPr>
                <w:rFonts w:ascii="Times New Roman" w:hAnsi="Times New Roman"/>
                <w:color w:val="000000"/>
                <w:spacing w:val="-2"/>
              </w:rPr>
              <w:t>zostanie udostępniony w Biuletynie Informacji Publicznej</w:t>
            </w:r>
            <w:r>
              <w:rPr>
                <w:rFonts w:ascii="Times New Roman" w:hAnsi="Times New Roman"/>
                <w:color w:val="000000"/>
                <w:spacing w:val="-2"/>
              </w:rPr>
              <w:t xml:space="preserve"> Ministerstwa Zdrowia</w:t>
            </w:r>
            <w:r w:rsidRPr="00482382">
              <w:rPr>
                <w:rFonts w:ascii="Times New Roman" w:hAnsi="Times New Roman"/>
                <w:color w:val="000000"/>
                <w:spacing w:val="-2"/>
              </w:rPr>
              <w:t xml:space="preserve">, stosownie do </w:t>
            </w:r>
            <w:r>
              <w:rPr>
                <w:rFonts w:ascii="Times New Roman" w:hAnsi="Times New Roman"/>
                <w:color w:val="000000"/>
                <w:spacing w:val="-2"/>
              </w:rPr>
              <w:br/>
            </w:r>
            <w:r w:rsidRPr="004F50BD">
              <w:rPr>
                <w:rFonts w:ascii="Times New Roman" w:hAnsi="Times New Roman"/>
                <w:color w:val="000000"/>
                <w:spacing w:val="-2"/>
              </w:rPr>
              <w:t xml:space="preserve">art. 5 </w:t>
            </w:r>
            <w:r w:rsidRPr="00482382">
              <w:rPr>
                <w:rFonts w:ascii="Times New Roman" w:hAnsi="Times New Roman"/>
                <w:color w:val="000000"/>
                <w:spacing w:val="-2"/>
              </w:rPr>
              <w:t>ustawy z dnia 7 lipca 2005 r. o działalności lobbingowej w procesie stanowienia prawa (Dz. U. z 2017 r. poz. 248</w:t>
            </w:r>
            <w:r>
              <w:rPr>
                <w:rFonts w:ascii="Times New Roman" w:hAnsi="Times New Roman"/>
                <w:color w:val="000000"/>
                <w:spacing w:val="-2"/>
              </w:rPr>
              <w:t>)</w:t>
            </w:r>
            <w:r w:rsidRPr="00482382">
              <w:rPr>
                <w:rFonts w:ascii="Times New Roman" w:hAnsi="Times New Roman"/>
                <w:color w:val="000000"/>
                <w:spacing w:val="-2"/>
              </w:rPr>
              <w:t>.</w:t>
            </w:r>
          </w:p>
          <w:p w14:paraId="3ED6B0CD" w14:textId="77777777" w:rsidR="00736A87" w:rsidRPr="00482382" w:rsidRDefault="00736A87" w:rsidP="00736A87">
            <w:pPr>
              <w:spacing w:line="240" w:lineRule="auto"/>
              <w:jc w:val="both"/>
              <w:rPr>
                <w:rFonts w:ascii="Times New Roman" w:hAnsi="Times New Roman"/>
                <w:color w:val="000000"/>
                <w:spacing w:val="-2"/>
              </w:rPr>
            </w:pPr>
            <w:r>
              <w:rPr>
                <w:rFonts w:ascii="Times New Roman" w:hAnsi="Times New Roman"/>
                <w:color w:val="000000"/>
                <w:spacing w:val="-2"/>
              </w:rPr>
              <w:t>Ponadto, p</w:t>
            </w:r>
            <w:r w:rsidRPr="00482382">
              <w:rPr>
                <w:rFonts w:ascii="Times New Roman" w:hAnsi="Times New Roman"/>
                <w:color w:val="000000"/>
                <w:spacing w:val="-2"/>
              </w:rPr>
              <w:t xml:space="preserve">rojekt </w:t>
            </w:r>
            <w:r w:rsidR="00EA476C">
              <w:rPr>
                <w:rFonts w:ascii="Times New Roman" w:hAnsi="Times New Roman"/>
                <w:color w:val="000000"/>
                <w:spacing w:val="-2"/>
              </w:rPr>
              <w:t>ustawy</w:t>
            </w:r>
            <w:r>
              <w:rPr>
                <w:rFonts w:ascii="Times New Roman" w:hAnsi="Times New Roman"/>
                <w:color w:val="000000"/>
                <w:spacing w:val="-2"/>
              </w:rPr>
              <w:t xml:space="preserve"> </w:t>
            </w:r>
            <w:r w:rsidRPr="00482382">
              <w:rPr>
                <w:rFonts w:ascii="Times New Roman" w:hAnsi="Times New Roman"/>
                <w:color w:val="000000"/>
                <w:spacing w:val="-2"/>
              </w:rPr>
              <w:t xml:space="preserve">zostanie również udostępniony w Biuletynie Informacji Publicznej Rządowego Centrum Legislacji, zgodnie z </w:t>
            </w:r>
            <w:r w:rsidRPr="004F50BD">
              <w:rPr>
                <w:rFonts w:ascii="Times New Roman" w:hAnsi="Times New Roman"/>
                <w:color w:val="000000"/>
                <w:spacing w:val="-2"/>
              </w:rPr>
              <w:t xml:space="preserve">§ 52 </w:t>
            </w:r>
            <w:r w:rsidRPr="00482382">
              <w:rPr>
                <w:rFonts w:ascii="Times New Roman" w:hAnsi="Times New Roman"/>
                <w:color w:val="000000"/>
                <w:spacing w:val="-2"/>
              </w:rPr>
              <w:t>uchwał</w:t>
            </w:r>
            <w:r>
              <w:rPr>
                <w:rFonts w:ascii="Times New Roman" w:hAnsi="Times New Roman"/>
                <w:color w:val="000000"/>
                <w:spacing w:val="-2"/>
              </w:rPr>
              <w:t>y</w:t>
            </w:r>
            <w:r w:rsidRPr="00482382">
              <w:rPr>
                <w:rFonts w:ascii="Times New Roman" w:hAnsi="Times New Roman"/>
                <w:color w:val="000000"/>
                <w:spacing w:val="-2"/>
              </w:rPr>
              <w:t xml:space="preserve"> nr 190 Rady Ministrów z dnia 29 października 2013 r. – Regulamin pracy Rady Ministrów (M.P. z 2016 r. poz. 1006</w:t>
            </w:r>
            <w:r w:rsidR="003F5150">
              <w:rPr>
                <w:rFonts w:ascii="Times New Roman" w:hAnsi="Times New Roman"/>
                <w:color w:val="000000"/>
                <w:spacing w:val="-2"/>
              </w:rPr>
              <w:t>, z późn. zm.</w:t>
            </w:r>
            <w:r w:rsidRPr="00482382">
              <w:rPr>
                <w:rFonts w:ascii="Times New Roman" w:hAnsi="Times New Roman"/>
                <w:color w:val="000000"/>
                <w:spacing w:val="-2"/>
              </w:rPr>
              <w:t>).</w:t>
            </w:r>
          </w:p>
          <w:p w14:paraId="4D499112" w14:textId="77777777" w:rsidR="00736A87" w:rsidRPr="008A7E5B" w:rsidRDefault="00736A87" w:rsidP="008A3178">
            <w:pPr>
              <w:spacing w:line="240" w:lineRule="auto"/>
              <w:jc w:val="both"/>
              <w:rPr>
                <w:rFonts w:ascii="Times New Roman" w:hAnsi="Times New Roman"/>
                <w:color w:val="000000"/>
              </w:rPr>
            </w:pPr>
            <w:r w:rsidRPr="004F50BD">
              <w:rPr>
                <w:rFonts w:ascii="Times New Roman" w:hAnsi="Times New Roman"/>
                <w:color w:val="000000"/>
                <w:spacing w:val="-2"/>
              </w:rPr>
              <w:t xml:space="preserve">Wyniki konsultacji </w:t>
            </w:r>
            <w:r w:rsidR="003654E2">
              <w:rPr>
                <w:rFonts w:ascii="Times New Roman" w:hAnsi="Times New Roman"/>
                <w:color w:val="000000"/>
                <w:spacing w:val="-2"/>
              </w:rPr>
              <w:t xml:space="preserve">i opiniowania </w:t>
            </w:r>
            <w:r w:rsidRPr="004F50BD">
              <w:rPr>
                <w:rFonts w:ascii="Times New Roman" w:hAnsi="Times New Roman"/>
                <w:color w:val="000000"/>
                <w:spacing w:val="-2"/>
              </w:rPr>
              <w:t>zostaną przedstawione po ich zakończeniu w raporcie z konsultacji publicznych i opiniowania dołączonym do niniejszej Oceny Skutków Regulacji.</w:t>
            </w:r>
          </w:p>
        </w:tc>
      </w:tr>
      <w:tr w:rsidR="00302F3F" w:rsidRPr="008B4FE6" w14:paraId="7814FF1B" w14:textId="77777777" w:rsidTr="003E4722">
        <w:trPr>
          <w:trHeight w:val="363"/>
        </w:trPr>
        <w:tc>
          <w:tcPr>
            <w:tcW w:w="10916" w:type="dxa"/>
            <w:gridSpan w:val="25"/>
            <w:shd w:val="clear" w:color="auto" w:fill="99CCFF"/>
            <w:vAlign w:val="center"/>
          </w:tcPr>
          <w:p w14:paraId="6FA06A25" w14:textId="77777777" w:rsidR="00302F3F" w:rsidRPr="008B4FE6" w:rsidRDefault="00302F3F" w:rsidP="00DA7A8E">
            <w:pPr>
              <w:numPr>
                <w:ilvl w:val="0"/>
                <w:numId w:val="1"/>
              </w:numPr>
              <w:spacing w:line="240" w:lineRule="auto"/>
              <w:ind w:left="318" w:hanging="284"/>
              <w:jc w:val="both"/>
              <w:rPr>
                <w:rFonts w:ascii="Times New Roman" w:hAnsi="Times New Roman"/>
                <w:b/>
                <w:color w:val="000000"/>
              </w:rPr>
            </w:pPr>
            <w:bookmarkStart w:id="3" w:name="_Hlk72422181"/>
            <w:r w:rsidRPr="008B4FE6">
              <w:rPr>
                <w:rFonts w:ascii="Times New Roman" w:hAnsi="Times New Roman"/>
                <w:b/>
                <w:color w:val="000000"/>
              </w:rPr>
              <w:t xml:space="preserve"> Wpływ na sektor finansów publicznych</w:t>
            </w:r>
            <w:bookmarkEnd w:id="3"/>
          </w:p>
        </w:tc>
      </w:tr>
      <w:tr w:rsidR="00302F3F" w:rsidRPr="008B4FE6" w14:paraId="0AB2EA40" w14:textId="77777777" w:rsidTr="006E49F8">
        <w:trPr>
          <w:trHeight w:val="142"/>
        </w:trPr>
        <w:tc>
          <w:tcPr>
            <w:tcW w:w="2833" w:type="dxa"/>
            <w:gridSpan w:val="4"/>
            <w:vMerge w:val="restart"/>
            <w:shd w:val="clear" w:color="auto" w:fill="FFFFFF"/>
          </w:tcPr>
          <w:p w14:paraId="588B9DC7" w14:textId="730EDB83" w:rsidR="00302F3F" w:rsidRPr="006B280A" w:rsidRDefault="00302F3F" w:rsidP="00B07F7C">
            <w:pPr>
              <w:spacing w:line="240" w:lineRule="auto"/>
              <w:rPr>
                <w:rFonts w:ascii="Times New Roman" w:hAnsi="Times New Roman"/>
                <w:i/>
                <w:color w:val="000000"/>
                <w:sz w:val="21"/>
                <w:szCs w:val="21"/>
              </w:rPr>
            </w:pPr>
            <w:r w:rsidRPr="006B280A">
              <w:rPr>
                <w:rFonts w:ascii="Times New Roman" w:hAnsi="Times New Roman"/>
                <w:color w:val="000000"/>
                <w:sz w:val="21"/>
                <w:szCs w:val="21"/>
              </w:rPr>
              <w:t xml:space="preserve">(ceny stałe z </w:t>
            </w:r>
            <w:r w:rsidR="000A6330" w:rsidRPr="006B280A">
              <w:rPr>
                <w:rFonts w:ascii="Times New Roman" w:hAnsi="Times New Roman"/>
                <w:color w:val="000000"/>
                <w:sz w:val="21"/>
                <w:szCs w:val="21"/>
              </w:rPr>
              <w:t>20</w:t>
            </w:r>
            <w:r w:rsidR="000A6330">
              <w:rPr>
                <w:rFonts w:ascii="Times New Roman" w:hAnsi="Times New Roman"/>
                <w:color w:val="000000"/>
                <w:sz w:val="21"/>
                <w:szCs w:val="21"/>
              </w:rPr>
              <w:t>19-2021</w:t>
            </w:r>
            <w:r w:rsidR="000A6330" w:rsidRPr="006B280A">
              <w:rPr>
                <w:rFonts w:ascii="Times New Roman" w:hAnsi="Times New Roman"/>
                <w:color w:val="000000"/>
                <w:sz w:val="21"/>
                <w:szCs w:val="21"/>
              </w:rPr>
              <w:t xml:space="preserve"> </w:t>
            </w:r>
            <w:r w:rsidRPr="006B280A">
              <w:rPr>
                <w:rFonts w:ascii="Times New Roman" w:hAnsi="Times New Roman"/>
                <w:color w:val="000000"/>
                <w:sz w:val="21"/>
                <w:szCs w:val="21"/>
              </w:rPr>
              <w:t>r.)</w:t>
            </w:r>
          </w:p>
        </w:tc>
        <w:tc>
          <w:tcPr>
            <w:tcW w:w="8083" w:type="dxa"/>
            <w:gridSpan w:val="21"/>
            <w:shd w:val="clear" w:color="auto" w:fill="FFFFFF"/>
          </w:tcPr>
          <w:p w14:paraId="7F30B594" w14:textId="77777777" w:rsidR="00302F3F" w:rsidRPr="006B280A" w:rsidRDefault="00302F3F" w:rsidP="00DA7A8E">
            <w:pPr>
              <w:spacing w:line="240" w:lineRule="auto"/>
              <w:jc w:val="center"/>
              <w:rPr>
                <w:rFonts w:ascii="Times New Roman" w:hAnsi="Times New Roman"/>
                <w:i/>
                <w:color w:val="000000"/>
                <w:spacing w:val="-2"/>
                <w:sz w:val="21"/>
                <w:szCs w:val="21"/>
              </w:rPr>
            </w:pPr>
            <w:r w:rsidRPr="006B280A">
              <w:rPr>
                <w:rFonts w:ascii="Times New Roman" w:hAnsi="Times New Roman"/>
                <w:color w:val="000000"/>
                <w:sz w:val="21"/>
                <w:szCs w:val="21"/>
              </w:rPr>
              <w:t>Skutki w okresie 10 lat od wejścia w życie zmian [mln zł]</w:t>
            </w:r>
          </w:p>
        </w:tc>
      </w:tr>
      <w:tr w:rsidR="002B730C" w:rsidRPr="00350F8D" w14:paraId="13668E0C" w14:textId="77777777" w:rsidTr="00D53FDB">
        <w:trPr>
          <w:trHeight w:val="142"/>
        </w:trPr>
        <w:tc>
          <w:tcPr>
            <w:tcW w:w="2833" w:type="dxa"/>
            <w:gridSpan w:val="4"/>
            <w:vMerge/>
            <w:shd w:val="clear" w:color="auto" w:fill="FFFFFF"/>
          </w:tcPr>
          <w:p w14:paraId="0CD159EB" w14:textId="77777777" w:rsidR="00302F3F" w:rsidRPr="006B280A" w:rsidRDefault="00302F3F" w:rsidP="00DA7A8E">
            <w:pPr>
              <w:spacing w:line="240" w:lineRule="auto"/>
              <w:rPr>
                <w:rFonts w:ascii="Times New Roman" w:hAnsi="Times New Roman"/>
                <w:i/>
                <w:color w:val="000000"/>
                <w:sz w:val="21"/>
                <w:szCs w:val="21"/>
              </w:rPr>
            </w:pPr>
          </w:p>
        </w:tc>
        <w:tc>
          <w:tcPr>
            <w:tcW w:w="712" w:type="dxa"/>
            <w:shd w:val="clear" w:color="auto" w:fill="FFFFFF"/>
            <w:vAlign w:val="center"/>
          </w:tcPr>
          <w:p w14:paraId="5673367B" w14:textId="77777777" w:rsidR="00302F3F" w:rsidRPr="00864616" w:rsidRDefault="00302F3F" w:rsidP="008A3178">
            <w:pPr>
              <w:spacing w:line="240" w:lineRule="auto"/>
              <w:jc w:val="right"/>
              <w:rPr>
                <w:rFonts w:ascii="Times New Roman" w:hAnsi="Times New Roman"/>
                <w:sz w:val="20"/>
                <w:szCs w:val="21"/>
              </w:rPr>
            </w:pPr>
            <w:r w:rsidRPr="00864616">
              <w:rPr>
                <w:rFonts w:ascii="Times New Roman" w:hAnsi="Times New Roman"/>
                <w:sz w:val="20"/>
                <w:szCs w:val="21"/>
              </w:rPr>
              <w:t>0</w:t>
            </w:r>
          </w:p>
        </w:tc>
        <w:tc>
          <w:tcPr>
            <w:tcW w:w="705" w:type="dxa"/>
            <w:gridSpan w:val="2"/>
            <w:shd w:val="clear" w:color="auto" w:fill="FFFFFF"/>
            <w:vAlign w:val="center"/>
          </w:tcPr>
          <w:p w14:paraId="1CFDE9AC" w14:textId="77777777" w:rsidR="00302F3F" w:rsidRPr="00864616" w:rsidRDefault="00302F3F" w:rsidP="00DA7A8E">
            <w:pPr>
              <w:spacing w:line="240" w:lineRule="auto"/>
              <w:jc w:val="right"/>
              <w:rPr>
                <w:rFonts w:ascii="Times New Roman" w:hAnsi="Times New Roman"/>
                <w:sz w:val="20"/>
                <w:szCs w:val="21"/>
              </w:rPr>
            </w:pPr>
            <w:r w:rsidRPr="00864616">
              <w:rPr>
                <w:rFonts w:ascii="Times New Roman" w:hAnsi="Times New Roman"/>
                <w:sz w:val="20"/>
                <w:szCs w:val="21"/>
              </w:rPr>
              <w:t>1</w:t>
            </w:r>
          </w:p>
        </w:tc>
        <w:tc>
          <w:tcPr>
            <w:tcW w:w="709" w:type="dxa"/>
            <w:shd w:val="clear" w:color="auto" w:fill="FFFFFF"/>
            <w:vAlign w:val="center"/>
          </w:tcPr>
          <w:p w14:paraId="53FA2EEB" w14:textId="77777777" w:rsidR="00302F3F" w:rsidRPr="00864616" w:rsidRDefault="00302F3F" w:rsidP="00DA7A8E">
            <w:pPr>
              <w:spacing w:line="240" w:lineRule="auto"/>
              <w:jc w:val="right"/>
              <w:rPr>
                <w:rFonts w:ascii="Times New Roman" w:hAnsi="Times New Roman"/>
                <w:sz w:val="20"/>
                <w:szCs w:val="21"/>
              </w:rPr>
            </w:pPr>
            <w:r w:rsidRPr="00864616">
              <w:rPr>
                <w:rFonts w:ascii="Times New Roman" w:hAnsi="Times New Roman"/>
                <w:sz w:val="20"/>
                <w:szCs w:val="21"/>
              </w:rPr>
              <w:t>2</w:t>
            </w:r>
          </w:p>
        </w:tc>
        <w:tc>
          <w:tcPr>
            <w:tcW w:w="712" w:type="dxa"/>
            <w:shd w:val="clear" w:color="auto" w:fill="FFFFFF"/>
            <w:vAlign w:val="center"/>
          </w:tcPr>
          <w:p w14:paraId="3FE6D97E" w14:textId="77777777" w:rsidR="00302F3F" w:rsidRPr="00864616" w:rsidRDefault="00302F3F" w:rsidP="00DA7A8E">
            <w:pPr>
              <w:spacing w:line="240" w:lineRule="auto"/>
              <w:jc w:val="right"/>
              <w:rPr>
                <w:rFonts w:ascii="Times New Roman" w:hAnsi="Times New Roman"/>
                <w:sz w:val="20"/>
                <w:szCs w:val="21"/>
              </w:rPr>
            </w:pPr>
            <w:r w:rsidRPr="00864616">
              <w:rPr>
                <w:rFonts w:ascii="Times New Roman" w:hAnsi="Times New Roman"/>
                <w:sz w:val="20"/>
                <w:szCs w:val="21"/>
              </w:rPr>
              <w:t>3</w:t>
            </w:r>
          </w:p>
        </w:tc>
        <w:tc>
          <w:tcPr>
            <w:tcW w:w="596" w:type="dxa"/>
            <w:gridSpan w:val="2"/>
            <w:shd w:val="clear" w:color="auto" w:fill="FFFFFF"/>
            <w:vAlign w:val="center"/>
          </w:tcPr>
          <w:p w14:paraId="163294BD" w14:textId="77777777" w:rsidR="00302F3F" w:rsidRPr="00864616" w:rsidRDefault="00302F3F" w:rsidP="00DA7A8E">
            <w:pPr>
              <w:spacing w:line="240" w:lineRule="auto"/>
              <w:jc w:val="right"/>
              <w:rPr>
                <w:rFonts w:ascii="Times New Roman" w:hAnsi="Times New Roman"/>
                <w:sz w:val="20"/>
                <w:szCs w:val="21"/>
              </w:rPr>
            </w:pPr>
            <w:r w:rsidRPr="00864616">
              <w:rPr>
                <w:rFonts w:ascii="Times New Roman" w:hAnsi="Times New Roman"/>
                <w:sz w:val="20"/>
                <w:szCs w:val="21"/>
              </w:rPr>
              <w:t>4</w:t>
            </w:r>
          </w:p>
        </w:tc>
        <w:tc>
          <w:tcPr>
            <w:tcW w:w="680" w:type="dxa"/>
            <w:gridSpan w:val="3"/>
            <w:shd w:val="clear" w:color="auto" w:fill="FFFFFF"/>
            <w:vAlign w:val="center"/>
          </w:tcPr>
          <w:p w14:paraId="2D80C198" w14:textId="77777777" w:rsidR="00302F3F" w:rsidRPr="00864616" w:rsidRDefault="00302F3F" w:rsidP="00DA7A8E">
            <w:pPr>
              <w:spacing w:line="240" w:lineRule="auto"/>
              <w:jc w:val="right"/>
              <w:rPr>
                <w:rFonts w:ascii="Times New Roman" w:hAnsi="Times New Roman"/>
                <w:sz w:val="20"/>
                <w:szCs w:val="21"/>
              </w:rPr>
            </w:pPr>
            <w:r w:rsidRPr="00864616">
              <w:rPr>
                <w:rFonts w:ascii="Times New Roman" w:hAnsi="Times New Roman"/>
                <w:sz w:val="20"/>
                <w:szCs w:val="21"/>
              </w:rPr>
              <w:t>5</w:t>
            </w:r>
          </w:p>
        </w:tc>
        <w:tc>
          <w:tcPr>
            <w:tcW w:w="567" w:type="dxa"/>
            <w:gridSpan w:val="2"/>
            <w:shd w:val="clear" w:color="auto" w:fill="FFFFFF"/>
            <w:vAlign w:val="center"/>
          </w:tcPr>
          <w:p w14:paraId="3F8FC121" w14:textId="77777777" w:rsidR="00302F3F" w:rsidRPr="00864616" w:rsidRDefault="00302F3F" w:rsidP="00DA7A8E">
            <w:pPr>
              <w:spacing w:line="240" w:lineRule="auto"/>
              <w:jc w:val="right"/>
              <w:rPr>
                <w:rFonts w:ascii="Times New Roman" w:hAnsi="Times New Roman"/>
                <w:sz w:val="20"/>
                <w:szCs w:val="21"/>
              </w:rPr>
            </w:pPr>
            <w:r w:rsidRPr="00864616">
              <w:rPr>
                <w:rFonts w:ascii="Times New Roman" w:hAnsi="Times New Roman"/>
                <w:sz w:val="20"/>
                <w:szCs w:val="21"/>
              </w:rPr>
              <w:t>6</w:t>
            </w:r>
          </w:p>
        </w:tc>
        <w:tc>
          <w:tcPr>
            <w:tcW w:w="567" w:type="dxa"/>
            <w:gridSpan w:val="3"/>
            <w:shd w:val="clear" w:color="auto" w:fill="FFFFFF"/>
            <w:vAlign w:val="center"/>
          </w:tcPr>
          <w:p w14:paraId="08F0F1D3" w14:textId="77777777" w:rsidR="00302F3F" w:rsidRPr="00864616" w:rsidRDefault="00302F3F" w:rsidP="00DA7A8E">
            <w:pPr>
              <w:spacing w:line="240" w:lineRule="auto"/>
              <w:jc w:val="right"/>
              <w:rPr>
                <w:rFonts w:ascii="Times New Roman" w:hAnsi="Times New Roman"/>
                <w:sz w:val="20"/>
                <w:szCs w:val="21"/>
              </w:rPr>
            </w:pPr>
            <w:r w:rsidRPr="00864616">
              <w:rPr>
                <w:rFonts w:ascii="Times New Roman" w:hAnsi="Times New Roman"/>
                <w:sz w:val="20"/>
                <w:szCs w:val="21"/>
              </w:rPr>
              <w:t>7</w:t>
            </w:r>
          </w:p>
        </w:tc>
        <w:tc>
          <w:tcPr>
            <w:tcW w:w="567" w:type="dxa"/>
            <w:gridSpan w:val="2"/>
            <w:shd w:val="clear" w:color="auto" w:fill="FFFFFF"/>
            <w:vAlign w:val="center"/>
          </w:tcPr>
          <w:p w14:paraId="1E79CF2C" w14:textId="77777777" w:rsidR="00302F3F" w:rsidRPr="00864616" w:rsidRDefault="00302F3F" w:rsidP="00DA7A8E">
            <w:pPr>
              <w:spacing w:line="240" w:lineRule="auto"/>
              <w:jc w:val="right"/>
              <w:rPr>
                <w:rFonts w:ascii="Times New Roman" w:hAnsi="Times New Roman"/>
                <w:sz w:val="20"/>
                <w:szCs w:val="21"/>
              </w:rPr>
            </w:pPr>
            <w:r w:rsidRPr="00864616">
              <w:rPr>
                <w:rFonts w:ascii="Times New Roman" w:hAnsi="Times New Roman"/>
                <w:sz w:val="20"/>
                <w:szCs w:val="21"/>
              </w:rPr>
              <w:t>8</w:t>
            </w:r>
          </w:p>
        </w:tc>
        <w:tc>
          <w:tcPr>
            <w:tcW w:w="567" w:type="dxa"/>
            <w:shd w:val="clear" w:color="auto" w:fill="FFFFFF"/>
            <w:vAlign w:val="center"/>
          </w:tcPr>
          <w:p w14:paraId="420D8235" w14:textId="77777777" w:rsidR="00302F3F" w:rsidRPr="00864616" w:rsidRDefault="00302F3F" w:rsidP="00DA7A8E">
            <w:pPr>
              <w:spacing w:line="240" w:lineRule="auto"/>
              <w:jc w:val="right"/>
              <w:rPr>
                <w:rFonts w:ascii="Times New Roman" w:hAnsi="Times New Roman"/>
                <w:sz w:val="20"/>
                <w:szCs w:val="21"/>
              </w:rPr>
            </w:pPr>
            <w:r w:rsidRPr="00864616">
              <w:rPr>
                <w:rFonts w:ascii="Times New Roman" w:hAnsi="Times New Roman"/>
                <w:sz w:val="20"/>
                <w:szCs w:val="21"/>
              </w:rPr>
              <w:t>9</w:t>
            </w:r>
          </w:p>
        </w:tc>
        <w:tc>
          <w:tcPr>
            <w:tcW w:w="595" w:type="dxa"/>
            <w:gridSpan w:val="2"/>
            <w:shd w:val="clear" w:color="auto" w:fill="FFFFFF"/>
            <w:vAlign w:val="center"/>
          </w:tcPr>
          <w:p w14:paraId="1B490013" w14:textId="77777777" w:rsidR="00302F3F" w:rsidRPr="00864616" w:rsidRDefault="00302F3F" w:rsidP="00DA7A8E">
            <w:pPr>
              <w:spacing w:line="240" w:lineRule="auto"/>
              <w:jc w:val="right"/>
              <w:rPr>
                <w:rFonts w:ascii="Times New Roman" w:hAnsi="Times New Roman"/>
                <w:sz w:val="20"/>
                <w:szCs w:val="21"/>
              </w:rPr>
            </w:pPr>
            <w:r w:rsidRPr="00864616">
              <w:rPr>
                <w:rFonts w:ascii="Times New Roman" w:hAnsi="Times New Roman"/>
                <w:sz w:val="20"/>
                <w:szCs w:val="21"/>
              </w:rPr>
              <w:t>10</w:t>
            </w:r>
          </w:p>
        </w:tc>
        <w:tc>
          <w:tcPr>
            <w:tcW w:w="1106" w:type="dxa"/>
            <w:shd w:val="clear" w:color="auto" w:fill="FFFFFF"/>
            <w:vAlign w:val="center"/>
          </w:tcPr>
          <w:p w14:paraId="5A94A40E" w14:textId="77777777" w:rsidR="00302F3F" w:rsidRPr="00864616" w:rsidRDefault="00302F3F" w:rsidP="00DA7A8E">
            <w:pPr>
              <w:spacing w:line="240" w:lineRule="auto"/>
              <w:jc w:val="right"/>
              <w:rPr>
                <w:rFonts w:ascii="Times New Roman" w:hAnsi="Times New Roman"/>
                <w:i/>
                <w:spacing w:val="-2"/>
                <w:sz w:val="20"/>
                <w:szCs w:val="21"/>
              </w:rPr>
            </w:pPr>
            <w:r w:rsidRPr="00864616">
              <w:rPr>
                <w:rFonts w:ascii="Times New Roman" w:hAnsi="Times New Roman"/>
                <w:i/>
                <w:spacing w:val="-2"/>
                <w:sz w:val="20"/>
                <w:szCs w:val="21"/>
              </w:rPr>
              <w:t>Łącznie (0-10)</w:t>
            </w:r>
          </w:p>
        </w:tc>
      </w:tr>
      <w:tr w:rsidR="005A441A" w:rsidRPr="008B4FE6" w14:paraId="30B51177" w14:textId="77777777" w:rsidTr="00D53FDB">
        <w:trPr>
          <w:trHeight w:val="321"/>
        </w:trPr>
        <w:tc>
          <w:tcPr>
            <w:tcW w:w="2833" w:type="dxa"/>
            <w:gridSpan w:val="4"/>
            <w:shd w:val="clear" w:color="auto" w:fill="FFFFFF"/>
            <w:vAlign w:val="center"/>
          </w:tcPr>
          <w:p w14:paraId="6064177B" w14:textId="77777777" w:rsidR="005A441A" w:rsidRPr="006B280A" w:rsidRDefault="005A441A" w:rsidP="005A441A">
            <w:pPr>
              <w:spacing w:line="240" w:lineRule="auto"/>
              <w:rPr>
                <w:rFonts w:ascii="Times New Roman" w:hAnsi="Times New Roman"/>
                <w:b/>
                <w:bCs/>
                <w:color w:val="000000"/>
                <w:sz w:val="21"/>
                <w:szCs w:val="21"/>
              </w:rPr>
            </w:pPr>
            <w:r w:rsidRPr="006B280A">
              <w:rPr>
                <w:rFonts w:ascii="Times New Roman" w:hAnsi="Times New Roman"/>
                <w:b/>
                <w:bCs/>
                <w:color w:val="000000"/>
                <w:sz w:val="21"/>
                <w:szCs w:val="21"/>
              </w:rPr>
              <w:t>Dochody ogółem</w:t>
            </w:r>
          </w:p>
        </w:tc>
        <w:tc>
          <w:tcPr>
            <w:tcW w:w="712" w:type="dxa"/>
            <w:shd w:val="clear" w:color="auto" w:fill="FFFFFF"/>
          </w:tcPr>
          <w:p w14:paraId="7AE5C191" w14:textId="1C082DCC" w:rsidR="005A441A" w:rsidRPr="00D53FDB" w:rsidRDefault="005A441A" w:rsidP="005A441A">
            <w:pPr>
              <w:spacing w:line="240" w:lineRule="auto"/>
              <w:rPr>
                <w:rFonts w:ascii="Times New Roman" w:hAnsi="Times New Roman"/>
                <w:b/>
                <w:bCs/>
                <w:color w:val="000000"/>
                <w:sz w:val="21"/>
                <w:szCs w:val="21"/>
              </w:rPr>
            </w:pPr>
            <w:r w:rsidRPr="005A441A">
              <w:rPr>
                <w:rFonts w:ascii="Times New Roman" w:hAnsi="Times New Roman"/>
                <w:b/>
                <w:bCs/>
                <w:color w:val="000000"/>
                <w:sz w:val="21"/>
                <w:szCs w:val="21"/>
              </w:rPr>
              <w:t>4,77</w:t>
            </w:r>
          </w:p>
        </w:tc>
        <w:tc>
          <w:tcPr>
            <w:tcW w:w="705" w:type="dxa"/>
            <w:gridSpan w:val="2"/>
            <w:shd w:val="clear" w:color="auto" w:fill="FFFFFF"/>
          </w:tcPr>
          <w:p w14:paraId="5B3FC97E" w14:textId="00D1B2AC" w:rsidR="005A441A" w:rsidRPr="00D53FDB" w:rsidRDefault="005A441A" w:rsidP="005A441A">
            <w:pPr>
              <w:spacing w:line="240" w:lineRule="auto"/>
              <w:rPr>
                <w:rFonts w:ascii="Times New Roman" w:hAnsi="Times New Roman"/>
                <w:b/>
                <w:bCs/>
                <w:color w:val="000000"/>
                <w:sz w:val="21"/>
                <w:szCs w:val="21"/>
              </w:rPr>
            </w:pPr>
            <w:r w:rsidRPr="005A441A">
              <w:rPr>
                <w:rFonts w:ascii="Times New Roman" w:hAnsi="Times New Roman"/>
                <w:b/>
                <w:bCs/>
                <w:color w:val="000000"/>
                <w:sz w:val="21"/>
                <w:szCs w:val="21"/>
              </w:rPr>
              <w:t>6,63</w:t>
            </w:r>
          </w:p>
        </w:tc>
        <w:tc>
          <w:tcPr>
            <w:tcW w:w="709" w:type="dxa"/>
            <w:shd w:val="clear" w:color="auto" w:fill="FFFFFF"/>
          </w:tcPr>
          <w:p w14:paraId="3921BD51" w14:textId="07C00F82" w:rsidR="005A441A" w:rsidRPr="00D53FDB" w:rsidRDefault="005A441A" w:rsidP="005A441A">
            <w:pPr>
              <w:spacing w:line="240" w:lineRule="auto"/>
              <w:rPr>
                <w:rFonts w:ascii="Times New Roman" w:hAnsi="Times New Roman"/>
                <w:b/>
                <w:bCs/>
                <w:color w:val="000000"/>
                <w:sz w:val="21"/>
                <w:szCs w:val="21"/>
              </w:rPr>
            </w:pPr>
            <w:r w:rsidRPr="005A441A">
              <w:rPr>
                <w:rFonts w:ascii="Times New Roman" w:hAnsi="Times New Roman"/>
                <w:b/>
                <w:bCs/>
                <w:color w:val="000000"/>
                <w:sz w:val="21"/>
                <w:szCs w:val="21"/>
              </w:rPr>
              <w:t>8,39</w:t>
            </w:r>
          </w:p>
        </w:tc>
        <w:tc>
          <w:tcPr>
            <w:tcW w:w="712" w:type="dxa"/>
            <w:shd w:val="clear" w:color="auto" w:fill="FFFFFF"/>
          </w:tcPr>
          <w:p w14:paraId="5E689E65" w14:textId="6E1FA958" w:rsidR="005A441A" w:rsidRPr="00D53FDB" w:rsidRDefault="005A441A" w:rsidP="005A441A">
            <w:pPr>
              <w:spacing w:line="240" w:lineRule="auto"/>
              <w:rPr>
                <w:rFonts w:ascii="Times New Roman" w:hAnsi="Times New Roman"/>
                <w:b/>
                <w:bCs/>
                <w:color w:val="000000"/>
                <w:sz w:val="21"/>
                <w:szCs w:val="21"/>
              </w:rPr>
            </w:pPr>
            <w:r w:rsidRPr="005A441A">
              <w:rPr>
                <w:rFonts w:ascii="Times New Roman" w:hAnsi="Times New Roman"/>
                <w:b/>
                <w:bCs/>
                <w:color w:val="000000"/>
                <w:sz w:val="21"/>
                <w:szCs w:val="21"/>
              </w:rPr>
              <w:t>9,89</w:t>
            </w:r>
          </w:p>
        </w:tc>
        <w:tc>
          <w:tcPr>
            <w:tcW w:w="596" w:type="dxa"/>
            <w:gridSpan w:val="2"/>
            <w:shd w:val="clear" w:color="auto" w:fill="FFFFFF"/>
          </w:tcPr>
          <w:p w14:paraId="6E917DF4" w14:textId="4FB0865F" w:rsidR="005A441A" w:rsidRPr="00D53FDB" w:rsidRDefault="005A441A" w:rsidP="005A441A">
            <w:pPr>
              <w:spacing w:line="240" w:lineRule="auto"/>
              <w:rPr>
                <w:rFonts w:ascii="Times New Roman" w:hAnsi="Times New Roman"/>
                <w:b/>
                <w:bCs/>
                <w:color w:val="000000"/>
                <w:sz w:val="21"/>
                <w:szCs w:val="21"/>
              </w:rPr>
            </w:pPr>
            <w:r w:rsidRPr="005A441A">
              <w:rPr>
                <w:rFonts w:ascii="Times New Roman" w:hAnsi="Times New Roman"/>
                <w:b/>
                <w:bCs/>
                <w:color w:val="000000"/>
                <w:sz w:val="21"/>
                <w:szCs w:val="21"/>
              </w:rPr>
              <w:t>11,24</w:t>
            </w:r>
          </w:p>
        </w:tc>
        <w:tc>
          <w:tcPr>
            <w:tcW w:w="680" w:type="dxa"/>
            <w:gridSpan w:val="3"/>
            <w:shd w:val="clear" w:color="auto" w:fill="FFFFFF"/>
          </w:tcPr>
          <w:p w14:paraId="5E99DDBE" w14:textId="421FD43C" w:rsidR="005A441A" w:rsidRPr="00D53FDB" w:rsidRDefault="005A441A" w:rsidP="005A441A">
            <w:pPr>
              <w:spacing w:line="240" w:lineRule="auto"/>
              <w:rPr>
                <w:rFonts w:ascii="Times New Roman" w:hAnsi="Times New Roman"/>
                <w:b/>
                <w:bCs/>
                <w:color w:val="000000"/>
                <w:sz w:val="21"/>
                <w:szCs w:val="21"/>
              </w:rPr>
            </w:pPr>
            <w:r w:rsidRPr="005A441A">
              <w:rPr>
                <w:rFonts w:ascii="Times New Roman" w:hAnsi="Times New Roman"/>
                <w:b/>
                <w:bCs/>
                <w:color w:val="000000"/>
                <w:sz w:val="21"/>
                <w:szCs w:val="21"/>
              </w:rPr>
              <w:t>11,24</w:t>
            </w:r>
          </w:p>
        </w:tc>
        <w:tc>
          <w:tcPr>
            <w:tcW w:w="567" w:type="dxa"/>
            <w:gridSpan w:val="2"/>
            <w:shd w:val="clear" w:color="auto" w:fill="FFFFFF"/>
          </w:tcPr>
          <w:p w14:paraId="4FDCB5A3" w14:textId="5A1DE6F3" w:rsidR="005A441A" w:rsidRPr="00D53FDB" w:rsidRDefault="005A441A" w:rsidP="005A441A">
            <w:pPr>
              <w:spacing w:line="240" w:lineRule="auto"/>
              <w:rPr>
                <w:rFonts w:ascii="Times New Roman" w:hAnsi="Times New Roman"/>
                <w:b/>
                <w:bCs/>
                <w:color w:val="000000"/>
                <w:sz w:val="21"/>
                <w:szCs w:val="21"/>
              </w:rPr>
            </w:pPr>
            <w:r w:rsidRPr="005A441A">
              <w:rPr>
                <w:rFonts w:ascii="Times New Roman" w:hAnsi="Times New Roman"/>
                <w:b/>
                <w:bCs/>
                <w:color w:val="000000"/>
                <w:sz w:val="21"/>
                <w:szCs w:val="21"/>
              </w:rPr>
              <w:t>11,24</w:t>
            </w:r>
          </w:p>
        </w:tc>
        <w:tc>
          <w:tcPr>
            <w:tcW w:w="567" w:type="dxa"/>
            <w:gridSpan w:val="3"/>
            <w:shd w:val="clear" w:color="auto" w:fill="FFFFFF"/>
          </w:tcPr>
          <w:p w14:paraId="61311278" w14:textId="4831DA5C" w:rsidR="005A441A" w:rsidRPr="00D53FDB" w:rsidRDefault="005A441A" w:rsidP="005A441A">
            <w:pPr>
              <w:spacing w:line="240" w:lineRule="auto"/>
              <w:rPr>
                <w:rFonts w:ascii="Times New Roman" w:hAnsi="Times New Roman"/>
                <w:b/>
                <w:bCs/>
                <w:color w:val="000000"/>
                <w:sz w:val="21"/>
                <w:szCs w:val="21"/>
              </w:rPr>
            </w:pPr>
            <w:r w:rsidRPr="005A441A">
              <w:rPr>
                <w:rFonts w:ascii="Times New Roman" w:hAnsi="Times New Roman"/>
                <w:b/>
                <w:bCs/>
                <w:color w:val="000000"/>
                <w:sz w:val="21"/>
                <w:szCs w:val="21"/>
              </w:rPr>
              <w:t>11,24</w:t>
            </w:r>
          </w:p>
        </w:tc>
        <w:tc>
          <w:tcPr>
            <w:tcW w:w="567" w:type="dxa"/>
            <w:gridSpan w:val="2"/>
            <w:shd w:val="clear" w:color="auto" w:fill="FFFFFF"/>
          </w:tcPr>
          <w:p w14:paraId="329E60C8" w14:textId="3B92CC58" w:rsidR="005A441A" w:rsidRPr="00D53FDB" w:rsidRDefault="005A441A" w:rsidP="005A441A">
            <w:pPr>
              <w:spacing w:line="240" w:lineRule="auto"/>
              <w:rPr>
                <w:rFonts w:ascii="Times New Roman" w:hAnsi="Times New Roman"/>
                <w:b/>
                <w:bCs/>
                <w:color w:val="000000"/>
                <w:sz w:val="21"/>
                <w:szCs w:val="21"/>
              </w:rPr>
            </w:pPr>
            <w:r w:rsidRPr="005A441A">
              <w:rPr>
                <w:rFonts w:ascii="Times New Roman" w:hAnsi="Times New Roman"/>
                <w:b/>
                <w:bCs/>
                <w:color w:val="000000"/>
                <w:sz w:val="21"/>
                <w:szCs w:val="21"/>
              </w:rPr>
              <w:t>11,24</w:t>
            </w:r>
          </w:p>
        </w:tc>
        <w:tc>
          <w:tcPr>
            <w:tcW w:w="567" w:type="dxa"/>
            <w:shd w:val="clear" w:color="auto" w:fill="FFFFFF"/>
          </w:tcPr>
          <w:p w14:paraId="00F3B4AC" w14:textId="09B62C68" w:rsidR="005A441A" w:rsidRPr="00D53FDB" w:rsidRDefault="005A441A" w:rsidP="005A441A">
            <w:pPr>
              <w:spacing w:line="240" w:lineRule="auto"/>
              <w:rPr>
                <w:rFonts w:ascii="Times New Roman" w:hAnsi="Times New Roman"/>
                <w:b/>
                <w:bCs/>
                <w:color w:val="000000"/>
                <w:sz w:val="21"/>
                <w:szCs w:val="21"/>
              </w:rPr>
            </w:pPr>
            <w:r w:rsidRPr="005A441A">
              <w:rPr>
                <w:rFonts w:ascii="Times New Roman" w:hAnsi="Times New Roman"/>
                <w:b/>
                <w:bCs/>
                <w:color w:val="000000"/>
                <w:sz w:val="21"/>
                <w:szCs w:val="21"/>
              </w:rPr>
              <w:t>11,24</w:t>
            </w:r>
          </w:p>
        </w:tc>
        <w:tc>
          <w:tcPr>
            <w:tcW w:w="595" w:type="dxa"/>
            <w:gridSpan w:val="2"/>
            <w:shd w:val="clear" w:color="auto" w:fill="FFFFFF"/>
          </w:tcPr>
          <w:p w14:paraId="2066E00F" w14:textId="2CD23C7E" w:rsidR="005A441A" w:rsidRPr="00D53FDB" w:rsidRDefault="005A441A" w:rsidP="005A441A">
            <w:pPr>
              <w:spacing w:line="240" w:lineRule="auto"/>
              <w:rPr>
                <w:rFonts w:ascii="Times New Roman" w:hAnsi="Times New Roman"/>
                <w:b/>
                <w:bCs/>
                <w:color w:val="000000"/>
                <w:sz w:val="21"/>
                <w:szCs w:val="21"/>
              </w:rPr>
            </w:pPr>
            <w:r w:rsidRPr="005A441A">
              <w:rPr>
                <w:rFonts w:ascii="Times New Roman" w:hAnsi="Times New Roman"/>
                <w:b/>
                <w:bCs/>
                <w:color w:val="000000"/>
                <w:sz w:val="21"/>
                <w:szCs w:val="21"/>
              </w:rPr>
              <w:t>11,24</w:t>
            </w:r>
          </w:p>
        </w:tc>
        <w:tc>
          <w:tcPr>
            <w:tcW w:w="1106" w:type="dxa"/>
            <w:shd w:val="clear" w:color="auto" w:fill="FFFFFF"/>
          </w:tcPr>
          <w:p w14:paraId="25AE746C" w14:textId="186775C8" w:rsidR="005A441A" w:rsidRPr="00D53FDB" w:rsidRDefault="005A441A" w:rsidP="005A441A">
            <w:pPr>
              <w:spacing w:line="240" w:lineRule="auto"/>
              <w:rPr>
                <w:rFonts w:ascii="Times New Roman" w:hAnsi="Times New Roman"/>
                <w:b/>
                <w:bCs/>
                <w:color w:val="000000"/>
                <w:sz w:val="21"/>
                <w:szCs w:val="21"/>
              </w:rPr>
            </w:pPr>
            <w:r w:rsidRPr="005A441A">
              <w:rPr>
                <w:rFonts w:ascii="Times New Roman" w:hAnsi="Times New Roman"/>
                <w:b/>
                <w:bCs/>
                <w:color w:val="000000"/>
                <w:sz w:val="21"/>
                <w:szCs w:val="21"/>
              </w:rPr>
              <w:t>108,40</w:t>
            </w:r>
          </w:p>
        </w:tc>
      </w:tr>
      <w:tr w:rsidR="005A441A" w:rsidRPr="008B4FE6" w14:paraId="556AEC24" w14:textId="77777777" w:rsidTr="00D53FDB">
        <w:trPr>
          <w:trHeight w:val="321"/>
        </w:trPr>
        <w:tc>
          <w:tcPr>
            <w:tcW w:w="2833" w:type="dxa"/>
            <w:gridSpan w:val="4"/>
            <w:shd w:val="clear" w:color="auto" w:fill="FFFFFF"/>
          </w:tcPr>
          <w:p w14:paraId="6EF54793" w14:textId="5AC7DEDE" w:rsidR="005A441A" w:rsidRPr="005A441A" w:rsidRDefault="005A441A" w:rsidP="005A441A">
            <w:pPr>
              <w:spacing w:line="240" w:lineRule="auto"/>
              <w:rPr>
                <w:rFonts w:ascii="Times New Roman" w:hAnsi="Times New Roman"/>
                <w:color w:val="000000"/>
              </w:rPr>
            </w:pPr>
            <w:r w:rsidRPr="005A441A">
              <w:rPr>
                <w:rFonts w:ascii="Times New Roman" w:hAnsi="Times New Roman"/>
                <w:color w:val="000000"/>
              </w:rPr>
              <w:t>budżet państwa w zakresie opłat z tyt. akredytacji w ochronie zdrowia</w:t>
            </w:r>
          </w:p>
        </w:tc>
        <w:tc>
          <w:tcPr>
            <w:tcW w:w="712" w:type="dxa"/>
            <w:shd w:val="clear" w:color="auto" w:fill="FFFFFF"/>
          </w:tcPr>
          <w:p w14:paraId="52C7D66D" w14:textId="40BDC157"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-3,20</w:t>
            </w:r>
          </w:p>
        </w:tc>
        <w:tc>
          <w:tcPr>
            <w:tcW w:w="705" w:type="dxa"/>
            <w:gridSpan w:val="2"/>
            <w:shd w:val="clear" w:color="auto" w:fill="FFFFFF"/>
          </w:tcPr>
          <w:p w14:paraId="5779EF89" w14:textId="4AAF0683"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-3,34</w:t>
            </w:r>
          </w:p>
        </w:tc>
        <w:tc>
          <w:tcPr>
            <w:tcW w:w="709" w:type="dxa"/>
            <w:shd w:val="clear" w:color="auto" w:fill="FFFFFF"/>
          </w:tcPr>
          <w:p w14:paraId="7BE72FBC" w14:textId="3799BC9D"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-3,49</w:t>
            </w:r>
          </w:p>
        </w:tc>
        <w:tc>
          <w:tcPr>
            <w:tcW w:w="712" w:type="dxa"/>
            <w:shd w:val="clear" w:color="auto" w:fill="FFFFFF"/>
          </w:tcPr>
          <w:p w14:paraId="6F1F3EBF" w14:textId="1FE59187"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-3,65</w:t>
            </w:r>
          </w:p>
        </w:tc>
        <w:tc>
          <w:tcPr>
            <w:tcW w:w="596" w:type="dxa"/>
            <w:gridSpan w:val="2"/>
            <w:shd w:val="clear" w:color="auto" w:fill="FFFFFF"/>
          </w:tcPr>
          <w:p w14:paraId="1CB7248B" w14:textId="450CAE40"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-3,82</w:t>
            </w:r>
          </w:p>
        </w:tc>
        <w:tc>
          <w:tcPr>
            <w:tcW w:w="680" w:type="dxa"/>
            <w:gridSpan w:val="3"/>
            <w:shd w:val="clear" w:color="auto" w:fill="FFFFFF"/>
          </w:tcPr>
          <w:p w14:paraId="3901A56A" w14:textId="1285AEA9"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-3,99</w:t>
            </w:r>
          </w:p>
        </w:tc>
        <w:tc>
          <w:tcPr>
            <w:tcW w:w="567" w:type="dxa"/>
            <w:gridSpan w:val="2"/>
            <w:shd w:val="clear" w:color="auto" w:fill="FFFFFF"/>
          </w:tcPr>
          <w:p w14:paraId="0F33A0D6" w14:textId="2D8A41F8"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-4,17</w:t>
            </w:r>
          </w:p>
        </w:tc>
        <w:tc>
          <w:tcPr>
            <w:tcW w:w="567" w:type="dxa"/>
            <w:gridSpan w:val="3"/>
            <w:shd w:val="clear" w:color="auto" w:fill="FFFFFF"/>
          </w:tcPr>
          <w:p w14:paraId="4AADF69A" w14:textId="2C117FE4"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-4,35</w:t>
            </w:r>
          </w:p>
        </w:tc>
        <w:tc>
          <w:tcPr>
            <w:tcW w:w="567" w:type="dxa"/>
            <w:gridSpan w:val="2"/>
            <w:shd w:val="clear" w:color="auto" w:fill="FFFFFF"/>
          </w:tcPr>
          <w:p w14:paraId="0EDA4904" w14:textId="36641B88"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-4,55</w:t>
            </w:r>
          </w:p>
        </w:tc>
        <w:tc>
          <w:tcPr>
            <w:tcW w:w="567" w:type="dxa"/>
            <w:shd w:val="clear" w:color="auto" w:fill="FFFFFF"/>
          </w:tcPr>
          <w:p w14:paraId="672FD479" w14:textId="3980F1BF"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-4,76</w:t>
            </w:r>
          </w:p>
        </w:tc>
        <w:tc>
          <w:tcPr>
            <w:tcW w:w="595" w:type="dxa"/>
            <w:gridSpan w:val="2"/>
            <w:shd w:val="clear" w:color="auto" w:fill="FFFFFF"/>
          </w:tcPr>
          <w:p w14:paraId="30F724BD" w14:textId="22C6EEDA"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-4,97</w:t>
            </w:r>
          </w:p>
        </w:tc>
        <w:tc>
          <w:tcPr>
            <w:tcW w:w="1106" w:type="dxa"/>
            <w:shd w:val="clear" w:color="auto" w:fill="FFFFFF"/>
          </w:tcPr>
          <w:p w14:paraId="14492707" w14:textId="44C5D918"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-44,29</w:t>
            </w:r>
          </w:p>
        </w:tc>
      </w:tr>
      <w:tr w:rsidR="00493441" w:rsidRPr="008B4FE6" w14:paraId="43EC9374" w14:textId="77777777" w:rsidTr="00D53FDB">
        <w:trPr>
          <w:trHeight w:val="321"/>
        </w:trPr>
        <w:tc>
          <w:tcPr>
            <w:tcW w:w="2833" w:type="dxa"/>
            <w:gridSpan w:val="4"/>
            <w:shd w:val="clear" w:color="auto" w:fill="FFFFFF"/>
            <w:vAlign w:val="center"/>
          </w:tcPr>
          <w:p w14:paraId="2D6BC33B" w14:textId="0501F70E" w:rsidR="00493441" w:rsidRPr="006B280A" w:rsidRDefault="00493441" w:rsidP="00493441">
            <w:pPr>
              <w:spacing w:line="240" w:lineRule="auto"/>
              <w:rPr>
                <w:rFonts w:ascii="Times New Roman" w:hAnsi="Times New Roman"/>
                <w:color w:val="000000"/>
                <w:lang w:eastAsia="pl-PL"/>
              </w:rPr>
            </w:pPr>
            <w:r w:rsidRPr="006B280A">
              <w:rPr>
                <w:rFonts w:ascii="Times New Roman" w:hAnsi="Times New Roman"/>
                <w:color w:val="000000"/>
              </w:rPr>
              <w:t xml:space="preserve">budżet </w:t>
            </w:r>
            <w:r w:rsidR="001E3680">
              <w:rPr>
                <w:rFonts w:ascii="Times New Roman" w:hAnsi="Times New Roman"/>
                <w:color w:val="000000"/>
              </w:rPr>
              <w:t>RPP</w:t>
            </w:r>
            <w:r w:rsidR="001E3680" w:rsidRPr="006B280A">
              <w:rPr>
                <w:rFonts w:ascii="Times New Roman" w:hAnsi="Times New Roman"/>
                <w:color w:val="000000"/>
              </w:rPr>
              <w:t xml:space="preserve"> </w:t>
            </w:r>
            <w:r w:rsidRPr="006B280A">
              <w:rPr>
                <w:rFonts w:ascii="Times New Roman" w:hAnsi="Times New Roman"/>
                <w:color w:val="000000"/>
              </w:rPr>
              <w:t>w zakresie</w:t>
            </w:r>
            <w:r w:rsidR="005A441A" w:rsidRPr="005A441A">
              <w:rPr>
                <w:rFonts w:ascii="Times New Roman" w:hAnsi="Times New Roman"/>
                <w:color w:val="000000"/>
              </w:rPr>
              <w:t xml:space="preserve"> pozostałych dochodów na system rekompensat za zdarzenia medyczne (poza odpisem)</w:t>
            </w:r>
          </w:p>
        </w:tc>
        <w:tc>
          <w:tcPr>
            <w:tcW w:w="712" w:type="dxa"/>
            <w:shd w:val="clear" w:color="auto" w:fill="FFFFFF"/>
          </w:tcPr>
          <w:p w14:paraId="1A2D8B16"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0,25</w:t>
            </w:r>
          </w:p>
        </w:tc>
        <w:tc>
          <w:tcPr>
            <w:tcW w:w="705" w:type="dxa"/>
            <w:gridSpan w:val="2"/>
            <w:shd w:val="clear" w:color="auto" w:fill="FFFFFF"/>
          </w:tcPr>
          <w:p w14:paraId="603D8240"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2,00</w:t>
            </w:r>
          </w:p>
        </w:tc>
        <w:tc>
          <w:tcPr>
            <w:tcW w:w="709" w:type="dxa"/>
            <w:shd w:val="clear" w:color="auto" w:fill="FFFFFF"/>
          </w:tcPr>
          <w:p w14:paraId="32BABCBC"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3,65</w:t>
            </w:r>
          </w:p>
        </w:tc>
        <w:tc>
          <w:tcPr>
            <w:tcW w:w="712" w:type="dxa"/>
            <w:shd w:val="clear" w:color="auto" w:fill="FFFFFF"/>
          </w:tcPr>
          <w:p w14:paraId="40E7549C"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5,15</w:t>
            </w:r>
          </w:p>
        </w:tc>
        <w:tc>
          <w:tcPr>
            <w:tcW w:w="596" w:type="dxa"/>
            <w:gridSpan w:val="2"/>
            <w:shd w:val="clear" w:color="auto" w:fill="FFFFFF"/>
          </w:tcPr>
          <w:p w14:paraId="05A5B61F"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6,50</w:t>
            </w:r>
          </w:p>
        </w:tc>
        <w:tc>
          <w:tcPr>
            <w:tcW w:w="680" w:type="dxa"/>
            <w:gridSpan w:val="3"/>
            <w:shd w:val="clear" w:color="auto" w:fill="FFFFFF"/>
          </w:tcPr>
          <w:p w14:paraId="414887BF"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6,50</w:t>
            </w:r>
          </w:p>
        </w:tc>
        <w:tc>
          <w:tcPr>
            <w:tcW w:w="567" w:type="dxa"/>
            <w:gridSpan w:val="2"/>
            <w:shd w:val="clear" w:color="auto" w:fill="FFFFFF"/>
          </w:tcPr>
          <w:p w14:paraId="168C84FA"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6,50</w:t>
            </w:r>
          </w:p>
        </w:tc>
        <w:tc>
          <w:tcPr>
            <w:tcW w:w="567" w:type="dxa"/>
            <w:gridSpan w:val="3"/>
            <w:shd w:val="clear" w:color="auto" w:fill="FFFFFF"/>
          </w:tcPr>
          <w:p w14:paraId="27D63573"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6,50</w:t>
            </w:r>
          </w:p>
        </w:tc>
        <w:tc>
          <w:tcPr>
            <w:tcW w:w="567" w:type="dxa"/>
            <w:gridSpan w:val="2"/>
            <w:shd w:val="clear" w:color="auto" w:fill="FFFFFF"/>
          </w:tcPr>
          <w:p w14:paraId="5FCD5351"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6,50</w:t>
            </w:r>
          </w:p>
        </w:tc>
        <w:tc>
          <w:tcPr>
            <w:tcW w:w="567" w:type="dxa"/>
            <w:shd w:val="clear" w:color="auto" w:fill="FFFFFF"/>
          </w:tcPr>
          <w:p w14:paraId="630242C2"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6,50</w:t>
            </w:r>
          </w:p>
        </w:tc>
        <w:tc>
          <w:tcPr>
            <w:tcW w:w="595" w:type="dxa"/>
            <w:gridSpan w:val="2"/>
            <w:shd w:val="clear" w:color="auto" w:fill="FFFFFF"/>
          </w:tcPr>
          <w:p w14:paraId="68C801BD"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6,50</w:t>
            </w:r>
          </w:p>
        </w:tc>
        <w:tc>
          <w:tcPr>
            <w:tcW w:w="1106" w:type="dxa"/>
            <w:shd w:val="clear" w:color="auto" w:fill="FFFFFF"/>
          </w:tcPr>
          <w:p w14:paraId="5BF793C3"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56,55</w:t>
            </w:r>
          </w:p>
        </w:tc>
      </w:tr>
      <w:tr w:rsidR="005A441A" w:rsidRPr="008B4FE6" w14:paraId="6BB2FC1E" w14:textId="77777777" w:rsidTr="00D53FDB">
        <w:trPr>
          <w:trHeight w:val="321"/>
        </w:trPr>
        <w:tc>
          <w:tcPr>
            <w:tcW w:w="2833" w:type="dxa"/>
            <w:gridSpan w:val="4"/>
            <w:shd w:val="clear" w:color="auto" w:fill="FFFFFF"/>
          </w:tcPr>
          <w:p w14:paraId="12399D1F" w14:textId="1861CE89" w:rsidR="005A441A" w:rsidRPr="006B280A" w:rsidRDefault="005A441A" w:rsidP="005A441A">
            <w:pPr>
              <w:spacing w:line="240" w:lineRule="auto"/>
              <w:rPr>
                <w:rFonts w:ascii="Times New Roman" w:hAnsi="Times New Roman"/>
                <w:color w:val="000000"/>
              </w:rPr>
            </w:pPr>
            <w:r w:rsidRPr="005A441A">
              <w:rPr>
                <w:rFonts w:ascii="Times New Roman" w:hAnsi="Times New Roman"/>
                <w:color w:val="000000"/>
              </w:rPr>
              <w:t>budżet RPP w zakresie odpisu z NFZ na FKZM</w:t>
            </w:r>
          </w:p>
        </w:tc>
        <w:tc>
          <w:tcPr>
            <w:tcW w:w="712" w:type="dxa"/>
            <w:shd w:val="clear" w:color="auto" w:fill="FFFFFF"/>
          </w:tcPr>
          <w:p w14:paraId="474D712C" w14:textId="1BA9F1B4"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 xml:space="preserve">16,38    </w:t>
            </w:r>
          </w:p>
        </w:tc>
        <w:tc>
          <w:tcPr>
            <w:tcW w:w="705" w:type="dxa"/>
            <w:gridSpan w:val="2"/>
            <w:shd w:val="clear" w:color="auto" w:fill="FFFFFF"/>
          </w:tcPr>
          <w:p w14:paraId="00FB86B2" w14:textId="3C986286"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31,18</w:t>
            </w:r>
          </w:p>
        </w:tc>
        <w:tc>
          <w:tcPr>
            <w:tcW w:w="709" w:type="dxa"/>
            <w:shd w:val="clear" w:color="auto" w:fill="FFFFFF"/>
          </w:tcPr>
          <w:p w14:paraId="4C6B08BF" w14:textId="70A41B4A"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39,35</w:t>
            </w:r>
          </w:p>
        </w:tc>
        <w:tc>
          <w:tcPr>
            <w:tcW w:w="712" w:type="dxa"/>
            <w:shd w:val="clear" w:color="auto" w:fill="FFFFFF"/>
          </w:tcPr>
          <w:p w14:paraId="413B5610" w14:textId="24043023"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 xml:space="preserve">37,82    </w:t>
            </w:r>
          </w:p>
        </w:tc>
        <w:tc>
          <w:tcPr>
            <w:tcW w:w="596" w:type="dxa"/>
            <w:gridSpan w:val="2"/>
            <w:shd w:val="clear" w:color="auto" w:fill="FFFFFF"/>
          </w:tcPr>
          <w:p w14:paraId="1C617E7A" w14:textId="32CA2B95"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36,47</w:t>
            </w:r>
          </w:p>
        </w:tc>
        <w:tc>
          <w:tcPr>
            <w:tcW w:w="680" w:type="dxa"/>
            <w:gridSpan w:val="3"/>
            <w:shd w:val="clear" w:color="auto" w:fill="FFFFFF"/>
          </w:tcPr>
          <w:p w14:paraId="633DDFEA" w14:textId="243A93F4"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36,47</w:t>
            </w:r>
          </w:p>
        </w:tc>
        <w:tc>
          <w:tcPr>
            <w:tcW w:w="567" w:type="dxa"/>
            <w:gridSpan w:val="2"/>
            <w:shd w:val="clear" w:color="auto" w:fill="FFFFFF"/>
          </w:tcPr>
          <w:p w14:paraId="57C40CCB" w14:textId="616E159C"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36,47</w:t>
            </w:r>
          </w:p>
        </w:tc>
        <w:tc>
          <w:tcPr>
            <w:tcW w:w="567" w:type="dxa"/>
            <w:gridSpan w:val="3"/>
            <w:shd w:val="clear" w:color="auto" w:fill="FFFFFF"/>
          </w:tcPr>
          <w:p w14:paraId="172B9A18" w14:textId="6C023200"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36,47</w:t>
            </w:r>
          </w:p>
        </w:tc>
        <w:tc>
          <w:tcPr>
            <w:tcW w:w="567" w:type="dxa"/>
            <w:gridSpan w:val="2"/>
            <w:shd w:val="clear" w:color="auto" w:fill="FFFFFF"/>
          </w:tcPr>
          <w:p w14:paraId="7EC35618" w14:textId="3A999B78"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36,47</w:t>
            </w:r>
          </w:p>
        </w:tc>
        <w:tc>
          <w:tcPr>
            <w:tcW w:w="567" w:type="dxa"/>
            <w:shd w:val="clear" w:color="auto" w:fill="FFFFFF"/>
          </w:tcPr>
          <w:p w14:paraId="26CACC95" w14:textId="4A65BCFA"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36,47</w:t>
            </w:r>
          </w:p>
        </w:tc>
        <w:tc>
          <w:tcPr>
            <w:tcW w:w="595" w:type="dxa"/>
            <w:gridSpan w:val="2"/>
            <w:shd w:val="clear" w:color="auto" w:fill="FFFFFF"/>
          </w:tcPr>
          <w:p w14:paraId="4D173F54" w14:textId="19EA35C3"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36,47</w:t>
            </w:r>
          </w:p>
        </w:tc>
        <w:tc>
          <w:tcPr>
            <w:tcW w:w="1106" w:type="dxa"/>
            <w:shd w:val="clear" w:color="auto" w:fill="FFFFFF"/>
          </w:tcPr>
          <w:p w14:paraId="0FE55322" w14:textId="06ECDD02"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380,01</w:t>
            </w:r>
          </w:p>
        </w:tc>
      </w:tr>
      <w:tr w:rsidR="00493441" w:rsidRPr="008B4FE6" w14:paraId="69CB9471" w14:textId="77777777" w:rsidTr="00D53FDB">
        <w:trPr>
          <w:trHeight w:val="344"/>
        </w:trPr>
        <w:tc>
          <w:tcPr>
            <w:tcW w:w="2833" w:type="dxa"/>
            <w:gridSpan w:val="4"/>
            <w:shd w:val="clear" w:color="auto" w:fill="FFFFFF"/>
            <w:vAlign w:val="center"/>
          </w:tcPr>
          <w:p w14:paraId="65E1AD65" w14:textId="4F6531D1" w:rsidR="00493441" w:rsidRPr="006B280A" w:rsidRDefault="005A441A" w:rsidP="00493441">
            <w:pPr>
              <w:spacing w:line="240" w:lineRule="auto"/>
              <w:rPr>
                <w:rFonts w:ascii="Times New Roman" w:hAnsi="Times New Roman"/>
                <w:color w:val="000000"/>
              </w:rPr>
            </w:pPr>
            <w:r w:rsidRPr="005A441A">
              <w:rPr>
                <w:rFonts w:ascii="Times New Roman" w:hAnsi="Times New Roman"/>
                <w:color w:val="000000"/>
              </w:rPr>
              <w:t xml:space="preserve">budżet NFZ z opłat z </w:t>
            </w:r>
            <w:r w:rsidR="00493441" w:rsidRPr="00493441">
              <w:rPr>
                <w:rFonts w:ascii="Times New Roman" w:hAnsi="Times New Roman"/>
                <w:color w:val="000000"/>
              </w:rPr>
              <w:t>tytułu akredytacji w ochronie zdrowia</w:t>
            </w:r>
          </w:p>
        </w:tc>
        <w:tc>
          <w:tcPr>
            <w:tcW w:w="712" w:type="dxa"/>
            <w:shd w:val="clear" w:color="auto" w:fill="FFFFFF"/>
          </w:tcPr>
          <w:p w14:paraId="1DC5D6E2"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3,20</w:t>
            </w:r>
          </w:p>
        </w:tc>
        <w:tc>
          <w:tcPr>
            <w:tcW w:w="705" w:type="dxa"/>
            <w:gridSpan w:val="2"/>
            <w:shd w:val="clear" w:color="auto" w:fill="FFFFFF"/>
          </w:tcPr>
          <w:p w14:paraId="49D151C0"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3,34</w:t>
            </w:r>
          </w:p>
        </w:tc>
        <w:tc>
          <w:tcPr>
            <w:tcW w:w="709" w:type="dxa"/>
            <w:shd w:val="clear" w:color="auto" w:fill="FFFFFF"/>
          </w:tcPr>
          <w:p w14:paraId="7E3A0EAF"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3,49</w:t>
            </w:r>
          </w:p>
        </w:tc>
        <w:tc>
          <w:tcPr>
            <w:tcW w:w="712" w:type="dxa"/>
            <w:shd w:val="clear" w:color="auto" w:fill="FFFFFF"/>
          </w:tcPr>
          <w:p w14:paraId="14524AE9"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3,65</w:t>
            </w:r>
          </w:p>
        </w:tc>
        <w:tc>
          <w:tcPr>
            <w:tcW w:w="596" w:type="dxa"/>
            <w:gridSpan w:val="2"/>
            <w:shd w:val="clear" w:color="auto" w:fill="FFFFFF"/>
          </w:tcPr>
          <w:p w14:paraId="34107F86"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3,82</w:t>
            </w:r>
          </w:p>
        </w:tc>
        <w:tc>
          <w:tcPr>
            <w:tcW w:w="680" w:type="dxa"/>
            <w:gridSpan w:val="3"/>
            <w:shd w:val="clear" w:color="auto" w:fill="FFFFFF"/>
          </w:tcPr>
          <w:p w14:paraId="77F8F7F7"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3,99</w:t>
            </w:r>
          </w:p>
        </w:tc>
        <w:tc>
          <w:tcPr>
            <w:tcW w:w="567" w:type="dxa"/>
            <w:gridSpan w:val="2"/>
            <w:shd w:val="clear" w:color="auto" w:fill="FFFFFF"/>
          </w:tcPr>
          <w:p w14:paraId="254DB917"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4,17</w:t>
            </w:r>
          </w:p>
        </w:tc>
        <w:tc>
          <w:tcPr>
            <w:tcW w:w="567" w:type="dxa"/>
            <w:gridSpan w:val="3"/>
            <w:shd w:val="clear" w:color="auto" w:fill="FFFFFF"/>
          </w:tcPr>
          <w:p w14:paraId="31C272A9"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4,35</w:t>
            </w:r>
          </w:p>
        </w:tc>
        <w:tc>
          <w:tcPr>
            <w:tcW w:w="567" w:type="dxa"/>
            <w:gridSpan w:val="2"/>
            <w:shd w:val="clear" w:color="auto" w:fill="FFFFFF"/>
          </w:tcPr>
          <w:p w14:paraId="0BB585EE"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4,55</w:t>
            </w:r>
          </w:p>
        </w:tc>
        <w:tc>
          <w:tcPr>
            <w:tcW w:w="567" w:type="dxa"/>
            <w:shd w:val="clear" w:color="auto" w:fill="FFFFFF"/>
          </w:tcPr>
          <w:p w14:paraId="4DDFA858"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4,76</w:t>
            </w:r>
          </w:p>
        </w:tc>
        <w:tc>
          <w:tcPr>
            <w:tcW w:w="595" w:type="dxa"/>
            <w:gridSpan w:val="2"/>
            <w:shd w:val="clear" w:color="auto" w:fill="FFFFFF"/>
          </w:tcPr>
          <w:p w14:paraId="184A0A3E"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4,97</w:t>
            </w:r>
          </w:p>
        </w:tc>
        <w:tc>
          <w:tcPr>
            <w:tcW w:w="1106" w:type="dxa"/>
            <w:shd w:val="clear" w:color="auto" w:fill="FFFFFF"/>
          </w:tcPr>
          <w:p w14:paraId="6B77B0EE"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44,29</w:t>
            </w:r>
          </w:p>
        </w:tc>
      </w:tr>
      <w:tr w:rsidR="005A441A" w:rsidRPr="008B4FE6" w14:paraId="75F323C8" w14:textId="77777777" w:rsidTr="00D53FDB">
        <w:trPr>
          <w:trHeight w:val="344"/>
        </w:trPr>
        <w:tc>
          <w:tcPr>
            <w:tcW w:w="2833" w:type="dxa"/>
            <w:gridSpan w:val="4"/>
            <w:shd w:val="clear" w:color="auto" w:fill="FFFFFF"/>
          </w:tcPr>
          <w:p w14:paraId="5065ECD1" w14:textId="1C17E7A7" w:rsidR="005A441A" w:rsidRPr="005A441A" w:rsidRDefault="005A441A" w:rsidP="005A441A">
            <w:pPr>
              <w:spacing w:line="240" w:lineRule="auto"/>
              <w:rPr>
                <w:rFonts w:ascii="Times New Roman" w:hAnsi="Times New Roman"/>
                <w:color w:val="000000"/>
              </w:rPr>
            </w:pPr>
            <w:r w:rsidRPr="005A441A">
              <w:rPr>
                <w:rFonts w:ascii="Times New Roman" w:hAnsi="Times New Roman"/>
                <w:color w:val="000000"/>
              </w:rPr>
              <w:t xml:space="preserve">budżet NFZ w zakresie dotacji na zadania związane z akredytacją w ochronie zdrowia </w:t>
            </w:r>
          </w:p>
        </w:tc>
        <w:tc>
          <w:tcPr>
            <w:tcW w:w="712" w:type="dxa"/>
            <w:shd w:val="clear" w:color="auto" w:fill="FFFFFF"/>
          </w:tcPr>
          <w:p w14:paraId="713AFD57" w14:textId="5C1EBC4C"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4,52</w:t>
            </w:r>
          </w:p>
        </w:tc>
        <w:tc>
          <w:tcPr>
            <w:tcW w:w="705" w:type="dxa"/>
            <w:gridSpan w:val="2"/>
            <w:shd w:val="clear" w:color="auto" w:fill="FFFFFF"/>
          </w:tcPr>
          <w:p w14:paraId="7F15F6A0" w14:textId="222A8627"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4,63</w:t>
            </w:r>
          </w:p>
        </w:tc>
        <w:tc>
          <w:tcPr>
            <w:tcW w:w="709" w:type="dxa"/>
            <w:shd w:val="clear" w:color="auto" w:fill="FFFFFF"/>
          </w:tcPr>
          <w:p w14:paraId="08A35A6E" w14:textId="54695823"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4,74</w:t>
            </w:r>
          </w:p>
        </w:tc>
        <w:tc>
          <w:tcPr>
            <w:tcW w:w="712" w:type="dxa"/>
            <w:shd w:val="clear" w:color="auto" w:fill="FFFFFF"/>
          </w:tcPr>
          <w:p w14:paraId="7DD0DCA3" w14:textId="68672BFA"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4,74</w:t>
            </w:r>
          </w:p>
        </w:tc>
        <w:tc>
          <w:tcPr>
            <w:tcW w:w="596" w:type="dxa"/>
            <w:gridSpan w:val="2"/>
            <w:shd w:val="clear" w:color="auto" w:fill="FFFFFF"/>
          </w:tcPr>
          <w:p w14:paraId="50AD5FA3" w14:textId="590EF9EC"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4,74</w:t>
            </w:r>
          </w:p>
        </w:tc>
        <w:tc>
          <w:tcPr>
            <w:tcW w:w="680" w:type="dxa"/>
            <w:gridSpan w:val="3"/>
            <w:shd w:val="clear" w:color="auto" w:fill="FFFFFF"/>
          </w:tcPr>
          <w:p w14:paraId="263AC4F6" w14:textId="2E96C65A"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4,74</w:t>
            </w:r>
          </w:p>
        </w:tc>
        <w:tc>
          <w:tcPr>
            <w:tcW w:w="567" w:type="dxa"/>
            <w:gridSpan w:val="2"/>
            <w:shd w:val="clear" w:color="auto" w:fill="FFFFFF"/>
          </w:tcPr>
          <w:p w14:paraId="37A2D58E" w14:textId="69442895"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4,74</w:t>
            </w:r>
          </w:p>
        </w:tc>
        <w:tc>
          <w:tcPr>
            <w:tcW w:w="567" w:type="dxa"/>
            <w:gridSpan w:val="3"/>
            <w:shd w:val="clear" w:color="auto" w:fill="FFFFFF"/>
          </w:tcPr>
          <w:p w14:paraId="7CE7674C" w14:textId="76D5DDAD"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4,74</w:t>
            </w:r>
          </w:p>
        </w:tc>
        <w:tc>
          <w:tcPr>
            <w:tcW w:w="567" w:type="dxa"/>
            <w:gridSpan w:val="2"/>
            <w:shd w:val="clear" w:color="auto" w:fill="FFFFFF"/>
          </w:tcPr>
          <w:p w14:paraId="5472D016" w14:textId="05A6383A"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4,74</w:t>
            </w:r>
          </w:p>
        </w:tc>
        <w:tc>
          <w:tcPr>
            <w:tcW w:w="567" w:type="dxa"/>
            <w:shd w:val="clear" w:color="auto" w:fill="FFFFFF"/>
          </w:tcPr>
          <w:p w14:paraId="53A5B109" w14:textId="54C7BEA5"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4,74</w:t>
            </w:r>
          </w:p>
        </w:tc>
        <w:tc>
          <w:tcPr>
            <w:tcW w:w="595" w:type="dxa"/>
            <w:gridSpan w:val="2"/>
            <w:shd w:val="clear" w:color="auto" w:fill="FFFFFF"/>
          </w:tcPr>
          <w:p w14:paraId="16858655" w14:textId="0DE994EA"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4,74</w:t>
            </w:r>
          </w:p>
        </w:tc>
        <w:tc>
          <w:tcPr>
            <w:tcW w:w="1106" w:type="dxa"/>
            <w:shd w:val="clear" w:color="auto" w:fill="FFFFFF"/>
          </w:tcPr>
          <w:p w14:paraId="1B7F191D" w14:textId="550287BC"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51,85</w:t>
            </w:r>
          </w:p>
        </w:tc>
      </w:tr>
      <w:tr w:rsidR="005A441A" w:rsidRPr="008B4FE6" w14:paraId="0F27DAC4" w14:textId="77777777" w:rsidTr="00D53FDB">
        <w:trPr>
          <w:trHeight w:val="344"/>
        </w:trPr>
        <w:tc>
          <w:tcPr>
            <w:tcW w:w="2833" w:type="dxa"/>
            <w:gridSpan w:val="4"/>
            <w:shd w:val="clear" w:color="auto" w:fill="FFFFFF"/>
          </w:tcPr>
          <w:p w14:paraId="49FC84DC" w14:textId="5D1E1003" w:rsidR="005A441A" w:rsidRPr="005A441A" w:rsidRDefault="005A441A" w:rsidP="005A441A">
            <w:pPr>
              <w:spacing w:line="240" w:lineRule="auto"/>
              <w:rPr>
                <w:rFonts w:ascii="Times New Roman" w:hAnsi="Times New Roman"/>
                <w:color w:val="000000"/>
              </w:rPr>
            </w:pPr>
            <w:r w:rsidRPr="005A441A">
              <w:rPr>
                <w:rFonts w:ascii="Times New Roman" w:hAnsi="Times New Roman"/>
                <w:color w:val="000000"/>
              </w:rPr>
              <w:t>budżet NFZ z w zakresie przekazania odpisu do RPP  na system rekompensat (FKZM)</w:t>
            </w:r>
          </w:p>
        </w:tc>
        <w:tc>
          <w:tcPr>
            <w:tcW w:w="712" w:type="dxa"/>
            <w:shd w:val="clear" w:color="auto" w:fill="FFFFFF"/>
          </w:tcPr>
          <w:p w14:paraId="7781C622" w14:textId="65591F53"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-16,38</w:t>
            </w:r>
          </w:p>
        </w:tc>
        <w:tc>
          <w:tcPr>
            <w:tcW w:w="705" w:type="dxa"/>
            <w:gridSpan w:val="2"/>
            <w:shd w:val="clear" w:color="auto" w:fill="FFFFFF"/>
          </w:tcPr>
          <w:p w14:paraId="489AFADD" w14:textId="2713A3FF"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-31,18</w:t>
            </w:r>
          </w:p>
        </w:tc>
        <w:tc>
          <w:tcPr>
            <w:tcW w:w="709" w:type="dxa"/>
            <w:shd w:val="clear" w:color="auto" w:fill="FFFFFF"/>
          </w:tcPr>
          <w:p w14:paraId="7C96DB81" w14:textId="3787363E"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-39,35</w:t>
            </w:r>
          </w:p>
        </w:tc>
        <w:tc>
          <w:tcPr>
            <w:tcW w:w="712" w:type="dxa"/>
            <w:shd w:val="clear" w:color="auto" w:fill="FFFFFF"/>
          </w:tcPr>
          <w:p w14:paraId="426FE14B" w14:textId="5938C2BC"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-37,82</w:t>
            </w:r>
          </w:p>
        </w:tc>
        <w:tc>
          <w:tcPr>
            <w:tcW w:w="596" w:type="dxa"/>
            <w:gridSpan w:val="2"/>
            <w:shd w:val="clear" w:color="auto" w:fill="FFFFFF"/>
          </w:tcPr>
          <w:p w14:paraId="5922D6C8" w14:textId="71939ACF"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-36,47</w:t>
            </w:r>
          </w:p>
        </w:tc>
        <w:tc>
          <w:tcPr>
            <w:tcW w:w="680" w:type="dxa"/>
            <w:gridSpan w:val="3"/>
            <w:shd w:val="clear" w:color="auto" w:fill="FFFFFF"/>
          </w:tcPr>
          <w:p w14:paraId="28969D03" w14:textId="46A6E259"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-36,47</w:t>
            </w:r>
          </w:p>
        </w:tc>
        <w:tc>
          <w:tcPr>
            <w:tcW w:w="567" w:type="dxa"/>
            <w:gridSpan w:val="2"/>
            <w:shd w:val="clear" w:color="auto" w:fill="FFFFFF"/>
          </w:tcPr>
          <w:p w14:paraId="35123436" w14:textId="0B464095"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-36,47</w:t>
            </w:r>
          </w:p>
        </w:tc>
        <w:tc>
          <w:tcPr>
            <w:tcW w:w="567" w:type="dxa"/>
            <w:gridSpan w:val="3"/>
            <w:shd w:val="clear" w:color="auto" w:fill="FFFFFF"/>
          </w:tcPr>
          <w:p w14:paraId="1669D755" w14:textId="21285C36"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-36,47</w:t>
            </w:r>
          </w:p>
        </w:tc>
        <w:tc>
          <w:tcPr>
            <w:tcW w:w="567" w:type="dxa"/>
            <w:gridSpan w:val="2"/>
            <w:shd w:val="clear" w:color="auto" w:fill="FFFFFF"/>
          </w:tcPr>
          <w:p w14:paraId="757697F1" w14:textId="2466536B"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-36,47</w:t>
            </w:r>
          </w:p>
        </w:tc>
        <w:tc>
          <w:tcPr>
            <w:tcW w:w="567" w:type="dxa"/>
            <w:shd w:val="clear" w:color="auto" w:fill="FFFFFF"/>
          </w:tcPr>
          <w:p w14:paraId="61AFDE01" w14:textId="049AF482"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-36,47</w:t>
            </w:r>
          </w:p>
        </w:tc>
        <w:tc>
          <w:tcPr>
            <w:tcW w:w="595" w:type="dxa"/>
            <w:gridSpan w:val="2"/>
            <w:shd w:val="clear" w:color="auto" w:fill="FFFFFF"/>
          </w:tcPr>
          <w:p w14:paraId="32E4A41B" w14:textId="47A2E163"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-36,47</w:t>
            </w:r>
          </w:p>
        </w:tc>
        <w:tc>
          <w:tcPr>
            <w:tcW w:w="1106" w:type="dxa"/>
            <w:shd w:val="clear" w:color="auto" w:fill="FFFFFF"/>
          </w:tcPr>
          <w:p w14:paraId="08786E30" w14:textId="4EAD7BB7" w:rsidR="005A441A" w:rsidRPr="005A441A" w:rsidRDefault="005A441A" w:rsidP="005A441A">
            <w:pPr>
              <w:spacing w:line="240" w:lineRule="auto"/>
              <w:jc w:val="center"/>
              <w:rPr>
                <w:rFonts w:ascii="Times New Roman" w:hAnsi="Times New Roman"/>
                <w:color w:val="000000"/>
              </w:rPr>
            </w:pPr>
            <w:r w:rsidRPr="005A441A">
              <w:rPr>
                <w:rFonts w:ascii="Times New Roman" w:hAnsi="Times New Roman"/>
                <w:color w:val="000000"/>
              </w:rPr>
              <w:t>-380,01</w:t>
            </w:r>
          </w:p>
        </w:tc>
      </w:tr>
      <w:tr w:rsidR="006B280A" w:rsidRPr="008B4FE6" w14:paraId="24B42B23" w14:textId="77777777" w:rsidTr="00D53FDB">
        <w:trPr>
          <w:trHeight w:val="344"/>
        </w:trPr>
        <w:tc>
          <w:tcPr>
            <w:tcW w:w="2833" w:type="dxa"/>
            <w:gridSpan w:val="4"/>
            <w:shd w:val="clear" w:color="auto" w:fill="FFFFFF"/>
            <w:vAlign w:val="center"/>
          </w:tcPr>
          <w:p w14:paraId="420AA82A" w14:textId="77777777" w:rsidR="006B280A" w:rsidRPr="006B280A" w:rsidRDefault="006B280A" w:rsidP="006B280A">
            <w:pPr>
              <w:spacing w:line="240" w:lineRule="auto"/>
              <w:rPr>
                <w:rFonts w:ascii="Times New Roman" w:hAnsi="Times New Roman"/>
                <w:color w:val="000000"/>
              </w:rPr>
            </w:pPr>
            <w:r w:rsidRPr="006B280A">
              <w:rPr>
                <w:rFonts w:ascii="Times New Roman" w:hAnsi="Times New Roman"/>
                <w:color w:val="000000"/>
              </w:rPr>
              <w:t>JST</w:t>
            </w:r>
          </w:p>
        </w:tc>
        <w:tc>
          <w:tcPr>
            <w:tcW w:w="712" w:type="dxa"/>
            <w:shd w:val="clear" w:color="auto" w:fill="FFFFFF"/>
            <w:vAlign w:val="center"/>
          </w:tcPr>
          <w:p w14:paraId="2DE2296D" w14:textId="46B8C5C3"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05" w:type="dxa"/>
            <w:gridSpan w:val="2"/>
            <w:shd w:val="clear" w:color="auto" w:fill="FFFFFF"/>
            <w:vAlign w:val="center"/>
          </w:tcPr>
          <w:p w14:paraId="585C1017" w14:textId="39879A50"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09" w:type="dxa"/>
            <w:shd w:val="clear" w:color="auto" w:fill="FFFFFF"/>
            <w:vAlign w:val="center"/>
          </w:tcPr>
          <w:p w14:paraId="5EE225DC" w14:textId="2237CC0D"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12" w:type="dxa"/>
            <w:shd w:val="clear" w:color="auto" w:fill="FFFFFF"/>
            <w:vAlign w:val="center"/>
          </w:tcPr>
          <w:p w14:paraId="24D34B28" w14:textId="519BD228"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96" w:type="dxa"/>
            <w:gridSpan w:val="2"/>
            <w:shd w:val="clear" w:color="auto" w:fill="FFFFFF"/>
            <w:vAlign w:val="center"/>
          </w:tcPr>
          <w:p w14:paraId="58F6F607" w14:textId="61DA34A7"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680" w:type="dxa"/>
            <w:gridSpan w:val="3"/>
            <w:shd w:val="clear" w:color="auto" w:fill="FFFFFF"/>
            <w:vAlign w:val="center"/>
          </w:tcPr>
          <w:p w14:paraId="154942BD" w14:textId="0B22C8A2"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gridSpan w:val="2"/>
            <w:shd w:val="clear" w:color="auto" w:fill="FFFFFF"/>
            <w:vAlign w:val="center"/>
          </w:tcPr>
          <w:p w14:paraId="3691F81F" w14:textId="507799C9"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gridSpan w:val="3"/>
            <w:shd w:val="clear" w:color="auto" w:fill="FFFFFF"/>
            <w:vAlign w:val="center"/>
          </w:tcPr>
          <w:p w14:paraId="18E87E3A" w14:textId="175390EF"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gridSpan w:val="2"/>
            <w:shd w:val="clear" w:color="auto" w:fill="FFFFFF"/>
            <w:vAlign w:val="center"/>
          </w:tcPr>
          <w:p w14:paraId="2A3F3D0E" w14:textId="7BEBDD4A"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shd w:val="clear" w:color="auto" w:fill="FFFFFF"/>
            <w:vAlign w:val="center"/>
          </w:tcPr>
          <w:p w14:paraId="57160E96" w14:textId="22955021"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95" w:type="dxa"/>
            <w:gridSpan w:val="2"/>
            <w:shd w:val="clear" w:color="auto" w:fill="FFFFFF"/>
            <w:vAlign w:val="center"/>
          </w:tcPr>
          <w:p w14:paraId="043A7BCB" w14:textId="552FB95C"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106" w:type="dxa"/>
            <w:shd w:val="clear" w:color="auto" w:fill="FFFFFF"/>
            <w:vAlign w:val="bottom"/>
          </w:tcPr>
          <w:p w14:paraId="52ABD26B" w14:textId="77777777" w:rsidR="006B280A" w:rsidRPr="00493441" w:rsidRDefault="006B280A"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0</w:t>
            </w:r>
          </w:p>
        </w:tc>
      </w:tr>
      <w:tr w:rsidR="006B280A" w:rsidRPr="008B4FE6" w14:paraId="301AA2B9" w14:textId="77777777" w:rsidTr="00D53FDB">
        <w:trPr>
          <w:trHeight w:val="330"/>
        </w:trPr>
        <w:tc>
          <w:tcPr>
            <w:tcW w:w="2833" w:type="dxa"/>
            <w:gridSpan w:val="4"/>
            <w:shd w:val="clear" w:color="auto" w:fill="FFFFFF"/>
            <w:vAlign w:val="center"/>
          </w:tcPr>
          <w:p w14:paraId="2EE7B682" w14:textId="77777777" w:rsidR="006B280A" w:rsidRPr="006B280A" w:rsidRDefault="006B280A" w:rsidP="006B280A">
            <w:pPr>
              <w:spacing w:line="240" w:lineRule="auto"/>
              <w:rPr>
                <w:rFonts w:ascii="Times New Roman" w:hAnsi="Times New Roman"/>
                <w:color w:val="000000"/>
              </w:rPr>
            </w:pPr>
            <w:r w:rsidRPr="006B280A">
              <w:rPr>
                <w:rFonts w:ascii="Times New Roman" w:hAnsi="Times New Roman"/>
                <w:color w:val="000000"/>
              </w:rPr>
              <w:t>pozostałe jednostki</w:t>
            </w:r>
          </w:p>
        </w:tc>
        <w:tc>
          <w:tcPr>
            <w:tcW w:w="712" w:type="dxa"/>
            <w:shd w:val="clear" w:color="auto" w:fill="FFFFFF"/>
            <w:vAlign w:val="center"/>
          </w:tcPr>
          <w:p w14:paraId="0A515612" w14:textId="22E6E12E"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05" w:type="dxa"/>
            <w:gridSpan w:val="2"/>
            <w:shd w:val="clear" w:color="auto" w:fill="FFFFFF"/>
            <w:vAlign w:val="center"/>
          </w:tcPr>
          <w:p w14:paraId="6D5FB6E5" w14:textId="0E5964A0"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09" w:type="dxa"/>
            <w:shd w:val="clear" w:color="auto" w:fill="FFFFFF"/>
            <w:vAlign w:val="center"/>
          </w:tcPr>
          <w:p w14:paraId="0BF85E8A" w14:textId="16760979"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12" w:type="dxa"/>
            <w:shd w:val="clear" w:color="auto" w:fill="FFFFFF"/>
            <w:vAlign w:val="center"/>
          </w:tcPr>
          <w:p w14:paraId="524F849C" w14:textId="4956150A"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96" w:type="dxa"/>
            <w:gridSpan w:val="2"/>
            <w:shd w:val="clear" w:color="auto" w:fill="FFFFFF"/>
            <w:vAlign w:val="center"/>
          </w:tcPr>
          <w:p w14:paraId="4F9F4284" w14:textId="0671EF50"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680" w:type="dxa"/>
            <w:gridSpan w:val="3"/>
            <w:shd w:val="clear" w:color="auto" w:fill="FFFFFF"/>
            <w:vAlign w:val="center"/>
          </w:tcPr>
          <w:p w14:paraId="2BC7A6BC" w14:textId="5BF678E6"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gridSpan w:val="2"/>
            <w:shd w:val="clear" w:color="auto" w:fill="FFFFFF"/>
            <w:vAlign w:val="center"/>
          </w:tcPr>
          <w:p w14:paraId="2554398A" w14:textId="1988E92C"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gridSpan w:val="3"/>
            <w:shd w:val="clear" w:color="auto" w:fill="FFFFFF"/>
            <w:vAlign w:val="center"/>
          </w:tcPr>
          <w:p w14:paraId="2B30224D" w14:textId="3465F9C1"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gridSpan w:val="2"/>
            <w:shd w:val="clear" w:color="auto" w:fill="FFFFFF"/>
            <w:vAlign w:val="center"/>
          </w:tcPr>
          <w:p w14:paraId="70A09C2B" w14:textId="472B2081"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shd w:val="clear" w:color="auto" w:fill="FFFFFF"/>
            <w:vAlign w:val="center"/>
          </w:tcPr>
          <w:p w14:paraId="5C94004D" w14:textId="5C8AC1F7"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95" w:type="dxa"/>
            <w:gridSpan w:val="2"/>
            <w:shd w:val="clear" w:color="auto" w:fill="FFFFFF"/>
            <w:vAlign w:val="center"/>
          </w:tcPr>
          <w:p w14:paraId="34DC6C5B" w14:textId="523FF70C"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106" w:type="dxa"/>
            <w:shd w:val="clear" w:color="auto" w:fill="FFFFFF"/>
            <w:vAlign w:val="bottom"/>
          </w:tcPr>
          <w:p w14:paraId="0735A57F" w14:textId="77777777" w:rsidR="006B280A" w:rsidRPr="00493441" w:rsidRDefault="006B280A"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0</w:t>
            </w:r>
          </w:p>
        </w:tc>
      </w:tr>
      <w:tr w:rsidR="005A441A" w:rsidRPr="008B4FE6" w14:paraId="5D67517D" w14:textId="77777777" w:rsidTr="00D53FDB">
        <w:trPr>
          <w:trHeight w:val="330"/>
        </w:trPr>
        <w:tc>
          <w:tcPr>
            <w:tcW w:w="2833" w:type="dxa"/>
            <w:gridSpan w:val="4"/>
            <w:shd w:val="clear" w:color="auto" w:fill="FFFFFF"/>
            <w:vAlign w:val="center"/>
          </w:tcPr>
          <w:p w14:paraId="08E165C8" w14:textId="77777777" w:rsidR="005A441A" w:rsidRPr="006B280A" w:rsidRDefault="005A441A" w:rsidP="005A441A">
            <w:pPr>
              <w:spacing w:line="240" w:lineRule="auto"/>
              <w:rPr>
                <w:rFonts w:ascii="Times New Roman" w:hAnsi="Times New Roman"/>
                <w:color w:val="000000"/>
                <w:sz w:val="21"/>
                <w:szCs w:val="21"/>
              </w:rPr>
            </w:pPr>
            <w:r w:rsidRPr="006B280A">
              <w:rPr>
                <w:rFonts w:ascii="Times New Roman" w:hAnsi="Times New Roman"/>
                <w:b/>
                <w:bCs/>
                <w:color w:val="000000"/>
                <w:sz w:val="21"/>
                <w:szCs w:val="21"/>
              </w:rPr>
              <w:t>Wydatki ogółem</w:t>
            </w:r>
          </w:p>
        </w:tc>
        <w:tc>
          <w:tcPr>
            <w:tcW w:w="712" w:type="dxa"/>
            <w:shd w:val="clear" w:color="auto" w:fill="FFFFFF"/>
          </w:tcPr>
          <w:p w14:paraId="4A0A6393" w14:textId="3957AB44" w:rsidR="005A441A" w:rsidRPr="00D53FDB" w:rsidRDefault="005A441A" w:rsidP="00EC4CBD">
            <w:pPr>
              <w:spacing w:line="240" w:lineRule="auto"/>
              <w:rPr>
                <w:rFonts w:ascii="Times New Roman" w:hAnsi="Times New Roman"/>
                <w:b/>
                <w:bCs/>
                <w:color w:val="000000"/>
              </w:rPr>
            </w:pPr>
            <w:r w:rsidRPr="00EC4CBD">
              <w:rPr>
                <w:rFonts w:ascii="Times New Roman" w:hAnsi="Times New Roman"/>
                <w:b/>
                <w:bCs/>
                <w:color w:val="000000"/>
              </w:rPr>
              <w:t xml:space="preserve">11,31    </w:t>
            </w:r>
          </w:p>
        </w:tc>
        <w:tc>
          <w:tcPr>
            <w:tcW w:w="705" w:type="dxa"/>
            <w:gridSpan w:val="2"/>
            <w:shd w:val="clear" w:color="auto" w:fill="FFFFFF"/>
          </w:tcPr>
          <w:p w14:paraId="0B9AE7E8" w14:textId="55F9D6F7" w:rsidR="005A441A" w:rsidRPr="00D53FDB" w:rsidRDefault="005A441A" w:rsidP="00EC4CBD">
            <w:pPr>
              <w:spacing w:line="240" w:lineRule="auto"/>
              <w:rPr>
                <w:rFonts w:ascii="Times New Roman" w:hAnsi="Times New Roman"/>
                <w:b/>
                <w:bCs/>
                <w:color w:val="000000"/>
              </w:rPr>
            </w:pPr>
            <w:r w:rsidRPr="00EC4CBD">
              <w:rPr>
                <w:rFonts w:ascii="Times New Roman" w:hAnsi="Times New Roman"/>
                <w:b/>
                <w:bCs/>
                <w:color w:val="000000"/>
              </w:rPr>
              <w:t>27,47</w:t>
            </w:r>
          </w:p>
        </w:tc>
        <w:tc>
          <w:tcPr>
            <w:tcW w:w="709" w:type="dxa"/>
            <w:shd w:val="clear" w:color="auto" w:fill="FFFFFF"/>
          </w:tcPr>
          <w:p w14:paraId="50BF592A" w14:textId="4A476FD0" w:rsidR="005A441A" w:rsidRPr="00D53FDB" w:rsidRDefault="005A441A" w:rsidP="00EC4CBD">
            <w:pPr>
              <w:spacing w:line="240" w:lineRule="auto"/>
              <w:rPr>
                <w:rFonts w:ascii="Times New Roman" w:hAnsi="Times New Roman"/>
                <w:b/>
                <w:bCs/>
                <w:color w:val="000000"/>
              </w:rPr>
            </w:pPr>
            <w:r w:rsidRPr="00EC4CBD">
              <w:rPr>
                <w:rFonts w:ascii="Times New Roman" w:hAnsi="Times New Roman"/>
                <w:b/>
                <w:bCs/>
                <w:color w:val="000000"/>
              </w:rPr>
              <w:t>37,14</w:t>
            </w:r>
          </w:p>
        </w:tc>
        <w:tc>
          <w:tcPr>
            <w:tcW w:w="712" w:type="dxa"/>
            <w:shd w:val="clear" w:color="auto" w:fill="FFFFFF"/>
          </w:tcPr>
          <w:p w14:paraId="57CC8EB3" w14:textId="1EFC4D96" w:rsidR="005A441A" w:rsidRPr="00D53FDB" w:rsidRDefault="005A441A" w:rsidP="00EC4CBD">
            <w:pPr>
              <w:spacing w:line="240" w:lineRule="auto"/>
              <w:rPr>
                <w:rFonts w:ascii="Times New Roman" w:hAnsi="Times New Roman"/>
                <w:b/>
                <w:bCs/>
                <w:color w:val="000000"/>
              </w:rPr>
            </w:pPr>
            <w:r w:rsidRPr="00EC4CBD">
              <w:rPr>
                <w:rFonts w:ascii="Times New Roman" w:hAnsi="Times New Roman"/>
                <w:b/>
                <w:bCs/>
                <w:color w:val="000000"/>
              </w:rPr>
              <w:t>36,87</w:t>
            </w:r>
          </w:p>
        </w:tc>
        <w:tc>
          <w:tcPr>
            <w:tcW w:w="596" w:type="dxa"/>
            <w:gridSpan w:val="2"/>
            <w:shd w:val="clear" w:color="auto" w:fill="FFFFFF"/>
          </w:tcPr>
          <w:p w14:paraId="5D8B5F30" w14:textId="14BC30C5" w:rsidR="005A441A" w:rsidRPr="00D53FDB" w:rsidRDefault="005A441A" w:rsidP="00EC4CBD">
            <w:pPr>
              <w:spacing w:line="240" w:lineRule="auto"/>
              <w:rPr>
                <w:rFonts w:ascii="Times New Roman" w:hAnsi="Times New Roman"/>
                <w:b/>
                <w:bCs/>
                <w:color w:val="000000"/>
              </w:rPr>
            </w:pPr>
            <w:r w:rsidRPr="00EC4CBD">
              <w:rPr>
                <w:rFonts w:ascii="Times New Roman" w:hAnsi="Times New Roman"/>
                <w:b/>
                <w:bCs/>
                <w:color w:val="000000"/>
              </w:rPr>
              <w:t>36,63</w:t>
            </w:r>
          </w:p>
        </w:tc>
        <w:tc>
          <w:tcPr>
            <w:tcW w:w="680" w:type="dxa"/>
            <w:gridSpan w:val="3"/>
            <w:shd w:val="clear" w:color="auto" w:fill="FFFFFF"/>
          </w:tcPr>
          <w:p w14:paraId="46CF9F6F" w14:textId="0EFF0857" w:rsidR="005A441A" w:rsidRPr="00D53FDB" w:rsidRDefault="005A441A" w:rsidP="00EC4CBD">
            <w:pPr>
              <w:spacing w:line="240" w:lineRule="auto"/>
              <w:rPr>
                <w:rFonts w:ascii="Times New Roman" w:hAnsi="Times New Roman"/>
                <w:b/>
                <w:bCs/>
                <w:color w:val="000000"/>
              </w:rPr>
            </w:pPr>
            <w:r w:rsidRPr="00EC4CBD">
              <w:rPr>
                <w:rFonts w:ascii="Times New Roman" w:hAnsi="Times New Roman"/>
                <w:b/>
                <w:bCs/>
                <w:color w:val="000000"/>
              </w:rPr>
              <w:t>36,38</w:t>
            </w:r>
          </w:p>
        </w:tc>
        <w:tc>
          <w:tcPr>
            <w:tcW w:w="567" w:type="dxa"/>
            <w:gridSpan w:val="2"/>
            <w:shd w:val="clear" w:color="auto" w:fill="FFFFFF"/>
          </w:tcPr>
          <w:p w14:paraId="26244DDA" w14:textId="1B026461" w:rsidR="005A441A" w:rsidRPr="00D53FDB" w:rsidRDefault="005A441A" w:rsidP="00EC4CBD">
            <w:pPr>
              <w:spacing w:line="240" w:lineRule="auto"/>
              <w:rPr>
                <w:rFonts w:ascii="Times New Roman" w:hAnsi="Times New Roman"/>
                <w:b/>
                <w:bCs/>
                <w:color w:val="000000"/>
              </w:rPr>
            </w:pPr>
            <w:r w:rsidRPr="00EC4CBD">
              <w:rPr>
                <w:rFonts w:ascii="Times New Roman" w:hAnsi="Times New Roman"/>
                <w:b/>
                <w:bCs/>
                <w:color w:val="000000"/>
              </w:rPr>
              <w:t>36,13</w:t>
            </w:r>
          </w:p>
        </w:tc>
        <w:tc>
          <w:tcPr>
            <w:tcW w:w="567" w:type="dxa"/>
            <w:gridSpan w:val="3"/>
            <w:shd w:val="clear" w:color="auto" w:fill="FFFFFF"/>
          </w:tcPr>
          <w:p w14:paraId="59CB6695" w14:textId="15518F9B" w:rsidR="005A441A" w:rsidRPr="00D53FDB" w:rsidRDefault="005A441A" w:rsidP="00EC4CBD">
            <w:pPr>
              <w:spacing w:line="240" w:lineRule="auto"/>
              <w:rPr>
                <w:rFonts w:ascii="Times New Roman" w:hAnsi="Times New Roman"/>
                <w:b/>
                <w:bCs/>
                <w:color w:val="000000"/>
              </w:rPr>
            </w:pPr>
            <w:r w:rsidRPr="00EC4CBD">
              <w:rPr>
                <w:rFonts w:ascii="Times New Roman" w:hAnsi="Times New Roman"/>
                <w:b/>
                <w:bCs/>
                <w:color w:val="000000"/>
              </w:rPr>
              <w:t>35,87</w:t>
            </w:r>
          </w:p>
        </w:tc>
        <w:tc>
          <w:tcPr>
            <w:tcW w:w="567" w:type="dxa"/>
            <w:gridSpan w:val="2"/>
            <w:shd w:val="clear" w:color="auto" w:fill="FFFFFF"/>
          </w:tcPr>
          <w:p w14:paraId="6B2B396B" w14:textId="6A9C62E2" w:rsidR="005A441A" w:rsidRPr="00D53FDB" w:rsidRDefault="005A441A" w:rsidP="00EC4CBD">
            <w:pPr>
              <w:spacing w:line="240" w:lineRule="auto"/>
              <w:rPr>
                <w:rFonts w:ascii="Times New Roman" w:hAnsi="Times New Roman"/>
                <w:b/>
                <w:bCs/>
                <w:color w:val="000000"/>
              </w:rPr>
            </w:pPr>
            <w:r w:rsidRPr="00EC4CBD">
              <w:rPr>
                <w:rFonts w:ascii="Times New Roman" w:hAnsi="Times New Roman"/>
                <w:b/>
                <w:bCs/>
                <w:color w:val="000000"/>
              </w:rPr>
              <w:t>35,60</w:t>
            </w:r>
          </w:p>
        </w:tc>
        <w:tc>
          <w:tcPr>
            <w:tcW w:w="567" w:type="dxa"/>
            <w:shd w:val="clear" w:color="auto" w:fill="FFFFFF"/>
          </w:tcPr>
          <w:p w14:paraId="7446AF29" w14:textId="5503C455" w:rsidR="005A441A" w:rsidRPr="00D53FDB" w:rsidRDefault="005A441A" w:rsidP="00EC4CBD">
            <w:pPr>
              <w:spacing w:line="240" w:lineRule="auto"/>
              <w:rPr>
                <w:rFonts w:ascii="Times New Roman" w:hAnsi="Times New Roman"/>
                <w:b/>
                <w:bCs/>
                <w:color w:val="000000"/>
              </w:rPr>
            </w:pPr>
            <w:r w:rsidRPr="00EC4CBD">
              <w:rPr>
                <w:rFonts w:ascii="Times New Roman" w:hAnsi="Times New Roman"/>
                <w:b/>
                <w:bCs/>
                <w:color w:val="000000"/>
              </w:rPr>
              <w:t>35,33</w:t>
            </w:r>
          </w:p>
        </w:tc>
        <w:tc>
          <w:tcPr>
            <w:tcW w:w="595" w:type="dxa"/>
            <w:gridSpan w:val="2"/>
            <w:shd w:val="clear" w:color="auto" w:fill="FFFFFF"/>
          </w:tcPr>
          <w:p w14:paraId="56BAAA4F" w14:textId="2C1E1767" w:rsidR="005A441A" w:rsidRPr="00D53FDB" w:rsidRDefault="005A441A" w:rsidP="00EC4CBD">
            <w:pPr>
              <w:spacing w:line="240" w:lineRule="auto"/>
              <w:rPr>
                <w:rFonts w:ascii="Times New Roman" w:hAnsi="Times New Roman"/>
                <w:b/>
                <w:bCs/>
                <w:color w:val="000000"/>
              </w:rPr>
            </w:pPr>
            <w:r w:rsidRPr="00EC4CBD">
              <w:rPr>
                <w:rFonts w:ascii="Times New Roman" w:hAnsi="Times New Roman"/>
                <w:b/>
                <w:bCs/>
                <w:color w:val="000000"/>
              </w:rPr>
              <w:t>35,04</w:t>
            </w:r>
          </w:p>
        </w:tc>
        <w:tc>
          <w:tcPr>
            <w:tcW w:w="1106" w:type="dxa"/>
            <w:shd w:val="clear" w:color="auto" w:fill="FFFFFF"/>
          </w:tcPr>
          <w:p w14:paraId="522480A0" w14:textId="3B0671E2" w:rsidR="005A441A" w:rsidRPr="00D53FDB" w:rsidRDefault="005A441A" w:rsidP="00EC4CBD">
            <w:pPr>
              <w:spacing w:line="240" w:lineRule="auto"/>
              <w:rPr>
                <w:rFonts w:ascii="Times New Roman" w:hAnsi="Times New Roman"/>
                <w:b/>
                <w:bCs/>
                <w:color w:val="000000"/>
              </w:rPr>
            </w:pPr>
            <w:r w:rsidRPr="00EC4CBD">
              <w:rPr>
                <w:rFonts w:ascii="Times New Roman" w:hAnsi="Times New Roman"/>
                <w:b/>
                <w:bCs/>
                <w:color w:val="000000"/>
              </w:rPr>
              <w:t>363,77</w:t>
            </w:r>
          </w:p>
        </w:tc>
      </w:tr>
      <w:tr w:rsidR="00493441" w:rsidRPr="00DD042C" w14:paraId="43BE6221" w14:textId="77777777" w:rsidTr="00D53FDB">
        <w:trPr>
          <w:trHeight w:val="330"/>
        </w:trPr>
        <w:tc>
          <w:tcPr>
            <w:tcW w:w="2833" w:type="dxa"/>
            <w:gridSpan w:val="4"/>
            <w:shd w:val="clear" w:color="auto" w:fill="FFFFFF"/>
            <w:vAlign w:val="center"/>
          </w:tcPr>
          <w:p w14:paraId="5FAE20AB" w14:textId="0A9B89CE" w:rsidR="007B6EC8" w:rsidRPr="006B280A" w:rsidRDefault="00493441" w:rsidP="00493441">
            <w:pPr>
              <w:spacing w:line="240" w:lineRule="auto"/>
              <w:rPr>
                <w:rFonts w:ascii="Times New Roman" w:hAnsi="Times New Roman"/>
                <w:color w:val="000000"/>
              </w:rPr>
            </w:pPr>
            <w:r w:rsidRPr="006B280A">
              <w:rPr>
                <w:rFonts w:ascii="Times New Roman" w:hAnsi="Times New Roman"/>
                <w:color w:val="000000"/>
              </w:rPr>
              <w:t xml:space="preserve">budżet </w:t>
            </w:r>
            <w:r w:rsidR="001E3680">
              <w:rPr>
                <w:rFonts w:ascii="Times New Roman" w:hAnsi="Times New Roman"/>
                <w:color w:val="000000"/>
              </w:rPr>
              <w:t>RPP</w:t>
            </w:r>
            <w:r w:rsidR="00294AAF" w:rsidRPr="006B280A">
              <w:rPr>
                <w:rFonts w:ascii="Times New Roman" w:hAnsi="Times New Roman"/>
                <w:color w:val="000000"/>
              </w:rPr>
              <w:t xml:space="preserve"> </w:t>
            </w:r>
            <w:r w:rsidRPr="006B280A">
              <w:rPr>
                <w:rFonts w:ascii="Times New Roman" w:hAnsi="Times New Roman"/>
                <w:color w:val="000000"/>
              </w:rPr>
              <w:t>w zakresie system</w:t>
            </w:r>
            <w:r w:rsidR="001E3680">
              <w:rPr>
                <w:rFonts w:ascii="Times New Roman" w:hAnsi="Times New Roman"/>
                <w:color w:val="000000"/>
              </w:rPr>
              <w:t>u</w:t>
            </w:r>
            <w:r w:rsidRPr="006B280A">
              <w:rPr>
                <w:rFonts w:ascii="Times New Roman" w:hAnsi="Times New Roman"/>
                <w:color w:val="000000"/>
              </w:rPr>
              <w:t xml:space="preserve"> rekompensat za zdarzenia medyczne (w tym koszty wypłaty świadczeń kompensacyjnych oraz kosztów obsługi</w:t>
            </w:r>
            <w:r w:rsidR="007B6EC8">
              <w:rPr>
                <w:rFonts w:ascii="Times New Roman" w:hAnsi="Times New Roman"/>
                <w:color w:val="000000"/>
              </w:rPr>
              <w:t xml:space="preserve">) </w:t>
            </w:r>
          </w:p>
        </w:tc>
        <w:tc>
          <w:tcPr>
            <w:tcW w:w="712" w:type="dxa"/>
            <w:shd w:val="clear" w:color="auto" w:fill="FFFFFF"/>
          </w:tcPr>
          <w:p w14:paraId="36282E6B"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16,63</w:t>
            </w:r>
          </w:p>
        </w:tc>
        <w:tc>
          <w:tcPr>
            <w:tcW w:w="705" w:type="dxa"/>
            <w:gridSpan w:val="2"/>
            <w:shd w:val="clear" w:color="auto" w:fill="FFFFFF"/>
          </w:tcPr>
          <w:p w14:paraId="3E8980BC"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33,18</w:t>
            </w:r>
          </w:p>
        </w:tc>
        <w:tc>
          <w:tcPr>
            <w:tcW w:w="709" w:type="dxa"/>
            <w:shd w:val="clear" w:color="auto" w:fill="FFFFFF"/>
          </w:tcPr>
          <w:p w14:paraId="3C1C792D"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43,00</w:t>
            </w:r>
          </w:p>
        </w:tc>
        <w:tc>
          <w:tcPr>
            <w:tcW w:w="712" w:type="dxa"/>
            <w:shd w:val="clear" w:color="auto" w:fill="FFFFFF"/>
          </w:tcPr>
          <w:p w14:paraId="2B6174C3"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42,97</w:t>
            </w:r>
          </w:p>
        </w:tc>
        <w:tc>
          <w:tcPr>
            <w:tcW w:w="596" w:type="dxa"/>
            <w:gridSpan w:val="2"/>
            <w:shd w:val="clear" w:color="auto" w:fill="FFFFFF"/>
          </w:tcPr>
          <w:p w14:paraId="54C92645"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42,97</w:t>
            </w:r>
          </w:p>
        </w:tc>
        <w:tc>
          <w:tcPr>
            <w:tcW w:w="680" w:type="dxa"/>
            <w:gridSpan w:val="3"/>
            <w:shd w:val="clear" w:color="auto" w:fill="FFFFFF"/>
          </w:tcPr>
          <w:p w14:paraId="43CDFF35"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42,97</w:t>
            </w:r>
          </w:p>
        </w:tc>
        <w:tc>
          <w:tcPr>
            <w:tcW w:w="567" w:type="dxa"/>
            <w:gridSpan w:val="2"/>
            <w:shd w:val="clear" w:color="auto" w:fill="FFFFFF"/>
          </w:tcPr>
          <w:p w14:paraId="50C45B6F"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42,97</w:t>
            </w:r>
          </w:p>
        </w:tc>
        <w:tc>
          <w:tcPr>
            <w:tcW w:w="567" w:type="dxa"/>
            <w:gridSpan w:val="3"/>
            <w:shd w:val="clear" w:color="auto" w:fill="FFFFFF"/>
          </w:tcPr>
          <w:p w14:paraId="17F4A098"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42,97</w:t>
            </w:r>
          </w:p>
        </w:tc>
        <w:tc>
          <w:tcPr>
            <w:tcW w:w="567" w:type="dxa"/>
            <w:gridSpan w:val="2"/>
            <w:shd w:val="clear" w:color="auto" w:fill="FFFFFF"/>
          </w:tcPr>
          <w:p w14:paraId="1EC1B6F2"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42,97</w:t>
            </w:r>
          </w:p>
        </w:tc>
        <w:tc>
          <w:tcPr>
            <w:tcW w:w="567" w:type="dxa"/>
            <w:shd w:val="clear" w:color="auto" w:fill="FFFFFF"/>
          </w:tcPr>
          <w:p w14:paraId="08941F95"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42,97</w:t>
            </w:r>
          </w:p>
        </w:tc>
        <w:tc>
          <w:tcPr>
            <w:tcW w:w="595" w:type="dxa"/>
            <w:gridSpan w:val="2"/>
            <w:shd w:val="clear" w:color="auto" w:fill="FFFFFF"/>
          </w:tcPr>
          <w:p w14:paraId="358C5D6A"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42,97</w:t>
            </w:r>
          </w:p>
        </w:tc>
        <w:tc>
          <w:tcPr>
            <w:tcW w:w="1106" w:type="dxa"/>
            <w:shd w:val="clear" w:color="auto" w:fill="FFFFFF"/>
          </w:tcPr>
          <w:p w14:paraId="64E86D85"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436,56</w:t>
            </w:r>
          </w:p>
        </w:tc>
      </w:tr>
      <w:tr w:rsidR="00493441" w:rsidRPr="00DD042C" w14:paraId="3C503F9F" w14:textId="77777777" w:rsidTr="00D53FDB">
        <w:trPr>
          <w:trHeight w:val="330"/>
        </w:trPr>
        <w:tc>
          <w:tcPr>
            <w:tcW w:w="2833" w:type="dxa"/>
            <w:gridSpan w:val="4"/>
            <w:shd w:val="clear" w:color="auto" w:fill="FFFFFF"/>
            <w:vAlign w:val="center"/>
          </w:tcPr>
          <w:p w14:paraId="79C76B85" w14:textId="0C024A0E" w:rsidR="00493441" w:rsidRPr="006B280A" w:rsidRDefault="00493441" w:rsidP="00493441">
            <w:pPr>
              <w:spacing w:line="240" w:lineRule="auto"/>
              <w:rPr>
                <w:rFonts w:ascii="Times New Roman" w:hAnsi="Times New Roman"/>
                <w:color w:val="000000"/>
              </w:rPr>
            </w:pPr>
            <w:r w:rsidRPr="006B280A">
              <w:rPr>
                <w:rFonts w:ascii="Times New Roman" w:hAnsi="Times New Roman"/>
                <w:color w:val="000000"/>
              </w:rPr>
              <w:t xml:space="preserve">budżet </w:t>
            </w:r>
            <w:r w:rsidR="00294AAF">
              <w:rPr>
                <w:rFonts w:ascii="Times New Roman" w:hAnsi="Times New Roman"/>
                <w:color w:val="000000"/>
              </w:rPr>
              <w:t>NFZ</w:t>
            </w:r>
            <w:r w:rsidR="00294AAF" w:rsidRPr="006B280A">
              <w:rPr>
                <w:rFonts w:ascii="Times New Roman" w:hAnsi="Times New Roman"/>
                <w:color w:val="000000"/>
              </w:rPr>
              <w:t xml:space="preserve"> </w:t>
            </w:r>
            <w:r w:rsidRPr="006B280A">
              <w:rPr>
                <w:rFonts w:ascii="Times New Roman" w:hAnsi="Times New Roman"/>
                <w:color w:val="000000"/>
              </w:rPr>
              <w:t>w zakresie kosztów związanych z autoryzacją</w:t>
            </w:r>
          </w:p>
        </w:tc>
        <w:tc>
          <w:tcPr>
            <w:tcW w:w="712" w:type="dxa"/>
            <w:shd w:val="clear" w:color="auto" w:fill="FFFFFF"/>
          </w:tcPr>
          <w:p w14:paraId="7274BDDB"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3,68</w:t>
            </w:r>
          </w:p>
        </w:tc>
        <w:tc>
          <w:tcPr>
            <w:tcW w:w="705" w:type="dxa"/>
            <w:gridSpan w:val="2"/>
            <w:shd w:val="clear" w:color="auto" w:fill="FFFFFF"/>
          </w:tcPr>
          <w:p w14:paraId="03A4742C"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3,51</w:t>
            </w:r>
          </w:p>
        </w:tc>
        <w:tc>
          <w:tcPr>
            <w:tcW w:w="709" w:type="dxa"/>
            <w:shd w:val="clear" w:color="auto" w:fill="FFFFFF"/>
          </w:tcPr>
          <w:p w14:paraId="570967F7"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3,60</w:t>
            </w:r>
          </w:p>
        </w:tc>
        <w:tc>
          <w:tcPr>
            <w:tcW w:w="712" w:type="dxa"/>
            <w:shd w:val="clear" w:color="auto" w:fill="FFFFFF"/>
          </w:tcPr>
          <w:p w14:paraId="1EE66079"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3,60</w:t>
            </w:r>
          </w:p>
        </w:tc>
        <w:tc>
          <w:tcPr>
            <w:tcW w:w="596" w:type="dxa"/>
            <w:gridSpan w:val="2"/>
            <w:shd w:val="clear" w:color="auto" w:fill="FFFFFF"/>
          </w:tcPr>
          <w:p w14:paraId="070FD176"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3,60</w:t>
            </w:r>
          </w:p>
        </w:tc>
        <w:tc>
          <w:tcPr>
            <w:tcW w:w="680" w:type="dxa"/>
            <w:gridSpan w:val="3"/>
            <w:shd w:val="clear" w:color="auto" w:fill="FFFFFF"/>
          </w:tcPr>
          <w:p w14:paraId="04E344A2"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3,60</w:t>
            </w:r>
          </w:p>
        </w:tc>
        <w:tc>
          <w:tcPr>
            <w:tcW w:w="567" w:type="dxa"/>
            <w:gridSpan w:val="2"/>
            <w:shd w:val="clear" w:color="auto" w:fill="FFFFFF"/>
          </w:tcPr>
          <w:p w14:paraId="1DCCA723"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3,60</w:t>
            </w:r>
          </w:p>
        </w:tc>
        <w:tc>
          <w:tcPr>
            <w:tcW w:w="567" w:type="dxa"/>
            <w:gridSpan w:val="3"/>
            <w:shd w:val="clear" w:color="auto" w:fill="FFFFFF"/>
          </w:tcPr>
          <w:p w14:paraId="4F34AA9A"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3,60</w:t>
            </w:r>
          </w:p>
        </w:tc>
        <w:tc>
          <w:tcPr>
            <w:tcW w:w="567" w:type="dxa"/>
            <w:gridSpan w:val="2"/>
            <w:shd w:val="clear" w:color="auto" w:fill="FFFFFF"/>
          </w:tcPr>
          <w:p w14:paraId="3281BB53"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3,60</w:t>
            </w:r>
          </w:p>
        </w:tc>
        <w:tc>
          <w:tcPr>
            <w:tcW w:w="567" w:type="dxa"/>
            <w:shd w:val="clear" w:color="auto" w:fill="FFFFFF"/>
          </w:tcPr>
          <w:p w14:paraId="35FC2FC7"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3,60</w:t>
            </w:r>
          </w:p>
        </w:tc>
        <w:tc>
          <w:tcPr>
            <w:tcW w:w="595" w:type="dxa"/>
            <w:gridSpan w:val="2"/>
            <w:shd w:val="clear" w:color="auto" w:fill="FFFFFF"/>
          </w:tcPr>
          <w:p w14:paraId="26C1A9DB"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3,60</w:t>
            </w:r>
          </w:p>
        </w:tc>
        <w:tc>
          <w:tcPr>
            <w:tcW w:w="1106" w:type="dxa"/>
            <w:shd w:val="clear" w:color="auto" w:fill="FFFFFF"/>
          </w:tcPr>
          <w:p w14:paraId="6E9DF1C0" w14:textId="77777777" w:rsidR="00493441" w:rsidRPr="00493441" w:rsidRDefault="00493441"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39,55</w:t>
            </w:r>
          </w:p>
        </w:tc>
      </w:tr>
      <w:tr w:rsidR="00693C83" w:rsidRPr="00693C83" w14:paraId="1CC0F3C3" w14:textId="77777777" w:rsidTr="00D53FDB">
        <w:trPr>
          <w:trHeight w:val="330"/>
        </w:trPr>
        <w:tc>
          <w:tcPr>
            <w:tcW w:w="283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6DA58DC0" w14:textId="4EDFA0A0" w:rsidR="00693C83" w:rsidRPr="005A441A" w:rsidRDefault="00693C83" w:rsidP="00693C83">
            <w:pPr>
              <w:spacing w:line="240" w:lineRule="auto"/>
              <w:rPr>
                <w:rFonts w:ascii="Times New Roman" w:hAnsi="Times New Roman"/>
                <w:color w:val="000000"/>
              </w:rPr>
            </w:pPr>
            <w:r w:rsidRPr="003B688C">
              <w:rPr>
                <w:rFonts w:ascii="Times New Roman" w:hAnsi="Times New Roman"/>
                <w:color w:val="000000"/>
              </w:rPr>
              <w:t>budżet państwa w zakresie kosztów MZ związanych z akredytacją</w:t>
            </w:r>
            <w:r w:rsidR="001E3680">
              <w:rPr>
                <w:rFonts w:ascii="Times New Roman" w:hAnsi="Times New Roman"/>
                <w:color w:val="000000"/>
              </w:rPr>
              <w:t xml:space="preserve"> w ochronie zdrowia (budżet CMJ)</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033BFA89" w14:textId="7421F409"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-4,52</w:t>
            </w:r>
          </w:p>
        </w:tc>
        <w:tc>
          <w:tcPr>
            <w:tcW w:w="705" w:type="dxa"/>
            <w:gridSpan w:val="2"/>
            <w:tcBorders>
              <w:top w:val="single" w:sz="4" w:space="0" w:color="auto"/>
              <w:left w:val="nil"/>
              <w:bottom w:val="single" w:sz="4" w:space="0" w:color="auto"/>
              <w:right w:val="single" w:sz="4" w:space="0" w:color="auto"/>
            </w:tcBorders>
            <w:shd w:val="clear" w:color="000000" w:fill="FFFFFF"/>
            <w:vAlign w:val="center"/>
          </w:tcPr>
          <w:p w14:paraId="2F070FF2" w14:textId="559BFC46"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-4,63</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CFB76E8" w14:textId="5C29DEC6"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160D7169" w14:textId="4D54277F"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596" w:type="dxa"/>
            <w:gridSpan w:val="2"/>
            <w:tcBorders>
              <w:top w:val="single" w:sz="4" w:space="0" w:color="auto"/>
              <w:left w:val="nil"/>
              <w:bottom w:val="single" w:sz="4" w:space="0" w:color="auto"/>
              <w:right w:val="single" w:sz="4" w:space="0" w:color="auto"/>
            </w:tcBorders>
            <w:shd w:val="clear" w:color="000000" w:fill="FFFFFF"/>
            <w:vAlign w:val="center"/>
          </w:tcPr>
          <w:p w14:paraId="1CC4756E" w14:textId="307C1D9C"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680" w:type="dxa"/>
            <w:gridSpan w:val="3"/>
            <w:tcBorders>
              <w:top w:val="single" w:sz="4" w:space="0" w:color="auto"/>
              <w:left w:val="nil"/>
              <w:bottom w:val="single" w:sz="4" w:space="0" w:color="auto"/>
              <w:right w:val="single" w:sz="4" w:space="0" w:color="auto"/>
            </w:tcBorders>
            <w:shd w:val="clear" w:color="000000" w:fill="FFFFFF"/>
            <w:vAlign w:val="center"/>
          </w:tcPr>
          <w:p w14:paraId="37D9BDDA" w14:textId="2488C7C9"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14:paraId="37551336" w14:textId="2E6522E4"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567" w:type="dxa"/>
            <w:gridSpan w:val="3"/>
            <w:tcBorders>
              <w:top w:val="single" w:sz="4" w:space="0" w:color="auto"/>
              <w:left w:val="nil"/>
              <w:bottom w:val="single" w:sz="4" w:space="0" w:color="auto"/>
              <w:right w:val="single" w:sz="4" w:space="0" w:color="auto"/>
            </w:tcBorders>
            <w:shd w:val="clear" w:color="000000" w:fill="FFFFFF"/>
            <w:vAlign w:val="center"/>
          </w:tcPr>
          <w:p w14:paraId="55CECF3D" w14:textId="78F8597E"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14:paraId="79F14214" w14:textId="6A8E40B7"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37810130" w14:textId="6E5595C1"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595" w:type="dxa"/>
            <w:gridSpan w:val="2"/>
            <w:tcBorders>
              <w:top w:val="single" w:sz="4" w:space="0" w:color="auto"/>
              <w:left w:val="nil"/>
              <w:bottom w:val="single" w:sz="4" w:space="0" w:color="auto"/>
              <w:right w:val="single" w:sz="4" w:space="0" w:color="auto"/>
            </w:tcBorders>
            <w:shd w:val="clear" w:color="000000" w:fill="FFFFFF"/>
            <w:vAlign w:val="center"/>
          </w:tcPr>
          <w:p w14:paraId="6B175518" w14:textId="645EEED1"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1106" w:type="dxa"/>
            <w:tcBorders>
              <w:top w:val="single" w:sz="4" w:space="0" w:color="auto"/>
              <w:left w:val="nil"/>
              <w:bottom w:val="single" w:sz="4" w:space="0" w:color="auto"/>
              <w:right w:val="single" w:sz="4" w:space="0" w:color="auto"/>
            </w:tcBorders>
            <w:shd w:val="clear" w:color="000000" w:fill="FFFFFF"/>
            <w:vAlign w:val="center"/>
          </w:tcPr>
          <w:p w14:paraId="79285E92" w14:textId="28FCC2BC"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rPr>
              <w:t>-51,85</w:t>
            </w:r>
          </w:p>
        </w:tc>
      </w:tr>
      <w:tr w:rsidR="00D53FDB" w:rsidRPr="00693C83" w14:paraId="6DC39836" w14:textId="77777777" w:rsidTr="00D53FDB">
        <w:trPr>
          <w:trHeight w:val="330"/>
        </w:trPr>
        <w:tc>
          <w:tcPr>
            <w:tcW w:w="2833" w:type="dxa"/>
            <w:gridSpan w:val="4"/>
            <w:tcBorders>
              <w:top w:val="nil"/>
              <w:left w:val="single" w:sz="4" w:space="0" w:color="auto"/>
              <w:bottom w:val="single" w:sz="4" w:space="0" w:color="auto"/>
              <w:right w:val="single" w:sz="4" w:space="0" w:color="auto"/>
            </w:tcBorders>
            <w:shd w:val="clear" w:color="000000" w:fill="FFFFFF"/>
            <w:vAlign w:val="center"/>
          </w:tcPr>
          <w:p w14:paraId="315448E5" w14:textId="5F82C40E" w:rsidR="00693C83" w:rsidRPr="003B688C" w:rsidRDefault="00693C83" w:rsidP="00693C83">
            <w:pPr>
              <w:spacing w:line="240" w:lineRule="auto"/>
              <w:rPr>
                <w:rFonts w:ascii="Times New Roman" w:hAnsi="Times New Roman"/>
                <w:color w:val="000000"/>
              </w:rPr>
            </w:pPr>
            <w:r w:rsidRPr="001E3680">
              <w:rPr>
                <w:rFonts w:ascii="Times New Roman" w:hAnsi="Times New Roman"/>
                <w:color w:val="000000"/>
              </w:rPr>
              <w:t>budżet państwa w zakresie kosztów NFZ związanych z akredytacją</w:t>
            </w:r>
            <w:r w:rsidR="001E3680">
              <w:rPr>
                <w:rFonts w:ascii="Times New Roman" w:hAnsi="Times New Roman"/>
                <w:color w:val="000000"/>
              </w:rPr>
              <w:t xml:space="preserve"> w ochronie zdrowia</w:t>
            </w:r>
          </w:p>
        </w:tc>
        <w:tc>
          <w:tcPr>
            <w:tcW w:w="712" w:type="dxa"/>
            <w:tcBorders>
              <w:top w:val="nil"/>
              <w:left w:val="nil"/>
              <w:bottom w:val="single" w:sz="4" w:space="0" w:color="auto"/>
              <w:right w:val="single" w:sz="4" w:space="0" w:color="auto"/>
            </w:tcBorders>
            <w:shd w:val="clear" w:color="000000" w:fill="FFFFFF"/>
            <w:vAlign w:val="center"/>
          </w:tcPr>
          <w:p w14:paraId="097D56DB" w14:textId="77777777"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4,52</w:t>
            </w:r>
          </w:p>
        </w:tc>
        <w:tc>
          <w:tcPr>
            <w:tcW w:w="705" w:type="dxa"/>
            <w:gridSpan w:val="2"/>
            <w:tcBorders>
              <w:top w:val="nil"/>
              <w:left w:val="nil"/>
              <w:bottom w:val="single" w:sz="4" w:space="0" w:color="auto"/>
              <w:right w:val="single" w:sz="4" w:space="0" w:color="auto"/>
            </w:tcBorders>
            <w:shd w:val="clear" w:color="000000" w:fill="FFFFFF"/>
            <w:vAlign w:val="center"/>
          </w:tcPr>
          <w:p w14:paraId="2879C4FC" w14:textId="77777777"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4,63</w:t>
            </w:r>
          </w:p>
        </w:tc>
        <w:tc>
          <w:tcPr>
            <w:tcW w:w="709" w:type="dxa"/>
            <w:tcBorders>
              <w:top w:val="nil"/>
              <w:left w:val="nil"/>
              <w:bottom w:val="single" w:sz="4" w:space="0" w:color="auto"/>
              <w:right w:val="single" w:sz="4" w:space="0" w:color="auto"/>
            </w:tcBorders>
            <w:shd w:val="clear" w:color="000000" w:fill="FFFFFF"/>
            <w:vAlign w:val="center"/>
          </w:tcPr>
          <w:p w14:paraId="6286BE94" w14:textId="77777777"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712" w:type="dxa"/>
            <w:tcBorders>
              <w:top w:val="nil"/>
              <w:left w:val="nil"/>
              <w:bottom w:val="single" w:sz="4" w:space="0" w:color="auto"/>
              <w:right w:val="single" w:sz="4" w:space="0" w:color="auto"/>
            </w:tcBorders>
            <w:shd w:val="clear" w:color="000000" w:fill="FFFFFF"/>
            <w:vAlign w:val="center"/>
          </w:tcPr>
          <w:p w14:paraId="664A1518" w14:textId="77777777"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596" w:type="dxa"/>
            <w:gridSpan w:val="2"/>
            <w:tcBorders>
              <w:top w:val="nil"/>
              <w:left w:val="nil"/>
              <w:bottom w:val="single" w:sz="4" w:space="0" w:color="auto"/>
              <w:right w:val="single" w:sz="4" w:space="0" w:color="auto"/>
            </w:tcBorders>
            <w:shd w:val="clear" w:color="000000" w:fill="FFFFFF"/>
            <w:vAlign w:val="center"/>
          </w:tcPr>
          <w:p w14:paraId="4318380C" w14:textId="77777777"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680" w:type="dxa"/>
            <w:gridSpan w:val="3"/>
            <w:tcBorders>
              <w:top w:val="nil"/>
              <w:left w:val="nil"/>
              <w:bottom w:val="single" w:sz="4" w:space="0" w:color="auto"/>
              <w:right w:val="single" w:sz="4" w:space="0" w:color="auto"/>
            </w:tcBorders>
            <w:shd w:val="clear" w:color="000000" w:fill="FFFFFF"/>
            <w:vAlign w:val="center"/>
          </w:tcPr>
          <w:p w14:paraId="132B07A4" w14:textId="77777777"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567" w:type="dxa"/>
            <w:gridSpan w:val="2"/>
            <w:tcBorders>
              <w:top w:val="nil"/>
              <w:left w:val="nil"/>
              <w:bottom w:val="single" w:sz="4" w:space="0" w:color="auto"/>
              <w:right w:val="single" w:sz="4" w:space="0" w:color="auto"/>
            </w:tcBorders>
            <w:shd w:val="clear" w:color="000000" w:fill="FFFFFF"/>
            <w:vAlign w:val="center"/>
          </w:tcPr>
          <w:p w14:paraId="74D0EBE7" w14:textId="77777777"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567" w:type="dxa"/>
            <w:gridSpan w:val="3"/>
            <w:tcBorders>
              <w:top w:val="nil"/>
              <w:left w:val="nil"/>
              <w:bottom w:val="single" w:sz="4" w:space="0" w:color="auto"/>
              <w:right w:val="single" w:sz="4" w:space="0" w:color="auto"/>
            </w:tcBorders>
            <w:shd w:val="clear" w:color="000000" w:fill="FFFFFF"/>
            <w:vAlign w:val="center"/>
          </w:tcPr>
          <w:p w14:paraId="0DF6E825" w14:textId="77777777"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567" w:type="dxa"/>
            <w:gridSpan w:val="2"/>
            <w:tcBorders>
              <w:top w:val="nil"/>
              <w:left w:val="nil"/>
              <w:bottom w:val="single" w:sz="4" w:space="0" w:color="auto"/>
              <w:right w:val="single" w:sz="4" w:space="0" w:color="auto"/>
            </w:tcBorders>
            <w:shd w:val="clear" w:color="000000" w:fill="FFFFFF"/>
            <w:vAlign w:val="center"/>
          </w:tcPr>
          <w:p w14:paraId="54348438" w14:textId="77777777"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567" w:type="dxa"/>
            <w:tcBorders>
              <w:top w:val="nil"/>
              <w:left w:val="nil"/>
              <w:bottom w:val="single" w:sz="4" w:space="0" w:color="auto"/>
              <w:right w:val="single" w:sz="4" w:space="0" w:color="auto"/>
            </w:tcBorders>
            <w:shd w:val="clear" w:color="000000" w:fill="FFFFFF"/>
            <w:vAlign w:val="center"/>
          </w:tcPr>
          <w:p w14:paraId="7DC13BB2" w14:textId="77777777"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595" w:type="dxa"/>
            <w:gridSpan w:val="2"/>
            <w:tcBorders>
              <w:top w:val="nil"/>
              <w:left w:val="nil"/>
              <w:bottom w:val="single" w:sz="4" w:space="0" w:color="auto"/>
              <w:right w:val="single" w:sz="4" w:space="0" w:color="auto"/>
            </w:tcBorders>
            <w:shd w:val="clear" w:color="000000" w:fill="FFFFFF"/>
            <w:vAlign w:val="center"/>
          </w:tcPr>
          <w:p w14:paraId="791C1652" w14:textId="77777777"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sz w:val="20"/>
                <w:szCs w:val="20"/>
              </w:rPr>
              <w:t>4,74</w:t>
            </w:r>
          </w:p>
        </w:tc>
        <w:tc>
          <w:tcPr>
            <w:tcW w:w="1106" w:type="dxa"/>
            <w:tcBorders>
              <w:top w:val="nil"/>
              <w:left w:val="nil"/>
              <w:bottom w:val="single" w:sz="4" w:space="0" w:color="auto"/>
              <w:right w:val="single" w:sz="4" w:space="0" w:color="auto"/>
            </w:tcBorders>
            <w:shd w:val="clear" w:color="000000" w:fill="FFFFFF"/>
            <w:vAlign w:val="center"/>
          </w:tcPr>
          <w:p w14:paraId="45912EF7" w14:textId="77777777" w:rsidR="00693C83" w:rsidRPr="00693C83" w:rsidRDefault="00693C83" w:rsidP="00693C83">
            <w:pPr>
              <w:spacing w:line="240" w:lineRule="auto"/>
              <w:jc w:val="center"/>
              <w:rPr>
                <w:rFonts w:ascii="Times New Roman" w:hAnsi="Times New Roman"/>
                <w:color w:val="000000"/>
                <w:sz w:val="20"/>
                <w:szCs w:val="20"/>
              </w:rPr>
            </w:pPr>
            <w:r w:rsidRPr="00693C83">
              <w:rPr>
                <w:rFonts w:ascii="Times New Roman" w:hAnsi="Times New Roman"/>
              </w:rPr>
              <w:t>51,85</w:t>
            </w:r>
          </w:p>
        </w:tc>
      </w:tr>
      <w:tr w:rsidR="00D53FDB" w:rsidRPr="00D5571D" w14:paraId="7E4ED6A5" w14:textId="77777777" w:rsidTr="00D53FDB">
        <w:trPr>
          <w:trHeight w:val="330"/>
        </w:trPr>
        <w:tc>
          <w:tcPr>
            <w:tcW w:w="2833" w:type="dxa"/>
            <w:gridSpan w:val="4"/>
            <w:tcBorders>
              <w:top w:val="nil"/>
              <w:left w:val="single" w:sz="4" w:space="0" w:color="auto"/>
              <w:bottom w:val="single" w:sz="4" w:space="0" w:color="auto"/>
              <w:right w:val="single" w:sz="4" w:space="0" w:color="auto"/>
            </w:tcBorders>
            <w:shd w:val="clear" w:color="000000" w:fill="FFFFFF"/>
            <w:vAlign w:val="center"/>
          </w:tcPr>
          <w:p w14:paraId="672EBB48" w14:textId="77777777" w:rsidR="00D5571D" w:rsidRPr="003B688C" w:rsidRDefault="00D5571D" w:rsidP="00D5571D">
            <w:pPr>
              <w:spacing w:line="240" w:lineRule="auto"/>
              <w:rPr>
                <w:rFonts w:ascii="Times New Roman" w:hAnsi="Times New Roman"/>
                <w:color w:val="000000"/>
              </w:rPr>
            </w:pPr>
            <w:r w:rsidRPr="003B688C">
              <w:rPr>
                <w:rFonts w:ascii="Times New Roman" w:hAnsi="Times New Roman"/>
                <w:color w:val="000000"/>
              </w:rPr>
              <w:t>wydatki związane z funkcjonowaniem systemu wojewódzkich komisji do spraw orzekania o zdarzeniach medycznych</w:t>
            </w:r>
          </w:p>
        </w:tc>
        <w:tc>
          <w:tcPr>
            <w:tcW w:w="712" w:type="dxa"/>
            <w:tcBorders>
              <w:top w:val="nil"/>
              <w:left w:val="nil"/>
              <w:bottom w:val="single" w:sz="4" w:space="0" w:color="auto"/>
              <w:right w:val="single" w:sz="4" w:space="0" w:color="auto"/>
            </w:tcBorders>
            <w:shd w:val="clear" w:color="000000" w:fill="FFFFFF"/>
            <w:vAlign w:val="center"/>
          </w:tcPr>
          <w:p w14:paraId="06D3A761" w14:textId="77777777" w:rsidR="00D5571D" w:rsidRPr="00D5571D" w:rsidRDefault="00D5571D" w:rsidP="00D5571D">
            <w:pPr>
              <w:spacing w:line="240" w:lineRule="auto"/>
              <w:jc w:val="center"/>
              <w:rPr>
                <w:rFonts w:ascii="Times New Roman" w:hAnsi="Times New Roman"/>
                <w:sz w:val="20"/>
                <w:szCs w:val="20"/>
              </w:rPr>
            </w:pPr>
            <w:r w:rsidRPr="00D5571D">
              <w:rPr>
                <w:rFonts w:ascii="Times New Roman" w:hAnsi="Times New Roman"/>
                <w:sz w:val="20"/>
                <w:szCs w:val="20"/>
              </w:rPr>
              <w:t>-9,00</w:t>
            </w:r>
          </w:p>
        </w:tc>
        <w:tc>
          <w:tcPr>
            <w:tcW w:w="705" w:type="dxa"/>
            <w:gridSpan w:val="2"/>
            <w:tcBorders>
              <w:top w:val="nil"/>
              <w:left w:val="nil"/>
              <w:bottom w:val="single" w:sz="4" w:space="0" w:color="auto"/>
              <w:right w:val="single" w:sz="4" w:space="0" w:color="auto"/>
            </w:tcBorders>
            <w:shd w:val="clear" w:color="000000" w:fill="FFFFFF"/>
            <w:vAlign w:val="center"/>
          </w:tcPr>
          <w:p w14:paraId="00C8EF23" w14:textId="77777777" w:rsidR="00D5571D" w:rsidRPr="00D5571D" w:rsidRDefault="00D5571D" w:rsidP="00D5571D">
            <w:pPr>
              <w:spacing w:line="240" w:lineRule="auto"/>
              <w:jc w:val="center"/>
              <w:rPr>
                <w:rFonts w:ascii="Times New Roman" w:hAnsi="Times New Roman"/>
                <w:sz w:val="20"/>
                <w:szCs w:val="20"/>
              </w:rPr>
            </w:pPr>
            <w:r w:rsidRPr="00D5571D">
              <w:rPr>
                <w:rFonts w:ascii="Times New Roman" w:hAnsi="Times New Roman"/>
                <w:sz w:val="20"/>
                <w:szCs w:val="20"/>
              </w:rPr>
              <w:t>-9,23</w:t>
            </w:r>
          </w:p>
        </w:tc>
        <w:tc>
          <w:tcPr>
            <w:tcW w:w="709" w:type="dxa"/>
            <w:tcBorders>
              <w:top w:val="nil"/>
              <w:left w:val="nil"/>
              <w:bottom w:val="single" w:sz="4" w:space="0" w:color="auto"/>
              <w:right w:val="single" w:sz="4" w:space="0" w:color="auto"/>
            </w:tcBorders>
            <w:shd w:val="clear" w:color="000000" w:fill="FFFFFF"/>
            <w:vAlign w:val="center"/>
          </w:tcPr>
          <w:p w14:paraId="378ABC5A" w14:textId="77777777" w:rsidR="00D5571D" w:rsidRPr="00D5571D" w:rsidRDefault="00D5571D" w:rsidP="00D5571D">
            <w:pPr>
              <w:spacing w:line="240" w:lineRule="auto"/>
              <w:jc w:val="center"/>
              <w:rPr>
                <w:rFonts w:ascii="Times New Roman" w:hAnsi="Times New Roman"/>
                <w:sz w:val="20"/>
                <w:szCs w:val="20"/>
              </w:rPr>
            </w:pPr>
            <w:r w:rsidRPr="00D5571D">
              <w:rPr>
                <w:rFonts w:ascii="Times New Roman" w:hAnsi="Times New Roman"/>
                <w:sz w:val="20"/>
                <w:szCs w:val="20"/>
              </w:rPr>
              <w:t>-9,46</w:t>
            </w:r>
          </w:p>
        </w:tc>
        <w:tc>
          <w:tcPr>
            <w:tcW w:w="712" w:type="dxa"/>
            <w:tcBorders>
              <w:top w:val="nil"/>
              <w:left w:val="nil"/>
              <w:bottom w:val="single" w:sz="4" w:space="0" w:color="auto"/>
              <w:right w:val="single" w:sz="4" w:space="0" w:color="auto"/>
            </w:tcBorders>
            <w:shd w:val="clear" w:color="000000" w:fill="FFFFFF"/>
            <w:vAlign w:val="center"/>
          </w:tcPr>
          <w:p w14:paraId="606889BC" w14:textId="77777777" w:rsidR="00D5571D" w:rsidRPr="00D5571D" w:rsidRDefault="00D5571D" w:rsidP="00D5571D">
            <w:pPr>
              <w:spacing w:line="240" w:lineRule="auto"/>
              <w:jc w:val="center"/>
              <w:rPr>
                <w:rFonts w:ascii="Times New Roman" w:hAnsi="Times New Roman"/>
                <w:sz w:val="20"/>
                <w:szCs w:val="20"/>
              </w:rPr>
            </w:pPr>
            <w:r w:rsidRPr="00D5571D">
              <w:rPr>
                <w:rFonts w:ascii="Times New Roman" w:hAnsi="Times New Roman"/>
                <w:sz w:val="20"/>
                <w:szCs w:val="20"/>
              </w:rPr>
              <w:t>-9,69</w:t>
            </w:r>
          </w:p>
        </w:tc>
        <w:tc>
          <w:tcPr>
            <w:tcW w:w="596" w:type="dxa"/>
            <w:gridSpan w:val="2"/>
            <w:tcBorders>
              <w:top w:val="nil"/>
              <w:left w:val="nil"/>
              <w:bottom w:val="single" w:sz="4" w:space="0" w:color="auto"/>
              <w:right w:val="single" w:sz="4" w:space="0" w:color="auto"/>
            </w:tcBorders>
            <w:shd w:val="clear" w:color="000000" w:fill="FFFFFF"/>
            <w:vAlign w:val="center"/>
          </w:tcPr>
          <w:p w14:paraId="2578C9B7" w14:textId="77777777" w:rsidR="00D5571D" w:rsidRPr="00D5571D" w:rsidRDefault="00D5571D" w:rsidP="00D5571D">
            <w:pPr>
              <w:spacing w:line="240" w:lineRule="auto"/>
              <w:jc w:val="center"/>
              <w:rPr>
                <w:rFonts w:ascii="Times New Roman" w:hAnsi="Times New Roman"/>
                <w:sz w:val="20"/>
                <w:szCs w:val="20"/>
              </w:rPr>
            </w:pPr>
            <w:r w:rsidRPr="00D5571D">
              <w:rPr>
                <w:rFonts w:ascii="Times New Roman" w:hAnsi="Times New Roman"/>
                <w:sz w:val="20"/>
                <w:szCs w:val="20"/>
              </w:rPr>
              <w:t>-9,93</w:t>
            </w:r>
          </w:p>
        </w:tc>
        <w:tc>
          <w:tcPr>
            <w:tcW w:w="680" w:type="dxa"/>
            <w:gridSpan w:val="3"/>
            <w:tcBorders>
              <w:top w:val="nil"/>
              <w:left w:val="nil"/>
              <w:bottom w:val="single" w:sz="4" w:space="0" w:color="auto"/>
              <w:right w:val="single" w:sz="4" w:space="0" w:color="auto"/>
            </w:tcBorders>
            <w:shd w:val="clear" w:color="000000" w:fill="FFFFFF"/>
            <w:vAlign w:val="center"/>
          </w:tcPr>
          <w:p w14:paraId="25DF31D9" w14:textId="77777777" w:rsidR="00D5571D" w:rsidRPr="00D5571D" w:rsidRDefault="00D5571D" w:rsidP="00D5571D">
            <w:pPr>
              <w:spacing w:line="240" w:lineRule="auto"/>
              <w:jc w:val="center"/>
              <w:rPr>
                <w:rFonts w:ascii="Times New Roman" w:hAnsi="Times New Roman"/>
                <w:sz w:val="20"/>
                <w:szCs w:val="20"/>
              </w:rPr>
            </w:pPr>
            <w:r w:rsidRPr="00D5571D">
              <w:rPr>
                <w:rFonts w:ascii="Times New Roman" w:hAnsi="Times New Roman"/>
                <w:sz w:val="20"/>
                <w:szCs w:val="20"/>
              </w:rPr>
              <w:t>-10,18</w:t>
            </w:r>
          </w:p>
        </w:tc>
        <w:tc>
          <w:tcPr>
            <w:tcW w:w="567" w:type="dxa"/>
            <w:gridSpan w:val="2"/>
            <w:tcBorders>
              <w:top w:val="nil"/>
              <w:left w:val="nil"/>
              <w:bottom w:val="single" w:sz="4" w:space="0" w:color="auto"/>
              <w:right w:val="single" w:sz="4" w:space="0" w:color="auto"/>
            </w:tcBorders>
            <w:shd w:val="clear" w:color="000000" w:fill="FFFFFF"/>
            <w:vAlign w:val="center"/>
          </w:tcPr>
          <w:p w14:paraId="7E88066E" w14:textId="77777777" w:rsidR="00D5571D" w:rsidRPr="00D5571D" w:rsidRDefault="00D5571D" w:rsidP="00D5571D">
            <w:pPr>
              <w:spacing w:line="240" w:lineRule="auto"/>
              <w:jc w:val="center"/>
              <w:rPr>
                <w:rFonts w:ascii="Times New Roman" w:hAnsi="Times New Roman"/>
                <w:sz w:val="20"/>
                <w:szCs w:val="20"/>
              </w:rPr>
            </w:pPr>
            <w:r w:rsidRPr="00D5571D">
              <w:rPr>
                <w:rFonts w:ascii="Times New Roman" w:hAnsi="Times New Roman"/>
                <w:sz w:val="20"/>
                <w:szCs w:val="20"/>
              </w:rPr>
              <w:t>-10,44</w:t>
            </w:r>
          </w:p>
        </w:tc>
        <w:tc>
          <w:tcPr>
            <w:tcW w:w="567" w:type="dxa"/>
            <w:gridSpan w:val="3"/>
            <w:tcBorders>
              <w:top w:val="nil"/>
              <w:left w:val="nil"/>
              <w:bottom w:val="single" w:sz="4" w:space="0" w:color="auto"/>
              <w:right w:val="single" w:sz="4" w:space="0" w:color="auto"/>
            </w:tcBorders>
            <w:shd w:val="clear" w:color="000000" w:fill="FFFFFF"/>
            <w:vAlign w:val="center"/>
          </w:tcPr>
          <w:p w14:paraId="436B976E" w14:textId="77777777" w:rsidR="00D5571D" w:rsidRPr="00D5571D" w:rsidRDefault="00D5571D" w:rsidP="00D5571D">
            <w:pPr>
              <w:spacing w:line="240" w:lineRule="auto"/>
              <w:jc w:val="center"/>
              <w:rPr>
                <w:rFonts w:ascii="Times New Roman" w:hAnsi="Times New Roman"/>
                <w:sz w:val="20"/>
                <w:szCs w:val="20"/>
              </w:rPr>
            </w:pPr>
            <w:r w:rsidRPr="00D5571D">
              <w:rPr>
                <w:rFonts w:ascii="Times New Roman" w:hAnsi="Times New Roman"/>
                <w:sz w:val="20"/>
                <w:szCs w:val="20"/>
              </w:rPr>
              <w:t>-10,70</w:t>
            </w:r>
          </w:p>
        </w:tc>
        <w:tc>
          <w:tcPr>
            <w:tcW w:w="567" w:type="dxa"/>
            <w:gridSpan w:val="2"/>
            <w:tcBorders>
              <w:top w:val="nil"/>
              <w:left w:val="nil"/>
              <w:bottom w:val="single" w:sz="4" w:space="0" w:color="auto"/>
              <w:right w:val="single" w:sz="4" w:space="0" w:color="auto"/>
            </w:tcBorders>
            <w:shd w:val="clear" w:color="000000" w:fill="FFFFFF"/>
            <w:vAlign w:val="center"/>
          </w:tcPr>
          <w:p w14:paraId="119D3F57" w14:textId="77777777" w:rsidR="00D5571D" w:rsidRPr="00D5571D" w:rsidRDefault="00D5571D" w:rsidP="00D5571D">
            <w:pPr>
              <w:spacing w:line="240" w:lineRule="auto"/>
              <w:jc w:val="center"/>
              <w:rPr>
                <w:rFonts w:ascii="Times New Roman" w:hAnsi="Times New Roman"/>
                <w:sz w:val="20"/>
                <w:szCs w:val="20"/>
              </w:rPr>
            </w:pPr>
            <w:r w:rsidRPr="00D5571D">
              <w:rPr>
                <w:rFonts w:ascii="Times New Roman" w:hAnsi="Times New Roman"/>
                <w:sz w:val="20"/>
                <w:szCs w:val="20"/>
              </w:rPr>
              <w:t>-10,97</w:t>
            </w:r>
          </w:p>
        </w:tc>
        <w:tc>
          <w:tcPr>
            <w:tcW w:w="567" w:type="dxa"/>
            <w:tcBorders>
              <w:top w:val="nil"/>
              <w:left w:val="nil"/>
              <w:bottom w:val="single" w:sz="4" w:space="0" w:color="auto"/>
              <w:right w:val="single" w:sz="4" w:space="0" w:color="auto"/>
            </w:tcBorders>
            <w:shd w:val="clear" w:color="000000" w:fill="FFFFFF"/>
            <w:vAlign w:val="center"/>
          </w:tcPr>
          <w:p w14:paraId="5893A10E" w14:textId="77777777" w:rsidR="00D5571D" w:rsidRPr="00D5571D" w:rsidRDefault="00D5571D" w:rsidP="00D5571D">
            <w:pPr>
              <w:spacing w:line="240" w:lineRule="auto"/>
              <w:jc w:val="center"/>
              <w:rPr>
                <w:rFonts w:ascii="Times New Roman" w:hAnsi="Times New Roman"/>
                <w:sz w:val="20"/>
                <w:szCs w:val="20"/>
              </w:rPr>
            </w:pPr>
            <w:r w:rsidRPr="00D5571D">
              <w:rPr>
                <w:rFonts w:ascii="Times New Roman" w:hAnsi="Times New Roman"/>
                <w:sz w:val="20"/>
                <w:szCs w:val="20"/>
              </w:rPr>
              <w:t>-11,24</w:t>
            </w:r>
          </w:p>
        </w:tc>
        <w:tc>
          <w:tcPr>
            <w:tcW w:w="595" w:type="dxa"/>
            <w:gridSpan w:val="2"/>
            <w:tcBorders>
              <w:top w:val="nil"/>
              <w:left w:val="nil"/>
              <w:bottom w:val="single" w:sz="4" w:space="0" w:color="auto"/>
              <w:right w:val="single" w:sz="4" w:space="0" w:color="auto"/>
            </w:tcBorders>
            <w:shd w:val="clear" w:color="000000" w:fill="FFFFFF"/>
            <w:vAlign w:val="center"/>
          </w:tcPr>
          <w:p w14:paraId="3296759F" w14:textId="77777777" w:rsidR="00D5571D" w:rsidRPr="00D5571D" w:rsidRDefault="00D5571D" w:rsidP="00D5571D">
            <w:pPr>
              <w:spacing w:line="240" w:lineRule="auto"/>
              <w:jc w:val="center"/>
              <w:rPr>
                <w:rFonts w:ascii="Times New Roman" w:hAnsi="Times New Roman"/>
                <w:sz w:val="20"/>
                <w:szCs w:val="20"/>
              </w:rPr>
            </w:pPr>
            <w:r w:rsidRPr="00D5571D">
              <w:rPr>
                <w:rFonts w:ascii="Times New Roman" w:hAnsi="Times New Roman"/>
                <w:sz w:val="20"/>
                <w:szCs w:val="20"/>
              </w:rPr>
              <w:t>-11,52</w:t>
            </w:r>
          </w:p>
        </w:tc>
        <w:tc>
          <w:tcPr>
            <w:tcW w:w="1106" w:type="dxa"/>
            <w:tcBorders>
              <w:top w:val="nil"/>
              <w:left w:val="nil"/>
              <w:bottom w:val="single" w:sz="4" w:space="0" w:color="auto"/>
              <w:right w:val="single" w:sz="4" w:space="0" w:color="auto"/>
            </w:tcBorders>
            <w:shd w:val="clear" w:color="000000" w:fill="FFFFFF"/>
            <w:vAlign w:val="center"/>
          </w:tcPr>
          <w:p w14:paraId="512B1EF1" w14:textId="77777777" w:rsidR="00D5571D" w:rsidRPr="00D5571D" w:rsidRDefault="00D5571D" w:rsidP="00D5571D">
            <w:pPr>
              <w:spacing w:line="240" w:lineRule="auto"/>
              <w:jc w:val="center"/>
              <w:rPr>
                <w:rFonts w:ascii="Times New Roman" w:hAnsi="Times New Roman"/>
              </w:rPr>
            </w:pPr>
            <w:r w:rsidRPr="00D5571D">
              <w:rPr>
                <w:rFonts w:ascii="Times New Roman" w:hAnsi="Times New Roman"/>
              </w:rPr>
              <w:t>-112,35</w:t>
            </w:r>
          </w:p>
        </w:tc>
      </w:tr>
      <w:tr w:rsidR="006B280A" w:rsidRPr="008B4FE6" w14:paraId="27981800" w14:textId="77777777" w:rsidTr="00D53FDB">
        <w:trPr>
          <w:trHeight w:val="351"/>
        </w:trPr>
        <w:tc>
          <w:tcPr>
            <w:tcW w:w="2833" w:type="dxa"/>
            <w:gridSpan w:val="4"/>
            <w:shd w:val="clear" w:color="auto" w:fill="FFFFFF"/>
            <w:vAlign w:val="center"/>
          </w:tcPr>
          <w:p w14:paraId="03B351B2" w14:textId="77777777" w:rsidR="006B280A" w:rsidRPr="006B280A" w:rsidRDefault="006B280A" w:rsidP="006B280A">
            <w:pPr>
              <w:spacing w:line="240" w:lineRule="auto"/>
              <w:rPr>
                <w:rFonts w:ascii="Times New Roman" w:hAnsi="Times New Roman"/>
                <w:color w:val="000000"/>
              </w:rPr>
            </w:pPr>
            <w:r w:rsidRPr="006B280A">
              <w:rPr>
                <w:rFonts w:ascii="Times New Roman" w:hAnsi="Times New Roman"/>
                <w:color w:val="000000"/>
              </w:rPr>
              <w:t>JST</w:t>
            </w:r>
          </w:p>
        </w:tc>
        <w:tc>
          <w:tcPr>
            <w:tcW w:w="712" w:type="dxa"/>
            <w:shd w:val="clear" w:color="auto" w:fill="FFFFFF"/>
            <w:vAlign w:val="center"/>
          </w:tcPr>
          <w:p w14:paraId="1151D9BB" w14:textId="034779CA"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05" w:type="dxa"/>
            <w:gridSpan w:val="2"/>
            <w:shd w:val="clear" w:color="auto" w:fill="FFFFFF"/>
            <w:vAlign w:val="center"/>
          </w:tcPr>
          <w:p w14:paraId="0C1A9A07" w14:textId="6817F26D"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09" w:type="dxa"/>
            <w:shd w:val="clear" w:color="auto" w:fill="FFFFFF"/>
            <w:vAlign w:val="center"/>
          </w:tcPr>
          <w:p w14:paraId="7393AFC5" w14:textId="79BC3AB4"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12" w:type="dxa"/>
            <w:shd w:val="clear" w:color="auto" w:fill="FFFFFF"/>
            <w:vAlign w:val="center"/>
          </w:tcPr>
          <w:p w14:paraId="03CAFF5F" w14:textId="45250CF1"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96" w:type="dxa"/>
            <w:gridSpan w:val="2"/>
            <w:shd w:val="clear" w:color="auto" w:fill="FFFFFF"/>
            <w:vAlign w:val="center"/>
          </w:tcPr>
          <w:p w14:paraId="1DB39B15" w14:textId="396E55A3"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680" w:type="dxa"/>
            <w:gridSpan w:val="3"/>
            <w:shd w:val="clear" w:color="auto" w:fill="FFFFFF"/>
            <w:vAlign w:val="center"/>
          </w:tcPr>
          <w:p w14:paraId="0E51379E" w14:textId="58D8311E"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gridSpan w:val="2"/>
            <w:shd w:val="clear" w:color="auto" w:fill="FFFFFF"/>
            <w:vAlign w:val="center"/>
          </w:tcPr>
          <w:p w14:paraId="5CCF6AB5" w14:textId="78E1431B"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gridSpan w:val="3"/>
            <w:shd w:val="clear" w:color="auto" w:fill="FFFFFF"/>
            <w:vAlign w:val="center"/>
          </w:tcPr>
          <w:p w14:paraId="1C3D9871" w14:textId="74D862A2"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gridSpan w:val="2"/>
            <w:shd w:val="clear" w:color="auto" w:fill="FFFFFF"/>
            <w:vAlign w:val="center"/>
          </w:tcPr>
          <w:p w14:paraId="020DF61B" w14:textId="2C4CDC8F"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shd w:val="clear" w:color="auto" w:fill="FFFFFF"/>
            <w:vAlign w:val="center"/>
          </w:tcPr>
          <w:p w14:paraId="6CA70F1F" w14:textId="1BB62F98"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95" w:type="dxa"/>
            <w:gridSpan w:val="2"/>
            <w:shd w:val="clear" w:color="auto" w:fill="FFFFFF"/>
            <w:vAlign w:val="center"/>
          </w:tcPr>
          <w:p w14:paraId="5FFC03A2" w14:textId="374CA54C"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106" w:type="dxa"/>
            <w:shd w:val="clear" w:color="auto" w:fill="FFFFFF"/>
            <w:vAlign w:val="bottom"/>
          </w:tcPr>
          <w:p w14:paraId="622459DB" w14:textId="77777777" w:rsidR="006B280A" w:rsidRPr="00493441" w:rsidRDefault="006B280A"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0</w:t>
            </w:r>
          </w:p>
        </w:tc>
      </w:tr>
      <w:tr w:rsidR="006B280A" w:rsidRPr="008B4FE6" w14:paraId="39C5367C" w14:textId="77777777" w:rsidTr="00D53FDB">
        <w:trPr>
          <w:trHeight w:val="360"/>
        </w:trPr>
        <w:tc>
          <w:tcPr>
            <w:tcW w:w="2833" w:type="dxa"/>
            <w:gridSpan w:val="4"/>
            <w:shd w:val="clear" w:color="auto" w:fill="FFFFFF"/>
            <w:vAlign w:val="center"/>
          </w:tcPr>
          <w:p w14:paraId="10DD91FE" w14:textId="77777777" w:rsidR="006B280A" w:rsidRPr="006B280A" w:rsidRDefault="006B280A" w:rsidP="006B280A">
            <w:pPr>
              <w:spacing w:line="240" w:lineRule="auto"/>
              <w:rPr>
                <w:rFonts w:ascii="Times New Roman" w:hAnsi="Times New Roman"/>
                <w:color w:val="000000"/>
              </w:rPr>
            </w:pPr>
            <w:r w:rsidRPr="006B280A">
              <w:rPr>
                <w:rFonts w:ascii="Times New Roman" w:hAnsi="Times New Roman"/>
                <w:color w:val="000000"/>
              </w:rPr>
              <w:t>pozostałe jednostki</w:t>
            </w:r>
          </w:p>
        </w:tc>
        <w:tc>
          <w:tcPr>
            <w:tcW w:w="712" w:type="dxa"/>
            <w:shd w:val="clear" w:color="auto" w:fill="FFFFFF"/>
            <w:vAlign w:val="center"/>
          </w:tcPr>
          <w:p w14:paraId="1F367685" w14:textId="620075EC"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05" w:type="dxa"/>
            <w:gridSpan w:val="2"/>
            <w:shd w:val="clear" w:color="auto" w:fill="FFFFFF"/>
            <w:vAlign w:val="center"/>
          </w:tcPr>
          <w:p w14:paraId="076D9D78" w14:textId="5808BB26"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09" w:type="dxa"/>
            <w:shd w:val="clear" w:color="auto" w:fill="FFFFFF"/>
            <w:vAlign w:val="center"/>
          </w:tcPr>
          <w:p w14:paraId="133EAD35" w14:textId="43881E8C"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12" w:type="dxa"/>
            <w:shd w:val="clear" w:color="auto" w:fill="FFFFFF"/>
            <w:vAlign w:val="center"/>
          </w:tcPr>
          <w:p w14:paraId="66878EF6" w14:textId="06353D95"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96" w:type="dxa"/>
            <w:gridSpan w:val="2"/>
            <w:shd w:val="clear" w:color="auto" w:fill="FFFFFF"/>
            <w:vAlign w:val="center"/>
          </w:tcPr>
          <w:p w14:paraId="798462DB" w14:textId="3A3E61A8"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680" w:type="dxa"/>
            <w:gridSpan w:val="3"/>
            <w:shd w:val="clear" w:color="auto" w:fill="FFFFFF"/>
            <w:vAlign w:val="center"/>
          </w:tcPr>
          <w:p w14:paraId="66D1768C" w14:textId="2D6FEF5C"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gridSpan w:val="2"/>
            <w:shd w:val="clear" w:color="auto" w:fill="FFFFFF"/>
            <w:vAlign w:val="center"/>
          </w:tcPr>
          <w:p w14:paraId="0CBDD6F8" w14:textId="5E1A2E52"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gridSpan w:val="3"/>
            <w:shd w:val="clear" w:color="auto" w:fill="FFFFFF"/>
            <w:vAlign w:val="center"/>
          </w:tcPr>
          <w:p w14:paraId="69EC901A" w14:textId="79FF9C40"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gridSpan w:val="2"/>
            <w:shd w:val="clear" w:color="auto" w:fill="FFFFFF"/>
            <w:vAlign w:val="center"/>
          </w:tcPr>
          <w:p w14:paraId="33613580" w14:textId="69FBBFF2"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67" w:type="dxa"/>
            <w:shd w:val="clear" w:color="auto" w:fill="FFFFFF"/>
            <w:vAlign w:val="center"/>
          </w:tcPr>
          <w:p w14:paraId="334E333C" w14:textId="27FE8331"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95" w:type="dxa"/>
            <w:gridSpan w:val="2"/>
            <w:shd w:val="clear" w:color="auto" w:fill="FFFFFF"/>
            <w:vAlign w:val="center"/>
          </w:tcPr>
          <w:p w14:paraId="5A10666D" w14:textId="126E2E9A" w:rsidR="006B280A" w:rsidRPr="00493441" w:rsidRDefault="00044D40" w:rsidP="00CB5E45">
            <w:pPr>
              <w:spacing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106" w:type="dxa"/>
            <w:shd w:val="clear" w:color="auto" w:fill="FFFFFF"/>
            <w:vAlign w:val="bottom"/>
          </w:tcPr>
          <w:p w14:paraId="42365770" w14:textId="77777777" w:rsidR="006B280A" w:rsidRPr="00493441" w:rsidRDefault="006B280A" w:rsidP="00CB5E45">
            <w:pPr>
              <w:spacing w:line="240" w:lineRule="auto"/>
              <w:jc w:val="center"/>
              <w:rPr>
                <w:rFonts w:ascii="Times New Roman" w:hAnsi="Times New Roman"/>
                <w:color w:val="000000"/>
                <w:sz w:val="20"/>
                <w:szCs w:val="20"/>
              </w:rPr>
            </w:pPr>
            <w:r w:rsidRPr="00493441">
              <w:rPr>
                <w:rFonts w:ascii="Times New Roman" w:hAnsi="Times New Roman"/>
                <w:color w:val="000000"/>
                <w:sz w:val="20"/>
                <w:szCs w:val="20"/>
              </w:rPr>
              <w:t>0</w:t>
            </w:r>
          </w:p>
        </w:tc>
      </w:tr>
      <w:tr w:rsidR="00D927F2" w:rsidRPr="008B4FE6" w14:paraId="5312D065" w14:textId="77777777" w:rsidTr="00D53FDB">
        <w:trPr>
          <w:trHeight w:val="360"/>
        </w:trPr>
        <w:tc>
          <w:tcPr>
            <w:tcW w:w="2833" w:type="dxa"/>
            <w:gridSpan w:val="4"/>
            <w:shd w:val="clear" w:color="auto" w:fill="FFFFFF"/>
            <w:vAlign w:val="center"/>
          </w:tcPr>
          <w:p w14:paraId="5DC801DF" w14:textId="77777777" w:rsidR="00D927F2" w:rsidRPr="006B280A" w:rsidRDefault="00D927F2" w:rsidP="00D927F2">
            <w:pPr>
              <w:spacing w:line="240" w:lineRule="auto"/>
              <w:rPr>
                <w:rFonts w:ascii="Times New Roman" w:hAnsi="Times New Roman"/>
                <w:color w:val="000000"/>
                <w:sz w:val="21"/>
                <w:szCs w:val="21"/>
              </w:rPr>
            </w:pPr>
            <w:r w:rsidRPr="006B280A">
              <w:rPr>
                <w:rFonts w:ascii="Times New Roman" w:hAnsi="Times New Roman"/>
                <w:b/>
                <w:bCs/>
                <w:color w:val="000000"/>
                <w:sz w:val="21"/>
                <w:szCs w:val="21"/>
              </w:rPr>
              <w:t>Saldo ogółem</w:t>
            </w:r>
          </w:p>
        </w:tc>
        <w:tc>
          <w:tcPr>
            <w:tcW w:w="712" w:type="dxa"/>
            <w:tcBorders>
              <w:top w:val="single" w:sz="4" w:space="0" w:color="auto"/>
              <w:left w:val="single" w:sz="4" w:space="0" w:color="auto"/>
              <w:bottom w:val="single" w:sz="4" w:space="0" w:color="auto"/>
              <w:right w:val="single" w:sz="4" w:space="0" w:color="auto"/>
            </w:tcBorders>
            <w:shd w:val="clear" w:color="000000" w:fill="D9E1F2"/>
          </w:tcPr>
          <w:p w14:paraId="5CFCA525" w14:textId="15DF43A9" w:rsidR="00D927F2" w:rsidRPr="00D53FDB" w:rsidRDefault="00D927F2" w:rsidP="00EC4CBD">
            <w:pPr>
              <w:spacing w:line="240" w:lineRule="auto"/>
              <w:rPr>
                <w:rFonts w:ascii="Times New Roman" w:hAnsi="Times New Roman"/>
                <w:b/>
                <w:bCs/>
                <w:color w:val="000000"/>
                <w:sz w:val="21"/>
                <w:szCs w:val="21"/>
              </w:rPr>
            </w:pPr>
            <w:r w:rsidRPr="00EC4CBD">
              <w:rPr>
                <w:rFonts w:ascii="Times New Roman" w:hAnsi="Times New Roman"/>
                <w:b/>
                <w:bCs/>
                <w:color w:val="000000"/>
                <w:sz w:val="21"/>
                <w:szCs w:val="21"/>
              </w:rPr>
              <w:t>-6,54</w:t>
            </w:r>
          </w:p>
        </w:tc>
        <w:tc>
          <w:tcPr>
            <w:tcW w:w="705" w:type="dxa"/>
            <w:gridSpan w:val="2"/>
            <w:tcBorders>
              <w:top w:val="single" w:sz="4" w:space="0" w:color="auto"/>
              <w:left w:val="nil"/>
              <w:bottom w:val="single" w:sz="4" w:space="0" w:color="auto"/>
              <w:right w:val="single" w:sz="4" w:space="0" w:color="auto"/>
            </w:tcBorders>
            <w:shd w:val="clear" w:color="000000" w:fill="D9E1F2"/>
          </w:tcPr>
          <w:p w14:paraId="6358742D" w14:textId="1A9C6613" w:rsidR="00D927F2" w:rsidRPr="00D53FDB" w:rsidRDefault="00D927F2" w:rsidP="00EC4CBD">
            <w:pPr>
              <w:spacing w:line="240" w:lineRule="auto"/>
              <w:rPr>
                <w:rFonts w:ascii="Times New Roman" w:hAnsi="Times New Roman"/>
                <w:b/>
                <w:bCs/>
                <w:color w:val="000000"/>
                <w:sz w:val="21"/>
                <w:szCs w:val="21"/>
              </w:rPr>
            </w:pPr>
            <w:r w:rsidRPr="00EC4CBD">
              <w:rPr>
                <w:rFonts w:ascii="Times New Roman" w:hAnsi="Times New Roman"/>
                <w:b/>
                <w:bCs/>
                <w:color w:val="000000"/>
                <w:sz w:val="21"/>
                <w:szCs w:val="21"/>
              </w:rPr>
              <w:t>-20,84</w:t>
            </w:r>
          </w:p>
        </w:tc>
        <w:tc>
          <w:tcPr>
            <w:tcW w:w="709" w:type="dxa"/>
            <w:tcBorders>
              <w:top w:val="single" w:sz="4" w:space="0" w:color="auto"/>
              <w:left w:val="nil"/>
              <w:bottom w:val="single" w:sz="4" w:space="0" w:color="auto"/>
              <w:right w:val="single" w:sz="4" w:space="0" w:color="auto"/>
            </w:tcBorders>
            <w:shd w:val="clear" w:color="000000" w:fill="D9E1F2"/>
          </w:tcPr>
          <w:p w14:paraId="536DC63A" w14:textId="366C5859" w:rsidR="00D927F2" w:rsidRPr="00D53FDB" w:rsidRDefault="00D927F2" w:rsidP="00EC4CBD">
            <w:pPr>
              <w:spacing w:line="240" w:lineRule="auto"/>
              <w:rPr>
                <w:rFonts w:ascii="Times New Roman" w:hAnsi="Times New Roman"/>
                <w:b/>
                <w:bCs/>
                <w:color w:val="000000"/>
                <w:sz w:val="21"/>
                <w:szCs w:val="21"/>
              </w:rPr>
            </w:pPr>
            <w:r w:rsidRPr="00EC4CBD">
              <w:rPr>
                <w:rFonts w:ascii="Times New Roman" w:hAnsi="Times New Roman"/>
                <w:b/>
                <w:bCs/>
                <w:color w:val="000000"/>
                <w:sz w:val="21"/>
                <w:szCs w:val="21"/>
              </w:rPr>
              <w:t>-28,75</w:t>
            </w:r>
          </w:p>
        </w:tc>
        <w:tc>
          <w:tcPr>
            <w:tcW w:w="712" w:type="dxa"/>
            <w:tcBorders>
              <w:top w:val="single" w:sz="4" w:space="0" w:color="auto"/>
              <w:left w:val="nil"/>
              <w:bottom w:val="single" w:sz="4" w:space="0" w:color="auto"/>
              <w:right w:val="single" w:sz="4" w:space="0" w:color="auto"/>
            </w:tcBorders>
            <w:shd w:val="clear" w:color="000000" w:fill="D9E1F2"/>
          </w:tcPr>
          <w:p w14:paraId="355A7DC8" w14:textId="363BB79B" w:rsidR="00D927F2" w:rsidRPr="00D53FDB" w:rsidRDefault="00D927F2" w:rsidP="00EC4CBD">
            <w:pPr>
              <w:spacing w:line="240" w:lineRule="auto"/>
              <w:rPr>
                <w:rFonts w:ascii="Times New Roman" w:hAnsi="Times New Roman"/>
                <w:b/>
                <w:bCs/>
                <w:color w:val="000000"/>
                <w:sz w:val="21"/>
                <w:szCs w:val="21"/>
              </w:rPr>
            </w:pPr>
            <w:r w:rsidRPr="00EC4CBD">
              <w:rPr>
                <w:rFonts w:ascii="Times New Roman" w:hAnsi="Times New Roman"/>
                <w:b/>
                <w:bCs/>
                <w:color w:val="000000"/>
                <w:sz w:val="21"/>
                <w:szCs w:val="21"/>
              </w:rPr>
              <w:t xml:space="preserve">-26,98    </w:t>
            </w:r>
          </w:p>
        </w:tc>
        <w:tc>
          <w:tcPr>
            <w:tcW w:w="596" w:type="dxa"/>
            <w:gridSpan w:val="2"/>
            <w:tcBorders>
              <w:top w:val="single" w:sz="4" w:space="0" w:color="auto"/>
              <w:left w:val="nil"/>
              <w:bottom w:val="single" w:sz="4" w:space="0" w:color="auto"/>
              <w:right w:val="single" w:sz="4" w:space="0" w:color="auto"/>
            </w:tcBorders>
            <w:shd w:val="clear" w:color="000000" w:fill="D9E1F2"/>
          </w:tcPr>
          <w:p w14:paraId="6B982BE8" w14:textId="05BBFB23" w:rsidR="00D927F2" w:rsidRPr="00D53FDB" w:rsidRDefault="00D927F2" w:rsidP="00EC4CBD">
            <w:pPr>
              <w:spacing w:line="240" w:lineRule="auto"/>
              <w:rPr>
                <w:rFonts w:ascii="Times New Roman" w:hAnsi="Times New Roman"/>
                <w:b/>
                <w:bCs/>
                <w:color w:val="000000"/>
                <w:sz w:val="21"/>
                <w:szCs w:val="21"/>
              </w:rPr>
            </w:pPr>
            <w:r w:rsidRPr="00EC4CBD">
              <w:rPr>
                <w:rFonts w:ascii="Times New Roman" w:hAnsi="Times New Roman"/>
                <w:b/>
                <w:bCs/>
                <w:color w:val="000000"/>
                <w:sz w:val="21"/>
                <w:szCs w:val="21"/>
              </w:rPr>
              <w:t>-25,39</w:t>
            </w:r>
          </w:p>
        </w:tc>
        <w:tc>
          <w:tcPr>
            <w:tcW w:w="680" w:type="dxa"/>
            <w:gridSpan w:val="3"/>
            <w:tcBorders>
              <w:top w:val="single" w:sz="4" w:space="0" w:color="auto"/>
              <w:left w:val="nil"/>
              <w:bottom w:val="single" w:sz="4" w:space="0" w:color="auto"/>
              <w:right w:val="single" w:sz="4" w:space="0" w:color="auto"/>
            </w:tcBorders>
            <w:shd w:val="clear" w:color="000000" w:fill="D9E1F2"/>
          </w:tcPr>
          <w:p w14:paraId="47D963B5" w14:textId="2797700B" w:rsidR="00D927F2" w:rsidRPr="00D53FDB" w:rsidRDefault="00D927F2" w:rsidP="00EC4CBD">
            <w:pPr>
              <w:spacing w:line="240" w:lineRule="auto"/>
              <w:rPr>
                <w:rFonts w:ascii="Times New Roman" w:hAnsi="Times New Roman"/>
                <w:b/>
                <w:bCs/>
                <w:color w:val="000000"/>
                <w:sz w:val="21"/>
                <w:szCs w:val="21"/>
              </w:rPr>
            </w:pPr>
            <w:r w:rsidRPr="00EC4CBD">
              <w:rPr>
                <w:rFonts w:ascii="Times New Roman" w:hAnsi="Times New Roman"/>
                <w:b/>
                <w:bCs/>
                <w:color w:val="000000"/>
                <w:sz w:val="21"/>
                <w:szCs w:val="21"/>
              </w:rPr>
              <w:t>-25,14</w:t>
            </w:r>
          </w:p>
        </w:tc>
        <w:tc>
          <w:tcPr>
            <w:tcW w:w="567" w:type="dxa"/>
            <w:gridSpan w:val="2"/>
            <w:tcBorders>
              <w:top w:val="single" w:sz="4" w:space="0" w:color="auto"/>
              <w:left w:val="nil"/>
              <w:bottom w:val="single" w:sz="4" w:space="0" w:color="auto"/>
              <w:right w:val="single" w:sz="4" w:space="0" w:color="auto"/>
            </w:tcBorders>
            <w:shd w:val="clear" w:color="000000" w:fill="D9E1F2"/>
          </w:tcPr>
          <w:p w14:paraId="79D2FD7A" w14:textId="0985FA8E" w:rsidR="00D927F2" w:rsidRPr="00D53FDB" w:rsidRDefault="00D927F2" w:rsidP="00EC4CBD">
            <w:pPr>
              <w:spacing w:line="240" w:lineRule="auto"/>
              <w:rPr>
                <w:rFonts w:ascii="Times New Roman" w:hAnsi="Times New Roman"/>
                <w:b/>
                <w:bCs/>
                <w:color w:val="000000"/>
                <w:sz w:val="21"/>
                <w:szCs w:val="21"/>
              </w:rPr>
            </w:pPr>
            <w:r w:rsidRPr="00EC4CBD">
              <w:rPr>
                <w:rFonts w:ascii="Times New Roman" w:hAnsi="Times New Roman"/>
                <w:b/>
                <w:bCs/>
                <w:color w:val="000000"/>
                <w:sz w:val="21"/>
                <w:szCs w:val="21"/>
              </w:rPr>
              <w:t>-24,88</w:t>
            </w:r>
          </w:p>
        </w:tc>
        <w:tc>
          <w:tcPr>
            <w:tcW w:w="567" w:type="dxa"/>
            <w:gridSpan w:val="3"/>
            <w:tcBorders>
              <w:top w:val="single" w:sz="4" w:space="0" w:color="auto"/>
              <w:left w:val="nil"/>
              <w:bottom w:val="single" w:sz="4" w:space="0" w:color="auto"/>
              <w:right w:val="single" w:sz="4" w:space="0" w:color="auto"/>
            </w:tcBorders>
            <w:shd w:val="clear" w:color="000000" w:fill="D9E1F2"/>
          </w:tcPr>
          <w:p w14:paraId="2E5332A6" w14:textId="6DE51408" w:rsidR="00D927F2" w:rsidRPr="00D53FDB" w:rsidRDefault="00D927F2" w:rsidP="00EC4CBD">
            <w:pPr>
              <w:spacing w:line="240" w:lineRule="auto"/>
              <w:rPr>
                <w:rFonts w:ascii="Times New Roman" w:hAnsi="Times New Roman"/>
                <w:b/>
                <w:bCs/>
                <w:color w:val="000000"/>
                <w:sz w:val="21"/>
                <w:szCs w:val="21"/>
              </w:rPr>
            </w:pPr>
            <w:r w:rsidRPr="00EC4CBD">
              <w:rPr>
                <w:rFonts w:ascii="Times New Roman" w:hAnsi="Times New Roman"/>
                <w:b/>
                <w:bCs/>
                <w:color w:val="000000"/>
                <w:sz w:val="21"/>
                <w:szCs w:val="21"/>
              </w:rPr>
              <w:t>-24,62</w:t>
            </w:r>
          </w:p>
        </w:tc>
        <w:tc>
          <w:tcPr>
            <w:tcW w:w="567" w:type="dxa"/>
            <w:gridSpan w:val="2"/>
            <w:tcBorders>
              <w:top w:val="single" w:sz="4" w:space="0" w:color="auto"/>
              <w:left w:val="nil"/>
              <w:bottom w:val="single" w:sz="4" w:space="0" w:color="auto"/>
              <w:right w:val="single" w:sz="4" w:space="0" w:color="auto"/>
            </w:tcBorders>
            <w:shd w:val="clear" w:color="000000" w:fill="D9E1F2"/>
          </w:tcPr>
          <w:p w14:paraId="48CAD190" w14:textId="5BBD6956" w:rsidR="00D927F2" w:rsidRPr="00D53FDB" w:rsidRDefault="00D927F2" w:rsidP="00EC4CBD">
            <w:pPr>
              <w:spacing w:line="240" w:lineRule="auto"/>
              <w:rPr>
                <w:rFonts w:ascii="Times New Roman" w:hAnsi="Times New Roman"/>
                <w:b/>
                <w:bCs/>
                <w:color w:val="000000"/>
                <w:sz w:val="21"/>
                <w:szCs w:val="21"/>
              </w:rPr>
            </w:pPr>
            <w:r w:rsidRPr="00EC4CBD">
              <w:rPr>
                <w:rFonts w:ascii="Times New Roman" w:hAnsi="Times New Roman"/>
                <w:b/>
                <w:bCs/>
                <w:color w:val="000000"/>
                <w:sz w:val="21"/>
                <w:szCs w:val="21"/>
              </w:rPr>
              <w:t>-24,35</w:t>
            </w:r>
          </w:p>
        </w:tc>
        <w:tc>
          <w:tcPr>
            <w:tcW w:w="567" w:type="dxa"/>
            <w:tcBorders>
              <w:top w:val="single" w:sz="4" w:space="0" w:color="auto"/>
              <w:left w:val="nil"/>
              <w:bottom w:val="single" w:sz="4" w:space="0" w:color="auto"/>
              <w:right w:val="single" w:sz="4" w:space="0" w:color="auto"/>
            </w:tcBorders>
            <w:shd w:val="clear" w:color="000000" w:fill="D9E1F2"/>
          </w:tcPr>
          <w:p w14:paraId="27D65130" w14:textId="7D071687" w:rsidR="00D927F2" w:rsidRPr="00D53FDB" w:rsidRDefault="00D927F2" w:rsidP="00EC4CBD">
            <w:pPr>
              <w:spacing w:line="240" w:lineRule="auto"/>
              <w:rPr>
                <w:rFonts w:ascii="Times New Roman" w:hAnsi="Times New Roman"/>
                <w:b/>
                <w:bCs/>
                <w:color w:val="000000"/>
                <w:sz w:val="21"/>
                <w:szCs w:val="21"/>
              </w:rPr>
            </w:pPr>
            <w:r w:rsidRPr="00EC4CBD">
              <w:rPr>
                <w:rFonts w:ascii="Times New Roman" w:hAnsi="Times New Roman"/>
                <w:b/>
                <w:bCs/>
                <w:color w:val="000000"/>
                <w:sz w:val="21"/>
                <w:szCs w:val="21"/>
              </w:rPr>
              <w:t>-24,08</w:t>
            </w:r>
          </w:p>
        </w:tc>
        <w:tc>
          <w:tcPr>
            <w:tcW w:w="595" w:type="dxa"/>
            <w:gridSpan w:val="2"/>
            <w:tcBorders>
              <w:top w:val="single" w:sz="4" w:space="0" w:color="auto"/>
              <w:left w:val="nil"/>
              <w:bottom w:val="single" w:sz="4" w:space="0" w:color="auto"/>
              <w:right w:val="single" w:sz="4" w:space="0" w:color="auto"/>
            </w:tcBorders>
            <w:shd w:val="clear" w:color="000000" w:fill="D9E1F2"/>
          </w:tcPr>
          <w:p w14:paraId="63F56A0A" w14:textId="334BE7FC" w:rsidR="00D927F2" w:rsidRPr="00D53FDB" w:rsidRDefault="00D927F2" w:rsidP="00EC4CBD">
            <w:pPr>
              <w:spacing w:line="240" w:lineRule="auto"/>
              <w:rPr>
                <w:rFonts w:ascii="Times New Roman" w:hAnsi="Times New Roman"/>
                <w:b/>
                <w:bCs/>
                <w:color w:val="000000"/>
                <w:sz w:val="21"/>
                <w:szCs w:val="21"/>
              </w:rPr>
            </w:pPr>
            <w:r w:rsidRPr="00EC4CBD">
              <w:rPr>
                <w:rFonts w:ascii="Times New Roman" w:hAnsi="Times New Roman"/>
                <w:b/>
                <w:bCs/>
                <w:color w:val="000000"/>
                <w:sz w:val="21"/>
                <w:szCs w:val="21"/>
              </w:rPr>
              <w:t>-23,80</w:t>
            </w:r>
          </w:p>
        </w:tc>
        <w:tc>
          <w:tcPr>
            <w:tcW w:w="1106" w:type="dxa"/>
            <w:tcBorders>
              <w:top w:val="single" w:sz="4" w:space="0" w:color="auto"/>
              <w:left w:val="nil"/>
              <w:bottom w:val="single" w:sz="4" w:space="0" w:color="auto"/>
              <w:right w:val="single" w:sz="4" w:space="0" w:color="auto"/>
            </w:tcBorders>
            <w:shd w:val="clear" w:color="000000" w:fill="D9E1F2"/>
          </w:tcPr>
          <w:p w14:paraId="58F1E609" w14:textId="26D0C815" w:rsidR="00D927F2" w:rsidRPr="00D53FDB" w:rsidRDefault="00D927F2" w:rsidP="00EC4CBD">
            <w:pPr>
              <w:spacing w:line="240" w:lineRule="auto"/>
              <w:rPr>
                <w:rFonts w:ascii="Times New Roman" w:hAnsi="Times New Roman"/>
                <w:b/>
                <w:bCs/>
                <w:color w:val="000000"/>
                <w:sz w:val="21"/>
                <w:szCs w:val="21"/>
              </w:rPr>
            </w:pPr>
            <w:r w:rsidRPr="00EC4CBD">
              <w:rPr>
                <w:rFonts w:ascii="Times New Roman" w:hAnsi="Times New Roman"/>
                <w:b/>
                <w:bCs/>
                <w:color w:val="000000"/>
                <w:sz w:val="21"/>
                <w:szCs w:val="21"/>
              </w:rPr>
              <w:t>-255,37</w:t>
            </w:r>
          </w:p>
        </w:tc>
      </w:tr>
      <w:tr w:rsidR="00D927F2" w:rsidRPr="008B4FE6" w14:paraId="49878566" w14:textId="77777777" w:rsidTr="00D53FDB">
        <w:trPr>
          <w:trHeight w:val="360"/>
        </w:trPr>
        <w:tc>
          <w:tcPr>
            <w:tcW w:w="2833" w:type="dxa"/>
            <w:gridSpan w:val="4"/>
            <w:shd w:val="clear" w:color="auto" w:fill="FFFFFF"/>
            <w:vAlign w:val="center"/>
          </w:tcPr>
          <w:p w14:paraId="13D18677" w14:textId="77777777" w:rsidR="00D927F2" w:rsidRPr="006B280A" w:rsidRDefault="00D927F2" w:rsidP="00D927F2">
            <w:pPr>
              <w:spacing w:line="240" w:lineRule="auto"/>
              <w:rPr>
                <w:rFonts w:ascii="Times New Roman" w:hAnsi="Times New Roman"/>
                <w:color w:val="000000"/>
                <w:lang w:eastAsia="pl-PL"/>
              </w:rPr>
            </w:pPr>
            <w:r w:rsidRPr="006B280A">
              <w:rPr>
                <w:rFonts w:ascii="Times New Roman" w:hAnsi="Times New Roman"/>
                <w:color w:val="000000"/>
              </w:rPr>
              <w:t>budżet państwa</w:t>
            </w:r>
          </w:p>
        </w:tc>
        <w:tc>
          <w:tcPr>
            <w:tcW w:w="712" w:type="dxa"/>
            <w:tcBorders>
              <w:top w:val="nil"/>
              <w:left w:val="single" w:sz="4" w:space="0" w:color="auto"/>
              <w:bottom w:val="single" w:sz="4" w:space="0" w:color="auto"/>
              <w:right w:val="single" w:sz="4" w:space="0" w:color="auto"/>
            </w:tcBorders>
            <w:shd w:val="clear" w:color="000000" w:fill="FFFFFF"/>
          </w:tcPr>
          <w:p w14:paraId="6820398D" w14:textId="3375F414" w:rsidR="00D927F2" w:rsidRPr="00D53FDB" w:rsidRDefault="00D927F2" w:rsidP="00EC4CBD">
            <w:pPr>
              <w:spacing w:line="240" w:lineRule="auto"/>
              <w:rPr>
                <w:rFonts w:ascii="Times New Roman" w:hAnsi="Times New Roman"/>
                <w:color w:val="000000"/>
              </w:rPr>
            </w:pPr>
            <w:r w:rsidRPr="00EC4CBD">
              <w:rPr>
                <w:rFonts w:ascii="Times New Roman" w:hAnsi="Times New Roman"/>
                <w:color w:val="000000"/>
              </w:rPr>
              <w:t>5,80</w:t>
            </w:r>
          </w:p>
        </w:tc>
        <w:tc>
          <w:tcPr>
            <w:tcW w:w="705" w:type="dxa"/>
            <w:gridSpan w:val="2"/>
            <w:tcBorders>
              <w:top w:val="nil"/>
              <w:left w:val="nil"/>
              <w:bottom w:val="single" w:sz="4" w:space="0" w:color="auto"/>
              <w:right w:val="single" w:sz="4" w:space="0" w:color="auto"/>
            </w:tcBorders>
            <w:shd w:val="clear" w:color="000000" w:fill="FFFFFF"/>
          </w:tcPr>
          <w:p w14:paraId="374CCA83" w14:textId="651C8657" w:rsidR="00D927F2" w:rsidRPr="00D53FDB" w:rsidRDefault="00D927F2" w:rsidP="00EC4CBD">
            <w:pPr>
              <w:spacing w:line="240" w:lineRule="auto"/>
              <w:rPr>
                <w:rFonts w:ascii="Times New Roman" w:hAnsi="Times New Roman"/>
                <w:color w:val="000000"/>
              </w:rPr>
            </w:pPr>
            <w:r w:rsidRPr="00EC4CBD">
              <w:rPr>
                <w:rFonts w:ascii="Times New Roman" w:hAnsi="Times New Roman"/>
                <w:color w:val="000000"/>
              </w:rPr>
              <w:t>5,88</w:t>
            </w:r>
          </w:p>
        </w:tc>
        <w:tc>
          <w:tcPr>
            <w:tcW w:w="709" w:type="dxa"/>
            <w:tcBorders>
              <w:top w:val="nil"/>
              <w:left w:val="nil"/>
              <w:bottom w:val="single" w:sz="4" w:space="0" w:color="auto"/>
              <w:right w:val="single" w:sz="4" w:space="0" w:color="auto"/>
            </w:tcBorders>
            <w:shd w:val="clear" w:color="000000" w:fill="FFFFFF"/>
          </w:tcPr>
          <w:p w14:paraId="1801D9D6" w14:textId="4623DDAD" w:rsidR="00D927F2" w:rsidRPr="00D53FDB" w:rsidRDefault="00D927F2" w:rsidP="00EC4CBD">
            <w:pPr>
              <w:spacing w:line="240" w:lineRule="auto"/>
              <w:rPr>
                <w:rFonts w:ascii="Times New Roman" w:hAnsi="Times New Roman"/>
                <w:color w:val="000000"/>
              </w:rPr>
            </w:pPr>
            <w:r w:rsidRPr="00EC4CBD">
              <w:rPr>
                <w:rFonts w:ascii="Times New Roman" w:hAnsi="Times New Roman"/>
                <w:color w:val="000000"/>
              </w:rPr>
              <w:t>5,96</w:t>
            </w:r>
          </w:p>
        </w:tc>
        <w:tc>
          <w:tcPr>
            <w:tcW w:w="712" w:type="dxa"/>
            <w:tcBorders>
              <w:top w:val="nil"/>
              <w:left w:val="nil"/>
              <w:bottom w:val="single" w:sz="4" w:space="0" w:color="auto"/>
              <w:right w:val="single" w:sz="4" w:space="0" w:color="auto"/>
            </w:tcBorders>
            <w:shd w:val="clear" w:color="000000" w:fill="FFFFFF"/>
          </w:tcPr>
          <w:p w14:paraId="1A0E9CD8" w14:textId="2F581E6A" w:rsidR="00D927F2" w:rsidRPr="00D53FDB" w:rsidRDefault="00D927F2" w:rsidP="00EC4CBD">
            <w:pPr>
              <w:spacing w:line="240" w:lineRule="auto"/>
              <w:rPr>
                <w:rFonts w:ascii="Times New Roman" w:hAnsi="Times New Roman"/>
                <w:color w:val="000000"/>
              </w:rPr>
            </w:pPr>
            <w:r w:rsidRPr="00EC4CBD">
              <w:rPr>
                <w:rFonts w:ascii="Times New Roman" w:hAnsi="Times New Roman"/>
                <w:color w:val="000000"/>
              </w:rPr>
              <w:t>6,04</w:t>
            </w:r>
          </w:p>
        </w:tc>
        <w:tc>
          <w:tcPr>
            <w:tcW w:w="596" w:type="dxa"/>
            <w:gridSpan w:val="2"/>
            <w:tcBorders>
              <w:top w:val="nil"/>
              <w:left w:val="nil"/>
              <w:bottom w:val="single" w:sz="4" w:space="0" w:color="auto"/>
              <w:right w:val="single" w:sz="4" w:space="0" w:color="auto"/>
            </w:tcBorders>
            <w:shd w:val="clear" w:color="000000" w:fill="FFFFFF"/>
          </w:tcPr>
          <w:p w14:paraId="3DA3C37D" w14:textId="5B96BE7D" w:rsidR="00D927F2" w:rsidRPr="00D53FDB" w:rsidRDefault="00D927F2" w:rsidP="00EC4CBD">
            <w:pPr>
              <w:spacing w:line="240" w:lineRule="auto"/>
              <w:rPr>
                <w:rFonts w:ascii="Times New Roman" w:hAnsi="Times New Roman"/>
                <w:color w:val="000000"/>
              </w:rPr>
            </w:pPr>
            <w:r w:rsidRPr="00EC4CBD">
              <w:rPr>
                <w:rFonts w:ascii="Times New Roman" w:hAnsi="Times New Roman"/>
                <w:color w:val="000000"/>
              </w:rPr>
              <w:t>6,12</w:t>
            </w:r>
          </w:p>
        </w:tc>
        <w:tc>
          <w:tcPr>
            <w:tcW w:w="680" w:type="dxa"/>
            <w:gridSpan w:val="3"/>
            <w:tcBorders>
              <w:top w:val="nil"/>
              <w:left w:val="nil"/>
              <w:bottom w:val="single" w:sz="4" w:space="0" w:color="auto"/>
              <w:right w:val="single" w:sz="4" w:space="0" w:color="auto"/>
            </w:tcBorders>
            <w:shd w:val="clear" w:color="000000" w:fill="FFFFFF"/>
          </w:tcPr>
          <w:p w14:paraId="4E8F7504" w14:textId="7688CCD5" w:rsidR="00D927F2" w:rsidRPr="00D53FDB" w:rsidRDefault="00D927F2" w:rsidP="00EC4CBD">
            <w:pPr>
              <w:spacing w:line="240" w:lineRule="auto"/>
              <w:rPr>
                <w:rFonts w:ascii="Times New Roman" w:hAnsi="Times New Roman"/>
                <w:color w:val="000000"/>
              </w:rPr>
            </w:pPr>
            <w:r w:rsidRPr="00EC4CBD">
              <w:rPr>
                <w:rFonts w:ascii="Times New Roman" w:hAnsi="Times New Roman"/>
                <w:color w:val="000000"/>
              </w:rPr>
              <w:t>6,19</w:t>
            </w:r>
          </w:p>
        </w:tc>
        <w:tc>
          <w:tcPr>
            <w:tcW w:w="567" w:type="dxa"/>
            <w:gridSpan w:val="2"/>
            <w:tcBorders>
              <w:top w:val="nil"/>
              <w:left w:val="nil"/>
              <w:bottom w:val="single" w:sz="4" w:space="0" w:color="auto"/>
              <w:right w:val="single" w:sz="4" w:space="0" w:color="auto"/>
            </w:tcBorders>
            <w:shd w:val="clear" w:color="000000" w:fill="FFFFFF"/>
          </w:tcPr>
          <w:p w14:paraId="7088F5CA" w14:textId="3BE53A46" w:rsidR="00D927F2" w:rsidRPr="00D53FDB" w:rsidRDefault="00D927F2" w:rsidP="00EC4CBD">
            <w:pPr>
              <w:spacing w:line="240" w:lineRule="auto"/>
              <w:rPr>
                <w:rFonts w:ascii="Times New Roman" w:hAnsi="Times New Roman"/>
                <w:color w:val="000000"/>
              </w:rPr>
            </w:pPr>
            <w:r w:rsidRPr="00EC4CBD">
              <w:rPr>
                <w:rFonts w:ascii="Times New Roman" w:hAnsi="Times New Roman"/>
                <w:color w:val="000000"/>
              </w:rPr>
              <w:t>6,27</w:t>
            </w:r>
          </w:p>
        </w:tc>
        <w:tc>
          <w:tcPr>
            <w:tcW w:w="567" w:type="dxa"/>
            <w:gridSpan w:val="3"/>
            <w:tcBorders>
              <w:top w:val="nil"/>
              <w:left w:val="nil"/>
              <w:bottom w:val="single" w:sz="4" w:space="0" w:color="auto"/>
              <w:right w:val="single" w:sz="4" w:space="0" w:color="auto"/>
            </w:tcBorders>
            <w:shd w:val="clear" w:color="000000" w:fill="FFFFFF"/>
          </w:tcPr>
          <w:p w14:paraId="514A3055" w14:textId="78B8C22E" w:rsidR="00D927F2" w:rsidRPr="00D53FDB" w:rsidRDefault="00D927F2" w:rsidP="00EC4CBD">
            <w:pPr>
              <w:spacing w:line="240" w:lineRule="auto"/>
              <w:rPr>
                <w:rFonts w:ascii="Times New Roman" w:hAnsi="Times New Roman"/>
                <w:color w:val="000000"/>
              </w:rPr>
            </w:pPr>
            <w:r w:rsidRPr="00EC4CBD">
              <w:rPr>
                <w:rFonts w:ascii="Times New Roman" w:hAnsi="Times New Roman"/>
                <w:color w:val="000000"/>
              </w:rPr>
              <w:t>6,34</w:t>
            </w:r>
          </w:p>
        </w:tc>
        <w:tc>
          <w:tcPr>
            <w:tcW w:w="567" w:type="dxa"/>
            <w:gridSpan w:val="2"/>
            <w:tcBorders>
              <w:top w:val="nil"/>
              <w:left w:val="nil"/>
              <w:bottom w:val="single" w:sz="4" w:space="0" w:color="auto"/>
              <w:right w:val="single" w:sz="4" w:space="0" w:color="auto"/>
            </w:tcBorders>
            <w:shd w:val="clear" w:color="000000" w:fill="FFFFFF"/>
          </w:tcPr>
          <w:p w14:paraId="262D00BA" w14:textId="051F0CEA" w:rsidR="00D927F2" w:rsidRPr="00D53FDB" w:rsidRDefault="00D927F2" w:rsidP="00EC4CBD">
            <w:pPr>
              <w:spacing w:line="240" w:lineRule="auto"/>
              <w:rPr>
                <w:rFonts w:ascii="Times New Roman" w:hAnsi="Times New Roman"/>
                <w:color w:val="000000"/>
              </w:rPr>
            </w:pPr>
            <w:r w:rsidRPr="00EC4CBD">
              <w:rPr>
                <w:rFonts w:ascii="Times New Roman" w:hAnsi="Times New Roman"/>
                <w:color w:val="000000"/>
              </w:rPr>
              <w:t>6,41</w:t>
            </w:r>
          </w:p>
        </w:tc>
        <w:tc>
          <w:tcPr>
            <w:tcW w:w="567" w:type="dxa"/>
            <w:tcBorders>
              <w:top w:val="nil"/>
              <w:left w:val="nil"/>
              <w:bottom w:val="single" w:sz="4" w:space="0" w:color="auto"/>
              <w:right w:val="single" w:sz="4" w:space="0" w:color="auto"/>
            </w:tcBorders>
            <w:shd w:val="clear" w:color="000000" w:fill="FFFFFF"/>
          </w:tcPr>
          <w:p w14:paraId="27819CDD" w14:textId="22A17762" w:rsidR="00D927F2" w:rsidRPr="00D53FDB" w:rsidRDefault="00D927F2" w:rsidP="00EC4CBD">
            <w:pPr>
              <w:spacing w:line="240" w:lineRule="auto"/>
              <w:rPr>
                <w:rFonts w:ascii="Times New Roman" w:hAnsi="Times New Roman"/>
                <w:color w:val="000000"/>
              </w:rPr>
            </w:pPr>
            <w:r w:rsidRPr="00EC4CBD">
              <w:rPr>
                <w:rFonts w:ascii="Times New Roman" w:hAnsi="Times New Roman"/>
                <w:color w:val="000000"/>
              </w:rPr>
              <w:t>6,48</w:t>
            </w:r>
          </w:p>
        </w:tc>
        <w:tc>
          <w:tcPr>
            <w:tcW w:w="595" w:type="dxa"/>
            <w:gridSpan w:val="2"/>
            <w:tcBorders>
              <w:top w:val="nil"/>
              <w:left w:val="nil"/>
              <w:bottom w:val="single" w:sz="4" w:space="0" w:color="auto"/>
              <w:right w:val="single" w:sz="4" w:space="0" w:color="auto"/>
            </w:tcBorders>
            <w:shd w:val="clear" w:color="000000" w:fill="FFFFFF"/>
          </w:tcPr>
          <w:p w14:paraId="326B9417" w14:textId="7D566535" w:rsidR="00D927F2" w:rsidRPr="00D53FDB" w:rsidRDefault="00D927F2" w:rsidP="00EC4CBD">
            <w:pPr>
              <w:spacing w:line="240" w:lineRule="auto"/>
              <w:rPr>
                <w:rFonts w:ascii="Times New Roman" w:hAnsi="Times New Roman"/>
                <w:color w:val="000000"/>
              </w:rPr>
            </w:pPr>
            <w:r w:rsidRPr="00EC4CBD">
              <w:rPr>
                <w:rFonts w:ascii="Times New Roman" w:hAnsi="Times New Roman"/>
                <w:color w:val="000000"/>
              </w:rPr>
              <w:t>6,55</w:t>
            </w:r>
          </w:p>
        </w:tc>
        <w:tc>
          <w:tcPr>
            <w:tcW w:w="1106" w:type="dxa"/>
            <w:tcBorders>
              <w:top w:val="nil"/>
              <w:left w:val="nil"/>
              <w:bottom w:val="single" w:sz="4" w:space="0" w:color="auto"/>
              <w:right w:val="single" w:sz="4" w:space="0" w:color="auto"/>
            </w:tcBorders>
            <w:shd w:val="clear" w:color="000000" w:fill="FFFFFF"/>
          </w:tcPr>
          <w:p w14:paraId="641D0CF8" w14:textId="00329FE5" w:rsidR="00D927F2" w:rsidRPr="00D53FDB" w:rsidRDefault="00D927F2" w:rsidP="00EC4CBD">
            <w:pPr>
              <w:spacing w:line="240" w:lineRule="auto"/>
              <w:rPr>
                <w:rFonts w:ascii="Times New Roman" w:hAnsi="Times New Roman"/>
                <w:color w:val="000000"/>
              </w:rPr>
            </w:pPr>
            <w:r w:rsidRPr="00EC4CBD">
              <w:rPr>
                <w:rFonts w:ascii="Times New Roman" w:hAnsi="Times New Roman"/>
                <w:color w:val="000000"/>
              </w:rPr>
              <w:t>68,06</w:t>
            </w:r>
          </w:p>
        </w:tc>
      </w:tr>
      <w:tr w:rsidR="00D53FDB" w:rsidRPr="008B4FE6" w14:paraId="2631C355" w14:textId="77777777" w:rsidTr="00D53FDB">
        <w:trPr>
          <w:trHeight w:val="360"/>
        </w:trPr>
        <w:tc>
          <w:tcPr>
            <w:tcW w:w="2833" w:type="dxa"/>
            <w:gridSpan w:val="4"/>
            <w:shd w:val="clear" w:color="auto" w:fill="FFFFFF"/>
            <w:vAlign w:val="center"/>
          </w:tcPr>
          <w:p w14:paraId="3754E07F" w14:textId="1C31711A" w:rsidR="00D927F2" w:rsidRPr="006B280A" w:rsidRDefault="00D927F2" w:rsidP="00D927F2">
            <w:pPr>
              <w:spacing w:line="240" w:lineRule="auto"/>
              <w:rPr>
                <w:rFonts w:ascii="Times New Roman" w:hAnsi="Times New Roman"/>
                <w:color w:val="000000"/>
              </w:rPr>
            </w:pPr>
            <w:r>
              <w:rPr>
                <w:rFonts w:ascii="Times New Roman" w:hAnsi="Times New Roman"/>
                <w:color w:val="000000"/>
              </w:rPr>
              <w:t>budżet RPP</w:t>
            </w:r>
          </w:p>
        </w:tc>
        <w:tc>
          <w:tcPr>
            <w:tcW w:w="712" w:type="dxa"/>
            <w:tcBorders>
              <w:top w:val="nil"/>
              <w:left w:val="single" w:sz="4" w:space="0" w:color="auto"/>
              <w:bottom w:val="single" w:sz="4" w:space="0" w:color="auto"/>
              <w:right w:val="single" w:sz="4" w:space="0" w:color="auto"/>
            </w:tcBorders>
            <w:shd w:val="clear" w:color="000000" w:fill="FFFFFF"/>
          </w:tcPr>
          <w:p w14:paraId="4E354A38" w14:textId="259E8463"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0,00</w:t>
            </w:r>
          </w:p>
        </w:tc>
        <w:tc>
          <w:tcPr>
            <w:tcW w:w="705" w:type="dxa"/>
            <w:gridSpan w:val="2"/>
            <w:tcBorders>
              <w:top w:val="nil"/>
              <w:left w:val="nil"/>
              <w:bottom w:val="single" w:sz="4" w:space="0" w:color="auto"/>
              <w:right w:val="single" w:sz="4" w:space="0" w:color="auto"/>
            </w:tcBorders>
            <w:shd w:val="clear" w:color="000000" w:fill="FFFFFF"/>
          </w:tcPr>
          <w:p w14:paraId="6D6D1744" w14:textId="4D49933F"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0,00</w:t>
            </w:r>
          </w:p>
        </w:tc>
        <w:tc>
          <w:tcPr>
            <w:tcW w:w="709" w:type="dxa"/>
            <w:tcBorders>
              <w:top w:val="nil"/>
              <w:left w:val="nil"/>
              <w:bottom w:val="single" w:sz="4" w:space="0" w:color="auto"/>
              <w:right w:val="single" w:sz="4" w:space="0" w:color="auto"/>
            </w:tcBorders>
            <w:shd w:val="clear" w:color="000000" w:fill="FFFFFF"/>
          </w:tcPr>
          <w:p w14:paraId="0D226C24" w14:textId="1AA2A417"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0,00</w:t>
            </w:r>
          </w:p>
        </w:tc>
        <w:tc>
          <w:tcPr>
            <w:tcW w:w="712" w:type="dxa"/>
            <w:tcBorders>
              <w:top w:val="nil"/>
              <w:left w:val="nil"/>
              <w:bottom w:val="single" w:sz="4" w:space="0" w:color="auto"/>
              <w:right w:val="single" w:sz="4" w:space="0" w:color="auto"/>
            </w:tcBorders>
            <w:shd w:val="clear" w:color="000000" w:fill="FFFFFF"/>
          </w:tcPr>
          <w:p w14:paraId="7C9B4BDC" w14:textId="6C7DD5C7"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0,00</w:t>
            </w:r>
          </w:p>
        </w:tc>
        <w:tc>
          <w:tcPr>
            <w:tcW w:w="596" w:type="dxa"/>
            <w:gridSpan w:val="2"/>
            <w:tcBorders>
              <w:top w:val="nil"/>
              <w:left w:val="nil"/>
              <w:bottom w:val="single" w:sz="4" w:space="0" w:color="auto"/>
              <w:right w:val="single" w:sz="4" w:space="0" w:color="auto"/>
            </w:tcBorders>
            <w:shd w:val="clear" w:color="000000" w:fill="FFFFFF"/>
          </w:tcPr>
          <w:p w14:paraId="6CBA2C42" w14:textId="327F21D0"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0,00</w:t>
            </w:r>
          </w:p>
        </w:tc>
        <w:tc>
          <w:tcPr>
            <w:tcW w:w="680" w:type="dxa"/>
            <w:gridSpan w:val="3"/>
            <w:tcBorders>
              <w:top w:val="nil"/>
              <w:left w:val="nil"/>
              <w:bottom w:val="single" w:sz="4" w:space="0" w:color="auto"/>
              <w:right w:val="single" w:sz="4" w:space="0" w:color="auto"/>
            </w:tcBorders>
            <w:shd w:val="clear" w:color="000000" w:fill="FFFFFF"/>
          </w:tcPr>
          <w:p w14:paraId="3D40CB33" w14:textId="5240FF67"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0,00</w:t>
            </w:r>
          </w:p>
        </w:tc>
        <w:tc>
          <w:tcPr>
            <w:tcW w:w="567" w:type="dxa"/>
            <w:gridSpan w:val="2"/>
            <w:tcBorders>
              <w:top w:val="nil"/>
              <w:left w:val="nil"/>
              <w:bottom w:val="single" w:sz="4" w:space="0" w:color="auto"/>
              <w:right w:val="single" w:sz="4" w:space="0" w:color="auto"/>
            </w:tcBorders>
            <w:shd w:val="clear" w:color="000000" w:fill="FFFFFF"/>
          </w:tcPr>
          <w:p w14:paraId="79C03AAA" w14:textId="22930044"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0,00</w:t>
            </w:r>
          </w:p>
        </w:tc>
        <w:tc>
          <w:tcPr>
            <w:tcW w:w="567" w:type="dxa"/>
            <w:gridSpan w:val="3"/>
            <w:tcBorders>
              <w:top w:val="nil"/>
              <w:left w:val="nil"/>
              <w:bottom w:val="single" w:sz="4" w:space="0" w:color="auto"/>
              <w:right w:val="single" w:sz="4" w:space="0" w:color="auto"/>
            </w:tcBorders>
            <w:shd w:val="clear" w:color="000000" w:fill="FFFFFF"/>
          </w:tcPr>
          <w:p w14:paraId="5E979579" w14:textId="7C7DEF1D"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0,00</w:t>
            </w:r>
          </w:p>
        </w:tc>
        <w:tc>
          <w:tcPr>
            <w:tcW w:w="567" w:type="dxa"/>
            <w:gridSpan w:val="2"/>
            <w:tcBorders>
              <w:top w:val="nil"/>
              <w:left w:val="nil"/>
              <w:bottom w:val="single" w:sz="4" w:space="0" w:color="auto"/>
              <w:right w:val="single" w:sz="4" w:space="0" w:color="auto"/>
            </w:tcBorders>
            <w:shd w:val="clear" w:color="000000" w:fill="FFFFFF"/>
          </w:tcPr>
          <w:p w14:paraId="784E3DC3" w14:textId="064B3781"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0,00</w:t>
            </w:r>
          </w:p>
        </w:tc>
        <w:tc>
          <w:tcPr>
            <w:tcW w:w="567" w:type="dxa"/>
            <w:tcBorders>
              <w:top w:val="nil"/>
              <w:left w:val="nil"/>
              <w:bottom w:val="single" w:sz="4" w:space="0" w:color="auto"/>
              <w:right w:val="single" w:sz="4" w:space="0" w:color="auto"/>
            </w:tcBorders>
            <w:shd w:val="clear" w:color="000000" w:fill="FFFFFF"/>
          </w:tcPr>
          <w:p w14:paraId="6CA456E0" w14:textId="0E9D0F08"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0,00</w:t>
            </w:r>
          </w:p>
        </w:tc>
        <w:tc>
          <w:tcPr>
            <w:tcW w:w="595" w:type="dxa"/>
            <w:gridSpan w:val="2"/>
            <w:tcBorders>
              <w:top w:val="nil"/>
              <w:left w:val="nil"/>
              <w:bottom w:val="single" w:sz="4" w:space="0" w:color="auto"/>
              <w:right w:val="single" w:sz="4" w:space="0" w:color="auto"/>
            </w:tcBorders>
            <w:shd w:val="clear" w:color="000000" w:fill="FFFFFF"/>
          </w:tcPr>
          <w:p w14:paraId="77A5C516" w14:textId="3A565E1A"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0,00</w:t>
            </w:r>
          </w:p>
        </w:tc>
        <w:tc>
          <w:tcPr>
            <w:tcW w:w="1106" w:type="dxa"/>
            <w:tcBorders>
              <w:top w:val="nil"/>
              <w:left w:val="nil"/>
              <w:bottom w:val="single" w:sz="4" w:space="0" w:color="auto"/>
              <w:right w:val="single" w:sz="4" w:space="0" w:color="auto"/>
            </w:tcBorders>
            <w:shd w:val="clear" w:color="000000" w:fill="FFFFFF"/>
          </w:tcPr>
          <w:p w14:paraId="2D86C49F" w14:textId="1E64EE21"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0,00</w:t>
            </w:r>
          </w:p>
        </w:tc>
      </w:tr>
      <w:tr w:rsidR="00D53FDB" w:rsidRPr="008B4FE6" w14:paraId="52B66A5E" w14:textId="77777777" w:rsidTr="00D53FDB">
        <w:trPr>
          <w:trHeight w:val="360"/>
        </w:trPr>
        <w:tc>
          <w:tcPr>
            <w:tcW w:w="2833" w:type="dxa"/>
            <w:gridSpan w:val="4"/>
            <w:shd w:val="clear" w:color="auto" w:fill="FFFFFF"/>
            <w:vAlign w:val="center"/>
          </w:tcPr>
          <w:p w14:paraId="39B0B4ED" w14:textId="297F6255" w:rsidR="00D927F2" w:rsidDel="001E3680" w:rsidRDefault="00D927F2" w:rsidP="00D927F2">
            <w:pPr>
              <w:spacing w:line="240" w:lineRule="auto"/>
              <w:rPr>
                <w:rFonts w:ascii="Times New Roman" w:hAnsi="Times New Roman"/>
                <w:color w:val="000000"/>
              </w:rPr>
            </w:pPr>
            <w:r>
              <w:rPr>
                <w:rFonts w:ascii="Times New Roman" w:hAnsi="Times New Roman"/>
                <w:color w:val="000000"/>
              </w:rPr>
              <w:t>budżet NFZ</w:t>
            </w:r>
          </w:p>
        </w:tc>
        <w:tc>
          <w:tcPr>
            <w:tcW w:w="712" w:type="dxa"/>
            <w:tcBorders>
              <w:top w:val="nil"/>
              <w:left w:val="single" w:sz="4" w:space="0" w:color="auto"/>
              <w:bottom w:val="single" w:sz="4" w:space="0" w:color="auto"/>
              <w:right w:val="single" w:sz="4" w:space="0" w:color="auto"/>
            </w:tcBorders>
            <w:shd w:val="clear" w:color="000000" w:fill="FFFFFF"/>
          </w:tcPr>
          <w:p w14:paraId="4B19B6EC" w14:textId="66880A5F"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-12,34</w:t>
            </w:r>
          </w:p>
        </w:tc>
        <w:tc>
          <w:tcPr>
            <w:tcW w:w="705" w:type="dxa"/>
            <w:gridSpan w:val="2"/>
            <w:tcBorders>
              <w:top w:val="nil"/>
              <w:left w:val="nil"/>
              <w:bottom w:val="single" w:sz="4" w:space="0" w:color="auto"/>
              <w:right w:val="single" w:sz="4" w:space="0" w:color="auto"/>
            </w:tcBorders>
            <w:shd w:val="clear" w:color="000000" w:fill="FFFFFF"/>
          </w:tcPr>
          <w:p w14:paraId="348B58DF" w14:textId="521493AF"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-26,72</w:t>
            </w:r>
          </w:p>
        </w:tc>
        <w:tc>
          <w:tcPr>
            <w:tcW w:w="709" w:type="dxa"/>
            <w:tcBorders>
              <w:top w:val="nil"/>
              <w:left w:val="nil"/>
              <w:bottom w:val="single" w:sz="4" w:space="0" w:color="auto"/>
              <w:right w:val="single" w:sz="4" w:space="0" w:color="auto"/>
            </w:tcBorders>
            <w:shd w:val="clear" w:color="000000" w:fill="FFFFFF"/>
          </w:tcPr>
          <w:p w14:paraId="60DD3462" w14:textId="690D7A53"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-34,71</w:t>
            </w:r>
          </w:p>
        </w:tc>
        <w:tc>
          <w:tcPr>
            <w:tcW w:w="712" w:type="dxa"/>
            <w:tcBorders>
              <w:top w:val="nil"/>
              <w:left w:val="nil"/>
              <w:bottom w:val="single" w:sz="4" w:space="0" w:color="auto"/>
              <w:right w:val="single" w:sz="4" w:space="0" w:color="auto"/>
            </w:tcBorders>
            <w:shd w:val="clear" w:color="000000" w:fill="FFFFFF"/>
          </w:tcPr>
          <w:p w14:paraId="212F777C" w14:textId="3CB723D7"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 xml:space="preserve">-33,02    </w:t>
            </w:r>
          </w:p>
        </w:tc>
        <w:tc>
          <w:tcPr>
            <w:tcW w:w="596" w:type="dxa"/>
            <w:gridSpan w:val="2"/>
            <w:tcBorders>
              <w:top w:val="nil"/>
              <w:left w:val="nil"/>
              <w:bottom w:val="single" w:sz="4" w:space="0" w:color="auto"/>
              <w:right w:val="single" w:sz="4" w:space="0" w:color="auto"/>
            </w:tcBorders>
            <w:shd w:val="clear" w:color="000000" w:fill="FFFFFF"/>
          </w:tcPr>
          <w:p w14:paraId="35078865" w14:textId="67A03937"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-31,50</w:t>
            </w:r>
          </w:p>
        </w:tc>
        <w:tc>
          <w:tcPr>
            <w:tcW w:w="680" w:type="dxa"/>
            <w:gridSpan w:val="3"/>
            <w:tcBorders>
              <w:top w:val="nil"/>
              <w:left w:val="nil"/>
              <w:bottom w:val="single" w:sz="4" w:space="0" w:color="auto"/>
              <w:right w:val="single" w:sz="4" w:space="0" w:color="auto"/>
            </w:tcBorders>
            <w:shd w:val="clear" w:color="000000" w:fill="FFFFFF"/>
          </w:tcPr>
          <w:p w14:paraId="7D0854F1" w14:textId="785821C4"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-31,33</w:t>
            </w:r>
          </w:p>
        </w:tc>
        <w:tc>
          <w:tcPr>
            <w:tcW w:w="567" w:type="dxa"/>
            <w:gridSpan w:val="2"/>
            <w:tcBorders>
              <w:top w:val="nil"/>
              <w:left w:val="nil"/>
              <w:bottom w:val="single" w:sz="4" w:space="0" w:color="auto"/>
              <w:right w:val="single" w:sz="4" w:space="0" w:color="auto"/>
            </w:tcBorders>
            <w:shd w:val="clear" w:color="000000" w:fill="FFFFFF"/>
          </w:tcPr>
          <w:p w14:paraId="43AFA1FA" w14:textId="24CC42CB"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-31,15</w:t>
            </w:r>
          </w:p>
        </w:tc>
        <w:tc>
          <w:tcPr>
            <w:tcW w:w="567" w:type="dxa"/>
            <w:gridSpan w:val="3"/>
            <w:tcBorders>
              <w:top w:val="nil"/>
              <w:left w:val="nil"/>
              <w:bottom w:val="single" w:sz="4" w:space="0" w:color="auto"/>
              <w:right w:val="single" w:sz="4" w:space="0" w:color="auto"/>
            </w:tcBorders>
            <w:shd w:val="clear" w:color="000000" w:fill="FFFFFF"/>
          </w:tcPr>
          <w:p w14:paraId="43E5DA8C" w14:textId="0AA468A9"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-30,97</w:t>
            </w:r>
          </w:p>
        </w:tc>
        <w:tc>
          <w:tcPr>
            <w:tcW w:w="567" w:type="dxa"/>
            <w:gridSpan w:val="2"/>
            <w:tcBorders>
              <w:top w:val="nil"/>
              <w:left w:val="nil"/>
              <w:bottom w:val="single" w:sz="4" w:space="0" w:color="auto"/>
              <w:right w:val="single" w:sz="4" w:space="0" w:color="auto"/>
            </w:tcBorders>
            <w:shd w:val="clear" w:color="000000" w:fill="FFFFFF"/>
          </w:tcPr>
          <w:p w14:paraId="63FE07D2" w14:textId="4B53CEBA"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-30,77</w:t>
            </w:r>
          </w:p>
        </w:tc>
        <w:tc>
          <w:tcPr>
            <w:tcW w:w="567" w:type="dxa"/>
            <w:tcBorders>
              <w:top w:val="nil"/>
              <w:left w:val="nil"/>
              <w:bottom w:val="single" w:sz="4" w:space="0" w:color="auto"/>
              <w:right w:val="single" w:sz="4" w:space="0" w:color="auto"/>
            </w:tcBorders>
            <w:shd w:val="clear" w:color="000000" w:fill="FFFFFF"/>
          </w:tcPr>
          <w:p w14:paraId="237EF0C3" w14:textId="2761C1FE"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-30,57</w:t>
            </w:r>
          </w:p>
        </w:tc>
        <w:tc>
          <w:tcPr>
            <w:tcW w:w="595" w:type="dxa"/>
            <w:gridSpan w:val="2"/>
            <w:tcBorders>
              <w:top w:val="nil"/>
              <w:left w:val="nil"/>
              <w:bottom w:val="single" w:sz="4" w:space="0" w:color="auto"/>
              <w:right w:val="single" w:sz="4" w:space="0" w:color="auto"/>
            </w:tcBorders>
            <w:shd w:val="clear" w:color="000000" w:fill="FFFFFF"/>
          </w:tcPr>
          <w:p w14:paraId="57E72AC7" w14:textId="7A911AED"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-30,35</w:t>
            </w:r>
          </w:p>
        </w:tc>
        <w:tc>
          <w:tcPr>
            <w:tcW w:w="1106" w:type="dxa"/>
            <w:tcBorders>
              <w:top w:val="nil"/>
              <w:left w:val="nil"/>
              <w:bottom w:val="single" w:sz="4" w:space="0" w:color="auto"/>
              <w:right w:val="single" w:sz="4" w:space="0" w:color="auto"/>
            </w:tcBorders>
            <w:shd w:val="clear" w:color="000000" w:fill="FFFFFF"/>
          </w:tcPr>
          <w:p w14:paraId="5A60E823" w14:textId="7B7E7488" w:rsidR="00D927F2" w:rsidRPr="00EC4CBD" w:rsidRDefault="00D927F2" w:rsidP="00EC4CBD">
            <w:pPr>
              <w:spacing w:line="240" w:lineRule="auto"/>
              <w:rPr>
                <w:rFonts w:ascii="Times New Roman" w:hAnsi="Times New Roman"/>
                <w:color w:val="000000"/>
              </w:rPr>
            </w:pPr>
            <w:r w:rsidRPr="00EC4CBD">
              <w:rPr>
                <w:rFonts w:ascii="Times New Roman" w:hAnsi="Times New Roman"/>
                <w:color w:val="000000"/>
              </w:rPr>
              <w:t>-323,43</w:t>
            </w:r>
          </w:p>
        </w:tc>
      </w:tr>
      <w:tr w:rsidR="006B280A" w:rsidRPr="008B4FE6" w14:paraId="64AA4C6F" w14:textId="77777777" w:rsidTr="00D53FDB">
        <w:trPr>
          <w:trHeight w:val="357"/>
        </w:trPr>
        <w:tc>
          <w:tcPr>
            <w:tcW w:w="2833" w:type="dxa"/>
            <w:gridSpan w:val="4"/>
            <w:shd w:val="clear" w:color="auto" w:fill="FFFFFF"/>
            <w:vAlign w:val="center"/>
          </w:tcPr>
          <w:p w14:paraId="6F1564D5" w14:textId="77777777" w:rsidR="006B280A" w:rsidRPr="006B280A" w:rsidRDefault="006B280A" w:rsidP="006B280A">
            <w:pPr>
              <w:spacing w:line="240" w:lineRule="auto"/>
              <w:rPr>
                <w:rFonts w:ascii="Times New Roman" w:hAnsi="Times New Roman"/>
                <w:color w:val="000000"/>
              </w:rPr>
            </w:pPr>
            <w:r w:rsidRPr="006B280A">
              <w:rPr>
                <w:rFonts w:ascii="Times New Roman" w:hAnsi="Times New Roman"/>
                <w:color w:val="000000"/>
              </w:rPr>
              <w:t>JST</w:t>
            </w:r>
          </w:p>
        </w:tc>
        <w:tc>
          <w:tcPr>
            <w:tcW w:w="712" w:type="dxa"/>
            <w:shd w:val="clear" w:color="auto" w:fill="FFFFFF"/>
            <w:vAlign w:val="center"/>
          </w:tcPr>
          <w:p w14:paraId="22CA23DC"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705" w:type="dxa"/>
            <w:gridSpan w:val="2"/>
            <w:shd w:val="clear" w:color="auto" w:fill="FFFFFF"/>
            <w:vAlign w:val="center"/>
          </w:tcPr>
          <w:p w14:paraId="3FCE78BA"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709" w:type="dxa"/>
            <w:shd w:val="clear" w:color="auto" w:fill="FFFFFF"/>
            <w:vAlign w:val="center"/>
          </w:tcPr>
          <w:p w14:paraId="6EFA4E2F"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712" w:type="dxa"/>
            <w:shd w:val="clear" w:color="auto" w:fill="FFFFFF"/>
            <w:vAlign w:val="center"/>
          </w:tcPr>
          <w:p w14:paraId="13966061"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596" w:type="dxa"/>
            <w:gridSpan w:val="2"/>
            <w:shd w:val="clear" w:color="auto" w:fill="FFFFFF"/>
            <w:vAlign w:val="center"/>
          </w:tcPr>
          <w:p w14:paraId="0AFC3418"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680" w:type="dxa"/>
            <w:gridSpan w:val="3"/>
            <w:shd w:val="clear" w:color="auto" w:fill="FFFFFF"/>
            <w:vAlign w:val="center"/>
          </w:tcPr>
          <w:p w14:paraId="086741CE"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567" w:type="dxa"/>
            <w:gridSpan w:val="2"/>
            <w:shd w:val="clear" w:color="auto" w:fill="FFFFFF"/>
            <w:vAlign w:val="center"/>
          </w:tcPr>
          <w:p w14:paraId="7C544171"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567" w:type="dxa"/>
            <w:gridSpan w:val="3"/>
            <w:shd w:val="clear" w:color="auto" w:fill="FFFFFF"/>
            <w:vAlign w:val="center"/>
          </w:tcPr>
          <w:p w14:paraId="475F8270"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567" w:type="dxa"/>
            <w:gridSpan w:val="2"/>
            <w:shd w:val="clear" w:color="auto" w:fill="FFFFFF"/>
            <w:vAlign w:val="center"/>
          </w:tcPr>
          <w:p w14:paraId="361BDC3A"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567" w:type="dxa"/>
            <w:shd w:val="clear" w:color="auto" w:fill="FFFFFF"/>
            <w:vAlign w:val="center"/>
          </w:tcPr>
          <w:p w14:paraId="65DC793B"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595" w:type="dxa"/>
            <w:gridSpan w:val="2"/>
            <w:shd w:val="clear" w:color="auto" w:fill="FFFFFF"/>
            <w:vAlign w:val="center"/>
          </w:tcPr>
          <w:p w14:paraId="5623B64E"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1106" w:type="dxa"/>
            <w:shd w:val="clear" w:color="auto" w:fill="FFFFFF"/>
            <w:vAlign w:val="bottom"/>
          </w:tcPr>
          <w:p w14:paraId="3315C16D"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r>
      <w:tr w:rsidR="006B280A" w:rsidRPr="008B4FE6" w14:paraId="4D76BEF7" w14:textId="77777777" w:rsidTr="00D53FDB">
        <w:trPr>
          <w:trHeight w:val="357"/>
        </w:trPr>
        <w:tc>
          <w:tcPr>
            <w:tcW w:w="2833" w:type="dxa"/>
            <w:gridSpan w:val="4"/>
            <w:shd w:val="clear" w:color="auto" w:fill="FFFFFF"/>
            <w:vAlign w:val="center"/>
          </w:tcPr>
          <w:p w14:paraId="7443365B" w14:textId="77777777" w:rsidR="006B280A" w:rsidRPr="006B280A" w:rsidRDefault="006B280A" w:rsidP="006B280A">
            <w:pPr>
              <w:spacing w:line="240" w:lineRule="auto"/>
              <w:rPr>
                <w:rFonts w:ascii="Times New Roman" w:hAnsi="Times New Roman"/>
                <w:color w:val="000000"/>
              </w:rPr>
            </w:pPr>
            <w:r w:rsidRPr="006B280A">
              <w:rPr>
                <w:rFonts w:ascii="Times New Roman" w:hAnsi="Times New Roman"/>
                <w:color w:val="000000"/>
              </w:rPr>
              <w:t>pozostałe jednostki -</w:t>
            </w:r>
          </w:p>
        </w:tc>
        <w:tc>
          <w:tcPr>
            <w:tcW w:w="712" w:type="dxa"/>
            <w:shd w:val="clear" w:color="auto" w:fill="FFFFFF"/>
            <w:vAlign w:val="center"/>
          </w:tcPr>
          <w:p w14:paraId="518940D0"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705" w:type="dxa"/>
            <w:gridSpan w:val="2"/>
            <w:shd w:val="clear" w:color="auto" w:fill="FFFFFF"/>
            <w:vAlign w:val="center"/>
          </w:tcPr>
          <w:p w14:paraId="198839DE"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709" w:type="dxa"/>
            <w:shd w:val="clear" w:color="auto" w:fill="FFFFFF"/>
            <w:vAlign w:val="center"/>
          </w:tcPr>
          <w:p w14:paraId="1A20A602"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712" w:type="dxa"/>
            <w:shd w:val="clear" w:color="auto" w:fill="FFFFFF"/>
            <w:vAlign w:val="center"/>
          </w:tcPr>
          <w:p w14:paraId="718D6295"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596" w:type="dxa"/>
            <w:gridSpan w:val="2"/>
            <w:shd w:val="clear" w:color="auto" w:fill="FFFFFF"/>
            <w:vAlign w:val="center"/>
          </w:tcPr>
          <w:p w14:paraId="580BCF62"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680" w:type="dxa"/>
            <w:gridSpan w:val="3"/>
            <w:shd w:val="clear" w:color="auto" w:fill="FFFFFF"/>
            <w:vAlign w:val="center"/>
          </w:tcPr>
          <w:p w14:paraId="581FDA1C"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567" w:type="dxa"/>
            <w:gridSpan w:val="2"/>
            <w:shd w:val="clear" w:color="auto" w:fill="FFFFFF"/>
            <w:vAlign w:val="center"/>
          </w:tcPr>
          <w:p w14:paraId="58FF5982"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567" w:type="dxa"/>
            <w:gridSpan w:val="3"/>
            <w:shd w:val="clear" w:color="auto" w:fill="FFFFFF"/>
            <w:vAlign w:val="center"/>
          </w:tcPr>
          <w:p w14:paraId="5719BB4C"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567" w:type="dxa"/>
            <w:gridSpan w:val="2"/>
            <w:shd w:val="clear" w:color="auto" w:fill="FFFFFF"/>
            <w:vAlign w:val="center"/>
          </w:tcPr>
          <w:p w14:paraId="1133421B"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567" w:type="dxa"/>
            <w:shd w:val="clear" w:color="auto" w:fill="FFFFFF"/>
            <w:vAlign w:val="center"/>
          </w:tcPr>
          <w:p w14:paraId="767BC412"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595" w:type="dxa"/>
            <w:gridSpan w:val="2"/>
            <w:shd w:val="clear" w:color="auto" w:fill="FFFFFF"/>
            <w:vAlign w:val="center"/>
          </w:tcPr>
          <w:p w14:paraId="051DE493"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c>
          <w:tcPr>
            <w:tcW w:w="1106" w:type="dxa"/>
            <w:shd w:val="clear" w:color="auto" w:fill="FFFFFF"/>
            <w:vAlign w:val="bottom"/>
          </w:tcPr>
          <w:p w14:paraId="66D67C98" w14:textId="77777777" w:rsidR="006B280A" w:rsidRPr="00864616" w:rsidRDefault="006B280A" w:rsidP="00CB5E45">
            <w:pPr>
              <w:jc w:val="center"/>
              <w:rPr>
                <w:rFonts w:ascii="Times New Roman" w:hAnsi="Times New Roman"/>
                <w:sz w:val="20"/>
                <w:szCs w:val="20"/>
              </w:rPr>
            </w:pPr>
            <w:r w:rsidRPr="00864616">
              <w:rPr>
                <w:rFonts w:ascii="Times New Roman" w:hAnsi="Times New Roman"/>
                <w:sz w:val="20"/>
                <w:szCs w:val="20"/>
              </w:rPr>
              <w:t>0</w:t>
            </w:r>
          </w:p>
        </w:tc>
      </w:tr>
      <w:tr w:rsidR="004960A2" w:rsidRPr="008B4FE6" w14:paraId="7C4E355A" w14:textId="77777777" w:rsidTr="006E49F8">
        <w:trPr>
          <w:trHeight w:val="348"/>
        </w:trPr>
        <w:tc>
          <w:tcPr>
            <w:tcW w:w="2238" w:type="dxa"/>
            <w:gridSpan w:val="2"/>
            <w:shd w:val="clear" w:color="auto" w:fill="FFFFFF"/>
            <w:vAlign w:val="center"/>
          </w:tcPr>
          <w:p w14:paraId="5F88EB36" w14:textId="77777777" w:rsidR="004960A2" w:rsidRPr="00C53F26" w:rsidRDefault="004960A2" w:rsidP="004960A2">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78" w:type="dxa"/>
            <w:gridSpan w:val="23"/>
            <w:shd w:val="clear" w:color="auto" w:fill="FFFFFF"/>
            <w:vAlign w:val="center"/>
          </w:tcPr>
          <w:p w14:paraId="22B45C86" w14:textId="794F4319" w:rsidR="004960A2" w:rsidRPr="005D34C8" w:rsidRDefault="00411BAB" w:rsidP="004960A2">
            <w:pPr>
              <w:tabs>
                <w:tab w:val="left" w:pos="540"/>
              </w:tabs>
              <w:overflowPunct w:val="0"/>
              <w:autoSpaceDE w:val="0"/>
              <w:autoSpaceDN w:val="0"/>
              <w:spacing w:line="240" w:lineRule="auto"/>
              <w:jc w:val="both"/>
              <w:rPr>
                <w:rFonts w:ascii="Times New Roman" w:eastAsia="Times New Roman" w:hAnsi="Times New Roman"/>
                <w:lang w:eastAsia="pl-PL"/>
              </w:rPr>
            </w:pPr>
            <w:r>
              <w:rPr>
                <w:rFonts w:ascii="Times New Roman" w:eastAsia="Times New Roman" w:hAnsi="Times New Roman"/>
                <w:lang w:eastAsia="pl-PL"/>
              </w:rPr>
              <w:t>Zostanie utrzymane finansowanie zadań związanych z akredytacją w ochronie zdrowia z b</w:t>
            </w:r>
            <w:r w:rsidR="004960A2" w:rsidRPr="005D34C8">
              <w:rPr>
                <w:rFonts w:ascii="Times New Roman" w:eastAsia="Times New Roman" w:hAnsi="Times New Roman"/>
                <w:lang w:eastAsia="pl-PL"/>
              </w:rPr>
              <w:t>udżet</w:t>
            </w:r>
            <w:r>
              <w:rPr>
                <w:rFonts w:ascii="Times New Roman" w:eastAsia="Times New Roman" w:hAnsi="Times New Roman"/>
                <w:lang w:eastAsia="pl-PL"/>
              </w:rPr>
              <w:t>u</w:t>
            </w:r>
            <w:r w:rsidR="004960A2" w:rsidRPr="005D34C8">
              <w:rPr>
                <w:rFonts w:ascii="Times New Roman" w:eastAsia="Times New Roman" w:hAnsi="Times New Roman"/>
                <w:lang w:eastAsia="pl-PL"/>
              </w:rPr>
              <w:t xml:space="preserve"> państwa</w:t>
            </w:r>
            <w:r w:rsidR="00D53FDB">
              <w:rPr>
                <w:rFonts w:ascii="Times New Roman" w:eastAsia="Times New Roman" w:hAnsi="Times New Roman"/>
                <w:lang w:eastAsia="pl-PL"/>
              </w:rPr>
              <w:t>. Z</w:t>
            </w:r>
            <w:r>
              <w:rPr>
                <w:rFonts w:ascii="Times New Roman" w:eastAsia="Times New Roman" w:hAnsi="Times New Roman"/>
                <w:lang w:eastAsia="pl-PL"/>
              </w:rPr>
              <w:t>adania związane z autoryzacją zostaną sfinansowane ze środków własnych NFZ</w:t>
            </w:r>
            <w:r w:rsidR="00D53FDB">
              <w:rPr>
                <w:rFonts w:ascii="Times New Roman" w:eastAsia="Times New Roman" w:hAnsi="Times New Roman"/>
                <w:lang w:eastAsia="pl-PL"/>
              </w:rPr>
              <w:t>.</w:t>
            </w:r>
            <w:r>
              <w:rPr>
                <w:rFonts w:ascii="Times New Roman" w:eastAsia="Times New Roman" w:hAnsi="Times New Roman"/>
                <w:lang w:eastAsia="pl-PL"/>
              </w:rPr>
              <w:t xml:space="preserve"> </w:t>
            </w:r>
            <w:r w:rsidR="00D53FDB">
              <w:rPr>
                <w:rFonts w:ascii="Times New Roman" w:eastAsia="Times New Roman" w:hAnsi="Times New Roman"/>
                <w:lang w:eastAsia="pl-PL"/>
              </w:rPr>
              <w:t>W</w:t>
            </w:r>
            <w:r w:rsidR="004960A2" w:rsidRPr="005D34C8">
              <w:rPr>
                <w:rFonts w:ascii="Times New Roman" w:eastAsia="Times New Roman" w:hAnsi="Times New Roman"/>
                <w:lang w:eastAsia="pl-PL"/>
              </w:rPr>
              <w:t>pływy do Funduszu Kompensacyjny Zdarzeń Medycznych</w:t>
            </w:r>
            <w:r>
              <w:rPr>
                <w:rFonts w:ascii="Times New Roman" w:eastAsia="Times New Roman" w:hAnsi="Times New Roman"/>
                <w:lang w:eastAsia="pl-PL"/>
              </w:rPr>
              <w:t xml:space="preserve"> i jego obsługa przez R</w:t>
            </w:r>
            <w:r w:rsidR="00D53FDB">
              <w:rPr>
                <w:rFonts w:ascii="Times New Roman" w:eastAsia="Times New Roman" w:hAnsi="Times New Roman"/>
                <w:lang w:eastAsia="pl-PL"/>
              </w:rPr>
              <w:t xml:space="preserve">zecznika </w:t>
            </w:r>
            <w:r>
              <w:rPr>
                <w:rFonts w:ascii="Times New Roman" w:eastAsia="Times New Roman" w:hAnsi="Times New Roman"/>
                <w:lang w:eastAsia="pl-PL"/>
              </w:rPr>
              <w:t>P</w:t>
            </w:r>
            <w:r w:rsidR="00D53FDB">
              <w:rPr>
                <w:rFonts w:ascii="Times New Roman" w:eastAsia="Times New Roman" w:hAnsi="Times New Roman"/>
                <w:lang w:eastAsia="pl-PL"/>
              </w:rPr>
              <w:t xml:space="preserve">raw </w:t>
            </w:r>
            <w:r>
              <w:rPr>
                <w:rFonts w:ascii="Times New Roman" w:eastAsia="Times New Roman" w:hAnsi="Times New Roman"/>
                <w:lang w:eastAsia="pl-PL"/>
              </w:rPr>
              <w:t>P</w:t>
            </w:r>
            <w:r w:rsidR="00D53FDB">
              <w:rPr>
                <w:rFonts w:ascii="Times New Roman" w:eastAsia="Times New Roman" w:hAnsi="Times New Roman"/>
                <w:lang w:eastAsia="pl-PL"/>
              </w:rPr>
              <w:t>acjenta</w:t>
            </w:r>
            <w:r>
              <w:rPr>
                <w:rFonts w:ascii="Times New Roman" w:eastAsia="Times New Roman" w:hAnsi="Times New Roman"/>
                <w:lang w:eastAsia="pl-PL"/>
              </w:rPr>
              <w:t xml:space="preserve"> zostanie sfinansowana z </w:t>
            </w:r>
            <w:r w:rsidR="000A6330" w:rsidRPr="000A6330">
              <w:rPr>
                <w:rFonts w:ascii="Times New Roman" w:hAnsi="Times New Roman"/>
              </w:rPr>
              <w:t>odpis</w:t>
            </w:r>
            <w:r w:rsidR="00412B67">
              <w:rPr>
                <w:rFonts w:ascii="Times New Roman" w:hAnsi="Times New Roman"/>
              </w:rPr>
              <w:t>u</w:t>
            </w:r>
            <w:r w:rsidR="000A6330" w:rsidRPr="000A6330">
              <w:rPr>
                <w:rFonts w:ascii="Times New Roman" w:hAnsi="Times New Roman"/>
              </w:rPr>
              <w:t xml:space="preserve"> z przychodów z tytułu składek na ubezpieczenie zdrowotne</w:t>
            </w:r>
            <w:r>
              <w:rPr>
                <w:rFonts w:ascii="Times New Roman" w:hAnsi="Times New Roman"/>
              </w:rPr>
              <w:t xml:space="preserve"> oraz z wpływów z tytułu roszczeń regresowych.</w:t>
            </w:r>
          </w:p>
        </w:tc>
      </w:tr>
      <w:tr w:rsidR="004960A2" w:rsidRPr="008B4FE6" w14:paraId="5B2D8DAA" w14:textId="77777777" w:rsidTr="006E49F8">
        <w:trPr>
          <w:trHeight w:val="558"/>
        </w:trPr>
        <w:tc>
          <w:tcPr>
            <w:tcW w:w="2238" w:type="dxa"/>
            <w:gridSpan w:val="2"/>
            <w:shd w:val="clear" w:color="auto" w:fill="FFFFFF"/>
          </w:tcPr>
          <w:p w14:paraId="5F61B222" w14:textId="77777777" w:rsidR="004960A2" w:rsidRPr="00C53F26" w:rsidRDefault="004960A2" w:rsidP="004960A2">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78" w:type="dxa"/>
            <w:gridSpan w:val="23"/>
            <w:shd w:val="clear" w:color="auto" w:fill="FFFFFF"/>
          </w:tcPr>
          <w:p w14:paraId="6E36435D" w14:textId="0BA6CF95" w:rsidR="004960A2" w:rsidRDefault="004960A2" w:rsidP="004960A2">
            <w:pPr>
              <w:spacing w:before="120" w:after="120" w:line="240" w:lineRule="auto"/>
              <w:jc w:val="both"/>
              <w:rPr>
                <w:rFonts w:ascii="Times New Roman" w:eastAsia="Times New Roman" w:hAnsi="Times New Roman"/>
                <w:lang w:eastAsia="pl-PL"/>
              </w:rPr>
            </w:pPr>
            <w:r w:rsidRPr="00B86751">
              <w:rPr>
                <w:rFonts w:ascii="Times New Roman" w:eastAsia="Times New Roman" w:hAnsi="Times New Roman"/>
                <w:lang w:eastAsia="pl-PL"/>
              </w:rPr>
              <w:t xml:space="preserve">Projekt </w:t>
            </w:r>
            <w:r>
              <w:rPr>
                <w:rFonts w:ascii="Times New Roman" w:eastAsia="Times New Roman" w:hAnsi="Times New Roman"/>
                <w:lang w:eastAsia="pl-PL"/>
              </w:rPr>
              <w:t>ustawy</w:t>
            </w:r>
            <w:r w:rsidRPr="00B86751">
              <w:rPr>
                <w:rFonts w:ascii="Times New Roman" w:eastAsia="Times New Roman" w:hAnsi="Times New Roman"/>
                <w:lang w:eastAsia="pl-PL"/>
              </w:rPr>
              <w:t xml:space="preserve"> przewiduje </w:t>
            </w:r>
            <w:r w:rsidRPr="006B2951">
              <w:rPr>
                <w:rFonts w:ascii="Times New Roman" w:eastAsia="Times New Roman" w:hAnsi="Times New Roman"/>
                <w:b/>
                <w:bCs/>
                <w:u w:val="single"/>
                <w:lang w:eastAsia="pl-PL"/>
              </w:rPr>
              <w:t>wprowadzenie autoryzacji podmiotów leczniczych</w:t>
            </w:r>
            <w:r>
              <w:rPr>
                <w:rFonts w:ascii="Times New Roman" w:eastAsia="Times New Roman" w:hAnsi="Times New Roman"/>
                <w:lang w:eastAsia="pl-PL"/>
              </w:rPr>
              <w:t xml:space="preserve"> wykonujących działalność leczniczą rodzaju świadczenia szpitalne. Zadania te będą realizowane przez Narodowy Fundusz Zdrowia.</w:t>
            </w:r>
            <w:r w:rsidR="003D7FED">
              <w:rPr>
                <w:rFonts w:ascii="Times New Roman" w:eastAsia="Times New Roman" w:hAnsi="Times New Roman"/>
                <w:lang w:eastAsia="pl-PL"/>
              </w:rPr>
              <w:t xml:space="preserve"> </w:t>
            </w:r>
            <w:r w:rsidRPr="005D34C8">
              <w:rPr>
                <w:rFonts w:ascii="Times New Roman" w:eastAsia="Times New Roman" w:hAnsi="Times New Roman"/>
                <w:lang w:eastAsia="pl-PL"/>
              </w:rPr>
              <w:t>W związku</w:t>
            </w:r>
            <w:r w:rsidR="00A16D02">
              <w:rPr>
                <w:rFonts w:ascii="Times New Roman" w:eastAsia="Times New Roman" w:hAnsi="Times New Roman"/>
                <w:lang w:eastAsia="pl-PL"/>
              </w:rPr>
              <w:t xml:space="preserve"> z</w:t>
            </w:r>
            <w:r w:rsidRPr="005D34C8">
              <w:rPr>
                <w:rFonts w:ascii="Times New Roman" w:eastAsia="Times New Roman" w:hAnsi="Times New Roman"/>
                <w:lang w:eastAsia="pl-PL"/>
              </w:rPr>
              <w:t xml:space="preserve"> nałożeniem nowych zadań na </w:t>
            </w:r>
            <w:r>
              <w:rPr>
                <w:rFonts w:ascii="Times New Roman" w:eastAsia="Times New Roman" w:hAnsi="Times New Roman"/>
                <w:lang w:eastAsia="pl-PL"/>
              </w:rPr>
              <w:t>Narodowy Fundusz Zdrowia</w:t>
            </w:r>
            <w:r w:rsidRPr="005D34C8">
              <w:rPr>
                <w:rFonts w:ascii="Times New Roman" w:eastAsia="Times New Roman" w:hAnsi="Times New Roman"/>
                <w:lang w:eastAsia="pl-PL"/>
              </w:rPr>
              <w:t xml:space="preserve"> konieczne będzie zatrudnienie </w:t>
            </w:r>
            <w:r w:rsidR="00E638B5">
              <w:rPr>
                <w:rFonts w:ascii="Times New Roman" w:eastAsia="Times New Roman" w:hAnsi="Times New Roman"/>
                <w:lang w:eastAsia="pl-PL"/>
              </w:rPr>
              <w:t>36</w:t>
            </w:r>
            <w:r w:rsidRPr="005D34C8">
              <w:rPr>
                <w:rFonts w:ascii="Times New Roman" w:eastAsia="Times New Roman" w:hAnsi="Times New Roman"/>
                <w:lang w:eastAsia="pl-PL"/>
              </w:rPr>
              <w:t xml:space="preserve"> pra</w:t>
            </w:r>
            <w:r>
              <w:rPr>
                <w:rFonts w:ascii="Times New Roman" w:eastAsia="Times New Roman" w:hAnsi="Times New Roman"/>
                <w:lang w:eastAsia="pl-PL"/>
              </w:rPr>
              <w:t xml:space="preserve">cowników (po </w:t>
            </w:r>
            <w:r w:rsidR="00E638B5">
              <w:rPr>
                <w:rFonts w:ascii="Times New Roman" w:eastAsia="Times New Roman" w:hAnsi="Times New Roman"/>
                <w:lang w:eastAsia="pl-PL"/>
              </w:rPr>
              <w:t>2</w:t>
            </w:r>
            <w:r>
              <w:rPr>
                <w:rFonts w:ascii="Times New Roman" w:eastAsia="Times New Roman" w:hAnsi="Times New Roman"/>
                <w:lang w:eastAsia="pl-PL"/>
              </w:rPr>
              <w:t xml:space="preserve"> w każdym z Oddziałów Wojewódzkich NFZ oraz 4 w Centrali NFZ).</w:t>
            </w:r>
            <w:r w:rsidR="003D7FED">
              <w:rPr>
                <w:rFonts w:ascii="Times New Roman" w:eastAsia="Times New Roman" w:hAnsi="Times New Roman"/>
                <w:lang w:eastAsia="pl-PL"/>
              </w:rPr>
              <w:t xml:space="preserve"> </w:t>
            </w:r>
          </w:p>
          <w:p w14:paraId="32C3450A" w14:textId="77777777" w:rsidR="004960A2" w:rsidRDefault="004960A2"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Dla oszacowania kosztów przyjęto średniomiesięczne wynagrodzenie </w:t>
            </w:r>
            <w:r w:rsidR="00E638B5">
              <w:rPr>
                <w:rFonts w:ascii="Times New Roman" w:eastAsia="Times New Roman" w:hAnsi="Times New Roman"/>
                <w:lang w:eastAsia="pl-PL"/>
              </w:rPr>
              <w:t xml:space="preserve">pracowników administracyjnych Narodowego Fundusz Zdrowia </w:t>
            </w:r>
            <w:r>
              <w:rPr>
                <w:rFonts w:ascii="Times New Roman" w:eastAsia="Times New Roman" w:hAnsi="Times New Roman"/>
                <w:lang w:eastAsia="pl-PL"/>
              </w:rPr>
              <w:t>w 2020 r. wynoszące</w:t>
            </w:r>
            <w:r w:rsidR="00E638B5">
              <w:rPr>
                <w:rFonts w:ascii="Times New Roman" w:eastAsia="Times New Roman" w:hAnsi="Times New Roman"/>
                <w:lang w:eastAsia="pl-PL"/>
              </w:rPr>
              <w:t xml:space="preserve"> </w:t>
            </w:r>
            <w:r w:rsidR="00E638B5" w:rsidRPr="00E638B5">
              <w:rPr>
                <w:rFonts w:ascii="Times New Roman" w:eastAsia="Times New Roman" w:hAnsi="Times New Roman"/>
                <w:lang w:eastAsia="pl-PL"/>
              </w:rPr>
              <w:t>7</w:t>
            </w:r>
            <w:r w:rsidR="00E638B5">
              <w:rPr>
                <w:rFonts w:ascii="Times New Roman" w:eastAsia="Times New Roman" w:hAnsi="Times New Roman"/>
                <w:lang w:eastAsia="pl-PL"/>
              </w:rPr>
              <w:t xml:space="preserve"> </w:t>
            </w:r>
            <w:r w:rsidR="00E638B5" w:rsidRPr="00E638B5">
              <w:rPr>
                <w:rFonts w:ascii="Times New Roman" w:eastAsia="Times New Roman" w:hAnsi="Times New Roman"/>
                <w:lang w:eastAsia="pl-PL"/>
              </w:rPr>
              <w:t>685 zł na etat</w:t>
            </w:r>
            <w:r>
              <w:rPr>
                <w:rFonts w:ascii="Times New Roman" w:eastAsia="Times New Roman" w:hAnsi="Times New Roman"/>
                <w:lang w:eastAsia="pl-PL"/>
              </w:rPr>
              <w:t xml:space="preserve"> oraz przyjęto 2,5% roczny wzrost wynagrodzenia od 2022 r.</w:t>
            </w:r>
            <w:r w:rsidR="00EB278E">
              <w:rPr>
                <w:rFonts w:ascii="Times New Roman" w:eastAsia="Times New Roman" w:hAnsi="Times New Roman"/>
                <w:lang w:eastAsia="pl-PL"/>
              </w:rPr>
              <w:t xml:space="preserve"> </w:t>
            </w:r>
            <w:r w:rsidR="0027649F">
              <w:rPr>
                <w:rFonts w:ascii="Times New Roman" w:eastAsia="Times New Roman" w:hAnsi="Times New Roman"/>
                <w:lang w:eastAsia="pl-PL"/>
              </w:rPr>
              <w:t>do 2024 r.</w:t>
            </w:r>
            <w:r w:rsidR="00485A2E">
              <w:rPr>
                <w:rFonts w:ascii="Times New Roman" w:eastAsia="Times New Roman" w:hAnsi="Times New Roman"/>
                <w:lang w:eastAsia="pl-PL"/>
              </w:rPr>
              <w:t>,</w:t>
            </w:r>
            <w:r w:rsidR="0027649F">
              <w:rPr>
                <w:rFonts w:ascii="Times New Roman" w:eastAsia="Times New Roman" w:hAnsi="Times New Roman"/>
                <w:lang w:eastAsia="pl-PL"/>
              </w:rPr>
              <w:t xml:space="preserve"> </w:t>
            </w:r>
            <w:r w:rsidR="00EB278E" w:rsidRPr="00EB278E">
              <w:rPr>
                <w:rFonts w:ascii="Times New Roman" w:eastAsia="Times New Roman" w:hAnsi="Times New Roman"/>
                <w:lang w:eastAsia="pl-PL"/>
              </w:rPr>
              <w:t>zgodnie z założeniami dla wskaźnika CPI, określanego przez Ministra Finansów w „Wytycznych dotyczących stosowania jednolitych wskaźników makroekonomicznych będących podstawą oszacowania skutków finansowych projektowanych ustaw”.</w:t>
            </w:r>
          </w:p>
          <w:p w14:paraId="083C6D06" w14:textId="1ACFC1FE" w:rsidR="00E638B5" w:rsidRDefault="00E638B5" w:rsidP="000A6330">
            <w:pPr>
              <w:spacing w:before="120" w:after="120" w:line="240" w:lineRule="auto"/>
              <w:jc w:val="both"/>
              <w:rPr>
                <w:rFonts w:ascii="Times New Roman" w:eastAsia="Times New Roman" w:hAnsi="Times New Roman"/>
                <w:lang w:eastAsia="pl-PL"/>
              </w:rPr>
            </w:pPr>
            <w:r w:rsidRPr="00884780">
              <w:rPr>
                <w:rFonts w:ascii="Times New Roman" w:eastAsia="Times New Roman" w:hAnsi="Times New Roman"/>
                <w:lang w:eastAsia="pl-PL"/>
              </w:rPr>
              <w:t>Ponadto należy uwzględnić jednorazowy koszt utworzenia miejsca pracy 10 000: zł, co daj</w:t>
            </w:r>
            <w:r w:rsidR="00884780">
              <w:rPr>
                <w:rFonts w:ascii="Times New Roman" w:eastAsia="Times New Roman" w:hAnsi="Times New Roman"/>
                <w:lang w:eastAsia="pl-PL"/>
              </w:rPr>
              <w:t>e</w:t>
            </w:r>
            <w:r w:rsidRPr="00884780">
              <w:rPr>
                <w:rFonts w:ascii="Times New Roman" w:eastAsia="Times New Roman" w:hAnsi="Times New Roman"/>
                <w:lang w:eastAsia="pl-PL"/>
              </w:rPr>
              <w:t xml:space="preserve"> łącznie 360 000 zł oraz jego utrzymanie </w:t>
            </w:r>
            <w:r w:rsidR="0027649F">
              <w:rPr>
                <w:rFonts w:ascii="Times New Roman" w:eastAsia="Times New Roman" w:hAnsi="Times New Roman"/>
                <w:lang w:eastAsia="pl-PL"/>
              </w:rPr>
              <w:t>wynoszące rocznie 3000 zł co daje łącznie 108 000 zł rocznie</w:t>
            </w:r>
            <w:r w:rsidR="00A16D02">
              <w:rPr>
                <w:rFonts w:ascii="Times New Roman" w:eastAsia="Times New Roman" w:hAnsi="Times New Roman"/>
                <w:lang w:eastAsia="pl-PL"/>
              </w:rPr>
              <w:t>.</w:t>
            </w:r>
          </w:p>
          <w:p w14:paraId="112F313C" w14:textId="08C6D96F" w:rsidR="004960A2" w:rsidRPr="00305AF7" w:rsidRDefault="00D53FDB"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W</w:t>
            </w:r>
            <w:r w:rsidR="003D7FED">
              <w:rPr>
                <w:rFonts w:ascii="Times New Roman" w:eastAsia="Times New Roman" w:hAnsi="Times New Roman"/>
                <w:lang w:eastAsia="pl-PL"/>
              </w:rPr>
              <w:t xml:space="preserve"> związku z </w:t>
            </w:r>
            <w:r>
              <w:rPr>
                <w:rFonts w:ascii="Times New Roman" w:eastAsia="Times New Roman" w:hAnsi="Times New Roman"/>
                <w:lang w:eastAsia="pl-PL"/>
              </w:rPr>
              <w:t>roz</w:t>
            </w:r>
            <w:r w:rsidR="003D7FED">
              <w:rPr>
                <w:rFonts w:ascii="Times New Roman" w:eastAsia="Times New Roman" w:hAnsi="Times New Roman"/>
                <w:lang w:eastAsia="pl-PL"/>
              </w:rPr>
              <w:t xml:space="preserve">szerzeniem zadań NFZ niezbędne będzie zabezpieczenie środków na dodatkowe </w:t>
            </w:r>
            <w:r w:rsidR="004960A2" w:rsidRPr="00305AF7">
              <w:rPr>
                <w:rFonts w:ascii="Times New Roman" w:eastAsia="Times New Roman" w:hAnsi="Times New Roman"/>
                <w:lang w:eastAsia="pl-PL"/>
              </w:rPr>
              <w:t>koszt</w:t>
            </w:r>
            <w:r w:rsidR="003D7FED">
              <w:rPr>
                <w:rFonts w:ascii="Times New Roman" w:eastAsia="Times New Roman" w:hAnsi="Times New Roman"/>
                <w:lang w:eastAsia="pl-PL"/>
              </w:rPr>
              <w:t xml:space="preserve">y funkcjonowania NFZ </w:t>
            </w:r>
            <w:r w:rsidR="004960A2">
              <w:rPr>
                <w:rFonts w:ascii="Times New Roman" w:eastAsia="Times New Roman" w:hAnsi="Times New Roman"/>
                <w:lang w:eastAsia="pl-PL"/>
              </w:rPr>
              <w:t>związane z wprowadzeniem autoryzacji wyniosą w poszczególnych latach</w:t>
            </w:r>
            <w:r w:rsidR="004960A2" w:rsidRPr="00305AF7">
              <w:rPr>
                <w:rFonts w:ascii="Times New Roman" w:eastAsia="Times New Roman" w:hAnsi="Times New Roman"/>
                <w:lang w:eastAsia="pl-PL"/>
              </w:rPr>
              <w:t>:</w:t>
            </w:r>
          </w:p>
          <w:p w14:paraId="5A808B29" w14:textId="77777777" w:rsidR="004960A2" w:rsidRPr="00305AF7" w:rsidRDefault="004960A2" w:rsidP="004960A2">
            <w:pPr>
              <w:spacing w:before="120" w:after="120" w:line="240" w:lineRule="auto"/>
              <w:jc w:val="both"/>
              <w:rPr>
                <w:rFonts w:ascii="Times New Roman" w:eastAsia="Times New Roman" w:hAnsi="Times New Roman"/>
                <w:lang w:eastAsia="pl-PL"/>
              </w:rPr>
            </w:pPr>
            <w:r w:rsidRPr="00305AF7">
              <w:rPr>
                <w:rFonts w:ascii="Times New Roman" w:eastAsia="Times New Roman" w:hAnsi="Times New Roman"/>
                <w:lang w:eastAsia="pl-PL"/>
              </w:rPr>
              <w:t xml:space="preserve">- </w:t>
            </w:r>
            <w:r w:rsidR="003F2603">
              <w:rPr>
                <w:rFonts w:ascii="Times New Roman" w:eastAsia="Times New Roman" w:hAnsi="Times New Roman"/>
                <w:lang w:eastAsia="pl-PL"/>
              </w:rPr>
              <w:t>3</w:t>
            </w:r>
            <w:r w:rsidR="00CF6E4E">
              <w:rPr>
                <w:rFonts w:ascii="Times New Roman" w:eastAsia="Times New Roman" w:hAnsi="Times New Roman"/>
                <w:lang w:eastAsia="pl-PL"/>
              </w:rPr>
              <w:t> 679 920</w:t>
            </w:r>
            <w:r w:rsidR="003F2603">
              <w:rPr>
                <w:rFonts w:ascii="Times New Roman" w:eastAsia="Times New Roman" w:hAnsi="Times New Roman"/>
                <w:lang w:eastAsia="pl-PL"/>
              </w:rPr>
              <w:t xml:space="preserve"> zł </w:t>
            </w:r>
            <w:r w:rsidRPr="00305AF7">
              <w:rPr>
                <w:rFonts w:ascii="Times New Roman" w:eastAsia="Times New Roman" w:hAnsi="Times New Roman"/>
                <w:lang w:eastAsia="pl-PL"/>
              </w:rPr>
              <w:t>w 2022 r.,</w:t>
            </w:r>
          </w:p>
          <w:p w14:paraId="10677EDC" w14:textId="77777777" w:rsidR="004960A2" w:rsidRPr="00305AF7" w:rsidRDefault="004960A2" w:rsidP="004960A2">
            <w:pPr>
              <w:spacing w:before="120" w:after="120" w:line="240" w:lineRule="auto"/>
              <w:jc w:val="both"/>
              <w:rPr>
                <w:rFonts w:ascii="Times New Roman" w:eastAsia="Times New Roman" w:hAnsi="Times New Roman"/>
                <w:lang w:eastAsia="pl-PL"/>
              </w:rPr>
            </w:pPr>
            <w:r w:rsidRPr="00305AF7">
              <w:rPr>
                <w:rFonts w:ascii="Times New Roman" w:eastAsia="Times New Roman" w:hAnsi="Times New Roman"/>
                <w:lang w:eastAsia="pl-PL"/>
              </w:rPr>
              <w:t xml:space="preserve">- </w:t>
            </w:r>
            <w:r w:rsidR="003F2603">
              <w:rPr>
                <w:rFonts w:ascii="Times New Roman" w:eastAsia="Times New Roman" w:hAnsi="Times New Roman"/>
                <w:lang w:eastAsia="pl-PL"/>
              </w:rPr>
              <w:t>3 510 918</w:t>
            </w:r>
            <w:r w:rsidRPr="00305AF7">
              <w:rPr>
                <w:rFonts w:ascii="Times New Roman" w:eastAsia="Times New Roman" w:hAnsi="Times New Roman"/>
                <w:lang w:eastAsia="pl-PL"/>
              </w:rPr>
              <w:t xml:space="preserve"> zł w 2023 r.,</w:t>
            </w:r>
          </w:p>
          <w:p w14:paraId="6D7A8507" w14:textId="77777777" w:rsidR="004960A2" w:rsidRDefault="004960A2" w:rsidP="004960A2">
            <w:pPr>
              <w:spacing w:before="120" w:after="120" w:line="240" w:lineRule="auto"/>
              <w:jc w:val="both"/>
              <w:rPr>
                <w:rFonts w:ascii="Times New Roman" w:eastAsia="Times New Roman" w:hAnsi="Times New Roman"/>
                <w:lang w:eastAsia="pl-PL"/>
              </w:rPr>
            </w:pPr>
            <w:r w:rsidRPr="00305AF7">
              <w:rPr>
                <w:rFonts w:ascii="Times New Roman" w:eastAsia="Times New Roman" w:hAnsi="Times New Roman"/>
                <w:lang w:eastAsia="pl-PL"/>
              </w:rPr>
              <w:t xml:space="preserve">- </w:t>
            </w:r>
            <w:r w:rsidR="003F2603">
              <w:rPr>
                <w:rFonts w:ascii="Times New Roman" w:eastAsia="Times New Roman" w:hAnsi="Times New Roman"/>
                <w:lang w:eastAsia="pl-PL"/>
              </w:rPr>
              <w:t>3 59</w:t>
            </w:r>
            <w:r w:rsidR="007174B4">
              <w:rPr>
                <w:rFonts w:ascii="Times New Roman" w:eastAsia="Times New Roman" w:hAnsi="Times New Roman"/>
                <w:lang w:eastAsia="pl-PL"/>
              </w:rPr>
              <w:t>5</w:t>
            </w:r>
            <w:r w:rsidR="003F2603">
              <w:rPr>
                <w:rFonts w:ascii="Times New Roman" w:eastAsia="Times New Roman" w:hAnsi="Times New Roman"/>
                <w:lang w:eastAsia="pl-PL"/>
              </w:rPr>
              <w:t xml:space="preserve"> </w:t>
            </w:r>
            <w:r w:rsidR="007174B4">
              <w:rPr>
                <w:rFonts w:ascii="Times New Roman" w:eastAsia="Times New Roman" w:hAnsi="Times New Roman"/>
                <w:lang w:eastAsia="pl-PL"/>
              </w:rPr>
              <w:t>991</w:t>
            </w:r>
            <w:r w:rsidRPr="00305AF7">
              <w:rPr>
                <w:rFonts w:ascii="Times New Roman" w:eastAsia="Times New Roman" w:hAnsi="Times New Roman"/>
                <w:lang w:eastAsia="pl-PL"/>
              </w:rPr>
              <w:t xml:space="preserve"> zł 2024 r.</w:t>
            </w:r>
          </w:p>
          <w:p w14:paraId="104E45D9" w14:textId="77777777" w:rsidR="004960A2" w:rsidRDefault="004960A2"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3 595 991</w:t>
            </w:r>
            <w:r w:rsidR="007174B4" w:rsidRPr="00305AF7">
              <w:rPr>
                <w:rFonts w:ascii="Times New Roman" w:eastAsia="Times New Roman" w:hAnsi="Times New Roman"/>
                <w:lang w:eastAsia="pl-PL"/>
              </w:rPr>
              <w:t xml:space="preserve"> </w:t>
            </w:r>
            <w:r w:rsidR="003F2603">
              <w:rPr>
                <w:rFonts w:ascii="Times New Roman" w:eastAsia="Times New Roman" w:hAnsi="Times New Roman"/>
                <w:lang w:eastAsia="pl-PL"/>
              </w:rPr>
              <w:t xml:space="preserve">zł w </w:t>
            </w:r>
            <w:r w:rsidR="003F2603" w:rsidRPr="00305AF7">
              <w:rPr>
                <w:rFonts w:ascii="Times New Roman" w:eastAsia="Times New Roman" w:hAnsi="Times New Roman"/>
                <w:lang w:eastAsia="pl-PL"/>
              </w:rPr>
              <w:t xml:space="preserve"> </w:t>
            </w:r>
            <w:r>
              <w:rPr>
                <w:rFonts w:ascii="Times New Roman" w:eastAsia="Times New Roman" w:hAnsi="Times New Roman"/>
                <w:lang w:eastAsia="pl-PL"/>
              </w:rPr>
              <w:t>2025 r.</w:t>
            </w:r>
          </w:p>
          <w:p w14:paraId="25DA4351" w14:textId="77777777" w:rsidR="004960A2" w:rsidRDefault="003F2603"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3 595 991</w:t>
            </w:r>
            <w:r w:rsidR="007174B4" w:rsidRPr="00305AF7">
              <w:rPr>
                <w:rFonts w:ascii="Times New Roman" w:eastAsia="Times New Roman" w:hAnsi="Times New Roman"/>
                <w:lang w:eastAsia="pl-PL"/>
              </w:rPr>
              <w:t xml:space="preserve"> </w:t>
            </w:r>
            <w:r>
              <w:rPr>
                <w:rFonts w:ascii="Times New Roman" w:eastAsia="Times New Roman" w:hAnsi="Times New Roman"/>
                <w:lang w:eastAsia="pl-PL"/>
              </w:rPr>
              <w:t xml:space="preserve">zł w </w:t>
            </w:r>
            <w:r w:rsidR="004960A2">
              <w:rPr>
                <w:rFonts w:ascii="Times New Roman" w:eastAsia="Times New Roman" w:hAnsi="Times New Roman"/>
                <w:lang w:eastAsia="pl-PL"/>
              </w:rPr>
              <w:t>2026 r.</w:t>
            </w:r>
          </w:p>
          <w:p w14:paraId="415537B8" w14:textId="77777777" w:rsidR="004960A2" w:rsidRDefault="003F2603"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3 595 991</w:t>
            </w:r>
            <w:r w:rsidR="007174B4" w:rsidRPr="00305AF7">
              <w:rPr>
                <w:rFonts w:ascii="Times New Roman" w:eastAsia="Times New Roman" w:hAnsi="Times New Roman"/>
                <w:lang w:eastAsia="pl-PL"/>
              </w:rPr>
              <w:t xml:space="preserve"> </w:t>
            </w:r>
            <w:r>
              <w:rPr>
                <w:rFonts w:ascii="Times New Roman" w:eastAsia="Times New Roman" w:hAnsi="Times New Roman"/>
                <w:lang w:eastAsia="pl-PL"/>
              </w:rPr>
              <w:t xml:space="preserve">zł w </w:t>
            </w:r>
            <w:r w:rsidR="004960A2">
              <w:rPr>
                <w:rFonts w:ascii="Times New Roman" w:eastAsia="Times New Roman" w:hAnsi="Times New Roman"/>
                <w:lang w:eastAsia="pl-PL"/>
              </w:rPr>
              <w:t>2027 r.</w:t>
            </w:r>
          </w:p>
          <w:p w14:paraId="7D4757A5" w14:textId="77777777" w:rsidR="004960A2" w:rsidRDefault="003F2603"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3 595 991</w:t>
            </w:r>
            <w:r w:rsidR="007174B4" w:rsidRPr="00305AF7">
              <w:rPr>
                <w:rFonts w:ascii="Times New Roman" w:eastAsia="Times New Roman" w:hAnsi="Times New Roman"/>
                <w:lang w:eastAsia="pl-PL"/>
              </w:rPr>
              <w:t xml:space="preserve"> </w:t>
            </w:r>
            <w:r>
              <w:rPr>
                <w:rFonts w:ascii="Times New Roman" w:eastAsia="Times New Roman" w:hAnsi="Times New Roman"/>
                <w:lang w:eastAsia="pl-PL"/>
              </w:rPr>
              <w:t xml:space="preserve">zł w </w:t>
            </w:r>
            <w:r w:rsidR="004960A2">
              <w:rPr>
                <w:rFonts w:ascii="Times New Roman" w:eastAsia="Times New Roman" w:hAnsi="Times New Roman"/>
                <w:lang w:eastAsia="pl-PL"/>
              </w:rPr>
              <w:t>2028 r.</w:t>
            </w:r>
          </w:p>
          <w:p w14:paraId="34FA51EC" w14:textId="77777777" w:rsidR="004960A2" w:rsidRDefault="003F2603"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3 595 991</w:t>
            </w:r>
            <w:r w:rsidR="007174B4" w:rsidRPr="00305AF7">
              <w:rPr>
                <w:rFonts w:ascii="Times New Roman" w:eastAsia="Times New Roman" w:hAnsi="Times New Roman"/>
                <w:lang w:eastAsia="pl-PL"/>
              </w:rPr>
              <w:t xml:space="preserve"> </w:t>
            </w:r>
            <w:r>
              <w:rPr>
                <w:rFonts w:ascii="Times New Roman" w:eastAsia="Times New Roman" w:hAnsi="Times New Roman"/>
                <w:lang w:eastAsia="pl-PL"/>
              </w:rPr>
              <w:t xml:space="preserve">zł w </w:t>
            </w:r>
            <w:r w:rsidR="004960A2">
              <w:rPr>
                <w:rFonts w:ascii="Times New Roman" w:eastAsia="Times New Roman" w:hAnsi="Times New Roman"/>
                <w:lang w:eastAsia="pl-PL"/>
              </w:rPr>
              <w:t xml:space="preserve">2030 r. </w:t>
            </w:r>
          </w:p>
          <w:p w14:paraId="0225A3AE" w14:textId="77777777" w:rsidR="004960A2" w:rsidRDefault="003F2603"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3 595 991</w:t>
            </w:r>
            <w:r w:rsidR="007174B4" w:rsidRPr="00305AF7">
              <w:rPr>
                <w:rFonts w:ascii="Times New Roman" w:eastAsia="Times New Roman" w:hAnsi="Times New Roman"/>
                <w:lang w:eastAsia="pl-PL"/>
              </w:rPr>
              <w:t xml:space="preserve"> </w:t>
            </w:r>
            <w:r>
              <w:rPr>
                <w:rFonts w:ascii="Times New Roman" w:eastAsia="Times New Roman" w:hAnsi="Times New Roman"/>
                <w:lang w:eastAsia="pl-PL"/>
              </w:rPr>
              <w:t xml:space="preserve">zł w </w:t>
            </w:r>
            <w:r w:rsidR="004960A2">
              <w:rPr>
                <w:rFonts w:ascii="Times New Roman" w:eastAsia="Times New Roman" w:hAnsi="Times New Roman"/>
                <w:lang w:eastAsia="pl-PL"/>
              </w:rPr>
              <w:t>2031 r.</w:t>
            </w:r>
          </w:p>
          <w:p w14:paraId="7904EE9F" w14:textId="77777777" w:rsidR="004960A2" w:rsidRDefault="003F2603"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3 595 991</w:t>
            </w:r>
            <w:r w:rsidR="007174B4" w:rsidRPr="00305AF7">
              <w:rPr>
                <w:rFonts w:ascii="Times New Roman" w:eastAsia="Times New Roman" w:hAnsi="Times New Roman"/>
                <w:lang w:eastAsia="pl-PL"/>
              </w:rPr>
              <w:t xml:space="preserve"> </w:t>
            </w:r>
            <w:r>
              <w:rPr>
                <w:rFonts w:ascii="Times New Roman" w:eastAsia="Times New Roman" w:hAnsi="Times New Roman"/>
                <w:lang w:eastAsia="pl-PL"/>
              </w:rPr>
              <w:t xml:space="preserve">zł w </w:t>
            </w:r>
            <w:r w:rsidR="004960A2">
              <w:rPr>
                <w:rFonts w:ascii="Times New Roman" w:eastAsia="Times New Roman" w:hAnsi="Times New Roman"/>
                <w:lang w:eastAsia="pl-PL"/>
              </w:rPr>
              <w:t>2032 r.</w:t>
            </w:r>
          </w:p>
          <w:p w14:paraId="4D43549B" w14:textId="77777777" w:rsidR="004960A2" w:rsidRDefault="00B50C49"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3 595 991</w:t>
            </w:r>
            <w:r w:rsidR="007174B4" w:rsidRPr="00305AF7">
              <w:rPr>
                <w:rFonts w:ascii="Times New Roman" w:eastAsia="Times New Roman" w:hAnsi="Times New Roman"/>
                <w:lang w:eastAsia="pl-PL"/>
              </w:rPr>
              <w:t xml:space="preserve"> </w:t>
            </w:r>
            <w:r>
              <w:rPr>
                <w:rFonts w:ascii="Times New Roman" w:eastAsia="Times New Roman" w:hAnsi="Times New Roman"/>
                <w:lang w:eastAsia="pl-PL"/>
              </w:rPr>
              <w:t>zł w 203</w:t>
            </w:r>
            <w:r w:rsidR="00A16D02">
              <w:rPr>
                <w:rFonts w:ascii="Times New Roman" w:eastAsia="Times New Roman" w:hAnsi="Times New Roman"/>
                <w:lang w:eastAsia="pl-PL"/>
              </w:rPr>
              <w:t>3</w:t>
            </w:r>
            <w:r>
              <w:rPr>
                <w:rFonts w:ascii="Times New Roman" w:eastAsia="Times New Roman" w:hAnsi="Times New Roman"/>
                <w:lang w:eastAsia="pl-PL"/>
              </w:rPr>
              <w:t xml:space="preserve"> r.</w:t>
            </w:r>
          </w:p>
          <w:p w14:paraId="2B119F0B" w14:textId="77777777" w:rsidR="004960A2" w:rsidRDefault="004960A2" w:rsidP="004960A2">
            <w:pPr>
              <w:spacing w:before="120" w:after="120" w:line="240" w:lineRule="auto"/>
              <w:jc w:val="both"/>
              <w:rPr>
                <w:rFonts w:ascii="Times New Roman" w:eastAsia="Times New Roman" w:hAnsi="Times New Roman"/>
                <w:lang w:eastAsia="pl-PL"/>
              </w:rPr>
            </w:pPr>
            <w:r w:rsidRPr="006B2951">
              <w:rPr>
                <w:rFonts w:ascii="Times New Roman" w:eastAsia="Times New Roman" w:hAnsi="Times New Roman"/>
                <w:b/>
                <w:bCs/>
                <w:u w:val="single"/>
                <w:lang w:eastAsia="pl-PL"/>
              </w:rPr>
              <w:t>Przejęcie zadań związanych z akredytacją przez N</w:t>
            </w:r>
            <w:r>
              <w:rPr>
                <w:rFonts w:ascii="Times New Roman" w:eastAsia="Times New Roman" w:hAnsi="Times New Roman"/>
                <w:b/>
                <w:bCs/>
                <w:u w:val="single"/>
                <w:lang w:eastAsia="pl-PL"/>
              </w:rPr>
              <w:t xml:space="preserve">arodowy </w:t>
            </w:r>
            <w:r w:rsidRPr="006B2951">
              <w:rPr>
                <w:rFonts w:ascii="Times New Roman" w:eastAsia="Times New Roman" w:hAnsi="Times New Roman"/>
                <w:b/>
                <w:bCs/>
                <w:u w:val="single"/>
                <w:lang w:eastAsia="pl-PL"/>
              </w:rPr>
              <w:t>F</w:t>
            </w:r>
            <w:r>
              <w:rPr>
                <w:rFonts w:ascii="Times New Roman" w:eastAsia="Times New Roman" w:hAnsi="Times New Roman"/>
                <w:b/>
                <w:bCs/>
                <w:u w:val="single"/>
                <w:lang w:eastAsia="pl-PL"/>
              </w:rPr>
              <w:t xml:space="preserve">undusz </w:t>
            </w:r>
            <w:r w:rsidRPr="006B2951">
              <w:rPr>
                <w:rFonts w:ascii="Times New Roman" w:eastAsia="Times New Roman" w:hAnsi="Times New Roman"/>
                <w:b/>
                <w:bCs/>
                <w:u w:val="single"/>
                <w:lang w:eastAsia="pl-PL"/>
              </w:rPr>
              <w:t>Z</w:t>
            </w:r>
            <w:r>
              <w:rPr>
                <w:rFonts w:ascii="Times New Roman" w:eastAsia="Times New Roman" w:hAnsi="Times New Roman"/>
                <w:b/>
                <w:bCs/>
                <w:u w:val="single"/>
                <w:lang w:eastAsia="pl-PL"/>
              </w:rPr>
              <w:t>drowia</w:t>
            </w:r>
            <w:r>
              <w:rPr>
                <w:rFonts w:ascii="Times New Roman" w:eastAsia="Times New Roman" w:hAnsi="Times New Roman"/>
                <w:lang w:eastAsia="pl-PL"/>
              </w:rPr>
              <w:t>:</w:t>
            </w:r>
          </w:p>
          <w:p w14:paraId="5E0F2F94" w14:textId="06AFD3D1" w:rsidR="0027649F" w:rsidRDefault="004960A2"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Dla oszacowania kosztów przyjęto </w:t>
            </w:r>
            <w:r w:rsidR="0027649F">
              <w:rPr>
                <w:rFonts w:ascii="Times New Roman" w:eastAsia="Times New Roman" w:hAnsi="Times New Roman"/>
                <w:lang w:eastAsia="pl-PL"/>
              </w:rPr>
              <w:t>roczny budżet Centrum Monitorowania Jakości w Ochronie Zdrowia wynoszący 4 </w:t>
            </w:r>
            <w:r w:rsidR="007174B4">
              <w:rPr>
                <w:rFonts w:ascii="Times New Roman" w:eastAsia="Times New Roman" w:hAnsi="Times New Roman"/>
                <w:lang w:eastAsia="pl-PL"/>
              </w:rPr>
              <w:t>516</w:t>
            </w:r>
            <w:r w:rsidR="0027649F">
              <w:rPr>
                <w:rFonts w:ascii="Times New Roman" w:eastAsia="Times New Roman" w:hAnsi="Times New Roman"/>
                <w:lang w:eastAsia="pl-PL"/>
              </w:rPr>
              <w:t> </w:t>
            </w:r>
            <w:r w:rsidR="007174B4">
              <w:rPr>
                <w:rFonts w:ascii="Times New Roman" w:eastAsia="Times New Roman" w:hAnsi="Times New Roman"/>
                <w:lang w:eastAsia="pl-PL"/>
              </w:rPr>
              <w:t>000</w:t>
            </w:r>
            <w:r w:rsidR="0027649F">
              <w:rPr>
                <w:rFonts w:ascii="Times New Roman" w:eastAsia="Times New Roman" w:hAnsi="Times New Roman"/>
                <w:lang w:eastAsia="pl-PL"/>
              </w:rPr>
              <w:t xml:space="preserve"> zł w 202</w:t>
            </w:r>
            <w:r w:rsidR="007174B4">
              <w:rPr>
                <w:rFonts w:ascii="Times New Roman" w:eastAsia="Times New Roman" w:hAnsi="Times New Roman"/>
                <w:lang w:eastAsia="pl-PL"/>
              </w:rPr>
              <w:t>1</w:t>
            </w:r>
            <w:r w:rsidR="0027649F">
              <w:rPr>
                <w:rFonts w:ascii="Times New Roman" w:eastAsia="Times New Roman" w:hAnsi="Times New Roman"/>
                <w:lang w:eastAsia="pl-PL"/>
              </w:rPr>
              <w:t xml:space="preserve"> r. Przy czym przyjęto 2,5% roczny wzrost kosztów od 2022 r. do 2024 r. </w:t>
            </w:r>
            <w:r w:rsidR="0027649F" w:rsidRPr="00EB278E">
              <w:rPr>
                <w:rFonts w:ascii="Times New Roman" w:eastAsia="Times New Roman" w:hAnsi="Times New Roman"/>
                <w:lang w:eastAsia="pl-PL"/>
              </w:rPr>
              <w:t>zgodnie z założeniami dla wskaźnika CPI, określanego przez Ministra Finansów w „Wytycznych dotyczących stosowania jednolitych wskaźników makroekonomicznych będących podstawą oszacowania skutków finansowych projektowanych ustaw”.</w:t>
            </w:r>
          </w:p>
          <w:p w14:paraId="4B21B6FF" w14:textId="0AF93F82" w:rsidR="004960A2" w:rsidRPr="00305AF7" w:rsidRDefault="0027649F"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W powyższych kosztach uwzględniono koszty </w:t>
            </w:r>
            <w:r w:rsidR="004960A2">
              <w:rPr>
                <w:rFonts w:ascii="Times New Roman" w:eastAsia="Times New Roman" w:hAnsi="Times New Roman"/>
                <w:lang w:eastAsia="pl-PL"/>
              </w:rPr>
              <w:t>średniomiesięczne</w:t>
            </w:r>
            <w:r>
              <w:rPr>
                <w:rFonts w:ascii="Times New Roman" w:eastAsia="Times New Roman" w:hAnsi="Times New Roman"/>
                <w:lang w:eastAsia="pl-PL"/>
              </w:rPr>
              <w:t>go</w:t>
            </w:r>
            <w:r w:rsidR="004960A2">
              <w:rPr>
                <w:rFonts w:ascii="Times New Roman" w:eastAsia="Times New Roman" w:hAnsi="Times New Roman"/>
                <w:lang w:eastAsia="pl-PL"/>
              </w:rPr>
              <w:t xml:space="preserve"> wynagrodzenie w Centrum Monitorowania Jakości w Ochronie Zdrowia w 202</w:t>
            </w:r>
            <w:r w:rsidR="007174B4">
              <w:rPr>
                <w:rFonts w:ascii="Times New Roman" w:eastAsia="Times New Roman" w:hAnsi="Times New Roman"/>
                <w:lang w:eastAsia="pl-PL"/>
              </w:rPr>
              <w:t>1</w:t>
            </w:r>
            <w:r w:rsidR="004960A2">
              <w:rPr>
                <w:rFonts w:ascii="Times New Roman" w:eastAsia="Times New Roman" w:hAnsi="Times New Roman"/>
                <w:lang w:eastAsia="pl-PL"/>
              </w:rPr>
              <w:t xml:space="preserve"> r. wynoszące</w:t>
            </w:r>
            <w:r w:rsidR="000E0BDD">
              <w:rPr>
                <w:rFonts w:ascii="Times New Roman" w:eastAsia="Times New Roman" w:hAnsi="Times New Roman"/>
                <w:lang w:eastAsia="pl-PL"/>
              </w:rPr>
              <w:t xml:space="preserve"> około </w:t>
            </w:r>
            <w:r w:rsidR="007174B4">
              <w:rPr>
                <w:rFonts w:ascii="Times New Roman" w:eastAsia="Times New Roman" w:hAnsi="Times New Roman"/>
                <w:lang w:eastAsia="pl-PL"/>
              </w:rPr>
              <w:t>6350,37</w:t>
            </w:r>
            <w:r w:rsidR="000E0BDD">
              <w:rPr>
                <w:rFonts w:ascii="Times New Roman" w:eastAsia="Times New Roman" w:hAnsi="Times New Roman"/>
                <w:lang w:eastAsia="pl-PL"/>
              </w:rPr>
              <w:t xml:space="preserve"> zł</w:t>
            </w:r>
            <w:r>
              <w:rPr>
                <w:rFonts w:ascii="Times New Roman" w:eastAsia="Times New Roman" w:hAnsi="Times New Roman"/>
                <w:lang w:eastAsia="pl-PL"/>
              </w:rPr>
              <w:t>.</w:t>
            </w:r>
            <w:r w:rsidR="00EC4CBD">
              <w:rPr>
                <w:rFonts w:ascii="Times New Roman" w:eastAsia="Times New Roman" w:hAnsi="Times New Roman"/>
                <w:lang w:eastAsia="pl-PL"/>
              </w:rPr>
              <w:t xml:space="preserve"> </w:t>
            </w:r>
            <w:r w:rsidR="00D53FDB">
              <w:rPr>
                <w:rFonts w:ascii="Times New Roman" w:eastAsia="Times New Roman" w:hAnsi="Times New Roman"/>
                <w:lang w:eastAsia="pl-PL"/>
              </w:rPr>
              <w:t>Z</w:t>
            </w:r>
            <w:r w:rsidR="003D7FED">
              <w:rPr>
                <w:rFonts w:ascii="Times New Roman" w:eastAsia="Times New Roman" w:hAnsi="Times New Roman"/>
                <w:lang w:eastAsia="pl-PL"/>
              </w:rPr>
              <w:t>adania</w:t>
            </w:r>
            <w:r w:rsidR="003D7FED" w:rsidRPr="00305AF7">
              <w:rPr>
                <w:rFonts w:ascii="Times New Roman" w:eastAsia="Times New Roman" w:hAnsi="Times New Roman"/>
                <w:lang w:eastAsia="pl-PL"/>
              </w:rPr>
              <w:t xml:space="preserve"> </w:t>
            </w:r>
            <w:r w:rsidR="004960A2">
              <w:rPr>
                <w:rFonts w:ascii="Times New Roman" w:eastAsia="Times New Roman" w:hAnsi="Times New Roman"/>
                <w:lang w:eastAsia="pl-PL"/>
              </w:rPr>
              <w:t xml:space="preserve">związane z </w:t>
            </w:r>
            <w:r w:rsidR="002F0E6F">
              <w:rPr>
                <w:rFonts w:ascii="Times New Roman" w:eastAsia="Times New Roman" w:hAnsi="Times New Roman"/>
                <w:lang w:eastAsia="pl-PL"/>
              </w:rPr>
              <w:t xml:space="preserve">prowadzeniem akredytacji </w:t>
            </w:r>
            <w:r w:rsidR="003D7FED">
              <w:rPr>
                <w:rFonts w:ascii="Times New Roman" w:eastAsia="Times New Roman" w:hAnsi="Times New Roman"/>
                <w:lang w:eastAsia="pl-PL"/>
              </w:rPr>
              <w:t xml:space="preserve">w ochronie zdrowia </w:t>
            </w:r>
            <w:r w:rsidR="002F0E6F">
              <w:rPr>
                <w:rFonts w:ascii="Times New Roman" w:eastAsia="Times New Roman" w:hAnsi="Times New Roman"/>
                <w:lang w:eastAsia="pl-PL"/>
              </w:rPr>
              <w:t>przez NFZ</w:t>
            </w:r>
            <w:r w:rsidR="004960A2">
              <w:rPr>
                <w:rFonts w:ascii="Times New Roman" w:eastAsia="Times New Roman" w:hAnsi="Times New Roman"/>
                <w:lang w:eastAsia="pl-PL"/>
              </w:rPr>
              <w:t xml:space="preserve"> </w:t>
            </w:r>
            <w:r w:rsidR="003D7FED">
              <w:rPr>
                <w:rFonts w:ascii="Times New Roman" w:eastAsia="Times New Roman" w:hAnsi="Times New Roman"/>
                <w:lang w:eastAsia="pl-PL"/>
              </w:rPr>
              <w:t>będą realizowane w ramach dotychczas</w:t>
            </w:r>
            <w:r w:rsidR="007244B6">
              <w:rPr>
                <w:rFonts w:ascii="Times New Roman" w:eastAsia="Times New Roman" w:hAnsi="Times New Roman"/>
                <w:lang w:eastAsia="pl-PL"/>
              </w:rPr>
              <w:t xml:space="preserve">owej wysokości </w:t>
            </w:r>
            <w:r w:rsidR="003D7FED">
              <w:rPr>
                <w:rFonts w:ascii="Times New Roman" w:eastAsia="Times New Roman" w:hAnsi="Times New Roman"/>
                <w:lang w:eastAsia="pl-PL"/>
              </w:rPr>
              <w:t xml:space="preserve">środków, a ich koszt </w:t>
            </w:r>
            <w:r w:rsidR="004960A2">
              <w:rPr>
                <w:rFonts w:ascii="Times New Roman" w:eastAsia="Times New Roman" w:hAnsi="Times New Roman"/>
                <w:lang w:eastAsia="pl-PL"/>
              </w:rPr>
              <w:t>w poszczególnych latach</w:t>
            </w:r>
            <w:r w:rsidR="003D7FED">
              <w:rPr>
                <w:rFonts w:ascii="Times New Roman" w:eastAsia="Times New Roman" w:hAnsi="Times New Roman"/>
                <w:lang w:eastAsia="pl-PL"/>
              </w:rPr>
              <w:t xml:space="preserve"> wyniesie</w:t>
            </w:r>
            <w:r w:rsidR="004960A2" w:rsidRPr="00305AF7">
              <w:rPr>
                <w:rFonts w:ascii="Times New Roman" w:eastAsia="Times New Roman" w:hAnsi="Times New Roman"/>
                <w:lang w:eastAsia="pl-PL"/>
              </w:rPr>
              <w:t>:</w:t>
            </w:r>
          </w:p>
          <w:p w14:paraId="677635AB" w14:textId="77777777" w:rsidR="004960A2" w:rsidRPr="00305AF7" w:rsidRDefault="004960A2" w:rsidP="004960A2">
            <w:pPr>
              <w:spacing w:before="120" w:after="120" w:line="240" w:lineRule="auto"/>
              <w:jc w:val="both"/>
              <w:rPr>
                <w:rFonts w:ascii="Times New Roman" w:eastAsia="Times New Roman" w:hAnsi="Times New Roman"/>
                <w:lang w:eastAsia="pl-PL"/>
              </w:rPr>
            </w:pPr>
            <w:r w:rsidRPr="00305AF7">
              <w:rPr>
                <w:rFonts w:ascii="Times New Roman" w:eastAsia="Times New Roman" w:hAnsi="Times New Roman"/>
                <w:lang w:eastAsia="pl-PL"/>
              </w:rPr>
              <w:t xml:space="preserve">- </w:t>
            </w:r>
            <w:r w:rsidR="00EA7CC0">
              <w:rPr>
                <w:rFonts w:ascii="Times New Roman" w:eastAsia="Times New Roman" w:hAnsi="Times New Roman"/>
                <w:lang w:eastAsia="pl-PL"/>
              </w:rPr>
              <w:t>4 </w:t>
            </w:r>
            <w:r w:rsidR="007174B4">
              <w:rPr>
                <w:rFonts w:ascii="Times New Roman" w:eastAsia="Times New Roman" w:hAnsi="Times New Roman"/>
                <w:lang w:eastAsia="pl-PL"/>
              </w:rPr>
              <w:t>516</w:t>
            </w:r>
            <w:r w:rsidR="00EA7CC0">
              <w:rPr>
                <w:rFonts w:ascii="Times New Roman" w:eastAsia="Times New Roman" w:hAnsi="Times New Roman"/>
                <w:lang w:eastAsia="pl-PL"/>
              </w:rPr>
              <w:t> 0</w:t>
            </w:r>
            <w:r w:rsidR="007174B4">
              <w:rPr>
                <w:rFonts w:ascii="Times New Roman" w:eastAsia="Times New Roman" w:hAnsi="Times New Roman"/>
                <w:lang w:eastAsia="pl-PL"/>
              </w:rPr>
              <w:t>00</w:t>
            </w:r>
            <w:r w:rsidR="00EA7CC0">
              <w:rPr>
                <w:rFonts w:ascii="Times New Roman" w:eastAsia="Times New Roman" w:hAnsi="Times New Roman"/>
                <w:lang w:eastAsia="pl-PL"/>
              </w:rPr>
              <w:t xml:space="preserve"> zł </w:t>
            </w:r>
            <w:r w:rsidRPr="00305AF7">
              <w:rPr>
                <w:rFonts w:ascii="Times New Roman" w:eastAsia="Times New Roman" w:hAnsi="Times New Roman"/>
                <w:lang w:eastAsia="pl-PL"/>
              </w:rPr>
              <w:t>w 2022 r.,</w:t>
            </w:r>
          </w:p>
          <w:p w14:paraId="3CF5C394" w14:textId="77777777" w:rsidR="004960A2" w:rsidRPr="00305AF7" w:rsidRDefault="004960A2" w:rsidP="004960A2">
            <w:pPr>
              <w:spacing w:before="120" w:after="120" w:line="240" w:lineRule="auto"/>
              <w:jc w:val="both"/>
              <w:rPr>
                <w:rFonts w:ascii="Times New Roman" w:eastAsia="Times New Roman" w:hAnsi="Times New Roman"/>
                <w:lang w:eastAsia="pl-PL"/>
              </w:rPr>
            </w:pPr>
            <w:r w:rsidRPr="00305AF7">
              <w:rPr>
                <w:rFonts w:ascii="Times New Roman" w:eastAsia="Times New Roman" w:hAnsi="Times New Roman"/>
                <w:lang w:eastAsia="pl-PL"/>
              </w:rPr>
              <w:t xml:space="preserve">- </w:t>
            </w:r>
            <w:r w:rsidR="00EA7CC0">
              <w:rPr>
                <w:rFonts w:ascii="Times New Roman" w:eastAsia="Times New Roman" w:hAnsi="Times New Roman"/>
                <w:lang w:eastAsia="pl-PL"/>
              </w:rPr>
              <w:t>4 </w:t>
            </w:r>
            <w:r w:rsidR="007174B4">
              <w:rPr>
                <w:rFonts w:ascii="Times New Roman" w:eastAsia="Times New Roman" w:hAnsi="Times New Roman"/>
                <w:lang w:eastAsia="pl-PL"/>
              </w:rPr>
              <w:t>628</w:t>
            </w:r>
            <w:r w:rsidR="00EA7CC0">
              <w:rPr>
                <w:rFonts w:ascii="Times New Roman" w:eastAsia="Times New Roman" w:hAnsi="Times New Roman"/>
                <w:lang w:eastAsia="pl-PL"/>
              </w:rPr>
              <w:t xml:space="preserve"> </w:t>
            </w:r>
            <w:r w:rsidR="007174B4">
              <w:rPr>
                <w:rFonts w:ascii="Times New Roman" w:eastAsia="Times New Roman" w:hAnsi="Times New Roman"/>
                <w:lang w:eastAsia="pl-PL"/>
              </w:rPr>
              <w:t>900</w:t>
            </w:r>
            <w:r w:rsidR="000E0BDD">
              <w:rPr>
                <w:rFonts w:ascii="Times New Roman" w:eastAsia="Times New Roman" w:hAnsi="Times New Roman"/>
                <w:lang w:eastAsia="pl-PL"/>
              </w:rPr>
              <w:t xml:space="preserve"> </w:t>
            </w:r>
            <w:r w:rsidRPr="00305AF7">
              <w:rPr>
                <w:rFonts w:ascii="Times New Roman" w:eastAsia="Times New Roman" w:hAnsi="Times New Roman"/>
                <w:lang w:eastAsia="pl-PL"/>
              </w:rPr>
              <w:t>zł w 2023 r.,</w:t>
            </w:r>
          </w:p>
          <w:p w14:paraId="3B5CD22B" w14:textId="77777777" w:rsidR="004960A2" w:rsidRDefault="004960A2" w:rsidP="004960A2">
            <w:pPr>
              <w:spacing w:before="120" w:after="120" w:line="240" w:lineRule="auto"/>
              <w:jc w:val="both"/>
              <w:rPr>
                <w:rFonts w:ascii="Times New Roman" w:eastAsia="Times New Roman" w:hAnsi="Times New Roman"/>
                <w:lang w:eastAsia="pl-PL"/>
              </w:rPr>
            </w:pPr>
            <w:r w:rsidRPr="00305AF7">
              <w:rPr>
                <w:rFonts w:ascii="Times New Roman" w:eastAsia="Times New Roman" w:hAnsi="Times New Roman"/>
                <w:lang w:eastAsia="pl-PL"/>
              </w:rPr>
              <w:t xml:space="preserve">- </w:t>
            </w:r>
            <w:r w:rsidR="007174B4">
              <w:rPr>
                <w:rFonts w:ascii="Times New Roman" w:eastAsia="Times New Roman" w:hAnsi="Times New Roman"/>
                <w:lang w:eastAsia="pl-PL"/>
              </w:rPr>
              <w:t>4</w:t>
            </w:r>
            <w:r w:rsidR="00EA7CC0">
              <w:rPr>
                <w:rFonts w:ascii="Times New Roman" w:eastAsia="Times New Roman" w:hAnsi="Times New Roman"/>
                <w:lang w:eastAsia="pl-PL"/>
              </w:rPr>
              <w:t> </w:t>
            </w:r>
            <w:r w:rsidR="007174B4">
              <w:rPr>
                <w:rFonts w:ascii="Times New Roman" w:eastAsia="Times New Roman" w:hAnsi="Times New Roman"/>
                <w:lang w:eastAsia="pl-PL"/>
              </w:rPr>
              <w:t>744</w:t>
            </w:r>
            <w:r w:rsidR="00EA7CC0">
              <w:rPr>
                <w:rFonts w:ascii="Times New Roman" w:eastAsia="Times New Roman" w:hAnsi="Times New Roman"/>
                <w:lang w:eastAsia="pl-PL"/>
              </w:rPr>
              <w:t> </w:t>
            </w:r>
            <w:r w:rsidR="007174B4">
              <w:rPr>
                <w:rFonts w:ascii="Times New Roman" w:eastAsia="Times New Roman" w:hAnsi="Times New Roman"/>
                <w:lang w:eastAsia="pl-PL"/>
              </w:rPr>
              <w:t>622</w:t>
            </w:r>
            <w:r w:rsidR="000E0BDD">
              <w:rPr>
                <w:rFonts w:ascii="Times New Roman" w:eastAsia="Times New Roman" w:hAnsi="Times New Roman"/>
                <w:lang w:eastAsia="pl-PL"/>
              </w:rPr>
              <w:t xml:space="preserve"> </w:t>
            </w:r>
            <w:r w:rsidRPr="00305AF7">
              <w:rPr>
                <w:rFonts w:ascii="Times New Roman" w:eastAsia="Times New Roman" w:hAnsi="Times New Roman"/>
                <w:lang w:eastAsia="pl-PL"/>
              </w:rPr>
              <w:t xml:space="preserve">zł </w:t>
            </w:r>
            <w:r w:rsidR="000E0BDD">
              <w:rPr>
                <w:rFonts w:ascii="Times New Roman" w:eastAsia="Times New Roman" w:hAnsi="Times New Roman"/>
                <w:lang w:eastAsia="pl-PL"/>
              </w:rPr>
              <w:t xml:space="preserve"> w </w:t>
            </w:r>
            <w:r w:rsidRPr="00305AF7">
              <w:rPr>
                <w:rFonts w:ascii="Times New Roman" w:eastAsia="Times New Roman" w:hAnsi="Times New Roman"/>
                <w:lang w:eastAsia="pl-PL"/>
              </w:rPr>
              <w:t>2024 r.</w:t>
            </w:r>
          </w:p>
          <w:p w14:paraId="72F78772" w14:textId="77777777" w:rsidR="004960A2" w:rsidRDefault="004960A2"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 xml:space="preserve">4 744 622 </w:t>
            </w:r>
            <w:r w:rsidR="00EA7CC0" w:rsidRPr="00305AF7">
              <w:rPr>
                <w:rFonts w:ascii="Times New Roman" w:eastAsia="Times New Roman" w:hAnsi="Times New Roman"/>
                <w:lang w:eastAsia="pl-PL"/>
              </w:rPr>
              <w:t xml:space="preserve">zł </w:t>
            </w:r>
            <w:r w:rsidR="00EA7CC0">
              <w:rPr>
                <w:rFonts w:ascii="Times New Roman" w:eastAsia="Times New Roman" w:hAnsi="Times New Roman"/>
                <w:lang w:eastAsia="pl-PL"/>
              </w:rPr>
              <w:t xml:space="preserve"> </w:t>
            </w:r>
            <w:r w:rsidR="000E0BDD">
              <w:rPr>
                <w:rFonts w:ascii="Times New Roman" w:eastAsia="Times New Roman" w:hAnsi="Times New Roman"/>
                <w:lang w:eastAsia="pl-PL"/>
              </w:rPr>
              <w:t xml:space="preserve">w </w:t>
            </w:r>
            <w:r>
              <w:rPr>
                <w:rFonts w:ascii="Times New Roman" w:eastAsia="Times New Roman" w:hAnsi="Times New Roman"/>
                <w:lang w:eastAsia="pl-PL"/>
              </w:rPr>
              <w:t>2025 r.</w:t>
            </w:r>
          </w:p>
          <w:p w14:paraId="1D1419BA" w14:textId="77777777" w:rsidR="004960A2" w:rsidRDefault="000E0BDD"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 xml:space="preserve">4 744 622 </w:t>
            </w:r>
            <w:r w:rsidR="00EA7CC0" w:rsidRPr="00305AF7">
              <w:rPr>
                <w:rFonts w:ascii="Times New Roman" w:eastAsia="Times New Roman" w:hAnsi="Times New Roman"/>
                <w:lang w:eastAsia="pl-PL"/>
              </w:rPr>
              <w:t xml:space="preserve">zł </w:t>
            </w:r>
            <w:r w:rsidR="00EA7CC0">
              <w:rPr>
                <w:rFonts w:ascii="Times New Roman" w:eastAsia="Times New Roman" w:hAnsi="Times New Roman"/>
                <w:lang w:eastAsia="pl-PL"/>
              </w:rPr>
              <w:t xml:space="preserve"> </w:t>
            </w:r>
            <w:r>
              <w:rPr>
                <w:rFonts w:ascii="Times New Roman" w:eastAsia="Times New Roman" w:hAnsi="Times New Roman"/>
                <w:lang w:eastAsia="pl-PL"/>
              </w:rPr>
              <w:t xml:space="preserve">w </w:t>
            </w:r>
            <w:r w:rsidR="004960A2">
              <w:rPr>
                <w:rFonts w:ascii="Times New Roman" w:eastAsia="Times New Roman" w:hAnsi="Times New Roman"/>
                <w:lang w:eastAsia="pl-PL"/>
              </w:rPr>
              <w:t>2026 r.</w:t>
            </w:r>
          </w:p>
          <w:p w14:paraId="272BAB0C" w14:textId="77777777" w:rsidR="004960A2" w:rsidRDefault="000E0BDD"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 xml:space="preserve">4 744 622 </w:t>
            </w:r>
            <w:r w:rsidR="00EA7CC0" w:rsidRPr="00305AF7">
              <w:rPr>
                <w:rFonts w:ascii="Times New Roman" w:eastAsia="Times New Roman" w:hAnsi="Times New Roman"/>
                <w:lang w:eastAsia="pl-PL"/>
              </w:rPr>
              <w:t xml:space="preserve">zł </w:t>
            </w:r>
            <w:r w:rsidR="00EA7CC0">
              <w:rPr>
                <w:rFonts w:ascii="Times New Roman" w:eastAsia="Times New Roman" w:hAnsi="Times New Roman"/>
                <w:lang w:eastAsia="pl-PL"/>
              </w:rPr>
              <w:t xml:space="preserve"> </w:t>
            </w:r>
            <w:r>
              <w:rPr>
                <w:rFonts w:ascii="Times New Roman" w:eastAsia="Times New Roman" w:hAnsi="Times New Roman"/>
                <w:lang w:eastAsia="pl-PL"/>
              </w:rPr>
              <w:t>w 2</w:t>
            </w:r>
            <w:r w:rsidR="004960A2">
              <w:rPr>
                <w:rFonts w:ascii="Times New Roman" w:eastAsia="Times New Roman" w:hAnsi="Times New Roman"/>
                <w:lang w:eastAsia="pl-PL"/>
              </w:rPr>
              <w:t>027 r.</w:t>
            </w:r>
          </w:p>
          <w:p w14:paraId="514DA0DC" w14:textId="77777777" w:rsidR="004960A2" w:rsidRDefault="000E0BDD"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4 744 622</w:t>
            </w:r>
            <w:r w:rsidR="00EA7CC0">
              <w:rPr>
                <w:rFonts w:ascii="Times New Roman" w:eastAsia="Times New Roman" w:hAnsi="Times New Roman"/>
                <w:lang w:eastAsia="pl-PL"/>
              </w:rPr>
              <w:t xml:space="preserve"> </w:t>
            </w:r>
            <w:r w:rsidR="00EA7CC0" w:rsidRPr="00305AF7">
              <w:rPr>
                <w:rFonts w:ascii="Times New Roman" w:eastAsia="Times New Roman" w:hAnsi="Times New Roman"/>
                <w:lang w:eastAsia="pl-PL"/>
              </w:rPr>
              <w:t xml:space="preserve">zł </w:t>
            </w:r>
            <w:r w:rsidR="00EA7CC0">
              <w:rPr>
                <w:rFonts w:ascii="Times New Roman" w:eastAsia="Times New Roman" w:hAnsi="Times New Roman"/>
                <w:lang w:eastAsia="pl-PL"/>
              </w:rPr>
              <w:t xml:space="preserve"> </w:t>
            </w:r>
            <w:r>
              <w:rPr>
                <w:rFonts w:ascii="Times New Roman" w:eastAsia="Times New Roman" w:hAnsi="Times New Roman"/>
                <w:lang w:eastAsia="pl-PL"/>
              </w:rPr>
              <w:t xml:space="preserve">w </w:t>
            </w:r>
            <w:r w:rsidR="004960A2">
              <w:rPr>
                <w:rFonts w:ascii="Times New Roman" w:eastAsia="Times New Roman" w:hAnsi="Times New Roman"/>
                <w:lang w:eastAsia="pl-PL"/>
              </w:rPr>
              <w:t>2028 r.</w:t>
            </w:r>
          </w:p>
          <w:p w14:paraId="2A20E5ED" w14:textId="77777777" w:rsidR="004960A2" w:rsidRDefault="000E0BDD"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 xml:space="preserve">4 744 622 </w:t>
            </w:r>
            <w:r w:rsidR="00EA7CC0" w:rsidRPr="00305AF7">
              <w:rPr>
                <w:rFonts w:ascii="Times New Roman" w:eastAsia="Times New Roman" w:hAnsi="Times New Roman"/>
                <w:lang w:eastAsia="pl-PL"/>
              </w:rPr>
              <w:t xml:space="preserve">zł </w:t>
            </w:r>
            <w:r w:rsidR="00EA7CC0">
              <w:rPr>
                <w:rFonts w:ascii="Times New Roman" w:eastAsia="Times New Roman" w:hAnsi="Times New Roman"/>
                <w:lang w:eastAsia="pl-PL"/>
              </w:rPr>
              <w:t xml:space="preserve"> </w:t>
            </w:r>
            <w:r>
              <w:rPr>
                <w:rFonts w:ascii="Times New Roman" w:eastAsia="Times New Roman" w:hAnsi="Times New Roman"/>
                <w:lang w:eastAsia="pl-PL"/>
              </w:rPr>
              <w:t xml:space="preserve">w </w:t>
            </w:r>
            <w:r w:rsidR="004960A2">
              <w:rPr>
                <w:rFonts w:ascii="Times New Roman" w:eastAsia="Times New Roman" w:hAnsi="Times New Roman"/>
                <w:lang w:eastAsia="pl-PL"/>
              </w:rPr>
              <w:t xml:space="preserve">2030 r. </w:t>
            </w:r>
          </w:p>
          <w:p w14:paraId="4B216BF2" w14:textId="77777777" w:rsidR="004960A2" w:rsidRDefault="000E0BDD"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 xml:space="preserve">4 744 622 </w:t>
            </w:r>
            <w:r w:rsidR="00EA7CC0" w:rsidRPr="00305AF7">
              <w:rPr>
                <w:rFonts w:ascii="Times New Roman" w:eastAsia="Times New Roman" w:hAnsi="Times New Roman"/>
                <w:lang w:eastAsia="pl-PL"/>
              </w:rPr>
              <w:t xml:space="preserve">zł </w:t>
            </w:r>
            <w:r w:rsidR="00EA7CC0">
              <w:rPr>
                <w:rFonts w:ascii="Times New Roman" w:eastAsia="Times New Roman" w:hAnsi="Times New Roman"/>
                <w:lang w:eastAsia="pl-PL"/>
              </w:rPr>
              <w:t xml:space="preserve"> </w:t>
            </w:r>
            <w:r>
              <w:rPr>
                <w:rFonts w:ascii="Times New Roman" w:eastAsia="Times New Roman" w:hAnsi="Times New Roman"/>
                <w:lang w:eastAsia="pl-PL"/>
              </w:rPr>
              <w:t xml:space="preserve">w </w:t>
            </w:r>
            <w:r w:rsidR="004960A2">
              <w:rPr>
                <w:rFonts w:ascii="Times New Roman" w:eastAsia="Times New Roman" w:hAnsi="Times New Roman"/>
                <w:lang w:eastAsia="pl-PL"/>
              </w:rPr>
              <w:t>2031 r.</w:t>
            </w:r>
          </w:p>
          <w:p w14:paraId="5C36FB41" w14:textId="77777777" w:rsidR="004960A2" w:rsidRDefault="000E0BDD"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 xml:space="preserve">4 744 622 </w:t>
            </w:r>
            <w:r w:rsidR="00EA7CC0" w:rsidRPr="00305AF7">
              <w:rPr>
                <w:rFonts w:ascii="Times New Roman" w:eastAsia="Times New Roman" w:hAnsi="Times New Roman"/>
                <w:lang w:eastAsia="pl-PL"/>
              </w:rPr>
              <w:t xml:space="preserve">zł </w:t>
            </w:r>
            <w:r w:rsidR="00EA7CC0">
              <w:rPr>
                <w:rFonts w:ascii="Times New Roman" w:eastAsia="Times New Roman" w:hAnsi="Times New Roman"/>
                <w:lang w:eastAsia="pl-PL"/>
              </w:rPr>
              <w:t xml:space="preserve"> </w:t>
            </w:r>
            <w:r>
              <w:rPr>
                <w:rFonts w:ascii="Times New Roman" w:eastAsia="Times New Roman" w:hAnsi="Times New Roman"/>
                <w:lang w:eastAsia="pl-PL"/>
              </w:rPr>
              <w:t xml:space="preserve">w </w:t>
            </w:r>
            <w:r w:rsidR="004960A2">
              <w:rPr>
                <w:rFonts w:ascii="Times New Roman" w:eastAsia="Times New Roman" w:hAnsi="Times New Roman"/>
                <w:lang w:eastAsia="pl-PL"/>
              </w:rPr>
              <w:t>2032 r.</w:t>
            </w:r>
          </w:p>
          <w:p w14:paraId="4451CC5F" w14:textId="77777777" w:rsidR="004960A2" w:rsidRDefault="000E0BDD" w:rsidP="004960A2">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7174B4">
              <w:rPr>
                <w:rFonts w:ascii="Times New Roman" w:eastAsia="Times New Roman" w:hAnsi="Times New Roman"/>
                <w:lang w:eastAsia="pl-PL"/>
              </w:rPr>
              <w:t xml:space="preserve">4 744 622 </w:t>
            </w:r>
            <w:r w:rsidR="00EA7CC0" w:rsidRPr="00305AF7">
              <w:rPr>
                <w:rFonts w:ascii="Times New Roman" w:eastAsia="Times New Roman" w:hAnsi="Times New Roman"/>
                <w:lang w:eastAsia="pl-PL"/>
              </w:rPr>
              <w:t xml:space="preserve">zł </w:t>
            </w:r>
            <w:r w:rsidR="00EA7CC0">
              <w:rPr>
                <w:rFonts w:ascii="Times New Roman" w:eastAsia="Times New Roman" w:hAnsi="Times New Roman"/>
                <w:lang w:eastAsia="pl-PL"/>
              </w:rPr>
              <w:t xml:space="preserve"> </w:t>
            </w:r>
            <w:r>
              <w:rPr>
                <w:rFonts w:ascii="Times New Roman" w:eastAsia="Times New Roman" w:hAnsi="Times New Roman"/>
                <w:lang w:eastAsia="pl-PL"/>
              </w:rPr>
              <w:t xml:space="preserve">w </w:t>
            </w:r>
            <w:r w:rsidR="004960A2">
              <w:rPr>
                <w:rFonts w:ascii="Times New Roman" w:eastAsia="Times New Roman" w:hAnsi="Times New Roman"/>
                <w:lang w:eastAsia="pl-PL"/>
              </w:rPr>
              <w:t>2033 r.</w:t>
            </w:r>
          </w:p>
          <w:p w14:paraId="111A3799" w14:textId="77777777" w:rsidR="007174B4" w:rsidRPr="00305AF7" w:rsidRDefault="00493441" w:rsidP="007174B4">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Do oszacowania dochodów z tytułu opłat za przeprowadzenie procedury oceniającej, przyjęto wysokość opłat pobranych w 2019 r. (okres przed pandemią) oraz założono średni roczny wzrost dochodów na poziomie 4,5% rocznie. </w:t>
            </w:r>
            <w:r w:rsidR="007174B4">
              <w:rPr>
                <w:rFonts w:ascii="Times New Roman" w:eastAsia="Times New Roman" w:hAnsi="Times New Roman"/>
                <w:lang w:eastAsia="pl-PL"/>
              </w:rPr>
              <w:t>Dochody z tytułu opłat za przeprowadzenie procedury oceniającej związane z prowadzeniem akredytacji przez NFZ wyniosą w poszczególnych latach</w:t>
            </w:r>
            <w:r w:rsidR="007174B4" w:rsidRPr="00305AF7">
              <w:rPr>
                <w:rFonts w:ascii="Times New Roman" w:eastAsia="Times New Roman" w:hAnsi="Times New Roman"/>
                <w:lang w:eastAsia="pl-PL"/>
              </w:rPr>
              <w:t>:</w:t>
            </w:r>
          </w:p>
          <w:p w14:paraId="35D3AF51" w14:textId="77777777" w:rsidR="007174B4" w:rsidRPr="00305AF7" w:rsidRDefault="007174B4" w:rsidP="007174B4">
            <w:pPr>
              <w:spacing w:before="120" w:after="120" w:line="240" w:lineRule="auto"/>
              <w:jc w:val="both"/>
              <w:rPr>
                <w:rFonts w:ascii="Times New Roman" w:eastAsia="Times New Roman" w:hAnsi="Times New Roman"/>
                <w:lang w:eastAsia="pl-PL"/>
              </w:rPr>
            </w:pPr>
            <w:r w:rsidRPr="00305AF7">
              <w:rPr>
                <w:rFonts w:ascii="Times New Roman" w:eastAsia="Times New Roman" w:hAnsi="Times New Roman"/>
                <w:lang w:eastAsia="pl-PL"/>
              </w:rPr>
              <w:t xml:space="preserve">- </w:t>
            </w:r>
            <w:r w:rsidR="00493441">
              <w:rPr>
                <w:rFonts w:ascii="Times New Roman" w:eastAsia="Times New Roman" w:hAnsi="Times New Roman"/>
                <w:lang w:eastAsia="pl-PL"/>
              </w:rPr>
              <w:t>3</w:t>
            </w:r>
            <w:r>
              <w:rPr>
                <w:rFonts w:ascii="Times New Roman" w:eastAsia="Times New Roman" w:hAnsi="Times New Roman"/>
                <w:lang w:eastAsia="pl-PL"/>
              </w:rPr>
              <w:t> </w:t>
            </w:r>
            <w:r w:rsidR="00493441">
              <w:rPr>
                <w:rFonts w:ascii="Times New Roman" w:eastAsia="Times New Roman" w:hAnsi="Times New Roman"/>
                <w:lang w:eastAsia="pl-PL"/>
              </w:rPr>
              <w:t>200</w:t>
            </w:r>
            <w:r>
              <w:rPr>
                <w:rFonts w:ascii="Times New Roman" w:eastAsia="Times New Roman" w:hAnsi="Times New Roman"/>
                <w:lang w:eastAsia="pl-PL"/>
              </w:rPr>
              <w:t xml:space="preserve"> 000 zł </w:t>
            </w:r>
            <w:r w:rsidRPr="00305AF7">
              <w:rPr>
                <w:rFonts w:ascii="Times New Roman" w:eastAsia="Times New Roman" w:hAnsi="Times New Roman"/>
                <w:lang w:eastAsia="pl-PL"/>
              </w:rPr>
              <w:t>w 2022 r.,</w:t>
            </w:r>
          </w:p>
          <w:p w14:paraId="14F97BE3" w14:textId="77777777" w:rsidR="007174B4" w:rsidRPr="00305AF7" w:rsidRDefault="007174B4" w:rsidP="007174B4">
            <w:pPr>
              <w:spacing w:before="120" w:after="120" w:line="240" w:lineRule="auto"/>
              <w:jc w:val="both"/>
              <w:rPr>
                <w:rFonts w:ascii="Times New Roman" w:eastAsia="Times New Roman" w:hAnsi="Times New Roman"/>
                <w:lang w:eastAsia="pl-PL"/>
              </w:rPr>
            </w:pPr>
            <w:r w:rsidRPr="00305AF7">
              <w:rPr>
                <w:rFonts w:ascii="Times New Roman" w:eastAsia="Times New Roman" w:hAnsi="Times New Roman"/>
                <w:lang w:eastAsia="pl-PL"/>
              </w:rPr>
              <w:t xml:space="preserve">- </w:t>
            </w:r>
            <w:r w:rsidR="00493441">
              <w:rPr>
                <w:rFonts w:ascii="Times New Roman" w:eastAsia="Times New Roman" w:hAnsi="Times New Roman"/>
                <w:lang w:eastAsia="pl-PL"/>
              </w:rPr>
              <w:t>3</w:t>
            </w:r>
            <w:r>
              <w:rPr>
                <w:rFonts w:ascii="Times New Roman" w:eastAsia="Times New Roman" w:hAnsi="Times New Roman"/>
                <w:lang w:eastAsia="pl-PL"/>
              </w:rPr>
              <w:t> </w:t>
            </w:r>
            <w:r w:rsidR="00493441">
              <w:rPr>
                <w:rFonts w:ascii="Times New Roman" w:eastAsia="Times New Roman" w:hAnsi="Times New Roman"/>
                <w:lang w:eastAsia="pl-PL"/>
              </w:rPr>
              <w:t>344</w:t>
            </w:r>
            <w:r>
              <w:rPr>
                <w:rFonts w:ascii="Times New Roman" w:eastAsia="Times New Roman" w:hAnsi="Times New Roman"/>
                <w:lang w:eastAsia="pl-PL"/>
              </w:rPr>
              <w:t xml:space="preserve"> </w:t>
            </w:r>
            <w:r w:rsidR="00493441">
              <w:rPr>
                <w:rFonts w:ascii="Times New Roman" w:eastAsia="Times New Roman" w:hAnsi="Times New Roman"/>
                <w:lang w:eastAsia="pl-PL"/>
              </w:rPr>
              <w:t>0</w:t>
            </w:r>
            <w:r>
              <w:rPr>
                <w:rFonts w:ascii="Times New Roman" w:eastAsia="Times New Roman" w:hAnsi="Times New Roman"/>
                <w:lang w:eastAsia="pl-PL"/>
              </w:rPr>
              <w:t xml:space="preserve">00 </w:t>
            </w:r>
            <w:r w:rsidRPr="00305AF7">
              <w:rPr>
                <w:rFonts w:ascii="Times New Roman" w:eastAsia="Times New Roman" w:hAnsi="Times New Roman"/>
                <w:lang w:eastAsia="pl-PL"/>
              </w:rPr>
              <w:t>zł w 2023 r.,</w:t>
            </w:r>
          </w:p>
          <w:p w14:paraId="4212758D" w14:textId="77777777" w:rsidR="007174B4" w:rsidRDefault="007174B4" w:rsidP="007174B4">
            <w:pPr>
              <w:spacing w:before="120" w:after="120" w:line="240" w:lineRule="auto"/>
              <w:jc w:val="both"/>
              <w:rPr>
                <w:rFonts w:ascii="Times New Roman" w:eastAsia="Times New Roman" w:hAnsi="Times New Roman"/>
                <w:lang w:eastAsia="pl-PL"/>
              </w:rPr>
            </w:pPr>
            <w:r w:rsidRPr="00305AF7">
              <w:rPr>
                <w:rFonts w:ascii="Times New Roman" w:eastAsia="Times New Roman" w:hAnsi="Times New Roman"/>
                <w:lang w:eastAsia="pl-PL"/>
              </w:rPr>
              <w:t xml:space="preserve">- </w:t>
            </w:r>
            <w:r w:rsidR="00493441">
              <w:rPr>
                <w:rFonts w:ascii="Times New Roman" w:eastAsia="Times New Roman" w:hAnsi="Times New Roman"/>
                <w:lang w:eastAsia="pl-PL"/>
              </w:rPr>
              <w:t>3</w:t>
            </w:r>
            <w:r>
              <w:rPr>
                <w:rFonts w:ascii="Times New Roman" w:eastAsia="Times New Roman" w:hAnsi="Times New Roman"/>
                <w:lang w:eastAsia="pl-PL"/>
              </w:rPr>
              <w:t> </w:t>
            </w:r>
            <w:r w:rsidR="00493441">
              <w:rPr>
                <w:rFonts w:ascii="Times New Roman" w:eastAsia="Times New Roman" w:hAnsi="Times New Roman"/>
                <w:lang w:eastAsia="pl-PL"/>
              </w:rPr>
              <w:t>494</w:t>
            </w:r>
            <w:r>
              <w:rPr>
                <w:rFonts w:ascii="Times New Roman" w:eastAsia="Times New Roman" w:hAnsi="Times New Roman"/>
                <w:lang w:eastAsia="pl-PL"/>
              </w:rPr>
              <w:t> </w:t>
            </w:r>
            <w:r w:rsidR="00493441">
              <w:rPr>
                <w:rFonts w:ascii="Times New Roman" w:eastAsia="Times New Roman" w:hAnsi="Times New Roman"/>
                <w:lang w:eastAsia="pl-PL"/>
              </w:rPr>
              <w:t>480</w:t>
            </w:r>
            <w:r>
              <w:rPr>
                <w:rFonts w:ascii="Times New Roman" w:eastAsia="Times New Roman" w:hAnsi="Times New Roman"/>
                <w:lang w:eastAsia="pl-PL"/>
              </w:rPr>
              <w:t xml:space="preserve"> </w:t>
            </w:r>
            <w:r w:rsidRPr="00305AF7">
              <w:rPr>
                <w:rFonts w:ascii="Times New Roman" w:eastAsia="Times New Roman" w:hAnsi="Times New Roman"/>
                <w:lang w:eastAsia="pl-PL"/>
              </w:rPr>
              <w:t xml:space="preserve">zł </w:t>
            </w:r>
            <w:r>
              <w:rPr>
                <w:rFonts w:ascii="Times New Roman" w:eastAsia="Times New Roman" w:hAnsi="Times New Roman"/>
                <w:lang w:eastAsia="pl-PL"/>
              </w:rPr>
              <w:t xml:space="preserve"> w </w:t>
            </w:r>
            <w:r w:rsidRPr="00305AF7">
              <w:rPr>
                <w:rFonts w:ascii="Times New Roman" w:eastAsia="Times New Roman" w:hAnsi="Times New Roman"/>
                <w:lang w:eastAsia="pl-PL"/>
              </w:rPr>
              <w:t>2024 r.</w:t>
            </w:r>
          </w:p>
          <w:p w14:paraId="59348401" w14:textId="77777777" w:rsidR="007174B4" w:rsidRDefault="007174B4" w:rsidP="007174B4">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493441">
              <w:rPr>
                <w:rFonts w:ascii="Times New Roman" w:eastAsia="Times New Roman" w:hAnsi="Times New Roman"/>
                <w:lang w:eastAsia="pl-PL"/>
              </w:rPr>
              <w:t>3</w:t>
            </w:r>
            <w:r>
              <w:rPr>
                <w:rFonts w:ascii="Times New Roman" w:eastAsia="Times New Roman" w:hAnsi="Times New Roman"/>
                <w:lang w:eastAsia="pl-PL"/>
              </w:rPr>
              <w:t> </w:t>
            </w:r>
            <w:r w:rsidR="00493441">
              <w:rPr>
                <w:rFonts w:ascii="Times New Roman" w:eastAsia="Times New Roman" w:hAnsi="Times New Roman"/>
                <w:lang w:eastAsia="pl-PL"/>
              </w:rPr>
              <w:t>651</w:t>
            </w:r>
            <w:r>
              <w:rPr>
                <w:rFonts w:ascii="Times New Roman" w:eastAsia="Times New Roman" w:hAnsi="Times New Roman"/>
                <w:lang w:eastAsia="pl-PL"/>
              </w:rPr>
              <w:t> </w:t>
            </w:r>
            <w:r w:rsidR="00493441">
              <w:rPr>
                <w:rFonts w:ascii="Times New Roman" w:eastAsia="Times New Roman" w:hAnsi="Times New Roman"/>
                <w:lang w:eastAsia="pl-PL"/>
              </w:rPr>
              <w:t>732</w:t>
            </w:r>
            <w:r w:rsidRPr="00305AF7">
              <w:rPr>
                <w:rFonts w:ascii="Times New Roman" w:eastAsia="Times New Roman" w:hAnsi="Times New Roman"/>
                <w:lang w:eastAsia="pl-PL"/>
              </w:rPr>
              <w:t xml:space="preserve">zł </w:t>
            </w:r>
            <w:r>
              <w:rPr>
                <w:rFonts w:ascii="Times New Roman" w:eastAsia="Times New Roman" w:hAnsi="Times New Roman"/>
                <w:lang w:eastAsia="pl-PL"/>
              </w:rPr>
              <w:t xml:space="preserve"> w 2025 r.</w:t>
            </w:r>
          </w:p>
          <w:p w14:paraId="4EB8F5C6" w14:textId="77777777" w:rsidR="007174B4" w:rsidRDefault="007174B4" w:rsidP="007174B4">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493441">
              <w:rPr>
                <w:rFonts w:ascii="Times New Roman" w:eastAsia="Times New Roman" w:hAnsi="Times New Roman"/>
                <w:lang w:eastAsia="pl-PL"/>
              </w:rPr>
              <w:t>3 816 059</w:t>
            </w:r>
            <w:r>
              <w:rPr>
                <w:rFonts w:ascii="Times New Roman" w:eastAsia="Times New Roman" w:hAnsi="Times New Roman"/>
                <w:lang w:eastAsia="pl-PL"/>
              </w:rPr>
              <w:t xml:space="preserve"> </w:t>
            </w:r>
            <w:r w:rsidRPr="00305AF7">
              <w:rPr>
                <w:rFonts w:ascii="Times New Roman" w:eastAsia="Times New Roman" w:hAnsi="Times New Roman"/>
                <w:lang w:eastAsia="pl-PL"/>
              </w:rPr>
              <w:t xml:space="preserve">zł </w:t>
            </w:r>
            <w:r>
              <w:rPr>
                <w:rFonts w:ascii="Times New Roman" w:eastAsia="Times New Roman" w:hAnsi="Times New Roman"/>
                <w:lang w:eastAsia="pl-PL"/>
              </w:rPr>
              <w:t xml:space="preserve"> w 2026 r.</w:t>
            </w:r>
          </w:p>
          <w:p w14:paraId="28B99DD9" w14:textId="77777777" w:rsidR="007174B4" w:rsidRDefault="007174B4" w:rsidP="007174B4">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493441">
              <w:rPr>
                <w:rFonts w:ascii="Times New Roman" w:eastAsia="Times New Roman" w:hAnsi="Times New Roman"/>
                <w:lang w:eastAsia="pl-PL"/>
              </w:rPr>
              <w:t>3</w:t>
            </w:r>
            <w:r>
              <w:rPr>
                <w:rFonts w:ascii="Times New Roman" w:eastAsia="Times New Roman" w:hAnsi="Times New Roman"/>
                <w:lang w:eastAsia="pl-PL"/>
              </w:rPr>
              <w:t> </w:t>
            </w:r>
            <w:r w:rsidR="00493441">
              <w:rPr>
                <w:rFonts w:ascii="Times New Roman" w:eastAsia="Times New Roman" w:hAnsi="Times New Roman"/>
                <w:lang w:eastAsia="pl-PL"/>
              </w:rPr>
              <w:t>987</w:t>
            </w:r>
            <w:r>
              <w:rPr>
                <w:rFonts w:ascii="Times New Roman" w:eastAsia="Times New Roman" w:hAnsi="Times New Roman"/>
                <w:lang w:eastAsia="pl-PL"/>
              </w:rPr>
              <w:t> </w:t>
            </w:r>
            <w:r w:rsidR="00493441">
              <w:rPr>
                <w:rFonts w:ascii="Times New Roman" w:eastAsia="Times New Roman" w:hAnsi="Times New Roman"/>
                <w:lang w:eastAsia="pl-PL"/>
              </w:rPr>
              <w:t>782</w:t>
            </w:r>
            <w:r>
              <w:rPr>
                <w:rFonts w:ascii="Times New Roman" w:eastAsia="Times New Roman" w:hAnsi="Times New Roman"/>
                <w:lang w:eastAsia="pl-PL"/>
              </w:rPr>
              <w:t xml:space="preserve"> </w:t>
            </w:r>
            <w:r w:rsidRPr="00305AF7">
              <w:rPr>
                <w:rFonts w:ascii="Times New Roman" w:eastAsia="Times New Roman" w:hAnsi="Times New Roman"/>
                <w:lang w:eastAsia="pl-PL"/>
              </w:rPr>
              <w:t xml:space="preserve">zł </w:t>
            </w:r>
            <w:r>
              <w:rPr>
                <w:rFonts w:ascii="Times New Roman" w:eastAsia="Times New Roman" w:hAnsi="Times New Roman"/>
                <w:lang w:eastAsia="pl-PL"/>
              </w:rPr>
              <w:t xml:space="preserve"> w 2027 r.</w:t>
            </w:r>
          </w:p>
          <w:p w14:paraId="73E95D67" w14:textId="77777777" w:rsidR="007174B4" w:rsidRDefault="007174B4" w:rsidP="007174B4">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- 4 </w:t>
            </w:r>
            <w:r w:rsidR="00493441">
              <w:rPr>
                <w:rFonts w:ascii="Times New Roman" w:eastAsia="Times New Roman" w:hAnsi="Times New Roman"/>
                <w:lang w:eastAsia="pl-PL"/>
              </w:rPr>
              <w:t>167</w:t>
            </w:r>
            <w:r>
              <w:rPr>
                <w:rFonts w:ascii="Times New Roman" w:eastAsia="Times New Roman" w:hAnsi="Times New Roman"/>
                <w:lang w:eastAsia="pl-PL"/>
              </w:rPr>
              <w:t> </w:t>
            </w:r>
            <w:r w:rsidR="00493441">
              <w:rPr>
                <w:rFonts w:ascii="Times New Roman" w:eastAsia="Times New Roman" w:hAnsi="Times New Roman"/>
                <w:lang w:eastAsia="pl-PL"/>
              </w:rPr>
              <w:t>232</w:t>
            </w:r>
            <w:r>
              <w:rPr>
                <w:rFonts w:ascii="Times New Roman" w:eastAsia="Times New Roman" w:hAnsi="Times New Roman"/>
                <w:lang w:eastAsia="pl-PL"/>
              </w:rPr>
              <w:t xml:space="preserve"> </w:t>
            </w:r>
            <w:r w:rsidRPr="00305AF7">
              <w:rPr>
                <w:rFonts w:ascii="Times New Roman" w:eastAsia="Times New Roman" w:hAnsi="Times New Roman"/>
                <w:lang w:eastAsia="pl-PL"/>
              </w:rPr>
              <w:t xml:space="preserve">zł </w:t>
            </w:r>
            <w:r>
              <w:rPr>
                <w:rFonts w:ascii="Times New Roman" w:eastAsia="Times New Roman" w:hAnsi="Times New Roman"/>
                <w:lang w:eastAsia="pl-PL"/>
              </w:rPr>
              <w:t xml:space="preserve"> w 2028 r.</w:t>
            </w:r>
          </w:p>
          <w:p w14:paraId="5AB134DF" w14:textId="77777777" w:rsidR="007174B4" w:rsidRDefault="007174B4" w:rsidP="007174B4">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- 4 </w:t>
            </w:r>
            <w:r w:rsidR="00493441">
              <w:rPr>
                <w:rFonts w:ascii="Times New Roman" w:eastAsia="Times New Roman" w:hAnsi="Times New Roman"/>
                <w:lang w:eastAsia="pl-PL"/>
              </w:rPr>
              <w:t>354</w:t>
            </w:r>
            <w:r>
              <w:rPr>
                <w:rFonts w:ascii="Times New Roman" w:eastAsia="Times New Roman" w:hAnsi="Times New Roman"/>
                <w:lang w:eastAsia="pl-PL"/>
              </w:rPr>
              <w:t> </w:t>
            </w:r>
            <w:r w:rsidR="00493441">
              <w:rPr>
                <w:rFonts w:ascii="Times New Roman" w:eastAsia="Times New Roman" w:hAnsi="Times New Roman"/>
                <w:lang w:eastAsia="pl-PL"/>
              </w:rPr>
              <w:t>758</w:t>
            </w:r>
            <w:r>
              <w:rPr>
                <w:rFonts w:ascii="Times New Roman" w:eastAsia="Times New Roman" w:hAnsi="Times New Roman"/>
                <w:lang w:eastAsia="pl-PL"/>
              </w:rPr>
              <w:t xml:space="preserve"> </w:t>
            </w:r>
            <w:r w:rsidRPr="00305AF7">
              <w:rPr>
                <w:rFonts w:ascii="Times New Roman" w:eastAsia="Times New Roman" w:hAnsi="Times New Roman"/>
                <w:lang w:eastAsia="pl-PL"/>
              </w:rPr>
              <w:t xml:space="preserve">zł </w:t>
            </w:r>
            <w:r>
              <w:rPr>
                <w:rFonts w:ascii="Times New Roman" w:eastAsia="Times New Roman" w:hAnsi="Times New Roman"/>
                <w:lang w:eastAsia="pl-PL"/>
              </w:rPr>
              <w:t xml:space="preserve"> w 2030 r. </w:t>
            </w:r>
          </w:p>
          <w:p w14:paraId="5B4643F9" w14:textId="77777777" w:rsidR="007174B4" w:rsidRDefault="007174B4" w:rsidP="007174B4">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- 4 </w:t>
            </w:r>
            <w:r w:rsidR="00493441">
              <w:rPr>
                <w:rFonts w:ascii="Times New Roman" w:eastAsia="Times New Roman" w:hAnsi="Times New Roman"/>
                <w:lang w:eastAsia="pl-PL"/>
              </w:rPr>
              <w:t>550</w:t>
            </w:r>
            <w:r>
              <w:rPr>
                <w:rFonts w:ascii="Times New Roman" w:eastAsia="Times New Roman" w:hAnsi="Times New Roman"/>
                <w:lang w:eastAsia="pl-PL"/>
              </w:rPr>
              <w:t> </w:t>
            </w:r>
            <w:r w:rsidR="00493441">
              <w:rPr>
                <w:rFonts w:ascii="Times New Roman" w:eastAsia="Times New Roman" w:hAnsi="Times New Roman"/>
                <w:lang w:eastAsia="pl-PL"/>
              </w:rPr>
              <w:t>7</w:t>
            </w:r>
            <w:r>
              <w:rPr>
                <w:rFonts w:ascii="Times New Roman" w:eastAsia="Times New Roman" w:hAnsi="Times New Roman"/>
                <w:lang w:eastAsia="pl-PL"/>
              </w:rPr>
              <w:t xml:space="preserve">22 </w:t>
            </w:r>
            <w:r w:rsidRPr="00305AF7">
              <w:rPr>
                <w:rFonts w:ascii="Times New Roman" w:eastAsia="Times New Roman" w:hAnsi="Times New Roman"/>
                <w:lang w:eastAsia="pl-PL"/>
              </w:rPr>
              <w:t xml:space="preserve">zł </w:t>
            </w:r>
            <w:r>
              <w:rPr>
                <w:rFonts w:ascii="Times New Roman" w:eastAsia="Times New Roman" w:hAnsi="Times New Roman"/>
                <w:lang w:eastAsia="pl-PL"/>
              </w:rPr>
              <w:t xml:space="preserve"> w 2031 r.</w:t>
            </w:r>
          </w:p>
          <w:p w14:paraId="31AA960D" w14:textId="77777777" w:rsidR="00493441" w:rsidRDefault="00493441" w:rsidP="00493441">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- 4 755 504 </w:t>
            </w:r>
            <w:r w:rsidRPr="00305AF7">
              <w:rPr>
                <w:rFonts w:ascii="Times New Roman" w:eastAsia="Times New Roman" w:hAnsi="Times New Roman"/>
                <w:lang w:eastAsia="pl-PL"/>
              </w:rPr>
              <w:t xml:space="preserve">zł </w:t>
            </w:r>
            <w:r>
              <w:rPr>
                <w:rFonts w:ascii="Times New Roman" w:eastAsia="Times New Roman" w:hAnsi="Times New Roman"/>
                <w:lang w:eastAsia="pl-PL"/>
              </w:rPr>
              <w:t xml:space="preserve"> w 2032 r.</w:t>
            </w:r>
          </w:p>
          <w:p w14:paraId="784B4E74" w14:textId="77777777" w:rsidR="00493441" w:rsidRDefault="00493441" w:rsidP="00493441">
            <w:pPr>
              <w:spacing w:before="120"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- 4 969 502 </w:t>
            </w:r>
            <w:r w:rsidRPr="00305AF7">
              <w:rPr>
                <w:rFonts w:ascii="Times New Roman" w:eastAsia="Times New Roman" w:hAnsi="Times New Roman"/>
                <w:lang w:eastAsia="pl-PL"/>
              </w:rPr>
              <w:t xml:space="preserve">zł </w:t>
            </w:r>
            <w:r>
              <w:rPr>
                <w:rFonts w:ascii="Times New Roman" w:eastAsia="Times New Roman" w:hAnsi="Times New Roman"/>
                <w:lang w:eastAsia="pl-PL"/>
              </w:rPr>
              <w:t xml:space="preserve"> w 2033 r.</w:t>
            </w:r>
          </w:p>
          <w:p w14:paraId="7C0DC142" w14:textId="77777777" w:rsidR="004960A2" w:rsidRDefault="004960A2" w:rsidP="004960A2">
            <w:pPr>
              <w:spacing w:before="120" w:after="120" w:line="240" w:lineRule="auto"/>
              <w:jc w:val="both"/>
              <w:rPr>
                <w:rFonts w:ascii="Times New Roman" w:eastAsia="Times New Roman" w:hAnsi="Times New Roman"/>
                <w:b/>
                <w:bCs/>
                <w:u w:val="single"/>
                <w:lang w:eastAsia="pl-PL"/>
              </w:rPr>
            </w:pPr>
            <w:r w:rsidRPr="00A64451">
              <w:rPr>
                <w:rFonts w:ascii="Times New Roman" w:eastAsia="Times New Roman" w:hAnsi="Times New Roman"/>
                <w:b/>
                <w:bCs/>
                <w:u w:val="single"/>
                <w:lang w:eastAsia="pl-PL"/>
              </w:rPr>
              <w:t xml:space="preserve">Wprowadzenie systemu rekompensat za zdarzenia medyczne </w:t>
            </w:r>
          </w:p>
          <w:p w14:paraId="367762A8" w14:textId="17E3D2E3" w:rsidR="005E74AA" w:rsidRDefault="004960A2" w:rsidP="004960A2">
            <w:pPr>
              <w:spacing w:before="120" w:after="120" w:line="240" w:lineRule="auto"/>
              <w:jc w:val="both"/>
              <w:rPr>
                <w:rFonts w:ascii="Times New Roman" w:hAnsi="Times New Roman"/>
              </w:rPr>
            </w:pPr>
            <w:r w:rsidRPr="00F06A35">
              <w:rPr>
                <w:rFonts w:ascii="Times New Roman" w:hAnsi="Times New Roman"/>
              </w:rPr>
              <w:t>Kwestia wpływu na sektor finansów publicznych jest w tym aspekcie związana przede wszystkim z estymacją liczby wniosków, które będą wnoszone w celu uzyskania świadczenia kompensacyjnego, odsetka spraw rozpatrywanych pozytywnie oraz wysokości przyznawanych świadczeń kompensacyjnych, gdyż będzie się to bezpośrednio przekładać na poziom koniecznych wydatków i koszt obsługi całego systemu.</w:t>
            </w:r>
            <w:r w:rsidR="005E74AA">
              <w:rPr>
                <w:rFonts w:ascii="Times New Roman" w:hAnsi="Times New Roman"/>
              </w:rPr>
              <w:t xml:space="preserve"> Wdrożenie </w:t>
            </w:r>
            <w:r w:rsidR="005E74AA" w:rsidRPr="007244B6">
              <w:rPr>
                <w:rFonts w:ascii="Times New Roman" w:eastAsia="Times New Roman" w:hAnsi="Times New Roman"/>
                <w:lang w:eastAsia="pl-PL"/>
              </w:rPr>
              <w:t>systemu pozasądowego rekompensowania szkód doznanych przez pacjentów zakładającego wdrożenie Fundusz</w:t>
            </w:r>
            <w:r w:rsidR="00D53FDB">
              <w:rPr>
                <w:rFonts w:ascii="Times New Roman" w:eastAsia="Times New Roman" w:hAnsi="Times New Roman"/>
                <w:lang w:eastAsia="pl-PL"/>
              </w:rPr>
              <w:t>u</w:t>
            </w:r>
            <w:r w:rsidR="005E74AA" w:rsidRPr="007244B6">
              <w:rPr>
                <w:rFonts w:ascii="Times New Roman" w:eastAsia="Times New Roman" w:hAnsi="Times New Roman"/>
                <w:lang w:eastAsia="pl-PL"/>
              </w:rPr>
              <w:t xml:space="preserve"> Kompensacyjn</w:t>
            </w:r>
            <w:r w:rsidR="00D53FDB">
              <w:rPr>
                <w:rFonts w:ascii="Times New Roman" w:eastAsia="Times New Roman" w:hAnsi="Times New Roman"/>
                <w:lang w:eastAsia="pl-PL"/>
              </w:rPr>
              <w:t>ego</w:t>
            </w:r>
            <w:r w:rsidR="005E74AA" w:rsidRPr="007244B6">
              <w:rPr>
                <w:rFonts w:ascii="Times New Roman" w:eastAsia="Times New Roman" w:hAnsi="Times New Roman"/>
                <w:lang w:eastAsia="pl-PL"/>
              </w:rPr>
              <w:t xml:space="preserve"> Zdarzeń Medycznych</w:t>
            </w:r>
            <w:r w:rsidR="005E74AA">
              <w:rPr>
                <w:rFonts w:ascii="Times New Roman" w:eastAsia="Times New Roman" w:hAnsi="Times New Roman"/>
                <w:lang w:eastAsia="pl-PL"/>
              </w:rPr>
              <w:t xml:space="preserve">, </w:t>
            </w:r>
            <w:r w:rsidR="00D53FDB">
              <w:rPr>
                <w:rFonts w:ascii="Times New Roman" w:eastAsia="Times New Roman" w:hAnsi="Times New Roman"/>
                <w:lang w:eastAsia="pl-PL"/>
              </w:rPr>
              <w:t>spowoduje</w:t>
            </w:r>
            <w:r w:rsidR="005E74AA">
              <w:rPr>
                <w:rFonts w:ascii="Times New Roman" w:eastAsia="Times New Roman" w:hAnsi="Times New Roman"/>
                <w:lang w:eastAsia="pl-PL"/>
              </w:rPr>
              <w:t xml:space="preserve"> oszczędności z tytułu rezygnacji </w:t>
            </w:r>
            <w:r w:rsidR="00D53FDB">
              <w:rPr>
                <w:rFonts w:ascii="Times New Roman" w:eastAsia="Times New Roman" w:hAnsi="Times New Roman"/>
                <w:lang w:eastAsia="pl-PL"/>
              </w:rPr>
              <w:t xml:space="preserve">z </w:t>
            </w:r>
            <w:r w:rsidR="005E74AA" w:rsidRPr="008B36F9">
              <w:rPr>
                <w:rFonts w:ascii="Times New Roman" w:hAnsi="Times New Roman"/>
              </w:rPr>
              <w:t>komisji wojewódzkich do spraw orzekania o zdarzeniach</w:t>
            </w:r>
            <w:r w:rsidR="005E74AA">
              <w:rPr>
                <w:rFonts w:ascii="Times New Roman" w:hAnsi="Times New Roman"/>
              </w:rPr>
              <w:t xml:space="preserve"> medycznych. </w:t>
            </w:r>
          </w:p>
          <w:p w14:paraId="621C3AC5" w14:textId="77777777" w:rsidR="004960A2" w:rsidRPr="00F06A35" w:rsidRDefault="004960A2" w:rsidP="004960A2">
            <w:pPr>
              <w:spacing w:before="120" w:after="120" w:line="240" w:lineRule="auto"/>
              <w:jc w:val="both"/>
              <w:rPr>
                <w:rFonts w:ascii="Times New Roman" w:hAnsi="Times New Roman"/>
                <w:b/>
              </w:rPr>
            </w:pPr>
            <w:r w:rsidRPr="00F06A35">
              <w:rPr>
                <w:rFonts w:ascii="Times New Roman" w:hAnsi="Times New Roman"/>
                <w:b/>
              </w:rPr>
              <w:t>a) koszt świadczeń kompensacyjnych</w:t>
            </w:r>
          </w:p>
          <w:p w14:paraId="70079119" w14:textId="77777777" w:rsidR="004960A2" w:rsidRPr="00F06A35" w:rsidRDefault="004960A2" w:rsidP="004960A2">
            <w:pPr>
              <w:spacing w:before="120" w:after="120" w:line="240" w:lineRule="auto"/>
              <w:jc w:val="both"/>
              <w:rPr>
                <w:rStyle w:val="cf01"/>
                <w:rFonts w:ascii="Times New Roman" w:hAnsi="Times New Roman" w:cs="Times New Roman"/>
                <w:sz w:val="22"/>
                <w:szCs w:val="22"/>
              </w:rPr>
            </w:pPr>
            <w:r w:rsidRPr="00F06A35">
              <w:rPr>
                <w:rFonts w:ascii="Times New Roman" w:hAnsi="Times New Roman"/>
              </w:rPr>
              <w:t>Szacując potencjalny wpływ wniosków o wypłatę świadczenia kompensacyjnego w pierwszej kolejności należy wziąć pod uwagę liczbę wniosków kierowanych dotąd do wojewódzkich komisji do spraw orzekania o zdarzeń medycznych, które w związku z wejściem w życie ustawy ulegną likwidacji. Działalność komisji dotyczyła podobnego zakresu spraw, co przewidziany w niniejszej ustawie – z</w:t>
            </w:r>
            <w:r w:rsidRPr="00F06A35">
              <w:rPr>
                <w:rFonts w:ascii="Times New Roman" w:hAnsi="Times New Roman"/>
                <w:lang w:eastAsia="pl-PL"/>
              </w:rPr>
              <w:t xml:space="preserve">akażenia biologicznym czynnikiem chorobotwórczym, uszkodzenia ciała lub rozstroju zdrowia </w:t>
            </w:r>
            <w:bookmarkStart w:id="4" w:name="mip49383053"/>
            <w:bookmarkEnd w:id="4"/>
            <w:r w:rsidRPr="00F06A35">
              <w:rPr>
                <w:rFonts w:ascii="Times New Roman" w:hAnsi="Times New Roman"/>
                <w:lang w:eastAsia="pl-PL"/>
              </w:rPr>
              <w:t xml:space="preserve">oraz zgony, </w:t>
            </w:r>
            <w:r w:rsidRPr="00F06A35">
              <w:rPr>
                <w:rFonts w:ascii="Times New Roman" w:hAnsi="Times New Roman"/>
              </w:rPr>
              <w:t xml:space="preserve">będące następstwem udzielania świadczeń opieki zdrowotnej w szpitalu. W 2019 r. łączna liczba nowych wniosków wniesionych do komisji wyniosła 861. Ponad 1/5 wniosków dotyczyła przy tym </w:t>
            </w:r>
            <w:r w:rsidRPr="00F06A35">
              <w:rPr>
                <w:rStyle w:val="cf01"/>
                <w:rFonts w:ascii="Times New Roman" w:hAnsi="Times New Roman" w:cs="Times New Roman"/>
                <w:sz w:val="22"/>
                <w:szCs w:val="22"/>
              </w:rPr>
              <w:t>śmierci pacjenta, a w takich przypadkach jeden wniosek skierowany do komisji może dotyczyć kilku uprawnionych, natomiast wnioski o wypłatę świadczenia kompensacyjnego będą składane oddzielnie przez każdą osobę zainteresowaną rozpatrzeniem jej sprawy. Można dodatkowo przyjąć, że zainteresowanie uzyskaniem świadczenia kompensacyjnego będzie znacząco wyższe niż</w:t>
            </w:r>
            <w:r w:rsidRPr="009A35C0">
              <w:rPr>
                <w:rStyle w:val="cf01"/>
                <w:rFonts w:ascii="Times New Roman" w:hAnsi="Times New Roman" w:cs="Times New Roman"/>
                <w:color w:val="ED7D31"/>
                <w:sz w:val="22"/>
                <w:szCs w:val="22"/>
              </w:rPr>
              <w:t xml:space="preserve"> </w:t>
            </w:r>
            <w:r w:rsidRPr="00F06A35">
              <w:rPr>
                <w:rStyle w:val="cf01"/>
                <w:rFonts w:ascii="Times New Roman" w:hAnsi="Times New Roman" w:cs="Times New Roman"/>
                <w:sz w:val="22"/>
                <w:szCs w:val="22"/>
              </w:rPr>
              <w:t xml:space="preserve">przeprowadzeniem postępowania przed komisją, które charakteryzowało się niską efektywnością, nie gwarantując naprawienia szkody nawet w razie wydania przez komisję orzeczenia o zdarzeniu medycznym (a w praktyce szansa na to była bardzo mała, o czym świadczy, że 2019 r. w skali całego kraju doszło do zawarcia jedynie 25 ugód). Tymczasem celem wniosku składanego do Rzecznika Praw Pacjenta będzie uzyskanie wymiernego świadczenia finansowego, w określonych sytuacjach poszkodowany uzyska też możliwość wsparcia ze strony koordynatora </w:t>
            </w:r>
            <w:r w:rsidRPr="00F06A35">
              <w:rPr>
                <w:rFonts w:ascii="Times New Roman" w:hAnsi="Times New Roman"/>
                <w:shd w:val="clear" w:color="auto" w:fill="FFFFFF"/>
              </w:rPr>
              <w:t xml:space="preserve">leczenia poważnych następstw zdrowotnych oraz prawo do korzystania poza kolejnością ze świadczeń opieki zdrowotnej oraz z usług farmaceutycznych udzielanych w aptekach. Jednocześnie </w:t>
            </w:r>
            <w:r w:rsidRPr="00F06A35">
              <w:rPr>
                <w:rStyle w:val="cf01"/>
                <w:rFonts w:ascii="Times New Roman" w:hAnsi="Times New Roman" w:cs="Times New Roman"/>
                <w:sz w:val="22"/>
                <w:szCs w:val="22"/>
              </w:rPr>
              <w:t xml:space="preserve">wymogi dotyczące samego wniosku i opłaty od niego czy też ciężar związany z udziałem w postępowaniu, a wreszcie poziom ryzyka w razie nieuzyskania pozytywnego rozstrzygnięcia, będą znacząco obniżone w stosunku do innych sposobów dochodzenia roszczeń, jak wniesienie powództwa o zapłatę do sądu powszechnego. Można zatem przyjąć, że zainteresowanie tym nowym rozwiązaniem znacząco przewyższy liczbę nowych spraw kierowanych do tej pory do komisji wojewódzkich. </w:t>
            </w:r>
          </w:p>
          <w:p w14:paraId="6D565DBF" w14:textId="77777777" w:rsidR="004960A2" w:rsidRPr="00F06A35" w:rsidRDefault="004960A2" w:rsidP="004960A2">
            <w:pPr>
              <w:spacing w:before="120" w:after="120" w:line="240" w:lineRule="auto"/>
              <w:jc w:val="both"/>
              <w:rPr>
                <w:rFonts w:ascii="Times New Roman" w:hAnsi="Times New Roman"/>
              </w:rPr>
            </w:pPr>
            <w:r w:rsidRPr="00F06A35">
              <w:rPr>
                <w:rStyle w:val="cf01"/>
                <w:rFonts w:ascii="Times New Roman" w:hAnsi="Times New Roman" w:cs="Times New Roman"/>
                <w:sz w:val="22"/>
                <w:szCs w:val="22"/>
              </w:rPr>
              <w:t xml:space="preserve">Pomocniczo wskazać też można, że </w:t>
            </w:r>
            <w:r w:rsidRPr="00F06A35">
              <w:rPr>
                <w:rFonts w:ascii="Times New Roman" w:hAnsi="Times New Roman"/>
              </w:rPr>
              <w:t xml:space="preserve">w 2018 r. </w:t>
            </w:r>
            <w:r w:rsidRPr="00F06A35">
              <w:rPr>
                <w:rStyle w:val="cf01"/>
                <w:rFonts w:ascii="Times New Roman" w:hAnsi="Times New Roman" w:cs="Times New Roman"/>
                <w:sz w:val="22"/>
                <w:szCs w:val="22"/>
              </w:rPr>
              <w:t>do</w:t>
            </w:r>
            <w:r w:rsidRPr="00F06A35">
              <w:rPr>
                <w:rFonts w:ascii="Times New Roman" w:hAnsi="Times New Roman"/>
              </w:rPr>
              <w:t xml:space="preserve"> sądów cywilnych wpłynęło 857 pozwów w sprawach o naprawienie szkody wyrządzonej przez służbę zdrowia (również </w:t>
            </w:r>
            <w:r w:rsidRPr="00F06A35">
              <w:rPr>
                <w:rStyle w:val="cf01"/>
                <w:rFonts w:ascii="Times New Roman" w:hAnsi="Times New Roman" w:cs="Times New Roman"/>
                <w:sz w:val="22"/>
                <w:szCs w:val="22"/>
              </w:rPr>
              <w:t>w tym przypadku w sprawach dotyczących śmierci pacjenta jeden pozew może dotyczyć kilku uprawnionych)</w:t>
            </w:r>
            <w:r w:rsidRPr="00F06A35">
              <w:rPr>
                <w:rFonts w:ascii="Times New Roman" w:hAnsi="Times New Roman"/>
              </w:rPr>
              <w:t xml:space="preserve">, z kolei prokuratura wszczęła 2217 spraw o błędy medyczne. Należy też mieć na uwadze, że w świetle danych GUS w 2018 r. w samych tylko szpitalach ogólnych hospitalizowanych było 7 685 000 pacjentów, a każdy pobyt w szpitalu wiąże się z ryzykiem zaistnienia zdarzenia medycznego. </w:t>
            </w:r>
          </w:p>
          <w:p w14:paraId="2557575C"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Zakłada się w związku z tym, że liczba rozpatrzonych wniosków o przyznanie świadczenia kompensacyjnego może wynieść około:</w:t>
            </w:r>
          </w:p>
          <w:p w14:paraId="22BF1859"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- 1 000 w 2022 r.,</w:t>
            </w:r>
          </w:p>
          <w:p w14:paraId="1815E374"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- 2 000 w 2023 r.,</w:t>
            </w:r>
          </w:p>
          <w:p w14:paraId="1AC399CE"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- 2 600 począwszy od 2024 r. </w:t>
            </w:r>
          </w:p>
          <w:p w14:paraId="5CF0444F"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Przewidywany wzrost, jeśli chodzi o pierwsze lata, wiąże się z możliwością złożenia wniosku przez osobę uprawnioną w terminie roku od kiedy dowiedziała się ona o zdarzeniu medycznym (nie później niż 3 lata od samego zdarzenia) oraz czasem trwania okresu liczonego od złożenia wniosku do uprawomocnienia się decyzji w przedmiocie świadczenia kompensacyjnego.</w:t>
            </w:r>
          </w:p>
          <w:p w14:paraId="087967B0"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Przyjąć również można, że prawomocne decyzje przewidujące przyznanie świadczenia zostaną wydane w około 25-30% spraw, co odpowiada doświadczeniom wielu innych państw, które wdrożyły zbliżony model pozasądowego dochodzenia roszczeń (np. Dania – 24,2%, Finlandia 24,3%, Norwegia – 28%). Średnie kwoty świadczeń przyznawanych pacjentom w 2019 r. w tego typu systemach w innych państwach europejskich wynosiły z reguły, w przeliczeniu, od kilkudziesięciu do kilkuset tysięcy zł. Mowa tu o państwach o znacząco wyższym poziomie dochodów od Polski. W przypadku projektowanej regulacji oszacowanie średniego poziomu wypłat jest bardzo trudne, jednak wstępnie założyć można, że będzie to poziom rzędu około 40 000 – 50 000 zł. Reasumując, koszty wypłat świadczeń kompensacyjnych mogą sięgnąć:</w:t>
            </w:r>
          </w:p>
          <w:p w14:paraId="348B8E60"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- 15 mln zł w 2022 r.,</w:t>
            </w:r>
          </w:p>
          <w:p w14:paraId="68E1BEA2"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- 30 mln zł w 2023 r.,</w:t>
            </w:r>
          </w:p>
          <w:p w14:paraId="375B2AD0"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- 39 mln zł począwszy od 2024 r.</w:t>
            </w:r>
          </w:p>
          <w:p w14:paraId="3F863EDC" w14:textId="77777777" w:rsidR="004960A2" w:rsidRPr="00F06A35" w:rsidRDefault="004960A2" w:rsidP="004960A2">
            <w:pPr>
              <w:spacing w:before="120" w:after="120" w:line="240" w:lineRule="auto"/>
              <w:jc w:val="both"/>
              <w:rPr>
                <w:rFonts w:ascii="Times New Roman" w:hAnsi="Times New Roman"/>
                <w:b/>
              </w:rPr>
            </w:pPr>
            <w:r w:rsidRPr="00F06A35">
              <w:rPr>
                <w:rFonts w:ascii="Times New Roman" w:hAnsi="Times New Roman"/>
                <w:b/>
              </w:rPr>
              <w:t>b) koszt obsługi systemu</w:t>
            </w:r>
          </w:p>
          <w:p w14:paraId="1C265AD6"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Wypłata świadczeń kompensacyjnych będzie zadaniem Rzecznika Praw Pacjenta. Realizować je będzie Biuro Rzecznika Praw Pacjenta, jako urząd, przy pomocy którego Rzecznik wykonuje swoje zadania. W ramach tego prowadzone będą postępowania administracyjne w sprawie świadczenia kompensacyjnego, wraz z wydawaniem decyzji merytorycznych, a ponadto konieczna będzie weryfikacja wniosków pod kątem spełniania wymogów formalnych, obsługa Zespołu do spraw Świadczeń z Funduszu Kompensacyjnego Zdarzeń Medycznych oraz Komisji Odwoławczej, wypłata świadczeń z Funduszu, obsługa księgowa Funduszu czy dochodzenie roszczeń regresowych. Konieczne będzie też zapewnienie obsługi prawnej w przypadkach zaskarżenia wydawanych decyzji, a więc w zakresie przygotowania odpowiedzi na skargę oraz reprezentacji organu przed sądami administracyjnymi.</w:t>
            </w:r>
          </w:p>
          <w:p w14:paraId="06778037"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Zadania te zastąpią dotychczasową działalność 16 komisji wojewódzkich do spraw orzekania o zdarzeniach medycznych – realizowaną przez łącznie 256 nieetatowych członków, przy wsparciu administracyjnym kilkudziesięciu pracowników urzędów wojewódzkich (w każdym z urzędów skierowanych do obsługi komisji jest zwykle 2-4 pracowników). Jest ona finansowana z</w:t>
            </w:r>
            <w:r w:rsidRPr="00F06A35">
              <w:rPr>
                <w:rFonts w:ascii="Times New Roman" w:hAnsi="Times New Roman"/>
                <w:shd w:val="clear" w:color="auto" w:fill="FFFFFF"/>
              </w:rPr>
              <w:t xml:space="preserve"> budżetu państwa, z części pozostającej w dyspozycji poszczególnych wojewodów. </w:t>
            </w:r>
            <w:r w:rsidRPr="00F06A35">
              <w:rPr>
                <w:rFonts w:ascii="Times New Roman" w:hAnsi="Times New Roman"/>
              </w:rPr>
              <w:t xml:space="preserve">Łączny koszt związany z utrzymaniem i obsługą komisji wojewódzkich można szacować na co najmniej 9 mln zł rocznie (4 mln zł to wykazany przez urzędy wojewódzkie koszt wynagrodzenia członków komisji i biegłych wraz ze zwrotami kosztów dojazdu za 2019 r.). </w:t>
            </w:r>
          </w:p>
          <w:p w14:paraId="317E617F"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Zakłada się dodatkowo szereg innych pozytywnych skutków związanych z wprowadzeniem zmienionego modelu pozasądowego dochodzenia roszczeń przez pacjentów. Przede wszystkim, dzięki założonym zasadom przewidującym brak możliwości dublowania świadczenia kompensacyjnego przyznawanego w procedurze administracyjnej oraz odszkodowania i zadośćuczynienia dochodzonego na drodze cywilnej, do sądów trafi mniej spraw o naprawienie szkód wyrządzonych przez podmioty lecznicze. Spowoduje to realne oszczędności i odczuwalne odciążenie sądów, tym bardziej, że sprawy o tzw. błędy medyczne należą do najbardziej skomplikowanych i najdłużej trwających. Poważnym problemem obserwowanym w związku z toczącymi się w tych sprawach procesami jest zwłaszcza znalezienie biegłych z zakresu medycyny chętnych do wydania opinii, jak i długi czas oczekiwania na te opinie oraz wysokie wynagrodzenia za ich sporządzenie (sięgające w niektórych przypadkach kwot nawet na poziomie kilkudziesięciu i więcej tys. zł). Wysokie koszty związane z toczącymi się w tego typu sprawach postępowaniami cywilnymi obciążają stronę przegrywającą (w tym również pozwane podmioty lecznicze, w przeważającej liczbie publiczne) bądź Skarb Państwa w razie – dość częstej w praktyce – konieczności przejęcia tych kosztów. </w:t>
            </w:r>
          </w:p>
          <w:p w14:paraId="586F22B9"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Wysokie koszty sporów sądowych ponoszą podmioty lecznicze (najwięcej spraw o naprawienie szkód wyrządzonych przez służbę zdrowia dotyczy zaś szpitali), na co składają się nie tylko zasądzone kwoty odszkodowań, zadośćuczynień i rent oraz koszty sądowe, ale też odsetki ustawowe za opóźnienie (często naliczane za okres wielu lat, począwszy od wdania się w spór aż do wydania prawomocnego wyroku) oraz niebagatelne koszty obsługi prawnej (zastępstwa procesowego). Wprowadzenie ścieżki administracyjnej zmniejszy liczbę roszczeń kierowanych do szpitali, jak i spraw znajdujących swój finał przed sądami powszechnymi, co przełoży się na oszczędności możliwe do wykorzystania przez szpitale na wykonywanie swojego podstawowego zadania, czyli udzielanie specjalistycznych świadczeń zdrowotnych. Pozwoli to również na ograniczenie absorbowania czasu i zmniejszenia przez to produktywności świadków wzywanych do udziału w rozprawach, czyli m.in. członków personelu medycznego. </w:t>
            </w:r>
          </w:p>
          <w:p w14:paraId="3A93E807"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Wreszcie, w sytuacji, w której poszkodowani pacjenci oraz ich bliscy będą dysponować procedurą pozwalającą na niezależną i obiektywną merytoryczną ocenę ich zastrzeżeń do procesu leczniczo-diagnostycznego w kontekście negatywnych skutków, do których mogło dojść podczas tego procesu, wraz z możliwością uzyskania stosownej kompensacji z tytułu doznanej szkody (krzywdy), zmniejszeniu będzie także mogła ulec liczba składanych zawiadomień o podejrzeniu przestępstwa. Dla wielu osób składających takie doniesienie najistotniejsze jest bowiem zbadanie sprawy, w tym zabezpieczenie dokumentacji (do której bliscy nie zawsze mają dostęp w razie śmierci poszkodowanego), i uzyskanie oceny ze strony niezależnego organu. W tym kontekście wskazać warto, że ponad 60% spraw, którymi zajmuje się prokuratura, dotyczy śmierci pacjenta. Można więc założyć, że wprowadzenie projektowanej regulacji z dużym prawdopodobieństwem wpłynie na odciążenie prokuratury, a w efekcie też na obniżenie jej kosztów, wynikających zwłaszcza z mniejszej liczby zlecanych opinii biegłych.</w:t>
            </w:r>
          </w:p>
          <w:p w14:paraId="57391FB2"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W związku nałożeniem nowych zadań na Rzecznika Praw Pacjenta konieczne będzie zatrudnienie wykwalifikowanych pracowników, przede wszystkim z wykształceniem prawniczym, na stanowiskach samodzielnych (główny specjalista, radca prawny). Ocenia się, że na skutek wzrastającej liczby spraw potrzeby w tym zakresie będą stopniowo rosły przez pierwsze trzy lata od wejścia w życie ustawy. Liczba pracowników bezpośrednio zaangażowanych w realizację nowych zadań wyniesie:</w:t>
            </w:r>
          </w:p>
          <w:p w14:paraId="4581D09F"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- 8 w 2022 r., </w:t>
            </w:r>
          </w:p>
          <w:p w14:paraId="202D3F40"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- 16 w 2023 r. </w:t>
            </w:r>
          </w:p>
          <w:p w14:paraId="02E04BC7"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- 20 począwszy od 2024 r. </w:t>
            </w:r>
          </w:p>
          <w:p w14:paraId="71C7B661"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Koszty wynagrodzeń wyniosą w związku z tym:</w:t>
            </w:r>
          </w:p>
          <w:p w14:paraId="15ACA413"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- 715 584 zł w 2022 r., </w:t>
            </w:r>
          </w:p>
          <w:p w14:paraId="1B1F289F"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- 1 431 168 zł w 2023 r.,</w:t>
            </w:r>
          </w:p>
          <w:p w14:paraId="15662CB0"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1 788 960 zł w 2024 r. i w latach kolejnych. </w:t>
            </w:r>
          </w:p>
          <w:p w14:paraId="0BCD1603"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Do oszacowania przyjęto przeciętne miesięczne wynagrodzenie całkowite brutto dla stanowisk samodzielnych w Biurze Rzecznika Praw Pacjenta według danych za 2020 r., z uwzględnieniem kosztów pracodawcy</w:t>
            </w:r>
            <w:r w:rsidRPr="00F06A35">
              <w:rPr>
                <w:rStyle w:val="Odwoanieprzypisudolnego"/>
                <w:rFonts w:ascii="Times New Roman" w:hAnsi="Times New Roman"/>
              </w:rPr>
              <w:footnoteReference w:id="1"/>
            </w:r>
            <w:r w:rsidRPr="00F06A35">
              <w:rPr>
                <w:rFonts w:ascii="Times New Roman" w:hAnsi="Times New Roman"/>
              </w:rPr>
              <w:t xml:space="preserve">. </w:t>
            </w:r>
          </w:p>
          <w:p w14:paraId="55D21BCC"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Uwzględniając powyższe w pierwszym roku konieczne będzie utworzenie 8 nowych etatów, w drugim – 8, a w trzecim – 4. Związane z tym koszty utworzenia stanowisk pracy to:</w:t>
            </w:r>
          </w:p>
          <w:p w14:paraId="78814F7A"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- 61 600 zł w 2022 r.,</w:t>
            </w:r>
          </w:p>
          <w:p w14:paraId="13D2EA84"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- 61 600 zł w 2023 r.,</w:t>
            </w:r>
          </w:p>
          <w:p w14:paraId="1D7B92B6"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- 30 800 zł w 2024 r.</w:t>
            </w:r>
          </w:p>
          <w:p w14:paraId="28B811E8" w14:textId="77777777" w:rsidR="004960A2" w:rsidRPr="00F06A35" w:rsidRDefault="004960A2" w:rsidP="004960A2">
            <w:pPr>
              <w:spacing w:before="120" w:after="120" w:line="240" w:lineRule="auto"/>
              <w:jc w:val="both"/>
              <w:rPr>
                <w:rFonts w:ascii="Times New Roman" w:eastAsia="Times New Roman" w:hAnsi="Times New Roman"/>
                <w:lang w:eastAsia="pl-PL"/>
              </w:rPr>
            </w:pPr>
            <w:r w:rsidRPr="00F06A35">
              <w:rPr>
                <w:rFonts w:ascii="Times New Roman" w:hAnsi="Times New Roman"/>
              </w:rPr>
              <w:t xml:space="preserve">Wskazane powyżej koszty zostaną pokryte z budżetu państwa. Łączne skutki </w:t>
            </w:r>
            <w:r w:rsidRPr="00F06A35">
              <w:rPr>
                <w:rFonts w:ascii="Times New Roman" w:eastAsia="Times New Roman" w:hAnsi="Times New Roman"/>
                <w:lang w:eastAsia="pl-PL"/>
              </w:rPr>
              <w:t>finansowe dla budżetu państwa w związku z wprowadzeniem systemu rekompensat wyniosą zatem:</w:t>
            </w:r>
          </w:p>
          <w:p w14:paraId="3893B731" w14:textId="77777777" w:rsidR="004960A2" w:rsidRPr="00F06A35" w:rsidRDefault="004960A2" w:rsidP="004960A2">
            <w:pPr>
              <w:spacing w:before="120" w:after="120" w:line="240" w:lineRule="auto"/>
              <w:jc w:val="both"/>
              <w:rPr>
                <w:rFonts w:ascii="Times New Roman" w:eastAsia="Times New Roman" w:hAnsi="Times New Roman"/>
                <w:lang w:eastAsia="pl-PL"/>
              </w:rPr>
            </w:pPr>
            <w:r w:rsidRPr="00F06A35">
              <w:rPr>
                <w:rFonts w:ascii="Times New Roman" w:eastAsia="Times New Roman" w:hAnsi="Times New Roman"/>
                <w:lang w:eastAsia="pl-PL"/>
              </w:rPr>
              <w:t>- 777 184 zł w 2022 r.,</w:t>
            </w:r>
          </w:p>
          <w:p w14:paraId="15E79856" w14:textId="77777777" w:rsidR="004960A2" w:rsidRPr="00F06A35" w:rsidRDefault="004960A2" w:rsidP="004960A2">
            <w:pPr>
              <w:spacing w:before="120" w:after="120" w:line="240" w:lineRule="auto"/>
              <w:jc w:val="both"/>
              <w:rPr>
                <w:rFonts w:ascii="Times New Roman" w:eastAsia="Times New Roman" w:hAnsi="Times New Roman"/>
                <w:lang w:eastAsia="pl-PL"/>
              </w:rPr>
            </w:pPr>
            <w:r w:rsidRPr="00F06A35">
              <w:rPr>
                <w:rFonts w:ascii="Times New Roman" w:eastAsia="Times New Roman" w:hAnsi="Times New Roman"/>
                <w:lang w:eastAsia="pl-PL"/>
              </w:rPr>
              <w:t>- 1 492 768 zł w 2023 r.,</w:t>
            </w:r>
          </w:p>
          <w:p w14:paraId="70CBE44B" w14:textId="77777777" w:rsidR="004960A2" w:rsidRPr="00F06A35" w:rsidRDefault="004960A2" w:rsidP="004960A2">
            <w:pPr>
              <w:spacing w:before="120" w:after="120" w:line="240" w:lineRule="auto"/>
              <w:jc w:val="both"/>
              <w:rPr>
                <w:rFonts w:ascii="Times New Roman" w:eastAsia="Times New Roman" w:hAnsi="Times New Roman"/>
                <w:lang w:eastAsia="pl-PL"/>
              </w:rPr>
            </w:pPr>
            <w:r w:rsidRPr="00F06A35">
              <w:rPr>
                <w:rFonts w:ascii="Times New Roman" w:eastAsia="Times New Roman" w:hAnsi="Times New Roman"/>
                <w:lang w:eastAsia="pl-PL"/>
              </w:rPr>
              <w:t>- 1 819 760 zł w 2024 r.,</w:t>
            </w:r>
          </w:p>
          <w:p w14:paraId="59021545" w14:textId="77777777" w:rsidR="004960A2" w:rsidRPr="00F06A35" w:rsidRDefault="004960A2" w:rsidP="004960A2">
            <w:pPr>
              <w:spacing w:before="120" w:after="120" w:line="240" w:lineRule="auto"/>
              <w:jc w:val="both"/>
              <w:rPr>
                <w:rFonts w:ascii="Times New Roman" w:eastAsia="Times New Roman" w:hAnsi="Times New Roman"/>
                <w:lang w:eastAsia="pl-PL"/>
              </w:rPr>
            </w:pPr>
            <w:r w:rsidRPr="00F06A35">
              <w:rPr>
                <w:rFonts w:ascii="Times New Roman" w:eastAsia="Times New Roman" w:hAnsi="Times New Roman"/>
                <w:lang w:eastAsia="pl-PL"/>
              </w:rPr>
              <w:t xml:space="preserve">- </w:t>
            </w:r>
            <w:r w:rsidRPr="00F06A35">
              <w:rPr>
                <w:rFonts w:ascii="Times New Roman" w:hAnsi="Times New Roman"/>
              </w:rPr>
              <w:t xml:space="preserve">1 788 960 zł 2025 r. i </w:t>
            </w:r>
            <w:r w:rsidRPr="00F06A35">
              <w:rPr>
                <w:rFonts w:ascii="Times New Roman" w:eastAsia="Times New Roman" w:hAnsi="Times New Roman"/>
                <w:lang w:eastAsia="pl-PL"/>
              </w:rPr>
              <w:t>w latach kolejnych.</w:t>
            </w:r>
          </w:p>
          <w:p w14:paraId="3FF6D401"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Podkreślić należy w tym kontekście, że zakładany poziom zatrudnienia – znacząco niższy od dotychczasowego stanu osobowego obsługi administracyjnej komisji wojewódzkich, nie wspominając o liczbie pozaetatowych członków tych komisji – dzięki znaczącemu uproszczeniu procesów, centralizacji działań w ramach wyspecjalizowanego i posiadającego odpowiednie doświadczenie organu jakim jest Rzecznik Praw Pacjenta, maksymalnej możliwej do uzyskania efektywności oraz wdrożeniu nowoczesnych i ergonomicznych rozwiązań, pozwoli na daleko idące oszczędności dla Skarbu Państwa w stosunku do dotychczas obowiązujących rozwiązań związanych z funkcjonowaniem 16 odrębnych komisji wojewódzkich, również finansowanych </w:t>
            </w:r>
            <w:r w:rsidRPr="00F06A35">
              <w:rPr>
                <w:rFonts w:ascii="Times New Roman" w:hAnsi="Times New Roman"/>
                <w:shd w:val="clear" w:color="auto" w:fill="FFFFFF"/>
              </w:rPr>
              <w:t>z budżetu państwa (z części pozostającej w dyspozycji poszczególnych wojewodów).</w:t>
            </w:r>
          </w:p>
          <w:p w14:paraId="7B2FFF54"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Rozpatrywanie wniosków o ustalenie świadczenia kompensacyjnego wygeneruje także koszty związane z funkcjonowaniem Zespołu do spraw Świadczeń z Funduszu Kompensacyjnego Zdarzeń Medycznych oraz Komisji Odwoławczej (w tym wynagrodzeń dla członków). Biorąc pod uwagę przewidziany w projekcie ustawy poziom wynagrodzeń członków Zespołu i Komisji oraz spodziewane obciążenie sprawami koszty te, pokrywane ze środków Funduszu Kompensacyjnego Zdarzeń Medycznych, można oszacować w następujący sposób: </w:t>
            </w:r>
          </w:p>
          <w:p w14:paraId="7B6338F7"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- 720 000 zł (Zespół</w:t>
            </w:r>
            <w:r w:rsidRPr="00F06A35">
              <w:rPr>
                <w:rStyle w:val="Odwoanieprzypisudolnego"/>
                <w:rFonts w:ascii="Times New Roman" w:hAnsi="Times New Roman"/>
              </w:rPr>
              <w:footnoteReference w:id="2"/>
            </w:r>
            <w:r w:rsidRPr="00F06A35">
              <w:rPr>
                <w:rFonts w:ascii="Times New Roman" w:hAnsi="Times New Roman"/>
              </w:rPr>
              <w:t>) i 108 000 zł (Komisja</w:t>
            </w:r>
            <w:r w:rsidRPr="00F06A35">
              <w:rPr>
                <w:rStyle w:val="Odwoanieprzypisudolnego"/>
                <w:rFonts w:ascii="Times New Roman" w:hAnsi="Times New Roman"/>
              </w:rPr>
              <w:footnoteReference w:id="3"/>
            </w:r>
            <w:r w:rsidRPr="00F06A35">
              <w:rPr>
                <w:rFonts w:ascii="Times New Roman" w:hAnsi="Times New Roman"/>
              </w:rPr>
              <w:t xml:space="preserve">) w 2022 r., </w:t>
            </w:r>
          </w:p>
          <w:p w14:paraId="288D5AE3"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- 1 440 000 zł i 216 000 zł 2023 r., </w:t>
            </w:r>
          </w:p>
          <w:p w14:paraId="51E47361"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- 1 872 000 zł i 270 000 zł w 2024 r. i w latach kolejnych. </w:t>
            </w:r>
          </w:p>
          <w:p w14:paraId="442B43ED"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Niezbędne do poniesienia koszty będą też wiązać się z prowadzeniem postępowań administracyjnych, dokonywaniem wypłat świadczeń i dochodzeniem roszczeń regresowych oraz z bieżącym funkcjonowaniem samego Funduszu. Również ta kategoria kosztów będzie pokrywana ze środków Funduszu Kompensacyjnego Zdarzeń Medycznych. Wskazane zadania mogą generować koszty na poziomie:</w:t>
            </w:r>
          </w:p>
          <w:p w14:paraId="4AD9C652"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- 24 816 zł w 2022 r., </w:t>
            </w:r>
          </w:p>
          <w:p w14:paraId="1F9A0EDC"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- 31 232 zł w 2023 r.,</w:t>
            </w:r>
          </w:p>
          <w:p w14:paraId="7438C3F1"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- 38 240 zł w 2024 r. i w latach kolejnych. </w:t>
            </w:r>
          </w:p>
          <w:p w14:paraId="40C1F354"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Tym samym obsługa Funduszu Kompensacyjnego Zdarzeń Medycznych i rozpatrywanie spraw</w:t>
            </w:r>
            <w:r w:rsidRPr="002B730C">
              <w:rPr>
                <w:rFonts w:ascii="Times New Roman" w:hAnsi="Times New Roman"/>
                <w:color w:val="ED7D31"/>
              </w:rPr>
              <w:t xml:space="preserve"> </w:t>
            </w:r>
            <w:r w:rsidRPr="00F06A35">
              <w:rPr>
                <w:rFonts w:ascii="Times New Roman" w:hAnsi="Times New Roman"/>
              </w:rPr>
              <w:t>dotyczących przyznania świadczenia kompensacyjnego będą wiązać się z łącznymi wydatkami na poziomie:</w:t>
            </w:r>
          </w:p>
          <w:p w14:paraId="6BA0C43D"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- 1 630 000 zł w 2022 r., </w:t>
            </w:r>
          </w:p>
          <w:p w14:paraId="1195597D"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- 3 180 000 zł w 2023 r., </w:t>
            </w:r>
          </w:p>
          <w:p w14:paraId="2996D7AB"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- 4 000 000 zł w 2024 r. i w latach kolejnych.</w:t>
            </w:r>
          </w:p>
          <w:p w14:paraId="1ADC8AFF"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Jeszcze raz należy w tym kontekście podkreślić liczne oszczędności i zyski wynikające z proponowanej regulacji, co odnosi się przede wszystkim do skutków likwidacji komisji wojewódzkich, ale też ograniczenia obciążenia sądów, prokuratur oraz szpitali, czemu będzie dodatkowo towarzyszyć godziwa rekompensata na rzecz osób uprawnionych – poszkodowani pacjenci będą mogli liczyć na zadośćuczynienie za doznaną krzywdę, które ułatwi im rekonwalescencję i społeczne funkcjonowanie, w razie zaś śmierci pacjenta nastąpi rekompensata krzywdy dla określonego kręgu najbliższych członków rodziny, mająca też na celu udzielenie im wsparcia materialnego.</w:t>
            </w:r>
          </w:p>
          <w:p w14:paraId="19CD243E"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Reasumując, łączne szacunkowe koszty dotyczące realizacji zadania związanego z wypłatą świadczeń kompensacyjnych wyniosą około:</w:t>
            </w:r>
          </w:p>
          <w:p w14:paraId="6DF41C90"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- 16 630 000 zł w 2022 r., </w:t>
            </w:r>
          </w:p>
          <w:p w14:paraId="48F8A970"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- 33 180 000 zł w 2023 r.,</w:t>
            </w:r>
          </w:p>
          <w:p w14:paraId="06890189"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- 43 000 000 zł w 2024 r. i w latach kolejnych. </w:t>
            </w:r>
          </w:p>
          <w:p w14:paraId="510CA20F" w14:textId="77777777" w:rsidR="004960A2" w:rsidRPr="00F06A35" w:rsidRDefault="004960A2" w:rsidP="004960A2">
            <w:pPr>
              <w:spacing w:before="120" w:after="120" w:line="240" w:lineRule="auto"/>
              <w:jc w:val="both"/>
              <w:rPr>
                <w:rFonts w:ascii="Times New Roman" w:hAnsi="Times New Roman"/>
                <w:b/>
              </w:rPr>
            </w:pPr>
            <w:r w:rsidRPr="00F06A35">
              <w:rPr>
                <w:rFonts w:ascii="Times New Roman" w:hAnsi="Times New Roman"/>
                <w:b/>
              </w:rPr>
              <w:t xml:space="preserve">c) przychody </w:t>
            </w:r>
          </w:p>
          <w:p w14:paraId="6CB2099D" w14:textId="3742019B" w:rsidR="004960A2" w:rsidRPr="00F06A35" w:rsidRDefault="004960A2" w:rsidP="004960A2">
            <w:pPr>
              <w:spacing w:before="120" w:after="120" w:line="240" w:lineRule="auto"/>
              <w:jc w:val="both"/>
              <w:rPr>
                <w:rFonts w:ascii="Times New Roman" w:hAnsi="Times New Roman"/>
                <w:i/>
              </w:rPr>
            </w:pPr>
            <w:r w:rsidRPr="00F06A35">
              <w:rPr>
                <w:rFonts w:ascii="Times New Roman" w:hAnsi="Times New Roman"/>
                <w:i/>
              </w:rPr>
              <w:t xml:space="preserve">- </w:t>
            </w:r>
            <w:bookmarkStart w:id="5" w:name="_Hlk72998833"/>
            <w:r w:rsidRPr="00F06A35">
              <w:rPr>
                <w:rFonts w:ascii="Times New Roman" w:hAnsi="Times New Roman"/>
                <w:i/>
              </w:rPr>
              <w:t>główne źródła finansowania do ew. dalszych decyzji;</w:t>
            </w:r>
            <w:bookmarkEnd w:id="5"/>
          </w:p>
          <w:p w14:paraId="0527C905" w14:textId="77777777" w:rsidR="004960A2" w:rsidRPr="00F06A35" w:rsidRDefault="004960A2" w:rsidP="004960A2">
            <w:pPr>
              <w:spacing w:before="120" w:after="120" w:line="240" w:lineRule="auto"/>
              <w:jc w:val="both"/>
              <w:rPr>
                <w:rFonts w:ascii="Times New Roman" w:hAnsi="Times New Roman"/>
                <w:i/>
              </w:rPr>
            </w:pPr>
            <w:r w:rsidRPr="009A35C0">
              <w:rPr>
                <w:rFonts w:ascii="Times New Roman" w:hAnsi="Times New Roman"/>
                <w:i/>
                <w:color w:val="ED7D31"/>
              </w:rPr>
              <w:t xml:space="preserve">- </w:t>
            </w:r>
            <w:r w:rsidRPr="00F06A35">
              <w:rPr>
                <w:rFonts w:ascii="Times New Roman" w:hAnsi="Times New Roman"/>
                <w:i/>
              </w:rPr>
              <w:t>w pozostałym zakresie:</w:t>
            </w:r>
          </w:p>
          <w:p w14:paraId="62577764"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Istotnym uzupełniającym źródłem przychodów będą regresy dochodzone przez Rzecznika Praw Pacjenta w przypadkach określonych w ustawie, przede wszystkim od ubezpieczycieli ponoszących odpowiedzialność gwarancyjną za szkody na podstawie umów obowiązkowych i dobrowolnych ubezpieczeń odpowiedzialności cywilnej. Można przyjąć, że na tej podstawie będzie możliwe odzyskanie około 15% kwot wypłaconych tytułem świadczeń kompensacyjnych. Należy tu jednakowoż mieć na uwadze przesunięcie czasowe między wypłatą świadczenia a realizacją roszczenia regresowego, co wynika z długości procesu dochodzenia tych roszczeń (na etapie przedsądowym, a w części spraw także przed sądami powszechnymi w drodze powództwa). W związku z tym kwoty przychodów można oszacować następująco:</w:t>
            </w:r>
          </w:p>
          <w:p w14:paraId="508C2878"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- 0 zł w 2022 r.,</w:t>
            </w:r>
          </w:p>
          <w:p w14:paraId="2BF96813"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- 1 500 000 zł w 2023 r.,</w:t>
            </w:r>
          </w:p>
          <w:p w14:paraId="1A1A6AA2"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- 3 000 000 zł w 2024 r., </w:t>
            </w:r>
          </w:p>
          <w:p w14:paraId="02799881"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- 4 500 000 zł w 2025 r., </w:t>
            </w:r>
          </w:p>
          <w:p w14:paraId="0DDC4390"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- 5 850 000 zł w 2026 r. i w latach następnych. </w:t>
            </w:r>
          </w:p>
          <w:p w14:paraId="5618B5B8"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Kolejnym kategorią przychodów będą opłaty od wnoszonych wniosków i odwołań. W tej mierze, w związku z zasadą zwrotu opłaty na rzecz wnioskodawcy w razie uwzględnienia wniosku lub odwołania, uwzględnić należy tylko sprawy rozpatrzone negatywnie</w:t>
            </w:r>
            <w:r w:rsidRPr="00F06A35">
              <w:rPr>
                <w:rStyle w:val="Odwoanieprzypisudolnego"/>
                <w:rFonts w:ascii="Times New Roman" w:hAnsi="Times New Roman"/>
              </w:rPr>
              <w:footnoteReference w:id="4"/>
            </w:r>
            <w:r w:rsidRPr="00F06A35">
              <w:rPr>
                <w:rFonts w:ascii="Times New Roman" w:hAnsi="Times New Roman"/>
              </w:rPr>
              <w:t>, co będzie mogło przełożyć się na następujące kwoty:</w:t>
            </w:r>
          </w:p>
          <w:p w14:paraId="0D002C7D"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xml:space="preserve">- 250 000 zł w 2022 r., </w:t>
            </w:r>
          </w:p>
          <w:p w14:paraId="5AB76650" w14:textId="77777777" w:rsidR="004960A2" w:rsidRPr="00F06A35" w:rsidRDefault="004960A2" w:rsidP="004960A2">
            <w:pPr>
              <w:spacing w:before="120" w:after="120" w:line="240" w:lineRule="auto"/>
              <w:jc w:val="both"/>
              <w:rPr>
                <w:rFonts w:ascii="Times New Roman" w:hAnsi="Times New Roman"/>
              </w:rPr>
            </w:pPr>
            <w:r w:rsidRPr="00F06A35">
              <w:rPr>
                <w:rFonts w:ascii="Times New Roman" w:hAnsi="Times New Roman"/>
              </w:rPr>
              <w:t>- 500 000 zł w 2023 r.,</w:t>
            </w:r>
          </w:p>
          <w:p w14:paraId="48DD0006" w14:textId="75F3D1B9" w:rsidR="004960A2" w:rsidRDefault="004960A2" w:rsidP="004960A2">
            <w:pPr>
              <w:spacing w:before="120" w:after="120" w:line="240" w:lineRule="auto"/>
              <w:jc w:val="both"/>
              <w:rPr>
                <w:rFonts w:ascii="Times New Roman" w:hAnsi="Times New Roman"/>
              </w:rPr>
            </w:pPr>
            <w:r w:rsidRPr="00F06A35">
              <w:rPr>
                <w:rFonts w:ascii="Times New Roman" w:hAnsi="Times New Roman"/>
              </w:rPr>
              <w:t>- 650 000 zł w 2024 r. i w latach kolejnych.</w:t>
            </w:r>
          </w:p>
          <w:p w14:paraId="1B85028B" w14:textId="6041DBFE" w:rsidR="007244B6" w:rsidRPr="007244B6" w:rsidRDefault="00D53FDB" w:rsidP="007244B6">
            <w:pPr>
              <w:spacing w:before="120" w:after="120" w:line="240" w:lineRule="auto"/>
              <w:jc w:val="both"/>
              <w:rPr>
                <w:rFonts w:ascii="Times New Roman" w:eastAsia="Times New Roman" w:hAnsi="Times New Roman"/>
                <w:lang w:eastAsia="pl-PL"/>
              </w:rPr>
            </w:pPr>
            <w:bookmarkStart w:id="6" w:name="_Hlk74831425"/>
            <w:r>
              <w:rPr>
                <w:rFonts w:ascii="Times New Roman" w:eastAsia="Times New Roman" w:hAnsi="Times New Roman"/>
                <w:lang w:eastAsia="pl-PL"/>
              </w:rPr>
              <w:t>P</w:t>
            </w:r>
            <w:r w:rsidR="00EC4CBD">
              <w:rPr>
                <w:rFonts w:ascii="Times New Roman" w:eastAsia="Times New Roman" w:hAnsi="Times New Roman"/>
                <w:lang w:eastAsia="pl-PL"/>
              </w:rPr>
              <w:t>odstawowym ź</w:t>
            </w:r>
            <w:r w:rsidR="007244B6" w:rsidRPr="007244B6">
              <w:rPr>
                <w:rFonts w:ascii="Times New Roman" w:eastAsia="Times New Roman" w:hAnsi="Times New Roman"/>
                <w:lang w:eastAsia="pl-PL"/>
              </w:rPr>
              <w:t>ródłem finansowania systemu pozasądowego rekompensowania szkód doznanych przez pacjentów zakładającego wdrożenie Fundusz</w:t>
            </w:r>
            <w:r>
              <w:rPr>
                <w:rFonts w:ascii="Times New Roman" w:eastAsia="Times New Roman" w:hAnsi="Times New Roman"/>
                <w:lang w:eastAsia="pl-PL"/>
              </w:rPr>
              <w:t>u</w:t>
            </w:r>
            <w:r w:rsidR="007244B6" w:rsidRPr="007244B6">
              <w:rPr>
                <w:rFonts w:ascii="Times New Roman" w:eastAsia="Times New Roman" w:hAnsi="Times New Roman"/>
                <w:lang w:eastAsia="pl-PL"/>
              </w:rPr>
              <w:t xml:space="preserve"> Kompensacyjn</w:t>
            </w:r>
            <w:r>
              <w:rPr>
                <w:rFonts w:ascii="Times New Roman" w:eastAsia="Times New Roman" w:hAnsi="Times New Roman"/>
                <w:lang w:eastAsia="pl-PL"/>
              </w:rPr>
              <w:t>ego</w:t>
            </w:r>
            <w:r w:rsidR="007244B6" w:rsidRPr="007244B6">
              <w:rPr>
                <w:rFonts w:ascii="Times New Roman" w:eastAsia="Times New Roman" w:hAnsi="Times New Roman"/>
                <w:lang w:eastAsia="pl-PL"/>
              </w:rPr>
              <w:t xml:space="preserve"> Zdarzeń Medycznych będzie odpis z przychodów z tytułu składek na ubezpieczenie zdrowotne</w:t>
            </w:r>
            <w:r w:rsidR="007244B6">
              <w:rPr>
                <w:rFonts w:ascii="Times New Roman" w:eastAsia="Times New Roman" w:hAnsi="Times New Roman"/>
                <w:lang w:eastAsia="pl-PL"/>
              </w:rPr>
              <w:t xml:space="preserve">. Szacuje się, że w latach 2022 – 2032 na ten cel </w:t>
            </w:r>
            <w:r w:rsidR="00EC4CBD">
              <w:rPr>
                <w:rFonts w:ascii="Times New Roman" w:eastAsia="Times New Roman" w:hAnsi="Times New Roman"/>
                <w:lang w:eastAsia="pl-PL"/>
              </w:rPr>
              <w:t xml:space="preserve">z odpisu </w:t>
            </w:r>
            <w:r w:rsidR="007244B6">
              <w:rPr>
                <w:rFonts w:ascii="Times New Roman" w:eastAsia="Times New Roman" w:hAnsi="Times New Roman"/>
                <w:lang w:eastAsia="pl-PL"/>
              </w:rPr>
              <w:t xml:space="preserve">zostanie przeznaczonych do </w:t>
            </w:r>
            <w:r w:rsidR="00EC4CBD">
              <w:rPr>
                <w:rFonts w:ascii="Times New Roman" w:eastAsia="Times New Roman" w:hAnsi="Times New Roman"/>
                <w:lang w:eastAsia="pl-PL"/>
              </w:rPr>
              <w:t>380,01</w:t>
            </w:r>
            <w:r w:rsidR="007244B6">
              <w:rPr>
                <w:rFonts w:ascii="Times New Roman" w:eastAsia="Times New Roman" w:hAnsi="Times New Roman"/>
                <w:lang w:eastAsia="pl-PL"/>
              </w:rPr>
              <w:t xml:space="preserve"> mln złotych. </w:t>
            </w:r>
            <w:r w:rsidR="007244B6" w:rsidRPr="007244B6">
              <w:rPr>
                <w:rFonts w:ascii="Times New Roman" w:eastAsia="Times New Roman" w:hAnsi="Times New Roman"/>
                <w:lang w:eastAsia="pl-PL"/>
              </w:rPr>
              <w:t>Wysokość </w:t>
            </w:r>
            <w:bookmarkStart w:id="7" w:name="highlightHit_8"/>
            <w:bookmarkEnd w:id="7"/>
            <w:r w:rsidR="007244B6" w:rsidRPr="007244B6">
              <w:rPr>
                <w:rFonts w:ascii="Times New Roman" w:eastAsia="Times New Roman" w:hAnsi="Times New Roman"/>
                <w:lang w:eastAsia="pl-PL"/>
              </w:rPr>
              <w:t>odpisu dla Funduszu stanowić będzie nie więcej niż 0,0</w:t>
            </w:r>
            <w:r w:rsidR="00EC4CBD">
              <w:rPr>
                <w:rFonts w:ascii="Times New Roman" w:eastAsia="Times New Roman" w:hAnsi="Times New Roman"/>
                <w:lang w:eastAsia="pl-PL"/>
              </w:rPr>
              <w:t>36</w:t>
            </w:r>
            <w:r w:rsidR="007244B6" w:rsidRPr="007244B6">
              <w:rPr>
                <w:rFonts w:ascii="Times New Roman" w:eastAsia="Times New Roman" w:hAnsi="Times New Roman"/>
                <w:lang w:eastAsia="pl-PL"/>
              </w:rPr>
              <w:t>% planowanych należnych przychodów z tytułu składek na ubezpieczenie zdrowotne na ten rok określonych w planie finansowym Funduszu zatwierdzonym w trybie, o którym mowa w </w:t>
            </w:r>
            <w:hyperlink r:id="rId12" w:history="1">
              <w:r w:rsidR="007244B6" w:rsidRPr="007244B6">
                <w:rPr>
                  <w:rFonts w:ascii="Times New Roman" w:eastAsia="Times New Roman" w:hAnsi="Times New Roman"/>
                  <w:lang w:eastAsia="pl-PL"/>
                </w:rPr>
                <w:t>art. 121 ust. 4</w:t>
              </w:r>
            </w:hyperlink>
            <w:r w:rsidR="007244B6" w:rsidRPr="007244B6">
              <w:rPr>
                <w:rFonts w:ascii="Times New Roman" w:eastAsia="Times New Roman" w:hAnsi="Times New Roman"/>
                <w:lang w:eastAsia="pl-PL"/>
              </w:rPr>
              <w:t xml:space="preserve"> ustawy o świadczeniach opieki zdrowotnej finansowanych ze środków publicznych albo ustalonym w trybie, o którym mowa w </w:t>
            </w:r>
            <w:hyperlink r:id="rId13" w:history="1">
              <w:r w:rsidR="007244B6" w:rsidRPr="007244B6">
                <w:rPr>
                  <w:rFonts w:ascii="Times New Roman" w:eastAsia="Times New Roman" w:hAnsi="Times New Roman"/>
                  <w:lang w:eastAsia="pl-PL"/>
                </w:rPr>
                <w:t>art. 121 ust. 5</w:t>
              </w:r>
            </w:hyperlink>
            <w:r w:rsidR="007244B6" w:rsidRPr="007244B6">
              <w:rPr>
                <w:rFonts w:ascii="Times New Roman" w:eastAsia="Times New Roman" w:hAnsi="Times New Roman"/>
                <w:lang w:eastAsia="pl-PL"/>
              </w:rPr>
              <w:t>, albo </w:t>
            </w:r>
            <w:hyperlink r:id="rId14" w:history="1">
              <w:r w:rsidR="007244B6" w:rsidRPr="007244B6">
                <w:rPr>
                  <w:rFonts w:ascii="Times New Roman" w:eastAsia="Times New Roman" w:hAnsi="Times New Roman"/>
                  <w:lang w:eastAsia="pl-PL"/>
                </w:rPr>
                <w:t>art. 123 ust. 3</w:t>
              </w:r>
            </w:hyperlink>
            <w:r w:rsidR="007244B6" w:rsidRPr="007244B6">
              <w:rPr>
                <w:rFonts w:ascii="Times New Roman" w:eastAsia="Times New Roman" w:hAnsi="Times New Roman"/>
                <w:lang w:eastAsia="pl-PL"/>
              </w:rPr>
              <w:t>.</w:t>
            </w:r>
            <w:r w:rsidR="007244B6">
              <w:rPr>
                <w:rFonts w:ascii="Times New Roman" w:eastAsia="Times New Roman" w:hAnsi="Times New Roman"/>
                <w:lang w:eastAsia="pl-PL"/>
              </w:rPr>
              <w:t xml:space="preserve"> </w:t>
            </w:r>
            <w:bookmarkStart w:id="8" w:name="_Hlk74834442"/>
            <w:r w:rsidR="007244B6">
              <w:rPr>
                <w:rFonts w:ascii="Times New Roman" w:eastAsia="Times New Roman" w:hAnsi="Times New Roman"/>
                <w:lang w:eastAsia="pl-PL"/>
              </w:rPr>
              <w:t>W pierwszych dwóch latach działania tego Funduszu odpis ten nie będzie większy niż 0,01</w:t>
            </w:r>
            <w:r w:rsidR="00EC4CBD">
              <w:rPr>
                <w:rFonts w:ascii="Times New Roman" w:eastAsia="Times New Roman" w:hAnsi="Times New Roman"/>
                <w:lang w:eastAsia="pl-PL"/>
              </w:rPr>
              <w:t>6</w:t>
            </w:r>
            <w:r w:rsidR="007244B6">
              <w:rPr>
                <w:rFonts w:ascii="Times New Roman" w:eastAsia="Times New Roman" w:hAnsi="Times New Roman"/>
                <w:lang w:eastAsia="pl-PL"/>
              </w:rPr>
              <w:t xml:space="preserve">% </w:t>
            </w:r>
            <w:r w:rsidR="005E74AA" w:rsidRPr="005E74AA">
              <w:rPr>
                <w:rFonts w:ascii="Times New Roman" w:eastAsia="Times New Roman" w:hAnsi="Times New Roman"/>
                <w:lang w:eastAsia="pl-PL"/>
              </w:rPr>
              <w:t xml:space="preserve">planowanych należnych przychodów z tytułu składek na ubezpieczenie zdrowotne </w:t>
            </w:r>
            <w:r w:rsidR="007244B6">
              <w:rPr>
                <w:rFonts w:ascii="Times New Roman" w:eastAsia="Times New Roman" w:hAnsi="Times New Roman"/>
                <w:lang w:eastAsia="pl-PL"/>
              </w:rPr>
              <w:t>w 2022 roku oraz 0,0</w:t>
            </w:r>
            <w:r w:rsidR="00EC4CBD">
              <w:rPr>
                <w:rFonts w:ascii="Times New Roman" w:eastAsia="Times New Roman" w:hAnsi="Times New Roman"/>
                <w:lang w:eastAsia="pl-PL"/>
              </w:rPr>
              <w:t>29</w:t>
            </w:r>
            <w:r w:rsidR="007244B6">
              <w:rPr>
                <w:rFonts w:ascii="Times New Roman" w:eastAsia="Times New Roman" w:hAnsi="Times New Roman"/>
                <w:lang w:eastAsia="pl-PL"/>
              </w:rPr>
              <w:t>% w 2023 roku.</w:t>
            </w:r>
          </w:p>
          <w:bookmarkEnd w:id="8"/>
          <w:p w14:paraId="1B50D20D" w14:textId="60717CFB" w:rsidR="00D5571D" w:rsidRDefault="00D5571D" w:rsidP="00D5571D">
            <w:pPr>
              <w:spacing w:before="120" w:after="120" w:line="240" w:lineRule="auto"/>
              <w:jc w:val="both"/>
              <w:rPr>
                <w:rFonts w:ascii="Times New Roman" w:hAnsi="Times New Roman"/>
              </w:rPr>
            </w:pPr>
            <w:r w:rsidRPr="008B36F9">
              <w:rPr>
                <w:rFonts w:ascii="Times New Roman" w:hAnsi="Times New Roman"/>
              </w:rPr>
              <w:t xml:space="preserve">Zadania realizowane przez Rzecznika </w:t>
            </w:r>
            <w:r w:rsidR="00D53FDB">
              <w:rPr>
                <w:rFonts w:ascii="Times New Roman" w:hAnsi="Times New Roman"/>
              </w:rPr>
              <w:t xml:space="preserve">Praw Pacjenta </w:t>
            </w:r>
            <w:r w:rsidRPr="008B36F9">
              <w:rPr>
                <w:rFonts w:ascii="Times New Roman" w:hAnsi="Times New Roman"/>
              </w:rPr>
              <w:t xml:space="preserve">w związku z wypłatą świadczeń kompensacyjnych zastąpią dotychczasową działalność 16 komisji wojewódzkich do spraw orzekania o zdarzeniach medycznych, których </w:t>
            </w:r>
            <w:r w:rsidRPr="00D5571D">
              <w:rPr>
                <w:rFonts w:ascii="Times New Roman" w:hAnsi="Times New Roman"/>
              </w:rPr>
              <w:t xml:space="preserve">działalność jest finansowana z budżetu państwa, z części pozostającej w dyspozycji właściwego wojewody. </w:t>
            </w:r>
            <w:r>
              <w:rPr>
                <w:rFonts w:ascii="Times New Roman" w:hAnsi="Times New Roman"/>
              </w:rPr>
              <w:t xml:space="preserve">Szacuje się, że oszczędności z tego tytułu w latach 2022 – 2032 mogą wynieść do 112,35 mln złotych. </w:t>
            </w:r>
            <w:r w:rsidRPr="00D5571D">
              <w:rPr>
                <w:rFonts w:ascii="Times New Roman" w:hAnsi="Times New Roman"/>
              </w:rPr>
              <w:t>Komisje l</w:t>
            </w:r>
            <w:r w:rsidRPr="008B36F9">
              <w:rPr>
                <w:rFonts w:ascii="Times New Roman" w:hAnsi="Times New Roman"/>
              </w:rPr>
              <w:t xml:space="preserve">iczą po 16 członków pozaetatowych (łącznie 256), którym przysługuje wynagrodzenie za każde posiedzenie i zwrot kosztów </w:t>
            </w:r>
            <w:r w:rsidR="00D53FDB">
              <w:rPr>
                <w:rFonts w:ascii="Times New Roman" w:hAnsi="Times New Roman"/>
              </w:rPr>
              <w:t>przejazdu</w:t>
            </w:r>
            <w:r w:rsidRPr="008B36F9">
              <w:rPr>
                <w:rFonts w:ascii="Times New Roman" w:hAnsi="Times New Roman"/>
              </w:rPr>
              <w:t xml:space="preserve">. Wykazana przez urzędy wojewódzkie łączna kwota wydatkowana w 2019 r. na koszty wynagrodzeń członków komisji i biegłych, wraz ze zwrotami kosztów </w:t>
            </w:r>
            <w:r w:rsidR="00D53FDB">
              <w:rPr>
                <w:rFonts w:ascii="Times New Roman" w:hAnsi="Times New Roman"/>
              </w:rPr>
              <w:t>przejazdu</w:t>
            </w:r>
            <w:r w:rsidRPr="008B36F9">
              <w:rPr>
                <w:rFonts w:ascii="Times New Roman" w:hAnsi="Times New Roman"/>
              </w:rPr>
              <w:t xml:space="preserve">, to 4 mln zł. Do tego dochodzą koszty obsługi administracyjnej zapewnianej przez urzędy wojewódzkie, w tym koszty osobowe związane z zatrudnieniem kilkudziesięciu pracowników obsługi (w każdym z urzędów skierowanych do obsługi komisji jest zwykle 2-4 pracowników). Łączny koszt związany z utrzymaniem i obsługą komisji wojewódzkich można szacować na co najmniej 9 mln zł rocznie. </w:t>
            </w:r>
          </w:p>
          <w:p w14:paraId="4DA70E2A" w14:textId="77777777" w:rsidR="008B7CAD" w:rsidRPr="008B7CAD" w:rsidRDefault="008B7CAD" w:rsidP="008B7CAD">
            <w:pPr>
              <w:spacing w:before="120" w:after="120" w:line="240" w:lineRule="auto"/>
              <w:jc w:val="both"/>
              <w:rPr>
                <w:rFonts w:ascii="Times New Roman" w:hAnsi="Times New Roman"/>
              </w:rPr>
            </w:pPr>
            <w:r w:rsidRPr="008B7CAD">
              <w:rPr>
                <w:rFonts w:ascii="Times New Roman" w:hAnsi="Times New Roman"/>
              </w:rPr>
              <w:t xml:space="preserve">Zakłada się dodatkowo szereg innych pozytywnych skutków związanych z wprowadzeniem zmienionego modelu pozasądowego dochodzenia roszczeń przez pacjentów. Przede wszystkim, dzięki założonym zasadom przewidującym brak możliwości dublowania świadczenia kompensacyjnego przyznawanego w procedurze administracyjnej oraz odszkodowania i zadośćuczynienia dochodzonego na drodze cywilnej, do sądów trafi mniej spraw o naprawienie szkód wyrządzonych przez podmioty lecznicze. Spowoduje to realne oszczędności i odczuwalne odciążenie sądów, tym bardziej, że sprawy o tzw. błędy medyczne należą do najbardziej skomplikowanych i najdłużej trwających. Poważnym problemem obserwowanym w związku z toczącymi się w tych sprawach procesami jest zwłaszcza znalezienie biegłych z zakresu medycyny chętnych do wydania opinii, jak i długi czas oczekiwania na te opinie oraz wysokie wynagrodzenia za ich sporządzenie (sięgające w niektórych przypadkach kwot nawet na poziomie kilkudziesięciu i więcej tys. zł). Wysokie koszty związane z toczącymi się w tego typu sprawach postępowaniami cywilnymi obciążają stronę przegrywającą (w tym również pozwane podmioty lecznicze, w przeważającej liczbie publiczne) bądź Skarb Państwa w razie – dość częstej w praktyce – konieczności przejęcia tych kosztów. </w:t>
            </w:r>
          </w:p>
          <w:p w14:paraId="1CD73122" w14:textId="77777777" w:rsidR="008B7CAD" w:rsidRPr="008B7CAD" w:rsidRDefault="008B7CAD" w:rsidP="008B7CAD">
            <w:pPr>
              <w:spacing w:before="120" w:after="120" w:line="240" w:lineRule="auto"/>
              <w:jc w:val="both"/>
              <w:rPr>
                <w:rFonts w:ascii="Times New Roman" w:hAnsi="Times New Roman"/>
              </w:rPr>
            </w:pPr>
            <w:r w:rsidRPr="008B7CAD">
              <w:rPr>
                <w:rFonts w:ascii="Times New Roman" w:hAnsi="Times New Roman"/>
              </w:rPr>
              <w:t xml:space="preserve">Wysokie koszty sporów sądowych ponoszą podmioty lecznicze (najwięcej spraw o naprawienie szkód wyrządzonych przez służbę zdrowia dotyczy zaś szpitali), na co składają się nie tylko zasądzone kwoty odszkodowań, zadośćuczynień i rent oraz koszty sądowe, ale też odsetki ustawowe za opóźnienie (często naliczane za okres wielu lat, począwszy od wdania się w spór aż do wydania prawomocnego wyroku) oraz niebagatelne koszty obsługi prawnej (zastępstwa procesowego). Wprowadzenie ścieżki administracyjnej zmniejszy liczbę roszczeń kierowanych do szpitali, jak i spraw znajdujących swój finał przed sądami powszechnymi, co przełoży się na oszczędności możliwe do wykorzystania przez szpitale na wykonywanie swojego podstawowego zadania, czyli udzielanie specjalistycznych świadczeń zdrowotnych. Pozwoli to również na ograniczenie absorbowania czasu i zmniejszenia przez to produktywności świadków wzywanych do udziału w rozprawach, czyli m.in. członków personelu medycznego. </w:t>
            </w:r>
          </w:p>
          <w:p w14:paraId="0684B0F5" w14:textId="51BCF13C" w:rsidR="008B7CAD" w:rsidRPr="008B7CAD" w:rsidRDefault="00D53FDB" w:rsidP="008B7CAD">
            <w:pPr>
              <w:spacing w:before="120" w:after="120" w:line="240" w:lineRule="auto"/>
              <w:jc w:val="both"/>
              <w:rPr>
                <w:rFonts w:ascii="Times New Roman" w:hAnsi="Times New Roman"/>
              </w:rPr>
            </w:pPr>
            <w:r>
              <w:rPr>
                <w:rFonts w:ascii="Times New Roman" w:hAnsi="Times New Roman"/>
              </w:rPr>
              <w:t>W</w:t>
            </w:r>
            <w:r w:rsidR="008B7CAD" w:rsidRPr="008B7CAD">
              <w:rPr>
                <w:rFonts w:ascii="Times New Roman" w:hAnsi="Times New Roman"/>
              </w:rPr>
              <w:t xml:space="preserve"> sytuacji, w której poszkodowani pacjenci oraz ich bliscy będą dysponować procedurą pozwalającą na niezależną i obiektywną merytoryczną ocenę ich zastrzeżeń do procesu leczniczo-diagnostycznego w kontekście negatywnych skutków, do których mogło dojść podczas tego procesu, wraz z możliwością uzyskania stosownej kompensacji z tytułu doznanej szkody (krzywdy), zmniejszeniu będzie także mogła ulec liczba składanych zawiadomień o podejrzeniu przestępstwa. Dla wielu osób składających takie doniesienie najistotniejsze jest bowiem zbadanie sprawy, w tym zabezpieczenie dokumentacji (do której bliscy nie zawsze mają dostęp w razie śmierci poszkodowanego), i uzyskanie oceny ze strony niezależnego organu. W tym kontekście wskazać warto, że ponad 60% spraw, którymi zajmuje się prokuratura, dotyczy śmierci pacjenta. Można więc założyć, że wprowadzenie projektowanej regulacji z dużym prawdopodobieństwem wpłynie na odciążenie prokuratury, a w efekcie też na obniżenie jej kosztów, wynikających zwłaszcza z mniejszej liczby zlecanych opinii biegłych.</w:t>
            </w:r>
          </w:p>
          <w:bookmarkEnd w:id="6"/>
          <w:p w14:paraId="6156D4C6" w14:textId="77777777" w:rsidR="004960A2" w:rsidRPr="000223DF" w:rsidRDefault="004960A2" w:rsidP="000223DF">
            <w:pPr>
              <w:spacing w:before="120" w:after="120" w:line="240" w:lineRule="auto"/>
              <w:jc w:val="both"/>
              <w:rPr>
                <w:rFonts w:ascii="Times New Roman" w:eastAsia="Times New Roman" w:hAnsi="Times New Roman"/>
                <w:lang w:eastAsia="pl-PL"/>
              </w:rPr>
            </w:pPr>
            <w:r w:rsidRPr="00DD506D">
              <w:rPr>
                <w:rFonts w:ascii="Times New Roman" w:eastAsia="Times New Roman" w:hAnsi="Times New Roman"/>
                <w:lang w:eastAsia="pl-PL"/>
              </w:rPr>
              <w:t>Zakłada się, że zaproponowane rozwiązania będą ukierunkowane na poprawę jakości i</w:t>
            </w:r>
            <w:r>
              <w:rPr>
                <w:rFonts w:ascii="Times New Roman" w:eastAsia="Times New Roman" w:hAnsi="Times New Roman"/>
                <w:lang w:eastAsia="pl-PL"/>
              </w:rPr>
              <w:t> </w:t>
            </w:r>
            <w:r w:rsidRPr="00DD506D">
              <w:rPr>
                <w:rFonts w:ascii="Times New Roman" w:eastAsia="Times New Roman" w:hAnsi="Times New Roman"/>
                <w:lang w:eastAsia="pl-PL"/>
              </w:rPr>
              <w:t xml:space="preserve">bezpieczeństwa przez usprawnienia w organizacji pracy w podmiotach wykonujących działalność leczniczą, w mniejszym stopniu rozwiązania te będą wymagały ponoszenia przez te podmioty znacznych kosztów inwestycyjnych. </w:t>
            </w:r>
          </w:p>
        </w:tc>
      </w:tr>
      <w:tr w:rsidR="004960A2" w:rsidRPr="008B4FE6" w14:paraId="26921F12" w14:textId="77777777" w:rsidTr="006E49F8">
        <w:trPr>
          <w:trHeight w:val="558"/>
        </w:trPr>
        <w:tc>
          <w:tcPr>
            <w:tcW w:w="2238" w:type="dxa"/>
            <w:gridSpan w:val="2"/>
            <w:shd w:val="clear" w:color="auto" w:fill="FFFFFF"/>
          </w:tcPr>
          <w:p w14:paraId="7DA09583" w14:textId="77777777" w:rsidR="004960A2" w:rsidRPr="00301959" w:rsidRDefault="004960A2" w:rsidP="004960A2">
            <w:pPr>
              <w:spacing w:line="240" w:lineRule="auto"/>
              <w:rPr>
                <w:rFonts w:ascii="Times New Roman" w:hAnsi="Times New Roman"/>
                <w:color w:val="000000"/>
                <w:sz w:val="21"/>
                <w:szCs w:val="21"/>
              </w:rPr>
            </w:pPr>
          </w:p>
        </w:tc>
        <w:tc>
          <w:tcPr>
            <w:tcW w:w="8678" w:type="dxa"/>
            <w:gridSpan w:val="23"/>
            <w:shd w:val="clear" w:color="auto" w:fill="FFFFFF"/>
          </w:tcPr>
          <w:p w14:paraId="1494ABDE" w14:textId="77777777" w:rsidR="004960A2" w:rsidRPr="00B86751" w:rsidRDefault="004960A2" w:rsidP="004960A2">
            <w:pPr>
              <w:spacing w:before="120" w:after="120" w:line="240" w:lineRule="auto"/>
              <w:jc w:val="both"/>
              <w:rPr>
                <w:rFonts w:ascii="Times New Roman" w:eastAsia="Times New Roman" w:hAnsi="Times New Roman"/>
                <w:lang w:eastAsia="pl-PL"/>
              </w:rPr>
            </w:pPr>
          </w:p>
        </w:tc>
      </w:tr>
      <w:tr w:rsidR="004960A2" w:rsidRPr="008B4FE6" w14:paraId="03A32D6A" w14:textId="77777777" w:rsidTr="003E4722">
        <w:trPr>
          <w:trHeight w:val="345"/>
        </w:trPr>
        <w:tc>
          <w:tcPr>
            <w:tcW w:w="10916" w:type="dxa"/>
            <w:gridSpan w:val="25"/>
            <w:shd w:val="clear" w:color="auto" w:fill="99CCFF"/>
          </w:tcPr>
          <w:p w14:paraId="4EBEAA96" w14:textId="77777777" w:rsidR="004960A2" w:rsidRPr="008B4FE6" w:rsidRDefault="004960A2" w:rsidP="004960A2">
            <w:pPr>
              <w:numPr>
                <w:ilvl w:val="0"/>
                <w:numId w:val="1"/>
              </w:numPr>
              <w:spacing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4960A2" w:rsidRPr="008B4FE6" w14:paraId="17803CF0" w14:textId="77777777" w:rsidTr="003E4722">
        <w:trPr>
          <w:trHeight w:val="394"/>
        </w:trPr>
        <w:tc>
          <w:tcPr>
            <w:tcW w:w="10916" w:type="dxa"/>
            <w:gridSpan w:val="25"/>
            <w:shd w:val="clear" w:color="auto" w:fill="FFFFFF"/>
            <w:vAlign w:val="center"/>
          </w:tcPr>
          <w:p w14:paraId="2611E4B8" w14:textId="77777777" w:rsidR="004960A2" w:rsidRPr="00301959" w:rsidRDefault="004960A2" w:rsidP="004960A2">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4960A2" w:rsidRPr="008B4FE6" w14:paraId="0EFCE25C" w14:textId="77777777" w:rsidTr="006E49F8">
        <w:trPr>
          <w:trHeight w:val="142"/>
        </w:trPr>
        <w:tc>
          <w:tcPr>
            <w:tcW w:w="3884" w:type="dxa"/>
            <w:gridSpan w:val="6"/>
            <w:shd w:val="clear" w:color="auto" w:fill="FFFFFF"/>
          </w:tcPr>
          <w:p w14:paraId="2DAE91B7" w14:textId="77777777" w:rsidR="004960A2" w:rsidRPr="00301959" w:rsidRDefault="004960A2" w:rsidP="004960A2">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1075" w:type="dxa"/>
            <w:gridSpan w:val="2"/>
            <w:shd w:val="clear" w:color="auto" w:fill="FFFFFF"/>
          </w:tcPr>
          <w:p w14:paraId="1D18DABF" w14:textId="77777777" w:rsidR="004960A2" w:rsidRPr="00301959" w:rsidRDefault="004960A2" w:rsidP="004960A2">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802" w:type="dxa"/>
            <w:gridSpan w:val="2"/>
            <w:shd w:val="clear" w:color="auto" w:fill="FFFFFF"/>
          </w:tcPr>
          <w:p w14:paraId="5D8C8CE1" w14:textId="77777777" w:rsidR="004960A2" w:rsidRPr="00301959" w:rsidRDefault="004960A2" w:rsidP="004960A2">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3"/>
            <w:shd w:val="clear" w:color="auto" w:fill="FFFFFF"/>
          </w:tcPr>
          <w:p w14:paraId="7405761E" w14:textId="77777777" w:rsidR="004960A2" w:rsidRPr="00301959" w:rsidRDefault="004960A2" w:rsidP="004960A2">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4"/>
            <w:shd w:val="clear" w:color="auto" w:fill="FFFFFF"/>
          </w:tcPr>
          <w:p w14:paraId="109149B3" w14:textId="77777777" w:rsidR="004960A2" w:rsidRPr="00301959" w:rsidRDefault="004960A2" w:rsidP="004960A2">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795" w:type="dxa"/>
            <w:gridSpan w:val="3"/>
            <w:shd w:val="clear" w:color="auto" w:fill="FFFFFF"/>
          </w:tcPr>
          <w:p w14:paraId="30C5019D" w14:textId="77777777" w:rsidR="004960A2" w:rsidRPr="00301959" w:rsidRDefault="004960A2" w:rsidP="004960A2">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10DBB69C" w14:textId="77777777" w:rsidR="004960A2" w:rsidRPr="00301959" w:rsidRDefault="004960A2" w:rsidP="004960A2">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547" w:type="dxa"/>
            <w:gridSpan w:val="2"/>
            <w:shd w:val="clear" w:color="auto" w:fill="FFFFFF"/>
          </w:tcPr>
          <w:p w14:paraId="57F93897" w14:textId="77777777" w:rsidR="004960A2" w:rsidRPr="001B3460" w:rsidRDefault="004960A2" w:rsidP="004960A2">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4960A2" w:rsidRPr="008B4FE6" w14:paraId="07E991C9" w14:textId="77777777" w:rsidTr="006E49F8">
        <w:trPr>
          <w:trHeight w:val="142"/>
        </w:trPr>
        <w:tc>
          <w:tcPr>
            <w:tcW w:w="1593" w:type="dxa"/>
            <w:vMerge w:val="restart"/>
            <w:shd w:val="clear" w:color="auto" w:fill="FFFFFF"/>
          </w:tcPr>
          <w:p w14:paraId="16848D4F" w14:textId="77777777" w:rsidR="004960A2" w:rsidRDefault="004960A2" w:rsidP="004960A2">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762DD7C7" w14:textId="77777777" w:rsidR="004960A2" w:rsidRDefault="004960A2" w:rsidP="004960A2">
            <w:pPr>
              <w:spacing w:line="240" w:lineRule="auto"/>
              <w:rPr>
                <w:rFonts w:ascii="Times New Roman" w:hAnsi="Times New Roman"/>
                <w:spacing w:val="-2"/>
                <w:sz w:val="21"/>
                <w:szCs w:val="21"/>
              </w:rPr>
            </w:pPr>
            <w:r>
              <w:rPr>
                <w:rFonts w:ascii="Times New Roman" w:hAnsi="Times New Roman"/>
                <w:spacing w:val="-2"/>
                <w:sz w:val="21"/>
                <w:szCs w:val="21"/>
              </w:rPr>
              <w:t xml:space="preserve">(w mln zł, </w:t>
            </w:r>
          </w:p>
          <w:p w14:paraId="57BBE374" w14:textId="77777777" w:rsidR="004960A2" w:rsidRPr="00301959" w:rsidRDefault="004960A2" w:rsidP="004960A2">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1" w:type="dxa"/>
            <w:gridSpan w:val="5"/>
            <w:shd w:val="clear" w:color="auto" w:fill="FFFFFF"/>
          </w:tcPr>
          <w:p w14:paraId="5E11C436" w14:textId="77777777" w:rsidR="004960A2" w:rsidRPr="00301959" w:rsidRDefault="004960A2" w:rsidP="004960A2">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1075" w:type="dxa"/>
            <w:gridSpan w:val="2"/>
            <w:shd w:val="clear" w:color="auto" w:fill="FFFFFF"/>
          </w:tcPr>
          <w:p w14:paraId="6AA13B1C"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802" w:type="dxa"/>
            <w:gridSpan w:val="2"/>
            <w:shd w:val="clear" w:color="auto" w:fill="FFFFFF"/>
          </w:tcPr>
          <w:p w14:paraId="466585CD"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938" w:type="dxa"/>
            <w:gridSpan w:val="3"/>
            <w:shd w:val="clear" w:color="auto" w:fill="FFFFFF"/>
          </w:tcPr>
          <w:p w14:paraId="3FCAE124"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937" w:type="dxa"/>
            <w:gridSpan w:val="4"/>
            <w:shd w:val="clear" w:color="auto" w:fill="FFFFFF"/>
          </w:tcPr>
          <w:p w14:paraId="652BE97C"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795" w:type="dxa"/>
            <w:gridSpan w:val="3"/>
            <w:shd w:val="clear" w:color="auto" w:fill="FFFFFF"/>
          </w:tcPr>
          <w:p w14:paraId="60A917DB"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938" w:type="dxa"/>
            <w:gridSpan w:val="3"/>
            <w:shd w:val="clear" w:color="auto" w:fill="FFFFFF"/>
          </w:tcPr>
          <w:p w14:paraId="52051648"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1547" w:type="dxa"/>
            <w:gridSpan w:val="2"/>
            <w:shd w:val="clear" w:color="auto" w:fill="FFFFFF"/>
          </w:tcPr>
          <w:p w14:paraId="2834AD50" w14:textId="77777777" w:rsidR="004960A2" w:rsidRPr="00B37C80" w:rsidRDefault="004960A2" w:rsidP="004960A2">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t>
            </w:r>
          </w:p>
        </w:tc>
      </w:tr>
      <w:tr w:rsidR="004960A2" w:rsidRPr="008B4FE6" w14:paraId="72B42D4C" w14:textId="77777777" w:rsidTr="006E49F8">
        <w:trPr>
          <w:trHeight w:val="142"/>
        </w:trPr>
        <w:tc>
          <w:tcPr>
            <w:tcW w:w="1593" w:type="dxa"/>
            <w:vMerge/>
            <w:shd w:val="clear" w:color="auto" w:fill="FFFFFF"/>
          </w:tcPr>
          <w:p w14:paraId="268A7695" w14:textId="77777777" w:rsidR="004960A2" w:rsidRPr="00301959" w:rsidRDefault="004960A2" w:rsidP="004960A2">
            <w:pPr>
              <w:spacing w:line="240" w:lineRule="auto"/>
              <w:rPr>
                <w:rFonts w:ascii="Times New Roman" w:hAnsi="Times New Roman"/>
                <w:color w:val="000000"/>
                <w:sz w:val="21"/>
                <w:szCs w:val="21"/>
              </w:rPr>
            </w:pPr>
          </w:p>
        </w:tc>
        <w:tc>
          <w:tcPr>
            <w:tcW w:w="2291" w:type="dxa"/>
            <w:gridSpan w:val="5"/>
            <w:shd w:val="clear" w:color="auto" w:fill="FFFFFF"/>
          </w:tcPr>
          <w:p w14:paraId="28F3EC33" w14:textId="77777777" w:rsidR="004960A2" w:rsidRPr="00301959" w:rsidRDefault="004960A2" w:rsidP="004960A2">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1075" w:type="dxa"/>
            <w:gridSpan w:val="2"/>
            <w:shd w:val="clear" w:color="auto" w:fill="FFFFFF"/>
          </w:tcPr>
          <w:p w14:paraId="30B9319A"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802" w:type="dxa"/>
            <w:gridSpan w:val="2"/>
            <w:shd w:val="clear" w:color="auto" w:fill="FFFFFF"/>
          </w:tcPr>
          <w:p w14:paraId="4BB0A8F3"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938" w:type="dxa"/>
            <w:gridSpan w:val="3"/>
            <w:shd w:val="clear" w:color="auto" w:fill="FFFFFF"/>
          </w:tcPr>
          <w:p w14:paraId="534E6178"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937" w:type="dxa"/>
            <w:gridSpan w:val="4"/>
            <w:shd w:val="clear" w:color="auto" w:fill="FFFFFF"/>
          </w:tcPr>
          <w:p w14:paraId="00FE27B7"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795" w:type="dxa"/>
            <w:gridSpan w:val="3"/>
            <w:shd w:val="clear" w:color="auto" w:fill="FFFFFF"/>
          </w:tcPr>
          <w:p w14:paraId="31465945"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938" w:type="dxa"/>
            <w:gridSpan w:val="3"/>
            <w:shd w:val="clear" w:color="auto" w:fill="FFFFFF"/>
          </w:tcPr>
          <w:p w14:paraId="72DB71F9"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1547" w:type="dxa"/>
            <w:gridSpan w:val="2"/>
            <w:shd w:val="clear" w:color="auto" w:fill="FFFFFF"/>
          </w:tcPr>
          <w:p w14:paraId="67B054DA" w14:textId="77777777" w:rsidR="004960A2" w:rsidRPr="00B37C80" w:rsidRDefault="004960A2" w:rsidP="004960A2">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t>
            </w:r>
          </w:p>
        </w:tc>
      </w:tr>
      <w:tr w:rsidR="004960A2" w:rsidRPr="008B4FE6" w14:paraId="67349D18" w14:textId="77777777" w:rsidTr="006E49F8">
        <w:trPr>
          <w:trHeight w:val="142"/>
        </w:trPr>
        <w:tc>
          <w:tcPr>
            <w:tcW w:w="1593" w:type="dxa"/>
            <w:vMerge/>
            <w:shd w:val="clear" w:color="auto" w:fill="FFFFFF"/>
          </w:tcPr>
          <w:p w14:paraId="053AB15A" w14:textId="77777777" w:rsidR="004960A2" w:rsidRPr="00301959" w:rsidRDefault="004960A2" w:rsidP="004960A2">
            <w:pPr>
              <w:spacing w:line="240" w:lineRule="auto"/>
              <w:rPr>
                <w:rFonts w:ascii="Times New Roman" w:hAnsi="Times New Roman"/>
                <w:color w:val="000000"/>
                <w:sz w:val="21"/>
                <w:szCs w:val="21"/>
              </w:rPr>
            </w:pPr>
          </w:p>
        </w:tc>
        <w:tc>
          <w:tcPr>
            <w:tcW w:w="2291" w:type="dxa"/>
            <w:gridSpan w:val="5"/>
            <w:shd w:val="clear" w:color="auto" w:fill="FFFFFF"/>
          </w:tcPr>
          <w:p w14:paraId="37B27D2C" w14:textId="77777777" w:rsidR="004960A2" w:rsidRPr="00301959" w:rsidRDefault="004960A2" w:rsidP="004960A2">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1075" w:type="dxa"/>
            <w:gridSpan w:val="2"/>
            <w:shd w:val="clear" w:color="auto" w:fill="FFFFFF"/>
          </w:tcPr>
          <w:p w14:paraId="5578D2A8"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802" w:type="dxa"/>
            <w:gridSpan w:val="2"/>
            <w:shd w:val="clear" w:color="auto" w:fill="FFFFFF"/>
          </w:tcPr>
          <w:p w14:paraId="1736506C"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938" w:type="dxa"/>
            <w:gridSpan w:val="3"/>
            <w:shd w:val="clear" w:color="auto" w:fill="FFFFFF"/>
          </w:tcPr>
          <w:p w14:paraId="19B80D76"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937" w:type="dxa"/>
            <w:gridSpan w:val="4"/>
            <w:shd w:val="clear" w:color="auto" w:fill="FFFFFF"/>
          </w:tcPr>
          <w:p w14:paraId="44E9339F"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795" w:type="dxa"/>
            <w:gridSpan w:val="3"/>
            <w:shd w:val="clear" w:color="auto" w:fill="FFFFFF"/>
          </w:tcPr>
          <w:p w14:paraId="416E26BD"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938" w:type="dxa"/>
            <w:gridSpan w:val="3"/>
            <w:shd w:val="clear" w:color="auto" w:fill="FFFFFF"/>
          </w:tcPr>
          <w:p w14:paraId="39D1018B" w14:textId="77777777" w:rsidR="004960A2" w:rsidRPr="00B37C80"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1547" w:type="dxa"/>
            <w:gridSpan w:val="2"/>
            <w:shd w:val="clear" w:color="auto" w:fill="FFFFFF"/>
          </w:tcPr>
          <w:p w14:paraId="22350604" w14:textId="77777777" w:rsidR="004960A2" w:rsidRPr="00B37C80" w:rsidRDefault="004960A2" w:rsidP="004960A2">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t>
            </w:r>
          </w:p>
        </w:tc>
      </w:tr>
      <w:tr w:rsidR="004960A2" w:rsidRPr="008B4FE6" w14:paraId="72E20D43" w14:textId="77777777" w:rsidTr="006E49F8">
        <w:trPr>
          <w:trHeight w:val="142"/>
        </w:trPr>
        <w:tc>
          <w:tcPr>
            <w:tcW w:w="1593" w:type="dxa"/>
            <w:vMerge w:val="restart"/>
            <w:shd w:val="clear" w:color="auto" w:fill="FFFFFF"/>
          </w:tcPr>
          <w:p w14:paraId="687B9328" w14:textId="77777777" w:rsidR="004960A2" w:rsidRPr="00301959" w:rsidRDefault="004960A2" w:rsidP="004960A2">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1" w:type="dxa"/>
            <w:gridSpan w:val="5"/>
            <w:shd w:val="clear" w:color="auto" w:fill="FFFFFF"/>
          </w:tcPr>
          <w:p w14:paraId="67C965E2" w14:textId="77777777" w:rsidR="004960A2" w:rsidRPr="00301959" w:rsidRDefault="004960A2" w:rsidP="004960A2">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32" w:type="dxa"/>
            <w:gridSpan w:val="19"/>
            <w:shd w:val="clear" w:color="auto" w:fill="FFFFFF"/>
          </w:tcPr>
          <w:p w14:paraId="34566EB6" w14:textId="0F1D2B1E" w:rsidR="004960A2" w:rsidRPr="00B37C80" w:rsidRDefault="004960A2" w:rsidP="00BB4C06">
            <w:pPr>
              <w:spacing w:line="240" w:lineRule="auto"/>
              <w:jc w:val="both"/>
              <w:rPr>
                <w:rFonts w:ascii="Times New Roman" w:hAnsi="Times New Roman"/>
                <w:color w:val="000000"/>
                <w:spacing w:val="-2"/>
                <w:sz w:val="21"/>
                <w:szCs w:val="21"/>
              </w:rPr>
            </w:pPr>
            <w:r w:rsidRPr="00337498">
              <w:rPr>
                <w:rFonts w:ascii="Times New Roman" w:eastAsia="Times New Roman" w:hAnsi="Times New Roman"/>
                <w:lang w:eastAsia="pl-PL"/>
              </w:rPr>
              <w:t>Przewiduje się, że projektowane rozwiązania będą miały wpływ na poprawę konkurencyjności gospodarki, przez wzrost konkurencyjności podmiotów działających na rynku zdrowotnym, będących podmiotami wykonującymi działalność lecznicz</w:t>
            </w:r>
            <w:r>
              <w:rPr>
                <w:rFonts w:ascii="Times New Roman" w:eastAsia="Times New Roman" w:hAnsi="Times New Roman"/>
                <w:lang w:eastAsia="pl-PL"/>
              </w:rPr>
              <w:t>ą</w:t>
            </w:r>
            <w:r w:rsidR="00693C83">
              <w:rPr>
                <w:rFonts w:ascii="Times New Roman" w:eastAsia="Times New Roman" w:hAnsi="Times New Roman"/>
                <w:lang w:eastAsia="pl-PL"/>
              </w:rPr>
              <w:t>. Projekt nie zakłada wdrażani</w:t>
            </w:r>
            <w:r w:rsidR="00D53FDB">
              <w:rPr>
                <w:rFonts w:ascii="Times New Roman" w:eastAsia="Times New Roman" w:hAnsi="Times New Roman"/>
                <w:lang w:eastAsia="pl-PL"/>
              </w:rPr>
              <w:t>a</w:t>
            </w:r>
            <w:r w:rsidR="00693C83">
              <w:rPr>
                <w:rFonts w:ascii="Times New Roman" w:eastAsia="Times New Roman" w:hAnsi="Times New Roman"/>
                <w:lang w:eastAsia="pl-PL"/>
              </w:rPr>
              <w:t xml:space="preserve"> nowych obciążeń na przedsiębiorców.</w:t>
            </w:r>
          </w:p>
        </w:tc>
      </w:tr>
      <w:tr w:rsidR="004960A2" w:rsidRPr="008B4FE6" w14:paraId="01E1D9FF" w14:textId="77777777" w:rsidTr="006E49F8">
        <w:trPr>
          <w:trHeight w:val="142"/>
        </w:trPr>
        <w:tc>
          <w:tcPr>
            <w:tcW w:w="1593" w:type="dxa"/>
            <w:vMerge/>
            <w:shd w:val="clear" w:color="auto" w:fill="FFFFFF"/>
          </w:tcPr>
          <w:p w14:paraId="6523B8AD" w14:textId="77777777" w:rsidR="004960A2" w:rsidRPr="00301959" w:rsidRDefault="004960A2" w:rsidP="004960A2">
            <w:pPr>
              <w:spacing w:line="240" w:lineRule="auto"/>
              <w:rPr>
                <w:rFonts w:ascii="Times New Roman" w:hAnsi="Times New Roman"/>
                <w:color w:val="000000"/>
                <w:sz w:val="21"/>
                <w:szCs w:val="21"/>
              </w:rPr>
            </w:pPr>
          </w:p>
        </w:tc>
        <w:tc>
          <w:tcPr>
            <w:tcW w:w="2291" w:type="dxa"/>
            <w:gridSpan w:val="5"/>
            <w:shd w:val="clear" w:color="auto" w:fill="FFFFFF"/>
          </w:tcPr>
          <w:p w14:paraId="2670B012" w14:textId="77777777" w:rsidR="004960A2" w:rsidRPr="00301959" w:rsidRDefault="004960A2" w:rsidP="004960A2">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32" w:type="dxa"/>
            <w:gridSpan w:val="19"/>
            <w:shd w:val="clear" w:color="auto" w:fill="FFFFFF"/>
          </w:tcPr>
          <w:p w14:paraId="4C1F799B" w14:textId="77777777" w:rsidR="004960A2" w:rsidRPr="00337498" w:rsidRDefault="004960A2" w:rsidP="004960A2">
            <w:pPr>
              <w:spacing w:line="240" w:lineRule="auto"/>
              <w:jc w:val="both"/>
              <w:rPr>
                <w:rFonts w:ascii="Times New Roman" w:eastAsia="Times New Roman" w:hAnsi="Times New Roman"/>
                <w:lang w:eastAsia="pl-PL"/>
              </w:rPr>
            </w:pPr>
            <w:r w:rsidRPr="00337498">
              <w:rPr>
                <w:rFonts w:ascii="Times New Roman" w:eastAsia="Times New Roman" w:hAnsi="Times New Roman"/>
                <w:lang w:eastAsia="pl-PL"/>
              </w:rPr>
              <w:t>Przewiduje się, że projektowane rozwiązania będą miały wpływ na poprawę konkurencyjności gospodarki, przez wzrost konkurencyjności podmiotów działających na rynku zdrowotnym, będących podmiotami wykonującymi działalność lecznicz</w:t>
            </w:r>
            <w:r>
              <w:rPr>
                <w:rFonts w:ascii="Times New Roman" w:eastAsia="Times New Roman" w:hAnsi="Times New Roman"/>
                <w:lang w:eastAsia="pl-PL"/>
              </w:rPr>
              <w:t>ą</w:t>
            </w:r>
            <w:r w:rsidRPr="00337498">
              <w:rPr>
                <w:rFonts w:ascii="Times New Roman" w:eastAsia="Times New Roman" w:hAnsi="Times New Roman"/>
                <w:lang w:eastAsia="pl-PL"/>
              </w:rPr>
              <w:t xml:space="preserve">. </w:t>
            </w:r>
          </w:p>
          <w:p w14:paraId="6E890BB1" w14:textId="77777777" w:rsidR="004960A2" w:rsidRPr="00337498" w:rsidRDefault="004960A2" w:rsidP="004960A2">
            <w:pPr>
              <w:spacing w:line="240" w:lineRule="auto"/>
              <w:jc w:val="both"/>
              <w:rPr>
                <w:rFonts w:ascii="Times New Roman" w:eastAsia="Times New Roman" w:hAnsi="Times New Roman"/>
                <w:lang w:eastAsia="pl-PL"/>
              </w:rPr>
            </w:pPr>
            <w:r w:rsidRPr="00337498">
              <w:rPr>
                <w:rFonts w:ascii="Times New Roman" w:eastAsia="Times New Roman" w:hAnsi="Times New Roman"/>
                <w:lang w:eastAsia="pl-PL"/>
              </w:rPr>
              <w:t>W dłuższej perspektywie czasu rozwiązani</w:t>
            </w:r>
            <w:r>
              <w:rPr>
                <w:rFonts w:ascii="Times New Roman" w:eastAsia="Times New Roman" w:hAnsi="Times New Roman"/>
                <w:lang w:eastAsia="pl-PL"/>
              </w:rPr>
              <w:t xml:space="preserve">a </w:t>
            </w:r>
            <w:r w:rsidRPr="00337498">
              <w:rPr>
                <w:rFonts w:ascii="Times New Roman" w:eastAsia="Times New Roman" w:hAnsi="Times New Roman"/>
                <w:lang w:eastAsia="pl-PL"/>
              </w:rPr>
              <w:t xml:space="preserve">te powinny spowodować zwiększenie zainteresowania podmiotów </w:t>
            </w:r>
            <w:r>
              <w:rPr>
                <w:rFonts w:ascii="Times New Roman" w:eastAsia="Times New Roman" w:hAnsi="Times New Roman"/>
                <w:lang w:eastAsia="pl-PL"/>
              </w:rPr>
              <w:t>wykonujących działalność leczniczą działaniami</w:t>
            </w:r>
            <w:r w:rsidRPr="00337498">
              <w:rPr>
                <w:rFonts w:ascii="Times New Roman" w:eastAsia="Times New Roman" w:hAnsi="Times New Roman"/>
                <w:lang w:eastAsia="pl-PL"/>
              </w:rPr>
              <w:t xml:space="preserve"> projakościowymi, w szczególności związanymi z monitorowaniem zdarzeń niepożądanych, podwyższaniem standardów postępowania medycznego oraz poprawą skuteczności procesów diagnostyczno-terapeutycznych i ich bezpieczeństwa. Celem przyjęcia proponowanych rozwiązań jest zmotywowanie podmiotów świadczących usługi na dużo niższym poziomie jakościowym, do systematycznego jego podnoszenia/poprawy. </w:t>
            </w:r>
          </w:p>
          <w:p w14:paraId="1A928415" w14:textId="7C3AC136" w:rsidR="004960A2" w:rsidRPr="004136B7" w:rsidRDefault="004960A2" w:rsidP="004960A2">
            <w:pPr>
              <w:spacing w:line="240" w:lineRule="auto"/>
              <w:jc w:val="both"/>
              <w:rPr>
                <w:rFonts w:ascii="Times New Roman" w:eastAsia="Times New Roman" w:hAnsi="Times New Roman"/>
                <w:lang w:eastAsia="pl-PL"/>
              </w:rPr>
            </w:pPr>
            <w:r w:rsidRPr="00337498">
              <w:rPr>
                <w:rFonts w:ascii="Times New Roman" w:eastAsia="Times New Roman" w:hAnsi="Times New Roman"/>
                <w:lang w:eastAsia="pl-PL"/>
              </w:rPr>
              <w:t>Projektowane rozwiązania mają na celu poprawę efektywności i sprawności działania podmiotów wykonujących działalność leczniczą, a przez to wzrost konkurencyjności tego sektora. Wobec ustanowienia wspólnotowych ram prawnych w opiece transgranicznej, przedmiotowe rozwiązania dadzą impuls do wzmocnienia pozycji krajowych jednostek opieki zdrowotnej na płaszczyźnie obrotu międzynarodowego. Dbałość o wysoki poziom jakości może przyczynić się do zwiększenia zainteresowania osób z innych państw świadczeniami zdrowotnymi udzielanymi przez podmioty działające w Polsce oraz przyciągnąć dodatkowy kapitał, który może przyczynić się do ich rozwoju.</w:t>
            </w:r>
            <w:r w:rsidR="00693C83">
              <w:rPr>
                <w:rFonts w:ascii="Times New Roman" w:eastAsia="Times New Roman" w:hAnsi="Times New Roman"/>
                <w:lang w:eastAsia="pl-PL"/>
              </w:rPr>
              <w:t xml:space="preserve"> Projekt nie zakłada wdrażani</w:t>
            </w:r>
            <w:r w:rsidR="00D53FDB">
              <w:rPr>
                <w:rFonts w:ascii="Times New Roman" w:eastAsia="Times New Roman" w:hAnsi="Times New Roman"/>
                <w:lang w:eastAsia="pl-PL"/>
              </w:rPr>
              <w:t>a</w:t>
            </w:r>
            <w:r w:rsidR="00693C83">
              <w:rPr>
                <w:rFonts w:ascii="Times New Roman" w:eastAsia="Times New Roman" w:hAnsi="Times New Roman"/>
                <w:lang w:eastAsia="pl-PL"/>
              </w:rPr>
              <w:t xml:space="preserve"> nowych obciążeń na przedsiębiorców.</w:t>
            </w:r>
          </w:p>
        </w:tc>
      </w:tr>
      <w:tr w:rsidR="004960A2" w:rsidRPr="008B4FE6" w14:paraId="66EC23A8" w14:textId="77777777" w:rsidTr="006E49F8">
        <w:trPr>
          <w:trHeight w:val="596"/>
        </w:trPr>
        <w:tc>
          <w:tcPr>
            <w:tcW w:w="1593" w:type="dxa"/>
            <w:vMerge/>
            <w:shd w:val="clear" w:color="auto" w:fill="FFFFFF"/>
          </w:tcPr>
          <w:p w14:paraId="5074C03C" w14:textId="77777777" w:rsidR="004960A2" w:rsidRPr="00301959" w:rsidRDefault="004960A2" w:rsidP="004960A2">
            <w:pPr>
              <w:spacing w:line="240" w:lineRule="auto"/>
              <w:rPr>
                <w:rFonts w:ascii="Times New Roman" w:hAnsi="Times New Roman"/>
                <w:color w:val="000000"/>
                <w:sz w:val="21"/>
                <w:szCs w:val="21"/>
              </w:rPr>
            </w:pPr>
          </w:p>
        </w:tc>
        <w:tc>
          <w:tcPr>
            <w:tcW w:w="2291" w:type="dxa"/>
            <w:gridSpan w:val="5"/>
            <w:shd w:val="clear" w:color="auto" w:fill="FFFFFF"/>
          </w:tcPr>
          <w:p w14:paraId="29FFAB45" w14:textId="77777777" w:rsidR="004960A2" w:rsidRPr="00301959" w:rsidRDefault="004960A2" w:rsidP="004960A2">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w:t>
            </w:r>
            <w:r>
              <w:rPr>
                <w:rFonts w:ascii="Times New Roman" w:hAnsi="Times New Roman"/>
                <w:sz w:val="21"/>
                <w:szCs w:val="21"/>
              </w:rPr>
              <w:t>.</w:t>
            </w:r>
            <w:r w:rsidRPr="00301959">
              <w:rPr>
                <w:rFonts w:ascii="Times New Roman" w:hAnsi="Times New Roman"/>
                <w:sz w:val="21"/>
                <w:szCs w:val="21"/>
              </w:rPr>
              <w:t xml:space="preserve"> gospodarstwa domowe</w:t>
            </w:r>
            <w:r w:rsidRPr="00301959">
              <w:rPr>
                <w:rFonts w:ascii="Times New Roman" w:hAnsi="Times New Roman"/>
                <w:color w:val="000000"/>
                <w:sz w:val="21"/>
                <w:szCs w:val="21"/>
              </w:rPr>
              <w:t xml:space="preserve"> </w:t>
            </w:r>
            <w:r>
              <w:rPr>
                <w:rFonts w:ascii="Times New Roman" w:hAnsi="Times New Roman"/>
                <w:color w:val="000000"/>
                <w:sz w:val="21"/>
                <w:szCs w:val="21"/>
              </w:rPr>
              <w:t xml:space="preserve"> oraz osoby starsze i niepełnosprawne.</w:t>
            </w:r>
          </w:p>
        </w:tc>
        <w:tc>
          <w:tcPr>
            <w:tcW w:w="7032" w:type="dxa"/>
            <w:gridSpan w:val="19"/>
            <w:shd w:val="clear" w:color="auto" w:fill="FFFFFF"/>
          </w:tcPr>
          <w:p w14:paraId="505A4F01" w14:textId="77777777" w:rsidR="004960A2" w:rsidRDefault="004960A2" w:rsidP="004960A2">
            <w:pPr>
              <w:spacing w:line="240" w:lineRule="auto"/>
              <w:jc w:val="both"/>
              <w:rPr>
                <w:rFonts w:ascii="Times New Roman" w:eastAsia="Times New Roman" w:hAnsi="Times New Roman"/>
                <w:lang w:eastAsia="pl-PL"/>
              </w:rPr>
            </w:pPr>
            <w:r w:rsidRPr="00337498">
              <w:rPr>
                <w:rFonts w:ascii="Times New Roman" w:eastAsia="Times New Roman" w:hAnsi="Times New Roman"/>
                <w:lang w:eastAsia="pl-PL"/>
              </w:rPr>
              <w:t>Przewiduje się, że projektowane rozwiązania będą miały wpływ na</w:t>
            </w:r>
            <w:r>
              <w:rPr>
                <w:rFonts w:ascii="Times New Roman" w:eastAsia="Times New Roman" w:hAnsi="Times New Roman"/>
                <w:lang w:eastAsia="pl-PL"/>
              </w:rPr>
              <w:t>:</w:t>
            </w:r>
          </w:p>
          <w:p w14:paraId="3395CA82" w14:textId="77777777" w:rsidR="004960A2" w:rsidRDefault="004960A2" w:rsidP="004960A2">
            <w:pPr>
              <w:numPr>
                <w:ilvl w:val="0"/>
                <w:numId w:val="3"/>
              </w:numPr>
              <w:spacing w:line="240" w:lineRule="auto"/>
              <w:jc w:val="both"/>
              <w:rPr>
                <w:rFonts w:ascii="Times New Roman" w:eastAsia="Times New Roman" w:hAnsi="Times New Roman"/>
                <w:lang w:eastAsia="pl-PL"/>
              </w:rPr>
            </w:pPr>
            <w:r w:rsidRPr="002D6B5F">
              <w:rPr>
                <w:rFonts w:ascii="Times New Roman" w:eastAsia="Times New Roman" w:hAnsi="Times New Roman"/>
                <w:lang w:eastAsia="pl-PL"/>
              </w:rPr>
              <w:t>popraw</w:t>
            </w:r>
            <w:r>
              <w:rPr>
                <w:rFonts w:ascii="Times New Roman" w:eastAsia="Times New Roman" w:hAnsi="Times New Roman"/>
                <w:lang w:eastAsia="pl-PL"/>
              </w:rPr>
              <w:t>ę</w:t>
            </w:r>
            <w:r w:rsidRPr="002D6B5F">
              <w:rPr>
                <w:rFonts w:ascii="Times New Roman" w:eastAsia="Times New Roman" w:hAnsi="Times New Roman"/>
                <w:lang w:eastAsia="pl-PL"/>
              </w:rPr>
              <w:t xml:space="preserve"> skuteczności diagnostyki i leczenia;</w:t>
            </w:r>
          </w:p>
          <w:p w14:paraId="14869B58" w14:textId="77777777" w:rsidR="004960A2" w:rsidRPr="00361D77" w:rsidRDefault="004960A2" w:rsidP="004960A2">
            <w:pPr>
              <w:numPr>
                <w:ilvl w:val="0"/>
                <w:numId w:val="3"/>
              </w:numPr>
              <w:spacing w:line="240" w:lineRule="auto"/>
              <w:jc w:val="both"/>
              <w:rPr>
                <w:rFonts w:ascii="Times New Roman" w:eastAsia="Times New Roman" w:hAnsi="Times New Roman"/>
                <w:lang w:eastAsia="pl-PL"/>
              </w:rPr>
            </w:pPr>
            <w:r w:rsidRPr="00361D77">
              <w:rPr>
                <w:rFonts w:ascii="Times New Roman" w:eastAsia="Times New Roman" w:hAnsi="Times New Roman"/>
                <w:lang w:eastAsia="pl-PL"/>
              </w:rPr>
              <w:t>stałe udoskonalanie praktyki klinicznej;</w:t>
            </w:r>
          </w:p>
          <w:p w14:paraId="0B0248B4" w14:textId="77777777" w:rsidR="004960A2" w:rsidRPr="002D6B5F" w:rsidRDefault="004960A2" w:rsidP="004960A2">
            <w:pPr>
              <w:numPr>
                <w:ilvl w:val="0"/>
                <w:numId w:val="3"/>
              </w:numPr>
              <w:spacing w:line="240" w:lineRule="auto"/>
              <w:jc w:val="both"/>
              <w:rPr>
                <w:rFonts w:ascii="Times New Roman" w:eastAsia="Times New Roman" w:hAnsi="Times New Roman"/>
                <w:lang w:eastAsia="pl-PL"/>
              </w:rPr>
            </w:pPr>
            <w:r w:rsidRPr="002D6B5F">
              <w:rPr>
                <w:rFonts w:ascii="Times New Roman" w:eastAsia="Times New Roman" w:hAnsi="Times New Roman"/>
                <w:lang w:eastAsia="pl-PL"/>
              </w:rPr>
              <w:t>popraw</w:t>
            </w:r>
            <w:r>
              <w:rPr>
                <w:rFonts w:ascii="Times New Roman" w:eastAsia="Times New Roman" w:hAnsi="Times New Roman"/>
                <w:lang w:eastAsia="pl-PL"/>
              </w:rPr>
              <w:t xml:space="preserve">ę </w:t>
            </w:r>
            <w:r w:rsidRPr="002D6B5F">
              <w:rPr>
                <w:rFonts w:ascii="Times New Roman" w:eastAsia="Times New Roman" w:hAnsi="Times New Roman"/>
                <w:lang w:eastAsia="pl-PL"/>
              </w:rPr>
              <w:t>bezpieczeństwa i satysfakcji pacjenta;</w:t>
            </w:r>
          </w:p>
          <w:p w14:paraId="71ABCAAC" w14:textId="77777777" w:rsidR="004960A2" w:rsidRPr="002D6B5F" w:rsidRDefault="004960A2" w:rsidP="004960A2">
            <w:pPr>
              <w:numPr>
                <w:ilvl w:val="0"/>
                <w:numId w:val="3"/>
              </w:numPr>
              <w:spacing w:line="240" w:lineRule="auto"/>
              <w:jc w:val="both"/>
              <w:rPr>
                <w:rFonts w:ascii="Times New Roman" w:eastAsia="Times New Roman" w:hAnsi="Times New Roman"/>
                <w:lang w:eastAsia="pl-PL"/>
              </w:rPr>
            </w:pPr>
            <w:r w:rsidRPr="002D6B5F">
              <w:rPr>
                <w:rFonts w:ascii="Times New Roman" w:eastAsia="Times New Roman" w:hAnsi="Times New Roman"/>
                <w:lang w:eastAsia="pl-PL"/>
              </w:rPr>
              <w:t>ujednolicenie zasad zarządzania jakością w podmiotach leczniczych;</w:t>
            </w:r>
          </w:p>
          <w:p w14:paraId="668B2BE8" w14:textId="77777777" w:rsidR="004960A2" w:rsidRPr="002D6B5F" w:rsidRDefault="004960A2" w:rsidP="004960A2">
            <w:pPr>
              <w:numPr>
                <w:ilvl w:val="0"/>
                <w:numId w:val="3"/>
              </w:numPr>
              <w:spacing w:line="240" w:lineRule="auto"/>
              <w:jc w:val="both"/>
              <w:rPr>
                <w:rFonts w:ascii="Times New Roman" w:eastAsia="Times New Roman" w:hAnsi="Times New Roman"/>
                <w:lang w:eastAsia="pl-PL"/>
              </w:rPr>
            </w:pPr>
            <w:r w:rsidRPr="002D6B5F">
              <w:rPr>
                <w:rFonts w:ascii="Times New Roman" w:eastAsia="Times New Roman" w:hAnsi="Times New Roman"/>
                <w:lang w:eastAsia="pl-PL"/>
              </w:rPr>
              <w:t>upowszechnienie analizy zdarzeń niepożądanych w szpitalach;</w:t>
            </w:r>
          </w:p>
          <w:p w14:paraId="04205434" w14:textId="77777777" w:rsidR="004960A2" w:rsidRPr="00576012" w:rsidRDefault="004960A2" w:rsidP="004960A2">
            <w:pPr>
              <w:numPr>
                <w:ilvl w:val="0"/>
                <w:numId w:val="3"/>
              </w:numPr>
              <w:spacing w:line="240" w:lineRule="auto"/>
              <w:rPr>
                <w:rFonts w:ascii="Times New Roman" w:hAnsi="Times New Roman"/>
                <w:color w:val="000000"/>
              </w:rPr>
            </w:pPr>
            <w:r w:rsidRPr="00576012">
              <w:rPr>
                <w:rFonts w:ascii="Times New Roman" w:hAnsi="Times New Roman"/>
                <w:color w:val="000000"/>
              </w:rPr>
              <w:t xml:space="preserve">stworzenie warunków do systematycznej oceny jakości świadczeń opieki zdrowotnej i porównywalności podmiotów udzielających świadczeń pod </w:t>
            </w:r>
            <w:r>
              <w:rPr>
                <w:rFonts w:ascii="Times New Roman" w:hAnsi="Times New Roman"/>
                <w:color w:val="000000"/>
              </w:rPr>
              <w:t>względem jakości i skuteczności;</w:t>
            </w:r>
          </w:p>
          <w:p w14:paraId="674AF819" w14:textId="77777777" w:rsidR="004960A2" w:rsidRDefault="004960A2" w:rsidP="004960A2">
            <w:pPr>
              <w:numPr>
                <w:ilvl w:val="0"/>
                <w:numId w:val="3"/>
              </w:numPr>
              <w:spacing w:line="240" w:lineRule="auto"/>
              <w:jc w:val="both"/>
              <w:rPr>
                <w:rFonts w:ascii="Times New Roman" w:eastAsia="Times New Roman" w:hAnsi="Times New Roman"/>
                <w:lang w:eastAsia="pl-PL"/>
              </w:rPr>
            </w:pPr>
            <w:r w:rsidRPr="002D6B5F">
              <w:rPr>
                <w:rFonts w:ascii="Times New Roman" w:eastAsia="Times New Roman" w:hAnsi="Times New Roman"/>
                <w:lang w:eastAsia="pl-PL"/>
              </w:rPr>
              <w:t>efektywniejsze wykorzystanie środków publicznych w wyniku ograniczenia wys</w:t>
            </w:r>
            <w:r>
              <w:rPr>
                <w:rFonts w:ascii="Times New Roman" w:eastAsia="Times New Roman" w:hAnsi="Times New Roman"/>
                <w:lang w:eastAsia="pl-PL"/>
              </w:rPr>
              <w:t>tępowania zdarzeń niepożądanych;</w:t>
            </w:r>
          </w:p>
          <w:p w14:paraId="421CD38A" w14:textId="77777777" w:rsidR="004960A2" w:rsidRPr="0020329B" w:rsidRDefault="004960A2" w:rsidP="004960A2">
            <w:pPr>
              <w:numPr>
                <w:ilvl w:val="0"/>
                <w:numId w:val="3"/>
              </w:numPr>
              <w:spacing w:line="240" w:lineRule="auto"/>
              <w:jc w:val="both"/>
              <w:rPr>
                <w:rFonts w:ascii="Times New Roman" w:eastAsia="Times New Roman" w:hAnsi="Times New Roman"/>
                <w:lang w:eastAsia="pl-PL"/>
              </w:rPr>
            </w:pPr>
            <w:r w:rsidRPr="002D6B5F">
              <w:rPr>
                <w:rFonts w:ascii="Times New Roman" w:eastAsia="Times New Roman" w:hAnsi="Times New Roman"/>
                <w:lang w:eastAsia="pl-PL"/>
              </w:rPr>
              <w:t>promowanie kultury bezpieczeństwa</w:t>
            </w:r>
            <w:r>
              <w:rPr>
                <w:rFonts w:ascii="Times New Roman" w:eastAsia="Times New Roman" w:hAnsi="Times New Roman"/>
                <w:lang w:eastAsia="pl-PL"/>
              </w:rPr>
              <w:t xml:space="preserve"> na wszystkich poziomach opieki.</w:t>
            </w:r>
          </w:p>
        </w:tc>
      </w:tr>
      <w:tr w:rsidR="004960A2" w:rsidRPr="008B4FE6" w14:paraId="78CDCE43" w14:textId="77777777" w:rsidTr="006E49F8">
        <w:trPr>
          <w:trHeight w:val="142"/>
        </w:trPr>
        <w:tc>
          <w:tcPr>
            <w:tcW w:w="1593" w:type="dxa"/>
            <w:shd w:val="clear" w:color="auto" w:fill="FFFFFF"/>
          </w:tcPr>
          <w:p w14:paraId="0C20CBA9" w14:textId="77777777" w:rsidR="004960A2" w:rsidRPr="004279FF" w:rsidRDefault="004960A2" w:rsidP="004960A2">
            <w:pPr>
              <w:spacing w:line="240" w:lineRule="auto"/>
              <w:rPr>
                <w:rFonts w:ascii="Times New Roman" w:hAnsi="Times New Roman"/>
                <w:sz w:val="21"/>
                <w:szCs w:val="21"/>
              </w:rPr>
            </w:pPr>
            <w:r w:rsidRPr="004279FF">
              <w:rPr>
                <w:rFonts w:ascii="Times New Roman" w:hAnsi="Times New Roman"/>
                <w:sz w:val="21"/>
                <w:szCs w:val="21"/>
              </w:rPr>
              <w:t>Niemierzalne</w:t>
            </w:r>
          </w:p>
        </w:tc>
        <w:tc>
          <w:tcPr>
            <w:tcW w:w="2291" w:type="dxa"/>
            <w:gridSpan w:val="5"/>
            <w:shd w:val="clear" w:color="auto" w:fill="FFFFFF"/>
          </w:tcPr>
          <w:p w14:paraId="6131CDE3" w14:textId="77777777" w:rsidR="004960A2" w:rsidRPr="00301959" w:rsidRDefault="004960A2" w:rsidP="004960A2">
            <w:pPr>
              <w:spacing w:line="240" w:lineRule="auto"/>
              <w:rPr>
                <w:rFonts w:ascii="Times New Roman" w:hAnsi="Times New Roman"/>
                <w:color w:val="000000"/>
                <w:sz w:val="21"/>
                <w:szCs w:val="21"/>
              </w:rPr>
            </w:pPr>
            <w:r>
              <w:rPr>
                <w:rFonts w:ascii="Times New Roman" w:hAnsi="Times New Roman"/>
                <w:color w:val="000000"/>
                <w:sz w:val="21"/>
                <w:szCs w:val="21"/>
              </w:rPr>
              <w:t xml:space="preserve">konkurencyjność gospodarki </w:t>
            </w:r>
          </w:p>
        </w:tc>
        <w:tc>
          <w:tcPr>
            <w:tcW w:w="7032" w:type="dxa"/>
            <w:gridSpan w:val="19"/>
            <w:shd w:val="clear" w:color="auto" w:fill="FFFFFF"/>
          </w:tcPr>
          <w:p w14:paraId="4EB45FD8" w14:textId="77777777" w:rsidR="004960A2" w:rsidRPr="0020329B" w:rsidRDefault="004960A2" w:rsidP="0020329B">
            <w:pPr>
              <w:spacing w:line="240" w:lineRule="auto"/>
              <w:jc w:val="both"/>
              <w:rPr>
                <w:rFonts w:ascii="Times New Roman" w:eastAsia="Times New Roman" w:hAnsi="Times New Roman"/>
                <w:lang w:eastAsia="pl-PL"/>
              </w:rPr>
            </w:pPr>
            <w:r>
              <w:rPr>
                <w:rFonts w:ascii="Times New Roman" w:eastAsia="Times New Roman" w:hAnsi="Times New Roman"/>
                <w:lang w:eastAsia="pl-PL"/>
              </w:rPr>
              <w:t>P</w:t>
            </w:r>
            <w:r w:rsidRPr="00337498">
              <w:rPr>
                <w:rFonts w:ascii="Times New Roman" w:eastAsia="Times New Roman" w:hAnsi="Times New Roman"/>
                <w:lang w:eastAsia="pl-PL"/>
              </w:rPr>
              <w:t>rzewiduje się, że projektowane rozwiązania będą miały wpływ na poprawę konkurencyjności gospodarki, przez wzrost konkurencyjności podmiotów działających na rynku zdrowotnym, będących podmiotami wykonującymi działalność lecznicz</w:t>
            </w:r>
            <w:r>
              <w:rPr>
                <w:rFonts w:ascii="Times New Roman" w:eastAsia="Times New Roman" w:hAnsi="Times New Roman"/>
                <w:lang w:eastAsia="pl-PL"/>
              </w:rPr>
              <w:t>ą</w:t>
            </w:r>
            <w:r w:rsidRPr="00337498">
              <w:rPr>
                <w:rFonts w:ascii="Times New Roman" w:eastAsia="Times New Roman" w:hAnsi="Times New Roman"/>
                <w:lang w:eastAsia="pl-PL"/>
              </w:rPr>
              <w:t xml:space="preserve">. </w:t>
            </w:r>
          </w:p>
        </w:tc>
      </w:tr>
      <w:tr w:rsidR="004960A2" w:rsidRPr="008B4FE6" w14:paraId="4512BF50" w14:textId="77777777" w:rsidTr="006E49F8">
        <w:trPr>
          <w:trHeight w:val="1180"/>
        </w:trPr>
        <w:tc>
          <w:tcPr>
            <w:tcW w:w="2238" w:type="dxa"/>
            <w:gridSpan w:val="2"/>
            <w:shd w:val="clear" w:color="auto" w:fill="FFFFFF"/>
          </w:tcPr>
          <w:p w14:paraId="0A6ED6A8" w14:textId="77777777" w:rsidR="004960A2" w:rsidRPr="008506F5" w:rsidRDefault="004960A2" w:rsidP="004960A2">
            <w:pPr>
              <w:spacing w:line="240" w:lineRule="auto"/>
              <w:rPr>
                <w:rFonts w:ascii="Times New Roman" w:hAnsi="Times New Roman"/>
                <w:sz w:val="21"/>
                <w:szCs w:val="21"/>
              </w:rPr>
            </w:pPr>
            <w:r w:rsidRPr="008506F5">
              <w:rPr>
                <w:rFonts w:ascii="Times New Roman" w:hAnsi="Times New Roman"/>
                <w:sz w:val="21"/>
                <w:szCs w:val="21"/>
              </w:rPr>
              <w:t xml:space="preserve">Dodatkowe informacje, w tym wskazanie źródeł danych i przyjętych do obliczeń założeń </w:t>
            </w:r>
          </w:p>
        </w:tc>
        <w:tc>
          <w:tcPr>
            <w:tcW w:w="8678" w:type="dxa"/>
            <w:gridSpan w:val="23"/>
            <w:shd w:val="clear" w:color="auto" w:fill="FFFFFF"/>
            <w:vAlign w:val="center"/>
          </w:tcPr>
          <w:p w14:paraId="592D9750" w14:textId="77777777" w:rsidR="004960A2" w:rsidRPr="008506F5" w:rsidRDefault="004960A2" w:rsidP="004960A2">
            <w:pPr>
              <w:spacing w:line="240" w:lineRule="auto"/>
              <w:jc w:val="both"/>
              <w:rPr>
                <w:rFonts w:ascii="Times New Roman" w:hAnsi="Times New Roman"/>
              </w:rPr>
            </w:pPr>
          </w:p>
        </w:tc>
      </w:tr>
      <w:tr w:rsidR="004960A2" w:rsidRPr="008B4FE6" w14:paraId="386ED0AD" w14:textId="77777777" w:rsidTr="00331BD2">
        <w:trPr>
          <w:trHeight w:val="342"/>
        </w:trPr>
        <w:tc>
          <w:tcPr>
            <w:tcW w:w="10916" w:type="dxa"/>
            <w:gridSpan w:val="25"/>
            <w:shd w:val="clear" w:color="auto" w:fill="99CCFF"/>
            <w:vAlign w:val="center"/>
          </w:tcPr>
          <w:p w14:paraId="7B424570" w14:textId="77777777" w:rsidR="004960A2" w:rsidRPr="008B4FE6" w:rsidRDefault="004960A2" w:rsidP="004960A2">
            <w:pPr>
              <w:numPr>
                <w:ilvl w:val="0"/>
                <w:numId w:val="1"/>
              </w:numPr>
              <w:spacing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4960A2" w:rsidRPr="008B4FE6" w14:paraId="05021458" w14:textId="77777777" w:rsidTr="00331BD2">
        <w:trPr>
          <w:trHeight w:val="151"/>
        </w:trPr>
        <w:tc>
          <w:tcPr>
            <w:tcW w:w="10916" w:type="dxa"/>
            <w:gridSpan w:val="25"/>
            <w:shd w:val="clear" w:color="auto" w:fill="FFFFFF"/>
          </w:tcPr>
          <w:p w14:paraId="0E484169" w14:textId="77777777" w:rsidR="004960A2" w:rsidRPr="008B4FE6" w:rsidRDefault="004960A2" w:rsidP="004960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4960A2" w:rsidRPr="008B4FE6" w14:paraId="15BD5392" w14:textId="77777777" w:rsidTr="006E49F8">
        <w:trPr>
          <w:trHeight w:val="946"/>
        </w:trPr>
        <w:tc>
          <w:tcPr>
            <w:tcW w:w="4959" w:type="dxa"/>
            <w:gridSpan w:val="8"/>
            <w:shd w:val="clear" w:color="auto" w:fill="FFFFFF"/>
          </w:tcPr>
          <w:p w14:paraId="3BD3141D" w14:textId="77777777" w:rsidR="004960A2" w:rsidRDefault="004960A2" w:rsidP="004960A2">
            <w:pPr>
              <w:spacing w:line="240" w:lineRule="auto"/>
              <w:rPr>
                <w:rFonts w:ascii="Times New Roman" w:hAnsi="Times New Roman"/>
                <w:color w:val="000000"/>
                <w:spacing w:val="-2"/>
              </w:rPr>
            </w:pPr>
            <w:r w:rsidRPr="00036DC7">
              <w:rPr>
                <w:rFonts w:ascii="Times New Roman" w:hAnsi="Times New Roman"/>
                <w:color w:val="000000"/>
                <w:sz w:val="21"/>
                <w:szCs w:val="21"/>
              </w:rPr>
              <w:t>Wprowadzane są obciążenia poza bezwzględnie wymaganymi przez UE (szczegóły w odwróconej tabeli zgodności).</w:t>
            </w:r>
          </w:p>
        </w:tc>
        <w:tc>
          <w:tcPr>
            <w:tcW w:w="5957" w:type="dxa"/>
            <w:gridSpan w:val="17"/>
            <w:shd w:val="clear" w:color="auto" w:fill="FFFFFF"/>
          </w:tcPr>
          <w:p w14:paraId="2BB77374" w14:textId="77777777" w:rsidR="004960A2" w:rsidRDefault="004960A2" w:rsidP="004960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tak</w:t>
            </w:r>
          </w:p>
          <w:p w14:paraId="37D4F797" w14:textId="77777777" w:rsidR="004960A2" w:rsidRDefault="004960A2" w:rsidP="004960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w:t>
            </w:r>
          </w:p>
          <w:p w14:paraId="002B3C84" w14:textId="77777777" w:rsidR="004960A2" w:rsidRDefault="004960A2" w:rsidP="004960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4960A2" w:rsidRPr="008B4FE6" w14:paraId="3E3A5EEA" w14:textId="77777777" w:rsidTr="006E49F8">
        <w:trPr>
          <w:trHeight w:val="1245"/>
        </w:trPr>
        <w:tc>
          <w:tcPr>
            <w:tcW w:w="4959" w:type="dxa"/>
            <w:gridSpan w:val="8"/>
            <w:shd w:val="clear" w:color="auto" w:fill="FFFFFF"/>
          </w:tcPr>
          <w:p w14:paraId="1B3BC3B0" w14:textId="77777777" w:rsidR="004960A2" w:rsidRPr="008B4FE6" w:rsidRDefault="004960A2" w:rsidP="004960A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5ECEE8E5" w14:textId="77777777" w:rsidR="004960A2" w:rsidRPr="008B4FE6" w:rsidRDefault="004960A2" w:rsidP="004960A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42C980D1" w14:textId="77777777" w:rsidR="004960A2" w:rsidRDefault="004960A2" w:rsidP="004960A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475FB3C8" w14:textId="77777777" w:rsidR="004960A2" w:rsidRPr="008B4FE6" w:rsidRDefault="004960A2" w:rsidP="004960A2">
            <w:pPr>
              <w:spacing w:line="240" w:lineRule="auto"/>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957" w:type="dxa"/>
            <w:gridSpan w:val="17"/>
            <w:shd w:val="clear" w:color="auto" w:fill="FFFFFF"/>
          </w:tcPr>
          <w:p w14:paraId="3D80E20A" w14:textId="77777777" w:rsidR="004960A2" w:rsidRPr="008B4FE6" w:rsidRDefault="004960A2" w:rsidP="004960A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146C6012" w14:textId="77777777" w:rsidR="004960A2" w:rsidRPr="008B4FE6" w:rsidRDefault="004960A2" w:rsidP="004960A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1CAE3C20" w14:textId="77777777" w:rsidR="004960A2" w:rsidRPr="008B4FE6" w:rsidRDefault="004960A2" w:rsidP="004960A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63456A32" w14:textId="77777777" w:rsidR="004960A2" w:rsidRPr="008B4FE6" w:rsidRDefault="004960A2" w:rsidP="004960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Pr>
                <w:rFonts w:ascii="Times New Roman" w:hAnsi="Times New Roman"/>
                <w:color w:val="000000"/>
              </w:rPr>
              <w:t>zwiększenie zakresu przekazywanych i analizowanych danych</w:t>
            </w:r>
          </w:p>
          <w:p w14:paraId="7907E072" w14:textId="77777777" w:rsidR="004960A2" w:rsidRPr="008B4FE6" w:rsidRDefault="004960A2" w:rsidP="004960A2">
            <w:pPr>
              <w:spacing w:line="240" w:lineRule="auto"/>
              <w:rPr>
                <w:rFonts w:ascii="Times New Roman" w:hAnsi="Times New Roman"/>
                <w:color w:val="000000"/>
              </w:rPr>
            </w:pPr>
          </w:p>
        </w:tc>
      </w:tr>
      <w:tr w:rsidR="004960A2" w:rsidRPr="008B4FE6" w14:paraId="149F75F4" w14:textId="77777777" w:rsidTr="006E49F8">
        <w:trPr>
          <w:trHeight w:val="870"/>
        </w:trPr>
        <w:tc>
          <w:tcPr>
            <w:tcW w:w="4959" w:type="dxa"/>
            <w:gridSpan w:val="8"/>
            <w:shd w:val="clear" w:color="auto" w:fill="FFFFFF"/>
          </w:tcPr>
          <w:p w14:paraId="60580741" w14:textId="77777777" w:rsidR="004960A2" w:rsidRPr="008B4FE6" w:rsidRDefault="004960A2" w:rsidP="004960A2">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957" w:type="dxa"/>
            <w:gridSpan w:val="17"/>
            <w:shd w:val="clear" w:color="auto" w:fill="FFFFFF"/>
          </w:tcPr>
          <w:p w14:paraId="2C1B370F" w14:textId="77777777" w:rsidR="004960A2" w:rsidRDefault="004960A2" w:rsidP="004960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tak</w:t>
            </w:r>
          </w:p>
          <w:p w14:paraId="2B1C0A40" w14:textId="77777777" w:rsidR="004960A2" w:rsidRDefault="004960A2" w:rsidP="004960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6DC1FDE2" w14:textId="77777777" w:rsidR="004960A2" w:rsidRDefault="004960A2" w:rsidP="004960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p w14:paraId="4635AFA0" w14:textId="77777777" w:rsidR="004960A2" w:rsidRPr="008B4FE6" w:rsidRDefault="004960A2" w:rsidP="004960A2">
            <w:pPr>
              <w:spacing w:line="240" w:lineRule="auto"/>
              <w:rPr>
                <w:rFonts w:ascii="Times New Roman" w:hAnsi="Times New Roman"/>
                <w:color w:val="000000"/>
              </w:rPr>
            </w:pPr>
          </w:p>
        </w:tc>
      </w:tr>
      <w:tr w:rsidR="004960A2" w:rsidRPr="008B4FE6" w14:paraId="024C79F2" w14:textId="77777777" w:rsidTr="00331BD2">
        <w:trPr>
          <w:trHeight w:val="520"/>
        </w:trPr>
        <w:tc>
          <w:tcPr>
            <w:tcW w:w="10916" w:type="dxa"/>
            <w:gridSpan w:val="25"/>
            <w:shd w:val="clear" w:color="auto" w:fill="FFFFFF"/>
          </w:tcPr>
          <w:p w14:paraId="447CC98A" w14:textId="77777777" w:rsidR="004960A2" w:rsidRPr="008B4FE6" w:rsidRDefault="004960A2" w:rsidP="004960A2">
            <w:pPr>
              <w:spacing w:line="240" w:lineRule="auto"/>
              <w:jc w:val="both"/>
              <w:rPr>
                <w:rFonts w:ascii="Times New Roman" w:hAnsi="Times New Roman"/>
                <w:color w:val="000000"/>
              </w:rPr>
            </w:pPr>
            <w:r>
              <w:rPr>
                <w:rFonts w:ascii="Times New Roman" w:hAnsi="Times New Roman"/>
                <w:color w:val="000000"/>
              </w:rPr>
              <w:t xml:space="preserve">Komentarz: Proponowane rozwiązania spowodują zwiększenie zakresu przekazywanych danych w związku z koniecznością monitorowania zdarzeń niepożądanych. Podkreślenia wymaga, że obciążenia są dostosowane do </w:t>
            </w:r>
            <w:r w:rsidR="00123BDC">
              <w:rPr>
                <w:rFonts w:ascii="Times New Roman" w:hAnsi="Times New Roman"/>
                <w:color w:val="000000"/>
              </w:rPr>
              <w:t>elektronizacji</w:t>
            </w:r>
            <w:r>
              <w:rPr>
                <w:rFonts w:ascii="Times New Roman" w:hAnsi="Times New Roman"/>
                <w:color w:val="000000"/>
              </w:rPr>
              <w:t>.</w:t>
            </w:r>
          </w:p>
        </w:tc>
      </w:tr>
      <w:tr w:rsidR="004960A2" w:rsidRPr="008B4FE6" w14:paraId="48ED0127" w14:textId="77777777" w:rsidTr="00331BD2">
        <w:trPr>
          <w:trHeight w:val="142"/>
        </w:trPr>
        <w:tc>
          <w:tcPr>
            <w:tcW w:w="10916" w:type="dxa"/>
            <w:gridSpan w:val="25"/>
            <w:shd w:val="clear" w:color="auto" w:fill="99CCFF"/>
          </w:tcPr>
          <w:p w14:paraId="4AEEDEFA" w14:textId="77777777" w:rsidR="004960A2" w:rsidRPr="008B4FE6" w:rsidRDefault="004960A2" w:rsidP="004960A2">
            <w:pPr>
              <w:numPr>
                <w:ilvl w:val="0"/>
                <w:numId w:val="1"/>
              </w:numPr>
              <w:spacing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4960A2" w:rsidRPr="008B4FE6" w14:paraId="31085D8E" w14:textId="77777777" w:rsidTr="00331BD2">
        <w:trPr>
          <w:trHeight w:val="142"/>
        </w:trPr>
        <w:tc>
          <w:tcPr>
            <w:tcW w:w="10916" w:type="dxa"/>
            <w:gridSpan w:val="25"/>
            <w:shd w:val="clear" w:color="auto" w:fill="auto"/>
          </w:tcPr>
          <w:p w14:paraId="475207F7" w14:textId="77777777" w:rsidR="004960A2" w:rsidRPr="0020329B" w:rsidRDefault="004960A2" w:rsidP="004960A2">
            <w:pPr>
              <w:spacing w:line="240" w:lineRule="auto"/>
              <w:jc w:val="both"/>
              <w:rPr>
                <w:rFonts w:ascii="Times New Roman" w:eastAsia="Times New Roman" w:hAnsi="Times New Roman"/>
                <w:lang w:eastAsia="pl-PL"/>
              </w:rPr>
            </w:pPr>
            <w:r>
              <w:rPr>
                <w:rFonts w:ascii="Times New Roman" w:eastAsia="Times New Roman" w:hAnsi="Times New Roman"/>
                <w:lang w:eastAsia="pl-PL"/>
              </w:rPr>
              <w:t xml:space="preserve">Wprowadzone rozwiązania projakościowe </w:t>
            </w:r>
            <w:r w:rsidRPr="00A3400B">
              <w:rPr>
                <w:rFonts w:ascii="Times New Roman" w:eastAsia="Times New Roman" w:hAnsi="Times New Roman"/>
                <w:lang w:eastAsia="pl-PL"/>
              </w:rPr>
              <w:t>mo</w:t>
            </w:r>
            <w:r w:rsidR="0020329B">
              <w:rPr>
                <w:rFonts w:ascii="Times New Roman" w:eastAsia="Times New Roman" w:hAnsi="Times New Roman"/>
                <w:lang w:eastAsia="pl-PL"/>
              </w:rPr>
              <w:t>gą</w:t>
            </w:r>
            <w:r w:rsidRPr="00A3400B">
              <w:rPr>
                <w:rFonts w:ascii="Times New Roman" w:eastAsia="Times New Roman" w:hAnsi="Times New Roman"/>
                <w:lang w:eastAsia="pl-PL"/>
              </w:rPr>
              <w:t xml:space="preserve"> skutkować mniejszą liczbą powikłań </w:t>
            </w:r>
            <w:r>
              <w:rPr>
                <w:rFonts w:ascii="Times New Roman" w:eastAsia="Times New Roman" w:hAnsi="Times New Roman"/>
                <w:lang w:eastAsia="pl-PL"/>
              </w:rPr>
              <w:t>w toku leczenia</w:t>
            </w:r>
            <w:r w:rsidRPr="00A3400B">
              <w:rPr>
                <w:rFonts w:ascii="Times New Roman" w:eastAsia="Times New Roman" w:hAnsi="Times New Roman"/>
                <w:lang w:eastAsia="pl-PL"/>
              </w:rPr>
              <w:t>, popraw</w:t>
            </w:r>
            <w:r w:rsidR="0020329B">
              <w:rPr>
                <w:rFonts w:ascii="Times New Roman" w:eastAsia="Times New Roman" w:hAnsi="Times New Roman"/>
                <w:lang w:eastAsia="pl-PL"/>
              </w:rPr>
              <w:t>ą</w:t>
            </w:r>
            <w:r w:rsidRPr="00A3400B">
              <w:rPr>
                <w:rFonts w:ascii="Times New Roman" w:eastAsia="Times New Roman" w:hAnsi="Times New Roman"/>
                <w:lang w:eastAsia="pl-PL"/>
              </w:rPr>
              <w:t xml:space="preserve"> stanu zdrowia i jakości życia </w:t>
            </w:r>
            <w:r>
              <w:rPr>
                <w:rFonts w:ascii="Times New Roman" w:eastAsia="Times New Roman" w:hAnsi="Times New Roman"/>
                <w:lang w:eastAsia="pl-PL"/>
              </w:rPr>
              <w:t>pacjentów</w:t>
            </w:r>
            <w:r w:rsidRPr="00A3400B">
              <w:rPr>
                <w:rFonts w:ascii="Times New Roman" w:eastAsia="Times New Roman" w:hAnsi="Times New Roman"/>
                <w:lang w:eastAsia="pl-PL"/>
              </w:rPr>
              <w:t>, a zatem mo</w:t>
            </w:r>
            <w:r w:rsidR="0020329B">
              <w:rPr>
                <w:rFonts w:ascii="Times New Roman" w:eastAsia="Times New Roman" w:hAnsi="Times New Roman"/>
                <w:lang w:eastAsia="pl-PL"/>
              </w:rPr>
              <w:t>gą</w:t>
            </w:r>
            <w:r w:rsidRPr="00A3400B">
              <w:rPr>
                <w:rFonts w:ascii="Times New Roman" w:eastAsia="Times New Roman" w:hAnsi="Times New Roman"/>
                <w:lang w:eastAsia="pl-PL"/>
              </w:rPr>
              <w:t xml:space="preserve"> wpływać na zmniejszenie absencji chorobowej, związanej m.in. z koniecznością rehospitalizacji i ograniczeniem zjawiska czasowej lub trwałej niezdolności do pracy.</w:t>
            </w:r>
          </w:p>
        </w:tc>
      </w:tr>
      <w:tr w:rsidR="004960A2" w:rsidRPr="008B4FE6" w14:paraId="1721A395" w14:textId="77777777" w:rsidTr="00331BD2">
        <w:trPr>
          <w:trHeight w:val="142"/>
        </w:trPr>
        <w:tc>
          <w:tcPr>
            <w:tcW w:w="10916" w:type="dxa"/>
            <w:gridSpan w:val="25"/>
            <w:shd w:val="clear" w:color="auto" w:fill="99CCFF"/>
          </w:tcPr>
          <w:p w14:paraId="28F9EDB9" w14:textId="77777777" w:rsidR="004960A2" w:rsidRPr="008B4FE6" w:rsidRDefault="004960A2" w:rsidP="004960A2">
            <w:pPr>
              <w:numPr>
                <w:ilvl w:val="0"/>
                <w:numId w:val="1"/>
              </w:numPr>
              <w:spacing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4960A2" w:rsidRPr="008B4FE6" w14:paraId="4864064E" w14:textId="77777777" w:rsidTr="0088366B">
        <w:trPr>
          <w:trHeight w:val="1031"/>
        </w:trPr>
        <w:tc>
          <w:tcPr>
            <w:tcW w:w="3545" w:type="dxa"/>
            <w:gridSpan w:val="5"/>
            <w:shd w:val="clear" w:color="auto" w:fill="FFFFFF"/>
          </w:tcPr>
          <w:p w14:paraId="008D48A6" w14:textId="77777777" w:rsidR="004960A2" w:rsidRPr="008B4FE6" w:rsidRDefault="004960A2" w:rsidP="004960A2">
            <w:pPr>
              <w:spacing w:line="240" w:lineRule="auto"/>
              <w:rPr>
                <w:rFonts w:ascii="Times New Roman" w:hAnsi="Times New Roman"/>
                <w:color w:val="000000"/>
              </w:rPr>
            </w:pPr>
          </w:p>
          <w:p w14:paraId="4728C0A7" w14:textId="77777777" w:rsidR="004960A2" w:rsidRPr="008B4FE6" w:rsidRDefault="004960A2" w:rsidP="004960A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017390ED" w14:textId="77777777" w:rsidR="004960A2" w:rsidRDefault="004960A2" w:rsidP="004960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498B9343" w14:textId="77777777" w:rsidR="004960A2" w:rsidRPr="008B4FE6" w:rsidRDefault="004960A2" w:rsidP="004960A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684" w:type="dxa"/>
            <w:gridSpan w:val="10"/>
            <w:shd w:val="clear" w:color="auto" w:fill="FFFFFF"/>
          </w:tcPr>
          <w:p w14:paraId="0A9D4FE7" w14:textId="77777777" w:rsidR="004960A2" w:rsidRPr="008B4FE6" w:rsidRDefault="004960A2" w:rsidP="004960A2">
            <w:pPr>
              <w:spacing w:line="240" w:lineRule="auto"/>
              <w:rPr>
                <w:rFonts w:ascii="Times New Roman" w:hAnsi="Times New Roman"/>
                <w:color w:val="000000"/>
              </w:rPr>
            </w:pPr>
          </w:p>
          <w:p w14:paraId="500F18B3" w14:textId="77777777" w:rsidR="004960A2" w:rsidRPr="008B4FE6" w:rsidRDefault="004960A2" w:rsidP="004960A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6E336550" w14:textId="77777777" w:rsidR="004960A2" w:rsidRPr="008B4FE6" w:rsidRDefault="004960A2" w:rsidP="004960A2">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3687" w:type="dxa"/>
            <w:gridSpan w:val="10"/>
            <w:shd w:val="clear" w:color="auto" w:fill="FFFFFF"/>
          </w:tcPr>
          <w:p w14:paraId="44C2A98B" w14:textId="77777777" w:rsidR="004960A2" w:rsidRPr="008B4FE6" w:rsidRDefault="004960A2" w:rsidP="004960A2">
            <w:pPr>
              <w:spacing w:line="240" w:lineRule="auto"/>
              <w:rPr>
                <w:rFonts w:ascii="Times New Roman" w:hAnsi="Times New Roman"/>
                <w:color w:val="000000"/>
              </w:rPr>
            </w:pPr>
          </w:p>
          <w:p w14:paraId="7AEF2085" w14:textId="77777777" w:rsidR="004960A2" w:rsidRDefault="004960A2" w:rsidP="004960A2">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42BF8527" w14:textId="77777777" w:rsidR="004960A2" w:rsidRPr="008B4FE6" w:rsidRDefault="004960A2" w:rsidP="004960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4757D7">
              <w:rPr>
                <w:rFonts w:ascii="Times New Roman" w:hAnsi="Times New Roman"/>
                <w:color w:val="000000"/>
              </w:rPr>
            </w:r>
            <w:r w:rsidR="004757D7">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4960A2" w:rsidRPr="004136B7" w14:paraId="063EA391" w14:textId="77777777" w:rsidTr="006E49F8">
        <w:trPr>
          <w:trHeight w:val="1480"/>
        </w:trPr>
        <w:tc>
          <w:tcPr>
            <w:tcW w:w="2238" w:type="dxa"/>
            <w:gridSpan w:val="2"/>
            <w:shd w:val="clear" w:color="auto" w:fill="FFFFFF"/>
            <w:vAlign w:val="center"/>
          </w:tcPr>
          <w:p w14:paraId="4052AFB5" w14:textId="77777777" w:rsidR="004960A2" w:rsidRPr="00147AA7" w:rsidRDefault="004960A2" w:rsidP="004960A2">
            <w:pPr>
              <w:spacing w:line="240" w:lineRule="auto"/>
              <w:jc w:val="both"/>
              <w:rPr>
                <w:rFonts w:ascii="Times New Roman" w:eastAsia="Times New Roman" w:hAnsi="Times New Roman"/>
                <w:lang w:eastAsia="pl-PL"/>
              </w:rPr>
            </w:pPr>
            <w:r w:rsidRPr="00147AA7">
              <w:rPr>
                <w:rFonts w:ascii="Times New Roman" w:eastAsia="Times New Roman" w:hAnsi="Times New Roman"/>
                <w:lang w:eastAsia="pl-PL"/>
              </w:rPr>
              <w:t>Omówienie wpływu</w:t>
            </w:r>
          </w:p>
        </w:tc>
        <w:tc>
          <w:tcPr>
            <w:tcW w:w="8678" w:type="dxa"/>
            <w:gridSpan w:val="23"/>
            <w:shd w:val="clear" w:color="auto" w:fill="FFFFFF"/>
            <w:vAlign w:val="center"/>
          </w:tcPr>
          <w:p w14:paraId="3F2B96A2" w14:textId="77777777" w:rsidR="004960A2" w:rsidRPr="004136B7" w:rsidRDefault="004960A2" w:rsidP="004960A2">
            <w:pPr>
              <w:spacing w:line="240" w:lineRule="auto"/>
              <w:jc w:val="both"/>
              <w:rPr>
                <w:rFonts w:ascii="Times New Roman" w:eastAsia="Times New Roman" w:hAnsi="Times New Roman"/>
                <w:lang w:eastAsia="pl-PL"/>
              </w:rPr>
            </w:pPr>
            <w:r w:rsidRPr="00147AA7">
              <w:rPr>
                <w:rFonts w:ascii="Times New Roman" w:eastAsia="Times New Roman" w:hAnsi="Times New Roman"/>
                <w:lang w:eastAsia="pl-PL"/>
              </w:rPr>
              <w:t xml:space="preserve">Projekt </w:t>
            </w:r>
            <w:r>
              <w:rPr>
                <w:rFonts w:ascii="Times New Roman" w:eastAsia="Times New Roman" w:hAnsi="Times New Roman"/>
                <w:lang w:eastAsia="pl-PL"/>
              </w:rPr>
              <w:t xml:space="preserve">ustawy </w:t>
            </w:r>
            <w:r w:rsidRPr="00147AA7">
              <w:rPr>
                <w:rFonts w:ascii="Times New Roman" w:eastAsia="Times New Roman" w:hAnsi="Times New Roman"/>
                <w:lang w:eastAsia="pl-PL"/>
              </w:rPr>
              <w:t>wpłynie na zachowanie i poprawę stanu zdrowia społeczeństwa. Korzyści dla obywateli obejm</w:t>
            </w:r>
            <w:r>
              <w:rPr>
                <w:rFonts w:ascii="Times New Roman" w:eastAsia="Times New Roman" w:hAnsi="Times New Roman"/>
                <w:lang w:eastAsia="pl-PL"/>
              </w:rPr>
              <w:t>ą</w:t>
            </w:r>
            <w:r w:rsidRPr="00147AA7">
              <w:rPr>
                <w:rFonts w:ascii="Times New Roman" w:eastAsia="Times New Roman" w:hAnsi="Times New Roman"/>
                <w:lang w:eastAsia="pl-PL"/>
              </w:rPr>
              <w:t xml:space="preserve"> między innymi poprawę satysfakcji z uzyskiwanej opieki oraz poprawę jakości udzielanych świadczeń, jak również ograniczenie finansowych skutków choroby i niepełnosprawności, </w:t>
            </w:r>
            <w:r>
              <w:rPr>
                <w:rFonts w:ascii="Times New Roman" w:eastAsia="Times New Roman" w:hAnsi="Times New Roman"/>
                <w:lang w:eastAsia="pl-PL"/>
              </w:rPr>
              <w:t xml:space="preserve">związanych z ograniczeniem </w:t>
            </w:r>
            <w:r w:rsidRPr="00147AA7">
              <w:rPr>
                <w:rFonts w:ascii="Times New Roman" w:eastAsia="Times New Roman" w:hAnsi="Times New Roman"/>
                <w:lang w:eastAsia="pl-PL"/>
              </w:rPr>
              <w:t xml:space="preserve">występowania zdarzeń niepożądanych. </w:t>
            </w:r>
          </w:p>
        </w:tc>
      </w:tr>
      <w:tr w:rsidR="004960A2" w:rsidRPr="004136B7" w14:paraId="5317B5BD" w14:textId="77777777" w:rsidTr="00331BD2">
        <w:trPr>
          <w:trHeight w:val="142"/>
        </w:trPr>
        <w:tc>
          <w:tcPr>
            <w:tcW w:w="10916" w:type="dxa"/>
            <w:gridSpan w:val="25"/>
            <w:shd w:val="clear" w:color="auto" w:fill="99CCFF"/>
          </w:tcPr>
          <w:p w14:paraId="2C159591" w14:textId="77777777" w:rsidR="004960A2" w:rsidRPr="004136B7" w:rsidRDefault="004960A2" w:rsidP="004960A2">
            <w:pPr>
              <w:numPr>
                <w:ilvl w:val="0"/>
                <w:numId w:val="1"/>
              </w:numPr>
              <w:spacing w:line="240" w:lineRule="auto"/>
              <w:ind w:left="318" w:hanging="284"/>
              <w:jc w:val="both"/>
              <w:rPr>
                <w:rFonts w:ascii="Times New Roman" w:hAnsi="Times New Roman"/>
                <w:b/>
              </w:rPr>
            </w:pPr>
            <w:r w:rsidRPr="004136B7">
              <w:rPr>
                <w:rFonts w:ascii="Times New Roman" w:hAnsi="Times New Roman"/>
                <w:b/>
                <w:spacing w:val="-2"/>
              </w:rPr>
              <w:t>Planowane wykonanie przepisów aktu prawnego</w:t>
            </w:r>
          </w:p>
        </w:tc>
      </w:tr>
      <w:tr w:rsidR="004960A2" w:rsidRPr="004136B7" w14:paraId="60C3C32F" w14:textId="77777777" w:rsidTr="00331BD2">
        <w:trPr>
          <w:trHeight w:val="142"/>
        </w:trPr>
        <w:tc>
          <w:tcPr>
            <w:tcW w:w="10916" w:type="dxa"/>
            <w:gridSpan w:val="25"/>
            <w:shd w:val="clear" w:color="auto" w:fill="FFFFFF"/>
          </w:tcPr>
          <w:p w14:paraId="4FA3FA3D" w14:textId="77777777" w:rsidR="004960A2" w:rsidRPr="002B0349" w:rsidRDefault="004960A2" w:rsidP="004960A2">
            <w:pPr>
              <w:spacing w:line="240" w:lineRule="auto"/>
              <w:jc w:val="both"/>
              <w:rPr>
                <w:rFonts w:ascii="Arial" w:hAnsi="Arial" w:cs="Arial"/>
                <w:bCs/>
              </w:rPr>
            </w:pPr>
            <w:r w:rsidRPr="004136B7">
              <w:rPr>
                <w:rFonts w:ascii="Times New Roman" w:eastAsia="Times New Roman" w:hAnsi="Times New Roman"/>
                <w:lang w:eastAsia="pl-PL"/>
              </w:rPr>
              <w:t xml:space="preserve">Planowane jest wejście w życie proponowanych rozwiązań z dniem 1 </w:t>
            </w:r>
            <w:r>
              <w:rPr>
                <w:rFonts w:ascii="Times New Roman" w:eastAsia="Times New Roman" w:hAnsi="Times New Roman"/>
                <w:lang w:eastAsia="pl-PL"/>
              </w:rPr>
              <w:t>stycznia 2022</w:t>
            </w:r>
            <w:r w:rsidRPr="004136B7">
              <w:rPr>
                <w:rFonts w:ascii="Times New Roman" w:eastAsia="Times New Roman" w:hAnsi="Times New Roman"/>
                <w:lang w:eastAsia="pl-PL"/>
              </w:rPr>
              <w:t xml:space="preserve"> r</w:t>
            </w:r>
            <w:r>
              <w:rPr>
                <w:rFonts w:ascii="Times New Roman" w:eastAsia="Times New Roman" w:hAnsi="Times New Roman"/>
                <w:lang w:eastAsia="pl-PL"/>
              </w:rPr>
              <w:t>.</w:t>
            </w:r>
          </w:p>
        </w:tc>
      </w:tr>
      <w:tr w:rsidR="004960A2" w:rsidRPr="004136B7" w14:paraId="671A2192" w14:textId="77777777" w:rsidTr="00331BD2">
        <w:trPr>
          <w:trHeight w:val="142"/>
        </w:trPr>
        <w:tc>
          <w:tcPr>
            <w:tcW w:w="10916" w:type="dxa"/>
            <w:gridSpan w:val="25"/>
            <w:shd w:val="clear" w:color="auto" w:fill="99CCFF"/>
          </w:tcPr>
          <w:p w14:paraId="5123D7C9" w14:textId="77777777" w:rsidR="004960A2" w:rsidRPr="004136B7" w:rsidRDefault="004960A2" w:rsidP="004960A2">
            <w:pPr>
              <w:numPr>
                <w:ilvl w:val="0"/>
                <w:numId w:val="1"/>
              </w:numPr>
              <w:spacing w:line="240" w:lineRule="auto"/>
              <w:ind w:left="318" w:hanging="284"/>
              <w:jc w:val="both"/>
              <w:rPr>
                <w:rFonts w:ascii="Times New Roman" w:hAnsi="Times New Roman"/>
                <w:b/>
              </w:rPr>
            </w:pPr>
            <w:r w:rsidRPr="004136B7">
              <w:rPr>
                <w:rFonts w:ascii="Times New Roman" w:hAnsi="Times New Roman"/>
                <w:b/>
              </w:rPr>
              <w:t xml:space="preserve"> </w:t>
            </w:r>
            <w:r w:rsidRPr="004136B7">
              <w:rPr>
                <w:rFonts w:ascii="Times New Roman" w:hAnsi="Times New Roman"/>
                <w:b/>
                <w:spacing w:val="-2"/>
                <w:sz w:val="21"/>
                <w:szCs w:val="21"/>
              </w:rPr>
              <w:t>W jaki sposób i kiedy nastąpi ewaluacja efektów projektu oraz jakie mierniki zostaną zastosowane?</w:t>
            </w:r>
          </w:p>
        </w:tc>
      </w:tr>
      <w:tr w:rsidR="004960A2" w:rsidRPr="004136B7" w14:paraId="7B714299" w14:textId="77777777" w:rsidTr="00331BD2">
        <w:trPr>
          <w:trHeight w:val="142"/>
        </w:trPr>
        <w:tc>
          <w:tcPr>
            <w:tcW w:w="10916" w:type="dxa"/>
            <w:gridSpan w:val="25"/>
            <w:shd w:val="clear" w:color="auto" w:fill="FFFFFF"/>
          </w:tcPr>
          <w:p w14:paraId="7086B8ED" w14:textId="77777777" w:rsidR="004960A2" w:rsidRPr="004136B7" w:rsidRDefault="004960A2" w:rsidP="004960A2">
            <w:pPr>
              <w:pStyle w:val="ARTartustawynprozporzdzenia"/>
              <w:spacing w:before="0" w:line="240" w:lineRule="auto"/>
              <w:ind w:firstLine="0"/>
              <w:rPr>
                <w:rFonts w:ascii="Times New Roman" w:hAnsi="Times New Roman"/>
                <w:spacing w:val="-2"/>
                <w:szCs w:val="24"/>
              </w:rPr>
            </w:pPr>
            <w:r w:rsidRPr="004136B7">
              <w:rPr>
                <w:rFonts w:ascii="Times New Roman" w:hAnsi="Times New Roman" w:cs="Times New Roman"/>
                <w:sz w:val="22"/>
                <w:szCs w:val="22"/>
              </w:rPr>
              <w:t>Ewaluacja efektów projektu będzie następować w sposób ciągły.</w:t>
            </w:r>
          </w:p>
        </w:tc>
      </w:tr>
      <w:tr w:rsidR="004960A2" w:rsidRPr="004136B7" w14:paraId="1115FDE9" w14:textId="77777777" w:rsidTr="00331BD2">
        <w:trPr>
          <w:trHeight w:val="142"/>
        </w:trPr>
        <w:tc>
          <w:tcPr>
            <w:tcW w:w="10916" w:type="dxa"/>
            <w:gridSpan w:val="25"/>
            <w:shd w:val="clear" w:color="auto" w:fill="99CCFF"/>
          </w:tcPr>
          <w:p w14:paraId="4314D401" w14:textId="77777777" w:rsidR="004960A2" w:rsidRPr="004136B7" w:rsidRDefault="004960A2" w:rsidP="004960A2">
            <w:pPr>
              <w:numPr>
                <w:ilvl w:val="0"/>
                <w:numId w:val="1"/>
              </w:numPr>
              <w:spacing w:line="240" w:lineRule="auto"/>
              <w:ind w:left="318" w:hanging="284"/>
              <w:jc w:val="both"/>
              <w:rPr>
                <w:rFonts w:ascii="Times New Roman" w:hAnsi="Times New Roman"/>
                <w:b/>
                <w:spacing w:val="-2"/>
              </w:rPr>
            </w:pPr>
            <w:r w:rsidRPr="004136B7">
              <w:rPr>
                <w:rFonts w:ascii="Times New Roman" w:hAnsi="Times New Roman"/>
                <w:b/>
                <w:spacing w:val="-2"/>
              </w:rPr>
              <w:t xml:space="preserve">Załączniki (istotne dokumenty źródłowe, badania, analizy itp.) </w:t>
            </w:r>
          </w:p>
        </w:tc>
      </w:tr>
      <w:tr w:rsidR="004960A2" w:rsidRPr="004136B7" w14:paraId="78E97EE2" w14:textId="77777777" w:rsidTr="00331BD2">
        <w:trPr>
          <w:trHeight w:val="142"/>
        </w:trPr>
        <w:tc>
          <w:tcPr>
            <w:tcW w:w="10916" w:type="dxa"/>
            <w:gridSpan w:val="25"/>
            <w:shd w:val="clear" w:color="auto" w:fill="FFFFFF"/>
          </w:tcPr>
          <w:p w14:paraId="13BA9B6E" w14:textId="1CBA8E63" w:rsidR="004960A2" w:rsidRPr="004136B7" w:rsidRDefault="00872B5B" w:rsidP="004960A2">
            <w:pPr>
              <w:pStyle w:val="ARTartustawynprozporzdzenia"/>
              <w:spacing w:before="0" w:line="240" w:lineRule="auto"/>
              <w:ind w:firstLine="0"/>
            </w:pPr>
            <w:r>
              <w:rPr>
                <w:rFonts w:ascii="Times New Roman" w:hAnsi="Times New Roman" w:cs="Times New Roman"/>
                <w:sz w:val="22"/>
                <w:szCs w:val="22"/>
              </w:rPr>
              <w:t xml:space="preserve">Brak. </w:t>
            </w:r>
          </w:p>
        </w:tc>
      </w:tr>
    </w:tbl>
    <w:p w14:paraId="30B59F96" w14:textId="77777777" w:rsidR="00D77692" w:rsidRDefault="009D0655" w:rsidP="00EA3BD8">
      <w:pPr>
        <w:pStyle w:val="Nagwek1"/>
        <w:spacing w:before="0" w:after="0"/>
      </w:pPr>
      <w:r w:rsidRPr="004136B7">
        <w:t xml:space="preserve"> </w:t>
      </w:r>
    </w:p>
    <w:sectPr w:rsidR="00D77692" w:rsidSect="00EA3BD8">
      <w:headerReference w:type="default" r:id="rId15"/>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F1A9" w14:textId="77777777" w:rsidR="004757D7" w:rsidRDefault="004757D7" w:rsidP="00044739">
      <w:pPr>
        <w:spacing w:line="240" w:lineRule="auto"/>
      </w:pPr>
      <w:r>
        <w:separator/>
      </w:r>
    </w:p>
  </w:endnote>
  <w:endnote w:type="continuationSeparator" w:id="0">
    <w:p w14:paraId="28E0C328" w14:textId="77777777" w:rsidR="004757D7" w:rsidRDefault="004757D7"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atobold">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5B04" w14:textId="77777777" w:rsidR="004757D7" w:rsidRDefault="004757D7" w:rsidP="00044739">
      <w:pPr>
        <w:spacing w:line="240" w:lineRule="auto"/>
      </w:pPr>
      <w:r>
        <w:separator/>
      </w:r>
    </w:p>
  </w:footnote>
  <w:footnote w:type="continuationSeparator" w:id="0">
    <w:p w14:paraId="1E117BAC" w14:textId="77777777" w:rsidR="004757D7" w:rsidRDefault="004757D7" w:rsidP="00044739">
      <w:pPr>
        <w:spacing w:line="240" w:lineRule="auto"/>
      </w:pPr>
      <w:r>
        <w:continuationSeparator/>
      </w:r>
    </w:p>
  </w:footnote>
  <w:footnote w:id="1">
    <w:p w14:paraId="00A7771D" w14:textId="77777777" w:rsidR="004960A2" w:rsidRPr="00E638B5" w:rsidRDefault="004960A2" w:rsidP="006F6F51">
      <w:pPr>
        <w:pStyle w:val="Tekstprzypisudolnego"/>
        <w:jc w:val="both"/>
        <w:rPr>
          <w:rFonts w:ascii="Times New Roman" w:hAnsi="Times New Roman"/>
          <w:i/>
        </w:rPr>
      </w:pPr>
      <w:r w:rsidRPr="00E638B5">
        <w:rPr>
          <w:rStyle w:val="Odwoanieprzypisudolnego"/>
          <w:rFonts w:ascii="Times New Roman" w:hAnsi="Times New Roman"/>
          <w:i/>
        </w:rPr>
        <w:footnoteRef/>
      </w:r>
      <w:r w:rsidRPr="00E638B5">
        <w:rPr>
          <w:rFonts w:ascii="Times New Roman" w:hAnsi="Times New Roman"/>
          <w:i/>
        </w:rPr>
        <w:t xml:space="preserve"> 7 454 zł miesięcznie.</w:t>
      </w:r>
    </w:p>
  </w:footnote>
  <w:footnote w:id="2">
    <w:p w14:paraId="33913F4B" w14:textId="77777777" w:rsidR="004960A2" w:rsidRPr="00FC246F" w:rsidRDefault="004960A2" w:rsidP="006F6F51">
      <w:pPr>
        <w:spacing w:line="240" w:lineRule="auto"/>
        <w:jc w:val="both"/>
        <w:rPr>
          <w:rFonts w:ascii="Times New Roman" w:hAnsi="Times New Roman"/>
          <w:i/>
          <w:sz w:val="20"/>
          <w:szCs w:val="20"/>
        </w:rPr>
      </w:pPr>
      <w:r w:rsidRPr="00FC246F">
        <w:rPr>
          <w:rStyle w:val="Odwoanieprzypisudolnego"/>
          <w:rFonts w:ascii="Times New Roman" w:hAnsi="Times New Roman"/>
          <w:i/>
          <w:sz w:val="20"/>
          <w:szCs w:val="20"/>
        </w:rPr>
        <w:footnoteRef/>
      </w:r>
      <w:r w:rsidRPr="00FC246F">
        <w:rPr>
          <w:rFonts w:ascii="Times New Roman" w:hAnsi="Times New Roman"/>
          <w:i/>
          <w:sz w:val="20"/>
          <w:szCs w:val="20"/>
        </w:rPr>
        <w:t xml:space="preserve"> 400 zł za opinię. Opinie wydawane w 60% spraw.</w:t>
      </w:r>
    </w:p>
  </w:footnote>
  <w:footnote w:id="3">
    <w:p w14:paraId="6635FD15" w14:textId="77777777" w:rsidR="004960A2" w:rsidRPr="00EC08CA" w:rsidRDefault="004960A2" w:rsidP="006F6F51">
      <w:pPr>
        <w:pStyle w:val="Tekstprzypisudolnego"/>
        <w:jc w:val="both"/>
        <w:rPr>
          <w:rFonts w:ascii="Times New Roman" w:hAnsi="Times New Roman"/>
          <w:i/>
          <w:color w:val="ED7D31"/>
        </w:rPr>
      </w:pPr>
      <w:r w:rsidRPr="00FC246F">
        <w:rPr>
          <w:rStyle w:val="Odwoanieprzypisudolnego"/>
          <w:rFonts w:ascii="Times New Roman" w:hAnsi="Times New Roman"/>
          <w:i/>
        </w:rPr>
        <w:footnoteRef/>
      </w:r>
      <w:r w:rsidRPr="00FC246F">
        <w:rPr>
          <w:rFonts w:ascii="Times New Roman" w:hAnsi="Times New Roman"/>
          <w:i/>
        </w:rPr>
        <w:t xml:space="preserve"> 1 000 zł za posiedzenie. Liczba posiedzeń 12/24/30 w roku.</w:t>
      </w:r>
    </w:p>
  </w:footnote>
  <w:footnote w:id="4">
    <w:p w14:paraId="403AF5FE" w14:textId="77777777" w:rsidR="004960A2" w:rsidRPr="001F4E02" w:rsidRDefault="004960A2" w:rsidP="001B1AB1">
      <w:pPr>
        <w:pStyle w:val="Tekstprzypisudolnego"/>
        <w:jc w:val="both"/>
        <w:rPr>
          <w:rFonts w:ascii="Times New Roman" w:hAnsi="Times New Roman"/>
          <w:i/>
        </w:rPr>
      </w:pPr>
      <w:r w:rsidRPr="001F4E02">
        <w:rPr>
          <w:rStyle w:val="Odwoanieprzypisudolnego"/>
          <w:rFonts w:ascii="Times New Roman" w:hAnsi="Times New Roman"/>
          <w:i/>
        </w:rPr>
        <w:footnoteRef/>
      </w:r>
      <w:r w:rsidRPr="001F4E02">
        <w:rPr>
          <w:rFonts w:ascii="Times New Roman" w:hAnsi="Times New Roman"/>
          <w:i/>
        </w:rPr>
        <w:t xml:space="preserve"> Tj. od 70% wniosków i 80% odwołań. Liczba odwołań została przyjęta na poziomie 25% wniosków.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8CD0" w14:textId="77777777" w:rsidR="00AD7A9A" w:rsidRDefault="00AD7A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3E3"/>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B3D9B"/>
    <w:multiLevelType w:val="hybridMultilevel"/>
    <w:tmpl w:val="6C5435A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2A319A"/>
    <w:multiLevelType w:val="hybridMultilevel"/>
    <w:tmpl w:val="881C15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64597"/>
    <w:multiLevelType w:val="hybridMultilevel"/>
    <w:tmpl w:val="CB5ABFB4"/>
    <w:lvl w:ilvl="0" w:tplc="5714149A">
      <w:start w:val="1"/>
      <w:numFmt w:val="decimal"/>
      <w:lvlText w:val="5.%1."/>
      <w:lvlJc w:val="left"/>
      <w:pPr>
        <w:ind w:left="786" w:hanging="360"/>
      </w:pPr>
      <w:rPr>
        <w:rFonts w:hint="default"/>
      </w:rPr>
    </w:lvl>
    <w:lvl w:ilvl="1" w:tplc="4BBE314E">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10FB4"/>
    <w:multiLevelType w:val="hybridMultilevel"/>
    <w:tmpl w:val="3404F3D2"/>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1B803FDC">
      <w:start w:val="1"/>
      <w:numFmt w:val="decimal"/>
      <w:lvlText w:val="%3)"/>
      <w:lvlJc w:val="left"/>
      <w:pPr>
        <w:ind w:left="1980" w:hanging="360"/>
      </w:pPr>
      <w:rPr>
        <w:rFonts w:hint="default"/>
      </w:rPr>
    </w:lvl>
    <w:lvl w:ilvl="3" w:tplc="4CF822C4">
      <w:start w:val="3"/>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D97BAC"/>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85231"/>
    <w:multiLevelType w:val="hybridMultilevel"/>
    <w:tmpl w:val="B0A67E66"/>
    <w:lvl w:ilvl="0" w:tplc="4BBE314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D4D398F"/>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0408A8"/>
    <w:multiLevelType w:val="hybridMultilevel"/>
    <w:tmpl w:val="DEE8154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E34638"/>
    <w:multiLevelType w:val="hybridMultilevel"/>
    <w:tmpl w:val="23AE1E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531AE8"/>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033165"/>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9F11C8"/>
    <w:multiLevelType w:val="hybridMultilevel"/>
    <w:tmpl w:val="ECEE0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F868D0"/>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6879BC"/>
    <w:multiLevelType w:val="hybridMultilevel"/>
    <w:tmpl w:val="EED63910"/>
    <w:lvl w:ilvl="0" w:tplc="4BBE314E">
      <w:start w:val="1"/>
      <w:numFmt w:val="bullet"/>
      <w:lvlText w:val="-"/>
      <w:lvlJc w:val="left"/>
      <w:pPr>
        <w:ind w:left="1080" w:hanging="360"/>
      </w:pPr>
      <w:rPr>
        <w:rFonts w:ascii="Courier New" w:hAnsi="Courier New"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65A4692"/>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0836E3"/>
    <w:multiLevelType w:val="hybridMultilevel"/>
    <w:tmpl w:val="BF04920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DF46A5"/>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5D17E5"/>
    <w:multiLevelType w:val="hybridMultilevel"/>
    <w:tmpl w:val="5AB41DDC"/>
    <w:lvl w:ilvl="0" w:tplc="000000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24D506E"/>
    <w:multiLevelType w:val="hybridMultilevel"/>
    <w:tmpl w:val="C61225D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1B803FDC">
      <w:start w:val="1"/>
      <w:numFmt w:val="decimal"/>
      <w:lvlText w:val="%3)"/>
      <w:lvlJc w:val="left"/>
      <w:pPr>
        <w:ind w:left="1779" w:hanging="360"/>
      </w:pPr>
      <w:rPr>
        <w:rFonts w:hint="default"/>
      </w:rPr>
    </w:lvl>
    <w:lvl w:ilvl="3" w:tplc="4CF822C4">
      <w:start w:val="3"/>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D9648C1"/>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CD6FCE"/>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20C76"/>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E15717"/>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F3995"/>
    <w:multiLevelType w:val="hybridMultilevel"/>
    <w:tmpl w:val="E3DC1260"/>
    <w:lvl w:ilvl="0" w:tplc="A2A64426">
      <w:start w:val="1"/>
      <w:numFmt w:val="decimal"/>
      <w:lvlText w:val="1.%1."/>
      <w:lvlJc w:val="left"/>
      <w:pPr>
        <w:ind w:left="-66" w:hanging="360"/>
      </w:pPr>
      <w:rPr>
        <w:rFonts w:hint="default"/>
      </w:rPr>
    </w:lvl>
    <w:lvl w:ilvl="1" w:tplc="4BBE314E">
      <w:start w:val="1"/>
      <w:numFmt w:val="bullet"/>
      <w:lvlText w:val="-"/>
      <w:lvlJc w:val="left"/>
      <w:pPr>
        <w:ind w:left="588" w:hanging="360"/>
      </w:pPr>
      <w:rPr>
        <w:rFonts w:ascii="Courier New" w:hAnsi="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26" w15:restartNumberingAfterBreak="0">
    <w:nsid w:val="567C0CB5"/>
    <w:multiLevelType w:val="hybridMultilevel"/>
    <w:tmpl w:val="596C0E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976A8C"/>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8643A7"/>
    <w:multiLevelType w:val="hybridMultilevel"/>
    <w:tmpl w:val="2254513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1B803FDC">
      <w:start w:val="1"/>
      <w:numFmt w:val="decimal"/>
      <w:lvlText w:val="%3)"/>
      <w:lvlJc w:val="left"/>
      <w:pPr>
        <w:ind w:left="1980" w:hanging="360"/>
      </w:pPr>
      <w:rPr>
        <w:rFonts w:hint="default"/>
      </w:rPr>
    </w:lvl>
    <w:lvl w:ilvl="3" w:tplc="4CF822C4">
      <w:start w:val="3"/>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A7C052C"/>
    <w:multiLevelType w:val="hybridMultilevel"/>
    <w:tmpl w:val="53A69A6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D763676"/>
    <w:multiLevelType w:val="hybridMultilevel"/>
    <w:tmpl w:val="DEE8154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A85262"/>
    <w:multiLevelType w:val="hybridMultilevel"/>
    <w:tmpl w:val="769A9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73CB1"/>
    <w:multiLevelType w:val="hybridMultilevel"/>
    <w:tmpl w:val="AD9A8A5C"/>
    <w:lvl w:ilvl="0" w:tplc="0415000F">
      <w:start w:val="1"/>
      <w:numFmt w:val="decimal"/>
      <w:lvlText w:val="%1."/>
      <w:lvlJc w:val="left"/>
      <w:pPr>
        <w:ind w:left="360" w:hanging="360"/>
      </w:pPr>
    </w:lvl>
    <w:lvl w:ilvl="1" w:tplc="565A295C">
      <w:start w:val="1"/>
      <w:numFmt w:val="lowerLetter"/>
      <w:lvlText w:val="%2)"/>
      <w:lvlJc w:val="left"/>
      <w:pPr>
        <w:ind w:left="1080" w:hanging="360"/>
      </w:pPr>
      <w:rPr>
        <w:b w:val="0"/>
      </w:rPr>
    </w:lvl>
    <w:lvl w:ilvl="2" w:tplc="F2BA91B6">
      <w:numFmt w:val="bullet"/>
      <w:lvlText w:val=""/>
      <w:lvlJc w:val="left"/>
      <w:pPr>
        <w:ind w:left="1980" w:hanging="360"/>
      </w:pPr>
      <w:rPr>
        <w:rFonts w:ascii="Symbol" w:eastAsiaTheme="minorHAnsi" w:hAnsi="Symbol" w:cs="Times New Roman"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5360914"/>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ED74BF"/>
    <w:multiLevelType w:val="hybridMultilevel"/>
    <w:tmpl w:val="DEE8154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A4169F"/>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F70BE6"/>
    <w:multiLevelType w:val="hybridMultilevel"/>
    <w:tmpl w:val="ECEE0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DA77B9"/>
    <w:multiLevelType w:val="hybridMultilevel"/>
    <w:tmpl w:val="0614ACD4"/>
    <w:lvl w:ilvl="0" w:tplc="0415000F">
      <w:start w:val="1"/>
      <w:numFmt w:val="decimal"/>
      <w:lvlText w:val="%1."/>
      <w:lvlJc w:val="left"/>
      <w:pPr>
        <w:ind w:left="1637" w:hanging="360"/>
      </w:pPr>
      <w:rPr>
        <w:rFonts w:hint="default"/>
        <w:b w:val="0"/>
        <w:bCs w:val="0"/>
        <w:i w:val="0"/>
        <w:iCs w:val="0"/>
        <w:sz w:val="22"/>
        <w:szCs w:val="20"/>
      </w:rPr>
    </w:lvl>
    <w:lvl w:ilvl="1" w:tplc="D234C9F0">
      <w:start w:val="1"/>
      <w:numFmt w:val="lowerLetter"/>
      <w:lvlText w:val="%2)"/>
      <w:lvlJc w:val="left"/>
      <w:pPr>
        <w:ind w:left="1190" w:hanging="47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5E81000"/>
    <w:multiLevelType w:val="hybridMultilevel"/>
    <w:tmpl w:val="A10CC8FE"/>
    <w:lvl w:ilvl="0" w:tplc="04150011">
      <w:start w:val="1"/>
      <w:numFmt w:val="decimal"/>
      <w:lvlText w:val="%1)"/>
      <w:lvlJc w:val="left"/>
      <w:pPr>
        <w:ind w:left="360" w:hanging="360"/>
      </w:pPr>
      <w:rPr>
        <w:rFonts w:hint="default"/>
      </w:rPr>
    </w:lvl>
    <w:lvl w:ilvl="1" w:tplc="04150017">
      <w:start w:val="1"/>
      <w:numFmt w:val="lowerLetter"/>
      <w:lvlText w:val="%2)"/>
      <w:lvlJc w:val="left"/>
      <w:pPr>
        <w:ind w:left="927"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733400F"/>
    <w:multiLevelType w:val="hybridMultilevel"/>
    <w:tmpl w:val="9CA4A5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734407"/>
    <w:multiLevelType w:val="hybridMultilevel"/>
    <w:tmpl w:val="F0521E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7996FE2"/>
    <w:multiLevelType w:val="hybridMultilevel"/>
    <w:tmpl w:val="22AA163C"/>
    <w:lvl w:ilvl="0" w:tplc="04150011">
      <w:start w:val="1"/>
      <w:numFmt w:val="decimal"/>
      <w:lvlText w:val="%1)"/>
      <w:lvlJc w:val="left"/>
      <w:pPr>
        <w:tabs>
          <w:tab w:val="num" w:pos="360"/>
        </w:tabs>
        <w:ind w:left="360" w:hanging="360"/>
      </w:pPr>
    </w:lvl>
    <w:lvl w:ilvl="1" w:tplc="381CE5C8" w:tentative="1">
      <w:start w:val="1"/>
      <w:numFmt w:val="decimal"/>
      <w:lvlText w:val="%2."/>
      <w:lvlJc w:val="left"/>
      <w:pPr>
        <w:tabs>
          <w:tab w:val="num" w:pos="1080"/>
        </w:tabs>
        <w:ind w:left="1080" w:hanging="360"/>
      </w:pPr>
    </w:lvl>
    <w:lvl w:ilvl="2" w:tplc="B09A9D0E" w:tentative="1">
      <w:start w:val="1"/>
      <w:numFmt w:val="decimal"/>
      <w:lvlText w:val="%3."/>
      <w:lvlJc w:val="left"/>
      <w:pPr>
        <w:tabs>
          <w:tab w:val="num" w:pos="1800"/>
        </w:tabs>
        <w:ind w:left="1800" w:hanging="360"/>
      </w:pPr>
    </w:lvl>
    <w:lvl w:ilvl="3" w:tplc="C47A09BC" w:tentative="1">
      <w:start w:val="1"/>
      <w:numFmt w:val="decimal"/>
      <w:lvlText w:val="%4."/>
      <w:lvlJc w:val="left"/>
      <w:pPr>
        <w:tabs>
          <w:tab w:val="num" w:pos="2520"/>
        </w:tabs>
        <w:ind w:left="2520" w:hanging="360"/>
      </w:pPr>
    </w:lvl>
    <w:lvl w:ilvl="4" w:tplc="E1204BEC" w:tentative="1">
      <w:start w:val="1"/>
      <w:numFmt w:val="decimal"/>
      <w:lvlText w:val="%5."/>
      <w:lvlJc w:val="left"/>
      <w:pPr>
        <w:tabs>
          <w:tab w:val="num" w:pos="3240"/>
        </w:tabs>
        <w:ind w:left="3240" w:hanging="360"/>
      </w:pPr>
    </w:lvl>
    <w:lvl w:ilvl="5" w:tplc="1A582BC8" w:tentative="1">
      <w:start w:val="1"/>
      <w:numFmt w:val="decimal"/>
      <w:lvlText w:val="%6."/>
      <w:lvlJc w:val="left"/>
      <w:pPr>
        <w:tabs>
          <w:tab w:val="num" w:pos="3960"/>
        </w:tabs>
        <w:ind w:left="3960" w:hanging="360"/>
      </w:pPr>
    </w:lvl>
    <w:lvl w:ilvl="6" w:tplc="DCAE9DD2" w:tentative="1">
      <w:start w:val="1"/>
      <w:numFmt w:val="decimal"/>
      <w:lvlText w:val="%7."/>
      <w:lvlJc w:val="left"/>
      <w:pPr>
        <w:tabs>
          <w:tab w:val="num" w:pos="4680"/>
        </w:tabs>
        <w:ind w:left="4680" w:hanging="360"/>
      </w:pPr>
    </w:lvl>
    <w:lvl w:ilvl="7" w:tplc="F96C42E6" w:tentative="1">
      <w:start w:val="1"/>
      <w:numFmt w:val="decimal"/>
      <w:lvlText w:val="%8."/>
      <w:lvlJc w:val="left"/>
      <w:pPr>
        <w:tabs>
          <w:tab w:val="num" w:pos="5400"/>
        </w:tabs>
        <w:ind w:left="5400" w:hanging="360"/>
      </w:pPr>
    </w:lvl>
    <w:lvl w:ilvl="8" w:tplc="FFBC7B36" w:tentative="1">
      <w:start w:val="1"/>
      <w:numFmt w:val="decimal"/>
      <w:lvlText w:val="%9."/>
      <w:lvlJc w:val="left"/>
      <w:pPr>
        <w:tabs>
          <w:tab w:val="num" w:pos="6120"/>
        </w:tabs>
        <w:ind w:left="6120" w:hanging="360"/>
      </w:pPr>
    </w:lvl>
  </w:abstractNum>
  <w:abstractNum w:abstractNumId="42" w15:restartNumberingAfterBreak="0">
    <w:nsid w:val="7977268F"/>
    <w:multiLevelType w:val="hybridMultilevel"/>
    <w:tmpl w:val="E1D41E60"/>
    <w:lvl w:ilvl="0" w:tplc="D234C9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F02DDA"/>
    <w:multiLevelType w:val="hybridMultilevel"/>
    <w:tmpl w:val="98D0DC38"/>
    <w:lvl w:ilvl="0" w:tplc="4BBE314E">
      <w:start w:val="1"/>
      <w:numFmt w:val="bullet"/>
      <w:lvlText w:val="-"/>
      <w:lvlJc w:val="left"/>
      <w:pPr>
        <w:ind w:left="1920"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AE91EBA"/>
    <w:multiLevelType w:val="hybridMultilevel"/>
    <w:tmpl w:val="DB7CB2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762E20"/>
    <w:multiLevelType w:val="hybridMultilevel"/>
    <w:tmpl w:val="22AA163C"/>
    <w:lvl w:ilvl="0" w:tplc="04150011">
      <w:start w:val="1"/>
      <w:numFmt w:val="decimal"/>
      <w:lvlText w:val="%1)"/>
      <w:lvlJc w:val="left"/>
      <w:pPr>
        <w:tabs>
          <w:tab w:val="num" w:pos="360"/>
        </w:tabs>
        <w:ind w:left="360" w:hanging="360"/>
      </w:pPr>
    </w:lvl>
    <w:lvl w:ilvl="1" w:tplc="381CE5C8" w:tentative="1">
      <w:start w:val="1"/>
      <w:numFmt w:val="decimal"/>
      <w:lvlText w:val="%2."/>
      <w:lvlJc w:val="left"/>
      <w:pPr>
        <w:tabs>
          <w:tab w:val="num" w:pos="1080"/>
        </w:tabs>
        <w:ind w:left="1080" w:hanging="360"/>
      </w:pPr>
    </w:lvl>
    <w:lvl w:ilvl="2" w:tplc="B09A9D0E" w:tentative="1">
      <w:start w:val="1"/>
      <w:numFmt w:val="decimal"/>
      <w:lvlText w:val="%3."/>
      <w:lvlJc w:val="left"/>
      <w:pPr>
        <w:tabs>
          <w:tab w:val="num" w:pos="1800"/>
        </w:tabs>
        <w:ind w:left="1800" w:hanging="360"/>
      </w:pPr>
    </w:lvl>
    <w:lvl w:ilvl="3" w:tplc="C47A09BC" w:tentative="1">
      <w:start w:val="1"/>
      <w:numFmt w:val="decimal"/>
      <w:lvlText w:val="%4."/>
      <w:lvlJc w:val="left"/>
      <w:pPr>
        <w:tabs>
          <w:tab w:val="num" w:pos="2520"/>
        </w:tabs>
        <w:ind w:left="2520" w:hanging="360"/>
      </w:pPr>
    </w:lvl>
    <w:lvl w:ilvl="4" w:tplc="E1204BEC" w:tentative="1">
      <w:start w:val="1"/>
      <w:numFmt w:val="decimal"/>
      <w:lvlText w:val="%5."/>
      <w:lvlJc w:val="left"/>
      <w:pPr>
        <w:tabs>
          <w:tab w:val="num" w:pos="3240"/>
        </w:tabs>
        <w:ind w:left="3240" w:hanging="360"/>
      </w:pPr>
    </w:lvl>
    <w:lvl w:ilvl="5" w:tplc="1A582BC8" w:tentative="1">
      <w:start w:val="1"/>
      <w:numFmt w:val="decimal"/>
      <w:lvlText w:val="%6."/>
      <w:lvlJc w:val="left"/>
      <w:pPr>
        <w:tabs>
          <w:tab w:val="num" w:pos="3960"/>
        </w:tabs>
        <w:ind w:left="3960" w:hanging="360"/>
      </w:pPr>
    </w:lvl>
    <w:lvl w:ilvl="6" w:tplc="DCAE9DD2" w:tentative="1">
      <w:start w:val="1"/>
      <w:numFmt w:val="decimal"/>
      <w:lvlText w:val="%7."/>
      <w:lvlJc w:val="left"/>
      <w:pPr>
        <w:tabs>
          <w:tab w:val="num" w:pos="4680"/>
        </w:tabs>
        <w:ind w:left="4680" w:hanging="360"/>
      </w:pPr>
    </w:lvl>
    <w:lvl w:ilvl="7" w:tplc="F96C42E6" w:tentative="1">
      <w:start w:val="1"/>
      <w:numFmt w:val="decimal"/>
      <w:lvlText w:val="%8."/>
      <w:lvlJc w:val="left"/>
      <w:pPr>
        <w:tabs>
          <w:tab w:val="num" w:pos="5400"/>
        </w:tabs>
        <w:ind w:left="5400" w:hanging="360"/>
      </w:pPr>
    </w:lvl>
    <w:lvl w:ilvl="8" w:tplc="FFBC7B36" w:tentative="1">
      <w:start w:val="1"/>
      <w:numFmt w:val="decimal"/>
      <w:lvlText w:val="%9."/>
      <w:lvlJc w:val="left"/>
      <w:pPr>
        <w:tabs>
          <w:tab w:val="num" w:pos="6120"/>
        </w:tabs>
        <w:ind w:left="6120" w:hanging="360"/>
      </w:pPr>
    </w:lvl>
  </w:abstractNum>
  <w:num w:numId="1">
    <w:abstractNumId w:val="17"/>
  </w:num>
  <w:num w:numId="2">
    <w:abstractNumId w:val="44"/>
  </w:num>
  <w:num w:numId="3">
    <w:abstractNumId w:val="39"/>
  </w:num>
  <w:num w:numId="4">
    <w:abstractNumId w:val="6"/>
  </w:num>
  <w:num w:numId="5">
    <w:abstractNumId w:val="41"/>
  </w:num>
  <w:num w:numId="6">
    <w:abstractNumId w:val="45"/>
  </w:num>
  <w:num w:numId="7">
    <w:abstractNumId w:val="40"/>
  </w:num>
  <w:num w:numId="8">
    <w:abstractNumId w:val="12"/>
  </w:num>
  <w:num w:numId="9">
    <w:abstractNumId w:val="14"/>
  </w:num>
  <w:num w:numId="10">
    <w:abstractNumId w:val="36"/>
  </w:num>
  <w:num w:numId="11">
    <w:abstractNumId w:val="38"/>
  </w:num>
  <w:num w:numId="12">
    <w:abstractNumId w:val="19"/>
  </w:num>
  <w:num w:numId="13">
    <w:abstractNumId w:val="31"/>
  </w:num>
  <w:num w:numId="14">
    <w:abstractNumId w:val="29"/>
  </w:num>
  <w:num w:numId="15">
    <w:abstractNumId w:val="20"/>
  </w:num>
  <w:num w:numId="16">
    <w:abstractNumId w:val="4"/>
  </w:num>
  <w:num w:numId="17">
    <w:abstractNumId w:val="28"/>
  </w:num>
  <w:num w:numId="18">
    <w:abstractNumId w:val="2"/>
  </w:num>
  <w:num w:numId="19">
    <w:abstractNumId w:val="8"/>
  </w:num>
  <w:num w:numId="20">
    <w:abstractNumId w:val="34"/>
  </w:num>
  <w:num w:numId="21">
    <w:abstractNumId w:val="30"/>
  </w:num>
  <w:num w:numId="22">
    <w:abstractNumId w:val="25"/>
  </w:num>
  <w:num w:numId="23">
    <w:abstractNumId w:val="43"/>
  </w:num>
  <w:num w:numId="24">
    <w:abstractNumId w:val="7"/>
  </w:num>
  <w:num w:numId="25">
    <w:abstractNumId w:val="33"/>
  </w:num>
  <w:num w:numId="26">
    <w:abstractNumId w:val="9"/>
  </w:num>
  <w:num w:numId="27">
    <w:abstractNumId w:val="27"/>
  </w:num>
  <w:num w:numId="28">
    <w:abstractNumId w:val="24"/>
  </w:num>
  <w:num w:numId="29">
    <w:abstractNumId w:val="23"/>
  </w:num>
  <w:num w:numId="30">
    <w:abstractNumId w:val="3"/>
  </w:num>
  <w:num w:numId="31">
    <w:abstractNumId w:val="11"/>
  </w:num>
  <w:num w:numId="32">
    <w:abstractNumId w:val="37"/>
  </w:num>
  <w:num w:numId="33">
    <w:abstractNumId w:val="35"/>
  </w:num>
  <w:num w:numId="34">
    <w:abstractNumId w:val="22"/>
  </w:num>
  <w:num w:numId="35">
    <w:abstractNumId w:val="0"/>
  </w:num>
  <w:num w:numId="36">
    <w:abstractNumId w:val="42"/>
  </w:num>
  <w:num w:numId="37">
    <w:abstractNumId w:val="10"/>
  </w:num>
  <w:num w:numId="38">
    <w:abstractNumId w:val="13"/>
  </w:num>
  <w:num w:numId="39">
    <w:abstractNumId w:val="18"/>
  </w:num>
  <w:num w:numId="40">
    <w:abstractNumId w:val="15"/>
  </w:num>
  <w:num w:numId="41">
    <w:abstractNumId w:val="21"/>
  </w:num>
  <w:num w:numId="42">
    <w:abstractNumId w:val="5"/>
  </w:num>
  <w:num w:numId="43">
    <w:abstractNumId w:val="16"/>
  </w:num>
  <w:num w:numId="44">
    <w:abstractNumId w:val="1"/>
  </w:num>
  <w:num w:numId="45">
    <w:abstractNumId w:val="26"/>
  </w:num>
  <w:num w:numId="46">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AF"/>
    <w:rsid w:val="000008E5"/>
    <w:rsid w:val="0000123E"/>
    <w:rsid w:val="000015EE"/>
    <w:rsid w:val="00001F23"/>
    <w:rsid w:val="000022D5"/>
    <w:rsid w:val="00004C6A"/>
    <w:rsid w:val="00006429"/>
    <w:rsid w:val="00012D11"/>
    <w:rsid w:val="00013B4C"/>
    <w:rsid w:val="00013EB5"/>
    <w:rsid w:val="00016BC1"/>
    <w:rsid w:val="00017E68"/>
    <w:rsid w:val="000223DF"/>
    <w:rsid w:val="00023836"/>
    <w:rsid w:val="00033EDB"/>
    <w:rsid w:val="000356A9"/>
    <w:rsid w:val="00036DC7"/>
    <w:rsid w:val="00042BC0"/>
    <w:rsid w:val="00044138"/>
    <w:rsid w:val="00044739"/>
    <w:rsid w:val="00044D40"/>
    <w:rsid w:val="00051262"/>
    <w:rsid w:val="00051637"/>
    <w:rsid w:val="00056681"/>
    <w:rsid w:val="000648A7"/>
    <w:rsid w:val="0006618B"/>
    <w:rsid w:val="000670C0"/>
    <w:rsid w:val="00067E56"/>
    <w:rsid w:val="0007079E"/>
    <w:rsid w:val="0007126A"/>
    <w:rsid w:val="00071B99"/>
    <w:rsid w:val="00072AAA"/>
    <w:rsid w:val="00074E13"/>
    <w:rsid w:val="000756E5"/>
    <w:rsid w:val="000760E3"/>
    <w:rsid w:val="0007704E"/>
    <w:rsid w:val="000803E9"/>
    <w:rsid w:val="00080800"/>
    <w:rsid w:val="00080EC8"/>
    <w:rsid w:val="0008384A"/>
    <w:rsid w:val="00085D8F"/>
    <w:rsid w:val="000910C5"/>
    <w:rsid w:val="00091E7C"/>
    <w:rsid w:val="00093234"/>
    <w:rsid w:val="0009375F"/>
    <w:rsid w:val="00093CF2"/>
    <w:rsid w:val="000944AC"/>
    <w:rsid w:val="00094CB9"/>
    <w:rsid w:val="000954E6"/>
    <w:rsid w:val="000956B2"/>
    <w:rsid w:val="00097ACC"/>
    <w:rsid w:val="000A23DE"/>
    <w:rsid w:val="000A2995"/>
    <w:rsid w:val="000A4020"/>
    <w:rsid w:val="000A6330"/>
    <w:rsid w:val="000B2107"/>
    <w:rsid w:val="000B54FB"/>
    <w:rsid w:val="000B55C6"/>
    <w:rsid w:val="000B78F9"/>
    <w:rsid w:val="000C0302"/>
    <w:rsid w:val="000C1991"/>
    <w:rsid w:val="000C29B0"/>
    <w:rsid w:val="000C5640"/>
    <w:rsid w:val="000C6AE7"/>
    <w:rsid w:val="000C7019"/>
    <w:rsid w:val="000C76FC"/>
    <w:rsid w:val="000D22DA"/>
    <w:rsid w:val="000D2728"/>
    <w:rsid w:val="000D3161"/>
    <w:rsid w:val="000D38FC"/>
    <w:rsid w:val="000D3C3E"/>
    <w:rsid w:val="000D4D90"/>
    <w:rsid w:val="000D64E0"/>
    <w:rsid w:val="000D6873"/>
    <w:rsid w:val="000D6B94"/>
    <w:rsid w:val="000E0BDD"/>
    <w:rsid w:val="000E1A15"/>
    <w:rsid w:val="000E2D10"/>
    <w:rsid w:val="000E5E99"/>
    <w:rsid w:val="000F1AEE"/>
    <w:rsid w:val="000F3204"/>
    <w:rsid w:val="000F579D"/>
    <w:rsid w:val="000F5AEC"/>
    <w:rsid w:val="000F7BB6"/>
    <w:rsid w:val="00101465"/>
    <w:rsid w:val="0010548B"/>
    <w:rsid w:val="00106896"/>
    <w:rsid w:val="001072D1"/>
    <w:rsid w:val="001114F7"/>
    <w:rsid w:val="00112FD7"/>
    <w:rsid w:val="001157C5"/>
    <w:rsid w:val="00117017"/>
    <w:rsid w:val="001219EB"/>
    <w:rsid w:val="00123BDC"/>
    <w:rsid w:val="0012545A"/>
    <w:rsid w:val="00125991"/>
    <w:rsid w:val="00127BE5"/>
    <w:rsid w:val="00130E8E"/>
    <w:rsid w:val="001314DF"/>
    <w:rsid w:val="0013216E"/>
    <w:rsid w:val="00132FCD"/>
    <w:rsid w:val="001401B5"/>
    <w:rsid w:val="00140FDA"/>
    <w:rsid w:val="00141DB8"/>
    <w:rsid w:val="001420A1"/>
    <w:rsid w:val="001422B9"/>
    <w:rsid w:val="001431B7"/>
    <w:rsid w:val="00143DA2"/>
    <w:rsid w:val="0014665F"/>
    <w:rsid w:val="00147AA7"/>
    <w:rsid w:val="00151AD0"/>
    <w:rsid w:val="00153464"/>
    <w:rsid w:val="001541B3"/>
    <w:rsid w:val="001552DE"/>
    <w:rsid w:val="00155B15"/>
    <w:rsid w:val="001625BE"/>
    <w:rsid w:val="001643A4"/>
    <w:rsid w:val="0016706F"/>
    <w:rsid w:val="001727BB"/>
    <w:rsid w:val="00176B3A"/>
    <w:rsid w:val="001802B0"/>
    <w:rsid w:val="00180D25"/>
    <w:rsid w:val="001812A0"/>
    <w:rsid w:val="00182F44"/>
    <w:rsid w:val="0018318D"/>
    <w:rsid w:val="00185310"/>
    <w:rsid w:val="0018572C"/>
    <w:rsid w:val="00187E79"/>
    <w:rsid w:val="00187F0D"/>
    <w:rsid w:val="00192CC5"/>
    <w:rsid w:val="001956A7"/>
    <w:rsid w:val="00195901"/>
    <w:rsid w:val="00196753"/>
    <w:rsid w:val="001969CF"/>
    <w:rsid w:val="00196F50"/>
    <w:rsid w:val="0019724E"/>
    <w:rsid w:val="001A118A"/>
    <w:rsid w:val="001A19E0"/>
    <w:rsid w:val="001A27F4"/>
    <w:rsid w:val="001A2C39"/>
    <w:rsid w:val="001A2D95"/>
    <w:rsid w:val="001B01C9"/>
    <w:rsid w:val="001B1AB1"/>
    <w:rsid w:val="001B3460"/>
    <w:rsid w:val="001B4B63"/>
    <w:rsid w:val="001B4CA1"/>
    <w:rsid w:val="001B6D5F"/>
    <w:rsid w:val="001B75D8"/>
    <w:rsid w:val="001B7608"/>
    <w:rsid w:val="001C0D07"/>
    <w:rsid w:val="001C1060"/>
    <w:rsid w:val="001C2209"/>
    <w:rsid w:val="001C3C63"/>
    <w:rsid w:val="001C51DB"/>
    <w:rsid w:val="001D14F2"/>
    <w:rsid w:val="001D4732"/>
    <w:rsid w:val="001D5B2C"/>
    <w:rsid w:val="001D6038"/>
    <w:rsid w:val="001D6A3C"/>
    <w:rsid w:val="001D6D51"/>
    <w:rsid w:val="001E1D3B"/>
    <w:rsid w:val="001E3680"/>
    <w:rsid w:val="001F0692"/>
    <w:rsid w:val="001F3D19"/>
    <w:rsid w:val="001F4E02"/>
    <w:rsid w:val="001F6979"/>
    <w:rsid w:val="00202A4B"/>
    <w:rsid w:val="00202BC6"/>
    <w:rsid w:val="0020329B"/>
    <w:rsid w:val="002048F9"/>
    <w:rsid w:val="00205141"/>
    <w:rsid w:val="0020516B"/>
    <w:rsid w:val="00205FF8"/>
    <w:rsid w:val="002124D0"/>
    <w:rsid w:val="00213559"/>
    <w:rsid w:val="00213EFD"/>
    <w:rsid w:val="0021411F"/>
    <w:rsid w:val="00214DE6"/>
    <w:rsid w:val="002172F1"/>
    <w:rsid w:val="00223C7B"/>
    <w:rsid w:val="0022444F"/>
    <w:rsid w:val="00224AB1"/>
    <w:rsid w:val="0022687A"/>
    <w:rsid w:val="00230728"/>
    <w:rsid w:val="00234040"/>
    <w:rsid w:val="00235CD2"/>
    <w:rsid w:val="00236CD3"/>
    <w:rsid w:val="00240B73"/>
    <w:rsid w:val="00254DED"/>
    <w:rsid w:val="00255619"/>
    <w:rsid w:val="00255DAD"/>
    <w:rsid w:val="00256108"/>
    <w:rsid w:val="00260428"/>
    <w:rsid w:val="00260F33"/>
    <w:rsid w:val="002613BD"/>
    <w:rsid w:val="002624F1"/>
    <w:rsid w:val="00262BEF"/>
    <w:rsid w:val="00265CD7"/>
    <w:rsid w:val="00270C81"/>
    <w:rsid w:val="00271558"/>
    <w:rsid w:val="00274862"/>
    <w:rsid w:val="0027649F"/>
    <w:rsid w:val="00276D7F"/>
    <w:rsid w:val="00282D72"/>
    <w:rsid w:val="00283402"/>
    <w:rsid w:val="002845A6"/>
    <w:rsid w:val="00287729"/>
    <w:rsid w:val="00290FD6"/>
    <w:rsid w:val="00294259"/>
    <w:rsid w:val="00294AAF"/>
    <w:rsid w:val="002A0FE0"/>
    <w:rsid w:val="002A2C81"/>
    <w:rsid w:val="002B0349"/>
    <w:rsid w:val="002B3D1A"/>
    <w:rsid w:val="002B4526"/>
    <w:rsid w:val="002B4543"/>
    <w:rsid w:val="002B730C"/>
    <w:rsid w:val="002C2C9B"/>
    <w:rsid w:val="002C6451"/>
    <w:rsid w:val="002D17D6"/>
    <w:rsid w:val="002D18D7"/>
    <w:rsid w:val="002D21CE"/>
    <w:rsid w:val="002D3B5C"/>
    <w:rsid w:val="002D40EA"/>
    <w:rsid w:val="002D5548"/>
    <w:rsid w:val="002D5647"/>
    <w:rsid w:val="002D6B5F"/>
    <w:rsid w:val="002D7EB4"/>
    <w:rsid w:val="002E175A"/>
    <w:rsid w:val="002E19A8"/>
    <w:rsid w:val="002E23DF"/>
    <w:rsid w:val="002E3DA3"/>
    <w:rsid w:val="002E450F"/>
    <w:rsid w:val="002E4A46"/>
    <w:rsid w:val="002E6B38"/>
    <w:rsid w:val="002E6D63"/>
    <w:rsid w:val="002E6E2B"/>
    <w:rsid w:val="002F0E6F"/>
    <w:rsid w:val="002F2A9F"/>
    <w:rsid w:val="002F500B"/>
    <w:rsid w:val="002F7DCD"/>
    <w:rsid w:val="00301959"/>
    <w:rsid w:val="00302F3F"/>
    <w:rsid w:val="00303EB1"/>
    <w:rsid w:val="0030406F"/>
    <w:rsid w:val="00305AF7"/>
    <w:rsid w:val="00305B8A"/>
    <w:rsid w:val="00306141"/>
    <w:rsid w:val="00315699"/>
    <w:rsid w:val="00323C3A"/>
    <w:rsid w:val="00331BD2"/>
    <w:rsid w:val="00331BF9"/>
    <w:rsid w:val="00334060"/>
    <w:rsid w:val="0033495E"/>
    <w:rsid w:val="00334A79"/>
    <w:rsid w:val="00334D8D"/>
    <w:rsid w:val="00337345"/>
    <w:rsid w:val="00337498"/>
    <w:rsid w:val="00337DD2"/>
    <w:rsid w:val="00337DE5"/>
    <w:rsid w:val="003404D1"/>
    <w:rsid w:val="00341C41"/>
    <w:rsid w:val="0034259A"/>
    <w:rsid w:val="003441FE"/>
    <w:rsid w:val="003443FF"/>
    <w:rsid w:val="00350F8D"/>
    <w:rsid w:val="00355808"/>
    <w:rsid w:val="00361D77"/>
    <w:rsid w:val="00362C7E"/>
    <w:rsid w:val="003635B2"/>
    <w:rsid w:val="00363601"/>
    <w:rsid w:val="003654E2"/>
    <w:rsid w:val="00372DF6"/>
    <w:rsid w:val="003740D9"/>
    <w:rsid w:val="003767E5"/>
    <w:rsid w:val="00376AC9"/>
    <w:rsid w:val="00390465"/>
    <w:rsid w:val="00391DB4"/>
    <w:rsid w:val="003928BF"/>
    <w:rsid w:val="00393032"/>
    <w:rsid w:val="00393720"/>
    <w:rsid w:val="00394B69"/>
    <w:rsid w:val="00397078"/>
    <w:rsid w:val="003A1965"/>
    <w:rsid w:val="003A6953"/>
    <w:rsid w:val="003A748E"/>
    <w:rsid w:val="003A7923"/>
    <w:rsid w:val="003B6083"/>
    <w:rsid w:val="003B688C"/>
    <w:rsid w:val="003B6A1F"/>
    <w:rsid w:val="003C2F67"/>
    <w:rsid w:val="003C3838"/>
    <w:rsid w:val="003C5847"/>
    <w:rsid w:val="003D0137"/>
    <w:rsid w:val="003D0681"/>
    <w:rsid w:val="003D11BB"/>
    <w:rsid w:val="003D12F6"/>
    <w:rsid w:val="003D1426"/>
    <w:rsid w:val="003D1BDF"/>
    <w:rsid w:val="003D39A8"/>
    <w:rsid w:val="003D632A"/>
    <w:rsid w:val="003D7FED"/>
    <w:rsid w:val="003E2F4E"/>
    <w:rsid w:val="003E4722"/>
    <w:rsid w:val="003E5CDB"/>
    <w:rsid w:val="003E720A"/>
    <w:rsid w:val="003E79DF"/>
    <w:rsid w:val="003F2603"/>
    <w:rsid w:val="003F5150"/>
    <w:rsid w:val="00402321"/>
    <w:rsid w:val="00403E6E"/>
    <w:rsid w:val="00410AE3"/>
    <w:rsid w:val="00410E73"/>
    <w:rsid w:val="00411BAB"/>
    <w:rsid w:val="004129B4"/>
    <w:rsid w:val="00412B67"/>
    <w:rsid w:val="004136B7"/>
    <w:rsid w:val="00417EF0"/>
    <w:rsid w:val="00422181"/>
    <w:rsid w:val="004235A6"/>
    <w:rsid w:val="0042447A"/>
    <w:rsid w:val="004244A8"/>
    <w:rsid w:val="00425F72"/>
    <w:rsid w:val="00427736"/>
    <w:rsid w:val="004279FF"/>
    <w:rsid w:val="00436A63"/>
    <w:rsid w:val="004412B4"/>
    <w:rsid w:val="00441787"/>
    <w:rsid w:val="00441CDA"/>
    <w:rsid w:val="00442606"/>
    <w:rsid w:val="0044365C"/>
    <w:rsid w:val="00444F2D"/>
    <w:rsid w:val="0044546B"/>
    <w:rsid w:val="00445C8B"/>
    <w:rsid w:val="00446933"/>
    <w:rsid w:val="004519A7"/>
    <w:rsid w:val="00452034"/>
    <w:rsid w:val="00455FA6"/>
    <w:rsid w:val="0046665D"/>
    <w:rsid w:val="00466C70"/>
    <w:rsid w:val="00467438"/>
    <w:rsid w:val="004702C9"/>
    <w:rsid w:val="00471C75"/>
    <w:rsid w:val="00472E45"/>
    <w:rsid w:val="00473FEA"/>
    <w:rsid w:val="0047579D"/>
    <w:rsid w:val="004757D7"/>
    <w:rsid w:val="00476C66"/>
    <w:rsid w:val="00476FBC"/>
    <w:rsid w:val="0048226D"/>
    <w:rsid w:val="004827BC"/>
    <w:rsid w:val="00483262"/>
    <w:rsid w:val="00484107"/>
    <w:rsid w:val="0048445D"/>
    <w:rsid w:val="00485A2E"/>
    <w:rsid w:val="00485CC5"/>
    <w:rsid w:val="004903A3"/>
    <w:rsid w:val="0049343F"/>
    <w:rsid w:val="00493441"/>
    <w:rsid w:val="0049353E"/>
    <w:rsid w:val="004960A2"/>
    <w:rsid w:val="004964FC"/>
    <w:rsid w:val="004A109C"/>
    <w:rsid w:val="004A116A"/>
    <w:rsid w:val="004A145E"/>
    <w:rsid w:val="004A1F15"/>
    <w:rsid w:val="004A2A81"/>
    <w:rsid w:val="004A7BD7"/>
    <w:rsid w:val="004B67A4"/>
    <w:rsid w:val="004B7D5A"/>
    <w:rsid w:val="004C04F3"/>
    <w:rsid w:val="004C116A"/>
    <w:rsid w:val="004C15C2"/>
    <w:rsid w:val="004C36D8"/>
    <w:rsid w:val="004C77B5"/>
    <w:rsid w:val="004D068A"/>
    <w:rsid w:val="004D1248"/>
    <w:rsid w:val="004D1E3C"/>
    <w:rsid w:val="004D4169"/>
    <w:rsid w:val="004D50CC"/>
    <w:rsid w:val="004D6E14"/>
    <w:rsid w:val="004E07D3"/>
    <w:rsid w:val="004E140A"/>
    <w:rsid w:val="004E3DC6"/>
    <w:rsid w:val="004F17BB"/>
    <w:rsid w:val="004F19CF"/>
    <w:rsid w:val="004F3F50"/>
    <w:rsid w:val="004F4E17"/>
    <w:rsid w:val="0050082F"/>
    <w:rsid w:val="00500C56"/>
    <w:rsid w:val="00501713"/>
    <w:rsid w:val="00506568"/>
    <w:rsid w:val="0050658E"/>
    <w:rsid w:val="00507479"/>
    <w:rsid w:val="00507AB0"/>
    <w:rsid w:val="00513E33"/>
    <w:rsid w:val="00514807"/>
    <w:rsid w:val="00514EC0"/>
    <w:rsid w:val="0051551B"/>
    <w:rsid w:val="00516958"/>
    <w:rsid w:val="00520C57"/>
    <w:rsid w:val="0052203D"/>
    <w:rsid w:val="00522D94"/>
    <w:rsid w:val="00526428"/>
    <w:rsid w:val="0053120A"/>
    <w:rsid w:val="00531D91"/>
    <w:rsid w:val="005333A4"/>
    <w:rsid w:val="00533D89"/>
    <w:rsid w:val="00533FD0"/>
    <w:rsid w:val="00536564"/>
    <w:rsid w:val="00544597"/>
    <w:rsid w:val="00544FFE"/>
    <w:rsid w:val="005473F5"/>
    <w:rsid w:val="005476D7"/>
    <w:rsid w:val="005477E7"/>
    <w:rsid w:val="00547A8C"/>
    <w:rsid w:val="00550735"/>
    <w:rsid w:val="00552794"/>
    <w:rsid w:val="0055418F"/>
    <w:rsid w:val="00554C1F"/>
    <w:rsid w:val="0055546A"/>
    <w:rsid w:val="00555D59"/>
    <w:rsid w:val="00563199"/>
    <w:rsid w:val="00564874"/>
    <w:rsid w:val="00567963"/>
    <w:rsid w:val="0057009A"/>
    <w:rsid w:val="00571260"/>
    <w:rsid w:val="0057189C"/>
    <w:rsid w:val="005739FC"/>
    <w:rsid w:val="00573FC1"/>
    <w:rsid w:val="005741EE"/>
    <w:rsid w:val="0057668E"/>
    <w:rsid w:val="0057721A"/>
    <w:rsid w:val="0057788B"/>
    <w:rsid w:val="005801A0"/>
    <w:rsid w:val="00584973"/>
    <w:rsid w:val="00584C84"/>
    <w:rsid w:val="00593427"/>
    <w:rsid w:val="00595E83"/>
    <w:rsid w:val="00596530"/>
    <w:rsid w:val="005966BC"/>
    <w:rsid w:val="005967F3"/>
    <w:rsid w:val="005A06DF"/>
    <w:rsid w:val="005A39BB"/>
    <w:rsid w:val="005A441A"/>
    <w:rsid w:val="005A486A"/>
    <w:rsid w:val="005A5527"/>
    <w:rsid w:val="005A5AE6"/>
    <w:rsid w:val="005A5D9A"/>
    <w:rsid w:val="005B08C2"/>
    <w:rsid w:val="005B0A0A"/>
    <w:rsid w:val="005B1206"/>
    <w:rsid w:val="005B372D"/>
    <w:rsid w:val="005B37E8"/>
    <w:rsid w:val="005C0056"/>
    <w:rsid w:val="005C2207"/>
    <w:rsid w:val="005C4A37"/>
    <w:rsid w:val="005D0A60"/>
    <w:rsid w:val="005D34C8"/>
    <w:rsid w:val="005D6821"/>
    <w:rsid w:val="005D7722"/>
    <w:rsid w:val="005E0D13"/>
    <w:rsid w:val="005E2486"/>
    <w:rsid w:val="005E299B"/>
    <w:rsid w:val="005E5047"/>
    <w:rsid w:val="005E59D9"/>
    <w:rsid w:val="005E7205"/>
    <w:rsid w:val="005E7371"/>
    <w:rsid w:val="005E74AA"/>
    <w:rsid w:val="005F116C"/>
    <w:rsid w:val="005F2131"/>
    <w:rsid w:val="005F2599"/>
    <w:rsid w:val="006003AA"/>
    <w:rsid w:val="006006F0"/>
    <w:rsid w:val="00600765"/>
    <w:rsid w:val="0060428D"/>
    <w:rsid w:val="00605EF6"/>
    <w:rsid w:val="006061BA"/>
    <w:rsid w:val="00606455"/>
    <w:rsid w:val="0061330F"/>
    <w:rsid w:val="00613FEA"/>
    <w:rsid w:val="00614929"/>
    <w:rsid w:val="00616511"/>
    <w:rsid w:val="00616949"/>
    <w:rsid w:val="006176ED"/>
    <w:rsid w:val="006202F3"/>
    <w:rsid w:val="0062097A"/>
    <w:rsid w:val="00621DA6"/>
    <w:rsid w:val="00623CFE"/>
    <w:rsid w:val="00625C27"/>
    <w:rsid w:val="00627221"/>
    <w:rsid w:val="00627EE8"/>
    <w:rsid w:val="006316FA"/>
    <w:rsid w:val="00631CA8"/>
    <w:rsid w:val="006370D2"/>
    <w:rsid w:val="0064074F"/>
    <w:rsid w:val="00641F55"/>
    <w:rsid w:val="00642470"/>
    <w:rsid w:val="00645E4A"/>
    <w:rsid w:val="00650B9E"/>
    <w:rsid w:val="00653688"/>
    <w:rsid w:val="0066091B"/>
    <w:rsid w:val="00661026"/>
    <w:rsid w:val="00665724"/>
    <w:rsid w:val="006660E9"/>
    <w:rsid w:val="00667249"/>
    <w:rsid w:val="00667558"/>
    <w:rsid w:val="00667E75"/>
    <w:rsid w:val="006710C3"/>
    <w:rsid w:val="00671523"/>
    <w:rsid w:val="00674779"/>
    <w:rsid w:val="006754EF"/>
    <w:rsid w:val="00676C8D"/>
    <w:rsid w:val="00676F1F"/>
    <w:rsid w:val="00677381"/>
    <w:rsid w:val="00677414"/>
    <w:rsid w:val="00677FCC"/>
    <w:rsid w:val="006811E5"/>
    <w:rsid w:val="006832CF"/>
    <w:rsid w:val="0068601E"/>
    <w:rsid w:val="006861C1"/>
    <w:rsid w:val="00687C61"/>
    <w:rsid w:val="00693C83"/>
    <w:rsid w:val="0069486B"/>
    <w:rsid w:val="006A4904"/>
    <w:rsid w:val="006A548F"/>
    <w:rsid w:val="006A6EC3"/>
    <w:rsid w:val="006A701A"/>
    <w:rsid w:val="006A7370"/>
    <w:rsid w:val="006B280A"/>
    <w:rsid w:val="006B2951"/>
    <w:rsid w:val="006B64DC"/>
    <w:rsid w:val="006B7A91"/>
    <w:rsid w:val="006B7D33"/>
    <w:rsid w:val="006C0194"/>
    <w:rsid w:val="006C0CED"/>
    <w:rsid w:val="006C4BF6"/>
    <w:rsid w:val="006C4FA5"/>
    <w:rsid w:val="006D07DA"/>
    <w:rsid w:val="006D2BF4"/>
    <w:rsid w:val="006D4704"/>
    <w:rsid w:val="006D5E4A"/>
    <w:rsid w:val="006D6A2D"/>
    <w:rsid w:val="006D6A3D"/>
    <w:rsid w:val="006E1E18"/>
    <w:rsid w:val="006E31CE"/>
    <w:rsid w:val="006E34D3"/>
    <w:rsid w:val="006E49F8"/>
    <w:rsid w:val="006F1435"/>
    <w:rsid w:val="006F23A8"/>
    <w:rsid w:val="006F2861"/>
    <w:rsid w:val="006F2C4F"/>
    <w:rsid w:val="006F6F51"/>
    <w:rsid w:val="006F78C4"/>
    <w:rsid w:val="007031A0"/>
    <w:rsid w:val="00705A29"/>
    <w:rsid w:val="00706729"/>
    <w:rsid w:val="00707498"/>
    <w:rsid w:val="00711A65"/>
    <w:rsid w:val="00714133"/>
    <w:rsid w:val="00714DA4"/>
    <w:rsid w:val="007158B2"/>
    <w:rsid w:val="00716081"/>
    <w:rsid w:val="0071717B"/>
    <w:rsid w:val="007174B4"/>
    <w:rsid w:val="00722B48"/>
    <w:rsid w:val="00723A7B"/>
    <w:rsid w:val="00723F4E"/>
    <w:rsid w:val="00724164"/>
    <w:rsid w:val="007244B6"/>
    <w:rsid w:val="00725803"/>
    <w:rsid w:val="00725DE7"/>
    <w:rsid w:val="0072636A"/>
    <w:rsid w:val="007269F3"/>
    <w:rsid w:val="00726B44"/>
    <w:rsid w:val="00731429"/>
    <w:rsid w:val="007318DD"/>
    <w:rsid w:val="0073300B"/>
    <w:rsid w:val="00733167"/>
    <w:rsid w:val="00736A87"/>
    <w:rsid w:val="00736D17"/>
    <w:rsid w:val="00740556"/>
    <w:rsid w:val="007405F2"/>
    <w:rsid w:val="00740D2C"/>
    <w:rsid w:val="00741394"/>
    <w:rsid w:val="00741D36"/>
    <w:rsid w:val="00744BF9"/>
    <w:rsid w:val="00744E2A"/>
    <w:rsid w:val="0074793F"/>
    <w:rsid w:val="00751377"/>
    <w:rsid w:val="00752623"/>
    <w:rsid w:val="00757BE2"/>
    <w:rsid w:val="00760F1F"/>
    <w:rsid w:val="00761D3C"/>
    <w:rsid w:val="0076423E"/>
    <w:rsid w:val="007646CB"/>
    <w:rsid w:val="007648C3"/>
    <w:rsid w:val="0076658F"/>
    <w:rsid w:val="0077040A"/>
    <w:rsid w:val="00770A66"/>
    <w:rsid w:val="00772322"/>
    <w:rsid w:val="00772D64"/>
    <w:rsid w:val="00773FE4"/>
    <w:rsid w:val="0077554D"/>
    <w:rsid w:val="00786E5A"/>
    <w:rsid w:val="00792609"/>
    <w:rsid w:val="007943E2"/>
    <w:rsid w:val="00794F2C"/>
    <w:rsid w:val="007A3BC7"/>
    <w:rsid w:val="007A5AC4"/>
    <w:rsid w:val="007A74C7"/>
    <w:rsid w:val="007B0FDD"/>
    <w:rsid w:val="007B4628"/>
    <w:rsid w:val="007B4802"/>
    <w:rsid w:val="007B6668"/>
    <w:rsid w:val="007B6B33"/>
    <w:rsid w:val="007B6EC8"/>
    <w:rsid w:val="007C2701"/>
    <w:rsid w:val="007D1181"/>
    <w:rsid w:val="007D2192"/>
    <w:rsid w:val="007D2265"/>
    <w:rsid w:val="007D2C05"/>
    <w:rsid w:val="007D4181"/>
    <w:rsid w:val="007D5445"/>
    <w:rsid w:val="007E0091"/>
    <w:rsid w:val="007E4E1F"/>
    <w:rsid w:val="007F0021"/>
    <w:rsid w:val="007F2F52"/>
    <w:rsid w:val="007F4D61"/>
    <w:rsid w:val="007F79AE"/>
    <w:rsid w:val="00805F28"/>
    <w:rsid w:val="00806202"/>
    <w:rsid w:val="00806FFE"/>
    <w:rsid w:val="0080749F"/>
    <w:rsid w:val="00811D46"/>
    <w:rsid w:val="008125B0"/>
    <w:rsid w:val="00813961"/>
    <w:rsid w:val="008144CB"/>
    <w:rsid w:val="008210A5"/>
    <w:rsid w:val="00821706"/>
    <w:rsid w:val="00821717"/>
    <w:rsid w:val="0082201E"/>
    <w:rsid w:val="008220B8"/>
    <w:rsid w:val="00824210"/>
    <w:rsid w:val="008263C0"/>
    <w:rsid w:val="00827B62"/>
    <w:rsid w:val="00833C13"/>
    <w:rsid w:val="00835AFD"/>
    <w:rsid w:val="008372D2"/>
    <w:rsid w:val="00840BD2"/>
    <w:rsid w:val="008410DB"/>
    <w:rsid w:val="00841422"/>
    <w:rsid w:val="00841D3B"/>
    <w:rsid w:val="0084314C"/>
    <w:rsid w:val="00843171"/>
    <w:rsid w:val="008506F5"/>
    <w:rsid w:val="00850A13"/>
    <w:rsid w:val="00854415"/>
    <w:rsid w:val="0085677B"/>
    <w:rsid w:val="008575C3"/>
    <w:rsid w:val="00860FE5"/>
    <w:rsid w:val="00862AC1"/>
    <w:rsid w:val="00863D28"/>
    <w:rsid w:val="00864616"/>
    <w:rsid w:val="008648C3"/>
    <w:rsid w:val="00864A13"/>
    <w:rsid w:val="00865F93"/>
    <w:rsid w:val="00870506"/>
    <w:rsid w:val="008729E0"/>
    <w:rsid w:val="00872B5B"/>
    <w:rsid w:val="00874E26"/>
    <w:rsid w:val="00876A04"/>
    <w:rsid w:val="008801FC"/>
    <w:rsid w:val="00880F26"/>
    <w:rsid w:val="008827DD"/>
    <w:rsid w:val="0088366B"/>
    <w:rsid w:val="00883C7E"/>
    <w:rsid w:val="00884780"/>
    <w:rsid w:val="00885AD3"/>
    <w:rsid w:val="008915D5"/>
    <w:rsid w:val="008960DE"/>
    <w:rsid w:val="00896C2E"/>
    <w:rsid w:val="00896DC7"/>
    <w:rsid w:val="008A1980"/>
    <w:rsid w:val="008A3178"/>
    <w:rsid w:val="008A4267"/>
    <w:rsid w:val="008A5095"/>
    <w:rsid w:val="008A57A2"/>
    <w:rsid w:val="008A608F"/>
    <w:rsid w:val="008A7E5B"/>
    <w:rsid w:val="008B1A9A"/>
    <w:rsid w:val="008B3416"/>
    <w:rsid w:val="008B4FE6"/>
    <w:rsid w:val="008B6C37"/>
    <w:rsid w:val="008B7CAD"/>
    <w:rsid w:val="008C4782"/>
    <w:rsid w:val="008C6DF1"/>
    <w:rsid w:val="008D1352"/>
    <w:rsid w:val="008D59E0"/>
    <w:rsid w:val="008D660D"/>
    <w:rsid w:val="008E18F7"/>
    <w:rsid w:val="008E1E10"/>
    <w:rsid w:val="008E291B"/>
    <w:rsid w:val="008E4F2F"/>
    <w:rsid w:val="008E5740"/>
    <w:rsid w:val="008E5A12"/>
    <w:rsid w:val="008E661F"/>
    <w:rsid w:val="008E74B0"/>
    <w:rsid w:val="008F0784"/>
    <w:rsid w:val="008F0950"/>
    <w:rsid w:val="008F1D69"/>
    <w:rsid w:val="008F4B71"/>
    <w:rsid w:val="008F79C5"/>
    <w:rsid w:val="009008A8"/>
    <w:rsid w:val="00901309"/>
    <w:rsid w:val="009015C6"/>
    <w:rsid w:val="00902BC2"/>
    <w:rsid w:val="009063B0"/>
    <w:rsid w:val="00907106"/>
    <w:rsid w:val="009107FD"/>
    <w:rsid w:val="0091137C"/>
    <w:rsid w:val="00911567"/>
    <w:rsid w:val="00911BB9"/>
    <w:rsid w:val="00913BB5"/>
    <w:rsid w:val="00914B32"/>
    <w:rsid w:val="00917AAE"/>
    <w:rsid w:val="00917FCB"/>
    <w:rsid w:val="0092170D"/>
    <w:rsid w:val="00924D02"/>
    <w:rsid w:val="009251A9"/>
    <w:rsid w:val="00925A95"/>
    <w:rsid w:val="009271CA"/>
    <w:rsid w:val="00930699"/>
    <w:rsid w:val="00931F69"/>
    <w:rsid w:val="00934123"/>
    <w:rsid w:val="00937EA3"/>
    <w:rsid w:val="00940218"/>
    <w:rsid w:val="00944891"/>
    <w:rsid w:val="00945594"/>
    <w:rsid w:val="009479AE"/>
    <w:rsid w:val="00950072"/>
    <w:rsid w:val="00950BA3"/>
    <w:rsid w:val="00952124"/>
    <w:rsid w:val="00955774"/>
    <w:rsid w:val="009560B5"/>
    <w:rsid w:val="00956D15"/>
    <w:rsid w:val="009642F7"/>
    <w:rsid w:val="009703D6"/>
    <w:rsid w:val="00970457"/>
    <w:rsid w:val="0097181B"/>
    <w:rsid w:val="00976DC5"/>
    <w:rsid w:val="009818C7"/>
    <w:rsid w:val="00982DD4"/>
    <w:rsid w:val="009841E5"/>
    <w:rsid w:val="0098479F"/>
    <w:rsid w:val="00984A8A"/>
    <w:rsid w:val="009857B6"/>
    <w:rsid w:val="00985A8D"/>
    <w:rsid w:val="00986610"/>
    <w:rsid w:val="009877DC"/>
    <w:rsid w:val="00991F96"/>
    <w:rsid w:val="00996F0A"/>
    <w:rsid w:val="00997372"/>
    <w:rsid w:val="009A058A"/>
    <w:rsid w:val="009A071B"/>
    <w:rsid w:val="009A1EFE"/>
    <w:rsid w:val="009A2285"/>
    <w:rsid w:val="009A5EB6"/>
    <w:rsid w:val="009B049C"/>
    <w:rsid w:val="009B11C8"/>
    <w:rsid w:val="009B2BCF"/>
    <w:rsid w:val="009B2FF8"/>
    <w:rsid w:val="009B345A"/>
    <w:rsid w:val="009B5BA3"/>
    <w:rsid w:val="009B5BE8"/>
    <w:rsid w:val="009C46F1"/>
    <w:rsid w:val="009C4B46"/>
    <w:rsid w:val="009D0027"/>
    <w:rsid w:val="009D0655"/>
    <w:rsid w:val="009D0775"/>
    <w:rsid w:val="009D2406"/>
    <w:rsid w:val="009D2819"/>
    <w:rsid w:val="009E1E98"/>
    <w:rsid w:val="009E3ABE"/>
    <w:rsid w:val="009E3C4B"/>
    <w:rsid w:val="009E3D52"/>
    <w:rsid w:val="009E4A24"/>
    <w:rsid w:val="009E62B6"/>
    <w:rsid w:val="009E7683"/>
    <w:rsid w:val="009F0637"/>
    <w:rsid w:val="009F1787"/>
    <w:rsid w:val="009F5A7C"/>
    <w:rsid w:val="009F62A6"/>
    <w:rsid w:val="009F674F"/>
    <w:rsid w:val="009F799E"/>
    <w:rsid w:val="009F7BF9"/>
    <w:rsid w:val="00A00313"/>
    <w:rsid w:val="00A02020"/>
    <w:rsid w:val="00A03841"/>
    <w:rsid w:val="00A056CB"/>
    <w:rsid w:val="00A06018"/>
    <w:rsid w:val="00A06177"/>
    <w:rsid w:val="00A07A29"/>
    <w:rsid w:val="00A10FF1"/>
    <w:rsid w:val="00A13772"/>
    <w:rsid w:val="00A1506B"/>
    <w:rsid w:val="00A16391"/>
    <w:rsid w:val="00A16D02"/>
    <w:rsid w:val="00A17CB2"/>
    <w:rsid w:val="00A23191"/>
    <w:rsid w:val="00A236E4"/>
    <w:rsid w:val="00A25FAA"/>
    <w:rsid w:val="00A319C0"/>
    <w:rsid w:val="00A33560"/>
    <w:rsid w:val="00A3357F"/>
    <w:rsid w:val="00A33EFE"/>
    <w:rsid w:val="00A3400B"/>
    <w:rsid w:val="00A34AF3"/>
    <w:rsid w:val="00A371A5"/>
    <w:rsid w:val="00A378A1"/>
    <w:rsid w:val="00A47BDF"/>
    <w:rsid w:val="00A508FF"/>
    <w:rsid w:val="00A51CD7"/>
    <w:rsid w:val="00A52ADB"/>
    <w:rsid w:val="00A533E8"/>
    <w:rsid w:val="00A542D9"/>
    <w:rsid w:val="00A56E64"/>
    <w:rsid w:val="00A624C3"/>
    <w:rsid w:val="00A64451"/>
    <w:rsid w:val="00A64D4F"/>
    <w:rsid w:val="00A6641C"/>
    <w:rsid w:val="00A736EB"/>
    <w:rsid w:val="00A74548"/>
    <w:rsid w:val="00A767D2"/>
    <w:rsid w:val="00A76F04"/>
    <w:rsid w:val="00A77616"/>
    <w:rsid w:val="00A805DA"/>
    <w:rsid w:val="00A811B4"/>
    <w:rsid w:val="00A82508"/>
    <w:rsid w:val="00A87CDE"/>
    <w:rsid w:val="00A90625"/>
    <w:rsid w:val="00A92BAF"/>
    <w:rsid w:val="00A92E3F"/>
    <w:rsid w:val="00A94737"/>
    <w:rsid w:val="00A94BA3"/>
    <w:rsid w:val="00A96924"/>
    <w:rsid w:val="00A96CBA"/>
    <w:rsid w:val="00AA0F42"/>
    <w:rsid w:val="00AA1F53"/>
    <w:rsid w:val="00AA2A0D"/>
    <w:rsid w:val="00AA73EC"/>
    <w:rsid w:val="00AB1ACD"/>
    <w:rsid w:val="00AB277F"/>
    <w:rsid w:val="00AB4099"/>
    <w:rsid w:val="00AB449A"/>
    <w:rsid w:val="00AC00AC"/>
    <w:rsid w:val="00AC0C57"/>
    <w:rsid w:val="00AC65C1"/>
    <w:rsid w:val="00AC7E1A"/>
    <w:rsid w:val="00AD14F9"/>
    <w:rsid w:val="00AD35D6"/>
    <w:rsid w:val="00AD476A"/>
    <w:rsid w:val="00AD58C5"/>
    <w:rsid w:val="00AD7A9A"/>
    <w:rsid w:val="00AE03C2"/>
    <w:rsid w:val="00AE15D6"/>
    <w:rsid w:val="00AE22C8"/>
    <w:rsid w:val="00AE36C4"/>
    <w:rsid w:val="00AE472C"/>
    <w:rsid w:val="00AE5375"/>
    <w:rsid w:val="00AE6CF8"/>
    <w:rsid w:val="00AE74AA"/>
    <w:rsid w:val="00AF1424"/>
    <w:rsid w:val="00AF347D"/>
    <w:rsid w:val="00AF4CAC"/>
    <w:rsid w:val="00AF5B78"/>
    <w:rsid w:val="00AF5E0B"/>
    <w:rsid w:val="00B03E0D"/>
    <w:rsid w:val="00B054B8"/>
    <w:rsid w:val="00B054F8"/>
    <w:rsid w:val="00B07F7C"/>
    <w:rsid w:val="00B10458"/>
    <w:rsid w:val="00B15325"/>
    <w:rsid w:val="00B2219A"/>
    <w:rsid w:val="00B243FB"/>
    <w:rsid w:val="00B3193A"/>
    <w:rsid w:val="00B342EC"/>
    <w:rsid w:val="00B3581B"/>
    <w:rsid w:val="00B36B81"/>
    <w:rsid w:val="00B36FEE"/>
    <w:rsid w:val="00B37C80"/>
    <w:rsid w:val="00B40552"/>
    <w:rsid w:val="00B41A59"/>
    <w:rsid w:val="00B478DF"/>
    <w:rsid w:val="00B5092B"/>
    <w:rsid w:val="00B50C49"/>
    <w:rsid w:val="00B5194E"/>
    <w:rsid w:val="00B51AF5"/>
    <w:rsid w:val="00B531FC"/>
    <w:rsid w:val="00B55347"/>
    <w:rsid w:val="00B57E5E"/>
    <w:rsid w:val="00B61F37"/>
    <w:rsid w:val="00B65A02"/>
    <w:rsid w:val="00B7770F"/>
    <w:rsid w:val="00B77A89"/>
    <w:rsid w:val="00B77B27"/>
    <w:rsid w:val="00B8134E"/>
    <w:rsid w:val="00B8199C"/>
    <w:rsid w:val="00B81B55"/>
    <w:rsid w:val="00B81D09"/>
    <w:rsid w:val="00B84613"/>
    <w:rsid w:val="00B86751"/>
    <w:rsid w:val="00B87AF0"/>
    <w:rsid w:val="00B9037B"/>
    <w:rsid w:val="00B90732"/>
    <w:rsid w:val="00B910BD"/>
    <w:rsid w:val="00B93834"/>
    <w:rsid w:val="00B96469"/>
    <w:rsid w:val="00B974CA"/>
    <w:rsid w:val="00BA0DA2"/>
    <w:rsid w:val="00BA2981"/>
    <w:rsid w:val="00BA3FA7"/>
    <w:rsid w:val="00BA48F9"/>
    <w:rsid w:val="00BA7D05"/>
    <w:rsid w:val="00BB0DCA"/>
    <w:rsid w:val="00BB2640"/>
    <w:rsid w:val="00BB35BD"/>
    <w:rsid w:val="00BB4C06"/>
    <w:rsid w:val="00BB6B80"/>
    <w:rsid w:val="00BC3773"/>
    <w:rsid w:val="00BC381A"/>
    <w:rsid w:val="00BC6F43"/>
    <w:rsid w:val="00BD0962"/>
    <w:rsid w:val="00BD1EED"/>
    <w:rsid w:val="00BD4997"/>
    <w:rsid w:val="00BD56C6"/>
    <w:rsid w:val="00BD7840"/>
    <w:rsid w:val="00BE2F04"/>
    <w:rsid w:val="00BE3DF4"/>
    <w:rsid w:val="00BF0DA2"/>
    <w:rsid w:val="00BF109C"/>
    <w:rsid w:val="00BF34FA"/>
    <w:rsid w:val="00BF5C76"/>
    <w:rsid w:val="00C004B6"/>
    <w:rsid w:val="00C0167A"/>
    <w:rsid w:val="00C047A7"/>
    <w:rsid w:val="00C05DE5"/>
    <w:rsid w:val="00C15465"/>
    <w:rsid w:val="00C15940"/>
    <w:rsid w:val="00C2420D"/>
    <w:rsid w:val="00C2637C"/>
    <w:rsid w:val="00C33027"/>
    <w:rsid w:val="00C34A76"/>
    <w:rsid w:val="00C356BE"/>
    <w:rsid w:val="00C37522"/>
    <w:rsid w:val="00C37667"/>
    <w:rsid w:val="00C414DD"/>
    <w:rsid w:val="00C435DB"/>
    <w:rsid w:val="00C44D73"/>
    <w:rsid w:val="00C44FAA"/>
    <w:rsid w:val="00C46CFC"/>
    <w:rsid w:val="00C50B42"/>
    <w:rsid w:val="00C5155A"/>
    <w:rsid w:val="00C516FF"/>
    <w:rsid w:val="00C52BFA"/>
    <w:rsid w:val="00C53D1D"/>
    <w:rsid w:val="00C53F26"/>
    <w:rsid w:val="00C540BC"/>
    <w:rsid w:val="00C5465B"/>
    <w:rsid w:val="00C55071"/>
    <w:rsid w:val="00C57F2B"/>
    <w:rsid w:val="00C64F7D"/>
    <w:rsid w:val="00C67309"/>
    <w:rsid w:val="00C72A59"/>
    <w:rsid w:val="00C7614E"/>
    <w:rsid w:val="00C768C0"/>
    <w:rsid w:val="00C80D60"/>
    <w:rsid w:val="00C82FBD"/>
    <w:rsid w:val="00C83C67"/>
    <w:rsid w:val="00C85267"/>
    <w:rsid w:val="00C8721B"/>
    <w:rsid w:val="00C9372C"/>
    <w:rsid w:val="00C94228"/>
    <w:rsid w:val="00C9470E"/>
    <w:rsid w:val="00C9532A"/>
    <w:rsid w:val="00C95CEB"/>
    <w:rsid w:val="00C977F8"/>
    <w:rsid w:val="00CA0777"/>
    <w:rsid w:val="00CA1054"/>
    <w:rsid w:val="00CA2D46"/>
    <w:rsid w:val="00CA63EB"/>
    <w:rsid w:val="00CA69F1"/>
    <w:rsid w:val="00CB1B0E"/>
    <w:rsid w:val="00CB22B8"/>
    <w:rsid w:val="00CB2674"/>
    <w:rsid w:val="00CB5E45"/>
    <w:rsid w:val="00CB6991"/>
    <w:rsid w:val="00CC3554"/>
    <w:rsid w:val="00CC6194"/>
    <w:rsid w:val="00CC6297"/>
    <w:rsid w:val="00CC6305"/>
    <w:rsid w:val="00CC78A5"/>
    <w:rsid w:val="00CD0516"/>
    <w:rsid w:val="00CD543E"/>
    <w:rsid w:val="00CD756B"/>
    <w:rsid w:val="00CD7BF8"/>
    <w:rsid w:val="00CE3450"/>
    <w:rsid w:val="00CE734F"/>
    <w:rsid w:val="00CF112E"/>
    <w:rsid w:val="00CF3761"/>
    <w:rsid w:val="00CF5F4F"/>
    <w:rsid w:val="00CF6E4E"/>
    <w:rsid w:val="00CF7A9D"/>
    <w:rsid w:val="00D02F13"/>
    <w:rsid w:val="00D118D5"/>
    <w:rsid w:val="00D12320"/>
    <w:rsid w:val="00D14022"/>
    <w:rsid w:val="00D218DC"/>
    <w:rsid w:val="00D24E56"/>
    <w:rsid w:val="00D31643"/>
    <w:rsid w:val="00D31AEB"/>
    <w:rsid w:val="00D31C68"/>
    <w:rsid w:val="00D32ECD"/>
    <w:rsid w:val="00D361E4"/>
    <w:rsid w:val="00D373A0"/>
    <w:rsid w:val="00D439F6"/>
    <w:rsid w:val="00D447F7"/>
    <w:rsid w:val="00D45537"/>
    <w:rsid w:val="00D45958"/>
    <w:rsid w:val="00D459C6"/>
    <w:rsid w:val="00D50729"/>
    <w:rsid w:val="00D50C19"/>
    <w:rsid w:val="00D5379E"/>
    <w:rsid w:val="00D53FDB"/>
    <w:rsid w:val="00D5546E"/>
    <w:rsid w:val="00D5571D"/>
    <w:rsid w:val="00D56D2B"/>
    <w:rsid w:val="00D60530"/>
    <w:rsid w:val="00D609BC"/>
    <w:rsid w:val="00D60A06"/>
    <w:rsid w:val="00D611EF"/>
    <w:rsid w:val="00D62643"/>
    <w:rsid w:val="00D64C0F"/>
    <w:rsid w:val="00D67D98"/>
    <w:rsid w:val="00D72CA6"/>
    <w:rsid w:val="00D72EFE"/>
    <w:rsid w:val="00D75065"/>
    <w:rsid w:val="00D76227"/>
    <w:rsid w:val="00D77692"/>
    <w:rsid w:val="00D77A2B"/>
    <w:rsid w:val="00D77A96"/>
    <w:rsid w:val="00D77DF1"/>
    <w:rsid w:val="00D85279"/>
    <w:rsid w:val="00D855EE"/>
    <w:rsid w:val="00D86AFF"/>
    <w:rsid w:val="00D927F2"/>
    <w:rsid w:val="00D94274"/>
    <w:rsid w:val="00D945A8"/>
    <w:rsid w:val="00D95A44"/>
    <w:rsid w:val="00D95D16"/>
    <w:rsid w:val="00D97B30"/>
    <w:rsid w:val="00D97C76"/>
    <w:rsid w:val="00DA7793"/>
    <w:rsid w:val="00DA7A8E"/>
    <w:rsid w:val="00DA7E30"/>
    <w:rsid w:val="00DB02B4"/>
    <w:rsid w:val="00DB0312"/>
    <w:rsid w:val="00DB1782"/>
    <w:rsid w:val="00DB3BAC"/>
    <w:rsid w:val="00DB42CF"/>
    <w:rsid w:val="00DB538D"/>
    <w:rsid w:val="00DB5E9A"/>
    <w:rsid w:val="00DC1736"/>
    <w:rsid w:val="00DC275C"/>
    <w:rsid w:val="00DC4072"/>
    <w:rsid w:val="00DC4B0D"/>
    <w:rsid w:val="00DC545C"/>
    <w:rsid w:val="00DC673B"/>
    <w:rsid w:val="00DC7DF2"/>
    <w:rsid w:val="00DC7FE1"/>
    <w:rsid w:val="00DD03F1"/>
    <w:rsid w:val="00DD042C"/>
    <w:rsid w:val="00DD0801"/>
    <w:rsid w:val="00DD2CDD"/>
    <w:rsid w:val="00DD3F3F"/>
    <w:rsid w:val="00DD506D"/>
    <w:rsid w:val="00DD507D"/>
    <w:rsid w:val="00DD5572"/>
    <w:rsid w:val="00DD5A88"/>
    <w:rsid w:val="00DD778F"/>
    <w:rsid w:val="00DD7810"/>
    <w:rsid w:val="00DE0B7E"/>
    <w:rsid w:val="00DE0B8B"/>
    <w:rsid w:val="00DE38B9"/>
    <w:rsid w:val="00DE5D80"/>
    <w:rsid w:val="00DF0671"/>
    <w:rsid w:val="00DF58CD"/>
    <w:rsid w:val="00DF65DE"/>
    <w:rsid w:val="00DF7286"/>
    <w:rsid w:val="00E019A5"/>
    <w:rsid w:val="00E02EC8"/>
    <w:rsid w:val="00E037F5"/>
    <w:rsid w:val="00E04ECB"/>
    <w:rsid w:val="00E05A09"/>
    <w:rsid w:val="00E06CA1"/>
    <w:rsid w:val="00E07B33"/>
    <w:rsid w:val="00E1124C"/>
    <w:rsid w:val="00E132FB"/>
    <w:rsid w:val="00E172B8"/>
    <w:rsid w:val="00E17FB4"/>
    <w:rsid w:val="00E20905"/>
    <w:rsid w:val="00E20B75"/>
    <w:rsid w:val="00E214F2"/>
    <w:rsid w:val="00E2371E"/>
    <w:rsid w:val="00E24BD7"/>
    <w:rsid w:val="00E26523"/>
    <w:rsid w:val="00E26809"/>
    <w:rsid w:val="00E26E82"/>
    <w:rsid w:val="00E3412D"/>
    <w:rsid w:val="00E40CD0"/>
    <w:rsid w:val="00E46E80"/>
    <w:rsid w:val="00E535DB"/>
    <w:rsid w:val="00E554FA"/>
    <w:rsid w:val="00E56879"/>
    <w:rsid w:val="00E56CDD"/>
    <w:rsid w:val="00E57322"/>
    <w:rsid w:val="00E628CB"/>
    <w:rsid w:val="00E62AD9"/>
    <w:rsid w:val="00E638B5"/>
    <w:rsid w:val="00E638C8"/>
    <w:rsid w:val="00E661A5"/>
    <w:rsid w:val="00E721EB"/>
    <w:rsid w:val="00E75041"/>
    <w:rsid w:val="00E7509B"/>
    <w:rsid w:val="00E81F35"/>
    <w:rsid w:val="00E86590"/>
    <w:rsid w:val="00E876C8"/>
    <w:rsid w:val="00E907FF"/>
    <w:rsid w:val="00E91D07"/>
    <w:rsid w:val="00E94267"/>
    <w:rsid w:val="00E94529"/>
    <w:rsid w:val="00E957EA"/>
    <w:rsid w:val="00EA3BD8"/>
    <w:rsid w:val="00EA42D1"/>
    <w:rsid w:val="00EA42EF"/>
    <w:rsid w:val="00EA476C"/>
    <w:rsid w:val="00EA7CC0"/>
    <w:rsid w:val="00EB0CA2"/>
    <w:rsid w:val="00EB278E"/>
    <w:rsid w:val="00EB2DD1"/>
    <w:rsid w:val="00EB6B37"/>
    <w:rsid w:val="00EC29FE"/>
    <w:rsid w:val="00EC4CBD"/>
    <w:rsid w:val="00ED0900"/>
    <w:rsid w:val="00ED3A3D"/>
    <w:rsid w:val="00ED3E65"/>
    <w:rsid w:val="00ED538A"/>
    <w:rsid w:val="00ED6FBC"/>
    <w:rsid w:val="00EE2F16"/>
    <w:rsid w:val="00EE3861"/>
    <w:rsid w:val="00EE7AFD"/>
    <w:rsid w:val="00EF2E73"/>
    <w:rsid w:val="00EF466C"/>
    <w:rsid w:val="00EF7683"/>
    <w:rsid w:val="00EF7A2D"/>
    <w:rsid w:val="00F04F8D"/>
    <w:rsid w:val="00F06A35"/>
    <w:rsid w:val="00F1069B"/>
    <w:rsid w:val="00F10AD0"/>
    <w:rsid w:val="00F116CC"/>
    <w:rsid w:val="00F11B4B"/>
    <w:rsid w:val="00F12BD1"/>
    <w:rsid w:val="00F15327"/>
    <w:rsid w:val="00F15F8B"/>
    <w:rsid w:val="00F168CF"/>
    <w:rsid w:val="00F17A2D"/>
    <w:rsid w:val="00F17DB0"/>
    <w:rsid w:val="00F2555C"/>
    <w:rsid w:val="00F25911"/>
    <w:rsid w:val="00F26FBD"/>
    <w:rsid w:val="00F31DF3"/>
    <w:rsid w:val="00F33AE5"/>
    <w:rsid w:val="00F3597D"/>
    <w:rsid w:val="00F40E1F"/>
    <w:rsid w:val="00F411A0"/>
    <w:rsid w:val="00F41D49"/>
    <w:rsid w:val="00F4376D"/>
    <w:rsid w:val="00F45399"/>
    <w:rsid w:val="00F465EA"/>
    <w:rsid w:val="00F466A2"/>
    <w:rsid w:val="00F50030"/>
    <w:rsid w:val="00F50E62"/>
    <w:rsid w:val="00F5136F"/>
    <w:rsid w:val="00F529E3"/>
    <w:rsid w:val="00F54E7B"/>
    <w:rsid w:val="00F55A88"/>
    <w:rsid w:val="00F62CAC"/>
    <w:rsid w:val="00F6508E"/>
    <w:rsid w:val="00F67EF1"/>
    <w:rsid w:val="00F73082"/>
    <w:rsid w:val="00F74005"/>
    <w:rsid w:val="00F74082"/>
    <w:rsid w:val="00F76230"/>
    <w:rsid w:val="00F76884"/>
    <w:rsid w:val="00F77786"/>
    <w:rsid w:val="00F83D24"/>
    <w:rsid w:val="00F83DD9"/>
    <w:rsid w:val="00F83F40"/>
    <w:rsid w:val="00F8454B"/>
    <w:rsid w:val="00F9135B"/>
    <w:rsid w:val="00F947EA"/>
    <w:rsid w:val="00FA02E0"/>
    <w:rsid w:val="00FA117A"/>
    <w:rsid w:val="00FA49AD"/>
    <w:rsid w:val="00FA507A"/>
    <w:rsid w:val="00FA56A0"/>
    <w:rsid w:val="00FA7ECD"/>
    <w:rsid w:val="00FB046B"/>
    <w:rsid w:val="00FB20DF"/>
    <w:rsid w:val="00FB386A"/>
    <w:rsid w:val="00FB4F5C"/>
    <w:rsid w:val="00FB67E8"/>
    <w:rsid w:val="00FB73EA"/>
    <w:rsid w:val="00FC0786"/>
    <w:rsid w:val="00FC246F"/>
    <w:rsid w:val="00FC49EF"/>
    <w:rsid w:val="00FD00CB"/>
    <w:rsid w:val="00FD19B2"/>
    <w:rsid w:val="00FD2411"/>
    <w:rsid w:val="00FE11A3"/>
    <w:rsid w:val="00FE239B"/>
    <w:rsid w:val="00FE36E2"/>
    <w:rsid w:val="00FE6B25"/>
    <w:rsid w:val="00FE6F80"/>
    <w:rsid w:val="00FE7321"/>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4DD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49F"/>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Wyliczanie,List Paragraph,BulletC,A_wyliczenie,K-P_odwolanie,Akapit z listą5,maz_wyliczenie,opis dzialania,Table of contents numbered,Numerowanie,Tytuły tabel i wykresów,Akapit z listą 1,L1,T_SZ_List Paragraph,Dot pt,F5 List Paragraph,lp1"/>
    <w:basedOn w:val="Normalny"/>
    <w:link w:val="AkapitzlistZnak"/>
    <w:uiPriority w:val="34"/>
    <w:qFormat/>
    <w:rsid w:val="00397078"/>
    <w:pPr>
      <w:ind w:left="720"/>
      <w:contextualSpacing/>
    </w:pPr>
  </w:style>
  <w:style w:type="character" w:styleId="Odwoaniedokomentarza">
    <w:name w:val="annotation reference"/>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lang w:val="x-none"/>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customStyle="1" w:styleId="apple-converted-space">
    <w:name w:val="apple-converted-space"/>
    <w:basedOn w:val="Domylnaczcionkaakapitu"/>
    <w:rsid w:val="00CF7A9D"/>
  </w:style>
  <w:style w:type="character" w:customStyle="1" w:styleId="ARTartustawynprozporzdzeniaZnak">
    <w:name w:val="ART(§) – art. ustawy (§ np. rozporządzenia) Znak"/>
    <w:link w:val="ARTartustawynprozporzdzenia"/>
    <w:locked/>
    <w:rsid w:val="00390465"/>
    <w:rPr>
      <w:rFonts w:ascii="Times" w:eastAsia="Times New Roman" w:hAnsi="Times" w:cs="Arial"/>
      <w:sz w:val="24"/>
      <w:lang w:val="pl-PL" w:eastAsia="pl-PL" w:bidi="ar-SA"/>
    </w:rPr>
  </w:style>
  <w:style w:type="paragraph" w:customStyle="1" w:styleId="ARTartustawynprozporzdzenia">
    <w:name w:val="ART(§) – art. ustawy (§ np. rozporządzenia)"/>
    <w:link w:val="ARTartustawynprozporzdzeniaZnak"/>
    <w:rsid w:val="00390465"/>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Default">
    <w:name w:val="Default"/>
    <w:rsid w:val="000B55C6"/>
    <w:pPr>
      <w:autoSpaceDE w:val="0"/>
      <w:autoSpaceDN w:val="0"/>
      <w:adjustRightInd w:val="0"/>
    </w:pPr>
    <w:rPr>
      <w:rFonts w:cs="Calibri"/>
      <w:color w:val="000000"/>
      <w:sz w:val="24"/>
      <w:szCs w:val="24"/>
    </w:rPr>
  </w:style>
  <w:style w:type="character" w:styleId="Pogrubienie">
    <w:name w:val="Strong"/>
    <w:uiPriority w:val="22"/>
    <w:qFormat/>
    <w:locked/>
    <w:rsid w:val="00A06177"/>
    <w:rPr>
      <w:rFonts w:ascii="latobold" w:hAnsi="latobold" w:hint="default"/>
      <w:b w:val="0"/>
      <w:bCs w:val="0"/>
    </w:rPr>
  </w:style>
  <w:style w:type="paragraph" w:customStyle="1" w:styleId="tekst">
    <w:name w:val="tekst"/>
    <w:basedOn w:val="Normalny"/>
    <w:rsid w:val="005E59D9"/>
    <w:pPr>
      <w:overflowPunct w:val="0"/>
      <w:autoSpaceDE w:val="0"/>
      <w:autoSpaceDN w:val="0"/>
      <w:spacing w:before="60" w:after="60" w:line="240" w:lineRule="auto"/>
      <w:jc w:val="both"/>
    </w:pPr>
    <w:rPr>
      <w:rFonts w:ascii="Times New Roman" w:eastAsia="Arial Unicode MS" w:hAnsi="Times New Roman"/>
      <w:sz w:val="24"/>
      <w:szCs w:val="24"/>
      <w:lang w:eastAsia="pl-PL"/>
    </w:rPr>
  </w:style>
  <w:style w:type="paragraph" w:customStyle="1" w:styleId="Akapitzlist1">
    <w:name w:val="Akapit z listą1"/>
    <w:basedOn w:val="Normalny"/>
    <w:rsid w:val="005F2599"/>
    <w:pPr>
      <w:spacing w:after="200"/>
      <w:ind w:left="720"/>
      <w:contextualSpacing/>
    </w:pPr>
    <w:rPr>
      <w:rFonts w:eastAsia="Times New Roman"/>
    </w:rPr>
  </w:style>
  <w:style w:type="character" w:customStyle="1" w:styleId="Teksttreci4">
    <w:name w:val="Tekst treści (4)_"/>
    <w:link w:val="Teksttreci41"/>
    <w:rsid w:val="00D97B30"/>
    <w:rPr>
      <w:sz w:val="19"/>
      <w:szCs w:val="19"/>
      <w:shd w:val="clear" w:color="auto" w:fill="FFFFFF"/>
    </w:rPr>
  </w:style>
  <w:style w:type="paragraph" w:customStyle="1" w:styleId="Teksttreci41">
    <w:name w:val="Tekst treści (4)1"/>
    <w:basedOn w:val="Normalny"/>
    <w:link w:val="Teksttreci4"/>
    <w:rsid w:val="00D97B30"/>
    <w:pPr>
      <w:widowControl w:val="0"/>
      <w:shd w:val="clear" w:color="auto" w:fill="FFFFFF"/>
      <w:spacing w:line="254" w:lineRule="exact"/>
      <w:ind w:hanging="380"/>
      <w:jc w:val="both"/>
    </w:pPr>
    <w:rPr>
      <w:sz w:val="19"/>
      <w:szCs w:val="19"/>
      <w:lang w:val="x-none" w:eastAsia="x-none"/>
    </w:rPr>
  </w:style>
  <w:style w:type="paragraph" w:customStyle="1" w:styleId="pismamz">
    <w:name w:val="pisma_mz"/>
    <w:basedOn w:val="Normalny"/>
    <w:link w:val="pismamzZnak"/>
    <w:qFormat/>
    <w:rsid w:val="00DC4072"/>
    <w:pPr>
      <w:spacing w:line="360" w:lineRule="auto"/>
      <w:contextualSpacing/>
      <w:jc w:val="both"/>
    </w:pPr>
    <w:rPr>
      <w:rFonts w:ascii="Arial" w:hAnsi="Arial"/>
      <w:lang w:val="x-none"/>
    </w:rPr>
  </w:style>
  <w:style w:type="character" w:customStyle="1" w:styleId="pismamzZnak">
    <w:name w:val="pisma_mz Znak"/>
    <w:link w:val="pismamz"/>
    <w:rsid w:val="00DC4072"/>
    <w:rPr>
      <w:rFonts w:ascii="Arial" w:hAnsi="Arial"/>
      <w:sz w:val="22"/>
      <w:szCs w:val="22"/>
      <w:lang w:eastAsia="en-US"/>
    </w:rPr>
  </w:style>
  <w:style w:type="table" w:styleId="Jasnalistaakcent1">
    <w:name w:val="Light List Accent 1"/>
    <w:basedOn w:val="Standardowy"/>
    <w:uiPriority w:val="61"/>
    <w:rsid w:val="00445C8B"/>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Nierozpoznanawzmianka">
    <w:name w:val="Unresolved Mention"/>
    <w:uiPriority w:val="99"/>
    <w:semiHidden/>
    <w:unhideWhenUsed/>
    <w:rsid w:val="001802B0"/>
    <w:rPr>
      <w:color w:val="605E5C"/>
      <w:shd w:val="clear" w:color="auto" w:fill="E1DFDD"/>
    </w:rPr>
  </w:style>
  <w:style w:type="character" w:customStyle="1" w:styleId="cf01">
    <w:name w:val="cf01"/>
    <w:rsid w:val="006F6F51"/>
    <w:rPr>
      <w:rFonts w:ascii="Segoe UI" w:hAnsi="Segoe UI" w:cs="Segoe UI" w:hint="default"/>
      <w:sz w:val="18"/>
      <w:szCs w:val="18"/>
    </w:rPr>
  </w:style>
  <w:style w:type="paragraph" w:styleId="Poprawka">
    <w:name w:val="Revision"/>
    <w:hidden/>
    <w:uiPriority w:val="99"/>
    <w:semiHidden/>
    <w:rsid w:val="00693C83"/>
    <w:rPr>
      <w:sz w:val="22"/>
      <w:szCs w:val="22"/>
      <w:lang w:eastAsia="en-US"/>
    </w:rPr>
  </w:style>
  <w:style w:type="character" w:customStyle="1" w:styleId="AkapitzlistZnak">
    <w:name w:val="Akapit z listą Znak"/>
    <w:aliases w:val="Wyliczanie Znak,List Paragraph Znak,BulletC Znak,A_wyliczenie Znak,K-P_odwolanie Znak,Akapit z listą5 Znak,maz_wyliczenie Znak,opis dzialania Znak,Table of contents numbered Znak,Numerowanie Znak,Tytuły tabel i wykresów Znak,L1 Znak"/>
    <w:link w:val="Akapitzlist"/>
    <w:uiPriority w:val="34"/>
    <w:qFormat/>
    <w:locked/>
    <w:rsid w:val="003D7FE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92241258">
      <w:bodyDiv w:val="1"/>
      <w:marLeft w:val="0"/>
      <w:marRight w:val="0"/>
      <w:marTop w:val="0"/>
      <w:marBottom w:val="0"/>
      <w:divBdr>
        <w:top w:val="none" w:sz="0" w:space="0" w:color="auto"/>
        <w:left w:val="none" w:sz="0" w:space="0" w:color="auto"/>
        <w:bottom w:val="none" w:sz="0" w:space="0" w:color="auto"/>
        <w:right w:val="none" w:sz="0" w:space="0" w:color="auto"/>
      </w:divBdr>
    </w:div>
    <w:div w:id="138115567">
      <w:bodyDiv w:val="1"/>
      <w:marLeft w:val="0"/>
      <w:marRight w:val="0"/>
      <w:marTop w:val="0"/>
      <w:marBottom w:val="0"/>
      <w:divBdr>
        <w:top w:val="none" w:sz="0" w:space="0" w:color="auto"/>
        <w:left w:val="none" w:sz="0" w:space="0" w:color="auto"/>
        <w:bottom w:val="none" w:sz="0" w:space="0" w:color="auto"/>
        <w:right w:val="none" w:sz="0" w:space="0" w:color="auto"/>
      </w:divBdr>
    </w:div>
    <w:div w:id="140120777">
      <w:bodyDiv w:val="1"/>
      <w:marLeft w:val="0"/>
      <w:marRight w:val="0"/>
      <w:marTop w:val="0"/>
      <w:marBottom w:val="0"/>
      <w:divBdr>
        <w:top w:val="none" w:sz="0" w:space="0" w:color="auto"/>
        <w:left w:val="none" w:sz="0" w:space="0" w:color="auto"/>
        <w:bottom w:val="none" w:sz="0" w:space="0" w:color="auto"/>
        <w:right w:val="none" w:sz="0" w:space="0" w:color="auto"/>
      </w:divBdr>
    </w:div>
    <w:div w:id="158423001">
      <w:bodyDiv w:val="1"/>
      <w:marLeft w:val="0"/>
      <w:marRight w:val="0"/>
      <w:marTop w:val="0"/>
      <w:marBottom w:val="0"/>
      <w:divBdr>
        <w:top w:val="none" w:sz="0" w:space="0" w:color="auto"/>
        <w:left w:val="none" w:sz="0" w:space="0" w:color="auto"/>
        <w:bottom w:val="none" w:sz="0" w:space="0" w:color="auto"/>
        <w:right w:val="none" w:sz="0" w:space="0" w:color="auto"/>
      </w:divBdr>
    </w:div>
    <w:div w:id="188221434">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57105643">
      <w:bodyDiv w:val="1"/>
      <w:marLeft w:val="0"/>
      <w:marRight w:val="0"/>
      <w:marTop w:val="0"/>
      <w:marBottom w:val="0"/>
      <w:divBdr>
        <w:top w:val="none" w:sz="0" w:space="0" w:color="auto"/>
        <w:left w:val="none" w:sz="0" w:space="0" w:color="auto"/>
        <w:bottom w:val="none" w:sz="0" w:space="0" w:color="auto"/>
        <w:right w:val="none" w:sz="0" w:space="0" w:color="auto"/>
      </w:divBdr>
    </w:div>
    <w:div w:id="261300803">
      <w:bodyDiv w:val="1"/>
      <w:marLeft w:val="0"/>
      <w:marRight w:val="0"/>
      <w:marTop w:val="0"/>
      <w:marBottom w:val="0"/>
      <w:divBdr>
        <w:top w:val="none" w:sz="0" w:space="0" w:color="auto"/>
        <w:left w:val="none" w:sz="0" w:space="0" w:color="auto"/>
        <w:bottom w:val="none" w:sz="0" w:space="0" w:color="auto"/>
        <w:right w:val="none" w:sz="0" w:space="0" w:color="auto"/>
      </w:divBdr>
    </w:div>
    <w:div w:id="264851397">
      <w:bodyDiv w:val="1"/>
      <w:marLeft w:val="0"/>
      <w:marRight w:val="0"/>
      <w:marTop w:val="0"/>
      <w:marBottom w:val="0"/>
      <w:divBdr>
        <w:top w:val="none" w:sz="0" w:space="0" w:color="auto"/>
        <w:left w:val="none" w:sz="0" w:space="0" w:color="auto"/>
        <w:bottom w:val="none" w:sz="0" w:space="0" w:color="auto"/>
        <w:right w:val="none" w:sz="0" w:space="0" w:color="auto"/>
      </w:divBdr>
    </w:div>
    <w:div w:id="271519791">
      <w:bodyDiv w:val="1"/>
      <w:marLeft w:val="0"/>
      <w:marRight w:val="0"/>
      <w:marTop w:val="0"/>
      <w:marBottom w:val="0"/>
      <w:divBdr>
        <w:top w:val="none" w:sz="0" w:space="0" w:color="auto"/>
        <w:left w:val="none" w:sz="0" w:space="0" w:color="auto"/>
        <w:bottom w:val="none" w:sz="0" w:space="0" w:color="auto"/>
        <w:right w:val="none" w:sz="0" w:space="0" w:color="auto"/>
      </w:divBdr>
    </w:div>
    <w:div w:id="332537280">
      <w:bodyDiv w:val="1"/>
      <w:marLeft w:val="0"/>
      <w:marRight w:val="0"/>
      <w:marTop w:val="0"/>
      <w:marBottom w:val="0"/>
      <w:divBdr>
        <w:top w:val="none" w:sz="0" w:space="0" w:color="auto"/>
        <w:left w:val="none" w:sz="0" w:space="0" w:color="auto"/>
        <w:bottom w:val="none" w:sz="0" w:space="0" w:color="auto"/>
        <w:right w:val="none" w:sz="0" w:space="0" w:color="auto"/>
      </w:divBdr>
    </w:div>
    <w:div w:id="391469534">
      <w:bodyDiv w:val="1"/>
      <w:marLeft w:val="0"/>
      <w:marRight w:val="0"/>
      <w:marTop w:val="0"/>
      <w:marBottom w:val="0"/>
      <w:divBdr>
        <w:top w:val="none" w:sz="0" w:space="0" w:color="auto"/>
        <w:left w:val="none" w:sz="0" w:space="0" w:color="auto"/>
        <w:bottom w:val="none" w:sz="0" w:space="0" w:color="auto"/>
        <w:right w:val="none" w:sz="0" w:space="0" w:color="auto"/>
      </w:divBdr>
    </w:div>
    <w:div w:id="534776025">
      <w:bodyDiv w:val="1"/>
      <w:marLeft w:val="0"/>
      <w:marRight w:val="0"/>
      <w:marTop w:val="0"/>
      <w:marBottom w:val="0"/>
      <w:divBdr>
        <w:top w:val="none" w:sz="0" w:space="0" w:color="auto"/>
        <w:left w:val="none" w:sz="0" w:space="0" w:color="auto"/>
        <w:bottom w:val="none" w:sz="0" w:space="0" w:color="auto"/>
        <w:right w:val="none" w:sz="0" w:space="0" w:color="auto"/>
      </w:divBdr>
      <w:divsChild>
        <w:div w:id="1245795605">
          <w:marLeft w:val="0"/>
          <w:marRight w:val="0"/>
          <w:marTop w:val="0"/>
          <w:marBottom w:val="0"/>
          <w:divBdr>
            <w:top w:val="none" w:sz="0" w:space="0" w:color="auto"/>
            <w:left w:val="none" w:sz="0" w:space="0" w:color="auto"/>
            <w:bottom w:val="none" w:sz="0" w:space="0" w:color="auto"/>
            <w:right w:val="none" w:sz="0" w:space="0" w:color="auto"/>
          </w:divBdr>
        </w:div>
      </w:divsChild>
    </w:div>
    <w:div w:id="544216044">
      <w:bodyDiv w:val="1"/>
      <w:marLeft w:val="0"/>
      <w:marRight w:val="0"/>
      <w:marTop w:val="0"/>
      <w:marBottom w:val="0"/>
      <w:divBdr>
        <w:top w:val="none" w:sz="0" w:space="0" w:color="auto"/>
        <w:left w:val="none" w:sz="0" w:space="0" w:color="auto"/>
        <w:bottom w:val="none" w:sz="0" w:space="0" w:color="auto"/>
        <w:right w:val="none" w:sz="0" w:space="0" w:color="auto"/>
      </w:divBdr>
    </w:div>
    <w:div w:id="548958399">
      <w:bodyDiv w:val="1"/>
      <w:marLeft w:val="0"/>
      <w:marRight w:val="0"/>
      <w:marTop w:val="0"/>
      <w:marBottom w:val="0"/>
      <w:divBdr>
        <w:top w:val="none" w:sz="0" w:space="0" w:color="auto"/>
        <w:left w:val="none" w:sz="0" w:space="0" w:color="auto"/>
        <w:bottom w:val="none" w:sz="0" w:space="0" w:color="auto"/>
        <w:right w:val="none" w:sz="0" w:space="0" w:color="auto"/>
      </w:divBdr>
      <w:divsChild>
        <w:div w:id="198082526">
          <w:marLeft w:val="0"/>
          <w:marRight w:val="0"/>
          <w:marTop w:val="0"/>
          <w:marBottom w:val="0"/>
          <w:divBdr>
            <w:top w:val="none" w:sz="0" w:space="0" w:color="auto"/>
            <w:left w:val="none" w:sz="0" w:space="0" w:color="auto"/>
            <w:bottom w:val="none" w:sz="0" w:space="0" w:color="auto"/>
            <w:right w:val="none" w:sz="0" w:space="0" w:color="auto"/>
          </w:divBdr>
        </w:div>
      </w:divsChild>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71353964">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55307097">
      <w:bodyDiv w:val="1"/>
      <w:marLeft w:val="0"/>
      <w:marRight w:val="0"/>
      <w:marTop w:val="0"/>
      <w:marBottom w:val="0"/>
      <w:divBdr>
        <w:top w:val="none" w:sz="0" w:space="0" w:color="auto"/>
        <w:left w:val="none" w:sz="0" w:space="0" w:color="auto"/>
        <w:bottom w:val="none" w:sz="0" w:space="0" w:color="auto"/>
        <w:right w:val="none" w:sz="0" w:space="0" w:color="auto"/>
      </w:divBdr>
      <w:divsChild>
        <w:div w:id="1803963468">
          <w:marLeft w:val="0"/>
          <w:marRight w:val="0"/>
          <w:marTop w:val="0"/>
          <w:marBottom w:val="0"/>
          <w:divBdr>
            <w:top w:val="none" w:sz="0" w:space="0" w:color="auto"/>
            <w:left w:val="none" w:sz="0" w:space="0" w:color="auto"/>
            <w:bottom w:val="none" w:sz="0" w:space="0" w:color="auto"/>
            <w:right w:val="none" w:sz="0" w:space="0" w:color="auto"/>
          </w:divBdr>
        </w:div>
      </w:divsChild>
    </w:div>
    <w:div w:id="731466916">
      <w:bodyDiv w:val="1"/>
      <w:marLeft w:val="0"/>
      <w:marRight w:val="0"/>
      <w:marTop w:val="0"/>
      <w:marBottom w:val="0"/>
      <w:divBdr>
        <w:top w:val="none" w:sz="0" w:space="0" w:color="auto"/>
        <w:left w:val="none" w:sz="0" w:space="0" w:color="auto"/>
        <w:bottom w:val="none" w:sz="0" w:space="0" w:color="auto"/>
        <w:right w:val="none" w:sz="0" w:space="0" w:color="auto"/>
      </w:divBdr>
    </w:div>
    <w:div w:id="748037116">
      <w:bodyDiv w:val="1"/>
      <w:marLeft w:val="0"/>
      <w:marRight w:val="0"/>
      <w:marTop w:val="0"/>
      <w:marBottom w:val="0"/>
      <w:divBdr>
        <w:top w:val="none" w:sz="0" w:space="0" w:color="auto"/>
        <w:left w:val="none" w:sz="0" w:space="0" w:color="auto"/>
        <w:bottom w:val="none" w:sz="0" w:space="0" w:color="auto"/>
        <w:right w:val="none" w:sz="0" w:space="0" w:color="auto"/>
      </w:divBdr>
    </w:div>
    <w:div w:id="765198642">
      <w:bodyDiv w:val="1"/>
      <w:marLeft w:val="0"/>
      <w:marRight w:val="0"/>
      <w:marTop w:val="0"/>
      <w:marBottom w:val="0"/>
      <w:divBdr>
        <w:top w:val="none" w:sz="0" w:space="0" w:color="auto"/>
        <w:left w:val="none" w:sz="0" w:space="0" w:color="auto"/>
        <w:bottom w:val="none" w:sz="0" w:space="0" w:color="auto"/>
        <w:right w:val="none" w:sz="0" w:space="0" w:color="auto"/>
      </w:divBdr>
    </w:div>
    <w:div w:id="772014265">
      <w:bodyDiv w:val="1"/>
      <w:marLeft w:val="0"/>
      <w:marRight w:val="0"/>
      <w:marTop w:val="0"/>
      <w:marBottom w:val="0"/>
      <w:divBdr>
        <w:top w:val="none" w:sz="0" w:space="0" w:color="auto"/>
        <w:left w:val="none" w:sz="0" w:space="0" w:color="auto"/>
        <w:bottom w:val="none" w:sz="0" w:space="0" w:color="auto"/>
        <w:right w:val="none" w:sz="0" w:space="0" w:color="auto"/>
      </w:divBdr>
    </w:div>
    <w:div w:id="778910726">
      <w:bodyDiv w:val="1"/>
      <w:marLeft w:val="0"/>
      <w:marRight w:val="0"/>
      <w:marTop w:val="0"/>
      <w:marBottom w:val="0"/>
      <w:divBdr>
        <w:top w:val="none" w:sz="0" w:space="0" w:color="auto"/>
        <w:left w:val="none" w:sz="0" w:space="0" w:color="auto"/>
        <w:bottom w:val="none" w:sz="0" w:space="0" w:color="auto"/>
        <w:right w:val="none" w:sz="0" w:space="0" w:color="auto"/>
      </w:divBdr>
    </w:div>
    <w:div w:id="792748813">
      <w:bodyDiv w:val="1"/>
      <w:marLeft w:val="0"/>
      <w:marRight w:val="0"/>
      <w:marTop w:val="0"/>
      <w:marBottom w:val="0"/>
      <w:divBdr>
        <w:top w:val="none" w:sz="0" w:space="0" w:color="auto"/>
        <w:left w:val="none" w:sz="0" w:space="0" w:color="auto"/>
        <w:bottom w:val="none" w:sz="0" w:space="0" w:color="auto"/>
        <w:right w:val="none" w:sz="0" w:space="0" w:color="auto"/>
      </w:divBdr>
    </w:div>
    <w:div w:id="809133456">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55409868">
      <w:bodyDiv w:val="1"/>
      <w:marLeft w:val="0"/>
      <w:marRight w:val="0"/>
      <w:marTop w:val="0"/>
      <w:marBottom w:val="0"/>
      <w:divBdr>
        <w:top w:val="none" w:sz="0" w:space="0" w:color="auto"/>
        <w:left w:val="none" w:sz="0" w:space="0" w:color="auto"/>
        <w:bottom w:val="none" w:sz="0" w:space="0" w:color="auto"/>
        <w:right w:val="none" w:sz="0" w:space="0" w:color="auto"/>
      </w:divBdr>
      <w:divsChild>
        <w:div w:id="750857808">
          <w:marLeft w:val="0"/>
          <w:marRight w:val="0"/>
          <w:marTop w:val="0"/>
          <w:marBottom w:val="0"/>
          <w:divBdr>
            <w:top w:val="none" w:sz="0" w:space="0" w:color="auto"/>
            <w:left w:val="none" w:sz="0" w:space="0" w:color="auto"/>
            <w:bottom w:val="none" w:sz="0" w:space="0" w:color="auto"/>
            <w:right w:val="none" w:sz="0" w:space="0" w:color="auto"/>
          </w:divBdr>
        </w:div>
      </w:divsChild>
    </w:div>
    <w:div w:id="1042948473">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47668341">
      <w:bodyDiv w:val="1"/>
      <w:marLeft w:val="0"/>
      <w:marRight w:val="0"/>
      <w:marTop w:val="0"/>
      <w:marBottom w:val="0"/>
      <w:divBdr>
        <w:top w:val="none" w:sz="0" w:space="0" w:color="auto"/>
        <w:left w:val="none" w:sz="0" w:space="0" w:color="auto"/>
        <w:bottom w:val="none" w:sz="0" w:space="0" w:color="auto"/>
        <w:right w:val="none" w:sz="0" w:space="0" w:color="auto"/>
      </w:divBdr>
    </w:div>
    <w:div w:id="1218249354">
      <w:bodyDiv w:val="1"/>
      <w:marLeft w:val="0"/>
      <w:marRight w:val="0"/>
      <w:marTop w:val="0"/>
      <w:marBottom w:val="0"/>
      <w:divBdr>
        <w:top w:val="none" w:sz="0" w:space="0" w:color="auto"/>
        <w:left w:val="none" w:sz="0" w:space="0" w:color="auto"/>
        <w:bottom w:val="none" w:sz="0" w:space="0" w:color="auto"/>
        <w:right w:val="none" w:sz="0" w:space="0" w:color="auto"/>
      </w:divBdr>
    </w:div>
    <w:div w:id="1230386310">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10612338">
      <w:bodyDiv w:val="1"/>
      <w:marLeft w:val="0"/>
      <w:marRight w:val="0"/>
      <w:marTop w:val="0"/>
      <w:marBottom w:val="0"/>
      <w:divBdr>
        <w:top w:val="none" w:sz="0" w:space="0" w:color="auto"/>
        <w:left w:val="none" w:sz="0" w:space="0" w:color="auto"/>
        <w:bottom w:val="none" w:sz="0" w:space="0" w:color="auto"/>
        <w:right w:val="none" w:sz="0" w:space="0" w:color="auto"/>
      </w:divBdr>
    </w:div>
    <w:div w:id="1437483046">
      <w:bodyDiv w:val="1"/>
      <w:marLeft w:val="0"/>
      <w:marRight w:val="0"/>
      <w:marTop w:val="0"/>
      <w:marBottom w:val="0"/>
      <w:divBdr>
        <w:top w:val="none" w:sz="0" w:space="0" w:color="auto"/>
        <w:left w:val="none" w:sz="0" w:space="0" w:color="auto"/>
        <w:bottom w:val="none" w:sz="0" w:space="0" w:color="auto"/>
        <w:right w:val="none" w:sz="0" w:space="0" w:color="auto"/>
      </w:divBdr>
      <w:divsChild>
        <w:div w:id="546836418">
          <w:marLeft w:val="0"/>
          <w:marRight w:val="0"/>
          <w:marTop w:val="0"/>
          <w:marBottom w:val="0"/>
          <w:divBdr>
            <w:top w:val="none" w:sz="0" w:space="0" w:color="auto"/>
            <w:left w:val="none" w:sz="0" w:space="0" w:color="auto"/>
            <w:bottom w:val="none" w:sz="0" w:space="0" w:color="auto"/>
            <w:right w:val="none" w:sz="0" w:space="0" w:color="auto"/>
          </w:divBdr>
        </w:div>
      </w:divsChild>
    </w:div>
    <w:div w:id="1456408077">
      <w:bodyDiv w:val="1"/>
      <w:marLeft w:val="0"/>
      <w:marRight w:val="0"/>
      <w:marTop w:val="0"/>
      <w:marBottom w:val="0"/>
      <w:divBdr>
        <w:top w:val="none" w:sz="0" w:space="0" w:color="auto"/>
        <w:left w:val="none" w:sz="0" w:space="0" w:color="auto"/>
        <w:bottom w:val="none" w:sz="0" w:space="0" w:color="auto"/>
        <w:right w:val="none" w:sz="0" w:space="0" w:color="auto"/>
      </w:divBdr>
    </w:div>
    <w:div w:id="1487746432">
      <w:bodyDiv w:val="1"/>
      <w:marLeft w:val="0"/>
      <w:marRight w:val="0"/>
      <w:marTop w:val="0"/>
      <w:marBottom w:val="0"/>
      <w:divBdr>
        <w:top w:val="none" w:sz="0" w:space="0" w:color="auto"/>
        <w:left w:val="none" w:sz="0" w:space="0" w:color="auto"/>
        <w:bottom w:val="none" w:sz="0" w:space="0" w:color="auto"/>
        <w:right w:val="none" w:sz="0" w:space="0" w:color="auto"/>
      </w:divBdr>
    </w:div>
    <w:div w:id="1534464307">
      <w:bodyDiv w:val="1"/>
      <w:marLeft w:val="0"/>
      <w:marRight w:val="0"/>
      <w:marTop w:val="0"/>
      <w:marBottom w:val="0"/>
      <w:divBdr>
        <w:top w:val="none" w:sz="0" w:space="0" w:color="auto"/>
        <w:left w:val="none" w:sz="0" w:space="0" w:color="auto"/>
        <w:bottom w:val="none" w:sz="0" w:space="0" w:color="auto"/>
        <w:right w:val="none" w:sz="0" w:space="0" w:color="auto"/>
      </w:divBdr>
    </w:div>
    <w:div w:id="1565026308">
      <w:bodyDiv w:val="1"/>
      <w:marLeft w:val="0"/>
      <w:marRight w:val="0"/>
      <w:marTop w:val="0"/>
      <w:marBottom w:val="0"/>
      <w:divBdr>
        <w:top w:val="none" w:sz="0" w:space="0" w:color="auto"/>
        <w:left w:val="none" w:sz="0" w:space="0" w:color="auto"/>
        <w:bottom w:val="none" w:sz="0" w:space="0" w:color="auto"/>
        <w:right w:val="none" w:sz="0" w:space="0" w:color="auto"/>
      </w:divBdr>
    </w:div>
    <w:div w:id="1694917968">
      <w:bodyDiv w:val="1"/>
      <w:marLeft w:val="0"/>
      <w:marRight w:val="0"/>
      <w:marTop w:val="0"/>
      <w:marBottom w:val="0"/>
      <w:divBdr>
        <w:top w:val="none" w:sz="0" w:space="0" w:color="auto"/>
        <w:left w:val="none" w:sz="0" w:space="0" w:color="auto"/>
        <w:bottom w:val="none" w:sz="0" w:space="0" w:color="auto"/>
        <w:right w:val="none" w:sz="0" w:space="0" w:color="auto"/>
      </w:divBdr>
    </w:div>
    <w:div w:id="1720933657">
      <w:bodyDiv w:val="1"/>
      <w:marLeft w:val="0"/>
      <w:marRight w:val="0"/>
      <w:marTop w:val="0"/>
      <w:marBottom w:val="0"/>
      <w:divBdr>
        <w:top w:val="none" w:sz="0" w:space="0" w:color="auto"/>
        <w:left w:val="none" w:sz="0" w:space="0" w:color="auto"/>
        <w:bottom w:val="none" w:sz="0" w:space="0" w:color="auto"/>
        <w:right w:val="none" w:sz="0" w:space="0" w:color="auto"/>
      </w:divBdr>
    </w:div>
    <w:div w:id="1808889112">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34780662">
      <w:bodyDiv w:val="1"/>
      <w:marLeft w:val="0"/>
      <w:marRight w:val="0"/>
      <w:marTop w:val="0"/>
      <w:marBottom w:val="0"/>
      <w:divBdr>
        <w:top w:val="none" w:sz="0" w:space="0" w:color="auto"/>
        <w:left w:val="none" w:sz="0" w:space="0" w:color="auto"/>
        <w:bottom w:val="none" w:sz="0" w:space="0" w:color="auto"/>
        <w:right w:val="none" w:sz="0" w:space="0" w:color="auto"/>
      </w:divBdr>
    </w:div>
    <w:div w:id="1953977471">
      <w:bodyDiv w:val="1"/>
      <w:marLeft w:val="0"/>
      <w:marRight w:val="0"/>
      <w:marTop w:val="0"/>
      <w:marBottom w:val="0"/>
      <w:divBdr>
        <w:top w:val="none" w:sz="0" w:space="0" w:color="auto"/>
        <w:left w:val="none" w:sz="0" w:space="0" w:color="auto"/>
        <w:bottom w:val="none" w:sz="0" w:space="0" w:color="auto"/>
        <w:right w:val="none" w:sz="0" w:space="0" w:color="auto"/>
      </w:divBdr>
    </w:div>
    <w:div w:id="1961450336">
      <w:bodyDiv w:val="1"/>
      <w:marLeft w:val="0"/>
      <w:marRight w:val="0"/>
      <w:marTop w:val="0"/>
      <w:marBottom w:val="0"/>
      <w:divBdr>
        <w:top w:val="none" w:sz="0" w:space="0" w:color="auto"/>
        <w:left w:val="none" w:sz="0" w:space="0" w:color="auto"/>
        <w:bottom w:val="none" w:sz="0" w:space="0" w:color="auto"/>
        <w:right w:val="none" w:sz="0" w:space="0" w:color="auto"/>
      </w:divBdr>
    </w:div>
    <w:div w:id="2031223015">
      <w:bodyDiv w:val="1"/>
      <w:marLeft w:val="0"/>
      <w:marRight w:val="0"/>
      <w:marTop w:val="0"/>
      <w:marBottom w:val="0"/>
      <w:divBdr>
        <w:top w:val="none" w:sz="0" w:space="0" w:color="auto"/>
        <w:left w:val="none" w:sz="0" w:space="0" w:color="auto"/>
        <w:bottom w:val="none" w:sz="0" w:space="0" w:color="auto"/>
        <w:right w:val="none" w:sz="0" w:space="0" w:color="auto"/>
      </w:divBdr>
    </w:div>
    <w:div w:id="2057729732">
      <w:bodyDiv w:val="1"/>
      <w:marLeft w:val="0"/>
      <w:marRight w:val="0"/>
      <w:marTop w:val="0"/>
      <w:marBottom w:val="0"/>
      <w:divBdr>
        <w:top w:val="none" w:sz="0" w:space="0" w:color="auto"/>
        <w:left w:val="none" w:sz="0" w:space="0" w:color="auto"/>
        <w:bottom w:val="none" w:sz="0" w:space="0" w:color="auto"/>
        <w:right w:val="none" w:sz="0" w:space="0" w:color="auto"/>
      </w:divBdr>
    </w:div>
    <w:div w:id="2077361778">
      <w:bodyDiv w:val="1"/>
      <w:marLeft w:val="0"/>
      <w:marRight w:val="0"/>
      <w:marTop w:val="0"/>
      <w:marBottom w:val="0"/>
      <w:divBdr>
        <w:top w:val="none" w:sz="0" w:space="0" w:color="auto"/>
        <w:left w:val="none" w:sz="0" w:space="0" w:color="auto"/>
        <w:bottom w:val="none" w:sz="0" w:space="0" w:color="auto"/>
        <w:right w:val="none" w:sz="0" w:space="0" w:color="auto"/>
      </w:divBdr>
    </w:div>
    <w:div w:id="21228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galis.pl/document-view.seam?documentId=mfrxilrtg4ytgojsgqydoltqmfyc4nbzhe3tcobxg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galis.pl/document-view.seam?documentId=mfrxilrtg4ytgojsgqydoltqmfyc4nbzhe3tcobwh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p-dl@mz.gov.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4ytgojsgqydoltqmfyc4nbzhe3tcobx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A9E193A559FC04B8F4A26AD569210C0" ma:contentTypeVersion="10" ma:contentTypeDescription="Utwórz nowy dokument." ma:contentTypeScope="" ma:versionID="23082b86c070cea44b1919404d8600ca">
  <xsd:schema xmlns:xsd="http://www.w3.org/2001/XMLSchema" xmlns:xs="http://www.w3.org/2001/XMLSchema" xmlns:p="http://schemas.microsoft.com/office/2006/metadata/properties" xmlns:ns3="423be030-83f1-452f-a933-003be82a4740" xmlns:ns4="c84d6b99-2b6f-493f-8e5b-774acb40c23e" targetNamespace="http://schemas.microsoft.com/office/2006/metadata/properties" ma:root="true" ma:fieldsID="3da245d4abb1a744fbe38b6bb7af04e7" ns3:_="" ns4:_="">
    <xsd:import namespace="423be030-83f1-452f-a933-003be82a4740"/>
    <xsd:import namespace="c84d6b99-2b6f-493f-8e5b-774acb40c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be030-83f1-452f-a933-003be82a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d6b99-2b6f-493f-8e5b-774acb40c23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2140B-C89F-46A1-B773-6CE1E3F37FD5}">
  <ds:schemaRefs>
    <ds:schemaRef ds:uri="http://schemas.openxmlformats.org/officeDocument/2006/bibliography"/>
  </ds:schemaRefs>
</ds:datastoreItem>
</file>

<file path=customXml/itemProps2.xml><?xml version="1.0" encoding="utf-8"?>
<ds:datastoreItem xmlns:ds="http://schemas.openxmlformats.org/officeDocument/2006/customXml" ds:itemID="{BD6AF0F6-2B1D-495F-8BDF-C6CFF7ED3B85}">
  <ds:schemaRefs>
    <ds:schemaRef ds:uri="http://schemas.microsoft.com/sharepoint/v3/contenttype/forms"/>
  </ds:schemaRefs>
</ds:datastoreItem>
</file>

<file path=customXml/itemProps3.xml><?xml version="1.0" encoding="utf-8"?>
<ds:datastoreItem xmlns:ds="http://schemas.openxmlformats.org/officeDocument/2006/customXml" ds:itemID="{9A582F38-B44D-4157-BB8B-64A968DC3F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37974-9B65-452A-884B-F87F8B234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be030-83f1-452f-a933-003be82a4740"/>
    <ds:schemaRef ds:uri="c84d6b99-2b6f-493f-8e5b-774acb40c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9740</Words>
  <Characters>58444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Nazwa projektu</vt:lpstr>
    </vt:vector>
  </TitlesOfParts>
  <LinksUpToDate>false</LinksUpToDate>
  <CharactersWithSpaces>68048</CharactersWithSpaces>
  <SharedDoc>false</SharedDoc>
  <HLinks>
    <vt:vector size="6" baseType="variant">
      <vt:variant>
        <vt:i4>4784236</vt:i4>
      </vt:variant>
      <vt:variant>
        <vt:i4>0</vt:i4>
      </vt:variant>
      <vt:variant>
        <vt:i4>0</vt:i4>
      </vt:variant>
      <vt:variant>
        <vt:i4>5</vt:i4>
      </vt:variant>
      <vt:variant>
        <vt:lpwstr>mailto:dep-dl@mz.gov.pl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
  <cp:keywords/>
  <cp:lastModifiedBy/>
  <cp:revision>1</cp:revision>
  <cp:lastPrinted>2014-03-28T10:31:00Z</cp:lastPrinted>
  <dcterms:created xsi:type="dcterms:W3CDTF">2021-07-22T07:27:00Z</dcterms:created>
  <dcterms:modified xsi:type="dcterms:W3CDTF">2021-07-22T08:55:00Z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0x0101004A9E193A559FC04B8F4A26AD569210C0</vt:lpwstr>
  </property>
</Properties>
</file>