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8765E1" w:rsidRPr="002D47EC" w14:paraId="3F26D00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F7DDE9C" w14:textId="77777777" w:rsidR="008765E1" w:rsidRDefault="008765E1" w:rsidP="008A7660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bookmarkStart w:id="0" w:name="t1"/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Nazwa projektu</w:t>
            </w:r>
          </w:p>
          <w:p w14:paraId="6AD1CA8E" w14:textId="2C24A207" w:rsidR="007D537A" w:rsidRPr="007D537A" w:rsidRDefault="007D537A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D537A">
              <w:rPr>
                <w:rFonts w:ascii="Times New Roman" w:hAnsi="Times New Roman"/>
                <w:spacing w:val="-2"/>
              </w:rPr>
              <w:t>Projekt rozporządzenia Ministra Finansów, Funduszy i Polityki Regionalnej zmieniającego rozporządzenie w sprawie trybu i warunków postępowania firm inwestycyjnych, banków, o których mowa w art. 70 ust.</w:t>
            </w:r>
            <w:r w:rsidR="005D6B24">
              <w:rPr>
                <w:rFonts w:ascii="Times New Roman" w:hAnsi="Times New Roman"/>
                <w:spacing w:val="-2"/>
              </w:rPr>
              <w:t> </w:t>
            </w:r>
            <w:r w:rsidRPr="007D537A">
              <w:rPr>
                <w:rFonts w:ascii="Times New Roman" w:hAnsi="Times New Roman"/>
                <w:spacing w:val="-2"/>
              </w:rPr>
              <w:t>2 ustawy o obrocie instrumentami finansowymi, oraz banków powierniczych</w:t>
            </w:r>
          </w:p>
          <w:p w14:paraId="0D549928" w14:textId="77777777" w:rsidR="008765E1" w:rsidRPr="002D47EC" w:rsidRDefault="008765E1" w:rsidP="008A7660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Ministerstwo wiodące i ministerstwa współpracujące</w:t>
            </w:r>
          </w:p>
          <w:bookmarkEnd w:id="0"/>
          <w:p w14:paraId="54C3EE7F" w14:textId="7BA16323" w:rsidR="00164E6E" w:rsidRDefault="00164E6E" w:rsidP="008A7660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Ministerstwo Finansów</w:t>
            </w:r>
          </w:p>
          <w:p w14:paraId="4D510A9E" w14:textId="77777777" w:rsidR="008765E1" w:rsidRPr="002D47EC" w:rsidRDefault="008765E1" w:rsidP="008A7660">
            <w:pPr>
              <w:spacing w:before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2D47EC">
              <w:rPr>
                <w:rFonts w:ascii="Times New Roman" w:hAnsi="Times New Roman"/>
                <w:b/>
                <w:spacing w:val="-2"/>
              </w:rPr>
              <w:t xml:space="preserve">Osoba odpowiedzialna za projekt w randze Ministra, Sekretarza Stanu lub Podsekretarza Stanu </w:t>
            </w:r>
          </w:p>
          <w:p w14:paraId="79653038" w14:textId="6FF87DFC" w:rsidR="00164E6E" w:rsidRDefault="00164E6E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Piotr Patkowski, Podsekretarz Stanu w Ministerstwie Finansów</w:t>
            </w:r>
          </w:p>
          <w:p w14:paraId="64D4CA5C" w14:textId="77777777" w:rsidR="008765E1" w:rsidRPr="002D47EC" w:rsidRDefault="008765E1" w:rsidP="008A7660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Kontakt do opiekuna merytorycznego projektu</w:t>
            </w:r>
          </w:p>
          <w:p w14:paraId="5D6719B9" w14:textId="4683776E" w:rsidR="0050142D" w:rsidRPr="005D6B24" w:rsidRDefault="0050142D" w:rsidP="005D6B24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D6B24">
              <w:rPr>
                <w:rFonts w:ascii="Times New Roman" w:hAnsi="Times New Roman"/>
                <w:color w:val="000000"/>
                <w:spacing w:val="-2"/>
              </w:rPr>
              <w:t xml:space="preserve">Arkadiusz Kowalski, radca ministra, Departament Rozwoju Rynku Finansowego, e-mail: </w:t>
            </w:r>
            <w:hyperlink r:id="rId8" w:history="1">
              <w:r w:rsidRPr="005D6B24">
                <w:rPr>
                  <w:rStyle w:val="Hipercze"/>
                  <w:rFonts w:ascii="Times New Roman" w:hAnsi="Times New Roman"/>
                  <w:spacing w:val="-2"/>
                </w:rPr>
                <w:t>Arkadiusz.Kowalski@mf.gov.pl</w:t>
              </w:r>
            </w:hyperlink>
            <w:r w:rsidR="005D6B24" w:rsidRPr="005D6B2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752BD40" w14:textId="77777777" w:rsidR="00A165B0" w:rsidRPr="002D47EC" w:rsidRDefault="008765E1" w:rsidP="008A7660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Data sporządzenia</w:t>
            </w:r>
          </w:p>
          <w:p w14:paraId="1C33216F" w14:textId="47B24279" w:rsidR="008765E1" w:rsidRPr="002D47EC" w:rsidRDefault="0038389F" w:rsidP="008A7660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  <w:szCs w:val="21"/>
              </w:rPr>
            </w:pPr>
            <w:r>
              <w:rPr>
                <w:rFonts w:ascii="Times New Roman" w:hAnsi="Times New Roman"/>
                <w:spacing w:val="-2"/>
                <w:szCs w:val="21"/>
              </w:rPr>
              <w:t>5 lipca</w:t>
            </w:r>
            <w:r w:rsidR="007D537A">
              <w:rPr>
                <w:rFonts w:ascii="Times New Roman" w:hAnsi="Times New Roman"/>
                <w:spacing w:val="-2"/>
                <w:szCs w:val="21"/>
              </w:rPr>
              <w:t xml:space="preserve"> </w:t>
            </w:r>
            <w:r w:rsidR="001E013A" w:rsidRPr="002D47EC">
              <w:rPr>
                <w:rFonts w:ascii="Times New Roman" w:hAnsi="Times New Roman"/>
                <w:spacing w:val="-2"/>
                <w:szCs w:val="21"/>
              </w:rPr>
              <w:t>20</w:t>
            </w:r>
            <w:r w:rsidR="00A165B0" w:rsidRPr="002D47EC">
              <w:rPr>
                <w:rFonts w:ascii="Times New Roman" w:hAnsi="Times New Roman"/>
                <w:spacing w:val="-2"/>
                <w:szCs w:val="21"/>
              </w:rPr>
              <w:t>21</w:t>
            </w:r>
            <w:r w:rsidR="001E013A" w:rsidRPr="002D47EC">
              <w:rPr>
                <w:rFonts w:ascii="Times New Roman" w:hAnsi="Times New Roman"/>
                <w:spacing w:val="-2"/>
                <w:szCs w:val="21"/>
              </w:rPr>
              <w:t xml:space="preserve"> r.</w:t>
            </w:r>
          </w:p>
          <w:p w14:paraId="7096695A" w14:textId="77777777" w:rsidR="008765E1" w:rsidRPr="005D6B24" w:rsidRDefault="008765E1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55548D37" w14:textId="77777777" w:rsidR="008765E1" w:rsidRPr="002D47EC" w:rsidRDefault="008765E1" w:rsidP="008A7660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2D47EC">
              <w:rPr>
                <w:rFonts w:ascii="Times New Roman" w:hAnsi="Times New Roman"/>
                <w:b/>
                <w:spacing w:val="-2"/>
              </w:rPr>
              <w:t xml:space="preserve">Źródło: </w:t>
            </w:r>
            <w:bookmarkStart w:id="1" w:name="Lista1"/>
          </w:p>
          <w:bookmarkEnd w:id="1"/>
          <w:p w14:paraId="27BA69FF" w14:textId="24CD6C12" w:rsidR="00A165B0" w:rsidRPr="002D47EC" w:rsidRDefault="00A165B0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D47EC">
              <w:rPr>
                <w:rFonts w:ascii="Times New Roman" w:hAnsi="Times New Roman"/>
                <w:spacing w:val="-2"/>
              </w:rPr>
              <w:t>Dyrektywa Parlamentu Europejskiego i Rady (UE) 2021/338 z dnia 16 lutego 2021 r. zmieniająca dyrektywę 2014/65/UE w zakresie wymogów informacyjnych, zarządzania produktami i limitów pozycji oraz dyrektywy 2013/36/UE i (UE) 2019/878 w zakresie ich zastosowania do firm inwestycyjnych w celu wsparcia odbudowy w następstwie kryzysu zwią</w:t>
            </w:r>
            <w:r w:rsidR="006C61FB">
              <w:rPr>
                <w:rFonts w:ascii="Times New Roman" w:hAnsi="Times New Roman"/>
                <w:spacing w:val="-2"/>
              </w:rPr>
              <w:t>zanego z COVID-19 (Dz.</w:t>
            </w:r>
            <w:r w:rsidR="00B96117">
              <w:rPr>
                <w:rFonts w:ascii="Times New Roman" w:hAnsi="Times New Roman"/>
                <w:spacing w:val="-2"/>
              </w:rPr>
              <w:t xml:space="preserve"> </w:t>
            </w:r>
            <w:r w:rsidR="006C61FB">
              <w:rPr>
                <w:rFonts w:ascii="Times New Roman" w:hAnsi="Times New Roman"/>
                <w:spacing w:val="-2"/>
              </w:rPr>
              <w:t>U</w:t>
            </w:r>
            <w:r w:rsidR="00546031">
              <w:rPr>
                <w:rFonts w:ascii="Times New Roman" w:hAnsi="Times New Roman"/>
                <w:spacing w:val="-2"/>
              </w:rPr>
              <w:t xml:space="preserve">rz. UE </w:t>
            </w:r>
            <w:r w:rsidR="006C61FB">
              <w:rPr>
                <w:rFonts w:ascii="Times New Roman" w:hAnsi="Times New Roman"/>
                <w:spacing w:val="-2"/>
              </w:rPr>
              <w:t>L 68 z </w:t>
            </w:r>
            <w:r w:rsidRPr="002D47EC">
              <w:rPr>
                <w:rFonts w:ascii="Times New Roman" w:hAnsi="Times New Roman"/>
                <w:spacing w:val="-2"/>
              </w:rPr>
              <w:t>26.</w:t>
            </w:r>
            <w:r w:rsidR="00CC77CC">
              <w:rPr>
                <w:rFonts w:ascii="Times New Roman" w:hAnsi="Times New Roman"/>
                <w:spacing w:val="-2"/>
              </w:rPr>
              <w:t>0</w:t>
            </w:r>
            <w:r w:rsidRPr="002D47EC">
              <w:rPr>
                <w:rFonts w:ascii="Times New Roman" w:hAnsi="Times New Roman"/>
                <w:spacing w:val="-2"/>
              </w:rPr>
              <w:t>2.2021, str. 14)</w:t>
            </w:r>
          </w:p>
          <w:p w14:paraId="35812E82" w14:textId="77777777" w:rsidR="008765E1" w:rsidRPr="002D47EC" w:rsidRDefault="008765E1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37E20705" w14:textId="4BC3026D" w:rsidR="008765E1" w:rsidRPr="002D47EC" w:rsidRDefault="008765E1" w:rsidP="008A766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Nr w wykazie prac</w:t>
            </w:r>
          </w:p>
          <w:p w14:paraId="6C4F7420" w14:textId="567D61D7" w:rsidR="003E57C9" w:rsidRPr="002D47EC" w:rsidRDefault="005D6B24" w:rsidP="005D6B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391</w:t>
            </w:r>
          </w:p>
        </w:tc>
      </w:tr>
      <w:tr w:rsidR="00CE54B6" w:rsidRPr="002D47EC" w14:paraId="1905DC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F08A099" w14:textId="77777777" w:rsidR="00CE54B6" w:rsidRPr="002D47EC" w:rsidRDefault="00CE54B6" w:rsidP="008A7660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pacing w:val="-2"/>
                <w:szCs w:val="32"/>
              </w:rPr>
            </w:pPr>
            <w:r w:rsidRPr="002D47EC">
              <w:rPr>
                <w:rFonts w:ascii="Times New Roman" w:hAnsi="Times New Roman"/>
                <w:b/>
                <w:color w:val="FFFFFF"/>
                <w:spacing w:val="-2"/>
                <w:szCs w:val="32"/>
              </w:rPr>
              <w:t>OCENA SKUTKÓW REGULACJI</w:t>
            </w:r>
          </w:p>
        </w:tc>
      </w:tr>
      <w:tr w:rsidR="00CE54B6" w:rsidRPr="002D47EC" w14:paraId="27040287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EB1EA9" w14:textId="77777777" w:rsidR="00CE54B6" w:rsidRPr="002D47EC" w:rsidRDefault="00CE54B6" w:rsidP="008A76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spacing w:val="-2"/>
              </w:rPr>
              <w:t>Jaki problem jest rozwiązywany?</w:t>
            </w:r>
            <w:bookmarkStart w:id="2" w:name="Wybór1"/>
            <w:bookmarkEnd w:id="2"/>
          </w:p>
        </w:tc>
      </w:tr>
      <w:tr w:rsidR="00CE54B6" w:rsidRPr="002D47EC" w14:paraId="29D9F3A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FE1B34F" w14:textId="31FFD220" w:rsidR="00274623" w:rsidRDefault="008765E1" w:rsidP="008A7660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D47EC">
              <w:rPr>
                <w:rFonts w:ascii="Times New Roman" w:hAnsi="Times New Roman"/>
                <w:spacing w:val="-2"/>
              </w:rPr>
              <w:t xml:space="preserve">Projekt </w:t>
            </w:r>
            <w:r w:rsidR="007D537A">
              <w:rPr>
                <w:rFonts w:ascii="Times New Roman" w:hAnsi="Times New Roman"/>
                <w:spacing w:val="-2"/>
              </w:rPr>
              <w:t xml:space="preserve">rozporządzenia </w:t>
            </w:r>
            <w:r w:rsidR="0050142D">
              <w:rPr>
                <w:rFonts w:ascii="Times New Roman" w:hAnsi="Times New Roman"/>
                <w:spacing w:val="-2"/>
              </w:rPr>
              <w:t xml:space="preserve">wdraża </w:t>
            </w:r>
            <w:r w:rsidR="00E540DE" w:rsidRPr="002D47EC">
              <w:rPr>
                <w:rFonts w:ascii="Times New Roman" w:hAnsi="Times New Roman"/>
                <w:spacing w:val="-2"/>
              </w:rPr>
              <w:t>dyrektyw</w:t>
            </w:r>
            <w:r w:rsidR="0050142D">
              <w:rPr>
                <w:rFonts w:ascii="Times New Roman" w:hAnsi="Times New Roman"/>
                <w:spacing w:val="-2"/>
              </w:rPr>
              <w:t>ę</w:t>
            </w:r>
            <w:r w:rsidR="00E540DE" w:rsidRPr="002D47EC">
              <w:rPr>
                <w:rFonts w:ascii="Times New Roman" w:hAnsi="Times New Roman"/>
                <w:spacing w:val="-2"/>
              </w:rPr>
              <w:t xml:space="preserve"> Parlamentu Europejskiego i Rady (UE) 2021/338 z dnia 16 lutego 2021 r. zmieniając</w:t>
            </w:r>
            <w:r w:rsidR="007D537A">
              <w:rPr>
                <w:rFonts w:ascii="Times New Roman" w:hAnsi="Times New Roman"/>
                <w:spacing w:val="-2"/>
              </w:rPr>
              <w:t xml:space="preserve">ą </w:t>
            </w:r>
            <w:r w:rsidR="00E540DE" w:rsidRPr="002D47EC">
              <w:rPr>
                <w:rFonts w:ascii="Times New Roman" w:hAnsi="Times New Roman"/>
                <w:spacing w:val="-2"/>
              </w:rPr>
              <w:t>dyrektywę 2014/65/UE w zakresie wymogów informacyjnych, zarządzania produktami i limitów pozycji oraz dyrektywy 2013/36/UE i (UE) 2019/878 w zakresie ich zastosowania do firm inwestycyj</w:t>
            </w:r>
            <w:r w:rsidR="005D6B24">
              <w:rPr>
                <w:rFonts w:ascii="Times New Roman" w:hAnsi="Times New Roman"/>
                <w:spacing w:val="-2"/>
              </w:rPr>
              <w:t>nych w celu wsparcia odbudowy w </w:t>
            </w:r>
            <w:r w:rsidR="00E540DE" w:rsidRPr="002D47EC">
              <w:rPr>
                <w:rFonts w:ascii="Times New Roman" w:hAnsi="Times New Roman"/>
                <w:spacing w:val="-2"/>
              </w:rPr>
              <w:t>następstwi</w:t>
            </w:r>
            <w:r w:rsidR="00164E6E">
              <w:rPr>
                <w:rFonts w:ascii="Times New Roman" w:hAnsi="Times New Roman"/>
                <w:spacing w:val="-2"/>
              </w:rPr>
              <w:t>e kryzysu związanego z COVID-19</w:t>
            </w:r>
            <w:r w:rsidR="00274623">
              <w:rPr>
                <w:rFonts w:ascii="Times New Roman" w:hAnsi="Times New Roman"/>
                <w:spacing w:val="-2"/>
              </w:rPr>
              <w:t>, w zakresie przepisów:</w:t>
            </w:r>
          </w:p>
          <w:p w14:paraId="7E53EE5E" w14:textId="77777777" w:rsidR="005D6B24" w:rsidRDefault="00274623" w:rsidP="005D6B24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568" w:hanging="284"/>
              <w:jc w:val="both"/>
              <w:rPr>
                <w:rFonts w:ascii="Times New Roman" w:hAnsi="Times New Roman"/>
                <w:spacing w:val="-2"/>
              </w:rPr>
            </w:pPr>
            <w:r w:rsidRPr="005D6B24">
              <w:rPr>
                <w:rFonts w:ascii="Times New Roman" w:hAnsi="Times New Roman"/>
                <w:spacing w:val="-2"/>
              </w:rPr>
              <w:t>umożliwiających przekazanie klientowi lub potencjalnemu klientowi niektórych informacji po wykonaniu usługi świadczonej przy użyciu środków p</w:t>
            </w:r>
            <w:r w:rsidR="005D6B24" w:rsidRPr="005D6B24">
              <w:rPr>
                <w:rFonts w:ascii="Times New Roman" w:hAnsi="Times New Roman"/>
                <w:spacing w:val="-2"/>
              </w:rPr>
              <w:t>orozumiewania się na odległość,</w:t>
            </w:r>
          </w:p>
          <w:p w14:paraId="13429E8F" w14:textId="74EC884D" w:rsidR="00274623" w:rsidRPr="005D6B24" w:rsidRDefault="00274623" w:rsidP="005D6B24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568" w:hanging="284"/>
              <w:jc w:val="both"/>
              <w:rPr>
                <w:rFonts w:ascii="Times New Roman" w:hAnsi="Times New Roman"/>
                <w:spacing w:val="-2"/>
              </w:rPr>
            </w:pPr>
            <w:r w:rsidRPr="005D6B24">
              <w:rPr>
                <w:rFonts w:ascii="Times New Roman" w:hAnsi="Times New Roman"/>
                <w:spacing w:val="-2"/>
              </w:rPr>
              <w:t>wyłączających z systemu obejmującego świadczenia niepieniężne usługi badawcze dotyczące emitentów o średniej rynkowej kapitalizacji nieprzewyższającej określonego progu.</w:t>
            </w:r>
          </w:p>
          <w:p w14:paraId="7DC98B78" w14:textId="31055AF2" w:rsidR="00E540DE" w:rsidRDefault="00274623" w:rsidP="00274623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74623">
              <w:rPr>
                <w:rFonts w:ascii="Times New Roman" w:hAnsi="Times New Roman"/>
              </w:rPr>
              <w:t>W pozostałym zakresie przepisy dyrektywy podlegają wdrożeniu na poziomie ustaw</w:t>
            </w:r>
            <w:r w:rsidR="005D6B24">
              <w:rPr>
                <w:rFonts w:ascii="Times New Roman" w:hAnsi="Times New Roman"/>
              </w:rPr>
              <w:t>owym.</w:t>
            </w:r>
          </w:p>
          <w:p w14:paraId="5038B08D" w14:textId="57367464" w:rsidR="00E540DE" w:rsidRPr="002D47EC" w:rsidRDefault="00776BD0" w:rsidP="009335E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Celem przepisów jest </w:t>
            </w:r>
            <w:r w:rsidRPr="007D537A">
              <w:rPr>
                <w:rFonts w:ascii="Times New Roman" w:hAnsi="Times New Roman"/>
                <w:spacing w:val="-2"/>
              </w:rPr>
              <w:t xml:space="preserve">wyeliminowanie </w:t>
            </w:r>
            <w:r>
              <w:rPr>
                <w:rFonts w:ascii="Times New Roman" w:hAnsi="Times New Roman"/>
                <w:spacing w:val="-2"/>
              </w:rPr>
              <w:t xml:space="preserve">nadmiernych ograniczeń dotyczących działalności firm inwestycyjnych przez </w:t>
            </w:r>
            <w:r w:rsidRPr="007D537A">
              <w:rPr>
                <w:rFonts w:ascii="Times New Roman" w:hAnsi="Times New Roman"/>
                <w:spacing w:val="-2"/>
              </w:rPr>
              <w:t xml:space="preserve">zmniejszenie złożoności regulacyjnej i kosztów </w:t>
            </w:r>
            <w:r>
              <w:rPr>
                <w:rFonts w:ascii="Times New Roman" w:hAnsi="Times New Roman"/>
                <w:spacing w:val="-2"/>
              </w:rPr>
              <w:t xml:space="preserve">ponoszonych </w:t>
            </w:r>
            <w:r w:rsidRPr="007D537A">
              <w:rPr>
                <w:rFonts w:ascii="Times New Roman" w:hAnsi="Times New Roman"/>
                <w:spacing w:val="-2"/>
              </w:rPr>
              <w:t xml:space="preserve">przez </w:t>
            </w:r>
            <w:r w:rsidR="005D6B24">
              <w:rPr>
                <w:rFonts w:ascii="Times New Roman" w:hAnsi="Times New Roman"/>
                <w:spacing w:val="-2"/>
              </w:rPr>
              <w:t>te podmioty.</w:t>
            </w:r>
          </w:p>
        </w:tc>
      </w:tr>
      <w:tr w:rsidR="00CE54B6" w:rsidRPr="002D47EC" w14:paraId="4F0A7D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66279D" w14:textId="77777777" w:rsidR="00CE54B6" w:rsidRPr="002D47EC" w:rsidRDefault="00CE54B6" w:rsidP="008A76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CE54B6" w:rsidRPr="002D47EC" w14:paraId="38B854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608B5A3B" w14:textId="5F1C0E19" w:rsidR="003E57C9" w:rsidRDefault="00DE4B72" w:rsidP="0062516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bookmarkStart w:id="3" w:name="_GoBack"/>
            <w:r w:rsidRPr="002D47EC">
              <w:rPr>
                <w:rFonts w:ascii="Times New Roman" w:hAnsi="Times New Roman"/>
                <w:spacing w:val="-2"/>
              </w:rPr>
              <w:t>Projektowane rozwiązania polegają na:</w:t>
            </w:r>
          </w:p>
          <w:p w14:paraId="5D116632" w14:textId="5A95A04D" w:rsidR="007D537A" w:rsidRDefault="009335EA" w:rsidP="0062516A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568" w:hanging="284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="00776BD0">
              <w:rPr>
                <w:rFonts w:ascii="Times New Roman" w:hAnsi="Times New Roman"/>
                <w:spacing w:val="-2"/>
              </w:rPr>
              <w:t xml:space="preserve">możliwieniu </w:t>
            </w:r>
            <w:r w:rsidR="007D537A" w:rsidRPr="00274623">
              <w:rPr>
                <w:rFonts w:ascii="Times New Roman" w:hAnsi="Times New Roman"/>
                <w:spacing w:val="-2"/>
              </w:rPr>
              <w:t>firm</w:t>
            </w:r>
            <w:r>
              <w:rPr>
                <w:rFonts w:ascii="Times New Roman" w:hAnsi="Times New Roman"/>
                <w:spacing w:val="-2"/>
              </w:rPr>
              <w:t xml:space="preserve">om </w:t>
            </w:r>
            <w:r w:rsidR="007D537A" w:rsidRPr="00274623">
              <w:rPr>
                <w:rFonts w:ascii="Times New Roman" w:hAnsi="Times New Roman"/>
                <w:spacing w:val="-2"/>
              </w:rPr>
              <w:t>inwestycyjn</w:t>
            </w:r>
            <w:r>
              <w:rPr>
                <w:rFonts w:ascii="Times New Roman" w:hAnsi="Times New Roman"/>
                <w:spacing w:val="-2"/>
              </w:rPr>
              <w:t>ym</w:t>
            </w:r>
            <w:r w:rsidR="007D537A" w:rsidRPr="00274623">
              <w:rPr>
                <w:rFonts w:ascii="Times New Roman" w:hAnsi="Times New Roman"/>
                <w:spacing w:val="-2"/>
              </w:rPr>
              <w:t xml:space="preserve"> przekaz</w:t>
            </w:r>
            <w:r>
              <w:rPr>
                <w:rFonts w:ascii="Times New Roman" w:hAnsi="Times New Roman"/>
                <w:spacing w:val="-2"/>
              </w:rPr>
              <w:t xml:space="preserve">ywania </w:t>
            </w:r>
            <w:r w:rsidR="007D537A" w:rsidRPr="00274623">
              <w:rPr>
                <w:rFonts w:ascii="Times New Roman" w:hAnsi="Times New Roman"/>
                <w:spacing w:val="-2"/>
              </w:rPr>
              <w:t>klientowi lub potencjalnemu klientowi wymagan</w:t>
            </w:r>
            <w:r>
              <w:rPr>
                <w:rFonts w:ascii="Times New Roman" w:hAnsi="Times New Roman"/>
                <w:spacing w:val="-2"/>
              </w:rPr>
              <w:t xml:space="preserve">ych </w:t>
            </w:r>
            <w:r w:rsidR="007D537A" w:rsidRPr="00274623">
              <w:rPr>
                <w:rFonts w:ascii="Times New Roman" w:hAnsi="Times New Roman"/>
                <w:spacing w:val="-2"/>
              </w:rPr>
              <w:t>prawem informacj</w:t>
            </w:r>
            <w:r>
              <w:rPr>
                <w:rFonts w:ascii="Times New Roman" w:hAnsi="Times New Roman"/>
                <w:spacing w:val="-2"/>
              </w:rPr>
              <w:t>i</w:t>
            </w:r>
            <w:r w:rsidR="007D537A" w:rsidRPr="00274623">
              <w:rPr>
                <w:rFonts w:ascii="Times New Roman" w:hAnsi="Times New Roman"/>
                <w:spacing w:val="-2"/>
              </w:rPr>
              <w:t xml:space="preserve"> nie przed, ale po wykonaniu usługi – w przypadku usług przyjmowania i p</w:t>
            </w:r>
            <w:r w:rsidR="0062516A">
              <w:rPr>
                <w:rFonts w:ascii="Times New Roman" w:hAnsi="Times New Roman"/>
                <w:spacing w:val="-2"/>
              </w:rPr>
              <w:t>rzekazywania zleceń nabycia lub </w:t>
            </w:r>
            <w:r w:rsidR="007D537A" w:rsidRPr="00274623">
              <w:rPr>
                <w:rFonts w:ascii="Times New Roman" w:hAnsi="Times New Roman"/>
                <w:spacing w:val="-2"/>
              </w:rPr>
              <w:t>zbycia instrumentów finansowych oraz usług wykonywania tych zleceń na rachunek dającego zlecenie, o ile są one świadczone przy użyciu środków porozumiewania się na odległość, które uniemożliwiają przekazanie wymaganych informacji przed rozpoczęciem ich świadczenia</w:t>
            </w:r>
            <w:r w:rsidR="0036113C">
              <w:rPr>
                <w:rFonts w:ascii="Times New Roman" w:hAnsi="Times New Roman"/>
                <w:spacing w:val="-2"/>
              </w:rPr>
              <w:t>,</w:t>
            </w:r>
          </w:p>
          <w:p w14:paraId="7ABA4E91" w14:textId="6F76331B" w:rsidR="007D537A" w:rsidRPr="00274623" w:rsidRDefault="007D537A" w:rsidP="0062516A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ind w:left="568" w:hanging="284"/>
              <w:jc w:val="both"/>
              <w:rPr>
                <w:rFonts w:ascii="Times New Roman" w:hAnsi="Times New Roman"/>
                <w:spacing w:val="-2"/>
              </w:rPr>
            </w:pPr>
            <w:r w:rsidRPr="00274623">
              <w:rPr>
                <w:rFonts w:ascii="Times New Roman" w:hAnsi="Times New Roman"/>
                <w:spacing w:val="-2"/>
              </w:rPr>
              <w:t xml:space="preserve"> wyłączeniu określonych usług badawczych z zakresu regulacji dotyczących świadczeń niepieniężnych w ramach obowiązujących zasad przyjmowania lub przekazywania świadczeń pieniężnych</w:t>
            </w:r>
            <w:r w:rsidR="003E57C9" w:rsidRPr="00274623">
              <w:rPr>
                <w:rFonts w:ascii="Times New Roman" w:hAnsi="Times New Roman"/>
                <w:spacing w:val="-2"/>
              </w:rPr>
              <w:t xml:space="preserve"> lub niepieniężnych w związku z </w:t>
            </w:r>
            <w:r w:rsidRPr="00274623">
              <w:rPr>
                <w:rFonts w:ascii="Times New Roman" w:hAnsi="Times New Roman"/>
                <w:spacing w:val="-2"/>
              </w:rPr>
              <w:t>prowadzeniem działalności maklerskiej.</w:t>
            </w:r>
          </w:p>
          <w:bookmarkEnd w:id="3"/>
          <w:p w14:paraId="586513E0" w14:textId="010D5AD1" w:rsidR="003E57C9" w:rsidRPr="002D47EC" w:rsidRDefault="009335EA" w:rsidP="009335E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2516A">
              <w:rPr>
                <w:rFonts w:ascii="Times New Roman" w:hAnsi="Times New Roman"/>
              </w:rPr>
              <w:t xml:space="preserve">Powyższe zmiany </w:t>
            </w:r>
            <w:r w:rsidR="003E57C9" w:rsidRPr="0062516A">
              <w:rPr>
                <w:rFonts w:ascii="Times New Roman" w:hAnsi="Times New Roman"/>
              </w:rPr>
              <w:t>ułatwi</w:t>
            </w:r>
            <w:r w:rsidRPr="0062516A">
              <w:rPr>
                <w:rFonts w:ascii="Times New Roman" w:hAnsi="Times New Roman"/>
              </w:rPr>
              <w:t>ą</w:t>
            </w:r>
            <w:r w:rsidR="003E57C9" w:rsidRPr="0062516A">
              <w:rPr>
                <w:rFonts w:ascii="Times New Roman" w:hAnsi="Times New Roman"/>
              </w:rPr>
              <w:t xml:space="preserve"> wykonywani</w:t>
            </w:r>
            <w:r w:rsidRPr="0062516A">
              <w:rPr>
                <w:rFonts w:ascii="Times New Roman" w:hAnsi="Times New Roman"/>
              </w:rPr>
              <w:t>e</w:t>
            </w:r>
            <w:r w:rsidR="003E57C9" w:rsidRPr="0062516A">
              <w:rPr>
                <w:rFonts w:ascii="Times New Roman" w:hAnsi="Times New Roman"/>
              </w:rPr>
              <w:t xml:space="preserve"> usług przyjmowania i przekazywania zleceń oraz wykonywani</w:t>
            </w:r>
            <w:r w:rsidRPr="0062516A">
              <w:rPr>
                <w:rFonts w:ascii="Times New Roman" w:hAnsi="Times New Roman"/>
              </w:rPr>
              <w:t>e</w:t>
            </w:r>
            <w:r w:rsidR="003E57C9" w:rsidRPr="0062516A">
              <w:rPr>
                <w:rFonts w:ascii="Times New Roman" w:hAnsi="Times New Roman"/>
              </w:rPr>
              <w:t xml:space="preserve"> tych zleceń przy użyciu środków porozumiewania się na odległość oraz zwiększ</w:t>
            </w:r>
            <w:r w:rsidRPr="0062516A">
              <w:rPr>
                <w:rFonts w:ascii="Times New Roman" w:hAnsi="Times New Roman"/>
              </w:rPr>
              <w:t xml:space="preserve">ą </w:t>
            </w:r>
            <w:r w:rsidR="003E57C9" w:rsidRPr="0062516A">
              <w:rPr>
                <w:rFonts w:ascii="Times New Roman" w:hAnsi="Times New Roman"/>
              </w:rPr>
              <w:t>liczb</w:t>
            </w:r>
            <w:r w:rsidRPr="0062516A">
              <w:rPr>
                <w:rFonts w:ascii="Times New Roman" w:hAnsi="Times New Roman"/>
              </w:rPr>
              <w:t>ę</w:t>
            </w:r>
            <w:r w:rsidR="003E57C9" w:rsidRPr="0062516A">
              <w:rPr>
                <w:rFonts w:ascii="Times New Roman" w:hAnsi="Times New Roman"/>
              </w:rPr>
              <w:t xml:space="preserve"> niektórych usług badawczych.</w:t>
            </w:r>
          </w:p>
        </w:tc>
      </w:tr>
      <w:tr w:rsidR="00CE54B6" w:rsidRPr="002D47EC" w14:paraId="6CFC49F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875609" w14:textId="77777777" w:rsidR="00CE54B6" w:rsidRPr="002D47EC" w:rsidRDefault="00CE54B6" w:rsidP="008A76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?</w:t>
            </w:r>
            <w:r w:rsidRPr="002D47EC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</w:p>
        </w:tc>
      </w:tr>
      <w:tr w:rsidR="00CE54B6" w:rsidRPr="002D47EC" w14:paraId="7FF1C7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5BDB1CEE" w14:textId="4B67A8AC" w:rsidR="008564D3" w:rsidRPr="002D47EC" w:rsidRDefault="008564D3" w:rsidP="00164E6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Pr="002D47EC">
              <w:rPr>
                <w:rFonts w:ascii="Times New Roman" w:hAnsi="Times New Roman"/>
                <w:spacing w:val="-2"/>
              </w:rPr>
              <w:t>rojektowan</w:t>
            </w:r>
            <w:r>
              <w:rPr>
                <w:rFonts w:ascii="Times New Roman" w:hAnsi="Times New Roman"/>
                <w:spacing w:val="-2"/>
              </w:rPr>
              <w:t xml:space="preserve">e rozporządzenie </w:t>
            </w:r>
            <w:r w:rsidRPr="002D47EC">
              <w:rPr>
                <w:rFonts w:ascii="Times New Roman" w:hAnsi="Times New Roman"/>
                <w:spacing w:val="-2"/>
              </w:rPr>
              <w:t>wykon</w:t>
            </w:r>
            <w:r>
              <w:rPr>
                <w:rFonts w:ascii="Times New Roman" w:hAnsi="Times New Roman"/>
                <w:spacing w:val="-2"/>
              </w:rPr>
              <w:t xml:space="preserve">uje </w:t>
            </w:r>
            <w:r w:rsidRPr="002D47EC">
              <w:rPr>
                <w:rFonts w:ascii="Times New Roman" w:hAnsi="Times New Roman"/>
                <w:spacing w:val="-2"/>
              </w:rPr>
              <w:t>praw</w:t>
            </w:r>
            <w:r>
              <w:rPr>
                <w:rFonts w:ascii="Times New Roman" w:hAnsi="Times New Roman"/>
                <w:spacing w:val="-2"/>
              </w:rPr>
              <w:t>o</w:t>
            </w:r>
            <w:r w:rsidRPr="002D47EC">
              <w:rPr>
                <w:rFonts w:ascii="Times New Roman" w:hAnsi="Times New Roman"/>
                <w:spacing w:val="-2"/>
              </w:rPr>
              <w:t xml:space="preserve"> Unii Europejskiej</w:t>
            </w:r>
            <w:r w:rsidR="0001431C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 xml:space="preserve">w związku z czym należy przyjąć, że w </w:t>
            </w:r>
            <w:r w:rsidRPr="002D47EC">
              <w:rPr>
                <w:rFonts w:ascii="Times New Roman" w:hAnsi="Times New Roman"/>
                <w:spacing w:val="-2"/>
              </w:rPr>
              <w:t xml:space="preserve">innych państwach członkowskich zostaną przyjęte </w:t>
            </w:r>
            <w:r>
              <w:rPr>
                <w:rFonts w:ascii="Times New Roman" w:hAnsi="Times New Roman"/>
                <w:spacing w:val="-2"/>
              </w:rPr>
              <w:t xml:space="preserve">analogiczne </w:t>
            </w:r>
            <w:r w:rsidRPr="002D47EC">
              <w:rPr>
                <w:rFonts w:ascii="Times New Roman" w:hAnsi="Times New Roman"/>
                <w:spacing w:val="-2"/>
              </w:rPr>
              <w:t>przepisy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E54B6" w:rsidRPr="002D47EC" w14:paraId="02A4CED8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77C3F0" w14:textId="77777777" w:rsidR="00CE54B6" w:rsidRPr="002D47EC" w:rsidRDefault="00CE54B6" w:rsidP="008A7660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Podmioty, na które oddziałuje projekt</w:t>
            </w:r>
          </w:p>
        </w:tc>
      </w:tr>
      <w:tr w:rsidR="00CE54B6" w:rsidRPr="002D47EC" w14:paraId="6D276B9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079FE34D" w14:textId="77777777" w:rsidR="00CE54B6" w:rsidRPr="002D47EC" w:rsidRDefault="00CE54B6" w:rsidP="008A7660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14:paraId="1BDFC89C" w14:textId="77777777" w:rsidR="00CE54B6" w:rsidRPr="002D47EC" w:rsidRDefault="00CE54B6" w:rsidP="008A7660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14:paraId="731FC5A7" w14:textId="77777777" w:rsidR="00CE54B6" w:rsidRPr="002D47EC" w:rsidRDefault="00CE54B6" w:rsidP="008A7660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D47E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24EE8314" w14:textId="77777777" w:rsidR="00CE54B6" w:rsidRPr="002D47EC" w:rsidRDefault="00CE54B6" w:rsidP="008A7660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E54B6" w:rsidRPr="002D47EC" w14:paraId="7D3343C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1C58153E" w14:textId="1E6BCE72" w:rsidR="0001431C" w:rsidRPr="002D47EC" w:rsidRDefault="00164E6E" w:rsidP="000143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Firmy inwestycyjne</w:t>
            </w:r>
          </w:p>
        </w:tc>
        <w:tc>
          <w:tcPr>
            <w:tcW w:w="2292" w:type="dxa"/>
            <w:gridSpan w:val="8"/>
          </w:tcPr>
          <w:p w14:paraId="7A33AFC8" w14:textId="77777777" w:rsidR="00CE54B6" w:rsidRPr="002D47EC" w:rsidRDefault="00982125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56 </w:t>
            </w:r>
            <w:r w:rsidR="00CE54B6" w:rsidRPr="002D47EC">
              <w:rPr>
                <w:rFonts w:ascii="Times New Roman" w:hAnsi="Times New Roman"/>
                <w:color w:val="000000"/>
                <w:spacing w:val="-2"/>
              </w:rPr>
              <w:t>podmiotów</w:t>
            </w:r>
          </w:p>
        </w:tc>
        <w:tc>
          <w:tcPr>
            <w:tcW w:w="2996" w:type="dxa"/>
            <w:gridSpan w:val="12"/>
          </w:tcPr>
          <w:p w14:paraId="2BEB77B4" w14:textId="47FC3E9B" w:rsidR="00CE54B6" w:rsidRPr="002D47EC" w:rsidRDefault="00CE54B6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Rejestr firm inwestycyjnych prowadzony przez KNF</w:t>
            </w:r>
            <w:r w:rsidR="003E57C9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274623">
              <w:rPr>
                <w:rFonts w:ascii="Times New Roman" w:hAnsi="Times New Roman"/>
                <w:color w:val="000000"/>
                <w:spacing w:val="-2"/>
              </w:rPr>
              <w:t>edłu</w:t>
            </w:r>
            <w:r w:rsidR="008564D3">
              <w:rPr>
                <w:rFonts w:ascii="Times New Roman" w:hAnsi="Times New Roman"/>
                <w:color w:val="000000"/>
                <w:spacing w:val="-2"/>
              </w:rPr>
              <w:t xml:space="preserve">g </w:t>
            </w:r>
            <w:r w:rsidR="003B4F1D" w:rsidRPr="002D47EC">
              <w:rPr>
                <w:rFonts w:ascii="Times New Roman" w:hAnsi="Times New Roman"/>
                <w:color w:val="000000"/>
                <w:spacing w:val="-2"/>
              </w:rPr>
              <w:t xml:space="preserve">stanu na </w:t>
            </w:r>
            <w:r w:rsidR="00982125" w:rsidRPr="002D47EC">
              <w:rPr>
                <w:rFonts w:ascii="Times New Roman" w:hAnsi="Times New Roman"/>
                <w:color w:val="000000"/>
                <w:spacing w:val="-2"/>
              </w:rPr>
              <w:t>30.04.2021</w:t>
            </w:r>
            <w:r w:rsidR="003B4F1D" w:rsidRPr="002D47EC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2981" w:type="dxa"/>
            <w:gridSpan w:val="6"/>
          </w:tcPr>
          <w:p w14:paraId="035C0B89" w14:textId="32FA955A" w:rsidR="00CE54B6" w:rsidRPr="002D47EC" w:rsidRDefault="003E57C9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Uproszczenie komunikacji z 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 xml:space="preserve">klientami 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ułatwienie dostępu do usług badawczych dotyczących niektórych emitentów </w:t>
            </w:r>
          </w:p>
        </w:tc>
      </w:tr>
      <w:tr w:rsidR="009E55E7" w:rsidRPr="002D47EC" w14:paraId="6868A6A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32BB6423" w14:textId="77777777" w:rsidR="009E55E7" w:rsidRPr="002D47EC" w:rsidRDefault="009E55E7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lastRenderedPageBreak/>
              <w:t>Klienci firm inwestycyjnych</w:t>
            </w:r>
          </w:p>
        </w:tc>
        <w:tc>
          <w:tcPr>
            <w:tcW w:w="2292" w:type="dxa"/>
            <w:gridSpan w:val="8"/>
          </w:tcPr>
          <w:p w14:paraId="59FD5387" w14:textId="77777777" w:rsidR="009E55E7" w:rsidRPr="002D47EC" w:rsidRDefault="009E55E7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Nieznana liczba podmiotów</w:t>
            </w:r>
          </w:p>
        </w:tc>
        <w:tc>
          <w:tcPr>
            <w:tcW w:w="2996" w:type="dxa"/>
            <w:gridSpan w:val="12"/>
          </w:tcPr>
          <w:p w14:paraId="667A4073" w14:textId="77777777" w:rsidR="009E55E7" w:rsidRPr="002D47EC" w:rsidRDefault="009E55E7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2981" w:type="dxa"/>
            <w:gridSpan w:val="6"/>
          </w:tcPr>
          <w:p w14:paraId="7B0776E2" w14:textId="52407DC1" w:rsidR="009E55E7" w:rsidRPr="002D47EC" w:rsidRDefault="003E57C9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Uproszczenie komunikacji z 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>firmami inwestycyjnymi</w:t>
            </w:r>
          </w:p>
        </w:tc>
      </w:tr>
      <w:tr w:rsidR="003E57C9" w:rsidRPr="002D47EC" w14:paraId="0D6FB7F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11CE1389" w14:textId="77777777" w:rsidR="003E57C9" w:rsidRPr="002D47EC" w:rsidRDefault="003E57C9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Podmioty świadczące usługi badawcze </w:t>
            </w:r>
          </w:p>
        </w:tc>
        <w:tc>
          <w:tcPr>
            <w:tcW w:w="2292" w:type="dxa"/>
            <w:gridSpan w:val="8"/>
          </w:tcPr>
          <w:p w14:paraId="29D03175" w14:textId="77777777" w:rsidR="003E57C9" w:rsidRPr="002D47EC" w:rsidRDefault="003E57C9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Nieznana liczba podmiotów</w:t>
            </w:r>
          </w:p>
        </w:tc>
        <w:tc>
          <w:tcPr>
            <w:tcW w:w="2996" w:type="dxa"/>
            <w:gridSpan w:val="12"/>
          </w:tcPr>
          <w:p w14:paraId="3306224E" w14:textId="77777777" w:rsidR="003E57C9" w:rsidRPr="002D47EC" w:rsidRDefault="003E57C9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  <w:tc>
          <w:tcPr>
            <w:tcW w:w="2981" w:type="dxa"/>
            <w:gridSpan w:val="6"/>
          </w:tcPr>
          <w:p w14:paraId="0D5EEB26" w14:textId="0F2529B6" w:rsidR="003E57C9" w:rsidRPr="002D47EC" w:rsidRDefault="003E57C9" w:rsidP="008564D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Ułatwienie zawierania umów w zakresie usług badawczych dotyczących niektórych emitentów</w:t>
            </w:r>
          </w:p>
        </w:tc>
      </w:tr>
      <w:tr w:rsidR="009E55E7" w:rsidRPr="002D47EC" w14:paraId="1B1AFB5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1F2650A" w14:textId="77777777" w:rsidR="009E55E7" w:rsidRPr="002D47EC" w:rsidRDefault="009E55E7" w:rsidP="008A76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Informacje na temat zakresu, czasu trwania i podsumowanie wyników konsultacji</w:t>
            </w:r>
          </w:p>
        </w:tc>
      </w:tr>
      <w:tr w:rsidR="009E55E7" w:rsidRPr="002D47EC" w14:paraId="75E921D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C85D213" w14:textId="4D008137" w:rsidR="0036113C" w:rsidRDefault="009E55E7" w:rsidP="008A7660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D47EC">
              <w:rPr>
                <w:rFonts w:ascii="Times New Roman" w:hAnsi="Times New Roman"/>
                <w:spacing w:val="-2"/>
              </w:rPr>
              <w:t xml:space="preserve">Konsultacje poprzedzające przygotowanie projektu nie były prowadzone ze względu na charakter projektu, który dokonuje wdrożenia </w:t>
            </w:r>
            <w:r w:rsidR="0001431C" w:rsidRPr="002D47EC">
              <w:rPr>
                <w:rFonts w:ascii="Times New Roman" w:hAnsi="Times New Roman"/>
                <w:spacing w:val="-2"/>
              </w:rPr>
              <w:t xml:space="preserve">regulacji europejskich </w:t>
            </w:r>
            <w:r w:rsidRPr="002D47EC">
              <w:rPr>
                <w:rFonts w:ascii="Times New Roman" w:hAnsi="Times New Roman"/>
                <w:spacing w:val="-2"/>
              </w:rPr>
              <w:t>do krajowego porządku prawnego</w:t>
            </w:r>
            <w:r w:rsidR="00164E6E">
              <w:rPr>
                <w:rFonts w:ascii="Times New Roman" w:hAnsi="Times New Roman"/>
                <w:spacing w:val="-2"/>
              </w:rPr>
              <w:t>.</w:t>
            </w:r>
          </w:p>
          <w:p w14:paraId="3E828CF7" w14:textId="64D91458" w:rsidR="009E55E7" w:rsidRPr="004E6C42" w:rsidRDefault="009E55E7" w:rsidP="008A7660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E6C42">
              <w:rPr>
                <w:rFonts w:ascii="Times New Roman" w:hAnsi="Times New Roman"/>
                <w:spacing w:val="-2"/>
              </w:rPr>
              <w:t xml:space="preserve">W ramach konsultacji publicznych </w:t>
            </w:r>
            <w:r w:rsidR="0050142D" w:rsidRPr="004E6C42">
              <w:rPr>
                <w:rFonts w:ascii="Times New Roman" w:hAnsi="Times New Roman"/>
                <w:spacing w:val="-2"/>
              </w:rPr>
              <w:t xml:space="preserve">i opiniowania </w:t>
            </w:r>
            <w:r w:rsidRPr="004E6C42">
              <w:rPr>
                <w:rFonts w:ascii="Times New Roman" w:hAnsi="Times New Roman"/>
                <w:spacing w:val="-2"/>
              </w:rPr>
              <w:t xml:space="preserve">projekt </w:t>
            </w:r>
            <w:r w:rsidR="003E57C9" w:rsidRPr="004E6C42">
              <w:rPr>
                <w:rFonts w:ascii="Times New Roman" w:hAnsi="Times New Roman"/>
                <w:spacing w:val="-2"/>
              </w:rPr>
              <w:t xml:space="preserve">rozporządzenia </w:t>
            </w:r>
            <w:r w:rsidRPr="004E6C42">
              <w:rPr>
                <w:rFonts w:ascii="Times New Roman" w:hAnsi="Times New Roman"/>
                <w:spacing w:val="-2"/>
              </w:rPr>
              <w:t>zostanie przekazany przedstawicielom instytucji reprezentujących środo</w:t>
            </w:r>
            <w:r w:rsidR="004E6C42">
              <w:rPr>
                <w:rFonts w:ascii="Times New Roman" w:hAnsi="Times New Roman"/>
                <w:spacing w:val="-2"/>
              </w:rPr>
              <w:t>wisko rynku kapitałowego, m.in. </w:t>
            </w:r>
            <w:r w:rsidRPr="004E6C42">
              <w:rPr>
                <w:rFonts w:ascii="Times New Roman" w:hAnsi="Times New Roman"/>
                <w:spacing w:val="-2"/>
              </w:rPr>
              <w:t>Giełdzie Papierów Wartościowych SA, BondSpot SA, Towarowej Giełdzie Energii SA, Krajowemu Depozytowi Papierów Wartościowych SA, Izbie Domów Maklerskich, Izbie Zarządzających Funduszami i Aktywami, Związkowi Banków Polskich, Radzie Banków Depozytariuszy, Stowarzyszeniu Emitentów Giełdowych, Izbie Rozliczeniowej Giełd Towarowych, Stowarzyszeniu Inwestorów Indywidualnych, Związkowi Maklerów i Doradców, Polskiemu Stowarzyszeniu Inwestorów Kapitałowych, Fundacji Polski Instytut Dyrektorów, Krajowej Spółdzielczej Kasie Oszczędnościowo-Kredytowej, CFA Society Poland, Instytutowi Rachunkowości i Podatków, Stowarzyszeniu Compliance Polska</w:t>
            </w:r>
            <w:r w:rsidR="009335EA" w:rsidRPr="004E6C42">
              <w:rPr>
                <w:rFonts w:ascii="Times New Roman" w:hAnsi="Times New Roman"/>
                <w:spacing w:val="-2"/>
              </w:rPr>
              <w:t xml:space="preserve"> oraz </w:t>
            </w:r>
            <w:r w:rsidRPr="004E6C42">
              <w:rPr>
                <w:rFonts w:ascii="Times New Roman" w:hAnsi="Times New Roman"/>
                <w:spacing w:val="-2"/>
              </w:rPr>
              <w:t>Federacji Przedsiębiorców Polskich.</w:t>
            </w:r>
          </w:p>
          <w:p w14:paraId="4B5779D1" w14:textId="38492AF8" w:rsidR="0050142D" w:rsidRPr="002D47EC" w:rsidRDefault="0050142D" w:rsidP="004E6C42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E6C42">
              <w:rPr>
                <w:rFonts w:ascii="Times New Roman" w:hAnsi="Times New Roman"/>
                <w:spacing w:val="-2"/>
              </w:rPr>
              <w:t xml:space="preserve">Przewiduje się </w:t>
            </w:r>
            <w:r w:rsidR="004E6C42" w:rsidRPr="004E6C42">
              <w:rPr>
                <w:rFonts w:ascii="Times New Roman" w:hAnsi="Times New Roman"/>
                <w:spacing w:val="-2"/>
              </w:rPr>
              <w:t>14</w:t>
            </w:r>
            <w:r w:rsidRPr="004E6C42">
              <w:rPr>
                <w:rFonts w:ascii="Times New Roman" w:hAnsi="Times New Roman"/>
                <w:spacing w:val="-2"/>
              </w:rPr>
              <w:t>-dniowy termin zgłaszania uwag.</w:t>
            </w:r>
          </w:p>
        </w:tc>
      </w:tr>
      <w:tr w:rsidR="009E55E7" w:rsidRPr="002D47EC" w14:paraId="5525C53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C30F11" w14:textId="77777777" w:rsidR="009E55E7" w:rsidRPr="002D47EC" w:rsidRDefault="009E55E7" w:rsidP="008A76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 xml:space="preserve"> Wpływ na sektor finansów publicznych</w:t>
            </w:r>
          </w:p>
        </w:tc>
      </w:tr>
      <w:tr w:rsidR="009E55E7" w:rsidRPr="002D47EC" w14:paraId="390EE32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50C6245" w14:textId="77777777" w:rsidR="009E55E7" w:rsidRPr="002D47EC" w:rsidRDefault="009E55E7" w:rsidP="008A7660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722B1E1" w14:textId="77777777" w:rsidR="009E55E7" w:rsidRPr="002D47EC" w:rsidRDefault="009E55E7" w:rsidP="008A766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Skutki w okresie 10 lat od wejścia w życie zmian [mln zł]</w:t>
            </w:r>
          </w:p>
        </w:tc>
      </w:tr>
      <w:tr w:rsidR="009E55E7" w:rsidRPr="002D47EC" w14:paraId="4EB5BD4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B2CFD8D" w14:textId="77777777" w:rsidR="009E55E7" w:rsidRPr="002D47EC" w:rsidRDefault="009E55E7" w:rsidP="008A766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807CE6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8650D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D8E30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8AA55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F4CE1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944FD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7C8612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449BF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F46F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F33AF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C29F48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0963D2C" w14:textId="77777777" w:rsidR="009E55E7" w:rsidRPr="002D47EC" w:rsidRDefault="009E55E7" w:rsidP="008A766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  <w:t>Łącznie (0-10)</w:t>
            </w:r>
          </w:p>
        </w:tc>
      </w:tr>
      <w:tr w:rsidR="009E55E7" w:rsidRPr="002D47EC" w14:paraId="1371730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2BA6E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AF091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DA0E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11E7F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FD2E8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EF8AB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A8C6B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DB9A6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BFC92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956FB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EB3A9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345F6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23C6EB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9E55E7" w:rsidRPr="002D47EC" w14:paraId="7ADB60B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576F4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558B9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5D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94124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8E00F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C7CF3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64149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77C35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8EE26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0BA4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45F67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0E70C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08777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46C828D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1A934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906D8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C57A2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EBFBE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2C205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2804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5F09B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05867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04E8F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69FBC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EC2BD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5C078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E99366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54CEBA3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D4894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A2CD8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B33CA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2AF50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074BB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F05F1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7D6E6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01D00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961EC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28167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F24FB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E8BE6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1DE361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6D78C5D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C9EAD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42989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E5917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0A07D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DC01A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3813C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5B5DE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2F6CE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725E1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8FA53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C11BA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4F6B4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D35BE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1962B67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49CAA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EF44F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34FC8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C900F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35E9F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5E002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3893F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911C6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FBAC0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03784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29758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8DEDE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DEC32B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1976FABF" w14:textId="77777777" w:rsidTr="0050764C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FE527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Komisja Nadzoru Finansowego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AF50C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BB250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8880F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C8747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2A142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14:paraId="1453610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BEFD7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0FDFC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09C68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127AC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14:paraId="54FCB1D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3FF3C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9E55E7" w:rsidRPr="002D47EC" w14:paraId="72312035" w14:textId="77777777" w:rsidTr="00B529A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7E3DB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Urząd Regulacji Energetyki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13590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4AFB1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8F9F4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DF808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51906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1EB54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1E805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2FB34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FD5A7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83B55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D069A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71009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4077C97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AD92A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E0052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33A0D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AEE80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07E85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68903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70920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9FDCE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EB78F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8D7CA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38DA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8DECA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2BB8F5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282651B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77A1A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8281C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BA7D6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69896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C9C62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C2CE4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70886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2CE48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48E3F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5E666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8B57E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B92F7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5F82B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59DEA64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19ABE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E48F4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8EF1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D8C82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82691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07502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9BDC0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55319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5D470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7B909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67041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914BD5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B0D4C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5B85EB5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9E24D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F95D7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84ACD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7E74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9FB46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D9B78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63830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A65F1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9B9E9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201CD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00167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6B88D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56D41E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73D2D4C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A18FA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1155A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0FF34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F4140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B11D7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C5598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08089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3FBCA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A34A33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6735D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88B13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04B6A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E0B6D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63C46AE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38E5F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DB770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71D48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F2430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0298D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AF6C5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DD256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F065F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84792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282DB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6DFAC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3A7A7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78D65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1"/>
              </w:rPr>
            </w:pPr>
          </w:p>
        </w:tc>
      </w:tr>
      <w:tr w:rsidR="009E55E7" w:rsidRPr="002D47EC" w14:paraId="2CACE41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146E85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84BBD61" w14:textId="6B9F55F9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9E55E7" w:rsidRPr="002D47EC" w14:paraId="0CBC5EEB" w14:textId="77777777" w:rsidTr="00FA1C99">
        <w:trPr>
          <w:gridAfter w:val="1"/>
          <w:wAfter w:w="10" w:type="dxa"/>
          <w:trHeight w:val="346"/>
        </w:trPr>
        <w:tc>
          <w:tcPr>
            <w:tcW w:w="2243" w:type="dxa"/>
            <w:gridSpan w:val="2"/>
            <w:shd w:val="clear" w:color="auto" w:fill="FFFFFF"/>
          </w:tcPr>
          <w:p w14:paraId="7FB63D7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9834A0C" w14:textId="565385E2" w:rsidR="009E55E7" w:rsidRPr="002D47EC" w:rsidRDefault="00E2460C" w:rsidP="006C61F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6C61FB">
              <w:rPr>
                <w:rFonts w:ascii="Times New Roman" w:hAnsi="Times New Roman"/>
                <w:spacing w:val="-2"/>
              </w:rPr>
              <w:t>Wejście w życie rozporządzenia nie będzie miało wpływu na dochody i wydatki sektora finansów publicznych, w szczególności nie spowoduje zmniejszenia dochodów podmiotów sektora finansów publicznych, w tym budżetu państwa i budżetów jednoste</w:t>
            </w:r>
            <w:r w:rsidR="006C61FB">
              <w:rPr>
                <w:rFonts w:ascii="Times New Roman" w:hAnsi="Times New Roman"/>
                <w:spacing w:val="-2"/>
              </w:rPr>
              <w:t>k samorządu terytorialnego, nie </w:t>
            </w:r>
            <w:r w:rsidRPr="006C61FB">
              <w:rPr>
                <w:rFonts w:ascii="Times New Roman" w:hAnsi="Times New Roman"/>
                <w:spacing w:val="-2"/>
              </w:rPr>
              <w:t>spowoduje również zwiększenia wydatków jednostek</w:t>
            </w:r>
            <w:r w:rsidR="006C61FB" w:rsidRPr="006C61FB">
              <w:rPr>
                <w:rFonts w:ascii="Times New Roman" w:hAnsi="Times New Roman"/>
                <w:spacing w:val="-2"/>
              </w:rPr>
              <w:t xml:space="preserve"> sektora finansów publicznych w </w:t>
            </w:r>
            <w:r w:rsidRPr="006C61FB">
              <w:rPr>
                <w:rFonts w:ascii="Times New Roman" w:hAnsi="Times New Roman"/>
                <w:spacing w:val="-2"/>
              </w:rPr>
              <w:t>stosunku do wielkości wynikających z obowiązujących przepisów.</w:t>
            </w:r>
          </w:p>
        </w:tc>
      </w:tr>
      <w:tr w:rsidR="009E55E7" w:rsidRPr="002D47EC" w14:paraId="49E83A29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1920575" w14:textId="77777777" w:rsidR="009E55E7" w:rsidRPr="002D47EC" w:rsidRDefault="009E55E7" w:rsidP="008A7660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9E55E7" w:rsidRPr="002D47EC" w14:paraId="04BC790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0C1CD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9E55E7" w:rsidRPr="002D47EC" w14:paraId="2C99CED0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D7B7EC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BB302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931E5F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4FD9E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46703A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02FE5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E555E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91D859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  <w:t>Łącznie</w:t>
            </w:r>
            <w:r w:rsidRPr="002D47EC" w:rsidDel="0073273A"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  <w:t xml:space="preserve"> </w:t>
            </w:r>
            <w:r w:rsidRPr="002D47EC">
              <w:rPr>
                <w:rFonts w:ascii="Times New Roman" w:hAnsi="Times New Roman"/>
                <w:i/>
                <w:color w:val="000000"/>
                <w:spacing w:val="-2"/>
                <w:szCs w:val="21"/>
              </w:rPr>
              <w:t>(0-10)</w:t>
            </w:r>
          </w:p>
        </w:tc>
      </w:tr>
      <w:tr w:rsidR="009E55E7" w:rsidRPr="002D47EC" w14:paraId="717818B0" w14:textId="77777777" w:rsidTr="009D01E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39FD1D0" w14:textId="77777777" w:rsidR="009E55E7" w:rsidRPr="002D47EC" w:rsidRDefault="009E55E7" w:rsidP="008A7660">
            <w:pPr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W ujęciu pieniężnym</w:t>
            </w:r>
          </w:p>
          <w:p w14:paraId="4540E0A5" w14:textId="77777777" w:rsidR="009E55E7" w:rsidRPr="002D47EC" w:rsidRDefault="009E55E7" w:rsidP="008A7660">
            <w:pPr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spacing w:val="-2"/>
                <w:szCs w:val="21"/>
              </w:rPr>
              <w:t xml:space="preserve">(w mln zł, </w:t>
            </w:r>
          </w:p>
          <w:p w14:paraId="64F6E9B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spacing w:val="-2"/>
                <w:szCs w:val="21"/>
              </w:rPr>
              <w:lastRenderedPageBreak/>
              <w:t>ceny stałe z 2015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F71E2A8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  <w:vAlign w:val="center"/>
          </w:tcPr>
          <w:p w14:paraId="7F112F8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8" w:type="dxa"/>
            <w:gridSpan w:val="5"/>
            <w:vMerge w:val="restart"/>
            <w:shd w:val="clear" w:color="auto" w:fill="FFFFFF"/>
            <w:vAlign w:val="center"/>
          </w:tcPr>
          <w:p w14:paraId="515A436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14:paraId="0ED8F17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7" w:type="dxa"/>
            <w:gridSpan w:val="3"/>
            <w:vMerge w:val="restart"/>
            <w:shd w:val="clear" w:color="auto" w:fill="FFFFFF"/>
            <w:vAlign w:val="center"/>
          </w:tcPr>
          <w:p w14:paraId="33B4C97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8" w:type="dxa"/>
            <w:gridSpan w:val="4"/>
            <w:vMerge w:val="restart"/>
            <w:shd w:val="clear" w:color="auto" w:fill="FFFFFF"/>
            <w:vAlign w:val="center"/>
          </w:tcPr>
          <w:p w14:paraId="39A17C2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38" w:type="dxa"/>
            <w:gridSpan w:val="3"/>
            <w:vMerge w:val="restart"/>
            <w:shd w:val="clear" w:color="auto" w:fill="FFFFFF"/>
            <w:vAlign w:val="center"/>
          </w:tcPr>
          <w:p w14:paraId="032588B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 w14:paraId="51F9A69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9E55E7" w:rsidRPr="002D47EC" w14:paraId="39F694A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580D21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FC61C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vMerge/>
            <w:shd w:val="clear" w:color="auto" w:fill="FFFFFF"/>
          </w:tcPr>
          <w:p w14:paraId="283F473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8" w:type="dxa"/>
            <w:gridSpan w:val="5"/>
            <w:vMerge/>
            <w:shd w:val="clear" w:color="auto" w:fill="FFFFFF"/>
          </w:tcPr>
          <w:p w14:paraId="1E9BC6A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</w:tcPr>
          <w:p w14:paraId="5920949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7" w:type="dxa"/>
            <w:gridSpan w:val="3"/>
            <w:vMerge/>
            <w:shd w:val="clear" w:color="auto" w:fill="FFFFFF"/>
          </w:tcPr>
          <w:p w14:paraId="51F126D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8" w:type="dxa"/>
            <w:gridSpan w:val="4"/>
            <w:vMerge/>
            <w:shd w:val="clear" w:color="auto" w:fill="FFFFFF"/>
          </w:tcPr>
          <w:p w14:paraId="2B6CED7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8" w:type="dxa"/>
            <w:gridSpan w:val="3"/>
            <w:vMerge/>
            <w:shd w:val="clear" w:color="auto" w:fill="FFFFFF"/>
          </w:tcPr>
          <w:p w14:paraId="0CDEA767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1422" w:type="dxa"/>
            <w:vMerge/>
            <w:shd w:val="clear" w:color="auto" w:fill="FFFFFF"/>
          </w:tcPr>
          <w:p w14:paraId="54C8E49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9E55E7" w:rsidRPr="002D47EC" w14:paraId="6C63439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B29B8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06168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spacing w:val="-2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9A727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A25EEA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41A26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0067E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9E762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128D98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72E75A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9E55E7" w:rsidRPr="002D47EC" w14:paraId="469E2BD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72482E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lastRenderedPageBreak/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EBEE35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C251B8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9E55E7" w:rsidRPr="002D47EC" w14:paraId="4652EA7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D03AA9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0B56A5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ABE01AB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9E55E7" w:rsidRPr="002D47EC" w14:paraId="03906359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5F8CB69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A07D98" w14:textId="77777777" w:rsidR="009E55E7" w:rsidRPr="002D47EC" w:rsidRDefault="009E55E7" w:rsidP="008A7660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spacing w:val="-2"/>
                <w:szCs w:val="21"/>
              </w:rPr>
              <w:t>rodzina, obywatele oraz gospodarstwa domowe</w:t>
            </w: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BFF133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</w:p>
        </w:tc>
      </w:tr>
      <w:tr w:rsidR="009E55E7" w:rsidRPr="002D47EC" w14:paraId="19C92B7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53FFC5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BF5EA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Inwestorzy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29E30F6" w14:textId="3BE456CC" w:rsidR="009E55E7" w:rsidRPr="002D47EC" w:rsidRDefault="00E2460C" w:rsidP="00E2460C">
            <w:pPr>
              <w:spacing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>
              <w:rPr>
                <w:rFonts w:ascii="Times New Roman" w:hAnsi="Times New Roman"/>
                <w:spacing w:val="-2"/>
                <w:szCs w:val="21"/>
              </w:rPr>
              <w:t>K</w:t>
            </w:r>
            <w:r w:rsidR="009E55E7" w:rsidRPr="002D47EC">
              <w:rPr>
                <w:rFonts w:ascii="Times New Roman" w:hAnsi="Times New Roman"/>
                <w:spacing w:val="-2"/>
                <w:szCs w:val="21"/>
              </w:rPr>
              <w:t xml:space="preserve">orzyści związane z wdrożeniem </w:t>
            </w:r>
            <w:r>
              <w:rPr>
                <w:rFonts w:ascii="Times New Roman" w:hAnsi="Times New Roman"/>
                <w:spacing w:val="-2"/>
                <w:szCs w:val="21"/>
              </w:rPr>
              <w:t xml:space="preserve">proponowanych </w:t>
            </w:r>
            <w:r w:rsidR="009E55E7" w:rsidRPr="002D47EC">
              <w:rPr>
                <w:rFonts w:ascii="Times New Roman" w:hAnsi="Times New Roman"/>
                <w:spacing w:val="-2"/>
                <w:szCs w:val="21"/>
              </w:rPr>
              <w:t xml:space="preserve">rozwiązań odniosą </w:t>
            </w:r>
            <w:r w:rsidR="002D47EC" w:rsidRPr="002D47EC">
              <w:rPr>
                <w:rFonts w:ascii="Times New Roman" w:hAnsi="Times New Roman"/>
                <w:spacing w:val="-2"/>
                <w:szCs w:val="21"/>
              </w:rPr>
              <w:t>klienci firm inwestycyjnych, zarówno detaliczni, jak i profesjonalni, a</w:t>
            </w:r>
            <w:r w:rsidR="00EC0B46">
              <w:rPr>
                <w:rFonts w:ascii="Times New Roman" w:hAnsi="Times New Roman"/>
                <w:spacing w:val="-2"/>
                <w:szCs w:val="21"/>
              </w:rPr>
              <w:t xml:space="preserve"> także firmy inwestycyjne.</w:t>
            </w:r>
          </w:p>
        </w:tc>
      </w:tr>
      <w:tr w:rsidR="009E55E7" w:rsidRPr="002D47EC" w14:paraId="06694332" w14:textId="77777777" w:rsidTr="006C61FB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595C68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DEF0A41" w14:textId="276A017C" w:rsidR="009E55E7" w:rsidRPr="00E2460C" w:rsidRDefault="00E2460C" w:rsidP="004777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2460C">
              <w:rPr>
                <w:rFonts w:ascii="Times New Roman" w:hAnsi="Times New Roman"/>
                <w:color w:val="000000"/>
                <w:spacing w:val="-2"/>
              </w:rPr>
              <w:t>Wejście w życie rozporządzenia nie będzie miało wpływu na rodzinę, obywateli, gospodarstwa domowe</w:t>
            </w:r>
            <w:r w:rsidR="00477702"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 w:rsidRPr="00E2460C">
              <w:rPr>
                <w:rFonts w:ascii="Times New Roman" w:hAnsi="Times New Roman"/>
                <w:color w:val="000000"/>
                <w:spacing w:val="-2"/>
              </w:rPr>
              <w:t>osoby starsze i niepełnosprawne.</w:t>
            </w:r>
          </w:p>
        </w:tc>
      </w:tr>
      <w:tr w:rsidR="009E55E7" w:rsidRPr="002D47EC" w14:paraId="2F2DF2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439814" w14:textId="77777777" w:rsidR="009E55E7" w:rsidRPr="002D47EC" w:rsidRDefault="009E55E7" w:rsidP="008A76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 xml:space="preserve"> Zmiana obciążeń regulacyjnych (w tym obowiązków informacyjnych) wynikających z projektu</w:t>
            </w:r>
          </w:p>
        </w:tc>
      </w:tr>
      <w:tr w:rsidR="009E55E7" w:rsidRPr="002D47EC" w14:paraId="5BD39092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0C11F1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9E55E7" w:rsidRPr="002D47EC" w14:paraId="7A92FDEA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E5E269A" w14:textId="77777777" w:rsidR="009E55E7" w:rsidRPr="002D47EC" w:rsidRDefault="009E55E7" w:rsidP="008A7660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CFBBB8F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tak</w:t>
            </w:r>
          </w:p>
          <w:p w14:paraId="4057401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eastAsia="MS Gothic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☒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nie</w:t>
            </w:r>
          </w:p>
          <w:p w14:paraId="6E422504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9E55E7" w:rsidRPr="002D47EC" w14:paraId="6AD997B4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423F6C3" w14:textId="77777777" w:rsidR="009E55E7" w:rsidRPr="002D47EC" w:rsidRDefault="002D47EC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☒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22BE8151" w14:textId="77777777" w:rsidR="009E55E7" w:rsidRPr="002D47EC" w:rsidRDefault="002D47EC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☒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0173B840" w14:textId="77777777" w:rsidR="009E55E7" w:rsidRPr="002D47EC" w:rsidRDefault="002D47EC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☒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4F702F17" w14:textId="77777777" w:rsidR="009E55E7" w:rsidRPr="002D47EC" w:rsidRDefault="009E55E7" w:rsidP="008A7660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inne: 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CB55E8" w14:textId="77777777" w:rsidR="009E55E7" w:rsidRPr="002D47EC" w:rsidRDefault="002D47EC" w:rsidP="008A7660">
            <w:pPr>
              <w:tabs>
                <w:tab w:val="left" w:pos="349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="009E55E7" w:rsidRPr="002D47EC">
              <w:rPr>
                <w:rFonts w:ascii="Times New Roman" w:eastAsia="MS Gothic" w:hAnsi="Times New Roman"/>
                <w:color w:val="000000"/>
                <w:spacing w:val="-2"/>
              </w:rPr>
              <w:t xml:space="preserve"> 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CAB6E57" w14:textId="77777777" w:rsidR="009E55E7" w:rsidRPr="002D47EC" w:rsidRDefault="002D47EC" w:rsidP="008A7660">
            <w:pPr>
              <w:spacing w:line="240" w:lineRule="auto"/>
              <w:jc w:val="both"/>
              <w:rPr>
                <w:rFonts w:ascii="Times New Roman" w:eastAsia="MS Gothic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 xml:space="preserve"> zwiększenie liczby procedur</w:t>
            </w:r>
          </w:p>
          <w:p w14:paraId="77B4B6E6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</w:tc>
      </w:tr>
      <w:tr w:rsidR="009E55E7" w:rsidRPr="002D47EC" w14:paraId="02F204C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89DC1D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722FD4D" w14:textId="77777777" w:rsidR="009E55E7" w:rsidRPr="002D47EC" w:rsidRDefault="002D47EC" w:rsidP="008A7660">
            <w:pPr>
              <w:spacing w:line="240" w:lineRule="auto"/>
              <w:jc w:val="both"/>
              <w:rPr>
                <w:rFonts w:ascii="Times New Roman" w:eastAsia="MS Gothic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 xml:space="preserve"> tak</w:t>
            </w:r>
          </w:p>
          <w:p w14:paraId="345C276C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nie</w:t>
            </w:r>
          </w:p>
          <w:p w14:paraId="4E6139C4" w14:textId="77777777" w:rsidR="009E55E7" w:rsidRPr="002D47EC" w:rsidRDefault="002D47EC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☒</w:t>
            </w:r>
            <w:r w:rsidR="009E55E7" w:rsidRPr="002D47EC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9E55E7" w:rsidRPr="002D47EC" w14:paraId="1912E76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9ACE67C" w14:textId="77777777" w:rsidR="009E55E7" w:rsidRPr="002D47EC" w:rsidRDefault="009E55E7" w:rsidP="008A7660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rynek pracy </w:t>
            </w:r>
          </w:p>
        </w:tc>
      </w:tr>
      <w:tr w:rsidR="009E55E7" w:rsidRPr="002D47EC" w14:paraId="094F73C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05437E43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spacing w:val="-2"/>
              </w:rPr>
              <w:t>Nie dotyczy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9E55E7" w:rsidRPr="002D47EC" w14:paraId="18A6D4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199646" w14:textId="77777777" w:rsidR="009E55E7" w:rsidRPr="002D47EC" w:rsidRDefault="009E55E7" w:rsidP="008A766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>Wpływ na pozostałe obszary</w:t>
            </w:r>
          </w:p>
        </w:tc>
      </w:tr>
      <w:tr w:rsidR="009E55E7" w:rsidRPr="002D47EC" w14:paraId="0E8B5740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32E0B4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środowisko naturalne</w:t>
            </w:r>
          </w:p>
          <w:p w14:paraId="2873FA5D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sytuacja i rozwój regionalny</w:t>
            </w:r>
          </w:p>
          <w:p w14:paraId="04588B85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inne: 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3ED169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4988EF0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545EA22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0633DBFE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eastAsia="MS Gothic" w:hAnsi="Times New Roman" w:hint="eastAsia"/>
                <w:color w:val="000000"/>
                <w:spacing w:val="-2"/>
              </w:rPr>
              <w:t>☐</w:t>
            </w: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9E55E7" w:rsidRPr="002D47EC" w14:paraId="71AEA583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29ED9AA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3111710" w14:textId="77777777" w:rsidR="009E55E7" w:rsidRPr="002D47EC" w:rsidRDefault="009E55E7" w:rsidP="008A76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color w:val="000000"/>
                <w:spacing w:val="-2"/>
              </w:rPr>
              <w:t xml:space="preserve">Nie dotyczy </w:t>
            </w:r>
          </w:p>
        </w:tc>
      </w:tr>
      <w:tr w:rsidR="009E55E7" w:rsidRPr="002D47EC" w14:paraId="1B943F3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109796" w14:textId="77777777" w:rsidR="009E55E7" w:rsidRPr="002D47EC" w:rsidRDefault="009E55E7" w:rsidP="008A76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2D47EC">
              <w:rPr>
                <w:rFonts w:ascii="Times New Roman" w:hAnsi="Times New Roman"/>
                <w:b/>
                <w:spacing w:val="-2"/>
                <w:szCs w:val="21"/>
              </w:rPr>
              <w:t>Planowane wykonanie przepisów aktu prawnego</w:t>
            </w:r>
          </w:p>
        </w:tc>
      </w:tr>
      <w:tr w:rsidR="009E55E7" w:rsidRPr="002D47EC" w14:paraId="2FDA286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14A0623" w14:textId="201B74F8" w:rsidR="009E55E7" w:rsidRPr="002D47EC" w:rsidRDefault="009E55E7" w:rsidP="009335E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D47EC">
              <w:rPr>
                <w:rFonts w:ascii="Times New Roman" w:hAnsi="Times New Roman"/>
                <w:spacing w:val="-2"/>
                <w:lang w:eastAsia="pl-PL"/>
              </w:rPr>
              <w:t>Wykonanie przepisów aktu prawnego nastąp</w:t>
            </w:r>
            <w:r w:rsidR="006C61FB">
              <w:rPr>
                <w:rFonts w:ascii="Times New Roman" w:hAnsi="Times New Roman"/>
                <w:spacing w:val="-2"/>
                <w:lang w:eastAsia="pl-PL"/>
              </w:rPr>
              <w:t>i z dniem jego wejścia w życie.</w:t>
            </w:r>
          </w:p>
        </w:tc>
      </w:tr>
      <w:tr w:rsidR="009E55E7" w:rsidRPr="002D47EC" w14:paraId="4DAC80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F4DFB3F" w14:textId="77777777" w:rsidR="009E55E7" w:rsidRPr="002D47EC" w:rsidRDefault="009E55E7" w:rsidP="008A7660">
            <w:pPr>
              <w:keepNext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2D47EC">
              <w:rPr>
                <w:rFonts w:ascii="Times New Roman" w:hAnsi="Times New Roman"/>
                <w:b/>
                <w:spacing w:val="-2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9E55E7" w:rsidRPr="002D47EC" w14:paraId="0418D84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C39ADC" w14:textId="7DDA5463" w:rsidR="009E55E7" w:rsidRPr="002D47EC" w:rsidRDefault="009E55E7" w:rsidP="009335E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D47EC">
              <w:rPr>
                <w:rFonts w:ascii="Times New Roman" w:hAnsi="Times New Roman"/>
                <w:spacing w:val="-2"/>
              </w:rPr>
              <w:t xml:space="preserve">Ewaluacja skutków wejścia w życie regulacji </w:t>
            </w:r>
            <w:r w:rsidR="009335EA">
              <w:rPr>
                <w:rFonts w:ascii="Times New Roman" w:hAnsi="Times New Roman"/>
                <w:spacing w:val="-2"/>
              </w:rPr>
              <w:t xml:space="preserve">nastąpi </w:t>
            </w:r>
            <w:r w:rsidRPr="002D47EC">
              <w:rPr>
                <w:rFonts w:ascii="Times New Roman" w:hAnsi="Times New Roman"/>
                <w:spacing w:val="-2"/>
              </w:rPr>
              <w:t>po upływie około dwóch lat od dnia</w:t>
            </w:r>
            <w:r w:rsidR="006C61FB">
              <w:rPr>
                <w:rFonts w:ascii="Times New Roman" w:hAnsi="Times New Roman"/>
                <w:spacing w:val="-2"/>
              </w:rPr>
              <w:t xml:space="preserve"> ich</w:t>
            </w:r>
            <w:r w:rsidRPr="002D47EC">
              <w:rPr>
                <w:rFonts w:ascii="Times New Roman" w:hAnsi="Times New Roman"/>
                <w:spacing w:val="-2"/>
              </w:rPr>
              <w:t xml:space="preserve"> wejścia w życie</w:t>
            </w:r>
            <w:r w:rsidR="009335EA">
              <w:rPr>
                <w:rFonts w:ascii="Times New Roman" w:hAnsi="Times New Roman"/>
                <w:spacing w:val="-2"/>
              </w:rPr>
              <w:t>, w toku bieżącego nadzoru nad firmami inwestycyjnymi sprawowanego prz</w:t>
            </w:r>
            <w:r w:rsidR="006C61FB">
              <w:rPr>
                <w:rFonts w:ascii="Times New Roman" w:hAnsi="Times New Roman"/>
                <w:spacing w:val="-2"/>
              </w:rPr>
              <w:t>ez Komisję Nadzoru Finansowego.</w:t>
            </w:r>
          </w:p>
        </w:tc>
      </w:tr>
      <w:tr w:rsidR="009E55E7" w:rsidRPr="002D47EC" w14:paraId="3AAA6DE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2E7E27" w14:textId="77777777" w:rsidR="009E55E7" w:rsidRPr="002D47EC" w:rsidRDefault="009E55E7" w:rsidP="008A766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D47EC">
              <w:rPr>
                <w:rFonts w:ascii="Times New Roman" w:hAnsi="Times New Roman"/>
                <w:b/>
                <w:spacing w:val="-2"/>
                <w:szCs w:val="21"/>
              </w:rPr>
              <w:t>(istotne dokumenty źródłowe, badania, analizy itp.</w:t>
            </w:r>
            <w:r w:rsidRPr="002D47E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E55E7" w:rsidRPr="00D079CC" w14:paraId="2CA269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746A7DC" w14:textId="77777777" w:rsidR="009E55E7" w:rsidRPr="00D079CC" w:rsidRDefault="009E55E7" w:rsidP="008A766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47EC">
              <w:rPr>
                <w:rFonts w:ascii="Times New Roman" w:hAnsi="Times New Roman"/>
                <w:spacing w:val="-2"/>
                <w:lang w:eastAsia="pl-PL"/>
              </w:rPr>
              <w:t>Brak</w:t>
            </w:r>
            <w:r w:rsidR="004406AB">
              <w:rPr>
                <w:rFonts w:ascii="Times New Roman" w:hAnsi="Times New Roman"/>
                <w:spacing w:val="-2"/>
                <w:lang w:eastAsia="pl-PL"/>
              </w:rPr>
              <w:t>.</w:t>
            </w:r>
          </w:p>
        </w:tc>
      </w:tr>
    </w:tbl>
    <w:p w14:paraId="6DAAD843" w14:textId="77777777" w:rsidR="00CE54B6" w:rsidRPr="002D47EC" w:rsidRDefault="00CE54B6" w:rsidP="00E56927">
      <w:pPr>
        <w:spacing w:line="240" w:lineRule="auto"/>
        <w:jc w:val="both"/>
        <w:rPr>
          <w:rFonts w:ascii="Times New Roman" w:hAnsi="Times New Roman"/>
          <w:spacing w:val="-2"/>
        </w:rPr>
      </w:pPr>
    </w:p>
    <w:sectPr w:rsidR="00CE54B6" w:rsidRPr="002D47E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434DC" w14:textId="77777777" w:rsidR="00F7183B" w:rsidRDefault="00F7183B" w:rsidP="00044739">
      <w:pPr>
        <w:spacing w:line="240" w:lineRule="auto"/>
      </w:pPr>
      <w:r>
        <w:separator/>
      </w:r>
    </w:p>
  </w:endnote>
  <w:endnote w:type="continuationSeparator" w:id="0">
    <w:p w14:paraId="52B580CB" w14:textId="77777777" w:rsidR="00F7183B" w:rsidRDefault="00F7183B" w:rsidP="00044739">
      <w:pPr>
        <w:spacing w:line="240" w:lineRule="auto"/>
      </w:pPr>
      <w:r>
        <w:continuationSeparator/>
      </w:r>
    </w:p>
  </w:endnote>
  <w:endnote w:type="continuationNotice" w:id="1">
    <w:p w14:paraId="578ACC9C" w14:textId="77777777" w:rsidR="00F7183B" w:rsidRDefault="00F718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2253F" w14:textId="77777777" w:rsidR="00F7183B" w:rsidRDefault="00F7183B" w:rsidP="00044739">
      <w:pPr>
        <w:spacing w:line="240" w:lineRule="auto"/>
      </w:pPr>
      <w:r>
        <w:separator/>
      </w:r>
    </w:p>
  </w:footnote>
  <w:footnote w:type="continuationSeparator" w:id="0">
    <w:p w14:paraId="13550B09" w14:textId="77777777" w:rsidR="00F7183B" w:rsidRDefault="00F7183B" w:rsidP="00044739">
      <w:pPr>
        <w:spacing w:line="240" w:lineRule="auto"/>
      </w:pPr>
      <w:r>
        <w:continuationSeparator/>
      </w:r>
    </w:p>
  </w:footnote>
  <w:footnote w:type="continuationNotice" w:id="1">
    <w:p w14:paraId="3312977D" w14:textId="77777777" w:rsidR="00F7183B" w:rsidRDefault="00F7183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7">
    <w:nsid w:val="27897F1A"/>
    <w:multiLevelType w:val="hybridMultilevel"/>
    <w:tmpl w:val="BE5C5120"/>
    <w:lvl w:ilvl="0" w:tplc="2332B4B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1674385"/>
    <w:multiLevelType w:val="hybridMultilevel"/>
    <w:tmpl w:val="24E02740"/>
    <w:lvl w:ilvl="0" w:tplc="2332B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5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127"/>
    <w:rsid w:val="000022D5"/>
    <w:rsid w:val="00004C6A"/>
    <w:rsid w:val="0001147E"/>
    <w:rsid w:val="00012D11"/>
    <w:rsid w:val="00013EB5"/>
    <w:rsid w:val="0001431C"/>
    <w:rsid w:val="00023836"/>
    <w:rsid w:val="000356A9"/>
    <w:rsid w:val="00044138"/>
    <w:rsid w:val="00044739"/>
    <w:rsid w:val="00050B9E"/>
    <w:rsid w:val="0005162D"/>
    <w:rsid w:val="00051637"/>
    <w:rsid w:val="00056681"/>
    <w:rsid w:val="000648A7"/>
    <w:rsid w:val="0006618B"/>
    <w:rsid w:val="000670C0"/>
    <w:rsid w:val="000703AB"/>
    <w:rsid w:val="00071B99"/>
    <w:rsid w:val="000756E5"/>
    <w:rsid w:val="0007633C"/>
    <w:rsid w:val="0007704E"/>
    <w:rsid w:val="00080261"/>
    <w:rsid w:val="00080EC8"/>
    <w:rsid w:val="00083BC3"/>
    <w:rsid w:val="000944AC"/>
    <w:rsid w:val="00094CB9"/>
    <w:rsid w:val="000956B2"/>
    <w:rsid w:val="000969E7"/>
    <w:rsid w:val="000A23DE"/>
    <w:rsid w:val="000A4020"/>
    <w:rsid w:val="000B54FB"/>
    <w:rsid w:val="000C1612"/>
    <w:rsid w:val="000C29B0"/>
    <w:rsid w:val="000C76FC"/>
    <w:rsid w:val="000D38FC"/>
    <w:rsid w:val="000D4D90"/>
    <w:rsid w:val="000E2D10"/>
    <w:rsid w:val="000F3204"/>
    <w:rsid w:val="0010548B"/>
    <w:rsid w:val="001072D1"/>
    <w:rsid w:val="00107EEF"/>
    <w:rsid w:val="00112D57"/>
    <w:rsid w:val="00117017"/>
    <w:rsid w:val="001273AD"/>
    <w:rsid w:val="00130E8E"/>
    <w:rsid w:val="0013216E"/>
    <w:rsid w:val="00132A3F"/>
    <w:rsid w:val="001401B5"/>
    <w:rsid w:val="001422B9"/>
    <w:rsid w:val="0014665F"/>
    <w:rsid w:val="001518CF"/>
    <w:rsid w:val="00152CBA"/>
    <w:rsid w:val="00153464"/>
    <w:rsid w:val="001541B3"/>
    <w:rsid w:val="00155B15"/>
    <w:rsid w:val="001625BE"/>
    <w:rsid w:val="001643A4"/>
    <w:rsid w:val="00164E6E"/>
    <w:rsid w:val="00165AFB"/>
    <w:rsid w:val="001727BB"/>
    <w:rsid w:val="001751A9"/>
    <w:rsid w:val="00180D25"/>
    <w:rsid w:val="001812C7"/>
    <w:rsid w:val="0018318D"/>
    <w:rsid w:val="0018572C"/>
    <w:rsid w:val="00187E79"/>
    <w:rsid w:val="00187F0D"/>
    <w:rsid w:val="0019175C"/>
    <w:rsid w:val="00192CC5"/>
    <w:rsid w:val="001956A7"/>
    <w:rsid w:val="001A118A"/>
    <w:rsid w:val="001A27F4"/>
    <w:rsid w:val="001A2D95"/>
    <w:rsid w:val="001A5FDA"/>
    <w:rsid w:val="001B3460"/>
    <w:rsid w:val="001B4CA1"/>
    <w:rsid w:val="001B75D8"/>
    <w:rsid w:val="001B7947"/>
    <w:rsid w:val="001C1060"/>
    <w:rsid w:val="001C3532"/>
    <w:rsid w:val="001C3C63"/>
    <w:rsid w:val="001C486D"/>
    <w:rsid w:val="001C61D7"/>
    <w:rsid w:val="001C69DA"/>
    <w:rsid w:val="001D4732"/>
    <w:rsid w:val="001D6A3C"/>
    <w:rsid w:val="001D6D51"/>
    <w:rsid w:val="001E013A"/>
    <w:rsid w:val="001E6C6E"/>
    <w:rsid w:val="001F32DC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27144"/>
    <w:rsid w:val="00230728"/>
    <w:rsid w:val="00234040"/>
    <w:rsid w:val="002345EF"/>
    <w:rsid w:val="00235CD2"/>
    <w:rsid w:val="00254DED"/>
    <w:rsid w:val="00255619"/>
    <w:rsid w:val="00255DAD"/>
    <w:rsid w:val="00256108"/>
    <w:rsid w:val="00260F33"/>
    <w:rsid w:val="002613BD"/>
    <w:rsid w:val="002624F1"/>
    <w:rsid w:val="00266070"/>
    <w:rsid w:val="00270C81"/>
    <w:rsid w:val="00271558"/>
    <w:rsid w:val="00274623"/>
    <w:rsid w:val="00274862"/>
    <w:rsid w:val="00280295"/>
    <w:rsid w:val="00282D72"/>
    <w:rsid w:val="00283402"/>
    <w:rsid w:val="00290FD6"/>
    <w:rsid w:val="00293263"/>
    <w:rsid w:val="00294259"/>
    <w:rsid w:val="0029601F"/>
    <w:rsid w:val="002A0B2F"/>
    <w:rsid w:val="002A115F"/>
    <w:rsid w:val="002A2C81"/>
    <w:rsid w:val="002B3D1A"/>
    <w:rsid w:val="002B45CA"/>
    <w:rsid w:val="002B6B24"/>
    <w:rsid w:val="002C27D0"/>
    <w:rsid w:val="002C2C9B"/>
    <w:rsid w:val="002C7EDF"/>
    <w:rsid w:val="002D17D6"/>
    <w:rsid w:val="002D18D7"/>
    <w:rsid w:val="002D21CE"/>
    <w:rsid w:val="002D47EC"/>
    <w:rsid w:val="002E3DA3"/>
    <w:rsid w:val="002E450F"/>
    <w:rsid w:val="002E4BE4"/>
    <w:rsid w:val="002E6B38"/>
    <w:rsid w:val="002E6D63"/>
    <w:rsid w:val="002E6E2B"/>
    <w:rsid w:val="002F3057"/>
    <w:rsid w:val="002F500B"/>
    <w:rsid w:val="002F6A4A"/>
    <w:rsid w:val="002F6DE6"/>
    <w:rsid w:val="00300991"/>
    <w:rsid w:val="00300D45"/>
    <w:rsid w:val="00301959"/>
    <w:rsid w:val="00305B8A"/>
    <w:rsid w:val="00313B83"/>
    <w:rsid w:val="003168C0"/>
    <w:rsid w:val="00324805"/>
    <w:rsid w:val="00331BF9"/>
    <w:rsid w:val="00333A2C"/>
    <w:rsid w:val="0033495E"/>
    <w:rsid w:val="00334A79"/>
    <w:rsid w:val="00334D8D"/>
    <w:rsid w:val="00337345"/>
    <w:rsid w:val="00337DD2"/>
    <w:rsid w:val="003404D1"/>
    <w:rsid w:val="003443FF"/>
    <w:rsid w:val="00351D7A"/>
    <w:rsid w:val="00352F7F"/>
    <w:rsid w:val="00355808"/>
    <w:rsid w:val="00360C64"/>
    <w:rsid w:val="0036113C"/>
    <w:rsid w:val="00362C7E"/>
    <w:rsid w:val="00363071"/>
    <w:rsid w:val="00363309"/>
    <w:rsid w:val="00363601"/>
    <w:rsid w:val="00371857"/>
    <w:rsid w:val="00376AC9"/>
    <w:rsid w:val="0038389F"/>
    <w:rsid w:val="00393032"/>
    <w:rsid w:val="00394B69"/>
    <w:rsid w:val="00397078"/>
    <w:rsid w:val="003A6953"/>
    <w:rsid w:val="003B4F1D"/>
    <w:rsid w:val="003B6083"/>
    <w:rsid w:val="003C2DC2"/>
    <w:rsid w:val="003C3838"/>
    <w:rsid w:val="003C5847"/>
    <w:rsid w:val="003C6311"/>
    <w:rsid w:val="003D0681"/>
    <w:rsid w:val="003D12F6"/>
    <w:rsid w:val="003D1426"/>
    <w:rsid w:val="003D5CFB"/>
    <w:rsid w:val="003E2F4E"/>
    <w:rsid w:val="003E440E"/>
    <w:rsid w:val="003E57C9"/>
    <w:rsid w:val="003E57D6"/>
    <w:rsid w:val="003E720A"/>
    <w:rsid w:val="003F0B29"/>
    <w:rsid w:val="00403E6E"/>
    <w:rsid w:val="004129B4"/>
    <w:rsid w:val="00417EF0"/>
    <w:rsid w:val="00422181"/>
    <w:rsid w:val="004244A8"/>
    <w:rsid w:val="00425F72"/>
    <w:rsid w:val="00427736"/>
    <w:rsid w:val="00431723"/>
    <w:rsid w:val="004406AB"/>
    <w:rsid w:val="00441787"/>
    <w:rsid w:val="00444F2D"/>
    <w:rsid w:val="0044673A"/>
    <w:rsid w:val="00452034"/>
    <w:rsid w:val="00455FA6"/>
    <w:rsid w:val="004572E2"/>
    <w:rsid w:val="00466C70"/>
    <w:rsid w:val="004702C9"/>
    <w:rsid w:val="00472E45"/>
    <w:rsid w:val="00473FEA"/>
    <w:rsid w:val="0047579D"/>
    <w:rsid w:val="00477702"/>
    <w:rsid w:val="00483262"/>
    <w:rsid w:val="00484107"/>
    <w:rsid w:val="00485CC5"/>
    <w:rsid w:val="0049343F"/>
    <w:rsid w:val="004964FC"/>
    <w:rsid w:val="004A145E"/>
    <w:rsid w:val="004A1F15"/>
    <w:rsid w:val="004A2363"/>
    <w:rsid w:val="004A2A81"/>
    <w:rsid w:val="004A688F"/>
    <w:rsid w:val="004A7BD7"/>
    <w:rsid w:val="004C15C2"/>
    <w:rsid w:val="004C36D8"/>
    <w:rsid w:val="004D1248"/>
    <w:rsid w:val="004D1E3C"/>
    <w:rsid w:val="004D3221"/>
    <w:rsid w:val="004D4169"/>
    <w:rsid w:val="004D6E14"/>
    <w:rsid w:val="004E5108"/>
    <w:rsid w:val="004E6C42"/>
    <w:rsid w:val="004F0575"/>
    <w:rsid w:val="004F4E17"/>
    <w:rsid w:val="00500535"/>
    <w:rsid w:val="0050082F"/>
    <w:rsid w:val="00500C56"/>
    <w:rsid w:val="0050142D"/>
    <w:rsid w:val="00501713"/>
    <w:rsid w:val="00503BF5"/>
    <w:rsid w:val="00503E98"/>
    <w:rsid w:val="00506568"/>
    <w:rsid w:val="00506C8B"/>
    <w:rsid w:val="0051551B"/>
    <w:rsid w:val="00520C57"/>
    <w:rsid w:val="00522D94"/>
    <w:rsid w:val="005240A6"/>
    <w:rsid w:val="00533D89"/>
    <w:rsid w:val="00536564"/>
    <w:rsid w:val="00544597"/>
    <w:rsid w:val="00544FFE"/>
    <w:rsid w:val="00546031"/>
    <w:rsid w:val="0054682D"/>
    <w:rsid w:val="005473F5"/>
    <w:rsid w:val="005477E7"/>
    <w:rsid w:val="00551693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7DFB"/>
    <w:rsid w:val="00593D81"/>
    <w:rsid w:val="005943ED"/>
    <w:rsid w:val="00595E83"/>
    <w:rsid w:val="00596530"/>
    <w:rsid w:val="005967F3"/>
    <w:rsid w:val="005A06DF"/>
    <w:rsid w:val="005A1E48"/>
    <w:rsid w:val="005A2317"/>
    <w:rsid w:val="005A355D"/>
    <w:rsid w:val="005A5527"/>
    <w:rsid w:val="005A5AE6"/>
    <w:rsid w:val="005B1206"/>
    <w:rsid w:val="005B37E8"/>
    <w:rsid w:val="005C0056"/>
    <w:rsid w:val="005C045F"/>
    <w:rsid w:val="005C4CB6"/>
    <w:rsid w:val="005C7A6F"/>
    <w:rsid w:val="005D61D6"/>
    <w:rsid w:val="005D6B24"/>
    <w:rsid w:val="005E0D13"/>
    <w:rsid w:val="005E5047"/>
    <w:rsid w:val="005E7205"/>
    <w:rsid w:val="005E7371"/>
    <w:rsid w:val="005F116C"/>
    <w:rsid w:val="005F2131"/>
    <w:rsid w:val="00603F96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516A"/>
    <w:rsid w:val="00627221"/>
    <w:rsid w:val="00627EE8"/>
    <w:rsid w:val="0063060B"/>
    <w:rsid w:val="006316FA"/>
    <w:rsid w:val="0063275A"/>
    <w:rsid w:val="006370D2"/>
    <w:rsid w:val="0064074F"/>
    <w:rsid w:val="00641F55"/>
    <w:rsid w:val="00642825"/>
    <w:rsid w:val="00645E4A"/>
    <w:rsid w:val="0065019F"/>
    <w:rsid w:val="00653276"/>
    <w:rsid w:val="00653688"/>
    <w:rsid w:val="00660359"/>
    <w:rsid w:val="0066091B"/>
    <w:rsid w:val="00662079"/>
    <w:rsid w:val="0066470A"/>
    <w:rsid w:val="00664AE3"/>
    <w:rsid w:val="00665F0E"/>
    <w:rsid w:val="006660E9"/>
    <w:rsid w:val="00666338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0184"/>
    <w:rsid w:val="00690949"/>
    <w:rsid w:val="0069486B"/>
    <w:rsid w:val="006A4904"/>
    <w:rsid w:val="006A548F"/>
    <w:rsid w:val="006A701A"/>
    <w:rsid w:val="006B1002"/>
    <w:rsid w:val="006B64DC"/>
    <w:rsid w:val="006B7A91"/>
    <w:rsid w:val="006C61FB"/>
    <w:rsid w:val="006D4704"/>
    <w:rsid w:val="006D5D1B"/>
    <w:rsid w:val="006D6A2D"/>
    <w:rsid w:val="006E083A"/>
    <w:rsid w:val="006E1E18"/>
    <w:rsid w:val="006E31CE"/>
    <w:rsid w:val="006E34D3"/>
    <w:rsid w:val="006E4CBF"/>
    <w:rsid w:val="006F1435"/>
    <w:rsid w:val="006F78C4"/>
    <w:rsid w:val="00702061"/>
    <w:rsid w:val="007031A0"/>
    <w:rsid w:val="00705A29"/>
    <w:rsid w:val="00707498"/>
    <w:rsid w:val="00711A65"/>
    <w:rsid w:val="00714133"/>
    <w:rsid w:val="00714DA4"/>
    <w:rsid w:val="007158B2"/>
    <w:rsid w:val="00716081"/>
    <w:rsid w:val="0071651D"/>
    <w:rsid w:val="00722B48"/>
    <w:rsid w:val="00724164"/>
    <w:rsid w:val="00725DE7"/>
    <w:rsid w:val="0072636A"/>
    <w:rsid w:val="00726B44"/>
    <w:rsid w:val="00727E5F"/>
    <w:rsid w:val="007318DD"/>
    <w:rsid w:val="0073273A"/>
    <w:rsid w:val="00733167"/>
    <w:rsid w:val="00740D2C"/>
    <w:rsid w:val="00741435"/>
    <w:rsid w:val="007415D0"/>
    <w:rsid w:val="00744BF9"/>
    <w:rsid w:val="00746D25"/>
    <w:rsid w:val="00752623"/>
    <w:rsid w:val="00760F1F"/>
    <w:rsid w:val="0076423E"/>
    <w:rsid w:val="007646CB"/>
    <w:rsid w:val="0076658F"/>
    <w:rsid w:val="0077040A"/>
    <w:rsid w:val="00772D64"/>
    <w:rsid w:val="00776BD0"/>
    <w:rsid w:val="00792609"/>
    <w:rsid w:val="00792887"/>
    <w:rsid w:val="007943E2"/>
    <w:rsid w:val="00794F2C"/>
    <w:rsid w:val="0079685E"/>
    <w:rsid w:val="007A3BC7"/>
    <w:rsid w:val="007A3D72"/>
    <w:rsid w:val="007A4DDD"/>
    <w:rsid w:val="007A5AC4"/>
    <w:rsid w:val="007B0FDD"/>
    <w:rsid w:val="007B4802"/>
    <w:rsid w:val="007B4830"/>
    <w:rsid w:val="007B65E2"/>
    <w:rsid w:val="007B6668"/>
    <w:rsid w:val="007B6B33"/>
    <w:rsid w:val="007C0726"/>
    <w:rsid w:val="007C2701"/>
    <w:rsid w:val="007C37A7"/>
    <w:rsid w:val="007C6C3C"/>
    <w:rsid w:val="007D2192"/>
    <w:rsid w:val="007D2F20"/>
    <w:rsid w:val="007D537A"/>
    <w:rsid w:val="007D76A5"/>
    <w:rsid w:val="007F0021"/>
    <w:rsid w:val="007F2F52"/>
    <w:rsid w:val="00801F71"/>
    <w:rsid w:val="00805F28"/>
    <w:rsid w:val="0080749F"/>
    <w:rsid w:val="00810059"/>
    <w:rsid w:val="00811D46"/>
    <w:rsid w:val="008125B0"/>
    <w:rsid w:val="008144CB"/>
    <w:rsid w:val="00821717"/>
    <w:rsid w:val="00824210"/>
    <w:rsid w:val="00824D92"/>
    <w:rsid w:val="00825E9B"/>
    <w:rsid w:val="008263C0"/>
    <w:rsid w:val="008272A1"/>
    <w:rsid w:val="00840398"/>
    <w:rsid w:val="00841422"/>
    <w:rsid w:val="00841D3B"/>
    <w:rsid w:val="0084314C"/>
    <w:rsid w:val="00843171"/>
    <w:rsid w:val="00844FE3"/>
    <w:rsid w:val="008564D3"/>
    <w:rsid w:val="00856799"/>
    <w:rsid w:val="008575C3"/>
    <w:rsid w:val="00863D28"/>
    <w:rsid w:val="008648C3"/>
    <w:rsid w:val="008656BA"/>
    <w:rsid w:val="00870F66"/>
    <w:rsid w:val="0087251A"/>
    <w:rsid w:val="008758DA"/>
    <w:rsid w:val="008765E1"/>
    <w:rsid w:val="00880F26"/>
    <w:rsid w:val="008876E1"/>
    <w:rsid w:val="00895719"/>
    <w:rsid w:val="00896C2E"/>
    <w:rsid w:val="008A5095"/>
    <w:rsid w:val="008A608F"/>
    <w:rsid w:val="008A7660"/>
    <w:rsid w:val="008B1A9A"/>
    <w:rsid w:val="008B4FE6"/>
    <w:rsid w:val="008B6C37"/>
    <w:rsid w:val="008D28B3"/>
    <w:rsid w:val="008D3292"/>
    <w:rsid w:val="008D6141"/>
    <w:rsid w:val="008E18F7"/>
    <w:rsid w:val="008E1E10"/>
    <w:rsid w:val="008E2453"/>
    <w:rsid w:val="008E291B"/>
    <w:rsid w:val="008E4F2F"/>
    <w:rsid w:val="008E74B0"/>
    <w:rsid w:val="008F6436"/>
    <w:rsid w:val="009008A8"/>
    <w:rsid w:val="009063B0"/>
    <w:rsid w:val="00907106"/>
    <w:rsid w:val="009107FD"/>
    <w:rsid w:val="0091137C"/>
    <w:rsid w:val="00911567"/>
    <w:rsid w:val="00917AAE"/>
    <w:rsid w:val="009251A9"/>
    <w:rsid w:val="009301CE"/>
    <w:rsid w:val="009304D2"/>
    <w:rsid w:val="00930699"/>
    <w:rsid w:val="00930CD4"/>
    <w:rsid w:val="00931F69"/>
    <w:rsid w:val="00932D26"/>
    <w:rsid w:val="009335EA"/>
    <w:rsid w:val="00934123"/>
    <w:rsid w:val="00955774"/>
    <w:rsid w:val="009560B5"/>
    <w:rsid w:val="00962B6E"/>
    <w:rsid w:val="00967F87"/>
    <w:rsid w:val="009703D6"/>
    <w:rsid w:val="009710FC"/>
    <w:rsid w:val="0097181B"/>
    <w:rsid w:val="00976DC5"/>
    <w:rsid w:val="009807A2"/>
    <w:rsid w:val="00981164"/>
    <w:rsid w:val="009818C7"/>
    <w:rsid w:val="00982125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30C"/>
    <w:rsid w:val="009A1D86"/>
    <w:rsid w:val="009A1DF5"/>
    <w:rsid w:val="009B049C"/>
    <w:rsid w:val="009B11C8"/>
    <w:rsid w:val="009B2BCF"/>
    <w:rsid w:val="009B2FF8"/>
    <w:rsid w:val="009B5BA3"/>
    <w:rsid w:val="009C4AC1"/>
    <w:rsid w:val="009D0027"/>
    <w:rsid w:val="009D01E4"/>
    <w:rsid w:val="009D0655"/>
    <w:rsid w:val="009E1E98"/>
    <w:rsid w:val="009E3ABE"/>
    <w:rsid w:val="009E3C4B"/>
    <w:rsid w:val="009E55E7"/>
    <w:rsid w:val="009F0637"/>
    <w:rsid w:val="009F0FB2"/>
    <w:rsid w:val="009F62A6"/>
    <w:rsid w:val="009F674F"/>
    <w:rsid w:val="009F799E"/>
    <w:rsid w:val="00A02020"/>
    <w:rsid w:val="00A02CF1"/>
    <w:rsid w:val="00A056CB"/>
    <w:rsid w:val="00A07A29"/>
    <w:rsid w:val="00A10FF1"/>
    <w:rsid w:val="00A1506B"/>
    <w:rsid w:val="00A165B0"/>
    <w:rsid w:val="00A17CB2"/>
    <w:rsid w:val="00A21743"/>
    <w:rsid w:val="00A23191"/>
    <w:rsid w:val="00A312A5"/>
    <w:rsid w:val="00A319C0"/>
    <w:rsid w:val="00A33560"/>
    <w:rsid w:val="00A356E2"/>
    <w:rsid w:val="00A364E4"/>
    <w:rsid w:val="00A371A5"/>
    <w:rsid w:val="00A43826"/>
    <w:rsid w:val="00A45CA1"/>
    <w:rsid w:val="00A47BDF"/>
    <w:rsid w:val="00A5056F"/>
    <w:rsid w:val="00A51CD7"/>
    <w:rsid w:val="00A52ADB"/>
    <w:rsid w:val="00A532B9"/>
    <w:rsid w:val="00A533E8"/>
    <w:rsid w:val="00A5368B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4BCD"/>
    <w:rsid w:val="00A95175"/>
    <w:rsid w:val="00A96736"/>
    <w:rsid w:val="00A96CBA"/>
    <w:rsid w:val="00AB1ACD"/>
    <w:rsid w:val="00AB277F"/>
    <w:rsid w:val="00AB4099"/>
    <w:rsid w:val="00AB449A"/>
    <w:rsid w:val="00AC7230"/>
    <w:rsid w:val="00AD14F9"/>
    <w:rsid w:val="00AD35D6"/>
    <w:rsid w:val="00AD58C5"/>
    <w:rsid w:val="00AD7EA8"/>
    <w:rsid w:val="00AE36C4"/>
    <w:rsid w:val="00AE472C"/>
    <w:rsid w:val="00AE5375"/>
    <w:rsid w:val="00AE54D1"/>
    <w:rsid w:val="00AE551C"/>
    <w:rsid w:val="00AE6CF8"/>
    <w:rsid w:val="00AF3DA4"/>
    <w:rsid w:val="00AF4CAC"/>
    <w:rsid w:val="00B03E0D"/>
    <w:rsid w:val="00B04DE6"/>
    <w:rsid w:val="00B05408"/>
    <w:rsid w:val="00B054F8"/>
    <w:rsid w:val="00B06107"/>
    <w:rsid w:val="00B16257"/>
    <w:rsid w:val="00B2219A"/>
    <w:rsid w:val="00B24ABA"/>
    <w:rsid w:val="00B330D6"/>
    <w:rsid w:val="00B3581B"/>
    <w:rsid w:val="00B36B81"/>
    <w:rsid w:val="00B36FEE"/>
    <w:rsid w:val="00B37C80"/>
    <w:rsid w:val="00B43755"/>
    <w:rsid w:val="00B5092B"/>
    <w:rsid w:val="00B5194E"/>
    <w:rsid w:val="00B51AF5"/>
    <w:rsid w:val="00B53023"/>
    <w:rsid w:val="00B531FC"/>
    <w:rsid w:val="00B5465A"/>
    <w:rsid w:val="00B55347"/>
    <w:rsid w:val="00B57E5E"/>
    <w:rsid w:val="00B61F37"/>
    <w:rsid w:val="00B63BC2"/>
    <w:rsid w:val="00B7429E"/>
    <w:rsid w:val="00B74772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2A5C"/>
    <w:rsid w:val="00B93834"/>
    <w:rsid w:val="00B96117"/>
    <w:rsid w:val="00B96469"/>
    <w:rsid w:val="00BA0DA2"/>
    <w:rsid w:val="00BA2981"/>
    <w:rsid w:val="00BA2BB7"/>
    <w:rsid w:val="00BA42EE"/>
    <w:rsid w:val="00BA48F9"/>
    <w:rsid w:val="00BA7140"/>
    <w:rsid w:val="00BA7759"/>
    <w:rsid w:val="00BB0DCA"/>
    <w:rsid w:val="00BB2666"/>
    <w:rsid w:val="00BB6B80"/>
    <w:rsid w:val="00BC3773"/>
    <w:rsid w:val="00BC381A"/>
    <w:rsid w:val="00BC5F10"/>
    <w:rsid w:val="00BC795B"/>
    <w:rsid w:val="00BD0962"/>
    <w:rsid w:val="00BD1EED"/>
    <w:rsid w:val="00BE3469"/>
    <w:rsid w:val="00BF0DA2"/>
    <w:rsid w:val="00BF109C"/>
    <w:rsid w:val="00BF1CDE"/>
    <w:rsid w:val="00BF34FA"/>
    <w:rsid w:val="00BF5C14"/>
    <w:rsid w:val="00C004B6"/>
    <w:rsid w:val="00C047A7"/>
    <w:rsid w:val="00C05DE5"/>
    <w:rsid w:val="00C12D68"/>
    <w:rsid w:val="00C1375A"/>
    <w:rsid w:val="00C22B87"/>
    <w:rsid w:val="00C33027"/>
    <w:rsid w:val="00C37667"/>
    <w:rsid w:val="00C42641"/>
    <w:rsid w:val="00C435DB"/>
    <w:rsid w:val="00C44D73"/>
    <w:rsid w:val="00C50B42"/>
    <w:rsid w:val="00C516FF"/>
    <w:rsid w:val="00C51ACF"/>
    <w:rsid w:val="00C52BFA"/>
    <w:rsid w:val="00C53D1D"/>
    <w:rsid w:val="00C53F26"/>
    <w:rsid w:val="00C540BC"/>
    <w:rsid w:val="00C5499D"/>
    <w:rsid w:val="00C648B1"/>
    <w:rsid w:val="00C64F7D"/>
    <w:rsid w:val="00C651D7"/>
    <w:rsid w:val="00C66D37"/>
    <w:rsid w:val="00C67309"/>
    <w:rsid w:val="00C7321A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1FD4"/>
    <w:rsid w:val="00CA63EB"/>
    <w:rsid w:val="00CA69F1"/>
    <w:rsid w:val="00CB2D98"/>
    <w:rsid w:val="00CB358D"/>
    <w:rsid w:val="00CB6991"/>
    <w:rsid w:val="00CC43A1"/>
    <w:rsid w:val="00CC6194"/>
    <w:rsid w:val="00CC6305"/>
    <w:rsid w:val="00CC77CC"/>
    <w:rsid w:val="00CC78A5"/>
    <w:rsid w:val="00CD0516"/>
    <w:rsid w:val="00CD6343"/>
    <w:rsid w:val="00CD756B"/>
    <w:rsid w:val="00CE1191"/>
    <w:rsid w:val="00CE4B46"/>
    <w:rsid w:val="00CE54B6"/>
    <w:rsid w:val="00CE734F"/>
    <w:rsid w:val="00CF112E"/>
    <w:rsid w:val="00CF326B"/>
    <w:rsid w:val="00CF3317"/>
    <w:rsid w:val="00CF5F4F"/>
    <w:rsid w:val="00D079CC"/>
    <w:rsid w:val="00D13135"/>
    <w:rsid w:val="00D1344C"/>
    <w:rsid w:val="00D218DC"/>
    <w:rsid w:val="00D22BC0"/>
    <w:rsid w:val="00D24E56"/>
    <w:rsid w:val="00D31643"/>
    <w:rsid w:val="00D31AEB"/>
    <w:rsid w:val="00D32ECD"/>
    <w:rsid w:val="00D361E4"/>
    <w:rsid w:val="00D42A8F"/>
    <w:rsid w:val="00D439F6"/>
    <w:rsid w:val="00D44240"/>
    <w:rsid w:val="00D459C6"/>
    <w:rsid w:val="00D46C1F"/>
    <w:rsid w:val="00D50729"/>
    <w:rsid w:val="00D50C19"/>
    <w:rsid w:val="00D5379E"/>
    <w:rsid w:val="00D62643"/>
    <w:rsid w:val="00D64C0F"/>
    <w:rsid w:val="00D72EFE"/>
    <w:rsid w:val="00D76227"/>
    <w:rsid w:val="00D7786F"/>
    <w:rsid w:val="00D77DF1"/>
    <w:rsid w:val="00D86AFF"/>
    <w:rsid w:val="00D9015C"/>
    <w:rsid w:val="00D95A44"/>
    <w:rsid w:val="00D95D16"/>
    <w:rsid w:val="00D97C76"/>
    <w:rsid w:val="00DA1384"/>
    <w:rsid w:val="00DB02B4"/>
    <w:rsid w:val="00DB4592"/>
    <w:rsid w:val="00DB538D"/>
    <w:rsid w:val="00DC258E"/>
    <w:rsid w:val="00DC275C"/>
    <w:rsid w:val="00DC4B0D"/>
    <w:rsid w:val="00DC7FE1"/>
    <w:rsid w:val="00DD3F3F"/>
    <w:rsid w:val="00DD4665"/>
    <w:rsid w:val="00DD5572"/>
    <w:rsid w:val="00DE4B72"/>
    <w:rsid w:val="00DE5D80"/>
    <w:rsid w:val="00DE606A"/>
    <w:rsid w:val="00DF4C34"/>
    <w:rsid w:val="00DF58CD"/>
    <w:rsid w:val="00DF65DE"/>
    <w:rsid w:val="00E019A5"/>
    <w:rsid w:val="00E02EC8"/>
    <w:rsid w:val="00E032E6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3FD3"/>
    <w:rsid w:val="00E2453E"/>
    <w:rsid w:val="00E2460C"/>
    <w:rsid w:val="00E24BD7"/>
    <w:rsid w:val="00E260D2"/>
    <w:rsid w:val="00E26523"/>
    <w:rsid w:val="00E26809"/>
    <w:rsid w:val="00E33FCD"/>
    <w:rsid w:val="00E3412D"/>
    <w:rsid w:val="00E3641E"/>
    <w:rsid w:val="00E46813"/>
    <w:rsid w:val="00E540DE"/>
    <w:rsid w:val="00E56927"/>
    <w:rsid w:val="00E5713F"/>
    <w:rsid w:val="00E57322"/>
    <w:rsid w:val="00E60C1C"/>
    <w:rsid w:val="00E628CB"/>
    <w:rsid w:val="00E62AD9"/>
    <w:rsid w:val="00E638C8"/>
    <w:rsid w:val="00E7509B"/>
    <w:rsid w:val="00E8525C"/>
    <w:rsid w:val="00E86590"/>
    <w:rsid w:val="00E907FF"/>
    <w:rsid w:val="00E974E2"/>
    <w:rsid w:val="00EA42D1"/>
    <w:rsid w:val="00EA42EF"/>
    <w:rsid w:val="00EB2DD1"/>
    <w:rsid w:val="00EB4573"/>
    <w:rsid w:val="00EB604C"/>
    <w:rsid w:val="00EB6B37"/>
    <w:rsid w:val="00EB76E7"/>
    <w:rsid w:val="00EB76FA"/>
    <w:rsid w:val="00EC0B46"/>
    <w:rsid w:val="00EC29FE"/>
    <w:rsid w:val="00EC3C70"/>
    <w:rsid w:val="00EC7BEE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4E25"/>
    <w:rsid w:val="00F3597D"/>
    <w:rsid w:val="00F40DF8"/>
    <w:rsid w:val="00F4376D"/>
    <w:rsid w:val="00F45399"/>
    <w:rsid w:val="00F465EA"/>
    <w:rsid w:val="00F53F98"/>
    <w:rsid w:val="00F54E7B"/>
    <w:rsid w:val="00F55A88"/>
    <w:rsid w:val="00F61D41"/>
    <w:rsid w:val="00F7183B"/>
    <w:rsid w:val="00F74005"/>
    <w:rsid w:val="00F76884"/>
    <w:rsid w:val="00F822EF"/>
    <w:rsid w:val="00F83D24"/>
    <w:rsid w:val="00F83DD9"/>
    <w:rsid w:val="00F83F40"/>
    <w:rsid w:val="00F93A17"/>
    <w:rsid w:val="00F96DF6"/>
    <w:rsid w:val="00FA117A"/>
    <w:rsid w:val="00FA1C99"/>
    <w:rsid w:val="00FB0EAB"/>
    <w:rsid w:val="00FB386A"/>
    <w:rsid w:val="00FB4311"/>
    <w:rsid w:val="00FC0786"/>
    <w:rsid w:val="00FC49EF"/>
    <w:rsid w:val="00FD2AA4"/>
    <w:rsid w:val="00FD34E7"/>
    <w:rsid w:val="00FD4CE5"/>
    <w:rsid w:val="00FE0BBF"/>
    <w:rsid w:val="00FE2209"/>
    <w:rsid w:val="00FE36E2"/>
    <w:rsid w:val="00FE5A7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A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F22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F22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801F71"/>
    <w:rPr>
      <w:rFonts w:cs="Times New Roman"/>
      <w:color w:val="800080"/>
      <w:u w:val="single"/>
    </w:rPr>
  </w:style>
  <w:style w:type="character" w:styleId="Tekstzastpczy">
    <w:name w:val="Placeholder Text"/>
    <w:uiPriority w:val="99"/>
    <w:semiHidden/>
    <w:rsid w:val="00EF290C"/>
    <w:rPr>
      <w:rFonts w:cs="Times New Roman"/>
      <w:color w:val="808080"/>
    </w:rPr>
  </w:style>
  <w:style w:type="paragraph" w:customStyle="1" w:styleId="Default">
    <w:name w:val="Default"/>
    <w:rsid w:val="002A11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Kowals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0190-543E-4289-AEBE-7C804171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8677</CharactersWithSpaces>
  <SharedDoc>false</SharedDoc>
  <HLinks>
    <vt:vector size="30" baseType="variant">
      <vt:variant>
        <vt:i4>6815805</vt:i4>
      </vt:variant>
      <vt:variant>
        <vt:i4>33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27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5439499</vt:i4>
      </vt:variant>
      <vt:variant>
        <vt:i4>24</vt:i4>
      </vt:variant>
      <vt:variant>
        <vt:i4>0</vt:i4>
      </vt:variant>
      <vt:variant>
        <vt:i4>5</vt:i4>
      </vt:variant>
      <vt:variant>
        <vt:lpwstr>https://www.gpw.pl/statystyki-gpw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2021-07-07T13:05:00Z</dcterms:created>
  <dcterms:modified xsi:type="dcterms:W3CDTF">2021-07-07T13:05:00Z</dcterms:modified>
</cp:coreProperties>
</file>