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AC6B" w14:textId="75D543AA" w:rsidR="00261A16" w:rsidRDefault="002D355E" w:rsidP="002D355E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143DAC">
        <w:t xml:space="preserve">z dnia </w:t>
      </w:r>
      <w:r w:rsidR="00A429AD">
        <w:t>06.07</w:t>
      </w:r>
      <w:r>
        <w:t>.2021 r.</w:t>
      </w:r>
    </w:p>
    <w:p w14:paraId="6E435857" w14:textId="77777777" w:rsidR="002D355E" w:rsidRDefault="002D355E" w:rsidP="002D355E">
      <w:pPr>
        <w:pStyle w:val="OZNRODZAKTUtznustawalubrozporzdzenieiorganwydajcy"/>
      </w:pPr>
      <w:r>
        <w:t xml:space="preserve">Rozporządzenie </w:t>
      </w:r>
    </w:p>
    <w:p w14:paraId="28A0E8C9" w14:textId="77777777" w:rsidR="002D355E" w:rsidRDefault="002D355E" w:rsidP="002D355E">
      <w:pPr>
        <w:pStyle w:val="OZNRODZAKTUtznustawalubrozporzdzenieiorganwydajcy"/>
      </w:pPr>
      <w:r>
        <w:t xml:space="preserve">Ministra </w:t>
      </w:r>
      <w:r w:rsidR="00A96B2A">
        <w:t>INFRASTRUKTUR</w:t>
      </w:r>
      <w:r w:rsidR="00143DAC">
        <w:t>Y</w:t>
      </w:r>
      <w:r w:rsidR="00A96B2A" w:rsidRPr="00A96B2A">
        <w:rPr>
          <w:rStyle w:val="IGPindeksgrnyipogrubienie"/>
        </w:rPr>
        <w:footnoteReference w:id="1"/>
      </w:r>
      <w:r w:rsidR="00A96B2A" w:rsidRPr="00A96B2A">
        <w:rPr>
          <w:rStyle w:val="IGPindeksgrnyipogrubienie"/>
        </w:rPr>
        <w:t>)</w:t>
      </w:r>
    </w:p>
    <w:p w14:paraId="400F1F24" w14:textId="77777777" w:rsidR="002D355E" w:rsidRDefault="002D355E" w:rsidP="002D355E">
      <w:pPr>
        <w:pStyle w:val="DATAAKTUdatauchwalenialubwydaniaaktu"/>
      </w:pPr>
      <w:r>
        <w:t>z dnia                2021 r.</w:t>
      </w:r>
    </w:p>
    <w:p w14:paraId="1F2A83CB" w14:textId="77777777" w:rsidR="002D355E" w:rsidRDefault="002D355E" w:rsidP="002D355E">
      <w:pPr>
        <w:pStyle w:val="TYTUAKTUprzedmiotregulacjiustawylubrozporzdzenia"/>
      </w:pPr>
      <w:r w:rsidRPr="002D355E">
        <w:t>zmieniające rozporządzenie w sprawie szczegółowych czynności organów w sprawach związanych z dopuszczeniem pojazdu do ruchu oraz wzorów dokumentów w tych sprawach</w:t>
      </w:r>
    </w:p>
    <w:p w14:paraId="3D0EC2CF" w14:textId="77777777" w:rsidR="002D355E" w:rsidRDefault="002D355E" w:rsidP="002D355E">
      <w:pPr>
        <w:pStyle w:val="NIEARTTEKSTtekstnieartykuowanynppodstprawnarozplubpreambua"/>
      </w:pPr>
      <w:r>
        <w:t xml:space="preserve">Na podstawie art. 76 ust. 1 pkt 3 ustawy z dnia 20 czerwca 1997 r. </w:t>
      </w:r>
      <w:r w:rsidRPr="00B91CED">
        <w:t>–</w:t>
      </w:r>
      <w:r>
        <w:t xml:space="preserve"> Prawo o ruchu drogowym (Dz. U. z 2021 r. poz. 450, 463, 694 i 720) zarządza się, co następuje:</w:t>
      </w:r>
    </w:p>
    <w:p w14:paraId="7A5464A6" w14:textId="77777777" w:rsidR="000940CE" w:rsidRDefault="002D355E" w:rsidP="00BF5B25">
      <w:pPr>
        <w:pStyle w:val="ARTartustawynprozporzdzenia"/>
      </w:pPr>
      <w:r w:rsidRPr="00EB4E1F">
        <w:rPr>
          <w:rStyle w:val="Ppogrubienie"/>
        </w:rPr>
        <w:t>§ 1.</w:t>
      </w:r>
      <w:r>
        <w:tab/>
        <w:t xml:space="preserve">W rozporządzeniu z dnia 27 września 2003 r. </w:t>
      </w:r>
      <w:r w:rsidRPr="005A0844">
        <w:t xml:space="preserve">w sprawie </w:t>
      </w:r>
      <w:r w:rsidRPr="00B53B11">
        <w:t xml:space="preserve">szczegółowych czynności organów w sprawach związanych z dopuszczeniem pojazdu do ruchu oraz wzorów dokumentów w tych sprawach </w:t>
      </w:r>
      <w:r>
        <w:t>(Dz. U. z 2019 r. poz. 2130, z 2020 r. poz. 2168</w:t>
      </w:r>
      <w:r w:rsidRPr="002D355E">
        <w:t xml:space="preserve"> </w:t>
      </w:r>
      <w:r>
        <w:t>oraz z 2021 r. poz.</w:t>
      </w:r>
      <w:r w:rsidR="00A96B2A">
        <w:t xml:space="preserve"> </w:t>
      </w:r>
      <w:r>
        <w:t xml:space="preserve">1007) </w:t>
      </w:r>
      <w:r w:rsidR="000940CE">
        <w:t>wprowadza się następujące zmiany:</w:t>
      </w:r>
    </w:p>
    <w:p w14:paraId="12A63243" w14:textId="77777777" w:rsidR="002D355E" w:rsidRDefault="000940CE" w:rsidP="000940CE">
      <w:pPr>
        <w:pStyle w:val="PKTpunkt"/>
      </w:pPr>
      <w:r>
        <w:t>1)</w:t>
      </w:r>
      <w:r>
        <w:tab/>
      </w:r>
      <w:r w:rsidR="00BF5B25">
        <w:t xml:space="preserve">po § 2a </w:t>
      </w:r>
      <w:r w:rsidR="00FF12FC">
        <w:t xml:space="preserve">dodaje się </w:t>
      </w:r>
      <w:r w:rsidR="00BF5B25">
        <w:t>§ 2a</w:t>
      </w:r>
      <w:r w:rsidR="00E0705F">
        <w:t>a w brzmieniu:</w:t>
      </w:r>
    </w:p>
    <w:p w14:paraId="0CE2F4DB" w14:textId="77777777" w:rsidR="00E12B73" w:rsidRDefault="00E0705F" w:rsidP="00FF12FC">
      <w:pPr>
        <w:pStyle w:val="ZUSTzmustartykuempunktem"/>
      </w:pPr>
      <w:r w:rsidRPr="00E0705F">
        <w:t>„</w:t>
      </w:r>
      <w:r w:rsidR="008B4916">
        <w:t>§ 2aa</w:t>
      </w:r>
      <w:r>
        <w:t>.</w:t>
      </w:r>
      <w:r>
        <w:tab/>
      </w:r>
      <w:r w:rsidR="008B4916">
        <w:tab/>
      </w:r>
      <w:r>
        <w:t>Organ rejestrujący</w:t>
      </w:r>
      <w:r w:rsidR="00BF5B25">
        <w:t xml:space="preserve"> </w:t>
      </w:r>
      <w:r w:rsidR="008B4916">
        <w:t xml:space="preserve">prowadząc </w:t>
      </w:r>
      <w:r w:rsidR="007C0D3D">
        <w:t xml:space="preserve">postępowania </w:t>
      </w:r>
      <w:r w:rsidR="008B4916">
        <w:t>w sprawach rejestracji pojazdów, może</w:t>
      </w:r>
      <w:r w:rsidR="00415B16" w:rsidRPr="00415B16">
        <w:t xml:space="preserve"> </w:t>
      </w:r>
      <w:r w:rsidR="00415B16">
        <w:t xml:space="preserve">korzystać z </w:t>
      </w:r>
      <w:r w:rsidR="00415B16" w:rsidRPr="00FF12FC">
        <w:t>udostępnion</w:t>
      </w:r>
      <w:r w:rsidR="00415B16">
        <w:t xml:space="preserve">ych </w:t>
      </w:r>
      <w:r w:rsidR="00415B16" w:rsidRPr="00FF12FC">
        <w:t>przez Dyrektora Transportowego Dozoru Technicznego</w:t>
      </w:r>
      <w:r w:rsidR="00415B16">
        <w:t xml:space="preserve"> w systemie teleinformatycznym rejestracji</w:t>
      </w:r>
      <w:r w:rsidR="00E12B73">
        <w:t>:</w:t>
      </w:r>
    </w:p>
    <w:p w14:paraId="79D83817" w14:textId="77777777" w:rsidR="008B4916" w:rsidRDefault="00E12B73" w:rsidP="00FF12FC">
      <w:pPr>
        <w:pStyle w:val="ZPKTzmpktartykuempunktem"/>
      </w:pPr>
      <w:r>
        <w:t>1)</w:t>
      </w:r>
      <w:r>
        <w:tab/>
      </w:r>
      <w:r w:rsidR="008B4916">
        <w:t>bazy punktów kontaktowych</w:t>
      </w:r>
      <w:r w:rsidR="008B4916" w:rsidRPr="00FF12FC">
        <w:t xml:space="preserve"> przedstawicieli producentów pojazdów na terytorium Rzeczypospolitej Polskiej</w:t>
      </w:r>
      <w:r w:rsidR="00FC6A25">
        <w:t xml:space="preserve">, </w:t>
      </w:r>
      <w:r w:rsidR="00415B16">
        <w:t>o której mowa w</w:t>
      </w:r>
      <w:r w:rsidR="00415B16" w:rsidRPr="00FF12FC">
        <w:t xml:space="preserve"> art. 73d ust. 4 pkt </w:t>
      </w:r>
      <w:r w:rsidR="00415B16">
        <w:t>1</w:t>
      </w:r>
      <w:r w:rsidR="00415B16" w:rsidRPr="00FF12FC">
        <w:t xml:space="preserve"> ustawy</w:t>
      </w:r>
      <w:r w:rsidR="00415B16">
        <w:t>;</w:t>
      </w:r>
    </w:p>
    <w:p w14:paraId="76ECD5F2" w14:textId="77777777" w:rsidR="00E0705F" w:rsidRDefault="008B4916" w:rsidP="00FF12FC">
      <w:pPr>
        <w:pStyle w:val="ZPKTzmpktartykuempunktem"/>
      </w:pPr>
      <w:r>
        <w:t>2)</w:t>
      </w:r>
      <w:r>
        <w:tab/>
      </w:r>
      <w:r w:rsidR="00415B16">
        <w:t xml:space="preserve">wzorów </w:t>
      </w:r>
      <w:r w:rsidR="00415B16" w:rsidRPr="00FF12FC">
        <w:t>wymaganych podpisów</w:t>
      </w:r>
      <w:r w:rsidR="00415B16">
        <w:t xml:space="preserve">, o których mowa w </w:t>
      </w:r>
      <w:r w:rsidR="00E12B73" w:rsidRPr="00E12B73">
        <w:t xml:space="preserve">art. 73d ust. 4 </w:t>
      </w:r>
      <w:r w:rsidR="00E12B73">
        <w:t xml:space="preserve">pkt 2 </w:t>
      </w:r>
      <w:r w:rsidR="00E12B73" w:rsidRPr="00E12B73">
        <w:t>ustawy</w:t>
      </w:r>
      <w:r w:rsidR="008C577A">
        <w:t>.”</w:t>
      </w:r>
      <w:r w:rsidR="000940CE">
        <w:t>;</w:t>
      </w:r>
    </w:p>
    <w:p w14:paraId="76D88E09" w14:textId="77777777" w:rsidR="000940CE" w:rsidRDefault="000940CE" w:rsidP="000940CE">
      <w:pPr>
        <w:pStyle w:val="PKTpunkt"/>
      </w:pPr>
      <w:r>
        <w:t>2)</w:t>
      </w:r>
      <w:r>
        <w:tab/>
        <w:t xml:space="preserve">w załączniku nr 2 </w:t>
      </w:r>
      <w:r w:rsidR="00085FBD">
        <w:t>po</w:t>
      </w:r>
      <w:r w:rsidR="00665AB2">
        <w:t xml:space="preserve"> § 1 dodaje się </w:t>
      </w:r>
      <w:r w:rsidR="00085FBD">
        <w:t xml:space="preserve">§ </w:t>
      </w:r>
      <w:r w:rsidR="00665AB2">
        <w:t>1a w brzmieniu:</w:t>
      </w:r>
    </w:p>
    <w:p w14:paraId="5F9AB092" w14:textId="565D00D8" w:rsidR="002B5E09" w:rsidRDefault="00665AB2" w:rsidP="002B5E09">
      <w:pPr>
        <w:pStyle w:val="ZPKTzmpktartykuempunktem"/>
      </w:pPr>
      <w:r>
        <w:t>„</w:t>
      </w:r>
      <w:r w:rsidR="00085FBD" w:rsidRPr="00085FBD">
        <w:t>§ 1</w:t>
      </w:r>
      <w:r w:rsidR="009C0208">
        <w:t>a</w:t>
      </w:r>
      <w:r w:rsidR="00085FBD">
        <w:t>.</w:t>
      </w:r>
      <w:r w:rsidR="00085FBD">
        <w:tab/>
      </w:r>
      <w:r w:rsidR="00085FBD" w:rsidRPr="00085FBD">
        <w:t xml:space="preserve">Po dokonaniu czasowej rejestracji </w:t>
      </w:r>
      <w:r w:rsidR="00B603EC" w:rsidRPr="00B603EC">
        <w:t xml:space="preserve">z urzędu </w:t>
      </w:r>
      <w:r w:rsidR="00085FBD" w:rsidRPr="00085FBD">
        <w:t xml:space="preserve">nowego </w:t>
      </w:r>
      <w:r w:rsidR="00B603EC" w:rsidRPr="00B603EC">
        <w:t xml:space="preserve">pojazdu </w:t>
      </w:r>
      <w:r w:rsidR="00085FBD" w:rsidRPr="00085FBD">
        <w:t xml:space="preserve">z dołączonym dokumentem, o którym mowa w art. 72 ust. 1 pkt 3 ustawy, a przed wystawieniem dowodu rejestracyjnego, organ rejestrujący </w:t>
      </w:r>
      <w:r w:rsidR="00ED72CA">
        <w:t>pojazd</w:t>
      </w:r>
      <w:r w:rsidR="00D56A04">
        <w:t xml:space="preserve"> porównuje podpis </w:t>
      </w:r>
      <w:r w:rsidR="00085FBD">
        <w:t xml:space="preserve">zamieszczony </w:t>
      </w:r>
      <w:r w:rsidR="00E066D0">
        <w:t xml:space="preserve">na </w:t>
      </w:r>
      <w:r w:rsidR="005D1B66">
        <w:t>ty</w:t>
      </w:r>
      <w:r w:rsidR="00ED72CA">
        <w:t>m</w:t>
      </w:r>
      <w:r w:rsidR="005D1B66">
        <w:t xml:space="preserve"> dokumen</w:t>
      </w:r>
      <w:r w:rsidR="00ED72CA">
        <w:t>cie</w:t>
      </w:r>
      <w:r w:rsidR="005D1B66">
        <w:t xml:space="preserve"> </w:t>
      </w:r>
      <w:r w:rsidR="00085FBD">
        <w:t>z</w:t>
      </w:r>
      <w:r w:rsidR="00C0528D">
        <w:t>e</w:t>
      </w:r>
      <w:r w:rsidR="00085FBD">
        <w:t xml:space="preserve"> wzorami </w:t>
      </w:r>
      <w:r w:rsidR="00085FBD" w:rsidRPr="00FF12FC">
        <w:t>wymaganych podpisów</w:t>
      </w:r>
      <w:r w:rsidR="00085FBD">
        <w:t xml:space="preserve">, o których mowa w </w:t>
      </w:r>
      <w:r w:rsidR="00085FBD" w:rsidRPr="00E12B73">
        <w:t xml:space="preserve">art. 73d ust. 4 </w:t>
      </w:r>
      <w:r w:rsidR="00085FBD">
        <w:t xml:space="preserve">pkt 2 </w:t>
      </w:r>
      <w:r w:rsidR="00085FBD" w:rsidRPr="00E12B73">
        <w:t>ustawy</w:t>
      </w:r>
      <w:r w:rsidR="00B603EC">
        <w:t>, jeżeli zostały udostępnione</w:t>
      </w:r>
      <w:r w:rsidR="00ED72CA" w:rsidRPr="00ED72CA">
        <w:t xml:space="preserve"> w systemie teleinformatycznym rejestracji</w:t>
      </w:r>
      <w:r w:rsidR="00B603EC">
        <w:t xml:space="preserve">, </w:t>
      </w:r>
      <w:r w:rsidR="00B603EC" w:rsidRPr="00B603EC">
        <w:t xml:space="preserve">i prowadzi, w razie konieczności, postępowanie wyjaśniające </w:t>
      </w:r>
      <w:r w:rsidR="009C0208">
        <w:t>kwestie niezgodności tych podpisów z</w:t>
      </w:r>
      <w:r w:rsidR="00013B2B" w:rsidRPr="00013B2B">
        <w:t xml:space="preserve"> producent</w:t>
      </w:r>
      <w:r w:rsidR="009C0208">
        <w:t>em</w:t>
      </w:r>
      <w:r w:rsidR="00013B2B" w:rsidRPr="00013B2B">
        <w:t xml:space="preserve"> lub </w:t>
      </w:r>
      <w:r w:rsidR="00013B2B" w:rsidRPr="00013B2B">
        <w:lastRenderedPageBreak/>
        <w:t>upoważnion</w:t>
      </w:r>
      <w:r w:rsidR="00557CD9">
        <w:t>ym</w:t>
      </w:r>
      <w:r w:rsidR="00013B2B" w:rsidRPr="00013B2B">
        <w:t xml:space="preserve"> przedstawiciel</w:t>
      </w:r>
      <w:r w:rsidR="00557CD9">
        <w:t>em</w:t>
      </w:r>
      <w:r w:rsidR="00013B2B" w:rsidRPr="00013B2B">
        <w:t xml:space="preserve">, o którym mowa w art. 70n ust. 2 ustawy, lub </w:t>
      </w:r>
      <w:r w:rsidR="00ED72CA">
        <w:t xml:space="preserve">z </w:t>
      </w:r>
      <w:r w:rsidR="00ED72CA" w:rsidRPr="00ED72CA">
        <w:t>Dyrektor</w:t>
      </w:r>
      <w:r w:rsidR="00ED72CA">
        <w:t>em</w:t>
      </w:r>
      <w:r w:rsidR="00ED72CA" w:rsidRPr="00ED72CA">
        <w:t xml:space="preserve"> Transportowego Dozoru Technicznego</w:t>
      </w:r>
      <w:r w:rsidR="00557CD9">
        <w:t>.</w:t>
      </w:r>
      <w:r>
        <w:t>”</w:t>
      </w:r>
      <w:r w:rsidR="00FF0A3E">
        <w:t>.</w:t>
      </w:r>
    </w:p>
    <w:p w14:paraId="4C74AA81" w14:textId="77777777" w:rsidR="00631FD0" w:rsidRPr="00631FD0" w:rsidRDefault="00631FD0" w:rsidP="00631FD0">
      <w:pPr>
        <w:pStyle w:val="ARTartustawynprozporzdzenia"/>
      </w:pPr>
      <w:r w:rsidRPr="00631FD0">
        <w:rPr>
          <w:rStyle w:val="Ppogrubienie"/>
        </w:rPr>
        <w:t>§</w:t>
      </w:r>
      <w:r>
        <w:rPr>
          <w:rStyle w:val="Ppogrubienie"/>
        </w:rPr>
        <w:t xml:space="preserve"> 2.</w:t>
      </w:r>
      <w:r w:rsidR="003246DF">
        <w:rPr>
          <w:rStyle w:val="Ppogrubienie"/>
        </w:rPr>
        <w:tab/>
      </w:r>
      <w:r w:rsidRPr="00631FD0">
        <w:t>Do wniosków złożonych i nierozpatrzonych przed dniem wejścia w życie niniejszego rozporządzenia stosuje się przepisy dotychczasowe.</w:t>
      </w:r>
    </w:p>
    <w:p w14:paraId="32BDEC0F" w14:textId="77777777" w:rsidR="00B01F74" w:rsidRDefault="00BF5B25" w:rsidP="008C577A">
      <w:pPr>
        <w:pStyle w:val="ARTartustawynprozporzdzenia"/>
      </w:pPr>
      <w:r w:rsidRPr="00BF5B25">
        <w:rPr>
          <w:rStyle w:val="Ppogrubienie"/>
        </w:rPr>
        <w:t xml:space="preserve">§ </w:t>
      </w:r>
      <w:r w:rsidR="00631FD0">
        <w:rPr>
          <w:rStyle w:val="Ppogrubienie"/>
        </w:rPr>
        <w:t>3</w:t>
      </w:r>
      <w:r w:rsidRPr="00BF5B25">
        <w:rPr>
          <w:rStyle w:val="Ppogrubienie"/>
        </w:rPr>
        <w:t>.</w:t>
      </w:r>
      <w:r>
        <w:tab/>
      </w:r>
      <w:r w:rsidRPr="00BF5B25">
        <w:t xml:space="preserve">Rozporządzenie wchodzi w życie z dniem </w:t>
      </w:r>
      <w:r>
        <w:t>4 września 2021</w:t>
      </w:r>
      <w:r w:rsidRPr="00BF5B25">
        <w:t xml:space="preserve"> r.</w:t>
      </w:r>
    </w:p>
    <w:p w14:paraId="3B15C315" w14:textId="77777777" w:rsidR="009C0208" w:rsidRDefault="009C0208" w:rsidP="008C577A">
      <w:pPr>
        <w:pStyle w:val="ARTartustawynprozporzdzenia"/>
      </w:pPr>
    </w:p>
    <w:p w14:paraId="4CE9C8FB" w14:textId="77777777" w:rsidR="00BF5B25" w:rsidRDefault="00BF5B25" w:rsidP="00BF5B25">
      <w:pPr>
        <w:pStyle w:val="NAZORGWYDnazwaorganuwydajcegoprojektowanyakt"/>
      </w:pPr>
      <w:r>
        <w:t>Minister Infrastruktury</w:t>
      </w:r>
    </w:p>
    <w:p w14:paraId="3FD0228B" w14:textId="77777777" w:rsidR="00BF5B25" w:rsidRDefault="00BF5B25" w:rsidP="00BF5B25">
      <w:pPr>
        <w:pStyle w:val="TEKSTwporozumieniu"/>
      </w:pPr>
      <w:r>
        <w:t>W porozumieniu:</w:t>
      </w:r>
    </w:p>
    <w:p w14:paraId="2ECA14C6" w14:textId="77777777" w:rsidR="00B01F74" w:rsidRDefault="00BF5B25" w:rsidP="00BF5B25">
      <w:pPr>
        <w:pStyle w:val="NAZORGWPOROZUMIENIUnazwaorganuwporozumieniuzktrymaktjestwydawany"/>
      </w:pPr>
      <w:r>
        <w:t>Minister Cyfryzacji</w:t>
      </w:r>
    </w:p>
    <w:p w14:paraId="372EC7A7" w14:textId="77777777" w:rsidR="00F65768" w:rsidRPr="00F65768" w:rsidRDefault="00F65768" w:rsidP="00F65768">
      <w:r w:rsidRPr="00F65768">
        <w:t>Za zgodność pod względem prawnym,</w:t>
      </w:r>
    </w:p>
    <w:p w14:paraId="18AE273D" w14:textId="77777777" w:rsidR="00F65768" w:rsidRPr="00F65768" w:rsidRDefault="00F65768" w:rsidP="00F65768">
      <w:r w:rsidRPr="00F65768">
        <w:t>legislacyjnym i redakcyjnym</w:t>
      </w:r>
    </w:p>
    <w:p w14:paraId="6C241345" w14:textId="77777777" w:rsidR="00F65768" w:rsidRPr="00F65768" w:rsidRDefault="00F65768" w:rsidP="00F65768">
      <w:r w:rsidRPr="00F65768">
        <w:t>Marcin Przychodzki</w:t>
      </w:r>
    </w:p>
    <w:p w14:paraId="3F041C2D" w14:textId="77777777" w:rsidR="00F65768" w:rsidRPr="00F65768" w:rsidRDefault="00F65768" w:rsidP="00F65768">
      <w:r w:rsidRPr="00F65768">
        <w:t>Dyrektor Departamentu Prawnego</w:t>
      </w:r>
    </w:p>
    <w:p w14:paraId="3B2A463A" w14:textId="1BB9C996" w:rsidR="00F65768" w:rsidRDefault="00F65768" w:rsidP="00F65768">
      <w:pPr>
        <w:widowControl/>
        <w:autoSpaceDE/>
        <w:autoSpaceDN/>
        <w:adjustRightInd/>
      </w:pPr>
      <w:r w:rsidRPr="00F65768">
        <w:t>w Ministerstwie Infrastruktury</w:t>
      </w:r>
    </w:p>
    <w:p w14:paraId="198BC773" w14:textId="77777777" w:rsidR="00B01F74" w:rsidRDefault="00B01F74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226F4040" w14:textId="77777777" w:rsidR="00B01F74" w:rsidRPr="00B01F74" w:rsidRDefault="00B01F74" w:rsidP="00B01F74">
      <w:pPr>
        <w:pStyle w:val="OZNRODZAKTUtznustawalubrozporzdzenieiorganwydajcy"/>
        <w:rPr>
          <w:rStyle w:val="Ppogrubienie"/>
        </w:rPr>
      </w:pPr>
      <w:r w:rsidRPr="00B01F74">
        <w:rPr>
          <w:rStyle w:val="Ppogrubienie"/>
        </w:rPr>
        <w:lastRenderedPageBreak/>
        <w:t>U Z A S A D N I E N I E</w:t>
      </w:r>
    </w:p>
    <w:p w14:paraId="210096F1" w14:textId="77777777" w:rsidR="00B01F74" w:rsidRPr="00B01F74" w:rsidRDefault="00B01F74" w:rsidP="00B01F74"/>
    <w:p w14:paraId="2EAB5E2A" w14:textId="77777777" w:rsidR="00B01F74" w:rsidRPr="00B01F74" w:rsidRDefault="00B01F74" w:rsidP="00477B98">
      <w:pPr>
        <w:pStyle w:val="ARTartustawynprozporzdzenia"/>
        <w:ind w:firstLine="0"/>
      </w:pPr>
      <w:r w:rsidRPr="00B01F74">
        <w:t>Projekt rozporządzenia Ministra Infrastruktury zmieniającego rozporządzenie w sprawie szczegółowych czynności organów w sprawach związanych z dopuszczeniem pojazdu do ruchu oraz wzorów dokumentów w tych sprawach został wpisany do Wykazu Prac Legislacyjnych Ministra Infrastruktury pod nr</w:t>
      </w:r>
      <w:r w:rsidR="00FF0A3E">
        <w:t xml:space="preserve"> 139</w:t>
      </w:r>
      <w:r w:rsidRPr="00B01F74">
        <w:t>.</w:t>
      </w:r>
    </w:p>
    <w:p w14:paraId="7F483716" w14:textId="066AB2FB" w:rsidR="0055671B" w:rsidRDefault="00B01F74" w:rsidP="00477B98">
      <w:pPr>
        <w:pStyle w:val="ARTartustawynprozporzdzenia"/>
        <w:ind w:firstLine="0"/>
      </w:pPr>
      <w:r w:rsidRPr="00B01F74">
        <w:t>Opracowanie projektu rozporządzenia związane jest z</w:t>
      </w:r>
      <w:r w:rsidR="005C4174">
        <w:t xml:space="preserve"> przepisami art. 73d</w:t>
      </w:r>
      <w:r w:rsidRPr="00B01F74">
        <w:t xml:space="preserve"> ustawy z dnia </w:t>
      </w:r>
      <w:r w:rsidR="00FC6A25">
        <w:br/>
      </w:r>
      <w:r w:rsidRPr="00B01F74">
        <w:t xml:space="preserve">14 sierpnia 2020 r. o zmianie ustawy – Prawo o ruchu drogowym oraz niektórych innych ustaw (Dz. U. poz. 1517) </w:t>
      </w:r>
      <w:r w:rsidR="00FC6A25">
        <w:t>wchodzący</w:t>
      </w:r>
      <w:r w:rsidR="005C4174">
        <w:t>m</w:t>
      </w:r>
      <w:r w:rsidR="00527B87">
        <w:t>i</w:t>
      </w:r>
      <w:r w:rsidR="00FC6A25">
        <w:t xml:space="preserve"> w życie z dniem 4 września 2021 r. Przepis </w:t>
      </w:r>
      <w:r w:rsidR="00880C5D">
        <w:br/>
      </w:r>
      <w:r w:rsidR="00FC6A25">
        <w:t>te</w:t>
      </w:r>
      <w:r w:rsidR="00880C5D">
        <w:t>n</w:t>
      </w:r>
      <w:r w:rsidR="00FC6A25">
        <w:t xml:space="preserve"> </w:t>
      </w:r>
      <w:r w:rsidR="00880C5D" w:rsidRPr="00880C5D">
        <w:t>(art. 73d ust. 4 ustawy – Prawo o ruchu drogowym)</w:t>
      </w:r>
      <w:r w:rsidR="00880C5D">
        <w:t xml:space="preserve"> </w:t>
      </w:r>
      <w:r w:rsidR="005C4174">
        <w:t>nakłada</w:t>
      </w:r>
      <w:r w:rsidR="00FC6A25">
        <w:t xml:space="preserve"> na </w:t>
      </w:r>
      <w:r w:rsidR="00F66406" w:rsidRPr="00F66406">
        <w:t>Dyrektora Transportowego Dozoru Technicznego</w:t>
      </w:r>
      <w:r w:rsidR="00F66406">
        <w:t xml:space="preserve"> obowiązek udostępnienia organom rejestrującym pojazdy </w:t>
      </w:r>
      <w:r w:rsidR="0055671B" w:rsidRPr="0055671B">
        <w:t>baz</w:t>
      </w:r>
      <w:r w:rsidR="005C4174">
        <w:t>y</w:t>
      </w:r>
      <w:r w:rsidR="0055671B" w:rsidRPr="0055671B">
        <w:t xml:space="preserve"> punktów kontaktowych przedstawicieli producentów pojazdów na terytorium Rzeczypospolitej Po</w:t>
      </w:r>
      <w:r w:rsidR="004D0E9A">
        <w:t>lskiej oraz obowiązek udostępnie</w:t>
      </w:r>
      <w:r w:rsidR="0055671B" w:rsidRPr="0055671B">
        <w:t xml:space="preserve">nia tym organom określanych </w:t>
      </w:r>
      <w:r w:rsidR="002D00E8">
        <w:br/>
      </w:r>
      <w:r w:rsidR="0055671B" w:rsidRPr="0055671B">
        <w:t xml:space="preserve">w procesie homologacji wzorów podpisów </w:t>
      </w:r>
      <w:r w:rsidR="00880C5D">
        <w:t xml:space="preserve">zamieszczanych </w:t>
      </w:r>
      <w:r w:rsidR="0055671B" w:rsidRPr="0055671B">
        <w:t xml:space="preserve">na wydawanych </w:t>
      </w:r>
      <w:r w:rsidR="00527B87" w:rsidRPr="00527B87">
        <w:t xml:space="preserve">dokumentach, </w:t>
      </w:r>
      <w:r w:rsidR="002D00E8">
        <w:br/>
      </w:r>
      <w:r w:rsidR="00527B87" w:rsidRPr="00527B87">
        <w:t>o których mowa w art. 72 ust. 1 pkt 3</w:t>
      </w:r>
      <w:r w:rsidR="00880C5D" w:rsidRPr="00880C5D">
        <w:t xml:space="preserve"> ustawy</w:t>
      </w:r>
      <w:r w:rsidR="0055671B" w:rsidRPr="0055671B">
        <w:t>.</w:t>
      </w:r>
    </w:p>
    <w:p w14:paraId="1076524A" w14:textId="77777777" w:rsidR="0055671B" w:rsidRPr="0055671B" w:rsidRDefault="00B01F74" w:rsidP="00477B98">
      <w:pPr>
        <w:pStyle w:val="ARTartustawynprozporzdzenia"/>
        <w:ind w:firstLine="0"/>
      </w:pPr>
      <w:r w:rsidRPr="00B01F74">
        <w:t xml:space="preserve">Uwzględniając powyższe w projekcie rozporządzenia zaproponowano </w:t>
      </w:r>
      <w:r w:rsidR="0055671B" w:rsidRPr="0055671B">
        <w:t>dodan</w:t>
      </w:r>
      <w:r w:rsidR="00F66406">
        <w:t>i</w:t>
      </w:r>
      <w:r w:rsidR="0055671B" w:rsidRPr="0055671B">
        <w:t>e przepis</w:t>
      </w:r>
      <w:r w:rsidR="00880C5D">
        <w:t>u</w:t>
      </w:r>
      <w:r w:rsidR="00357C3A">
        <w:t xml:space="preserve"> </w:t>
      </w:r>
      <w:r w:rsidR="00880C5D">
        <w:br/>
      </w:r>
      <w:r w:rsidR="00357C3A">
        <w:t>(</w:t>
      </w:r>
      <w:r w:rsidR="00357C3A" w:rsidRPr="00357C3A">
        <w:t>§</w:t>
      </w:r>
      <w:r w:rsidR="00357C3A">
        <w:t xml:space="preserve"> 1 pkt 1 projektu)</w:t>
      </w:r>
      <w:r w:rsidR="0055671B" w:rsidRPr="0055671B">
        <w:t xml:space="preserve"> </w:t>
      </w:r>
      <w:r w:rsidR="00BC0C01">
        <w:t>wskazując</w:t>
      </w:r>
      <w:r w:rsidR="00880C5D">
        <w:t>ego</w:t>
      </w:r>
      <w:r w:rsidR="00BC0C01">
        <w:t xml:space="preserve"> na możliwość korzystania </w:t>
      </w:r>
      <w:r w:rsidR="00BC0C01" w:rsidRPr="0055671B">
        <w:t xml:space="preserve">przy </w:t>
      </w:r>
      <w:r w:rsidR="005C4174">
        <w:t xml:space="preserve">postępowaniach </w:t>
      </w:r>
      <w:r w:rsidR="00880C5D">
        <w:br/>
      </w:r>
      <w:r w:rsidR="005C4174">
        <w:t xml:space="preserve">w sprawach </w:t>
      </w:r>
      <w:r w:rsidR="00BC0C01" w:rsidRPr="0055671B">
        <w:t>dopuszczani</w:t>
      </w:r>
      <w:r w:rsidR="005C4174">
        <w:t>a</w:t>
      </w:r>
      <w:r w:rsidR="00BC0C01" w:rsidRPr="0055671B">
        <w:t xml:space="preserve"> pojazdów do ruchu</w:t>
      </w:r>
      <w:r w:rsidR="00BC0C01" w:rsidRPr="00BC0C01">
        <w:t xml:space="preserve"> </w:t>
      </w:r>
      <w:r w:rsidR="00BC0C01">
        <w:t>przez</w:t>
      </w:r>
      <w:r w:rsidR="0055671B" w:rsidRPr="0055671B">
        <w:t xml:space="preserve"> organ</w:t>
      </w:r>
      <w:r w:rsidR="00BC0C01">
        <w:t>y</w:t>
      </w:r>
      <w:r w:rsidR="0055671B" w:rsidRPr="0055671B">
        <w:t xml:space="preserve"> rejestrując</w:t>
      </w:r>
      <w:r w:rsidR="00BC0C01">
        <w:t>e</w:t>
      </w:r>
      <w:r w:rsidR="0055671B" w:rsidRPr="0055671B">
        <w:t xml:space="preserve"> z udostępni</w:t>
      </w:r>
      <w:r w:rsidR="00BC0C01">
        <w:t>onej</w:t>
      </w:r>
      <w:r w:rsidR="0055671B" w:rsidRPr="0055671B">
        <w:t xml:space="preserve"> im przez Dyrektora Transportowego Dozoru Technicznego:</w:t>
      </w:r>
    </w:p>
    <w:p w14:paraId="263F87C6" w14:textId="77777777" w:rsidR="0055671B" w:rsidRPr="0055671B" w:rsidRDefault="0055671B" w:rsidP="00477B98">
      <w:pPr>
        <w:pStyle w:val="ARTartustawynprozporzdzenia"/>
        <w:ind w:firstLine="0"/>
      </w:pPr>
      <w:r w:rsidRPr="0055671B">
        <w:t>- bazy punktów kontaktowych przedstawicieli producentów pojazdów na terytorium Rzeczypospolitej Polskiej,</w:t>
      </w:r>
    </w:p>
    <w:p w14:paraId="6E4874D1" w14:textId="77777777" w:rsidR="00B01F74" w:rsidRDefault="0055671B" w:rsidP="00477B98">
      <w:pPr>
        <w:pStyle w:val="ARTartustawynprozporzdzenia"/>
        <w:ind w:firstLine="0"/>
      </w:pPr>
      <w:r w:rsidRPr="0055671B">
        <w:t>- wzorów wymaganych podpisów na wydawanych dokumentach, o których mowa w art. 72 ust. 1 pkt 3 ustawy – Prawo o ruchu drogowym.</w:t>
      </w:r>
    </w:p>
    <w:p w14:paraId="6CB67779" w14:textId="11B3949D" w:rsidR="005C4174" w:rsidRDefault="003246DF" w:rsidP="00477B98">
      <w:pPr>
        <w:pStyle w:val="ARTartustawynprozporzdzenia"/>
        <w:ind w:firstLine="0"/>
      </w:pPr>
      <w:r>
        <w:t>W z</w:t>
      </w:r>
      <w:r w:rsidR="002D00E8">
        <w:t>a</w:t>
      </w:r>
      <w:r>
        <w:t>łączniku nr 2</w:t>
      </w:r>
      <w:r w:rsidR="00527B87">
        <w:t xml:space="preserve"> </w:t>
      </w:r>
      <w:r w:rsidR="005C4174">
        <w:t>do nowelizowanego rozporządzenia</w:t>
      </w:r>
      <w:r w:rsidR="00527B87">
        <w:t xml:space="preserve"> </w:t>
      </w:r>
      <w:r w:rsidR="005C4174">
        <w:t xml:space="preserve">zaproponowano przepis </w:t>
      </w:r>
      <w:r w:rsidR="00357C3A" w:rsidRPr="00357C3A">
        <w:t xml:space="preserve">(§ 1 pkt </w:t>
      </w:r>
      <w:r w:rsidR="00357C3A">
        <w:t xml:space="preserve">2 </w:t>
      </w:r>
      <w:r w:rsidR="00357C3A" w:rsidRPr="00357C3A">
        <w:t>projektu)</w:t>
      </w:r>
      <w:r w:rsidR="00357C3A">
        <w:t xml:space="preserve"> </w:t>
      </w:r>
      <w:r w:rsidR="005C4174">
        <w:t>rozszerzający Instrukcję w sprawie czynności organu związan</w:t>
      </w:r>
      <w:r w:rsidR="00C20B11">
        <w:t>ych</w:t>
      </w:r>
      <w:r w:rsidR="005C4174">
        <w:t xml:space="preserve"> z czasową rejestracją pojazdu o kwestię porównywania podpisów </w:t>
      </w:r>
      <w:r w:rsidR="005C4174" w:rsidRPr="005C4174">
        <w:t xml:space="preserve">na wydawanych dokumentach, </w:t>
      </w:r>
      <w:r w:rsidR="002D00E8">
        <w:br/>
      </w:r>
      <w:r w:rsidR="005C4174" w:rsidRPr="005C4174">
        <w:t>o których mowa w art. 72 ust. 1 pkt 3 ustawy – Prawo o ruchu drogowym</w:t>
      </w:r>
      <w:r w:rsidR="005C4174">
        <w:t>, z wzorami pod</w:t>
      </w:r>
      <w:r w:rsidR="001D11B3">
        <w:t>pisów udostępnianymi</w:t>
      </w:r>
      <w:r w:rsidR="005C4174">
        <w:t xml:space="preserve"> przez </w:t>
      </w:r>
      <w:r w:rsidR="005C4174" w:rsidRPr="005C4174">
        <w:t>Dyrektora Transportowego Dozoru Technicznego</w:t>
      </w:r>
      <w:r w:rsidR="005C4174">
        <w:t xml:space="preserve"> od dnia </w:t>
      </w:r>
      <w:r w:rsidR="002D00E8">
        <w:br/>
      </w:r>
      <w:r w:rsidR="005C4174">
        <w:t>4 września 2021 r.</w:t>
      </w:r>
    </w:p>
    <w:p w14:paraId="2F125F69" w14:textId="77777777" w:rsidR="00527B87" w:rsidRPr="00B01F74" w:rsidRDefault="00527B87" w:rsidP="00477B98">
      <w:pPr>
        <w:pStyle w:val="ARTartustawynprozporzdzenia"/>
        <w:ind w:firstLine="0"/>
      </w:pPr>
      <w:r>
        <w:lastRenderedPageBreak/>
        <w:t xml:space="preserve">W </w:t>
      </w:r>
      <w:r w:rsidR="00631FD0" w:rsidRPr="00527B87">
        <w:t>§ 2</w:t>
      </w:r>
      <w:r>
        <w:t xml:space="preserve"> projektu określono przepis przejściowy stanowiący, że d</w:t>
      </w:r>
      <w:r w:rsidRPr="00527B87">
        <w:t xml:space="preserve">o wniosków złożonych </w:t>
      </w:r>
      <w:r w:rsidR="00880C5D">
        <w:br/>
      </w:r>
      <w:r w:rsidRPr="00527B87">
        <w:t>i nierozpatrzonych przed dniem wejścia w życie niniejszego rozporządzenia stosuje się przepisy dotychczasowe.</w:t>
      </w:r>
    </w:p>
    <w:p w14:paraId="6EE2FBC2" w14:textId="77777777" w:rsidR="00B01F74" w:rsidRPr="00B01F74" w:rsidRDefault="00B01F74" w:rsidP="00477B98">
      <w:pPr>
        <w:pStyle w:val="ARTartustawynprozporzdzenia"/>
        <w:ind w:firstLine="0"/>
      </w:pPr>
      <w:r w:rsidRPr="00B01F74">
        <w:t xml:space="preserve">Termin wejścia w życie projektowanego rozporządzenia określono na dzień 4 </w:t>
      </w:r>
      <w:r w:rsidR="00FD138F">
        <w:t>września</w:t>
      </w:r>
      <w:r w:rsidRPr="00B01F74">
        <w:t xml:space="preserve"> </w:t>
      </w:r>
      <w:r w:rsidR="00477B98">
        <w:br/>
      </w:r>
      <w:r w:rsidRPr="00B01F74">
        <w:t>2021 r. uwzględniając</w:t>
      </w:r>
      <w:r w:rsidR="005D0707">
        <w:t>, iż w tym dniu wchodzi</w:t>
      </w:r>
      <w:r w:rsidRPr="00B01F74">
        <w:t xml:space="preserve"> w życie </w:t>
      </w:r>
      <w:r w:rsidR="005D0707" w:rsidRPr="005D0707">
        <w:t xml:space="preserve">art. 73d </w:t>
      </w:r>
      <w:r w:rsidR="005D0707">
        <w:t xml:space="preserve">ustawy z dnia 20 czerwca 1997 r. </w:t>
      </w:r>
      <w:r w:rsidR="00880C5D" w:rsidRPr="005C4174">
        <w:t>–</w:t>
      </w:r>
      <w:r w:rsidR="005D0707">
        <w:t xml:space="preserve"> Prawo o ruchu drogowym (Dz. U. z 2021 r. poz. 4450, z późn. zm.) dodany ustawą</w:t>
      </w:r>
      <w:r w:rsidRPr="00B01F74">
        <w:t xml:space="preserve"> </w:t>
      </w:r>
      <w:r w:rsidR="005D0707">
        <w:br/>
      </w:r>
      <w:r w:rsidRPr="00B01F74">
        <w:t xml:space="preserve">z dnia 14 sierpnia 2020 r. o zmianie ustawy – Prawo o ruchu drogowym oraz niektórych innych ustaw. </w:t>
      </w:r>
    </w:p>
    <w:p w14:paraId="14E13FA9" w14:textId="77777777" w:rsidR="00B01F74" w:rsidRPr="00B01F74" w:rsidRDefault="00B01F74" w:rsidP="00477B98">
      <w:pPr>
        <w:pStyle w:val="ARTartustawynprozporzdzenia"/>
        <w:ind w:firstLine="0"/>
      </w:pPr>
      <w:r w:rsidRPr="00B01F74">
        <w:t>Projekt rozporządzenia nie zawiera przepisów technicznych i nie będzie podlegać notyfikacji Komisji Europejskiej zgodnie z przepisami rozporządzenia Rady Ministrów z dnia 23 grudnia 2002 r. w sprawie sposobu funkcjonowania krajowego systemu notyfikacji norm i aktów prawnych (Dz. U. poz. 2039, z późn. zm.).</w:t>
      </w:r>
    </w:p>
    <w:p w14:paraId="2053E560" w14:textId="77777777" w:rsidR="00B01F74" w:rsidRPr="00B01F74" w:rsidRDefault="00B01F74" w:rsidP="00477B98">
      <w:pPr>
        <w:pStyle w:val="ARTartustawynprozporzdzenia"/>
        <w:ind w:firstLine="0"/>
      </w:pPr>
      <w:r w:rsidRPr="00B01F74">
        <w:t xml:space="preserve">Projekt rozporządzenia nie podlega przedstawieniu właściwym instytucjom i organom Unii Europejskiej w myśl uchwały nr 190 Rady Ministrów z dnia 29 października 2013 r. </w:t>
      </w:r>
      <w:r w:rsidRPr="00B01F74">
        <w:br/>
        <w:t xml:space="preserve">– Regulamin pracy Rady Ministrów (M.P. z 2016 r. poz. 1006, z późn. zm.). </w:t>
      </w:r>
    </w:p>
    <w:p w14:paraId="4D936971" w14:textId="77777777" w:rsidR="00B01F74" w:rsidRPr="00B01F74" w:rsidRDefault="00B01F74" w:rsidP="00477B98">
      <w:pPr>
        <w:pStyle w:val="ARTartustawynprozporzdzenia"/>
        <w:ind w:firstLine="0"/>
      </w:pPr>
      <w:r w:rsidRPr="00B01F74">
        <w:t>Stosownie do art. 5 ustawy z dnia 7 lipca 2005 r. o działalności lobbingowej w procesie stanowienia prawa (Dz. U. z 2017 r. poz. 248) projekt rozporządzenia zostanie udostępniony na stronach urzędowego informatora teleinformatycznego – Biuletynu Informacji Publicznej.</w:t>
      </w:r>
    </w:p>
    <w:p w14:paraId="2B40FE87" w14:textId="77777777" w:rsidR="00B01F74" w:rsidRPr="00B01F74" w:rsidRDefault="00B01F74" w:rsidP="00477B98">
      <w:pPr>
        <w:pStyle w:val="ARTartustawynprozporzdzenia"/>
        <w:ind w:firstLine="0"/>
      </w:pPr>
      <w:r w:rsidRPr="00B01F74">
        <w:t>Stosownie do § 52 ust. 1 uchwały nr 190 Rady Ministrów z dnia 29 października 2013 r.</w:t>
      </w:r>
      <w:r w:rsidRPr="00B01F74">
        <w:br/>
        <w:t xml:space="preserve">– Regulamin pracy Rady Ministrów projekt rozporządzenia zostanie udostępniony </w:t>
      </w:r>
      <w:r w:rsidRPr="00B01F74">
        <w:br/>
        <w:t>w Biuletynie Informacji Publicznej na stronie podmiotowej Rządowego Centrum Legislacji, w serwisie Rządowy Proces Legislacyjny z dniem skierowania do uzgodnień i konsultacji publicznych.</w:t>
      </w:r>
    </w:p>
    <w:p w14:paraId="777138C9" w14:textId="77777777" w:rsidR="00B01F74" w:rsidRPr="00B01F74" w:rsidRDefault="00B01F74" w:rsidP="00477B98">
      <w:pPr>
        <w:pStyle w:val="ARTartustawynprozporzdzenia"/>
        <w:ind w:firstLine="0"/>
      </w:pPr>
      <w:r w:rsidRPr="00B01F74">
        <w:t>Projekt jest zgodny z prawem Unii Europejskiej.</w:t>
      </w:r>
    </w:p>
    <w:p w14:paraId="4D9C7C9E" w14:textId="77777777" w:rsidR="00B01F74" w:rsidRPr="00B01F74" w:rsidRDefault="00B01F74" w:rsidP="00B01F74"/>
    <w:p w14:paraId="07658E25" w14:textId="77777777" w:rsidR="00B01F74" w:rsidRPr="00B01F74" w:rsidRDefault="00B01F74" w:rsidP="00B01F74">
      <w:r w:rsidRPr="00B01F74">
        <w:br w:type="page"/>
      </w:r>
    </w:p>
    <w:tbl>
      <w:tblPr>
        <w:tblpPr w:leftFromText="141" w:rightFromText="141" w:horzAnchor="margin" w:tblpXSpec="center" w:tblpY="-489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01F74" w:rsidRPr="00B01F74" w14:paraId="55CC2DDD" w14:textId="77777777" w:rsidTr="00BA1B6E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E0AE5A0" w14:textId="77777777" w:rsidR="00B01F74" w:rsidRPr="0055671B" w:rsidRDefault="00B01F74" w:rsidP="00B01F74">
            <w:pPr>
              <w:rPr>
                <w:rStyle w:val="Ppogrubienie"/>
              </w:rPr>
            </w:pPr>
            <w:bookmarkStart w:id="1" w:name="t1"/>
            <w:r w:rsidRPr="0055671B">
              <w:rPr>
                <w:rStyle w:val="Ppogrubienie"/>
              </w:rPr>
              <w:lastRenderedPageBreak/>
              <w:t>Nazwa projektu</w:t>
            </w:r>
          </w:p>
          <w:p w14:paraId="63181034" w14:textId="77777777" w:rsidR="00B01F74" w:rsidRPr="00B01F74" w:rsidRDefault="00B01F74" w:rsidP="00B01F74">
            <w:r w:rsidRPr="00B01F74">
              <w:t>Rozporządzenie Ministra Infrastruktury zmieniające rozporządzenie w sprawie szczegółowych czynności organów w sprawach związanych z dopuszczeniem pojazdu do ruchu oraz wzorów dokumentów w tych sprawach.</w:t>
            </w:r>
          </w:p>
          <w:p w14:paraId="2D327601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>Ministerstwo wiodące i ministerstwa współpracujące</w:t>
            </w:r>
          </w:p>
          <w:bookmarkEnd w:id="1"/>
          <w:p w14:paraId="03E5D969" w14:textId="77777777" w:rsidR="00B01F74" w:rsidRPr="00B01F74" w:rsidRDefault="00B01F74" w:rsidP="00B01F74">
            <w:r w:rsidRPr="00B01F74">
              <w:t xml:space="preserve">Ministerstwo Infrastruktury </w:t>
            </w:r>
          </w:p>
          <w:p w14:paraId="23D24AD7" w14:textId="77777777" w:rsidR="00B01F74" w:rsidRPr="00B01F74" w:rsidRDefault="00B01F74" w:rsidP="00B01F74"/>
          <w:p w14:paraId="558DEEB3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410B25A4" w14:textId="77777777" w:rsidR="00B01F74" w:rsidRPr="00B01F74" w:rsidRDefault="00B01F74" w:rsidP="00B01F74">
            <w:r w:rsidRPr="00B01F74">
              <w:t>Rafał Weber - Sekretarz Stanu</w:t>
            </w:r>
          </w:p>
          <w:p w14:paraId="63AFCB89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>Kontakt do opiekuna merytorycznego projektu</w:t>
            </w:r>
          </w:p>
          <w:p w14:paraId="6A202121" w14:textId="77777777" w:rsidR="005D0707" w:rsidRDefault="005D0707" w:rsidP="00B01F74">
            <w:r w:rsidRPr="005D0707">
              <w:t xml:space="preserve">Aldona Wieczorek – Zastępca Dyrektora </w:t>
            </w:r>
          </w:p>
          <w:p w14:paraId="6DA3F170" w14:textId="77777777" w:rsidR="005D0707" w:rsidRPr="005D0707" w:rsidRDefault="005D0707" w:rsidP="005D0707">
            <w:r w:rsidRPr="005D0707">
              <w:t>w Departamencie Transportu Drogowego</w:t>
            </w:r>
            <w:r>
              <w:t xml:space="preserve">, </w:t>
            </w:r>
            <w:r w:rsidRPr="005D0707">
              <w:t>tel. 2263012</w:t>
            </w:r>
            <w:r>
              <w:t>40</w:t>
            </w:r>
            <w:r w:rsidRPr="005D0707">
              <w:t xml:space="preserve">, </w:t>
            </w:r>
          </w:p>
          <w:p w14:paraId="45723898" w14:textId="35564E15" w:rsidR="005D0707" w:rsidRPr="006E23E3" w:rsidRDefault="005D0707" w:rsidP="005D0707">
            <w:pPr>
              <w:rPr>
                <w:lang w:val="de-DE"/>
              </w:rPr>
            </w:pPr>
            <w:r w:rsidRPr="006E23E3">
              <w:rPr>
                <w:lang w:val="de-DE"/>
              </w:rPr>
              <w:t xml:space="preserve">e-mail: </w:t>
            </w:r>
            <w:r w:rsidR="0022356D" w:rsidRPr="0022356D">
              <w:rPr>
                <w:lang w:val="de-DE"/>
              </w:rPr>
              <w:t>SekretariatDTD@mi.gov.pl</w:t>
            </w:r>
          </w:p>
          <w:p w14:paraId="49F1F011" w14:textId="5FA1AAA4" w:rsidR="00B01F74" w:rsidRPr="00B01F74" w:rsidRDefault="00B01F74" w:rsidP="009B1F57">
            <w:r w:rsidRPr="00B01F74">
              <w:t xml:space="preserve">Magdalena Kałużna-Maciołek - Główny Specjalista </w:t>
            </w:r>
            <w:r w:rsidRPr="00B01F74">
              <w:br/>
              <w:t xml:space="preserve">w Departamencie Transportu Drogowego, tel. 226301214, </w:t>
            </w:r>
            <w:r w:rsidRPr="00B01F74">
              <w:br/>
              <w:t xml:space="preserve">e-mail: </w:t>
            </w:r>
            <w:r w:rsidR="009B1F57">
              <w:t>M</w:t>
            </w:r>
            <w:r w:rsidR="009B1F57" w:rsidRPr="009B1F57">
              <w:t>agdalena.Kaluzna-Maciolek@mi.gov.pl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19395A3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Data sporządzenia </w:t>
            </w:r>
            <w:r w:rsidR="00214EB0">
              <w:rPr>
                <w:rStyle w:val="Ppogrubienie"/>
              </w:rPr>
              <w:t>23</w:t>
            </w:r>
            <w:r w:rsidR="0055671B" w:rsidRPr="0055671B">
              <w:rPr>
                <w:rStyle w:val="Ppogrubienie"/>
              </w:rPr>
              <w:t xml:space="preserve">.06.2021 </w:t>
            </w:r>
            <w:r w:rsidRPr="0055671B">
              <w:rPr>
                <w:rStyle w:val="Ppogrubienie"/>
              </w:rPr>
              <w:t xml:space="preserve">r. </w:t>
            </w:r>
          </w:p>
          <w:p w14:paraId="75E089C5" w14:textId="77777777" w:rsidR="00B01F74" w:rsidRPr="0055671B" w:rsidRDefault="00B01F74" w:rsidP="00B01F74">
            <w:pPr>
              <w:rPr>
                <w:rStyle w:val="Ppogrubienie"/>
              </w:rPr>
            </w:pPr>
          </w:p>
          <w:p w14:paraId="42123890" w14:textId="77777777" w:rsidR="00B01F74" w:rsidRPr="0055671B" w:rsidRDefault="00B01F74" w:rsidP="00B01F74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Źródło: </w:t>
            </w:r>
          </w:p>
          <w:p w14:paraId="5010B8AA" w14:textId="77777777" w:rsidR="00B01F74" w:rsidRPr="00B01F74" w:rsidRDefault="00B01F74" w:rsidP="00B01F74">
            <w:r w:rsidRPr="00B01F74">
              <w:t xml:space="preserve">Delegacja ustawowa </w:t>
            </w:r>
          </w:p>
          <w:p w14:paraId="2C892F1F" w14:textId="77777777" w:rsidR="00B01F74" w:rsidRPr="00B01F74" w:rsidRDefault="00B01F74" w:rsidP="00B01F74">
            <w:r w:rsidRPr="00B01F74">
              <w:t xml:space="preserve">art. 76 ust. 1 pkt 3 ustawy z dnia </w:t>
            </w:r>
            <w:r w:rsidRPr="00B01F74">
              <w:br/>
              <w:t xml:space="preserve">20 czerwca 1997 r. – Prawo o ruchu drogowym (Dz. U. z 2021 r. poz. </w:t>
            </w:r>
            <w:r w:rsidR="0055671B" w:rsidRPr="0055671B">
              <w:t>450, 463, 694 i 720</w:t>
            </w:r>
            <w:r w:rsidRPr="00B01F74">
              <w:t>)</w:t>
            </w:r>
          </w:p>
          <w:p w14:paraId="25E1782D" w14:textId="77777777" w:rsidR="00B01F74" w:rsidRPr="0055671B" w:rsidRDefault="00B01F74" w:rsidP="005D0707">
            <w:pPr>
              <w:rPr>
                <w:rStyle w:val="Ppogrubienie"/>
              </w:rPr>
            </w:pPr>
            <w:r w:rsidRPr="0055671B">
              <w:rPr>
                <w:rStyle w:val="Ppogrubienie"/>
              </w:rPr>
              <w:t xml:space="preserve">Nr w wykazie prac MI: </w:t>
            </w:r>
            <w:r w:rsidR="005D0707">
              <w:rPr>
                <w:rStyle w:val="Ppogrubienie"/>
              </w:rPr>
              <w:t>139</w:t>
            </w:r>
          </w:p>
        </w:tc>
      </w:tr>
      <w:tr w:rsidR="00B01F74" w:rsidRPr="00B01F74" w14:paraId="7C02FFF3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08571F" w14:textId="77777777" w:rsidR="00B01F74" w:rsidRPr="00B01F74" w:rsidRDefault="00B01F74" w:rsidP="00B01F74">
            <w:r w:rsidRPr="00B01F74">
              <w:t>OCENA SKUTKÓW REGULACJI</w:t>
            </w:r>
          </w:p>
        </w:tc>
      </w:tr>
      <w:tr w:rsidR="00B01F74" w:rsidRPr="00B01F74" w14:paraId="23F0E186" w14:textId="77777777" w:rsidTr="00BA1B6E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21F641" w14:textId="77777777" w:rsidR="00B01F74" w:rsidRPr="00B01F74" w:rsidRDefault="00B01F74" w:rsidP="00B01F74">
            <w:r w:rsidRPr="00B01F74">
              <w:t>Jaki problem jest rozwiązywany?</w:t>
            </w:r>
            <w:bookmarkStart w:id="2" w:name="Wybór1"/>
            <w:bookmarkEnd w:id="2"/>
          </w:p>
        </w:tc>
      </w:tr>
      <w:tr w:rsidR="00B01F74" w:rsidRPr="00B01F74" w14:paraId="439DE209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089736" w14:textId="77777777" w:rsidR="00B01F74" w:rsidRPr="00B01F74" w:rsidRDefault="00B01F74" w:rsidP="00880C5D">
            <w:pPr>
              <w:pStyle w:val="ARTartustawynprozporzdzenia"/>
              <w:ind w:firstLine="0"/>
            </w:pPr>
            <w:r w:rsidRPr="00B01F74">
              <w:t xml:space="preserve">Podjęcie prac legislacyjnych nad projektem rozporządzenia związane jest z </w:t>
            </w:r>
            <w:r w:rsidR="00527B87">
              <w:t xml:space="preserve">art. </w:t>
            </w:r>
            <w:r w:rsidR="00F25EC8">
              <w:t xml:space="preserve">73d </w:t>
            </w:r>
            <w:r w:rsidR="00880C5D">
              <w:t xml:space="preserve">ustawy z dnia </w:t>
            </w:r>
            <w:r w:rsidRPr="00B01F74">
              <w:t>14 sierpnia 2020 r. o zmianie ustawy – Prawo o ruchu drogowym oraz niektórych innych ustaw (Dz. U. poz. 1517), któr</w:t>
            </w:r>
            <w:r w:rsidR="00880C5D">
              <w:t>y</w:t>
            </w:r>
            <w:r w:rsidRPr="00B01F74">
              <w:t xml:space="preserve"> wejd</w:t>
            </w:r>
            <w:r w:rsidR="00880C5D">
              <w:t>zie</w:t>
            </w:r>
            <w:r w:rsidRPr="00B01F74">
              <w:t xml:space="preserve"> w życie z dniem 4 </w:t>
            </w:r>
            <w:r w:rsidR="0086710D">
              <w:t>września</w:t>
            </w:r>
            <w:r w:rsidRPr="00B01F74">
              <w:t xml:space="preserve"> 2021 r.</w:t>
            </w:r>
            <w:r w:rsidR="0086710D">
              <w:t xml:space="preserve"> Przepis te</w:t>
            </w:r>
            <w:r w:rsidR="00880C5D">
              <w:t>n</w:t>
            </w:r>
            <w:r w:rsidR="0086710D">
              <w:t xml:space="preserve"> nakłada na Dyrektora Transportowego Dozoru Technicznego obowiązek udostępnienia </w:t>
            </w:r>
            <w:r w:rsidR="004D54A6">
              <w:t>bazy</w:t>
            </w:r>
            <w:r w:rsidR="004D54A6" w:rsidRPr="004D54A6">
              <w:t xml:space="preserve"> punktów kontaktowych przedstawicieli producentów pojazdów na terytorium Rzeczypospolitej Polskiej dla organów rejestrujących pojazdy celem ułatwienia prowadzonych przez te organy postępowań w sprawach rejestracji pojazdów oraz obowiązek udostępniania tym organom przez Dyrektora Transportowego Dozoru Technicznego określanych w procesie homologacj</w:t>
            </w:r>
            <w:r w:rsidR="00880C5D">
              <w:t>i wzorów podpisów na wydawanych</w:t>
            </w:r>
            <w:r w:rsidR="00F25EC8" w:rsidRPr="00F25EC8">
              <w:rPr>
                <w:rFonts w:ascii="Times New Roman" w:hAnsi="Times New Roman"/>
              </w:rPr>
              <w:t xml:space="preserve"> </w:t>
            </w:r>
            <w:r w:rsidR="00F25EC8" w:rsidRPr="00F25EC8">
              <w:t>dokumentach, o których mowa w art. 72 ust. 1 pkt 3 ustawy – Prawo o ruchu drogowym</w:t>
            </w:r>
            <w:r w:rsidR="004D54A6">
              <w:t>.</w:t>
            </w:r>
            <w:r w:rsidR="00D954BD">
              <w:t xml:space="preserve"> </w:t>
            </w:r>
          </w:p>
        </w:tc>
      </w:tr>
      <w:tr w:rsidR="00B01F74" w:rsidRPr="00B01F74" w14:paraId="5031761E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F55102" w14:textId="77777777" w:rsidR="00B01F74" w:rsidRPr="00B01F74" w:rsidRDefault="00B01F74" w:rsidP="00B01F74">
            <w:r w:rsidRPr="00B01F74">
              <w:t>Rekomendowane rozwiązanie, w tym planowane narzędzia interwencji, i oczekiwany efekt</w:t>
            </w:r>
          </w:p>
        </w:tc>
      </w:tr>
      <w:tr w:rsidR="00B01F74" w:rsidRPr="00B01F74" w14:paraId="30E27F10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48D462D" w14:textId="77777777" w:rsidR="00B01F74" w:rsidRPr="00B01F74" w:rsidRDefault="00B01F74" w:rsidP="004D54A6">
            <w:pPr>
              <w:pStyle w:val="ARTartustawynprozporzdzenia"/>
              <w:ind w:firstLine="0"/>
            </w:pPr>
            <w:r w:rsidRPr="00B01F74">
              <w:t xml:space="preserve">Uwzględniając przepisy ustawy z dnia 14 sierpnia 2020 r. o zmianie ustawy – Prawo o ruchu drogowym oraz niektórych innych ustaw (Dz. U. poz. 1517) </w:t>
            </w:r>
            <w:r w:rsidR="004D54A6">
              <w:t>w projekcie został</w:t>
            </w:r>
            <w:r w:rsidR="00D954BD">
              <w:t>y</w:t>
            </w:r>
            <w:r w:rsidR="004D54A6">
              <w:t xml:space="preserve"> dodan</w:t>
            </w:r>
            <w:r w:rsidR="00D954BD">
              <w:t>e</w:t>
            </w:r>
            <w:r w:rsidR="004D54A6">
              <w:t xml:space="preserve"> przepis</w:t>
            </w:r>
            <w:r w:rsidR="00D954BD">
              <w:t>y</w:t>
            </w:r>
            <w:r w:rsidR="004D54A6">
              <w:t xml:space="preserve"> określający </w:t>
            </w:r>
            <w:r w:rsidRPr="00B01F74">
              <w:t xml:space="preserve">czynności </w:t>
            </w:r>
            <w:r w:rsidRPr="00B01F74">
              <w:lastRenderedPageBreak/>
              <w:t xml:space="preserve">organów </w:t>
            </w:r>
            <w:r w:rsidR="00C20B11">
              <w:t xml:space="preserve">rejestrujących </w:t>
            </w:r>
            <w:r w:rsidR="00BD6F35">
              <w:t xml:space="preserve">związane z </w:t>
            </w:r>
            <w:r w:rsidR="00BD6F35" w:rsidRPr="00BD6F35">
              <w:t>udostępnieni</w:t>
            </w:r>
            <w:r w:rsidR="00BD6F35">
              <w:t xml:space="preserve">em przez </w:t>
            </w:r>
            <w:r w:rsidR="00BD6F35" w:rsidRPr="00BD6F35">
              <w:t>Dyrektora Tra</w:t>
            </w:r>
            <w:r w:rsidR="00BD6F35">
              <w:t>nsportowego Dozoru Technicznego</w:t>
            </w:r>
            <w:r w:rsidR="00BD6F35" w:rsidRPr="00BD6F35">
              <w:t xml:space="preserve"> bazy punktów kontaktowych przedstawicieli producentów pojazdów na terytorium Rzeczypospolitej Polskiej</w:t>
            </w:r>
            <w:r w:rsidR="00BD6F35">
              <w:t xml:space="preserve"> oraz</w:t>
            </w:r>
            <w:r w:rsidR="00BD6F35" w:rsidRPr="004D54A6">
              <w:t xml:space="preserve"> określanych w procesie homologacji wzorów podpisów na wydawanych świadectwach zgodności</w:t>
            </w:r>
            <w:r w:rsidR="00BD6F35">
              <w:t xml:space="preserve">. </w:t>
            </w:r>
          </w:p>
          <w:p w14:paraId="0AC9E7B2" w14:textId="77777777" w:rsidR="00B01F74" w:rsidRPr="00B01F74" w:rsidRDefault="00B01F74" w:rsidP="00B01F74">
            <w:r w:rsidRPr="00B01F74">
              <w:t>Informacje o wynikach analiz możliwości osiągnięcia celu projektu za pomocą innych środków:</w:t>
            </w:r>
          </w:p>
          <w:p w14:paraId="7ECA45BE" w14:textId="77777777" w:rsidR="00B01F74" w:rsidRPr="00B01F74" w:rsidRDefault="00B01F74" w:rsidP="004D54A6">
            <w:pPr>
              <w:pStyle w:val="ARTartustawynprozporzdzenia"/>
              <w:ind w:firstLine="0"/>
            </w:pPr>
            <w:r w:rsidRPr="00B01F74">
              <w:t>Mając na uwadze zakres zaproponowanej w projekcje regulacji i delegację ministra właściwego do spraw transportu z art. 76 ust. 1 pkt 1 lit. a i c ustawy – Prawo o ruchu drogowym osiągnięcie powyższego celu projektu nie jest możliwe za pomocą innych środków niż przedmiotowa zmiana legislacyjna.</w:t>
            </w:r>
          </w:p>
        </w:tc>
      </w:tr>
      <w:tr w:rsidR="00B01F74" w:rsidRPr="00B01F74" w14:paraId="0C100473" w14:textId="77777777" w:rsidTr="00BA1B6E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315829" w14:textId="77777777" w:rsidR="00B01F74" w:rsidRPr="00B01F74" w:rsidRDefault="00B01F74" w:rsidP="00B01F74">
            <w:r w:rsidRPr="00B01F74">
              <w:lastRenderedPageBreak/>
              <w:t xml:space="preserve">Jak problem został rozwiązany w innych krajach, w szczególności krajach członkowskich OECD/UE? </w:t>
            </w:r>
          </w:p>
        </w:tc>
      </w:tr>
      <w:tr w:rsidR="00B01F74" w:rsidRPr="00B01F74" w14:paraId="2E258438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D876473" w14:textId="77777777" w:rsidR="00B01F74" w:rsidRPr="00B01F74" w:rsidRDefault="00B01F74" w:rsidP="00BD6F35">
            <w:pPr>
              <w:pStyle w:val="ARTartustawynprozporzdzenia"/>
              <w:ind w:firstLine="0"/>
            </w:pPr>
            <w:r w:rsidRPr="00B01F74">
              <w:t>Poszczególne państwa członkowskie posiadają własne krajowe rozwiązania w zakresie czynności organów rejestrujących w sprawach związanych z dopuszczeniem pojazdu do ruchu. Jest to zakres wymagań niezharmonizowany przepisami UE.</w:t>
            </w:r>
          </w:p>
        </w:tc>
      </w:tr>
      <w:tr w:rsidR="00B01F74" w:rsidRPr="00B01F74" w14:paraId="7EB4F71C" w14:textId="77777777" w:rsidTr="00BA1B6E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4E1628" w14:textId="77777777" w:rsidR="00B01F74" w:rsidRPr="00B01F74" w:rsidRDefault="00B01F74" w:rsidP="00B01F74">
            <w:r w:rsidRPr="00B01F74">
              <w:t xml:space="preserve"> Podmioty, na które oddziałuje projekt</w:t>
            </w:r>
          </w:p>
        </w:tc>
      </w:tr>
      <w:tr w:rsidR="00B01F74" w:rsidRPr="00B01F74" w14:paraId="53E91F29" w14:textId="77777777" w:rsidTr="00BA1B6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78F3AA" w14:textId="77777777" w:rsidR="00B01F74" w:rsidRPr="00B01F74" w:rsidRDefault="00B01F74" w:rsidP="00B01F74">
            <w:r w:rsidRPr="00B01F74"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E28C2C2" w14:textId="77777777" w:rsidR="00B01F74" w:rsidRPr="00B01F74" w:rsidRDefault="00B01F74" w:rsidP="00B01F74">
            <w:r w:rsidRPr="00B01F74"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CC46C02" w14:textId="77777777" w:rsidR="00B01F74" w:rsidRPr="00B01F74" w:rsidRDefault="00B01F74" w:rsidP="00B01F74">
            <w:r w:rsidRPr="00B01F74">
              <w:t>Źródło danych</w:t>
            </w:r>
            <w:r w:rsidRPr="00B01F74" w:rsidDel="00260F33"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6707944" w14:textId="77777777" w:rsidR="00B01F74" w:rsidRPr="00B01F74" w:rsidRDefault="00B01F74" w:rsidP="00B01F74">
            <w:r w:rsidRPr="00B01F74">
              <w:t>Oddziaływanie</w:t>
            </w:r>
          </w:p>
        </w:tc>
      </w:tr>
      <w:tr w:rsidR="00B01F74" w:rsidRPr="00B01F74" w14:paraId="6F63B2DC" w14:textId="77777777" w:rsidTr="00BA1B6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15D52AB" w14:textId="77777777" w:rsidR="00B01F74" w:rsidRPr="00B01F74" w:rsidRDefault="00B01F74" w:rsidP="00B01F74">
            <w:r w:rsidRPr="00B01F74">
              <w:t xml:space="preserve">Samorządowe organy rejestrujące pojazdy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4393DBD" w14:textId="77777777" w:rsidR="00B01F74" w:rsidRPr="00B01F74" w:rsidRDefault="00B01F74" w:rsidP="00B01F74">
            <w:r w:rsidRPr="00B01F74">
              <w:t>380</w:t>
            </w:r>
          </w:p>
          <w:p w14:paraId="030270C7" w14:textId="77777777" w:rsidR="00B01F74" w:rsidRPr="00B01F74" w:rsidRDefault="00B01F74" w:rsidP="00B01F74"/>
          <w:p w14:paraId="0FAD321A" w14:textId="77777777" w:rsidR="00B01F74" w:rsidRPr="00B01F74" w:rsidRDefault="00B01F74" w:rsidP="00B01F74"/>
          <w:p w14:paraId="0267BE95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0707E9" w14:textId="77777777" w:rsidR="00B01F74" w:rsidRPr="00B01F74" w:rsidRDefault="00B01F74" w:rsidP="00B01F74">
            <w:r w:rsidRPr="00B01F74">
              <w:t>Powiaty w podziale administracyjnym kraju</w:t>
            </w:r>
          </w:p>
          <w:p w14:paraId="65C74ECF" w14:textId="77777777" w:rsidR="00B01F74" w:rsidRPr="00B01F74" w:rsidRDefault="00B01F74" w:rsidP="00B01F74"/>
          <w:p w14:paraId="2A2751E3" w14:textId="77777777" w:rsidR="00B01F74" w:rsidRPr="00B01F74" w:rsidRDefault="00B01F74" w:rsidP="00B01F74">
            <w:r w:rsidRPr="00B01F74">
              <w:t>Wojewoda Mazowiecki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17D4084" w14:textId="77777777" w:rsidR="00B01F74" w:rsidRPr="00B01F74" w:rsidRDefault="00B01F74" w:rsidP="00B01F74">
            <w:r w:rsidRPr="00B01F74">
              <w:t xml:space="preserve">Stosowanie przepisów rozporządzenia w procesie rejestracji pojazdów </w:t>
            </w:r>
          </w:p>
          <w:p w14:paraId="7D20D3A1" w14:textId="77777777" w:rsidR="00B01F74" w:rsidRPr="00B01F74" w:rsidRDefault="00B01F74" w:rsidP="00B01F74"/>
        </w:tc>
      </w:tr>
      <w:tr w:rsidR="00B01F74" w:rsidRPr="00B01F74" w14:paraId="2734E631" w14:textId="77777777" w:rsidTr="00BA1B6E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D18700" w14:textId="77777777" w:rsidR="00B01F74" w:rsidRPr="00B01F74" w:rsidRDefault="00B01F74" w:rsidP="00B01F74">
            <w:r w:rsidRPr="00B01F74">
              <w:t>Informacje na temat zakresu, czasu trwania i podsumowanie wyników konsultacji</w:t>
            </w:r>
          </w:p>
        </w:tc>
      </w:tr>
      <w:tr w:rsidR="00B01F74" w:rsidRPr="00B01F74" w14:paraId="05AB4001" w14:textId="77777777" w:rsidTr="00BA1B6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36F9B73" w14:textId="77777777" w:rsidR="00DF01C9" w:rsidRPr="00DF01C9" w:rsidRDefault="00C66775" w:rsidP="00DF01C9">
            <w:r>
              <w:t>Projekt zostanie</w:t>
            </w:r>
            <w:r w:rsidR="00DF01C9" w:rsidRPr="00DF01C9">
              <w:t xml:space="preserve"> przesłany do konsultacji środowisk reprezentujących:</w:t>
            </w:r>
          </w:p>
          <w:p w14:paraId="5BAB66B7" w14:textId="77777777" w:rsidR="00DF01C9" w:rsidRPr="00DF01C9" w:rsidRDefault="00DF01C9" w:rsidP="00DF01C9">
            <w:r w:rsidRPr="00DF01C9">
              <w:t>– przeds</w:t>
            </w:r>
            <w:r>
              <w:t>tawicieli branży motoryzacyjnej,</w:t>
            </w:r>
            <w:r w:rsidRPr="00DF01C9">
              <w:t xml:space="preserve"> tj.: Polski</w:t>
            </w:r>
            <w:r>
              <w:t>ego</w:t>
            </w:r>
            <w:r w:rsidRPr="00DF01C9">
              <w:t xml:space="preserve"> Związk</w:t>
            </w:r>
            <w:r>
              <w:t>u</w:t>
            </w:r>
            <w:r w:rsidRPr="00DF01C9">
              <w:t xml:space="preserve"> Przemysłu Motoryzacyjnego</w:t>
            </w:r>
            <w:r>
              <w:t>,</w:t>
            </w:r>
          </w:p>
          <w:p w14:paraId="59904F73" w14:textId="77777777" w:rsidR="00DF01C9" w:rsidRPr="00DF01C9" w:rsidRDefault="00DF01C9" w:rsidP="00DF01C9">
            <w:r w:rsidRPr="00DF01C9">
              <w:t>–</w:t>
            </w:r>
            <w:r>
              <w:t xml:space="preserve"> </w:t>
            </w:r>
            <w:r w:rsidRPr="00DF01C9">
              <w:t>produc</w:t>
            </w:r>
            <w:r w:rsidR="00214EB0">
              <w:t>enta dokumentów komunikacyjnych, tj.:</w:t>
            </w:r>
            <w:r w:rsidRPr="00DF01C9">
              <w:t xml:space="preserve"> </w:t>
            </w:r>
            <w:r w:rsidR="00214EB0" w:rsidRPr="00214EB0">
              <w:t>Polskiej Wytwórni Papierów Wartościowych S.A.</w:t>
            </w:r>
            <w:r w:rsidRPr="00DF01C9">
              <w:t>,</w:t>
            </w:r>
          </w:p>
          <w:p w14:paraId="1044C7DF" w14:textId="77777777" w:rsidR="00B01F74" w:rsidRDefault="00DF01C9" w:rsidP="00214EB0">
            <w:pPr>
              <w:pStyle w:val="ARTartustawynprozporzdzenia"/>
              <w:ind w:firstLine="0"/>
            </w:pPr>
            <w:r w:rsidRPr="00DF01C9">
              <w:t>– przedstawicieli organów samorządowych dokonujących rejestracji pojazdów, tj.:</w:t>
            </w:r>
            <w:r w:rsidR="00214EB0">
              <w:t xml:space="preserve"> </w:t>
            </w:r>
            <w:r w:rsidR="00214EB0" w:rsidRPr="00214EB0">
              <w:t>Związku</w:t>
            </w:r>
            <w:r w:rsidRPr="00DF01C9">
              <w:t xml:space="preserve"> Powiatów Pols</w:t>
            </w:r>
            <w:r w:rsidR="00214EB0">
              <w:t xml:space="preserve">kich, Unii Metropolii Polskich, </w:t>
            </w:r>
            <w:r w:rsidR="00214EB0" w:rsidRPr="00214EB0">
              <w:t xml:space="preserve">Związku </w:t>
            </w:r>
            <w:r w:rsidR="00214EB0">
              <w:t xml:space="preserve">Miast Polskich </w:t>
            </w:r>
            <w:r w:rsidR="00B01F74" w:rsidRPr="00B01F74">
              <w:t>a także do Ogólnopolskiego Stowarzyszenia Szefów Wydziałów Komunikacji.</w:t>
            </w:r>
          </w:p>
          <w:p w14:paraId="39B4685D" w14:textId="77777777" w:rsidR="00B01F74" w:rsidRPr="00B01F74" w:rsidRDefault="00B01F74" w:rsidP="00477B98">
            <w:pPr>
              <w:pStyle w:val="ARTartustawynprozporzdzenia"/>
              <w:ind w:firstLine="0"/>
            </w:pPr>
            <w:r w:rsidRPr="00B01F74">
              <w:t>Założono skrócenie czas</w:t>
            </w:r>
            <w:r w:rsidR="00214EB0">
              <w:t xml:space="preserve">u trwania konsultacji do 7 dni </w:t>
            </w:r>
            <w:r w:rsidR="00214EB0" w:rsidRPr="00214EB0">
              <w:t>–</w:t>
            </w:r>
            <w:r w:rsidRPr="00B01F74">
              <w:t xml:space="preserve"> mając na uwadze pilną potrzebę wydania tego rozporządzenia wobec wejścia w życie z dniem 4.0</w:t>
            </w:r>
            <w:r w:rsidR="00BD6F35">
              <w:t>9</w:t>
            </w:r>
            <w:r w:rsidRPr="00B01F74">
              <w:t xml:space="preserve">.2021 r. przepisów </w:t>
            </w:r>
            <w:r w:rsidR="00C66775">
              <w:t xml:space="preserve">art. 73d </w:t>
            </w:r>
            <w:r w:rsidRPr="00B01F74">
              <w:t xml:space="preserve">ustawy z dnia 14 sierpnia 2020 r. o zmianie ustawy </w:t>
            </w:r>
            <w:r w:rsidR="00880C5D" w:rsidRPr="005C4174">
              <w:t>–</w:t>
            </w:r>
            <w:r w:rsidR="00880C5D">
              <w:t xml:space="preserve"> </w:t>
            </w:r>
            <w:r w:rsidRPr="00B01F74">
              <w:t>Prawo o ruchu drogowym oraz niektórych innych ustaw (Dz. U. poz. 1517).</w:t>
            </w:r>
          </w:p>
          <w:p w14:paraId="59149405" w14:textId="77777777" w:rsidR="00B01F74" w:rsidRPr="00B01F74" w:rsidRDefault="00B01F74" w:rsidP="00477B98">
            <w:pPr>
              <w:pStyle w:val="ARTartustawynprozporzdzenia"/>
              <w:ind w:firstLine="0"/>
            </w:pPr>
            <w:r w:rsidRPr="00B01F74">
              <w:t xml:space="preserve">Projekt będzie przedmiotem opiniowania przez Komisję Wspólną Rządu i Samorządu Terytorialnego stosownie do ustawy z dnia 6 maja 2005 r. o Komisji Wspólnej Rządu i Samorządu Terytorialnego oraz </w:t>
            </w:r>
            <w:r w:rsidRPr="00B01F74">
              <w:br/>
              <w:t>o przedstawicielach Rzeczypospolitej Polskiej w Komitecie Regionów Unii Europejskiej (Dz. U. poz. 759).</w:t>
            </w:r>
          </w:p>
          <w:p w14:paraId="057F74AA" w14:textId="77777777" w:rsidR="00B01F74" w:rsidRPr="00B01F74" w:rsidRDefault="00B01F74" w:rsidP="00214EB0">
            <w:pPr>
              <w:pStyle w:val="ARTartustawynprozporzdzenia"/>
              <w:ind w:firstLine="0"/>
            </w:pPr>
            <w:r w:rsidRPr="00B01F74">
              <w:t>Wyniki konsultacji opisane zostaną w raporcie z konsultacji.</w:t>
            </w:r>
          </w:p>
        </w:tc>
      </w:tr>
      <w:tr w:rsidR="00B01F74" w:rsidRPr="00B01F74" w14:paraId="78D17E21" w14:textId="77777777" w:rsidTr="00BA1B6E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5C31A37" w14:textId="77777777" w:rsidR="00B01F74" w:rsidRPr="00B01F74" w:rsidRDefault="00B01F74" w:rsidP="00B01F74">
            <w:r w:rsidRPr="00B01F74">
              <w:lastRenderedPageBreak/>
              <w:t>Wpływ na sektor finansów publicznych</w:t>
            </w:r>
          </w:p>
        </w:tc>
      </w:tr>
      <w:tr w:rsidR="00B01F74" w:rsidRPr="00B01F74" w14:paraId="538BDCD0" w14:textId="77777777" w:rsidTr="00BA1B6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7E0A323" w14:textId="77777777" w:rsidR="00B01F74" w:rsidRPr="00B01F74" w:rsidRDefault="00B01F74" w:rsidP="00B01F74">
            <w:r w:rsidRPr="00B01F74"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DF45F7" w14:textId="77777777" w:rsidR="00B01F74" w:rsidRPr="00B01F74" w:rsidRDefault="00B01F74" w:rsidP="00B01F74">
            <w:r w:rsidRPr="00B01F74">
              <w:t>Skutki w okresie 10 lat od wejścia w życie zmian [mln zł]</w:t>
            </w:r>
          </w:p>
        </w:tc>
      </w:tr>
      <w:tr w:rsidR="00B01F74" w:rsidRPr="00B01F74" w14:paraId="5F0883D8" w14:textId="77777777" w:rsidTr="00BA1B6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7A2E75D" w14:textId="77777777" w:rsidR="00B01F74" w:rsidRPr="00B01F74" w:rsidRDefault="00B01F74" w:rsidP="00B01F74"/>
        </w:tc>
        <w:tc>
          <w:tcPr>
            <w:tcW w:w="569" w:type="dxa"/>
            <w:gridSpan w:val="2"/>
            <w:shd w:val="clear" w:color="auto" w:fill="FFFFFF"/>
          </w:tcPr>
          <w:p w14:paraId="7F929F6A" w14:textId="77777777" w:rsidR="00B01F74" w:rsidRPr="00B01F74" w:rsidRDefault="00B01F74" w:rsidP="00B01F74">
            <w:r w:rsidRPr="00B01F74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FAB466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E76F84" w14:textId="77777777" w:rsidR="00B01F74" w:rsidRPr="00B01F74" w:rsidRDefault="00B01F74" w:rsidP="00B01F74">
            <w:r w:rsidRPr="00B01F74"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DF937" w14:textId="77777777" w:rsidR="00B01F74" w:rsidRPr="00B01F74" w:rsidRDefault="00B01F74" w:rsidP="00B01F74">
            <w:r w:rsidRPr="00B01F74"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3E79CA" w14:textId="77777777" w:rsidR="00B01F74" w:rsidRPr="00B01F74" w:rsidRDefault="00B01F74" w:rsidP="00B01F74">
            <w:r w:rsidRPr="00B01F74">
              <w:t>4</w:t>
            </w:r>
          </w:p>
        </w:tc>
        <w:tc>
          <w:tcPr>
            <w:tcW w:w="570" w:type="dxa"/>
            <w:shd w:val="clear" w:color="auto" w:fill="FFFFFF"/>
          </w:tcPr>
          <w:p w14:paraId="13D306D0" w14:textId="77777777" w:rsidR="00B01F74" w:rsidRPr="00B01F74" w:rsidRDefault="00B01F74" w:rsidP="00B01F74">
            <w:r w:rsidRPr="00B01F74"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B91788" w14:textId="77777777" w:rsidR="00B01F74" w:rsidRPr="00B01F74" w:rsidRDefault="00B01F74" w:rsidP="00B01F74">
            <w:r w:rsidRPr="00B01F74"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C87833" w14:textId="77777777" w:rsidR="00B01F74" w:rsidRPr="00B01F74" w:rsidRDefault="00B01F74" w:rsidP="00B01F74">
            <w:r w:rsidRPr="00B01F74"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8146B" w14:textId="77777777" w:rsidR="00B01F74" w:rsidRPr="00B01F74" w:rsidRDefault="00B01F74" w:rsidP="00B01F74">
            <w:r w:rsidRPr="00B01F74"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F42930" w14:textId="77777777" w:rsidR="00B01F74" w:rsidRPr="00B01F74" w:rsidRDefault="00B01F74" w:rsidP="00B01F74">
            <w:r w:rsidRPr="00B01F74">
              <w:t>9</w:t>
            </w:r>
          </w:p>
        </w:tc>
        <w:tc>
          <w:tcPr>
            <w:tcW w:w="570" w:type="dxa"/>
            <w:shd w:val="clear" w:color="auto" w:fill="FFFFFF"/>
          </w:tcPr>
          <w:p w14:paraId="52DCC185" w14:textId="77777777" w:rsidR="00B01F74" w:rsidRPr="00B01F74" w:rsidRDefault="00B01F74" w:rsidP="00B01F74">
            <w:r w:rsidRPr="00B01F74"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9F8F629" w14:textId="77777777" w:rsidR="00B01F74" w:rsidRPr="00B01F74" w:rsidRDefault="00B01F74" w:rsidP="00B01F74">
            <w:r w:rsidRPr="00B01F74">
              <w:t>Łącznie (0-10)</w:t>
            </w:r>
          </w:p>
        </w:tc>
      </w:tr>
      <w:tr w:rsidR="00B01F74" w:rsidRPr="00B01F74" w14:paraId="0640B49A" w14:textId="77777777" w:rsidTr="00BA1B6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B6E689" w14:textId="77777777" w:rsidR="00B01F74" w:rsidRPr="00B01F74" w:rsidRDefault="00B01F74" w:rsidP="00B01F74">
            <w:r w:rsidRPr="00B01F74"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6F34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09FDF0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03B1F01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721239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D5EEA22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D4926D8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3A63F62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7E5F24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B8D7B8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DC86759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4C31867E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23015C5A" w14:textId="77777777" w:rsidR="00B01F74" w:rsidRPr="00B01F74" w:rsidRDefault="00B01F74" w:rsidP="00B01F74"/>
        </w:tc>
      </w:tr>
      <w:tr w:rsidR="00B01F74" w:rsidRPr="00B01F74" w14:paraId="3D005396" w14:textId="77777777" w:rsidTr="00BA1B6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5D2B7E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5A7FC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AE4CAA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63EA4C8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C447748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9A0CAD7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8927118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5509A18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D85880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6C0A79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7EB5D66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B6AD557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0C8748CB" w14:textId="77777777" w:rsidR="00B01F74" w:rsidRPr="00B01F74" w:rsidRDefault="00B01F74" w:rsidP="00B01F74"/>
        </w:tc>
      </w:tr>
      <w:tr w:rsidR="00B01F74" w:rsidRPr="00B01F74" w14:paraId="75B199A8" w14:textId="77777777" w:rsidTr="00BA1B6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93720A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8ACD96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EFDD92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B81331E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692E05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BB5264D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F8B1066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6500C3E9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968BDF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24BFA3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7CB72F0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03054260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BD0008A" w14:textId="77777777" w:rsidR="00B01F74" w:rsidRPr="00B01F74" w:rsidRDefault="00B01F74" w:rsidP="00B01F74"/>
        </w:tc>
      </w:tr>
      <w:tr w:rsidR="00B01F74" w:rsidRPr="00B01F74" w14:paraId="62656327" w14:textId="77777777" w:rsidTr="00BA1B6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60A59D" w14:textId="77777777" w:rsidR="00B01F74" w:rsidRPr="00B01F74" w:rsidRDefault="00B01F74" w:rsidP="00B01F74">
            <w:r w:rsidRPr="00B01F74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BE3AF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BE8379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6AAA334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B43F6E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964D7CF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CB807C0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7B0E2BA2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9ACF2B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AE842E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B5B6B6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D339C23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6FF9EF7C" w14:textId="77777777" w:rsidR="00B01F74" w:rsidRPr="00B01F74" w:rsidRDefault="00B01F74" w:rsidP="00B01F74"/>
        </w:tc>
      </w:tr>
      <w:tr w:rsidR="00B01F74" w:rsidRPr="00B01F74" w14:paraId="74E32547" w14:textId="77777777" w:rsidTr="00BA1B6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99B9CA" w14:textId="77777777" w:rsidR="00B01F74" w:rsidRPr="00B01F74" w:rsidRDefault="00B01F74" w:rsidP="00B01F74">
            <w:r w:rsidRPr="00B01F74"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79666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65B60F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AA3460F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4C389FC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C916EE6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22584C0B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3069F76C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C45B14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8AE5F0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480B44F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89224F3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59A0477B" w14:textId="77777777" w:rsidR="00B01F74" w:rsidRPr="00B01F74" w:rsidRDefault="00B01F74" w:rsidP="00B01F74"/>
        </w:tc>
      </w:tr>
      <w:tr w:rsidR="00B01F74" w:rsidRPr="00B01F74" w14:paraId="2EECB72E" w14:textId="77777777" w:rsidTr="00BA1B6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1A0EB3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2D740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2F86D2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F7FF57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AF7B12A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B546C2D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70C6E4F8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194AEA38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A081E0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47457B8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E5606A3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549580F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39C3FDCF" w14:textId="77777777" w:rsidR="00B01F74" w:rsidRPr="00B01F74" w:rsidRDefault="00B01F74" w:rsidP="00B01F74"/>
        </w:tc>
      </w:tr>
      <w:tr w:rsidR="00B01F74" w:rsidRPr="00B01F74" w14:paraId="7F01F36F" w14:textId="77777777" w:rsidTr="00BA1B6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3C3667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FFED5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F40762D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7025AD7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063C75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EE246C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29C1ACF7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06153874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772380D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813D6D6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C2591E8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685B33AA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0DD9FE6A" w14:textId="77777777" w:rsidR="00B01F74" w:rsidRPr="00B01F74" w:rsidRDefault="00B01F74" w:rsidP="00B01F74"/>
        </w:tc>
      </w:tr>
      <w:tr w:rsidR="00B01F74" w:rsidRPr="00B01F74" w14:paraId="16E2C914" w14:textId="77777777" w:rsidTr="00BA1B6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E4DBBE" w14:textId="77777777" w:rsidR="00B01F74" w:rsidRPr="00B01F74" w:rsidRDefault="00B01F74" w:rsidP="00B01F74">
            <w:r w:rsidRPr="00B01F74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CEC996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E1856DB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6C907D2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93DCB4B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2ACEB71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2ED116CF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2664C4FD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2E5E3D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861B4D3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762CBB5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542DD36B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D148297" w14:textId="77777777" w:rsidR="00B01F74" w:rsidRPr="00B01F74" w:rsidRDefault="00B01F74" w:rsidP="00B01F74"/>
        </w:tc>
      </w:tr>
      <w:tr w:rsidR="00B01F74" w:rsidRPr="00B01F74" w14:paraId="7FBD5605" w14:textId="77777777" w:rsidTr="00BA1B6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48BF3D" w14:textId="77777777" w:rsidR="00B01F74" w:rsidRPr="00B01F74" w:rsidRDefault="00B01F74" w:rsidP="00B01F74">
            <w:r w:rsidRPr="00B01F74"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DD38C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BD7741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38E9697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0033E3B8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61B3BA8C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4708693F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28BA7CB1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54E4DD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80E26F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1FAED50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226EE676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138C12E3" w14:textId="77777777" w:rsidR="00B01F74" w:rsidRPr="00B01F74" w:rsidRDefault="00B01F74" w:rsidP="00B01F74"/>
        </w:tc>
      </w:tr>
      <w:tr w:rsidR="00B01F74" w:rsidRPr="00B01F74" w14:paraId="62CCC6C7" w14:textId="77777777" w:rsidTr="00BA1B6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99E991" w14:textId="77777777" w:rsidR="00B01F74" w:rsidRPr="00B01F74" w:rsidRDefault="00B01F74" w:rsidP="00B01F74">
            <w:r w:rsidRPr="00B01F74"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A21AF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9F0836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AED6620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7073A87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01220EA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72858274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06EA86FE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6E4972A5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2C022DF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0069376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4753F686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7B2558CE" w14:textId="77777777" w:rsidR="00B01F74" w:rsidRPr="00B01F74" w:rsidRDefault="00B01F74" w:rsidP="00B01F74"/>
        </w:tc>
      </w:tr>
      <w:tr w:rsidR="00B01F74" w:rsidRPr="00B01F74" w14:paraId="675E79DD" w14:textId="77777777" w:rsidTr="00BA1B6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F2A884" w14:textId="77777777" w:rsidR="00B01F74" w:rsidRPr="00B01F74" w:rsidRDefault="00B01F74" w:rsidP="00B01F74">
            <w:r w:rsidRPr="00B01F74"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37C331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1248169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296F531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2449594E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CF3CC98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1FFCB318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3C6F6B52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9750D32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A87F9ED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0D8BCCDF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473F3D56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6020DA2A" w14:textId="77777777" w:rsidR="00B01F74" w:rsidRPr="00B01F74" w:rsidRDefault="00B01F74" w:rsidP="00B01F74"/>
        </w:tc>
      </w:tr>
      <w:tr w:rsidR="00B01F74" w:rsidRPr="00B01F74" w14:paraId="75D8CCFA" w14:textId="77777777" w:rsidTr="00BA1B6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75EFC0" w14:textId="77777777" w:rsidR="00B01F74" w:rsidRPr="00B01F74" w:rsidRDefault="00B01F74" w:rsidP="00B01F74">
            <w:r w:rsidRPr="00B01F74"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7B51C4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7EFCD52B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448AD452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1D0037D1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2C6A013A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79BDDFAA" w14:textId="77777777" w:rsidR="00B01F74" w:rsidRPr="00B01F74" w:rsidRDefault="00B01F74" w:rsidP="00B01F74"/>
        </w:tc>
        <w:tc>
          <w:tcPr>
            <w:tcW w:w="570" w:type="dxa"/>
            <w:gridSpan w:val="3"/>
            <w:shd w:val="clear" w:color="auto" w:fill="FFFFFF"/>
          </w:tcPr>
          <w:p w14:paraId="043A758C" w14:textId="77777777" w:rsidR="00B01F74" w:rsidRPr="00B01F74" w:rsidRDefault="00B01F74" w:rsidP="00B01F74"/>
        </w:tc>
        <w:tc>
          <w:tcPr>
            <w:tcW w:w="569" w:type="dxa"/>
            <w:gridSpan w:val="3"/>
            <w:shd w:val="clear" w:color="auto" w:fill="FFFFFF"/>
          </w:tcPr>
          <w:p w14:paraId="51BC27D7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3A5154D9" w14:textId="77777777" w:rsidR="00B01F74" w:rsidRPr="00B01F74" w:rsidRDefault="00B01F74" w:rsidP="00B01F74"/>
        </w:tc>
        <w:tc>
          <w:tcPr>
            <w:tcW w:w="570" w:type="dxa"/>
            <w:gridSpan w:val="2"/>
            <w:shd w:val="clear" w:color="auto" w:fill="FFFFFF"/>
          </w:tcPr>
          <w:p w14:paraId="5D30D854" w14:textId="77777777" w:rsidR="00B01F74" w:rsidRPr="00B01F74" w:rsidRDefault="00B01F74" w:rsidP="00B01F74"/>
        </w:tc>
        <w:tc>
          <w:tcPr>
            <w:tcW w:w="570" w:type="dxa"/>
            <w:shd w:val="clear" w:color="auto" w:fill="FFFFFF"/>
          </w:tcPr>
          <w:p w14:paraId="35E80401" w14:textId="77777777" w:rsidR="00B01F74" w:rsidRPr="00B01F74" w:rsidRDefault="00B01F74" w:rsidP="00B01F74"/>
        </w:tc>
        <w:tc>
          <w:tcPr>
            <w:tcW w:w="1547" w:type="dxa"/>
            <w:gridSpan w:val="3"/>
            <w:shd w:val="clear" w:color="auto" w:fill="FFFFFF"/>
          </w:tcPr>
          <w:p w14:paraId="20EE6D03" w14:textId="77777777" w:rsidR="00B01F74" w:rsidRPr="00B01F74" w:rsidRDefault="00B01F74" w:rsidP="00B01F74"/>
        </w:tc>
      </w:tr>
      <w:tr w:rsidR="00B01F74" w:rsidRPr="00B01F74" w14:paraId="6EB90C04" w14:textId="77777777" w:rsidTr="00BA1B6E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93C7833" w14:textId="77777777" w:rsidR="00B01F74" w:rsidRPr="00B01F74" w:rsidRDefault="00B01F74" w:rsidP="00B01F74">
            <w:r w:rsidRPr="00B01F74"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FDC0D3A" w14:textId="77777777" w:rsidR="00B01F74" w:rsidRPr="00B01F74" w:rsidRDefault="00B01F74" w:rsidP="00B01F74"/>
          <w:p w14:paraId="77F43598" w14:textId="77777777" w:rsidR="00B01F74" w:rsidRPr="00B01F74" w:rsidRDefault="00B01F74" w:rsidP="00B01F74"/>
        </w:tc>
      </w:tr>
      <w:tr w:rsidR="00B01F74" w:rsidRPr="00B01F74" w14:paraId="1BFB1935" w14:textId="77777777" w:rsidTr="00BA1B6E">
        <w:trPr>
          <w:gridAfter w:val="1"/>
          <w:wAfter w:w="10" w:type="dxa"/>
          <w:trHeight w:val="854"/>
        </w:trPr>
        <w:tc>
          <w:tcPr>
            <w:tcW w:w="2243" w:type="dxa"/>
            <w:gridSpan w:val="2"/>
            <w:shd w:val="clear" w:color="auto" w:fill="FFFFFF"/>
          </w:tcPr>
          <w:p w14:paraId="4C0EE2C6" w14:textId="77777777" w:rsidR="00B01F74" w:rsidRPr="00B01F74" w:rsidRDefault="00B01F74" w:rsidP="00B01F74">
            <w:r w:rsidRPr="00B01F74"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21EA05E" w14:textId="77777777" w:rsidR="00B01F74" w:rsidRPr="00B01F74" w:rsidRDefault="00B01F74" w:rsidP="00BD6F35">
            <w:pPr>
              <w:pStyle w:val="ARTartustawynprozporzdzenia"/>
              <w:ind w:firstLine="0"/>
            </w:pPr>
            <w:r w:rsidRPr="00B01F74">
              <w:t xml:space="preserve">Projekt rozporządzenia Ministra Infrastruktury zmieniającego rozporządzenie </w:t>
            </w:r>
            <w:r w:rsidRPr="00B01F74">
              <w:br/>
              <w:t xml:space="preserve">w sprawie szczegółowych czynności organów w sprawach związanych </w:t>
            </w:r>
            <w:r w:rsidRPr="00B01F74">
              <w:br/>
              <w:t xml:space="preserve">z dopuszczeniem pojazdu do ruchu oraz wzorów dokumentów w tych sprawach jest konsekwencją potrzeby dostosowania przepisów rozporządzenia obowiązującego </w:t>
            </w:r>
            <w:r w:rsidRPr="00B01F74">
              <w:br/>
              <w:t xml:space="preserve">w związku z ogłoszeniem ustawy z dnia 14 sierpnia 2020 r. o zmianie ustawy – Prawo </w:t>
            </w:r>
            <w:r w:rsidRPr="00B01F74">
              <w:br/>
              <w:t>o ruchu drogowym oraz niektórych innych ustaw (Dz. U. poz. 1517). Nie będzie miał wpływu na sektor finansów publicznych.</w:t>
            </w:r>
          </w:p>
        </w:tc>
      </w:tr>
      <w:tr w:rsidR="00B01F74" w:rsidRPr="00B01F74" w14:paraId="035F83D1" w14:textId="77777777" w:rsidTr="00BA1B6E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B02BED4" w14:textId="77777777" w:rsidR="00B01F74" w:rsidRPr="00B01F74" w:rsidRDefault="00B01F74" w:rsidP="00B01F74">
            <w:r w:rsidRPr="00B01F74">
              <w:t>Wpływ na konkurencyjność gospodarki i przedsiębiorczość, w tym funkcjonowanie przedsiębiorców, a także na sytuację ekonomiczną i społeczną oraz na rodzinę, osoby starsze oraz osoby niepełnosprawne.</w:t>
            </w:r>
          </w:p>
        </w:tc>
      </w:tr>
      <w:tr w:rsidR="00B01F74" w:rsidRPr="00B01F74" w14:paraId="67BB420A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2509044" w14:textId="77777777" w:rsidR="00B01F74" w:rsidRPr="00B01F74" w:rsidRDefault="00B01F74" w:rsidP="00B01F74">
            <w:r w:rsidRPr="00B01F74">
              <w:t>Skutki</w:t>
            </w:r>
          </w:p>
        </w:tc>
      </w:tr>
      <w:tr w:rsidR="00B01F74" w:rsidRPr="00B01F74" w14:paraId="7A8188C2" w14:textId="77777777" w:rsidTr="00BA1B6E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5E16276" w14:textId="77777777" w:rsidR="00B01F74" w:rsidRPr="00B01F74" w:rsidRDefault="00B01F74" w:rsidP="00B01F74">
            <w:r w:rsidRPr="00B01F74">
              <w:t xml:space="preserve">Czas w latach od wejścia w życie </w:t>
            </w:r>
            <w:r w:rsidRPr="00B01F74">
              <w:lastRenderedPageBreak/>
              <w:t>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28B17C5" w14:textId="77777777" w:rsidR="00B01F74" w:rsidRPr="00B01F74" w:rsidRDefault="00B01F74" w:rsidP="00B01F74">
            <w:r w:rsidRPr="00B01F74"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D1B9E4F" w14:textId="77777777" w:rsidR="00B01F74" w:rsidRPr="00B01F74" w:rsidRDefault="00B01F74" w:rsidP="00B01F74">
            <w:r w:rsidRPr="00B01F74"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9509F5" w14:textId="77777777" w:rsidR="00B01F74" w:rsidRPr="00B01F74" w:rsidRDefault="00B01F74" w:rsidP="00B01F74">
            <w:r w:rsidRPr="00B01F74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BABAA89" w14:textId="77777777" w:rsidR="00B01F74" w:rsidRPr="00B01F74" w:rsidRDefault="00B01F74" w:rsidP="00B01F74">
            <w:r w:rsidRPr="00B01F74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3BA1BE5" w14:textId="77777777" w:rsidR="00B01F74" w:rsidRPr="00B01F74" w:rsidRDefault="00B01F74" w:rsidP="00B01F74">
            <w:r w:rsidRPr="00B01F74"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CCD6AA" w14:textId="77777777" w:rsidR="00B01F74" w:rsidRPr="00B01F74" w:rsidRDefault="00B01F74" w:rsidP="00B01F74">
            <w:r w:rsidRPr="00B01F74">
              <w:t>10</w:t>
            </w:r>
          </w:p>
        </w:tc>
        <w:tc>
          <w:tcPr>
            <w:tcW w:w="1422" w:type="dxa"/>
            <w:shd w:val="clear" w:color="auto" w:fill="FFFFFF"/>
          </w:tcPr>
          <w:p w14:paraId="7E54139E" w14:textId="77777777" w:rsidR="00B01F74" w:rsidRPr="00B01F74" w:rsidRDefault="00B01F74" w:rsidP="00B01F74">
            <w:r w:rsidRPr="00B01F74">
              <w:t>Łącznie</w:t>
            </w:r>
            <w:r w:rsidRPr="00B01F74" w:rsidDel="0073273A">
              <w:t xml:space="preserve"> </w:t>
            </w:r>
            <w:r w:rsidRPr="00B01F74">
              <w:t>(0-</w:t>
            </w:r>
            <w:r w:rsidRPr="00B01F74">
              <w:lastRenderedPageBreak/>
              <w:t>10)</w:t>
            </w:r>
          </w:p>
        </w:tc>
      </w:tr>
      <w:tr w:rsidR="00B01F74" w:rsidRPr="00B01F74" w14:paraId="2CE52DA6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6687E20" w14:textId="77777777" w:rsidR="00B01F74" w:rsidRPr="00B01F74" w:rsidRDefault="00B01F74" w:rsidP="00B01F74">
            <w:r w:rsidRPr="00B01F74">
              <w:lastRenderedPageBreak/>
              <w:t>W ujęciu pieniężnym</w:t>
            </w:r>
          </w:p>
          <w:p w14:paraId="01BB7103" w14:textId="77777777" w:rsidR="00B01F74" w:rsidRPr="00B01F74" w:rsidRDefault="00B01F74" w:rsidP="00B01F74">
            <w:r w:rsidRPr="00B01F74">
              <w:t xml:space="preserve">(w mln zł, </w:t>
            </w:r>
          </w:p>
          <w:p w14:paraId="0EEB3C56" w14:textId="77777777" w:rsidR="00B01F74" w:rsidRPr="00B01F74" w:rsidRDefault="00B01F74" w:rsidP="00B01F74">
            <w:r w:rsidRPr="00B01F74"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766437" w14:textId="77777777" w:rsidR="00B01F74" w:rsidRPr="00B01F74" w:rsidRDefault="00B01F74" w:rsidP="00B01F74">
            <w:r w:rsidRPr="00B01F74"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EF92EE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32E4A587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08AF098F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3E0E5A70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47B049F6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511242F3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449F4349" w14:textId="77777777" w:rsidR="00B01F74" w:rsidRPr="00B01F74" w:rsidRDefault="00B01F74" w:rsidP="00B01F74"/>
        </w:tc>
      </w:tr>
      <w:tr w:rsidR="00B01F74" w:rsidRPr="00B01F74" w14:paraId="3FDCFF80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F1502E2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141C802E" w14:textId="77777777" w:rsidR="00B01F74" w:rsidRPr="00B01F74" w:rsidRDefault="00B01F74" w:rsidP="00B01F74">
            <w:r w:rsidRPr="00B01F74"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6E23BA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305D6732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0A4CADBA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3AB173C4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44B2ECB6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1F2FD909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09A5FCB9" w14:textId="77777777" w:rsidR="00B01F74" w:rsidRPr="00B01F74" w:rsidRDefault="00B01F74" w:rsidP="00B01F74"/>
        </w:tc>
      </w:tr>
      <w:tr w:rsidR="00B01F74" w:rsidRPr="00B01F74" w14:paraId="7E7C0B2B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C42B77B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4685A554" w14:textId="77777777" w:rsidR="00B01F74" w:rsidRPr="00B01F74" w:rsidRDefault="00B01F74" w:rsidP="00B01F74">
            <w:r w:rsidRPr="00B01F74"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245179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5C564D25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75DA7B80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59C0CF64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54E10CC3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58B38216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79925962" w14:textId="77777777" w:rsidR="00B01F74" w:rsidRPr="00B01F74" w:rsidRDefault="00B01F74" w:rsidP="00B01F74"/>
        </w:tc>
      </w:tr>
      <w:tr w:rsidR="00B01F74" w:rsidRPr="00B01F74" w14:paraId="74EEADB9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C57983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6DD39165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7DC4CD" w14:textId="77777777" w:rsidR="00B01F74" w:rsidRPr="00B01F74" w:rsidRDefault="00B01F74" w:rsidP="00B01F74"/>
        </w:tc>
        <w:tc>
          <w:tcPr>
            <w:tcW w:w="938" w:type="dxa"/>
            <w:gridSpan w:val="5"/>
            <w:shd w:val="clear" w:color="auto" w:fill="FFFFFF"/>
          </w:tcPr>
          <w:p w14:paraId="3BF3E914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174180BB" w14:textId="77777777" w:rsidR="00B01F74" w:rsidRPr="00B01F74" w:rsidRDefault="00B01F74" w:rsidP="00B01F74"/>
        </w:tc>
        <w:tc>
          <w:tcPr>
            <w:tcW w:w="937" w:type="dxa"/>
            <w:gridSpan w:val="3"/>
            <w:shd w:val="clear" w:color="auto" w:fill="FFFFFF"/>
          </w:tcPr>
          <w:p w14:paraId="46F43EF4" w14:textId="77777777" w:rsidR="00B01F74" w:rsidRPr="00B01F74" w:rsidRDefault="00B01F74" w:rsidP="00B01F74"/>
        </w:tc>
        <w:tc>
          <w:tcPr>
            <w:tcW w:w="938" w:type="dxa"/>
            <w:gridSpan w:val="4"/>
            <w:shd w:val="clear" w:color="auto" w:fill="FFFFFF"/>
          </w:tcPr>
          <w:p w14:paraId="231FF940" w14:textId="77777777" w:rsidR="00B01F74" w:rsidRPr="00B01F74" w:rsidRDefault="00B01F74" w:rsidP="00B01F74"/>
        </w:tc>
        <w:tc>
          <w:tcPr>
            <w:tcW w:w="938" w:type="dxa"/>
            <w:gridSpan w:val="3"/>
            <w:shd w:val="clear" w:color="auto" w:fill="FFFFFF"/>
          </w:tcPr>
          <w:p w14:paraId="1CA9C13A" w14:textId="77777777" w:rsidR="00B01F74" w:rsidRPr="00B01F74" w:rsidRDefault="00B01F74" w:rsidP="00B01F74"/>
        </w:tc>
        <w:tc>
          <w:tcPr>
            <w:tcW w:w="1422" w:type="dxa"/>
            <w:shd w:val="clear" w:color="auto" w:fill="FFFFFF"/>
          </w:tcPr>
          <w:p w14:paraId="376691A8" w14:textId="77777777" w:rsidR="00B01F74" w:rsidRPr="00B01F74" w:rsidRDefault="00B01F74" w:rsidP="00B01F74"/>
        </w:tc>
      </w:tr>
      <w:tr w:rsidR="00B01F74" w:rsidRPr="00B01F74" w14:paraId="556EE47F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8B8E4B" w14:textId="77777777" w:rsidR="00B01F74" w:rsidRPr="00B01F74" w:rsidRDefault="00B01F74" w:rsidP="00B01F74">
            <w:r w:rsidRPr="00B01F74"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DE7EEF" w14:textId="77777777" w:rsidR="00B01F74" w:rsidRPr="00B01F74" w:rsidRDefault="00B01F74" w:rsidP="00B01F74">
            <w:r w:rsidRPr="00B01F74"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1B84654" w14:textId="77777777" w:rsidR="00B01F74" w:rsidRPr="00B01F74" w:rsidRDefault="00B01F74" w:rsidP="00B01F74"/>
        </w:tc>
      </w:tr>
      <w:tr w:rsidR="00B01F74" w:rsidRPr="00B01F74" w14:paraId="1BB37040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40D021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437D3C5C" w14:textId="77777777" w:rsidR="00B01F74" w:rsidRPr="00B01F74" w:rsidRDefault="00B01F74" w:rsidP="00B01F74">
            <w:r w:rsidRPr="00B01F74"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815C01" w14:textId="77777777" w:rsidR="00B01F74" w:rsidRPr="00B01F74" w:rsidRDefault="00B01F74" w:rsidP="00BD6F35">
            <w:pPr>
              <w:pStyle w:val="ARTartustawynprozporzdzenia"/>
              <w:ind w:firstLine="0"/>
            </w:pPr>
            <w:r w:rsidRPr="00B01F74">
              <w:t>Projektowane rozporządzenie nie będzie miało wpływy na konkurencyjność gospodarki i przedsiębiorczość, w tym funkcjonowanie przedsiębiorców, a zwłaszcza mikroprzedsiębiorców, małych i średnich przedsiębiorców.</w:t>
            </w:r>
          </w:p>
        </w:tc>
      </w:tr>
      <w:tr w:rsidR="00B01F74" w:rsidRPr="00B01F74" w14:paraId="54C5FF13" w14:textId="77777777" w:rsidTr="00BA1B6E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DE61194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0E3D3BCD" w14:textId="77777777" w:rsidR="00B01F74" w:rsidRPr="00B01F74" w:rsidRDefault="00B01F74" w:rsidP="00B01F74">
            <w:r w:rsidRPr="00B01F74"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2BE390" w14:textId="77777777" w:rsidR="00B01F74" w:rsidRPr="00B01F74" w:rsidRDefault="00B01F74" w:rsidP="00BD6F35">
            <w:pPr>
              <w:pStyle w:val="USTustnpkodeksu"/>
              <w:ind w:firstLine="0"/>
            </w:pPr>
            <w:r w:rsidRPr="00B01F74">
              <w:t xml:space="preserve">Rozporządzenie nie będzie miało wpływu na sytuację ekonomiczną </w:t>
            </w:r>
            <w:r w:rsidRPr="00B01F74">
              <w:br/>
              <w:t>i społeczną rodziny, a także osób niepełnosprawnych oraz osób starszych.</w:t>
            </w:r>
          </w:p>
        </w:tc>
      </w:tr>
      <w:tr w:rsidR="00B01F74" w:rsidRPr="00B01F74" w14:paraId="4ADA2A36" w14:textId="77777777" w:rsidTr="00BA1B6E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AD76E18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45A761AA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15A9385" w14:textId="77777777" w:rsidR="00B01F74" w:rsidRPr="00B01F74" w:rsidRDefault="00B01F74" w:rsidP="00B01F74"/>
        </w:tc>
      </w:tr>
      <w:tr w:rsidR="00B01F74" w:rsidRPr="00B01F74" w14:paraId="08F66001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922BBD" w14:textId="77777777" w:rsidR="00B01F74" w:rsidRPr="00B01F74" w:rsidRDefault="00B01F74" w:rsidP="00B01F74">
            <w:r w:rsidRPr="00B01F74"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8A4CE7F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92BA00" w14:textId="77777777" w:rsidR="00B01F74" w:rsidRPr="00B01F74" w:rsidRDefault="00B01F74" w:rsidP="00B01F74"/>
        </w:tc>
      </w:tr>
      <w:tr w:rsidR="00B01F74" w:rsidRPr="00B01F74" w14:paraId="0E03CDCC" w14:textId="77777777" w:rsidTr="00BA1B6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ECDBD35" w14:textId="77777777" w:rsidR="00B01F74" w:rsidRPr="00B01F74" w:rsidRDefault="00B01F74" w:rsidP="00B01F74"/>
        </w:tc>
        <w:tc>
          <w:tcPr>
            <w:tcW w:w="2293" w:type="dxa"/>
            <w:gridSpan w:val="6"/>
            <w:shd w:val="clear" w:color="auto" w:fill="FFFFFF"/>
          </w:tcPr>
          <w:p w14:paraId="65E098F5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(dodaj/usuń)</w:t>
            </w:r>
            <w:r w:rsidRPr="00B01F74"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58CED6" w14:textId="77777777" w:rsidR="00B01F74" w:rsidRPr="00B01F74" w:rsidRDefault="00B01F74" w:rsidP="00B01F74"/>
        </w:tc>
      </w:tr>
      <w:tr w:rsidR="00B01F74" w:rsidRPr="00B01F74" w14:paraId="0B6F5059" w14:textId="77777777" w:rsidTr="00BA1B6E">
        <w:trPr>
          <w:gridAfter w:val="1"/>
          <w:wAfter w:w="10" w:type="dxa"/>
          <w:trHeight w:val="1258"/>
        </w:trPr>
        <w:tc>
          <w:tcPr>
            <w:tcW w:w="2243" w:type="dxa"/>
            <w:gridSpan w:val="2"/>
            <w:shd w:val="clear" w:color="auto" w:fill="FFFFFF"/>
          </w:tcPr>
          <w:p w14:paraId="42FACDDF" w14:textId="77777777" w:rsidR="00B01F74" w:rsidRPr="00B01F74" w:rsidRDefault="00B01F74" w:rsidP="00B01F74">
            <w:r w:rsidRPr="00B01F74"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B8B7C8" w14:textId="77777777" w:rsidR="00B01F74" w:rsidRPr="00B01F74" w:rsidRDefault="00B01F74" w:rsidP="000E560E">
            <w:pPr>
              <w:pStyle w:val="ARTartustawynprozporzdzenia"/>
              <w:ind w:firstLine="0"/>
            </w:pPr>
            <w:r w:rsidRPr="00B01F74">
              <w:t>Projekt dostosow</w:t>
            </w:r>
            <w:r w:rsidR="00BD6F35">
              <w:t>uje</w:t>
            </w:r>
            <w:r w:rsidRPr="00B01F74">
              <w:t xml:space="preserve"> przepis</w:t>
            </w:r>
            <w:r w:rsidR="00BD6F35">
              <w:t xml:space="preserve">y </w:t>
            </w:r>
            <w:r w:rsidRPr="00B01F74">
              <w:t xml:space="preserve">rozporządzenia obowiązującego do przepisów </w:t>
            </w:r>
            <w:r w:rsidR="000E560E">
              <w:t xml:space="preserve">art. 73d </w:t>
            </w:r>
            <w:r w:rsidRPr="00B01F74">
              <w:t xml:space="preserve">ustawy z dnia 14 sierpnia 2020 r. o zmianie ustawy – Prawo o ruchu drogowym oraz niektórych innych ustaw (Dz. U. poz. 1517) wchodzących w życie z dniem 4 </w:t>
            </w:r>
            <w:r w:rsidR="00BD6F35">
              <w:t>września</w:t>
            </w:r>
            <w:r w:rsidRPr="00B01F74">
              <w:t xml:space="preserve"> 2021 r.</w:t>
            </w:r>
          </w:p>
        </w:tc>
      </w:tr>
      <w:tr w:rsidR="00B01F74" w:rsidRPr="00B01F74" w14:paraId="27A3E070" w14:textId="77777777" w:rsidTr="00BA1B6E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6A0DE5" w14:textId="77777777" w:rsidR="00B01F74" w:rsidRPr="00B01F74" w:rsidRDefault="00B01F74" w:rsidP="00B01F74">
            <w:r w:rsidRPr="00B01F74">
              <w:t xml:space="preserve"> Zmiana obciążeń regulacyjnych (w tym obowiązków informacyjnych) wynikających z projektu</w:t>
            </w:r>
          </w:p>
        </w:tc>
      </w:tr>
      <w:tr w:rsidR="00B01F74" w:rsidRPr="00B01F74" w14:paraId="11A0A468" w14:textId="77777777" w:rsidTr="00BA1B6E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E5DEC9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</w:tc>
      </w:tr>
      <w:tr w:rsidR="00B01F74" w:rsidRPr="00B01F74" w14:paraId="66D5AD7E" w14:textId="77777777" w:rsidTr="00BA1B6E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ACFE606" w14:textId="77777777" w:rsidR="00B01F74" w:rsidRPr="00B01F74" w:rsidRDefault="00B01F74" w:rsidP="00B01F74">
            <w:r w:rsidRPr="00B01F74"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4B84F84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tak</w:t>
            </w:r>
          </w:p>
          <w:p w14:paraId="5DCF64E6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nie</w:t>
            </w:r>
          </w:p>
          <w:p w14:paraId="785EC5C2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</w:tc>
      </w:tr>
      <w:tr w:rsidR="00B01F74" w:rsidRPr="00B01F74" w14:paraId="2D58D24B" w14:textId="77777777" w:rsidTr="00BA1B6E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E6DAB18" w14:textId="77777777" w:rsidR="00B01F74" w:rsidRPr="00B01F74" w:rsidRDefault="00B01F74" w:rsidP="00B01F74">
            <w:r w:rsidRPr="00B01F74"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zmniejszenie liczby dokumentów </w:t>
            </w:r>
          </w:p>
          <w:p w14:paraId="404975E9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zmniejszenie liczby procedur</w:t>
            </w:r>
          </w:p>
          <w:p w14:paraId="5D3D3C57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>skrócenie czasu na załatwienie sprawy</w:t>
            </w:r>
          </w:p>
          <w:p w14:paraId="1140C780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D323092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zwiększenie liczby dokumentów</w:t>
            </w:r>
          </w:p>
          <w:p w14:paraId="097E3E4A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zwiększenie liczby procedur</w:t>
            </w:r>
          </w:p>
          <w:p w14:paraId="4B284A10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wydłużenie czasu na załatwienie sprawy</w:t>
            </w:r>
          </w:p>
          <w:p w14:paraId="63AE35F5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</w:tr>
      <w:tr w:rsidR="00B01F74" w:rsidRPr="00B01F74" w14:paraId="4BB38744" w14:textId="77777777" w:rsidTr="00BA1B6E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3885C5D" w14:textId="77777777" w:rsidR="00B01F74" w:rsidRPr="00B01F74" w:rsidRDefault="00B01F74" w:rsidP="00B01F74">
            <w:r w:rsidRPr="00B01F74"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4C42CF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tak</w:t>
            </w:r>
          </w:p>
          <w:p w14:paraId="45ABF609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nie</w:t>
            </w:r>
          </w:p>
          <w:p w14:paraId="710A9441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nie dotyczy</w:t>
            </w:r>
          </w:p>
          <w:p w14:paraId="3DE66B6A" w14:textId="77777777" w:rsidR="00B01F74" w:rsidRPr="00B01F74" w:rsidRDefault="00B01F74" w:rsidP="00B01F74"/>
        </w:tc>
      </w:tr>
      <w:tr w:rsidR="00B01F74" w:rsidRPr="00B01F74" w14:paraId="123A600F" w14:textId="77777777" w:rsidTr="00BA1B6E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15919AA" w14:textId="77777777" w:rsidR="00B01F74" w:rsidRPr="00B01F74" w:rsidRDefault="00B01F74" w:rsidP="00B01F74"/>
        </w:tc>
      </w:tr>
      <w:tr w:rsidR="00B01F74" w:rsidRPr="00B01F74" w14:paraId="30B57A78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83D5FF" w14:textId="77777777" w:rsidR="00B01F74" w:rsidRPr="00B01F74" w:rsidRDefault="00B01F74" w:rsidP="00B01F74">
            <w:r w:rsidRPr="00B01F74">
              <w:t xml:space="preserve">Wpływ na rynek pracy </w:t>
            </w:r>
          </w:p>
        </w:tc>
      </w:tr>
      <w:tr w:rsidR="00B01F74" w:rsidRPr="00B01F74" w14:paraId="5CC2FD94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281779" w14:textId="77777777" w:rsidR="00B01F74" w:rsidRPr="00B01F74" w:rsidRDefault="00B01F74" w:rsidP="00B01F74"/>
          <w:p w14:paraId="46195A8B" w14:textId="77777777" w:rsidR="00B01F74" w:rsidRPr="00B01F74" w:rsidRDefault="00B01F74" w:rsidP="00B01F74">
            <w:r w:rsidRPr="00B01F74">
              <w:t>Proponowane zmiany nie będą miały wpływu na rynek pracy.</w:t>
            </w:r>
          </w:p>
          <w:p w14:paraId="55B35B50" w14:textId="77777777" w:rsidR="00B01F74" w:rsidRPr="00B01F74" w:rsidRDefault="00B01F74" w:rsidP="00B01F74"/>
        </w:tc>
      </w:tr>
      <w:tr w:rsidR="00B01F74" w:rsidRPr="00B01F74" w14:paraId="37DA4FB2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6F7B9" w14:textId="77777777" w:rsidR="00B01F74" w:rsidRPr="00B01F74" w:rsidRDefault="00B01F74" w:rsidP="00B01F74">
            <w:r w:rsidRPr="00B01F74">
              <w:t>Wpływ na pozostałe obszary</w:t>
            </w:r>
          </w:p>
        </w:tc>
      </w:tr>
      <w:tr w:rsidR="00B01F74" w:rsidRPr="00B01F74" w14:paraId="2854BC11" w14:textId="77777777" w:rsidTr="00BA1B6E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D303130" w14:textId="77777777" w:rsidR="00B01F74" w:rsidRPr="00B01F74" w:rsidRDefault="00B01F74" w:rsidP="00B01F74"/>
          <w:p w14:paraId="4CDBC9E4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środowisko naturalne</w:t>
            </w:r>
          </w:p>
          <w:p w14:paraId="26DD064C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sytuacja i rozwój regionalny</w:t>
            </w:r>
          </w:p>
          <w:p w14:paraId="08475C9E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inne: </w:t>
            </w:r>
            <w:r w:rsidRPr="00B01F74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74">
              <w:instrText xml:space="preserve"> FORMTEXT </w:instrText>
            </w:r>
            <w:r w:rsidRPr="00B01F74">
              <w:fldChar w:fldCharType="separate"/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t> </w:t>
            </w:r>
            <w:r w:rsidRPr="00B01F74"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4B8C60F" w14:textId="77777777" w:rsidR="00B01F74" w:rsidRPr="00B01F74" w:rsidRDefault="00B01F74" w:rsidP="00B01F74"/>
          <w:p w14:paraId="2F92EAD1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demografia</w:t>
            </w:r>
          </w:p>
          <w:p w14:paraId="324724B3" w14:textId="77777777" w:rsidR="00B01F74" w:rsidRPr="00B01F74" w:rsidRDefault="00B01F74" w:rsidP="00B01F74">
            <w:r w:rsidRPr="00B01F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E57B985" w14:textId="77777777" w:rsidR="00B01F74" w:rsidRPr="00B01F74" w:rsidRDefault="00B01F74" w:rsidP="00B01F74"/>
          <w:p w14:paraId="367522FF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informatyzacja</w:t>
            </w:r>
          </w:p>
          <w:p w14:paraId="46CC57E5" w14:textId="77777777" w:rsidR="00B01F74" w:rsidRPr="00B01F74" w:rsidRDefault="00B01F74" w:rsidP="00B01F74">
            <w:r w:rsidRPr="00B01F7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74">
              <w:instrText xml:space="preserve"> FORMCHECKBOX </w:instrText>
            </w:r>
            <w:r w:rsidR="005374D5">
              <w:fldChar w:fldCharType="separate"/>
            </w:r>
            <w:r w:rsidRPr="00B01F74">
              <w:fldChar w:fldCharType="end"/>
            </w:r>
            <w:r w:rsidRPr="00B01F74">
              <w:t xml:space="preserve"> zdrowie</w:t>
            </w:r>
          </w:p>
        </w:tc>
      </w:tr>
      <w:tr w:rsidR="00B01F74" w:rsidRPr="00B01F74" w14:paraId="3CA74F27" w14:textId="77777777" w:rsidTr="00BA1B6E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5BFA3C7" w14:textId="77777777" w:rsidR="00B01F74" w:rsidRPr="00B01F74" w:rsidRDefault="00B01F74" w:rsidP="00B01F74">
            <w:r w:rsidRPr="00B01F74"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3FAEDB3" w14:textId="77777777" w:rsidR="00B01F74" w:rsidRPr="00B01F74" w:rsidRDefault="00B01F74" w:rsidP="00B01F74">
            <w:r w:rsidRPr="00B01F74">
              <w:t>Projektowane rozporządzenie nie będzie miało wpływu na ww. obszary.</w:t>
            </w:r>
          </w:p>
          <w:p w14:paraId="3C7DAECA" w14:textId="77777777" w:rsidR="00B01F74" w:rsidRPr="00B01F74" w:rsidRDefault="00B01F74" w:rsidP="00B01F74"/>
        </w:tc>
      </w:tr>
      <w:tr w:rsidR="00B01F74" w:rsidRPr="00B01F74" w14:paraId="4D610A7C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9467DA" w14:textId="77777777" w:rsidR="00B01F74" w:rsidRPr="00B01F74" w:rsidRDefault="00B01F74" w:rsidP="00B01F74">
            <w:r w:rsidRPr="00B01F74">
              <w:t>Planowane wykonanie przepisów aktu prawnego</w:t>
            </w:r>
          </w:p>
        </w:tc>
      </w:tr>
      <w:tr w:rsidR="00B01F74" w:rsidRPr="00B01F74" w14:paraId="643E8B5A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DC0D4B" w14:textId="77777777" w:rsidR="00B01F74" w:rsidRPr="00B01F74" w:rsidRDefault="00B01F74" w:rsidP="00B01F74"/>
          <w:p w14:paraId="7AF6AC57" w14:textId="77777777" w:rsidR="00B01F74" w:rsidRPr="00B01F74" w:rsidRDefault="00B01F74" w:rsidP="00B01F74">
            <w:r w:rsidRPr="00B01F74">
              <w:t>Planowane wykonanie przepisów – najpóźniej 4 czerwca 2021 r.</w:t>
            </w:r>
          </w:p>
        </w:tc>
      </w:tr>
      <w:tr w:rsidR="00B01F74" w:rsidRPr="00B01F74" w14:paraId="7483EB2E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74DE60" w14:textId="77777777" w:rsidR="00B01F74" w:rsidRPr="00B01F74" w:rsidRDefault="00B01F74" w:rsidP="00B01F74">
            <w:r w:rsidRPr="00B01F74">
              <w:t>W jaki sposób i kiedy nastąpi ewaluacja efektów projektu oraz jakie mierniki zostaną zastosowane?</w:t>
            </w:r>
          </w:p>
        </w:tc>
      </w:tr>
      <w:tr w:rsidR="00B01F74" w:rsidRPr="00B01F74" w14:paraId="0B66E7F6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E2298B" w14:textId="77777777" w:rsidR="00214EB0" w:rsidRDefault="00214EB0" w:rsidP="00B01F74"/>
          <w:p w14:paraId="16606748" w14:textId="77777777" w:rsidR="00B01F74" w:rsidRPr="00B01F74" w:rsidRDefault="00B01F74" w:rsidP="00214EB0">
            <w:r w:rsidRPr="00B01F74">
              <w:t xml:space="preserve">Nie przewiduje się przeprowadzenia ewaluacji efektów projektu. </w:t>
            </w:r>
          </w:p>
        </w:tc>
      </w:tr>
      <w:tr w:rsidR="00B01F74" w:rsidRPr="00B01F74" w14:paraId="1DC5150E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DD81B1" w14:textId="77777777" w:rsidR="00B01F74" w:rsidRPr="00B01F74" w:rsidRDefault="00B01F74" w:rsidP="00B01F74">
            <w:r w:rsidRPr="00B01F74">
              <w:t xml:space="preserve">Załączniki (istotne dokumenty źródłowe, badania, analizy itp.) </w:t>
            </w:r>
          </w:p>
        </w:tc>
      </w:tr>
      <w:tr w:rsidR="00B01F74" w:rsidRPr="00B01F74" w14:paraId="3089D6A3" w14:textId="77777777" w:rsidTr="00BA1B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CC584F1" w14:textId="77777777" w:rsidR="00B01F74" w:rsidRPr="00B01F74" w:rsidRDefault="00B01F74" w:rsidP="00B01F74">
            <w:r w:rsidRPr="00B01F74">
              <w:t>Brak.</w:t>
            </w:r>
          </w:p>
        </w:tc>
      </w:tr>
    </w:tbl>
    <w:p w14:paraId="32FBF0D3" w14:textId="77777777" w:rsidR="00BF5B25" w:rsidRPr="00BF5B25" w:rsidRDefault="00BF5B25" w:rsidP="00BF5B25">
      <w:pPr>
        <w:pStyle w:val="NAZORGWPOROZUMIENIUnazwaorganuwporozumieniuzktrymaktjestwydawany"/>
      </w:pPr>
    </w:p>
    <w:sectPr w:rsidR="00BF5B25" w:rsidRPr="00BF5B2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32A5" w14:textId="77777777" w:rsidR="005374D5" w:rsidRDefault="005374D5">
      <w:r>
        <w:separator/>
      </w:r>
    </w:p>
  </w:endnote>
  <w:endnote w:type="continuationSeparator" w:id="0">
    <w:p w14:paraId="109A386F" w14:textId="77777777" w:rsidR="005374D5" w:rsidRDefault="005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68BC" w14:textId="77777777" w:rsidR="00F40BC4" w:rsidRDefault="00F40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363A" w14:textId="77777777" w:rsidR="00F40BC4" w:rsidRDefault="00F40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2AB7" w14:textId="77777777" w:rsidR="00F40BC4" w:rsidRDefault="00F4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DA77" w14:textId="77777777" w:rsidR="005374D5" w:rsidRDefault="005374D5">
      <w:r>
        <w:separator/>
      </w:r>
    </w:p>
  </w:footnote>
  <w:footnote w:type="continuationSeparator" w:id="0">
    <w:p w14:paraId="4326974F" w14:textId="77777777" w:rsidR="005374D5" w:rsidRDefault="005374D5">
      <w:r>
        <w:continuationSeparator/>
      </w:r>
    </w:p>
  </w:footnote>
  <w:footnote w:id="1">
    <w:p w14:paraId="4D433365" w14:textId="7F901A51" w:rsidR="00A96B2A" w:rsidRDefault="00A96B2A" w:rsidP="00A96B2A">
      <w:pPr>
        <w:pStyle w:val="ODNONIKtreodnonika"/>
      </w:pPr>
      <w:r>
        <w:rPr>
          <w:rStyle w:val="Odwoanieprzypisudolnego"/>
        </w:rPr>
        <w:footnoteRef/>
      </w:r>
      <w:r w:rsidRPr="00A96B2A">
        <w:rPr>
          <w:rStyle w:val="IGindeksgrny"/>
        </w:rPr>
        <w:t>)</w:t>
      </w:r>
      <w:r>
        <w:tab/>
      </w:r>
      <w:r w:rsidRPr="00A96B2A">
        <w:t xml:space="preserve">Minister Infrastruktury kieruje działem administracji rządowej </w:t>
      </w:r>
      <w:r w:rsidR="003246DF" w:rsidRPr="003246DF">
        <w:t>–</w:t>
      </w:r>
      <w:r w:rsidRPr="00A96B2A">
        <w:t xml:space="preserve"> transport, na podstawie § 1 ust. 2 pkt 3 rozporządzenia Prezesa Rady Ministrów z dnia 18 listopada 2019 r. w sprawie szczegółowego zakresu działania Ministra Infrastruktury (Dz. U. </w:t>
      </w:r>
      <w:r w:rsidR="00441042">
        <w:t xml:space="preserve">z 2021 r. </w:t>
      </w:r>
      <w:r w:rsidRPr="00A96B2A">
        <w:t xml:space="preserve">poz. </w:t>
      </w:r>
      <w:r w:rsidR="00441042">
        <w:t>937</w:t>
      </w:r>
      <w:r w:rsidRPr="00A96B2A">
        <w:t>).</w:t>
      </w:r>
    </w:p>
    <w:p w14:paraId="26178C99" w14:textId="77777777" w:rsidR="00B01F74" w:rsidRDefault="00B01F74" w:rsidP="00A96B2A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744E" w14:textId="77777777" w:rsidR="00F40BC4" w:rsidRDefault="00F40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8AD5" w14:textId="23549B3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0BC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C3A2" w14:textId="77777777" w:rsidR="00F40BC4" w:rsidRDefault="00F40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5E"/>
    <w:rsid w:val="000012DA"/>
    <w:rsid w:val="0000246E"/>
    <w:rsid w:val="00003862"/>
    <w:rsid w:val="00012A35"/>
    <w:rsid w:val="00013B2B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5FBD"/>
    <w:rsid w:val="000906EE"/>
    <w:rsid w:val="00091BA2"/>
    <w:rsid w:val="000940CE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051E"/>
    <w:rsid w:val="000E25CC"/>
    <w:rsid w:val="000E3694"/>
    <w:rsid w:val="000E490F"/>
    <w:rsid w:val="000E560E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0B42"/>
    <w:rsid w:val="00125A9C"/>
    <w:rsid w:val="00126E16"/>
    <w:rsid w:val="001270A2"/>
    <w:rsid w:val="00131237"/>
    <w:rsid w:val="001329AC"/>
    <w:rsid w:val="00133768"/>
    <w:rsid w:val="00134CA0"/>
    <w:rsid w:val="0014026F"/>
    <w:rsid w:val="00143DA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FE0"/>
    <w:rsid w:val="001C1832"/>
    <w:rsid w:val="001C188C"/>
    <w:rsid w:val="001D11B3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04B"/>
    <w:rsid w:val="00204A97"/>
    <w:rsid w:val="002114EF"/>
    <w:rsid w:val="00214EB0"/>
    <w:rsid w:val="002166AD"/>
    <w:rsid w:val="00217871"/>
    <w:rsid w:val="00220843"/>
    <w:rsid w:val="00221ED8"/>
    <w:rsid w:val="002231EA"/>
    <w:rsid w:val="0022356D"/>
    <w:rsid w:val="00223FDF"/>
    <w:rsid w:val="002279C0"/>
    <w:rsid w:val="0023727E"/>
    <w:rsid w:val="00241484"/>
    <w:rsid w:val="00242081"/>
    <w:rsid w:val="00243777"/>
    <w:rsid w:val="002441CD"/>
    <w:rsid w:val="002501A3"/>
    <w:rsid w:val="0025166C"/>
    <w:rsid w:val="00253E97"/>
    <w:rsid w:val="002555D4"/>
    <w:rsid w:val="00261A16"/>
    <w:rsid w:val="00263522"/>
    <w:rsid w:val="00264EC6"/>
    <w:rsid w:val="00271013"/>
    <w:rsid w:val="00271743"/>
    <w:rsid w:val="00273FE4"/>
    <w:rsid w:val="002765B4"/>
    <w:rsid w:val="00276A94"/>
    <w:rsid w:val="0029405D"/>
    <w:rsid w:val="00294FA6"/>
    <w:rsid w:val="00295A6F"/>
    <w:rsid w:val="002A20C4"/>
    <w:rsid w:val="002A3A86"/>
    <w:rsid w:val="002A570F"/>
    <w:rsid w:val="002A7292"/>
    <w:rsid w:val="002A7358"/>
    <w:rsid w:val="002A7902"/>
    <w:rsid w:val="002B0F6B"/>
    <w:rsid w:val="002B23B8"/>
    <w:rsid w:val="002B4429"/>
    <w:rsid w:val="002B5E09"/>
    <w:rsid w:val="002B68A6"/>
    <w:rsid w:val="002B7FAF"/>
    <w:rsid w:val="002C588D"/>
    <w:rsid w:val="002D00E8"/>
    <w:rsid w:val="002D0C4F"/>
    <w:rsid w:val="002D1364"/>
    <w:rsid w:val="002D355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E94"/>
    <w:rsid w:val="002F669F"/>
    <w:rsid w:val="00301C97"/>
    <w:rsid w:val="0031004C"/>
    <w:rsid w:val="003105F6"/>
    <w:rsid w:val="00311297"/>
    <w:rsid w:val="003113BE"/>
    <w:rsid w:val="003122CA"/>
    <w:rsid w:val="003148FD"/>
    <w:rsid w:val="00315D92"/>
    <w:rsid w:val="00321080"/>
    <w:rsid w:val="00322D45"/>
    <w:rsid w:val="003246DF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085"/>
    <w:rsid w:val="00354EB9"/>
    <w:rsid w:val="00357C3A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7C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399"/>
    <w:rsid w:val="003E0D1A"/>
    <w:rsid w:val="003E1A5C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B16"/>
    <w:rsid w:val="00417B22"/>
    <w:rsid w:val="00421085"/>
    <w:rsid w:val="0042465E"/>
    <w:rsid w:val="00424DF7"/>
    <w:rsid w:val="00432B76"/>
    <w:rsid w:val="00434D01"/>
    <w:rsid w:val="00435D26"/>
    <w:rsid w:val="00440C99"/>
    <w:rsid w:val="00441042"/>
    <w:rsid w:val="0044175C"/>
    <w:rsid w:val="00445F4D"/>
    <w:rsid w:val="004504C0"/>
    <w:rsid w:val="00454610"/>
    <w:rsid w:val="004550FB"/>
    <w:rsid w:val="0046016E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B98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E9A"/>
    <w:rsid w:val="004D2DEE"/>
    <w:rsid w:val="004D2E1F"/>
    <w:rsid w:val="004D54A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B87"/>
    <w:rsid w:val="005363AB"/>
    <w:rsid w:val="005374D5"/>
    <w:rsid w:val="00544EF4"/>
    <w:rsid w:val="00545E53"/>
    <w:rsid w:val="005479D9"/>
    <w:rsid w:val="0055671B"/>
    <w:rsid w:val="005572BD"/>
    <w:rsid w:val="00557A12"/>
    <w:rsid w:val="00557CD9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5B8"/>
    <w:rsid w:val="005A669D"/>
    <w:rsid w:val="005A75D8"/>
    <w:rsid w:val="005B713E"/>
    <w:rsid w:val="005B750D"/>
    <w:rsid w:val="005C03B6"/>
    <w:rsid w:val="005C348E"/>
    <w:rsid w:val="005C4174"/>
    <w:rsid w:val="005C68E1"/>
    <w:rsid w:val="005D0707"/>
    <w:rsid w:val="005D1B66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FD0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3F0"/>
    <w:rsid w:val="00665AB2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3E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62C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43C"/>
    <w:rsid w:val="00780122"/>
    <w:rsid w:val="0078214B"/>
    <w:rsid w:val="0078498A"/>
    <w:rsid w:val="007878FE"/>
    <w:rsid w:val="00791A20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F8"/>
    <w:rsid w:val="007A789F"/>
    <w:rsid w:val="007B75BC"/>
    <w:rsid w:val="007C0BD6"/>
    <w:rsid w:val="007C0D3D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71B"/>
    <w:rsid w:val="00852B59"/>
    <w:rsid w:val="00856272"/>
    <w:rsid w:val="008563FF"/>
    <w:rsid w:val="0086018B"/>
    <w:rsid w:val="008611DD"/>
    <w:rsid w:val="008620DE"/>
    <w:rsid w:val="00866867"/>
    <w:rsid w:val="0086710D"/>
    <w:rsid w:val="00872257"/>
    <w:rsid w:val="008753E6"/>
    <w:rsid w:val="0087738C"/>
    <w:rsid w:val="008802AF"/>
    <w:rsid w:val="00880C5D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916"/>
    <w:rsid w:val="008B4E49"/>
    <w:rsid w:val="008B7712"/>
    <w:rsid w:val="008B7B26"/>
    <w:rsid w:val="008C3524"/>
    <w:rsid w:val="008C4061"/>
    <w:rsid w:val="008C4229"/>
    <w:rsid w:val="008C577A"/>
    <w:rsid w:val="008C5BE0"/>
    <w:rsid w:val="008C7233"/>
    <w:rsid w:val="008D2434"/>
    <w:rsid w:val="008E171D"/>
    <w:rsid w:val="008E2785"/>
    <w:rsid w:val="008E77AF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0E0D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1F57"/>
    <w:rsid w:val="009B4CB2"/>
    <w:rsid w:val="009B6701"/>
    <w:rsid w:val="009B6EF7"/>
    <w:rsid w:val="009B7000"/>
    <w:rsid w:val="009B739C"/>
    <w:rsid w:val="009C0208"/>
    <w:rsid w:val="009C04EC"/>
    <w:rsid w:val="009C328C"/>
    <w:rsid w:val="009C4444"/>
    <w:rsid w:val="009C79AD"/>
    <w:rsid w:val="009C7CA6"/>
    <w:rsid w:val="009D3316"/>
    <w:rsid w:val="009D55AA"/>
    <w:rsid w:val="009E1B8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9A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B2A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0B0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F74"/>
    <w:rsid w:val="00B024C2"/>
    <w:rsid w:val="00B07700"/>
    <w:rsid w:val="00B10676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EC"/>
    <w:rsid w:val="00B60A3B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C01"/>
    <w:rsid w:val="00BC11E5"/>
    <w:rsid w:val="00BC4BC6"/>
    <w:rsid w:val="00BC52FD"/>
    <w:rsid w:val="00BC6E62"/>
    <w:rsid w:val="00BC7443"/>
    <w:rsid w:val="00BD0648"/>
    <w:rsid w:val="00BD1040"/>
    <w:rsid w:val="00BD34AA"/>
    <w:rsid w:val="00BD6F35"/>
    <w:rsid w:val="00BE0C44"/>
    <w:rsid w:val="00BE1B8B"/>
    <w:rsid w:val="00BE2A18"/>
    <w:rsid w:val="00BE2C01"/>
    <w:rsid w:val="00BE41EC"/>
    <w:rsid w:val="00BE56FB"/>
    <w:rsid w:val="00BF3DDE"/>
    <w:rsid w:val="00BF5B25"/>
    <w:rsid w:val="00BF6589"/>
    <w:rsid w:val="00BF6F7F"/>
    <w:rsid w:val="00C00647"/>
    <w:rsid w:val="00C02764"/>
    <w:rsid w:val="00C04CEF"/>
    <w:rsid w:val="00C0528D"/>
    <w:rsid w:val="00C0662F"/>
    <w:rsid w:val="00C10A05"/>
    <w:rsid w:val="00C11943"/>
    <w:rsid w:val="00C12E96"/>
    <w:rsid w:val="00C14763"/>
    <w:rsid w:val="00C16141"/>
    <w:rsid w:val="00C20B1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153"/>
    <w:rsid w:val="00C50F25"/>
    <w:rsid w:val="00C54A3A"/>
    <w:rsid w:val="00C55566"/>
    <w:rsid w:val="00C56448"/>
    <w:rsid w:val="00C66775"/>
    <w:rsid w:val="00C667BE"/>
    <w:rsid w:val="00C6766B"/>
    <w:rsid w:val="00C676C4"/>
    <w:rsid w:val="00C72223"/>
    <w:rsid w:val="00C74B6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B24"/>
    <w:rsid w:val="00CB1C8A"/>
    <w:rsid w:val="00CB24F5"/>
    <w:rsid w:val="00CB2663"/>
    <w:rsid w:val="00CB3BBE"/>
    <w:rsid w:val="00CB59E9"/>
    <w:rsid w:val="00CC0820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A0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4BD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458"/>
    <w:rsid w:val="00DC4AF0"/>
    <w:rsid w:val="00DC7886"/>
    <w:rsid w:val="00DD0CF2"/>
    <w:rsid w:val="00DE1554"/>
    <w:rsid w:val="00DE2901"/>
    <w:rsid w:val="00DE590F"/>
    <w:rsid w:val="00DE7DC1"/>
    <w:rsid w:val="00DF01C9"/>
    <w:rsid w:val="00DF3F7E"/>
    <w:rsid w:val="00DF7648"/>
    <w:rsid w:val="00E00E29"/>
    <w:rsid w:val="00E02BAB"/>
    <w:rsid w:val="00E04CEB"/>
    <w:rsid w:val="00E060BC"/>
    <w:rsid w:val="00E066D0"/>
    <w:rsid w:val="00E0705F"/>
    <w:rsid w:val="00E11420"/>
    <w:rsid w:val="00E12B73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E09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2C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D81"/>
    <w:rsid w:val="00F25EC8"/>
    <w:rsid w:val="00F2633E"/>
    <w:rsid w:val="00F2668F"/>
    <w:rsid w:val="00F2742F"/>
    <w:rsid w:val="00F2753B"/>
    <w:rsid w:val="00F33F8B"/>
    <w:rsid w:val="00F340B2"/>
    <w:rsid w:val="00F40BC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768"/>
    <w:rsid w:val="00F66406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427F"/>
    <w:rsid w:val="00FC2E3D"/>
    <w:rsid w:val="00FC3BDE"/>
    <w:rsid w:val="00FC6A25"/>
    <w:rsid w:val="00FD138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A3E"/>
    <w:rsid w:val="00FF12F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B0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55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0B4B3-B568-45C5-9F20-24470C4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12789</Characters>
  <Application>Microsoft Office Word</Application>
  <DocSecurity>0</DocSecurity>
  <Lines>106</Lines>
  <Paragraphs>29</Paragraphs>
  <ScaleCrop>false</ScaleCrop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2021-07-09T09:28:00Z</dcterms:created>
  <dcterms:modified xsi:type="dcterms:W3CDTF">2021-07-09T09:28:00Z</dcterms:modified>
  <cp:category/>
</cp:coreProperties>
</file>