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ACA1" w14:textId="784976A6" w:rsidR="006C042B" w:rsidRPr="009775F4" w:rsidRDefault="006C042B" w:rsidP="001165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DB0C335" w14:textId="0A9ABDEA" w:rsidR="004D45F7" w:rsidRPr="008047A2" w:rsidRDefault="004D45F7" w:rsidP="00116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047A2">
        <w:rPr>
          <w:rFonts w:ascii="Times New Roman" w:hAnsi="Times New Roman" w:cs="Times New Roman"/>
          <w:b/>
          <w:sz w:val="24"/>
        </w:rPr>
        <w:t>UZASADNIENIE</w:t>
      </w:r>
    </w:p>
    <w:p w14:paraId="52800717" w14:textId="77777777" w:rsidR="006C042B" w:rsidRDefault="006C042B" w:rsidP="001165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FFD73B" w14:textId="77777777" w:rsidR="007A335C" w:rsidRDefault="004D45F7" w:rsidP="007A335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047A2">
        <w:rPr>
          <w:rFonts w:ascii="Times New Roman" w:hAnsi="Times New Roman" w:cs="Times New Roman"/>
          <w:sz w:val="24"/>
          <w:szCs w:val="24"/>
        </w:rPr>
        <w:t>Projekt rozporządzenia</w:t>
      </w:r>
      <w:r w:rsidR="00714FDE" w:rsidRPr="008047A2">
        <w:rPr>
          <w:rFonts w:ascii="Times New Roman" w:hAnsi="Times New Roman" w:cs="Times New Roman"/>
          <w:sz w:val="24"/>
          <w:szCs w:val="24"/>
        </w:rPr>
        <w:t xml:space="preserve"> zmieniającego </w:t>
      </w:r>
      <w:r w:rsidR="00336444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336444" w:rsidRPr="00336444">
        <w:rPr>
          <w:rFonts w:ascii="Times New Roman" w:hAnsi="Times New Roman" w:cs="Times New Roman"/>
          <w:sz w:val="24"/>
          <w:szCs w:val="24"/>
        </w:rPr>
        <w:t>Ministra Finansów z dnia 30</w:t>
      </w:r>
      <w:r w:rsidR="00DD6B7A">
        <w:rPr>
          <w:rFonts w:ascii="Times New Roman" w:hAnsi="Times New Roman" w:cs="Times New Roman"/>
          <w:sz w:val="24"/>
          <w:szCs w:val="24"/>
        </w:rPr>
        <w:t> </w:t>
      </w:r>
      <w:r w:rsidR="007A335C">
        <w:rPr>
          <w:rFonts w:ascii="Times New Roman" w:hAnsi="Times New Roman" w:cs="Times New Roman"/>
          <w:sz w:val="24"/>
          <w:szCs w:val="24"/>
        </w:rPr>
        <w:t>maja 2018 </w:t>
      </w:r>
      <w:r w:rsidR="00336444" w:rsidRPr="00336444"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336444" w:rsidRPr="007A335C">
        <w:rPr>
          <w:rFonts w:ascii="Times New Roman" w:hAnsi="Times New Roman" w:cs="Times New Roman"/>
          <w:i/>
          <w:sz w:val="24"/>
          <w:szCs w:val="24"/>
        </w:rPr>
        <w:t>trybu i warunków postępowania firm inwestycyjnych, banków, o</w:t>
      </w:r>
      <w:r w:rsidR="00DD6B7A" w:rsidRPr="007A335C">
        <w:rPr>
          <w:rFonts w:ascii="Times New Roman" w:hAnsi="Times New Roman" w:cs="Times New Roman"/>
          <w:i/>
          <w:sz w:val="24"/>
          <w:szCs w:val="24"/>
        </w:rPr>
        <w:t> </w:t>
      </w:r>
      <w:r w:rsidR="00336444" w:rsidRPr="007A335C">
        <w:rPr>
          <w:rFonts w:ascii="Times New Roman" w:hAnsi="Times New Roman" w:cs="Times New Roman"/>
          <w:i/>
          <w:sz w:val="24"/>
          <w:szCs w:val="24"/>
        </w:rPr>
        <w:t xml:space="preserve">których mowa w art. 70 ust. 2 ustawy o obrocie instrumentami finansowymi, oraz banków powierniczych </w:t>
      </w:r>
      <w:r w:rsidR="00336444" w:rsidRPr="00336444">
        <w:rPr>
          <w:rFonts w:ascii="Times New Roman" w:hAnsi="Times New Roman" w:cs="Times New Roman"/>
          <w:sz w:val="24"/>
          <w:szCs w:val="24"/>
        </w:rPr>
        <w:t>(Dz. U. z 2020 r. poz. 1922)</w:t>
      </w:r>
      <w:r w:rsidR="00336444">
        <w:rPr>
          <w:rFonts w:ascii="Times New Roman" w:hAnsi="Times New Roman" w:cs="Times New Roman"/>
          <w:sz w:val="24"/>
          <w:szCs w:val="24"/>
        </w:rPr>
        <w:t xml:space="preserve"> </w:t>
      </w:r>
      <w:r w:rsidR="00293337" w:rsidRPr="008047A2">
        <w:rPr>
          <w:rFonts w:ascii="Times New Roman" w:hAnsi="Times New Roman" w:cs="Times New Roman"/>
          <w:sz w:val="24"/>
          <w:szCs w:val="24"/>
        </w:rPr>
        <w:t xml:space="preserve">ma na celu </w:t>
      </w:r>
      <w:r w:rsidR="00B734F8" w:rsidRPr="00336444">
        <w:rPr>
          <w:rFonts w:ascii="Times New Roman" w:hAnsi="Times New Roman" w:cs="Times New Roman"/>
          <w:sz w:val="24"/>
          <w:szCs w:val="24"/>
        </w:rPr>
        <w:t>dokonanie niezbędnych zmi</w:t>
      </w:r>
      <w:r w:rsidR="00B734F8" w:rsidRPr="008047A2">
        <w:rPr>
          <w:rFonts w:ascii="Times New Roman" w:hAnsi="Times New Roman"/>
          <w:sz w:val="24"/>
        </w:rPr>
        <w:t>an krajowego porządku prawnego w związku z wejściem w życie dyrektywy Parlamentu Europejskiego i Rady (UE) 2021/338 z dnia 16 lutego 2021 r. zmieniającej dyrektywę 2014/65/UE w zakresie wymogów informacyjnych, zarządzania produktami i limitów pozycji oraz dyrektywy 2013/36/UE i (UE) 2019/878 w zakresie ich zastosowania do firm inwestycyjnych w celu wsparcia odbudowy w następstwie kryzysu związanego z COVID-19 (Dz.</w:t>
      </w:r>
      <w:r w:rsidR="003B6373">
        <w:rPr>
          <w:rFonts w:ascii="Times New Roman" w:hAnsi="Times New Roman"/>
          <w:sz w:val="24"/>
        </w:rPr>
        <w:t xml:space="preserve"> </w:t>
      </w:r>
      <w:r w:rsidR="00B734F8" w:rsidRPr="008047A2">
        <w:rPr>
          <w:rFonts w:ascii="Times New Roman" w:hAnsi="Times New Roman"/>
          <w:sz w:val="24"/>
        </w:rPr>
        <w:t>U</w:t>
      </w:r>
      <w:r w:rsidR="003B6373">
        <w:rPr>
          <w:rFonts w:ascii="Times New Roman" w:hAnsi="Times New Roman"/>
          <w:sz w:val="24"/>
        </w:rPr>
        <w:t>rz</w:t>
      </w:r>
      <w:r w:rsidR="00B734F8" w:rsidRPr="008047A2">
        <w:rPr>
          <w:rFonts w:ascii="Times New Roman" w:hAnsi="Times New Roman"/>
          <w:sz w:val="24"/>
        </w:rPr>
        <w:t xml:space="preserve">. </w:t>
      </w:r>
      <w:r w:rsidR="003B6373">
        <w:rPr>
          <w:rFonts w:ascii="Times New Roman" w:hAnsi="Times New Roman"/>
          <w:sz w:val="24"/>
        </w:rPr>
        <w:t xml:space="preserve">UE </w:t>
      </w:r>
      <w:r w:rsidR="00B734F8" w:rsidRPr="008047A2">
        <w:rPr>
          <w:rFonts w:ascii="Times New Roman" w:hAnsi="Times New Roman"/>
          <w:sz w:val="24"/>
        </w:rPr>
        <w:t>L 68 z 26.</w:t>
      </w:r>
      <w:r w:rsidR="00116592">
        <w:rPr>
          <w:rFonts w:ascii="Times New Roman" w:hAnsi="Times New Roman"/>
          <w:sz w:val="24"/>
        </w:rPr>
        <w:t>0</w:t>
      </w:r>
      <w:r w:rsidR="00B734F8" w:rsidRPr="008047A2">
        <w:rPr>
          <w:rFonts w:ascii="Times New Roman" w:hAnsi="Times New Roman"/>
          <w:sz w:val="24"/>
        </w:rPr>
        <w:t>2.2021, str. 14)</w:t>
      </w:r>
      <w:r w:rsidR="00116592">
        <w:rPr>
          <w:rFonts w:ascii="Times New Roman" w:hAnsi="Times New Roman"/>
          <w:sz w:val="24"/>
        </w:rPr>
        <w:t xml:space="preserve">, </w:t>
      </w:r>
      <w:r w:rsidR="00B734F8" w:rsidRPr="008047A2">
        <w:rPr>
          <w:rFonts w:ascii="Times New Roman" w:hAnsi="Times New Roman"/>
          <w:sz w:val="24"/>
        </w:rPr>
        <w:t xml:space="preserve">dalej: „dyrektywa 2021/338”. </w:t>
      </w:r>
    </w:p>
    <w:p w14:paraId="6970BF56" w14:textId="77777777" w:rsidR="007A335C" w:rsidRDefault="007A335C" w:rsidP="007A335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061C9DC0" w14:textId="5AF0F841" w:rsidR="009775F4" w:rsidRDefault="00116592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</w:t>
      </w:r>
      <w:r w:rsidR="00B734F8" w:rsidRPr="008047A2">
        <w:rPr>
          <w:rFonts w:ascii="Times New Roman" w:hAnsi="Times New Roman"/>
          <w:sz w:val="24"/>
        </w:rPr>
        <w:t xml:space="preserve">yrektywa </w:t>
      </w:r>
      <w:r>
        <w:rPr>
          <w:rFonts w:ascii="Times New Roman" w:hAnsi="Times New Roman"/>
          <w:sz w:val="24"/>
        </w:rPr>
        <w:t xml:space="preserve">2021/338 </w:t>
      </w:r>
      <w:r w:rsidR="00B734F8" w:rsidRPr="008047A2">
        <w:rPr>
          <w:rFonts w:ascii="Times New Roman" w:hAnsi="Times New Roman"/>
          <w:sz w:val="24"/>
        </w:rPr>
        <w:t>zmienia dyrektywę Parlamentu Europejskiego i Rady 2014/65/UE z dnia 15 maja 2014 r. w sprawie rynków instrumentów finansowych oraz zmieniającą dyrektywę 2002/92/WE i</w:t>
      </w:r>
      <w:r w:rsidR="00E9117F" w:rsidRPr="008047A2">
        <w:rPr>
          <w:rFonts w:ascii="Times New Roman" w:hAnsi="Times New Roman"/>
          <w:sz w:val="24"/>
        </w:rPr>
        <w:t> </w:t>
      </w:r>
      <w:r w:rsidR="00B734F8" w:rsidRPr="008047A2">
        <w:rPr>
          <w:rFonts w:ascii="Times New Roman" w:hAnsi="Times New Roman"/>
          <w:sz w:val="24"/>
        </w:rPr>
        <w:t>dyrektywę 2011/61/UE (Dz.</w:t>
      </w:r>
      <w:r w:rsidR="003B6373">
        <w:rPr>
          <w:rFonts w:ascii="Times New Roman" w:hAnsi="Times New Roman"/>
          <w:sz w:val="24"/>
        </w:rPr>
        <w:t xml:space="preserve"> </w:t>
      </w:r>
      <w:r w:rsidR="00B734F8" w:rsidRPr="008047A2">
        <w:rPr>
          <w:rFonts w:ascii="Times New Roman" w:hAnsi="Times New Roman"/>
          <w:sz w:val="24"/>
        </w:rPr>
        <w:t>U</w:t>
      </w:r>
      <w:r w:rsidR="003B6373">
        <w:rPr>
          <w:rFonts w:ascii="Times New Roman" w:hAnsi="Times New Roman"/>
          <w:sz w:val="24"/>
        </w:rPr>
        <w:t xml:space="preserve">rz. UE </w:t>
      </w:r>
      <w:r w:rsidR="00B734F8" w:rsidRPr="008047A2">
        <w:rPr>
          <w:rFonts w:ascii="Times New Roman" w:hAnsi="Times New Roman"/>
          <w:sz w:val="24"/>
        </w:rPr>
        <w:t>L 173 z 12.</w:t>
      </w:r>
      <w:r w:rsidR="003B6373">
        <w:rPr>
          <w:rFonts w:ascii="Times New Roman" w:hAnsi="Times New Roman"/>
          <w:sz w:val="24"/>
        </w:rPr>
        <w:t>0</w:t>
      </w:r>
      <w:r w:rsidR="00B734F8" w:rsidRPr="008047A2">
        <w:rPr>
          <w:rFonts w:ascii="Times New Roman" w:hAnsi="Times New Roman"/>
          <w:sz w:val="24"/>
        </w:rPr>
        <w:t>6.2014, str. 349</w:t>
      </w:r>
      <w:r>
        <w:rPr>
          <w:rFonts w:ascii="Times New Roman" w:hAnsi="Times New Roman"/>
          <w:sz w:val="24"/>
        </w:rPr>
        <w:t>–</w:t>
      </w:r>
      <w:r w:rsidR="00B734F8" w:rsidRPr="008047A2">
        <w:rPr>
          <w:rFonts w:ascii="Times New Roman" w:hAnsi="Times New Roman"/>
          <w:sz w:val="24"/>
        </w:rPr>
        <w:t>496).</w:t>
      </w:r>
      <w:r w:rsidR="002A22A4" w:rsidRPr="002A22A4">
        <w:rPr>
          <w:rFonts w:ascii="Times New Roman" w:hAnsi="Times New Roman" w:cs="Times New Roman"/>
          <w:sz w:val="24"/>
          <w:szCs w:val="24"/>
        </w:rPr>
        <w:t xml:space="preserve"> </w:t>
      </w:r>
      <w:r w:rsidR="002A22A4">
        <w:rPr>
          <w:rFonts w:ascii="Times New Roman" w:hAnsi="Times New Roman" w:cs="Times New Roman"/>
          <w:sz w:val="24"/>
          <w:szCs w:val="24"/>
        </w:rPr>
        <w:t xml:space="preserve">W dobie pandemii COVID-19 istotne </w:t>
      </w:r>
      <w:r w:rsidR="002A22A4" w:rsidRPr="00E9117F">
        <w:rPr>
          <w:rFonts w:ascii="Times New Roman" w:hAnsi="Times New Roman" w:cs="Times New Roman"/>
          <w:sz w:val="24"/>
          <w:szCs w:val="24"/>
        </w:rPr>
        <w:t xml:space="preserve">znaczenie </w:t>
      </w:r>
      <w:r w:rsidR="002A22A4">
        <w:rPr>
          <w:rFonts w:ascii="Times New Roman" w:hAnsi="Times New Roman" w:cs="Times New Roman"/>
          <w:sz w:val="24"/>
          <w:szCs w:val="24"/>
        </w:rPr>
        <w:t xml:space="preserve">odgrywa </w:t>
      </w:r>
      <w:r w:rsidR="002A22A4" w:rsidRPr="00E9117F">
        <w:rPr>
          <w:rFonts w:ascii="Times New Roman" w:hAnsi="Times New Roman" w:cs="Times New Roman"/>
          <w:sz w:val="24"/>
          <w:szCs w:val="24"/>
        </w:rPr>
        <w:t>wspieranie proces</w:t>
      </w:r>
      <w:r w:rsidR="002A22A4">
        <w:rPr>
          <w:rFonts w:ascii="Times New Roman" w:hAnsi="Times New Roman" w:cs="Times New Roman"/>
          <w:sz w:val="24"/>
          <w:szCs w:val="24"/>
        </w:rPr>
        <w:t xml:space="preserve">ów </w:t>
      </w:r>
      <w:r w:rsidR="002A22A4" w:rsidRPr="00E9117F">
        <w:rPr>
          <w:rFonts w:ascii="Times New Roman" w:hAnsi="Times New Roman" w:cs="Times New Roman"/>
          <w:sz w:val="24"/>
          <w:szCs w:val="24"/>
        </w:rPr>
        <w:t>gospodarczy</w:t>
      </w:r>
      <w:r w:rsidR="002A22A4">
        <w:rPr>
          <w:rFonts w:ascii="Times New Roman" w:hAnsi="Times New Roman" w:cs="Times New Roman"/>
          <w:sz w:val="24"/>
          <w:szCs w:val="24"/>
        </w:rPr>
        <w:t>ch, w tym zacho</w:t>
      </w:r>
      <w:r w:rsidR="009775F4">
        <w:rPr>
          <w:rFonts w:ascii="Times New Roman" w:hAnsi="Times New Roman" w:cs="Times New Roman"/>
          <w:sz w:val="24"/>
          <w:szCs w:val="24"/>
        </w:rPr>
        <w:t xml:space="preserve">dzących na rynkach finansowych, </w:t>
      </w:r>
      <w:r w:rsidR="002A22A4">
        <w:rPr>
          <w:rFonts w:ascii="Times New Roman" w:hAnsi="Times New Roman" w:cs="Times New Roman"/>
          <w:sz w:val="24"/>
          <w:szCs w:val="24"/>
        </w:rPr>
        <w:t xml:space="preserve">przez </w:t>
      </w:r>
      <w:r w:rsidR="002A22A4" w:rsidRPr="00E9117F">
        <w:rPr>
          <w:rFonts w:ascii="Times New Roman" w:hAnsi="Times New Roman" w:cs="Times New Roman"/>
          <w:sz w:val="24"/>
          <w:szCs w:val="24"/>
        </w:rPr>
        <w:t xml:space="preserve">wprowadzenie </w:t>
      </w:r>
      <w:r w:rsidR="002A22A4">
        <w:rPr>
          <w:rFonts w:ascii="Times New Roman" w:hAnsi="Times New Roman" w:cs="Times New Roman"/>
          <w:sz w:val="24"/>
          <w:szCs w:val="24"/>
        </w:rPr>
        <w:t>ograniczonych i </w:t>
      </w:r>
      <w:r w:rsidR="002A22A4" w:rsidRPr="00E9117F">
        <w:rPr>
          <w:rFonts w:ascii="Times New Roman" w:hAnsi="Times New Roman" w:cs="Times New Roman"/>
          <w:sz w:val="24"/>
          <w:szCs w:val="24"/>
        </w:rPr>
        <w:t xml:space="preserve">ukierunkowanych zmian </w:t>
      </w:r>
      <w:r w:rsidR="002A22A4">
        <w:rPr>
          <w:rFonts w:ascii="Times New Roman" w:hAnsi="Times New Roman" w:cs="Times New Roman"/>
          <w:sz w:val="24"/>
          <w:szCs w:val="24"/>
        </w:rPr>
        <w:t xml:space="preserve">zasad dotyczących świadczenia </w:t>
      </w:r>
      <w:r w:rsidR="002A22A4" w:rsidRPr="00E9117F">
        <w:rPr>
          <w:rFonts w:ascii="Times New Roman" w:hAnsi="Times New Roman" w:cs="Times New Roman"/>
          <w:sz w:val="24"/>
          <w:szCs w:val="24"/>
        </w:rPr>
        <w:t>usług finansowych.</w:t>
      </w:r>
    </w:p>
    <w:p w14:paraId="25692B66" w14:textId="77777777" w:rsidR="007A335C" w:rsidRDefault="007A335C" w:rsidP="007A335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3EADC8ED" w14:textId="1FA9690E" w:rsidR="00426529" w:rsidRDefault="00426529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226">
        <w:rPr>
          <w:rFonts w:ascii="Times New Roman" w:hAnsi="Times New Roman" w:cs="Times New Roman"/>
          <w:sz w:val="24"/>
          <w:szCs w:val="24"/>
        </w:rPr>
        <w:t>C</w:t>
      </w:r>
      <w:r w:rsidR="00ED06D9" w:rsidRPr="00187226">
        <w:rPr>
          <w:rFonts w:ascii="Times New Roman" w:hAnsi="Times New Roman" w:cs="Times New Roman"/>
          <w:sz w:val="24"/>
          <w:szCs w:val="24"/>
        </w:rPr>
        <w:t xml:space="preserve">elem dyrektywy 2021/338 jest zmniejszenie złożoności regulacyjnej </w:t>
      </w:r>
      <w:r w:rsidR="00116592">
        <w:rPr>
          <w:rFonts w:ascii="Times New Roman" w:hAnsi="Times New Roman" w:cs="Times New Roman"/>
          <w:sz w:val="24"/>
          <w:szCs w:val="24"/>
        </w:rPr>
        <w:t xml:space="preserve">w zakresie działalności prowadzonej przez firmy inwestycyjne oraz </w:t>
      </w:r>
      <w:r w:rsidR="00ED06D9" w:rsidRPr="00187226">
        <w:rPr>
          <w:rFonts w:ascii="Times New Roman" w:hAnsi="Times New Roman" w:cs="Times New Roman"/>
          <w:sz w:val="24"/>
          <w:szCs w:val="24"/>
        </w:rPr>
        <w:t xml:space="preserve">kosztów </w:t>
      </w:r>
      <w:r w:rsidR="00116592">
        <w:rPr>
          <w:rFonts w:ascii="Times New Roman" w:hAnsi="Times New Roman" w:cs="Times New Roman"/>
          <w:sz w:val="24"/>
          <w:szCs w:val="24"/>
        </w:rPr>
        <w:t xml:space="preserve">ponoszonych </w:t>
      </w:r>
      <w:r w:rsidR="00ED06D9" w:rsidRPr="00187226">
        <w:rPr>
          <w:rFonts w:ascii="Times New Roman" w:hAnsi="Times New Roman" w:cs="Times New Roman"/>
          <w:sz w:val="24"/>
          <w:szCs w:val="24"/>
        </w:rPr>
        <w:t xml:space="preserve">przez </w:t>
      </w:r>
      <w:r w:rsidR="00DD3DE3">
        <w:rPr>
          <w:rFonts w:ascii="Times New Roman" w:hAnsi="Times New Roman" w:cs="Times New Roman"/>
          <w:sz w:val="24"/>
          <w:szCs w:val="24"/>
        </w:rPr>
        <w:t>te </w:t>
      </w:r>
      <w:r w:rsidR="00116592">
        <w:rPr>
          <w:rFonts w:ascii="Times New Roman" w:hAnsi="Times New Roman" w:cs="Times New Roman"/>
          <w:sz w:val="24"/>
          <w:szCs w:val="24"/>
        </w:rPr>
        <w:t xml:space="preserve">podmioty, m. in. przez </w:t>
      </w:r>
      <w:r w:rsidR="00ED06D9" w:rsidRPr="00187226">
        <w:rPr>
          <w:rFonts w:ascii="Times New Roman" w:hAnsi="Times New Roman" w:cs="Times New Roman"/>
          <w:sz w:val="24"/>
          <w:szCs w:val="24"/>
        </w:rPr>
        <w:t>wyłączeni</w:t>
      </w:r>
      <w:r w:rsidR="00116592">
        <w:rPr>
          <w:rFonts w:ascii="Times New Roman" w:hAnsi="Times New Roman" w:cs="Times New Roman"/>
          <w:sz w:val="24"/>
          <w:szCs w:val="24"/>
        </w:rPr>
        <w:t xml:space="preserve">e </w:t>
      </w:r>
      <w:r w:rsidR="00ED06D9" w:rsidRPr="00187226">
        <w:rPr>
          <w:rFonts w:ascii="Times New Roman" w:hAnsi="Times New Roman" w:cs="Times New Roman"/>
          <w:sz w:val="24"/>
          <w:szCs w:val="24"/>
        </w:rPr>
        <w:t xml:space="preserve">szeregu obowiązków firm inwestycyjnych </w:t>
      </w:r>
      <w:r w:rsidR="00116592">
        <w:rPr>
          <w:rFonts w:ascii="Times New Roman" w:hAnsi="Times New Roman" w:cs="Times New Roman"/>
          <w:sz w:val="24"/>
          <w:szCs w:val="24"/>
        </w:rPr>
        <w:t xml:space="preserve">wobec </w:t>
      </w:r>
      <w:r w:rsidR="00ED06D9" w:rsidRPr="00187226">
        <w:rPr>
          <w:rFonts w:ascii="Times New Roman" w:hAnsi="Times New Roman" w:cs="Times New Roman"/>
          <w:sz w:val="24"/>
          <w:szCs w:val="24"/>
        </w:rPr>
        <w:t>klientów profesjonalnych</w:t>
      </w:r>
      <w:r w:rsidR="00116592">
        <w:rPr>
          <w:rFonts w:ascii="Times New Roman" w:hAnsi="Times New Roman" w:cs="Times New Roman"/>
          <w:sz w:val="24"/>
          <w:szCs w:val="24"/>
        </w:rPr>
        <w:t xml:space="preserve"> czy wprowadzenie tzw. </w:t>
      </w:r>
      <w:r w:rsidR="00116592" w:rsidRPr="00187226">
        <w:rPr>
          <w:rFonts w:ascii="Times New Roman" w:hAnsi="Times New Roman" w:cs="Times New Roman"/>
          <w:sz w:val="24"/>
          <w:szCs w:val="24"/>
        </w:rPr>
        <w:t>forma</w:t>
      </w:r>
      <w:r w:rsidR="00116592">
        <w:rPr>
          <w:rFonts w:ascii="Times New Roman" w:hAnsi="Times New Roman" w:cs="Times New Roman"/>
          <w:sz w:val="24"/>
          <w:szCs w:val="24"/>
        </w:rPr>
        <w:t xml:space="preserve">tu </w:t>
      </w:r>
      <w:r w:rsidR="00116592" w:rsidRPr="00187226">
        <w:rPr>
          <w:rFonts w:ascii="Times New Roman" w:hAnsi="Times New Roman" w:cs="Times New Roman"/>
          <w:sz w:val="24"/>
          <w:szCs w:val="24"/>
        </w:rPr>
        <w:t>elektroniczn</w:t>
      </w:r>
      <w:r w:rsidR="00116592">
        <w:rPr>
          <w:rFonts w:ascii="Times New Roman" w:hAnsi="Times New Roman" w:cs="Times New Roman"/>
          <w:sz w:val="24"/>
          <w:szCs w:val="24"/>
        </w:rPr>
        <w:t>ego jako domyślnego sposobu k</w:t>
      </w:r>
      <w:r w:rsidR="00116592" w:rsidRPr="00187226">
        <w:rPr>
          <w:rFonts w:ascii="Times New Roman" w:hAnsi="Times New Roman" w:cs="Times New Roman"/>
          <w:sz w:val="24"/>
          <w:szCs w:val="24"/>
        </w:rPr>
        <w:t>omunikacji między firmami</w:t>
      </w:r>
      <w:r w:rsidR="00DD3DE3">
        <w:rPr>
          <w:rFonts w:ascii="Times New Roman" w:hAnsi="Times New Roman" w:cs="Times New Roman"/>
          <w:sz w:val="24"/>
          <w:szCs w:val="24"/>
        </w:rPr>
        <w:t xml:space="preserve"> inwestycyjnymi i ich klientami. </w:t>
      </w:r>
      <w:r w:rsidR="00116592">
        <w:rPr>
          <w:rFonts w:ascii="Times New Roman" w:hAnsi="Times New Roman" w:cs="Times New Roman"/>
          <w:sz w:val="24"/>
          <w:szCs w:val="24"/>
        </w:rPr>
        <w:t>Wdrożenie dyrektywy jest dokonywane na poziomie ustawowym –</w:t>
      </w:r>
      <w:r w:rsidR="00DD3DE3">
        <w:rPr>
          <w:rFonts w:ascii="Times New Roman" w:hAnsi="Times New Roman" w:cs="Times New Roman"/>
          <w:sz w:val="24"/>
          <w:szCs w:val="24"/>
        </w:rPr>
        <w:t xml:space="preserve"> </w:t>
      </w:r>
      <w:r w:rsidRPr="00187226">
        <w:rPr>
          <w:rFonts w:ascii="Times New Roman" w:hAnsi="Times New Roman" w:cs="Times New Roman"/>
          <w:sz w:val="24"/>
          <w:szCs w:val="24"/>
        </w:rPr>
        <w:t>projek</w:t>
      </w:r>
      <w:r w:rsidR="00116592">
        <w:rPr>
          <w:rFonts w:ascii="Times New Roman" w:hAnsi="Times New Roman" w:cs="Times New Roman"/>
          <w:sz w:val="24"/>
          <w:szCs w:val="24"/>
        </w:rPr>
        <w:t>t</w:t>
      </w:r>
      <w:r w:rsidRPr="00187226">
        <w:rPr>
          <w:rFonts w:ascii="Times New Roman" w:hAnsi="Times New Roman" w:cs="Times New Roman"/>
          <w:sz w:val="24"/>
          <w:szCs w:val="24"/>
        </w:rPr>
        <w:t xml:space="preserve"> rozporządzenia zaw</w:t>
      </w:r>
      <w:r w:rsidR="00116592">
        <w:rPr>
          <w:rFonts w:ascii="Times New Roman" w:hAnsi="Times New Roman" w:cs="Times New Roman"/>
          <w:sz w:val="24"/>
          <w:szCs w:val="24"/>
        </w:rPr>
        <w:t xml:space="preserve">iera wyłącznie </w:t>
      </w:r>
      <w:r w:rsidRPr="00187226">
        <w:rPr>
          <w:rFonts w:ascii="Times New Roman" w:hAnsi="Times New Roman" w:cs="Times New Roman"/>
          <w:sz w:val="24"/>
          <w:szCs w:val="24"/>
        </w:rPr>
        <w:t xml:space="preserve">przepisy umożliwiające przekazanie </w:t>
      </w:r>
      <w:r w:rsidR="002A22A4">
        <w:rPr>
          <w:rFonts w:ascii="Times New Roman" w:hAnsi="Times New Roman" w:cs="Times New Roman"/>
          <w:sz w:val="24"/>
          <w:szCs w:val="24"/>
        </w:rPr>
        <w:t xml:space="preserve">przez firmę inwestycyjną </w:t>
      </w:r>
      <w:r w:rsidRPr="00187226">
        <w:rPr>
          <w:rFonts w:ascii="Times New Roman" w:hAnsi="Times New Roman" w:cs="Times New Roman"/>
          <w:sz w:val="24"/>
          <w:szCs w:val="24"/>
        </w:rPr>
        <w:t>klientowi lub potencjalnemu kli</w:t>
      </w:r>
      <w:r w:rsidR="006D2BA3">
        <w:rPr>
          <w:rFonts w:ascii="Times New Roman" w:hAnsi="Times New Roman" w:cs="Times New Roman"/>
          <w:sz w:val="24"/>
          <w:szCs w:val="24"/>
        </w:rPr>
        <w:t xml:space="preserve">entowi </w:t>
      </w:r>
      <w:r w:rsidR="00116592">
        <w:rPr>
          <w:rFonts w:ascii="Times New Roman" w:hAnsi="Times New Roman" w:cs="Times New Roman"/>
          <w:sz w:val="24"/>
          <w:szCs w:val="24"/>
        </w:rPr>
        <w:t xml:space="preserve">niektórych </w:t>
      </w:r>
      <w:r w:rsidRPr="00187226">
        <w:rPr>
          <w:rFonts w:ascii="Times New Roman" w:hAnsi="Times New Roman" w:cs="Times New Roman"/>
          <w:sz w:val="24"/>
          <w:szCs w:val="24"/>
        </w:rPr>
        <w:t>informacji po wykonaniu usługi</w:t>
      </w:r>
      <w:r w:rsidR="006D2BA3">
        <w:rPr>
          <w:rFonts w:ascii="Times New Roman" w:hAnsi="Times New Roman" w:cs="Times New Roman"/>
          <w:sz w:val="24"/>
          <w:szCs w:val="24"/>
        </w:rPr>
        <w:t xml:space="preserve"> świadczonej przy użyciu środków porozumiewania się na odległość oraz </w:t>
      </w:r>
      <w:r w:rsidRPr="00187226">
        <w:rPr>
          <w:rFonts w:ascii="Times New Roman" w:hAnsi="Times New Roman" w:cs="Times New Roman"/>
          <w:sz w:val="24"/>
          <w:szCs w:val="24"/>
        </w:rPr>
        <w:t>wyłącz</w:t>
      </w:r>
      <w:r w:rsidR="002A22A4">
        <w:rPr>
          <w:rFonts w:ascii="Times New Roman" w:hAnsi="Times New Roman" w:cs="Times New Roman"/>
          <w:sz w:val="24"/>
          <w:szCs w:val="24"/>
        </w:rPr>
        <w:t xml:space="preserve">enie </w:t>
      </w:r>
      <w:r w:rsidR="002A22A4" w:rsidRPr="00187226">
        <w:rPr>
          <w:rFonts w:ascii="Times New Roman" w:hAnsi="Times New Roman" w:cs="Times New Roman"/>
          <w:sz w:val="24"/>
          <w:szCs w:val="24"/>
        </w:rPr>
        <w:t xml:space="preserve">z systemu </w:t>
      </w:r>
      <w:r w:rsidR="002A22A4">
        <w:rPr>
          <w:rFonts w:ascii="Times New Roman" w:hAnsi="Times New Roman" w:cs="Times New Roman"/>
          <w:sz w:val="24"/>
          <w:szCs w:val="24"/>
        </w:rPr>
        <w:t xml:space="preserve">obejmującego </w:t>
      </w:r>
      <w:r w:rsidR="002A22A4" w:rsidRPr="00187226">
        <w:rPr>
          <w:rFonts w:ascii="Times New Roman" w:hAnsi="Times New Roman" w:cs="Times New Roman"/>
          <w:sz w:val="24"/>
          <w:szCs w:val="24"/>
        </w:rPr>
        <w:t>świadcze</w:t>
      </w:r>
      <w:r w:rsidR="002A22A4">
        <w:rPr>
          <w:rFonts w:ascii="Times New Roman" w:hAnsi="Times New Roman" w:cs="Times New Roman"/>
          <w:sz w:val="24"/>
          <w:szCs w:val="24"/>
        </w:rPr>
        <w:t xml:space="preserve">nia </w:t>
      </w:r>
      <w:r w:rsidR="002A22A4" w:rsidRPr="00187226">
        <w:rPr>
          <w:rFonts w:ascii="Times New Roman" w:hAnsi="Times New Roman" w:cs="Times New Roman"/>
          <w:sz w:val="24"/>
          <w:szCs w:val="24"/>
        </w:rPr>
        <w:t>niepieniężn</w:t>
      </w:r>
      <w:r w:rsidR="002A22A4">
        <w:rPr>
          <w:rFonts w:ascii="Times New Roman" w:hAnsi="Times New Roman" w:cs="Times New Roman"/>
          <w:sz w:val="24"/>
          <w:szCs w:val="24"/>
        </w:rPr>
        <w:t>e</w:t>
      </w:r>
      <w:r w:rsidR="002A22A4" w:rsidRPr="00187226">
        <w:rPr>
          <w:rFonts w:ascii="Times New Roman" w:hAnsi="Times New Roman" w:cs="Times New Roman"/>
          <w:sz w:val="24"/>
          <w:szCs w:val="24"/>
        </w:rPr>
        <w:t xml:space="preserve"> </w:t>
      </w:r>
      <w:r w:rsidR="006D2BA3" w:rsidRPr="00187226">
        <w:rPr>
          <w:rFonts w:ascii="Times New Roman" w:hAnsi="Times New Roman" w:cs="Times New Roman"/>
          <w:sz w:val="24"/>
          <w:szCs w:val="24"/>
        </w:rPr>
        <w:t>usług badawcz</w:t>
      </w:r>
      <w:r w:rsidR="002A22A4">
        <w:rPr>
          <w:rFonts w:ascii="Times New Roman" w:hAnsi="Times New Roman" w:cs="Times New Roman"/>
          <w:sz w:val="24"/>
          <w:szCs w:val="24"/>
        </w:rPr>
        <w:t xml:space="preserve">ych </w:t>
      </w:r>
      <w:r w:rsidR="006D2BA3" w:rsidRPr="00187226">
        <w:rPr>
          <w:rFonts w:ascii="Times New Roman" w:hAnsi="Times New Roman" w:cs="Times New Roman"/>
          <w:sz w:val="24"/>
          <w:szCs w:val="24"/>
        </w:rPr>
        <w:t>dotycząc</w:t>
      </w:r>
      <w:r w:rsidR="002A22A4">
        <w:rPr>
          <w:rFonts w:ascii="Times New Roman" w:hAnsi="Times New Roman" w:cs="Times New Roman"/>
          <w:sz w:val="24"/>
          <w:szCs w:val="24"/>
        </w:rPr>
        <w:t>ych</w:t>
      </w:r>
      <w:r w:rsidR="006D2BA3">
        <w:rPr>
          <w:rFonts w:ascii="Times New Roman" w:hAnsi="Times New Roman" w:cs="Times New Roman"/>
          <w:sz w:val="24"/>
          <w:szCs w:val="24"/>
        </w:rPr>
        <w:t xml:space="preserve"> </w:t>
      </w:r>
      <w:r w:rsidR="006D2BA3" w:rsidRPr="00187226">
        <w:rPr>
          <w:rFonts w:ascii="Times New Roman" w:hAnsi="Times New Roman" w:cs="Times New Roman"/>
          <w:sz w:val="24"/>
          <w:szCs w:val="24"/>
        </w:rPr>
        <w:t xml:space="preserve">emitentów o średniej rynkowej kapitalizacji </w:t>
      </w:r>
      <w:r w:rsidR="006D2BA3">
        <w:rPr>
          <w:rFonts w:ascii="Times New Roman" w:hAnsi="Times New Roman" w:cs="Times New Roman"/>
          <w:sz w:val="24"/>
          <w:szCs w:val="24"/>
        </w:rPr>
        <w:t xml:space="preserve">nieprzewyższającej </w:t>
      </w:r>
      <w:r w:rsidR="002A22A4">
        <w:rPr>
          <w:rFonts w:ascii="Times New Roman" w:hAnsi="Times New Roman" w:cs="Times New Roman"/>
          <w:sz w:val="24"/>
          <w:szCs w:val="24"/>
        </w:rPr>
        <w:t xml:space="preserve">określonego </w:t>
      </w:r>
      <w:r w:rsidR="006D2BA3">
        <w:rPr>
          <w:rFonts w:ascii="Times New Roman" w:hAnsi="Times New Roman" w:cs="Times New Roman"/>
          <w:sz w:val="24"/>
          <w:szCs w:val="24"/>
        </w:rPr>
        <w:t>progu</w:t>
      </w:r>
      <w:r w:rsidR="00DD3DE3">
        <w:rPr>
          <w:rFonts w:ascii="Times New Roman" w:hAnsi="Times New Roman" w:cs="Times New Roman"/>
          <w:sz w:val="24"/>
          <w:szCs w:val="24"/>
        </w:rPr>
        <w:t>.</w:t>
      </w:r>
    </w:p>
    <w:p w14:paraId="4EB2A3C6" w14:textId="77777777" w:rsidR="007A335C" w:rsidRPr="00187226" w:rsidRDefault="007A335C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A5C9A" w14:textId="3EFF4D46" w:rsidR="00D70A52" w:rsidRDefault="002A22A4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Zmiany </w:t>
      </w:r>
      <w:r w:rsidR="0053381F">
        <w:rPr>
          <w:rFonts w:ascii="Times New Roman" w:hAnsi="Times New Roman" w:cs="Times New Roman"/>
          <w:sz w:val="24"/>
          <w:szCs w:val="24"/>
        </w:rPr>
        <w:t xml:space="preserve">w </w:t>
      </w:r>
      <w:r w:rsidR="00116592" w:rsidRPr="00520796">
        <w:rPr>
          <w:rFonts w:ascii="Times New Roman" w:hAnsi="Times New Roman" w:cs="Times New Roman"/>
          <w:b/>
          <w:sz w:val="24"/>
          <w:szCs w:val="24"/>
        </w:rPr>
        <w:t>§ </w:t>
      </w:r>
      <w:r w:rsidR="0011659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3381F" w:rsidRPr="00116592">
        <w:rPr>
          <w:rFonts w:ascii="Times New Roman" w:hAnsi="Times New Roman" w:cs="Times New Roman"/>
          <w:b/>
          <w:sz w:val="24"/>
          <w:szCs w:val="24"/>
        </w:rPr>
        <w:t>projekt</w:t>
      </w:r>
      <w:r w:rsidR="00116592" w:rsidRPr="00116592">
        <w:rPr>
          <w:rFonts w:ascii="Times New Roman" w:hAnsi="Times New Roman" w:cs="Times New Roman"/>
          <w:b/>
          <w:sz w:val="24"/>
          <w:szCs w:val="24"/>
        </w:rPr>
        <w:t>u</w:t>
      </w:r>
      <w:r w:rsidR="0011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obejmują przepisy </w:t>
      </w:r>
      <w:r w:rsidR="0038761D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="0038761D">
        <w:rPr>
          <w:rFonts w:ascii="Times New Roman" w:hAnsi="Times New Roman" w:cs="Times New Roman"/>
          <w:sz w:val="24"/>
          <w:szCs w:val="24"/>
        </w:rPr>
        <w:t>§ </w:t>
      </w:r>
      <w:r w:rsidR="00DD6B7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761D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 xml:space="preserve">35 i </w:t>
      </w:r>
      <w:r w:rsidR="0038761D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 xml:space="preserve">46 rozporządzenia </w:t>
      </w:r>
      <w:r w:rsidRPr="00336444">
        <w:rPr>
          <w:rFonts w:ascii="Times New Roman" w:hAnsi="Times New Roman" w:cs="Times New Roman"/>
          <w:sz w:val="24"/>
          <w:szCs w:val="24"/>
        </w:rPr>
        <w:t>Ministra Finansów z dnia 30 maja 2018 r. w sprawie trybu i warunków postępowania firm inwestycyjnych, banków, o których mowa w art. 70 ust. 2 ustawy o obrocie instrumentami finansowymi, oraz banków powierniczych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8B5E4" w14:textId="4BA35CF3" w:rsidR="00E70BFC" w:rsidRDefault="002E6196" w:rsidP="007A335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3381F">
        <w:rPr>
          <w:rFonts w:ascii="Times New Roman" w:hAnsi="Times New Roman"/>
          <w:sz w:val="24"/>
        </w:rPr>
        <w:t xml:space="preserve">Celem </w:t>
      </w:r>
      <w:r>
        <w:rPr>
          <w:rFonts w:ascii="Times New Roman" w:hAnsi="Times New Roman"/>
          <w:sz w:val="24"/>
        </w:rPr>
        <w:t xml:space="preserve">zmian w </w:t>
      </w:r>
      <w:r w:rsidR="0038761D">
        <w:rPr>
          <w:rFonts w:ascii="Times New Roman" w:hAnsi="Times New Roman" w:cs="Times New Roman"/>
          <w:b/>
          <w:sz w:val="24"/>
          <w:szCs w:val="24"/>
        </w:rPr>
        <w:t>§ </w:t>
      </w:r>
      <w:r w:rsidRPr="002A22A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8761D">
        <w:rPr>
          <w:rFonts w:ascii="Times New Roman" w:hAnsi="Times New Roman" w:cs="Times New Roman"/>
          <w:sz w:val="24"/>
          <w:szCs w:val="24"/>
        </w:rPr>
        <w:t>dodania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81F">
        <w:rPr>
          <w:rFonts w:ascii="Times New Roman" w:hAnsi="Times New Roman" w:cs="Times New Roman"/>
          <w:b/>
          <w:sz w:val="24"/>
          <w:szCs w:val="24"/>
        </w:rPr>
        <w:t>ust. 3a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3381F">
        <w:rPr>
          <w:rFonts w:ascii="Times New Roman" w:hAnsi="Times New Roman" w:cs="Times New Roman"/>
          <w:b/>
          <w:sz w:val="24"/>
          <w:szCs w:val="24"/>
        </w:rPr>
        <w:t>3b</w:t>
      </w:r>
      <w:r w:rsidRPr="003774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81F">
        <w:rPr>
          <w:rFonts w:ascii="Times New Roman" w:hAnsi="Times New Roman"/>
          <w:sz w:val="24"/>
        </w:rPr>
        <w:t>jest ułatwienie w</w:t>
      </w:r>
      <w:r w:rsidR="00D70A52">
        <w:rPr>
          <w:rFonts w:ascii="Times New Roman" w:hAnsi="Times New Roman"/>
          <w:sz w:val="24"/>
        </w:rPr>
        <w:t>ykonywania usług przyjmowania i </w:t>
      </w:r>
      <w:r w:rsidRPr="0053381F">
        <w:rPr>
          <w:rFonts w:ascii="Times New Roman" w:hAnsi="Times New Roman"/>
          <w:sz w:val="24"/>
        </w:rPr>
        <w:t>przekazy</w:t>
      </w:r>
      <w:r>
        <w:rPr>
          <w:rFonts w:ascii="Times New Roman" w:hAnsi="Times New Roman"/>
          <w:sz w:val="24"/>
        </w:rPr>
        <w:t>w</w:t>
      </w:r>
      <w:r w:rsidRPr="0053381F">
        <w:rPr>
          <w:rFonts w:ascii="Times New Roman" w:hAnsi="Times New Roman"/>
          <w:sz w:val="24"/>
        </w:rPr>
        <w:t>ania zleceń oraz wykonywania tych zleceń przy użyciu środków p</w:t>
      </w:r>
      <w:r>
        <w:rPr>
          <w:rFonts w:ascii="Times New Roman" w:hAnsi="Times New Roman"/>
          <w:sz w:val="24"/>
        </w:rPr>
        <w:t>orozumiewania się na odległość</w:t>
      </w:r>
      <w:r w:rsidR="0038761D">
        <w:rPr>
          <w:rFonts w:ascii="Times New Roman" w:hAnsi="Times New Roman"/>
          <w:sz w:val="24"/>
        </w:rPr>
        <w:t>.</w:t>
      </w:r>
      <w:r w:rsidR="00E70BFC">
        <w:rPr>
          <w:rFonts w:ascii="Times New Roman" w:hAnsi="Times New Roman"/>
          <w:sz w:val="24"/>
        </w:rPr>
        <w:t xml:space="preserve"> </w:t>
      </w:r>
      <w:r w:rsidR="00E70BFC">
        <w:rPr>
          <w:rFonts w:ascii="Times New Roman" w:hAnsi="Times New Roman" w:cs="Times New Roman"/>
          <w:sz w:val="24"/>
          <w:szCs w:val="24"/>
        </w:rPr>
        <w:t xml:space="preserve">Na podstawie tych przepisów </w:t>
      </w:r>
      <w:r w:rsidR="00E70BFC" w:rsidRPr="0053381F">
        <w:rPr>
          <w:rFonts w:ascii="Times New Roman" w:hAnsi="Times New Roman"/>
          <w:sz w:val="24"/>
        </w:rPr>
        <w:t xml:space="preserve">firma inwestycyjna </w:t>
      </w:r>
      <w:r w:rsidR="00E70BFC">
        <w:rPr>
          <w:rFonts w:ascii="Times New Roman" w:hAnsi="Times New Roman"/>
          <w:sz w:val="24"/>
        </w:rPr>
        <w:t xml:space="preserve">będzie mogła </w:t>
      </w:r>
      <w:r w:rsidR="00E70BFC" w:rsidRPr="0053381F">
        <w:rPr>
          <w:rFonts w:ascii="Times New Roman" w:hAnsi="Times New Roman"/>
          <w:sz w:val="24"/>
        </w:rPr>
        <w:t xml:space="preserve">przekazać klientowi lub potencjalnemu klientowi wymagane informacje </w:t>
      </w:r>
      <w:r w:rsidR="00E70BFC">
        <w:rPr>
          <w:rFonts w:ascii="Times New Roman" w:hAnsi="Times New Roman"/>
          <w:sz w:val="24"/>
        </w:rPr>
        <w:t xml:space="preserve">nie przed, ale po </w:t>
      </w:r>
      <w:r w:rsidR="00E70BFC" w:rsidRPr="0053381F">
        <w:rPr>
          <w:rFonts w:ascii="Times New Roman" w:hAnsi="Times New Roman"/>
          <w:sz w:val="24"/>
        </w:rPr>
        <w:t>wykonaniu usługi</w:t>
      </w:r>
      <w:r w:rsidR="00E70BFC">
        <w:rPr>
          <w:rFonts w:ascii="Times New Roman" w:hAnsi="Times New Roman"/>
          <w:sz w:val="24"/>
        </w:rPr>
        <w:t xml:space="preserve"> – w </w:t>
      </w:r>
      <w:r w:rsidR="00E70BFC" w:rsidRPr="0053381F">
        <w:rPr>
          <w:rFonts w:ascii="Times New Roman" w:hAnsi="Times New Roman"/>
          <w:sz w:val="24"/>
        </w:rPr>
        <w:t xml:space="preserve">przypadku usług </w:t>
      </w:r>
      <w:r w:rsidR="00E70BFC">
        <w:rPr>
          <w:rFonts w:ascii="Times New Roman" w:hAnsi="Times New Roman"/>
          <w:sz w:val="24"/>
        </w:rPr>
        <w:t xml:space="preserve">przyjmowania i </w:t>
      </w:r>
      <w:r w:rsidR="00E70BFC" w:rsidRPr="0053381F">
        <w:rPr>
          <w:rFonts w:ascii="Times New Roman" w:hAnsi="Times New Roman"/>
          <w:sz w:val="24"/>
        </w:rPr>
        <w:t xml:space="preserve">przekazywania zleceń nabycia lub zbycia instrumentów finansowych oraz usług wykonywania tych zleceń na rachunek dającego zlecenie, o ile </w:t>
      </w:r>
      <w:r w:rsidR="00E70BFC">
        <w:rPr>
          <w:rFonts w:ascii="Times New Roman" w:hAnsi="Times New Roman"/>
          <w:sz w:val="24"/>
        </w:rPr>
        <w:t xml:space="preserve">są one </w:t>
      </w:r>
      <w:r w:rsidR="00E70BFC" w:rsidRPr="0053381F">
        <w:rPr>
          <w:rFonts w:ascii="Times New Roman" w:hAnsi="Times New Roman"/>
          <w:sz w:val="24"/>
        </w:rPr>
        <w:t>świadczon</w:t>
      </w:r>
      <w:r w:rsidR="00E70BFC">
        <w:rPr>
          <w:rFonts w:ascii="Times New Roman" w:hAnsi="Times New Roman"/>
          <w:sz w:val="24"/>
        </w:rPr>
        <w:t xml:space="preserve">e </w:t>
      </w:r>
      <w:r w:rsidR="00E70BFC" w:rsidRPr="0053381F">
        <w:rPr>
          <w:rFonts w:ascii="Times New Roman" w:hAnsi="Times New Roman"/>
          <w:sz w:val="24"/>
        </w:rPr>
        <w:t>przy użyciu środków porozumiewania się na odległość, które</w:t>
      </w:r>
      <w:r w:rsidR="00E70BFC">
        <w:rPr>
          <w:rFonts w:ascii="Times New Roman" w:hAnsi="Times New Roman"/>
          <w:sz w:val="24"/>
        </w:rPr>
        <w:t xml:space="preserve"> </w:t>
      </w:r>
      <w:r w:rsidR="00E70BFC" w:rsidRPr="0053381F">
        <w:rPr>
          <w:rFonts w:ascii="Times New Roman" w:hAnsi="Times New Roman"/>
          <w:sz w:val="24"/>
        </w:rPr>
        <w:t xml:space="preserve">uniemożliwiają przekazanie wymaganych informacji przed rozpoczęciem </w:t>
      </w:r>
      <w:r w:rsidR="00E70BFC">
        <w:rPr>
          <w:rFonts w:ascii="Times New Roman" w:hAnsi="Times New Roman"/>
          <w:sz w:val="24"/>
        </w:rPr>
        <w:t xml:space="preserve">ich </w:t>
      </w:r>
      <w:r w:rsidR="00E70BFC" w:rsidRPr="0053381F">
        <w:rPr>
          <w:rFonts w:ascii="Times New Roman" w:hAnsi="Times New Roman"/>
          <w:sz w:val="24"/>
        </w:rPr>
        <w:t xml:space="preserve">świadczenia. </w:t>
      </w:r>
      <w:r w:rsidR="00E70BFC">
        <w:rPr>
          <w:rFonts w:ascii="Times New Roman" w:hAnsi="Times New Roman"/>
          <w:sz w:val="24"/>
        </w:rPr>
        <w:t xml:space="preserve">Dopuszczalność takiego działania będzie wymagała uzyskania przez firmę inwestycyjną </w:t>
      </w:r>
      <w:r w:rsidR="00E70BFC" w:rsidRPr="0053381F">
        <w:rPr>
          <w:rFonts w:ascii="Times New Roman" w:hAnsi="Times New Roman"/>
          <w:sz w:val="24"/>
        </w:rPr>
        <w:t>zgod</w:t>
      </w:r>
      <w:r w:rsidR="00E70BFC">
        <w:rPr>
          <w:rFonts w:ascii="Times New Roman" w:hAnsi="Times New Roman"/>
          <w:sz w:val="24"/>
        </w:rPr>
        <w:t>y</w:t>
      </w:r>
      <w:r w:rsidR="00E70BFC" w:rsidRPr="0053381F">
        <w:rPr>
          <w:rFonts w:ascii="Times New Roman" w:hAnsi="Times New Roman"/>
          <w:sz w:val="24"/>
        </w:rPr>
        <w:t xml:space="preserve"> </w:t>
      </w:r>
      <w:r w:rsidR="00E70BFC">
        <w:rPr>
          <w:rFonts w:ascii="Times New Roman" w:hAnsi="Times New Roman"/>
          <w:sz w:val="24"/>
        </w:rPr>
        <w:t xml:space="preserve">klienta na otrzymanie </w:t>
      </w:r>
      <w:r w:rsidR="00E70BFC" w:rsidRPr="0053381F">
        <w:rPr>
          <w:rFonts w:ascii="Times New Roman" w:hAnsi="Times New Roman"/>
          <w:sz w:val="24"/>
        </w:rPr>
        <w:t>informacji po wykonaniu usługi</w:t>
      </w:r>
      <w:r w:rsidR="00E70BFC">
        <w:rPr>
          <w:rFonts w:ascii="Times New Roman" w:hAnsi="Times New Roman"/>
          <w:sz w:val="24"/>
        </w:rPr>
        <w:t xml:space="preserve"> oraz przekazania klientowi przez </w:t>
      </w:r>
      <w:r w:rsidR="00E70BFC" w:rsidRPr="0053381F">
        <w:rPr>
          <w:rFonts w:ascii="Times New Roman" w:hAnsi="Times New Roman"/>
          <w:sz w:val="24"/>
        </w:rPr>
        <w:t>firm</w:t>
      </w:r>
      <w:r w:rsidR="00E70BFC">
        <w:rPr>
          <w:rFonts w:ascii="Times New Roman" w:hAnsi="Times New Roman"/>
          <w:sz w:val="24"/>
        </w:rPr>
        <w:t>ę</w:t>
      </w:r>
      <w:r w:rsidR="00E70BFC" w:rsidRPr="0053381F">
        <w:rPr>
          <w:rFonts w:ascii="Times New Roman" w:hAnsi="Times New Roman"/>
          <w:sz w:val="24"/>
        </w:rPr>
        <w:t xml:space="preserve"> inwestycyjn</w:t>
      </w:r>
      <w:r w:rsidR="00E70BFC">
        <w:rPr>
          <w:rFonts w:ascii="Times New Roman" w:hAnsi="Times New Roman"/>
          <w:sz w:val="24"/>
        </w:rPr>
        <w:t>ą</w:t>
      </w:r>
      <w:r w:rsidR="00E70BFC" w:rsidRPr="0053381F">
        <w:rPr>
          <w:rFonts w:ascii="Times New Roman" w:hAnsi="Times New Roman"/>
          <w:sz w:val="24"/>
        </w:rPr>
        <w:t xml:space="preserve"> </w:t>
      </w:r>
      <w:r w:rsidR="00E70BFC">
        <w:rPr>
          <w:rFonts w:ascii="Times New Roman" w:hAnsi="Times New Roman"/>
          <w:sz w:val="24"/>
        </w:rPr>
        <w:t xml:space="preserve">informacji o </w:t>
      </w:r>
      <w:r w:rsidR="00E70BFC" w:rsidRPr="0053381F">
        <w:rPr>
          <w:rFonts w:ascii="Times New Roman" w:hAnsi="Times New Roman"/>
          <w:sz w:val="24"/>
        </w:rPr>
        <w:t xml:space="preserve">możliwości odłożenia rozpoczęcia świadczenia usługi </w:t>
      </w:r>
      <w:r w:rsidR="00E70BFC">
        <w:rPr>
          <w:rFonts w:ascii="Times New Roman" w:hAnsi="Times New Roman"/>
          <w:sz w:val="24"/>
        </w:rPr>
        <w:t xml:space="preserve">na jego rzecz </w:t>
      </w:r>
      <w:r w:rsidR="00E70BFC" w:rsidRPr="0053381F">
        <w:rPr>
          <w:rFonts w:ascii="Times New Roman" w:hAnsi="Times New Roman"/>
          <w:sz w:val="24"/>
        </w:rPr>
        <w:t xml:space="preserve">do czasu otrzymania tych informacji. </w:t>
      </w:r>
      <w:r w:rsidR="00E70BFC">
        <w:rPr>
          <w:rFonts w:ascii="Times New Roman" w:hAnsi="Times New Roman"/>
          <w:sz w:val="24"/>
        </w:rPr>
        <w:t xml:space="preserve">Ponadto </w:t>
      </w:r>
      <w:r w:rsidR="00E70BFC" w:rsidRPr="0053381F">
        <w:rPr>
          <w:rFonts w:ascii="Times New Roman" w:hAnsi="Times New Roman"/>
          <w:sz w:val="24"/>
        </w:rPr>
        <w:t xml:space="preserve">firma inwestycyjna </w:t>
      </w:r>
      <w:r w:rsidR="00E70BFC">
        <w:rPr>
          <w:rFonts w:ascii="Times New Roman" w:hAnsi="Times New Roman"/>
          <w:sz w:val="24"/>
        </w:rPr>
        <w:t xml:space="preserve">będzie miała obowiązek </w:t>
      </w:r>
      <w:r w:rsidR="00E70BFC" w:rsidRPr="0053381F">
        <w:rPr>
          <w:rFonts w:ascii="Times New Roman" w:hAnsi="Times New Roman"/>
          <w:sz w:val="24"/>
        </w:rPr>
        <w:t>umożliwi</w:t>
      </w:r>
      <w:r w:rsidR="00E70BFC">
        <w:rPr>
          <w:rFonts w:ascii="Times New Roman" w:hAnsi="Times New Roman"/>
          <w:sz w:val="24"/>
        </w:rPr>
        <w:t>enia</w:t>
      </w:r>
      <w:r w:rsidR="00E70BFC" w:rsidRPr="0053381F">
        <w:rPr>
          <w:rFonts w:ascii="Times New Roman" w:hAnsi="Times New Roman"/>
          <w:sz w:val="24"/>
        </w:rPr>
        <w:t xml:space="preserve"> klientowi lub potencjalnemu klientowi uzyskani</w:t>
      </w:r>
      <w:r w:rsidR="00E70BFC">
        <w:rPr>
          <w:rFonts w:ascii="Times New Roman" w:hAnsi="Times New Roman"/>
          <w:sz w:val="24"/>
        </w:rPr>
        <w:t>a</w:t>
      </w:r>
      <w:r w:rsidR="00E70BFC" w:rsidRPr="0053381F">
        <w:rPr>
          <w:rFonts w:ascii="Times New Roman" w:hAnsi="Times New Roman"/>
          <w:sz w:val="24"/>
        </w:rPr>
        <w:t xml:space="preserve"> odpowiednich informacji </w:t>
      </w:r>
      <w:r w:rsidR="00E70BFC">
        <w:rPr>
          <w:rFonts w:ascii="Times New Roman" w:hAnsi="Times New Roman"/>
          <w:sz w:val="24"/>
        </w:rPr>
        <w:t xml:space="preserve">telefonicznie </w:t>
      </w:r>
      <w:r w:rsidR="00E70BFC" w:rsidRPr="0053381F">
        <w:rPr>
          <w:rFonts w:ascii="Times New Roman" w:hAnsi="Times New Roman"/>
          <w:sz w:val="24"/>
        </w:rPr>
        <w:t>przed rozpoczęciem świadczenia usługi.</w:t>
      </w:r>
    </w:p>
    <w:p w14:paraId="5531B2AA" w14:textId="77777777" w:rsidR="00D70A52" w:rsidRPr="002A22A4" w:rsidRDefault="00D70A52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68132" w14:textId="0CA41445" w:rsidR="00520796" w:rsidRDefault="00FA1D4F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20796">
        <w:rPr>
          <w:rFonts w:ascii="Times New Roman" w:hAnsi="Times New Roman" w:cs="Times New Roman"/>
          <w:sz w:val="24"/>
          <w:szCs w:val="24"/>
        </w:rPr>
        <w:t>oda</w:t>
      </w:r>
      <w:r w:rsidR="00114C37">
        <w:rPr>
          <w:rFonts w:ascii="Times New Roman" w:hAnsi="Times New Roman" w:cs="Times New Roman"/>
          <w:sz w:val="24"/>
          <w:szCs w:val="24"/>
        </w:rPr>
        <w:t>wan</w:t>
      </w:r>
      <w:r w:rsidR="003774C1">
        <w:rPr>
          <w:rFonts w:ascii="Times New Roman" w:hAnsi="Times New Roman" w:cs="Times New Roman"/>
          <w:sz w:val="24"/>
          <w:szCs w:val="24"/>
        </w:rPr>
        <w:t xml:space="preserve">e </w:t>
      </w:r>
      <w:r w:rsidR="00DD6B7A">
        <w:rPr>
          <w:rFonts w:ascii="Times New Roman" w:hAnsi="Times New Roman" w:cs="Times New Roman"/>
          <w:sz w:val="24"/>
          <w:szCs w:val="24"/>
        </w:rPr>
        <w:t>w</w:t>
      </w:r>
      <w:r w:rsidR="00114C37">
        <w:rPr>
          <w:rFonts w:ascii="Times New Roman" w:hAnsi="Times New Roman" w:cs="Times New Roman"/>
          <w:sz w:val="24"/>
          <w:szCs w:val="24"/>
        </w:rPr>
        <w:t xml:space="preserve"> </w:t>
      </w:r>
      <w:r w:rsidR="00520796" w:rsidRPr="00520796">
        <w:rPr>
          <w:rFonts w:ascii="Times New Roman" w:hAnsi="Times New Roman" w:cs="Times New Roman"/>
          <w:b/>
          <w:sz w:val="24"/>
          <w:szCs w:val="24"/>
        </w:rPr>
        <w:t>§ </w:t>
      </w:r>
      <w:r w:rsidR="00DD6B7A">
        <w:rPr>
          <w:rFonts w:ascii="Times New Roman" w:hAnsi="Times New Roman" w:cs="Times New Roman"/>
          <w:b/>
          <w:sz w:val="24"/>
          <w:szCs w:val="24"/>
        </w:rPr>
        <w:t>12</w:t>
      </w:r>
      <w:r w:rsidR="00DD6B7A" w:rsidRPr="00520796">
        <w:rPr>
          <w:rFonts w:ascii="Times New Roman" w:hAnsi="Times New Roman" w:cs="Times New Roman"/>
          <w:sz w:val="24"/>
          <w:szCs w:val="24"/>
        </w:rPr>
        <w:t xml:space="preserve"> </w:t>
      </w:r>
      <w:r w:rsidR="001D7D62" w:rsidRPr="003774C1">
        <w:rPr>
          <w:rFonts w:ascii="Times New Roman" w:hAnsi="Times New Roman" w:cs="Times New Roman"/>
          <w:b/>
          <w:sz w:val="24"/>
          <w:szCs w:val="24"/>
        </w:rPr>
        <w:t>ust. 2</w:t>
      </w:r>
      <w:r w:rsidR="001D7D62">
        <w:rPr>
          <w:rFonts w:ascii="Times New Roman" w:hAnsi="Times New Roman" w:cs="Times New Roman"/>
          <w:b/>
          <w:sz w:val="24"/>
          <w:szCs w:val="24"/>
        </w:rPr>
        <w:t>–4</w:t>
      </w:r>
      <w:r w:rsidR="001D7D62">
        <w:rPr>
          <w:rFonts w:ascii="Times New Roman" w:hAnsi="Times New Roman" w:cs="Times New Roman"/>
          <w:sz w:val="24"/>
          <w:szCs w:val="24"/>
        </w:rPr>
        <w:t xml:space="preserve"> </w:t>
      </w:r>
      <w:r w:rsidR="00520796" w:rsidRPr="00520796">
        <w:rPr>
          <w:rFonts w:ascii="Times New Roman" w:hAnsi="Times New Roman" w:cs="Times New Roman"/>
          <w:sz w:val="24"/>
          <w:szCs w:val="24"/>
        </w:rPr>
        <w:t>wyłącz</w:t>
      </w:r>
      <w:r w:rsidR="003774C1">
        <w:rPr>
          <w:rFonts w:ascii="Times New Roman" w:hAnsi="Times New Roman" w:cs="Times New Roman"/>
          <w:sz w:val="24"/>
          <w:szCs w:val="24"/>
        </w:rPr>
        <w:t xml:space="preserve">ają </w:t>
      </w:r>
      <w:r w:rsidR="00520796" w:rsidRPr="00520796">
        <w:rPr>
          <w:rFonts w:ascii="Times New Roman" w:hAnsi="Times New Roman" w:cs="Times New Roman"/>
          <w:sz w:val="24"/>
          <w:szCs w:val="24"/>
        </w:rPr>
        <w:t>z zakresu regulacji dotyczących świadczeń niepieniężnych</w:t>
      </w:r>
      <w:r w:rsidR="00114C37">
        <w:rPr>
          <w:rFonts w:ascii="Times New Roman" w:hAnsi="Times New Roman" w:cs="Times New Roman"/>
          <w:sz w:val="24"/>
          <w:szCs w:val="24"/>
        </w:rPr>
        <w:t xml:space="preserve"> (</w:t>
      </w:r>
      <w:r w:rsidR="00520796" w:rsidRPr="00520796">
        <w:rPr>
          <w:rFonts w:ascii="Times New Roman" w:hAnsi="Times New Roman" w:cs="Times New Roman"/>
          <w:sz w:val="24"/>
          <w:szCs w:val="24"/>
        </w:rPr>
        <w:t xml:space="preserve">w ramach obowiązujących zasad </w:t>
      </w:r>
      <w:r w:rsidR="00520796" w:rsidRPr="000D08F5">
        <w:rPr>
          <w:rFonts w:ascii="Times New Roman" w:hAnsi="Times New Roman" w:cs="Times New Roman"/>
          <w:sz w:val="24"/>
          <w:szCs w:val="24"/>
        </w:rPr>
        <w:t>przyjmowania lub przekazywania świadczeń pieniężnych lub niepieniężnych w związku z prowadzeniem działalności maklerskiej</w:t>
      </w:r>
      <w:r w:rsidR="00114C37">
        <w:rPr>
          <w:rFonts w:ascii="Times New Roman" w:hAnsi="Times New Roman" w:cs="Times New Roman"/>
          <w:sz w:val="24"/>
          <w:szCs w:val="24"/>
        </w:rPr>
        <w:t>) usług</w:t>
      </w:r>
      <w:r w:rsidR="003774C1">
        <w:rPr>
          <w:rFonts w:ascii="Times New Roman" w:hAnsi="Times New Roman" w:cs="Times New Roman"/>
          <w:sz w:val="24"/>
          <w:szCs w:val="24"/>
        </w:rPr>
        <w:t>i</w:t>
      </w:r>
      <w:r w:rsidR="00114C37">
        <w:rPr>
          <w:rFonts w:ascii="Times New Roman" w:hAnsi="Times New Roman" w:cs="Times New Roman"/>
          <w:sz w:val="24"/>
          <w:szCs w:val="24"/>
        </w:rPr>
        <w:t xml:space="preserve"> badawcz</w:t>
      </w:r>
      <w:r w:rsidR="003774C1">
        <w:rPr>
          <w:rFonts w:ascii="Times New Roman" w:hAnsi="Times New Roman" w:cs="Times New Roman"/>
          <w:sz w:val="24"/>
          <w:szCs w:val="24"/>
        </w:rPr>
        <w:t xml:space="preserve">e </w:t>
      </w:r>
      <w:r w:rsidR="00520796" w:rsidRPr="00520796">
        <w:rPr>
          <w:rFonts w:ascii="Times New Roman" w:hAnsi="Times New Roman" w:cs="Times New Roman"/>
          <w:sz w:val="24"/>
          <w:szCs w:val="24"/>
        </w:rPr>
        <w:t>odnosząc</w:t>
      </w:r>
      <w:r w:rsidR="003774C1">
        <w:rPr>
          <w:rFonts w:ascii="Times New Roman" w:hAnsi="Times New Roman" w:cs="Times New Roman"/>
          <w:sz w:val="24"/>
          <w:szCs w:val="24"/>
        </w:rPr>
        <w:t xml:space="preserve">e </w:t>
      </w:r>
      <w:r w:rsidR="00520796" w:rsidRPr="00520796">
        <w:rPr>
          <w:rFonts w:ascii="Times New Roman" w:hAnsi="Times New Roman" w:cs="Times New Roman"/>
          <w:sz w:val="24"/>
          <w:szCs w:val="24"/>
        </w:rPr>
        <w:t xml:space="preserve">się do </w:t>
      </w:r>
      <w:r w:rsidR="00431805" w:rsidRPr="00520796">
        <w:rPr>
          <w:rFonts w:ascii="Times New Roman" w:hAnsi="Times New Roman" w:cs="Times New Roman"/>
          <w:sz w:val="24"/>
          <w:szCs w:val="24"/>
        </w:rPr>
        <w:t>emitentów o średniej rynkowej kapitalizacji mniejszej niż 1 000 000 000 euro, świadczon</w:t>
      </w:r>
      <w:r w:rsidR="00520796" w:rsidRPr="00520796">
        <w:rPr>
          <w:rFonts w:ascii="Times New Roman" w:hAnsi="Times New Roman" w:cs="Times New Roman"/>
          <w:sz w:val="24"/>
          <w:szCs w:val="24"/>
        </w:rPr>
        <w:t xml:space="preserve">ych </w:t>
      </w:r>
      <w:r w:rsidR="00431805" w:rsidRPr="00520796">
        <w:rPr>
          <w:rFonts w:ascii="Times New Roman" w:hAnsi="Times New Roman" w:cs="Times New Roman"/>
          <w:sz w:val="24"/>
          <w:szCs w:val="24"/>
        </w:rPr>
        <w:t xml:space="preserve">przez osoby trzecie na rzecz firmy inwestycyjnej w </w:t>
      </w:r>
      <w:r w:rsidR="00713FB3">
        <w:rPr>
          <w:rFonts w:ascii="Times New Roman" w:hAnsi="Times New Roman" w:cs="Times New Roman"/>
          <w:sz w:val="24"/>
          <w:szCs w:val="24"/>
        </w:rPr>
        <w:t xml:space="preserve">związku ze świadczonymi przez tę firmę </w:t>
      </w:r>
      <w:r w:rsidR="00431805" w:rsidRPr="00520796">
        <w:rPr>
          <w:rFonts w:ascii="Times New Roman" w:hAnsi="Times New Roman" w:cs="Times New Roman"/>
          <w:sz w:val="24"/>
          <w:szCs w:val="24"/>
        </w:rPr>
        <w:t>usług</w:t>
      </w:r>
      <w:r w:rsidR="00713FB3">
        <w:rPr>
          <w:rFonts w:ascii="Times New Roman" w:hAnsi="Times New Roman" w:cs="Times New Roman"/>
          <w:sz w:val="24"/>
          <w:szCs w:val="24"/>
        </w:rPr>
        <w:t xml:space="preserve">ą </w:t>
      </w:r>
      <w:r w:rsidR="00431805" w:rsidRPr="00520796">
        <w:rPr>
          <w:rFonts w:ascii="Times New Roman" w:hAnsi="Times New Roman" w:cs="Times New Roman"/>
          <w:sz w:val="24"/>
          <w:szCs w:val="24"/>
        </w:rPr>
        <w:t>zarządzania portfelem, w</w:t>
      </w:r>
      <w:r w:rsidR="00713FB3">
        <w:rPr>
          <w:rFonts w:ascii="Times New Roman" w:hAnsi="Times New Roman" w:cs="Times New Roman"/>
          <w:sz w:val="24"/>
          <w:szCs w:val="24"/>
        </w:rPr>
        <w:t> </w:t>
      </w:r>
      <w:r w:rsidR="00431805" w:rsidRPr="00520796">
        <w:rPr>
          <w:rFonts w:ascii="Times New Roman" w:hAnsi="Times New Roman" w:cs="Times New Roman"/>
          <w:sz w:val="24"/>
          <w:szCs w:val="24"/>
        </w:rPr>
        <w:t>którego skład wchodzi jeden lub większa liczba instrumentów finansowych</w:t>
      </w:r>
      <w:r w:rsidR="003774C1">
        <w:rPr>
          <w:rFonts w:ascii="Times New Roman" w:hAnsi="Times New Roman" w:cs="Times New Roman"/>
          <w:sz w:val="24"/>
          <w:szCs w:val="24"/>
        </w:rPr>
        <w:t>,</w:t>
      </w:r>
      <w:r w:rsidR="00431805" w:rsidRPr="00520796">
        <w:rPr>
          <w:rFonts w:ascii="Times New Roman" w:hAnsi="Times New Roman" w:cs="Times New Roman"/>
          <w:sz w:val="24"/>
          <w:szCs w:val="24"/>
        </w:rPr>
        <w:t xml:space="preserve"> lub inn</w:t>
      </w:r>
      <w:r w:rsidR="00713FB3">
        <w:rPr>
          <w:rFonts w:ascii="Times New Roman" w:hAnsi="Times New Roman" w:cs="Times New Roman"/>
          <w:sz w:val="24"/>
          <w:szCs w:val="24"/>
        </w:rPr>
        <w:t xml:space="preserve">ymi </w:t>
      </w:r>
      <w:r w:rsidR="00431805" w:rsidRPr="00520796">
        <w:rPr>
          <w:rFonts w:ascii="Times New Roman" w:hAnsi="Times New Roman" w:cs="Times New Roman"/>
          <w:sz w:val="24"/>
          <w:szCs w:val="24"/>
        </w:rPr>
        <w:t>usług</w:t>
      </w:r>
      <w:r w:rsidR="00713FB3">
        <w:rPr>
          <w:rFonts w:ascii="Times New Roman" w:hAnsi="Times New Roman" w:cs="Times New Roman"/>
          <w:sz w:val="24"/>
          <w:szCs w:val="24"/>
        </w:rPr>
        <w:t xml:space="preserve">ami </w:t>
      </w:r>
      <w:r w:rsidR="00431805" w:rsidRPr="00520796">
        <w:rPr>
          <w:rFonts w:ascii="Times New Roman" w:hAnsi="Times New Roman" w:cs="Times New Roman"/>
          <w:sz w:val="24"/>
          <w:szCs w:val="24"/>
        </w:rPr>
        <w:t>maklerski</w:t>
      </w:r>
      <w:r w:rsidR="00713FB3">
        <w:rPr>
          <w:rFonts w:ascii="Times New Roman" w:hAnsi="Times New Roman" w:cs="Times New Roman"/>
          <w:sz w:val="24"/>
          <w:szCs w:val="24"/>
        </w:rPr>
        <w:t xml:space="preserve">mi </w:t>
      </w:r>
      <w:r w:rsidR="00431805" w:rsidRPr="00520796">
        <w:rPr>
          <w:rFonts w:ascii="Times New Roman" w:hAnsi="Times New Roman" w:cs="Times New Roman"/>
          <w:sz w:val="24"/>
          <w:szCs w:val="24"/>
        </w:rPr>
        <w:t>na rzecz klientów</w:t>
      </w:r>
      <w:r w:rsidR="00520796" w:rsidRPr="00520796">
        <w:rPr>
          <w:rFonts w:ascii="Times New Roman" w:hAnsi="Times New Roman" w:cs="Times New Roman"/>
          <w:sz w:val="24"/>
          <w:szCs w:val="24"/>
        </w:rPr>
        <w:t xml:space="preserve">. </w:t>
      </w:r>
      <w:r w:rsidR="00114C37">
        <w:rPr>
          <w:rFonts w:ascii="Times New Roman" w:hAnsi="Times New Roman" w:cs="Times New Roman"/>
          <w:sz w:val="24"/>
          <w:szCs w:val="24"/>
        </w:rPr>
        <w:t>Zastosowanie takiego w</w:t>
      </w:r>
      <w:r w:rsidR="00520796" w:rsidRPr="00520796">
        <w:rPr>
          <w:rFonts w:ascii="Times New Roman" w:hAnsi="Times New Roman" w:cs="Times New Roman"/>
          <w:sz w:val="24"/>
          <w:szCs w:val="24"/>
        </w:rPr>
        <w:t>yłączeni</w:t>
      </w:r>
      <w:r w:rsidR="00114C37">
        <w:rPr>
          <w:rFonts w:ascii="Times New Roman" w:hAnsi="Times New Roman" w:cs="Times New Roman"/>
          <w:sz w:val="24"/>
          <w:szCs w:val="24"/>
        </w:rPr>
        <w:t>a</w:t>
      </w:r>
      <w:r w:rsidR="00520796" w:rsidRPr="00520796">
        <w:rPr>
          <w:rFonts w:ascii="Times New Roman" w:hAnsi="Times New Roman" w:cs="Times New Roman"/>
          <w:sz w:val="24"/>
          <w:szCs w:val="24"/>
        </w:rPr>
        <w:t xml:space="preserve"> będzie </w:t>
      </w:r>
      <w:r w:rsidR="00114C37">
        <w:rPr>
          <w:rFonts w:ascii="Times New Roman" w:hAnsi="Times New Roman" w:cs="Times New Roman"/>
          <w:sz w:val="24"/>
          <w:szCs w:val="24"/>
        </w:rPr>
        <w:t xml:space="preserve">możliwe na podstawie </w:t>
      </w:r>
      <w:r w:rsidR="00520796" w:rsidRPr="00520796">
        <w:rPr>
          <w:rFonts w:ascii="Times New Roman" w:hAnsi="Times New Roman" w:cs="Times New Roman"/>
          <w:sz w:val="24"/>
          <w:szCs w:val="24"/>
        </w:rPr>
        <w:t>umowy</w:t>
      </w:r>
      <w:r w:rsidR="00114C37">
        <w:rPr>
          <w:rFonts w:ascii="Times New Roman" w:hAnsi="Times New Roman" w:cs="Times New Roman"/>
          <w:sz w:val="24"/>
          <w:szCs w:val="24"/>
        </w:rPr>
        <w:t xml:space="preserve"> zawartej </w:t>
      </w:r>
      <w:r w:rsidR="00713FB3" w:rsidRPr="00520796">
        <w:rPr>
          <w:rFonts w:ascii="Times New Roman" w:hAnsi="Times New Roman" w:cs="Times New Roman"/>
          <w:sz w:val="24"/>
          <w:szCs w:val="24"/>
        </w:rPr>
        <w:t xml:space="preserve">pomiędzy podmiotem świadczącym usługi </w:t>
      </w:r>
      <w:r w:rsidR="00713FB3">
        <w:rPr>
          <w:rFonts w:ascii="Times New Roman" w:hAnsi="Times New Roman" w:cs="Times New Roman"/>
          <w:sz w:val="24"/>
          <w:szCs w:val="24"/>
        </w:rPr>
        <w:t xml:space="preserve">badawcze i </w:t>
      </w:r>
      <w:r w:rsidR="00713FB3" w:rsidRPr="00520796">
        <w:rPr>
          <w:rFonts w:ascii="Times New Roman" w:hAnsi="Times New Roman" w:cs="Times New Roman"/>
          <w:sz w:val="24"/>
          <w:szCs w:val="24"/>
        </w:rPr>
        <w:t>f</w:t>
      </w:r>
      <w:r w:rsidR="00713FB3">
        <w:rPr>
          <w:rFonts w:ascii="Times New Roman" w:hAnsi="Times New Roman" w:cs="Times New Roman"/>
          <w:sz w:val="24"/>
          <w:szCs w:val="24"/>
        </w:rPr>
        <w:t>i</w:t>
      </w:r>
      <w:r w:rsidR="00713FB3" w:rsidRPr="00520796">
        <w:rPr>
          <w:rFonts w:ascii="Times New Roman" w:hAnsi="Times New Roman" w:cs="Times New Roman"/>
          <w:sz w:val="24"/>
          <w:szCs w:val="24"/>
        </w:rPr>
        <w:t>rmą inwestycyjną</w:t>
      </w:r>
      <w:r w:rsidR="00713FB3">
        <w:rPr>
          <w:rFonts w:ascii="Times New Roman" w:hAnsi="Times New Roman" w:cs="Times New Roman"/>
          <w:sz w:val="24"/>
          <w:szCs w:val="24"/>
        </w:rPr>
        <w:t>,</w:t>
      </w:r>
      <w:r w:rsidR="00520796" w:rsidRPr="00520796">
        <w:rPr>
          <w:rFonts w:ascii="Times New Roman" w:hAnsi="Times New Roman" w:cs="Times New Roman"/>
          <w:sz w:val="24"/>
          <w:szCs w:val="24"/>
        </w:rPr>
        <w:t xml:space="preserve"> określającej wysokość wynagrodzenia za usług</w:t>
      </w:r>
      <w:r w:rsidR="00713FB3">
        <w:rPr>
          <w:rFonts w:ascii="Times New Roman" w:hAnsi="Times New Roman" w:cs="Times New Roman"/>
          <w:sz w:val="24"/>
          <w:szCs w:val="24"/>
        </w:rPr>
        <w:t xml:space="preserve">ę </w:t>
      </w:r>
      <w:r w:rsidR="00520796" w:rsidRPr="00520796">
        <w:rPr>
          <w:rFonts w:ascii="Times New Roman" w:hAnsi="Times New Roman" w:cs="Times New Roman"/>
          <w:sz w:val="24"/>
          <w:szCs w:val="24"/>
        </w:rPr>
        <w:t>przed jej wykonaniem</w:t>
      </w:r>
      <w:r w:rsidR="00114C37">
        <w:rPr>
          <w:rFonts w:ascii="Times New Roman" w:hAnsi="Times New Roman" w:cs="Times New Roman"/>
          <w:sz w:val="24"/>
          <w:szCs w:val="24"/>
        </w:rPr>
        <w:t xml:space="preserve"> (wymagane będzie </w:t>
      </w:r>
      <w:r w:rsidR="00520796" w:rsidRPr="00520796">
        <w:rPr>
          <w:rFonts w:ascii="Times New Roman" w:hAnsi="Times New Roman" w:cs="Times New Roman"/>
          <w:sz w:val="24"/>
          <w:szCs w:val="24"/>
        </w:rPr>
        <w:t>poinformowani</w:t>
      </w:r>
      <w:r w:rsidR="00114C37">
        <w:rPr>
          <w:rFonts w:ascii="Times New Roman" w:hAnsi="Times New Roman" w:cs="Times New Roman"/>
          <w:sz w:val="24"/>
          <w:szCs w:val="24"/>
        </w:rPr>
        <w:t xml:space="preserve">e klientów </w:t>
      </w:r>
      <w:r w:rsidR="00520796" w:rsidRPr="00520796">
        <w:rPr>
          <w:rFonts w:ascii="Times New Roman" w:hAnsi="Times New Roman" w:cs="Times New Roman"/>
          <w:sz w:val="24"/>
          <w:szCs w:val="24"/>
        </w:rPr>
        <w:t xml:space="preserve">przez firmę inwestycyjną klientów </w:t>
      </w:r>
      <w:r w:rsidR="00713FB3">
        <w:rPr>
          <w:rFonts w:ascii="Times New Roman" w:hAnsi="Times New Roman" w:cs="Times New Roman"/>
          <w:sz w:val="24"/>
          <w:szCs w:val="24"/>
        </w:rPr>
        <w:t>o wysokości tego wynagrodzenia</w:t>
      </w:r>
      <w:r w:rsidR="00114C37">
        <w:rPr>
          <w:rFonts w:ascii="Times New Roman" w:hAnsi="Times New Roman" w:cs="Times New Roman"/>
          <w:sz w:val="24"/>
          <w:szCs w:val="24"/>
        </w:rPr>
        <w:t>)</w:t>
      </w:r>
      <w:r w:rsidR="00713FB3">
        <w:rPr>
          <w:rFonts w:ascii="Times New Roman" w:hAnsi="Times New Roman" w:cs="Times New Roman"/>
          <w:sz w:val="24"/>
          <w:szCs w:val="24"/>
        </w:rPr>
        <w:t>.</w:t>
      </w:r>
    </w:p>
    <w:p w14:paraId="5299C327" w14:textId="77777777" w:rsidR="00D70A52" w:rsidRPr="001D7D62" w:rsidRDefault="00D70A52" w:rsidP="007A33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84E0F" w14:textId="0815907F" w:rsidR="0062163C" w:rsidRDefault="0062163C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</w:t>
      </w:r>
      <w:r w:rsidR="00FA1D4F">
        <w:rPr>
          <w:rFonts w:ascii="Times New Roman" w:hAnsi="Times New Roman" w:cs="Times New Roman"/>
          <w:sz w:val="24"/>
          <w:szCs w:val="24"/>
        </w:rPr>
        <w:t xml:space="preserve">y </w:t>
      </w:r>
      <w:r w:rsidRPr="0062163C">
        <w:rPr>
          <w:rFonts w:ascii="Times New Roman" w:hAnsi="Times New Roman" w:cs="Times New Roman"/>
          <w:b/>
          <w:sz w:val="24"/>
          <w:szCs w:val="24"/>
        </w:rPr>
        <w:t>§ 35</w:t>
      </w:r>
      <w:r w:rsidRPr="0062163C">
        <w:rPr>
          <w:rFonts w:ascii="Times New Roman" w:hAnsi="Times New Roman" w:cs="Times New Roman"/>
          <w:sz w:val="24"/>
          <w:szCs w:val="24"/>
        </w:rPr>
        <w:t xml:space="preserve"> </w:t>
      </w:r>
      <w:r w:rsidR="00FA1D4F" w:rsidRPr="0062163C">
        <w:rPr>
          <w:rFonts w:ascii="Times New Roman" w:hAnsi="Times New Roman" w:cs="Times New Roman"/>
          <w:b/>
          <w:sz w:val="24"/>
          <w:szCs w:val="24"/>
        </w:rPr>
        <w:t>ust. 3</w:t>
      </w:r>
      <w:r w:rsidR="00FA1D4F">
        <w:rPr>
          <w:rFonts w:ascii="Times New Roman" w:hAnsi="Times New Roman" w:cs="Times New Roman"/>
          <w:sz w:val="24"/>
          <w:szCs w:val="24"/>
        </w:rPr>
        <w:t xml:space="preserve"> </w:t>
      </w:r>
      <w:r w:rsidRPr="0062163C">
        <w:rPr>
          <w:rFonts w:ascii="Times New Roman" w:hAnsi="Times New Roman" w:cs="Times New Roman"/>
          <w:sz w:val="24"/>
          <w:szCs w:val="24"/>
        </w:rPr>
        <w:t xml:space="preserve">oraz </w:t>
      </w:r>
      <w:r w:rsidRPr="0062163C">
        <w:rPr>
          <w:rFonts w:ascii="Times New Roman" w:hAnsi="Times New Roman" w:cs="Times New Roman"/>
          <w:b/>
          <w:sz w:val="24"/>
          <w:szCs w:val="24"/>
        </w:rPr>
        <w:t>§ 46</w:t>
      </w:r>
      <w:r w:rsidRPr="0062163C">
        <w:rPr>
          <w:rFonts w:ascii="Times New Roman" w:hAnsi="Times New Roman" w:cs="Times New Roman"/>
          <w:sz w:val="24"/>
          <w:szCs w:val="24"/>
        </w:rPr>
        <w:t xml:space="preserve"> </w:t>
      </w:r>
      <w:r w:rsidR="00FA1D4F" w:rsidRPr="0062163C">
        <w:rPr>
          <w:rFonts w:ascii="Times New Roman" w:hAnsi="Times New Roman" w:cs="Times New Roman"/>
          <w:b/>
          <w:sz w:val="24"/>
          <w:szCs w:val="24"/>
        </w:rPr>
        <w:t>ust. 3</w:t>
      </w:r>
      <w:r w:rsidR="00D16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mają </w:t>
      </w:r>
      <w:r w:rsidRPr="0062163C">
        <w:rPr>
          <w:rFonts w:ascii="Times New Roman" w:hAnsi="Times New Roman" w:cs="Times New Roman"/>
          <w:sz w:val="24"/>
          <w:szCs w:val="24"/>
        </w:rPr>
        <w:t xml:space="preserve">na celu </w:t>
      </w:r>
      <w:r w:rsidR="00D16166">
        <w:rPr>
          <w:rFonts w:ascii="Times New Roman" w:hAnsi="Times New Roman" w:cs="Times New Roman"/>
          <w:sz w:val="24"/>
          <w:szCs w:val="24"/>
        </w:rPr>
        <w:t xml:space="preserve">ich korektę, </w:t>
      </w:r>
      <w:r w:rsidR="00114C37">
        <w:rPr>
          <w:rFonts w:ascii="Times New Roman" w:hAnsi="Times New Roman" w:cs="Times New Roman"/>
          <w:sz w:val="24"/>
          <w:szCs w:val="24"/>
        </w:rPr>
        <w:t>zgodnie z art. 9 ust. </w:t>
      </w:r>
      <w:r w:rsidR="00114C37" w:rsidRPr="0062163C">
        <w:rPr>
          <w:rFonts w:ascii="Times New Roman" w:hAnsi="Times New Roman" w:cs="Times New Roman"/>
          <w:sz w:val="24"/>
          <w:szCs w:val="24"/>
        </w:rPr>
        <w:t xml:space="preserve">7 oraz </w:t>
      </w:r>
      <w:r w:rsidR="00114C37">
        <w:rPr>
          <w:rFonts w:ascii="Times New Roman" w:hAnsi="Times New Roman" w:cs="Times New Roman"/>
          <w:sz w:val="24"/>
          <w:szCs w:val="24"/>
        </w:rPr>
        <w:t>art. 10 ust. </w:t>
      </w:r>
      <w:r w:rsidR="00114C37" w:rsidRPr="0062163C">
        <w:rPr>
          <w:rFonts w:ascii="Times New Roman" w:hAnsi="Times New Roman" w:cs="Times New Roman"/>
          <w:sz w:val="24"/>
          <w:szCs w:val="24"/>
        </w:rPr>
        <w:t xml:space="preserve">6 </w:t>
      </w:r>
      <w:r w:rsidR="00114C37">
        <w:rPr>
          <w:rFonts w:ascii="Times New Roman" w:hAnsi="Times New Roman" w:cs="Times New Roman"/>
          <w:sz w:val="24"/>
          <w:szCs w:val="24"/>
        </w:rPr>
        <w:t>d</w:t>
      </w:r>
      <w:r w:rsidR="00114C37" w:rsidRPr="0062163C">
        <w:rPr>
          <w:rFonts w:ascii="Times New Roman" w:hAnsi="Times New Roman" w:cs="Times New Roman"/>
          <w:sz w:val="24"/>
          <w:szCs w:val="24"/>
        </w:rPr>
        <w:t>yrektyw</w:t>
      </w:r>
      <w:r w:rsidR="00114C37">
        <w:rPr>
          <w:rFonts w:ascii="Times New Roman" w:hAnsi="Times New Roman" w:cs="Times New Roman"/>
          <w:sz w:val="24"/>
          <w:szCs w:val="24"/>
        </w:rPr>
        <w:t xml:space="preserve">y </w:t>
      </w:r>
      <w:r w:rsidR="00114C37" w:rsidRPr="0062163C">
        <w:rPr>
          <w:rFonts w:ascii="Times New Roman" w:hAnsi="Times New Roman" w:cs="Times New Roman"/>
          <w:sz w:val="24"/>
          <w:szCs w:val="24"/>
        </w:rPr>
        <w:t>delegowan</w:t>
      </w:r>
      <w:r w:rsidR="00114C37">
        <w:rPr>
          <w:rFonts w:ascii="Times New Roman" w:hAnsi="Times New Roman" w:cs="Times New Roman"/>
          <w:sz w:val="24"/>
          <w:szCs w:val="24"/>
        </w:rPr>
        <w:t>ej Komisji (UE) 2017/593 z dnia 7 kwietnia 2016 </w:t>
      </w:r>
      <w:r w:rsidR="00114C37" w:rsidRPr="0062163C">
        <w:rPr>
          <w:rFonts w:ascii="Times New Roman" w:hAnsi="Times New Roman" w:cs="Times New Roman"/>
          <w:sz w:val="24"/>
          <w:szCs w:val="24"/>
        </w:rPr>
        <w:t>r. uzupełniając</w:t>
      </w:r>
      <w:r w:rsidR="00114C37">
        <w:rPr>
          <w:rFonts w:ascii="Times New Roman" w:hAnsi="Times New Roman" w:cs="Times New Roman"/>
          <w:sz w:val="24"/>
          <w:szCs w:val="24"/>
        </w:rPr>
        <w:t xml:space="preserve">ej </w:t>
      </w:r>
      <w:r w:rsidR="00114C37" w:rsidRPr="0062163C">
        <w:rPr>
          <w:rFonts w:ascii="Times New Roman" w:hAnsi="Times New Roman" w:cs="Times New Roman"/>
          <w:sz w:val="24"/>
          <w:szCs w:val="24"/>
        </w:rPr>
        <w:t>dyrektywę Parlamentu Europejskiego i R</w:t>
      </w:r>
      <w:r w:rsidR="00D16166">
        <w:rPr>
          <w:rFonts w:ascii="Times New Roman" w:hAnsi="Times New Roman" w:cs="Times New Roman"/>
          <w:sz w:val="24"/>
          <w:szCs w:val="24"/>
        </w:rPr>
        <w:t>ady 2014/65/UE w odniesieniu do </w:t>
      </w:r>
      <w:r w:rsidR="00114C37" w:rsidRPr="0062163C">
        <w:rPr>
          <w:rFonts w:ascii="Times New Roman" w:hAnsi="Times New Roman" w:cs="Times New Roman"/>
          <w:sz w:val="24"/>
          <w:szCs w:val="24"/>
        </w:rPr>
        <w:t xml:space="preserve">zabezpieczenia </w:t>
      </w:r>
      <w:r w:rsidR="00114C37" w:rsidRPr="0062163C">
        <w:rPr>
          <w:rFonts w:ascii="Times New Roman" w:hAnsi="Times New Roman" w:cs="Times New Roman"/>
          <w:sz w:val="24"/>
          <w:szCs w:val="24"/>
        </w:rPr>
        <w:lastRenderedPageBreak/>
        <w:t>instrumentów finansowych i środków pieniężnych należ</w:t>
      </w:r>
      <w:r w:rsidR="00D70A52">
        <w:rPr>
          <w:rFonts w:ascii="Times New Roman" w:hAnsi="Times New Roman" w:cs="Times New Roman"/>
          <w:sz w:val="24"/>
          <w:szCs w:val="24"/>
        </w:rPr>
        <w:t>ących do klientów, zobowiązań w </w:t>
      </w:r>
      <w:r w:rsidR="00114C37" w:rsidRPr="0062163C">
        <w:rPr>
          <w:rFonts w:ascii="Times New Roman" w:hAnsi="Times New Roman" w:cs="Times New Roman"/>
          <w:sz w:val="24"/>
          <w:szCs w:val="24"/>
        </w:rPr>
        <w:t>zakresie zarządzania produktami oraz</w:t>
      </w:r>
      <w:r w:rsidR="00114C37">
        <w:rPr>
          <w:rFonts w:ascii="Times New Roman" w:hAnsi="Times New Roman" w:cs="Times New Roman"/>
          <w:sz w:val="24"/>
          <w:szCs w:val="24"/>
        </w:rPr>
        <w:t xml:space="preserve"> zasad mających zastosowanie do </w:t>
      </w:r>
      <w:r w:rsidR="00114C37" w:rsidRPr="0062163C">
        <w:rPr>
          <w:rFonts w:ascii="Times New Roman" w:hAnsi="Times New Roman" w:cs="Times New Roman"/>
          <w:sz w:val="24"/>
          <w:szCs w:val="24"/>
        </w:rPr>
        <w:t xml:space="preserve">oferowania lub przyjmowania wynagrodzeń, prowizji bądź </w:t>
      </w:r>
      <w:r w:rsidR="00114C37">
        <w:rPr>
          <w:rFonts w:ascii="Times New Roman" w:hAnsi="Times New Roman" w:cs="Times New Roman"/>
          <w:sz w:val="24"/>
          <w:szCs w:val="24"/>
        </w:rPr>
        <w:t>innych korzyści pieniężnych lub </w:t>
      </w:r>
      <w:r w:rsidR="00114C37" w:rsidRPr="0062163C">
        <w:rPr>
          <w:rFonts w:ascii="Times New Roman" w:hAnsi="Times New Roman" w:cs="Times New Roman"/>
          <w:sz w:val="24"/>
          <w:szCs w:val="24"/>
        </w:rPr>
        <w:t xml:space="preserve">niepieniężnych </w:t>
      </w:r>
      <w:r w:rsidR="00114C37">
        <w:rPr>
          <w:rFonts w:ascii="Times New Roman" w:hAnsi="Times New Roman" w:cs="Times New Roman"/>
          <w:sz w:val="24"/>
          <w:szCs w:val="24"/>
        </w:rPr>
        <w:t>(Dz. U</w:t>
      </w:r>
      <w:r w:rsidR="003B6373">
        <w:rPr>
          <w:rFonts w:ascii="Times New Roman" w:hAnsi="Times New Roman" w:cs="Times New Roman"/>
          <w:sz w:val="24"/>
          <w:szCs w:val="24"/>
        </w:rPr>
        <w:t>rz</w:t>
      </w:r>
      <w:r w:rsidR="00114C37">
        <w:rPr>
          <w:rFonts w:ascii="Times New Roman" w:hAnsi="Times New Roman" w:cs="Times New Roman"/>
          <w:sz w:val="24"/>
          <w:szCs w:val="24"/>
        </w:rPr>
        <w:t xml:space="preserve">. </w:t>
      </w:r>
      <w:r w:rsidR="003B6373">
        <w:rPr>
          <w:rFonts w:ascii="Times New Roman" w:hAnsi="Times New Roman" w:cs="Times New Roman"/>
          <w:sz w:val="24"/>
          <w:szCs w:val="24"/>
        </w:rPr>
        <w:t xml:space="preserve">UE </w:t>
      </w:r>
      <w:r w:rsidR="00E70BFC">
        <w:rPr>
          <w:rFonts w:ascii="Times New Roman" w:hAnsi="Times New Roman" w:cs="Times New Roman"/>
          <w:sz w:val="24"/>
          <w:szCs w:val="24"/>
        </w:rPr>
        <w:t xml:space="preserve">L 87 </w:t>
      </w:r>
      <w:r w:rsidR="00A4179C">
        <w:rPr>
          <w:rFonts w:ascii="Times New Roman" w:hAnsi="Times New Roman" w:cs="Times New Roman"/>
          <w:sz w:val="24"/>
          <w:szCs w:val="24"/>
        </w:rPr>
        <w:t xml:space="preserve">z </w:t>
      </w:r>
      <w:r w:rsidR="00114C37">
        <w:rPr>
          <w:rFonts w:ascii="Times New Roman" w:hAnsi="Times New Roman" w:cs="Times New Roman"/>
          <w:sz w:val="24"/>
          <w:szCs w:val="24"/>
        </w:rPr>
        <w:t xml:space="preserve">31.03.2017, str. 500). Korekta polega na prawidłowym wskazaniu </w:t>
      </w:r>
      <w:r w:rsidR="00114C37" w:rsidRPr="0062163C">
        <w:rPr>
          <w:rFonts w:ascii="Times New Roman" w:hAnsi="Times New Roman" w:cs="Times New Roman"/>
          <w:sz w:val="24"/>
          <w:szCs w:val="24"/>
        </w:rPr>
        <w:t>komórki do spraw nadzoru zgodności działalności z prawem ustan</w:t>
      </w:r>
      <w:r w:rsidR="00114C37">
        <w:rPr>
          <w:rFonts w:ascii="Times New Roman" w:hAnsi="Times New Roman" w:cs="Times New Roman"/>
          <w:sz w:val="24"/>
          <w:szCs w:val="24"/>
        </w:rPr>
        <w:t xml:space="preserve">owionej w firmie inwestycyjnej jako właściwej do wykonywania </w:t>
      </w:r>
      <w:r w:rsidRPr="0062163C">
        <w:rPr>
          <w:rFonts w:ascii="Times New Roman" w:hAnsi="Times New Roman" w:cs="Times New Roman"/>
          <w:sz w:val="24"/>
          <w:szCs w:val="24"/>
        </w:rPr>
        <w:t>zadań w</w:t>
      </w:r>
      <w:r w:rsidR="00D16166">
        <w:rPr>
          <w:rFonts w:ascii="Times New Roman" w:hAnsi="Times New Roman" w:cs="Times New Roman"/>
          <w:sz w:val="24"/>
          <w:szCs w:val="24"/>
        </w:rPr>
        <w:t xml:space="preserve"> zakresie monitorowania zmian i </w:t>
      </w:r>
      <w:r w:rsidRPr="0062163C">
        <w:rPr>
          <w:rFonts w:ascii="Times New Roman" w:hAnsi="Times New Roman" w:cs="Times New Roman"/>
          <w:sz w:val="24"/>
          <w:szCs w:val="24"/>
        </w:rPr>
        <w:t xml:space="preserve">dokonywania okresowych przeglądów </w:t>
      </w:r>
      <w:r w:rsidR="00D16166">
        <w:rPr>
          <w:rFonts w:ascii="Times New Roman" w:hAnsi="Times New Roman" w:cs="Times New Roman"/>
          <w:sz w:val="24"/>
          <w:szCs w:val="24"/>
        </w:rPr>
        <w:t xml:space="preserve">procesu emitowania lub </w:t>
      </w:r>
      <w:r w:rsidRPr="0062163C">
        <w:rPr>
          <w:rFonts w:ascii="Times New Roman" w:hAnsi="Times New Roman" w:cs="Times New Roman"/>
          <w:sz w:val="24"/>
          <w:szCs w:val="24"/>
        </w:rPr>
        <w:t xml:space="preserve">wystawiania instrumentów finansowych lub udzielania </w:t>
      </w:r>
      <w:r w:rsidR="00D16166">
        <w:rPr>
          <w:rFonts w:ascii="Times New Roman" w:hAnsi="Times New Roman" w:cs="Times New Roman"/>
          <w:sz w:val="24"/>
          <w:szCs w:val="24"/>
        </w:rPr>
        <w:t xml:space="preserve">porad w zakresie emitowania lub </w:t>
      </w:r>
      <w:r w:rsidRPr="0062163C">
        <w:rPr>
          <w:rFonts w:ascii="Times New Roman" w:hAnsi="Times New Roman" w:cs="Times New Roman"/>
          <w:sz w:val="24"/>
          <w:szCs w:val="24"/>
        </w:rPr>
        <w:t>wystawiania instrumentu finansowego ora</w:t>
      </w:r>
      <w:r w:rsidR="00D16166">
        <w:rPr>
          <w:rFonts w:ascii="Times New Roman" w:hAnsi="Times New Roman" w:cs="Times New Roman"/>
          <w:sz w:val="24"/>
          <w:szCs w:val="24"/>
        </w:rPr>
        <w:t>z zasad zarządzania produktami.</w:t>
      </w:r>
      <w:r w:rsidR="00D70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970B5" w14:textId="77777777" w:rsidR="00D70A52" w:rsidRPr="0062163C" w:rsidRDefault="00D70A52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2190D" w14:textId="77B111FD" w:rsidR="007C6DAF" w:rsidRDefault="007C6DAF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A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16592" w:rsidRPr="00520796">
        <w:rPr>
          <w:rFonts w:ascii="Times New Roman" w:hAnsi="Times New Roman" w:cs="Times New Roman"/>
          <w:b/>
          <w:sz w:val="24"/>
          <w:szCs w:val="24"/>
        </w:rPr>
        <w:t>§ </w:t>
      </w:r>
      <w:r w:rsidRPr="00116592">
        <w:rPr>
          <w:rFonts w:ascii="Times New Roman" w:hAnsi="Times New Roman" w:cs="Times New Roman"/>
          <w:b/>
          <w:sz w:val="24"/>
          <w:szCs w:val="24"/>
        </w:rPr>
        <w:t>2 projektu</w:t>
      </w:r>
      <w:r w:rsidRPr="007C6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rozporządzeni</w:t>
      </w:r>
      <w:r w:rsidR="00116592">
        <w:rPr>
          <w:rFonts w:ascii="Times New Roman" w:hAnsi="Times New Roman" w:cs="Times New Roman"/>
          <w:sz w:val="24"/>
          <w:szCs w:val="24"/>
        </w:rPr>
        <w:t xml:space="preserve">e </w:t>
      </w:r>
      <w:r w:rsidRPr="007C6DAF">
        <w:rPr>
          <w:rFonts w:ascii="Times New Roman" w:hAnsi="Times New Roman" w:cs="Times New Roman"/>
          <w:sz w:val="24"/>
          <w:szCs w:val="24"/>
        </w:rPr>
        <w:t xml:space="preserve">wejdzie w życie z dniem 28 lutego 2022 r. </w:t>
      </w:r>
      <w:r w:rsidR="002E6196">
        <w:rPr>
          <w:rFonts w:ascii="Times New Roman" w:hAnsi="Times New Roman" w:cs="Times New Roman"/>
          <w:sz w:val="24"/>
          <w:szCs w:val="24"/>
        </w:rPr>
        <w:t xml:space="preserve">– </w:t>
      </w:r>
      <w:r w:rsidR="00D70A52">
        <w:rPr>
          <w:rFonts w:ascii="Times New Roman" w:hAnsi="Times New Roman" w:cs="Times New Roman"/>
          <w:sz w:val="24"/>
          <w:szCs w:val="24"/>
        </w:rPr>
        <w:t>zgodnie z </w:t>
      </w:r>
      <w:r w:rsidR="002E6196" w:rsidRPr="007C6DAF">
        <w:rPr>
          <w:rFonts w:ascii="Times New Roman" w:hAnsi="Times New Roman" w:cs="Times New Roman"/>
          <w:sz w:val="24"/>
          <w:szCs w:val="24"/>
        </w:rPr>
        <w:t>art. 4 ust. 1 dyrektywy 2021/338</w:t>
      </w:r>
      <w:r w:rsidR="002E6196">
        <w:rPr>
          <w:rFonts w:ascii="Times New Roman" w:hAnsi="Times New Roman" w:cs="Times New Roman"/>
          <w:sz w:val="24"/>
          <w:szCs w:val="24"/>
        </w:rPr>
        <w:t xml:space="preserve"> </w:t>
      </w:r>
      <w:r w:rsidRPr="007C6DAF">
        <w:rPr>
          <w:rFonts w:ascii="Times New Roman" w:hAnsi="Times New Roman" w:cs="Times New Roman"/>
          <w:sz w:val="24"/>
          <w:szCs w:val="24"/>
        </w:rPr>
        <w:t xml:space="preserve">państwa członkowskie </w:t>
      </w:r>
      <w:r w:rsidR="00116592">
        <w:rPr>
          <w:rFonts w:ascii="Times New Roman" w:hAnsi="Times New Roman" w:cs="Times New Roman"/>
          <w:sz w:val="24"/>
          <w:szCs w:val="24"/>
        </w:rPr>
        <w:t xml:space="preserve">są </w:t>
      </w:r>
      <w:r w:rsidRPr="007C6DAF">
        <w:rPr>
          <w:rFonts w:ascii="Times New Roman" w:hAnsi="Times New Roman" w:cs="Times New Roman"/>
          <w:sz w:val="24"/>
          <w:szCs w:val="24"/>
        </w:rPr>
        <w:t xml:space="preserve">zobowiązane </w:t>
      </w:r>
      <w:r w:rsidR="00BA7220">
        <w:rPr>
          <w:rFonts w:ascii="Times New Roman" w:hAnsi="Times New Roman" w:cs="Times New Roman"/>
          <w:sz w:val="24"/>
          <w:szCs w:val="24"/>
        </w:rPr>
        <w:t>do </w:t>
      </w:r>
      <w:r w:rsidRPr="007C6DAF">
        <w:rPr>
          <w:rFonts w:ascii="Times New Roman" w:hAnsi="Times New Roman" w:cs="Times New Roman"/>
          <w:sz w:val="24"/>
          <w:szCs w:val="24"/>
        </w:rPr>
        <w:t>stosowania przep</w:t>
      </w:r>
      <w:r w:rsidR="00BA7220">
        <w:rPr>
          <w:rFonts w:ascii="Times New Roman" w:hAnsi="Times New Roman" w:cs="Times New Roman"/>
          <w:sz w:val="24"/>
          <w:szCs w:val="24"/>
        </w:rPr>
        <w:t xml:space="preserve">isów ustawowych, wykonawczych i </w:t>
      </w:r>
      <w:r w:rsidRPr="007C6DAF">
        <w:rPr>
          <w:rFonts w:ascii="Times New Roman" w:hAnsi="Times New Roman" w:cs="Times New Roman"/>
          <w:sz w:val="24"/>
          <w:szCs w:val="24"/>
        </w:rPr>
        <w:t>a</w:t>
      </w:r>
      <w:r w:rsidR="00BA7220">
        <w:rPr>
          <w:rFonts w:ascii="Times New Roman" w:hAnsi="Times New Roman" w:cs="Times New Roman"/>
          <w:sz w:val="24"/>
          <w:szCs w:val="24"/>
        </w:rPr>
        <w:t>dministracyjnych niezbędnych do </w:t>
      </w:r>
      <w:r w:rsidRPr="007C6DAF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 xml:space="preserve">onania tej dyrektywy od </w:t>
      </w:r>
      <w:r w:rsidR="00116592">
        <w:rPr>
          <w:rFonts w:ascii="Times New Roman" w:hAnsi="Times New Roman" w:cs="Times New Roman"/>
          <w:sz w:val="24"/>
          <w:szCs w:val="24"/>
        </w:rPr>
        <w:t xml:space="preserve">tego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7C6DAF">
        <w:rPr>
          <w:rFonts w:ascii="Times New Roman" w:hAnsi="Times New Roman" w:cs="Times New Roman"/>
          <w:sz w:val="24"/>
          <w:szCs w:val="24"/>
        </w:rPr>
        <w:t>.</w:t>
      </w:r>
    </w:p>
    <w:p w14:paraId="07301AA0" w14:textId="77777777" w:rsidR="00116592" w:rsidRPr="007C6DAF" w:rsidRDefault="00116592" w:rsidP="0011659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14:paraId="6246FD8D" w14:textId="6D9E8E02" w:rsidR="004D45F7" w:rsidRDefault="004D45F7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AF">
        <w:rPr>
          <w:rFonts w:ascii="Times New Roman" w:hAnsi="Times New Roman" w:cs="Times New Roman"/>
          <w:sz w:val="24"/>
          <w:szCs w:val="24"/>
        </w:rPr>
        <w:t>Zawarte w projekcie regulacje nie stanowią przepisów technicznych w rozumieniu rozporządzenia Rady Ministrów z dnia 23 grudnia 2002 r. w sprawie sposobu funkcjonowania krajowego systemu notyfikacji norm i aktów prawnych (Dz. U. poz. 2039</w:t>
      </w:r>
      <w:r w:rsidR="003E09B6" w:rsidRPr="007C6DAF">
        <w:rPr>
          <w:rFonts w:ascii="Times New Roman" w:hAnsi="Times New Roman" w:cs="Times New Roman"/>
          <w:sz w:val="24"/>
          <w:szCs w:val="24"/>
        </w:rPr>
        <w:t>, z późn.</w:t>
      </w:r>
      <w:r w:rsidR="00DD6B7A">
        <w:rPr>
          <w:rFonts w:ascii="Times New Roman" w:hAnsi="Times New Roman" w:cs="Times New Roman"/>
          <w:sz w:val="24"/>
          <w:szCs w:val="24"/>
        </w:rPr>
        <w:t xml:space="preserve"> </w:t>
      </w:r>
      <w:r w:rsidR="003E09B6" w:rsidRPr="007C6DAF">
        <w:rPr>
          <w:rFonts w:ascii="Times New Roman" w:hAnsi="Times New Roman" w:cs="Times New Roman"/>
          <w:sz w:val="24"/>
          <w:szCs w:val="24"/>
        </w:rPr>
        <w:t>zm.)</w:t>
      </w:r>
      <w:r w:rsidRPr="007C6DAF">
        <w:rPr>
          <w:rFonts w:ascii="Times New Roman" w:hAnsi="Times New Roman" w:cs="Times New Roman"/>
          <w:sz w:val="24"/>
          <w:szCs w:val="24"/>
        </w:rPr>
        <w:t>, dlatego też projekt rozporządzenia nie podlega procedurze notyfikacji.</w:t>
      </w:r>
    </w:p>
    <w:p w14:paraId="5F0C0D25" w14:textId="77777777" w:rsidR="00D70A52" w:rsidRPr="007C6DAF" w:rsidRDefault="00D70A52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9F6CB" w14:textId="54B8FC4A" w:rsidR="004D45F7" w:rsidRDefault="004D45F7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AF">
        <w:rPr>
          <w:rFonts w:ascii="Times New Roman" w:hAnsi="Times New Roman" w:cs="Times New Roman"/>
          <w:sz w:val="24"/>
          <w:szCs w:val="24"/>
        </w:rPr>
        <w:t xml:space="preserve">Projektowane rozporządzenie nie wymaga przedstawiania organom i instytucjom Unii Europejskiej w celu uzyskania opinii, dokonania powiadomienia, konsultacji albo uzgodnienia. </w:t>
      </w:r>
      <w:r w:rsidR="003E09B6" w:rsidRPr="007C6DAF">
        <w:rPr>
          <w:rFonts w:ascii="Times New Roman" w:hAnsi="Times New Roman" w:cs="Times New Roman"/>
          <w:sz w:val="24"/>
          <w:szCs w:val="24"/>
        </w:rPr>
        <w:t>P</w:t>
      </w:r>
      <w:r w:rsidRPr="007C6DAF">
        <w:rPr>
          <w:rFonts w:ascii="Times New Roman" w:hAnsi="Times New Roman" w:cs="Times New Roman"/>
          <w:sz w:val="24"/>
          <w:szCs w:val="24"/>
        </w:rPr>
        <w:t>rojekt rozporządzenia nie podlega konsultacji z Europejskim Bankiem Centralnym.</w:t>
      </w:r>
    </w:p>
    <w:p w14:paraId="6C61368E" w14:textId="77777777" w:rsidR="00D70A52" w:rsidRPr="007C6DAF" w:rsidRDefault="00D70A52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6D7ED" w14:textId="77777777" w:rsidR="00D70A52" w:rsidRDefault="004D45F7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AF">
        <w:rPr>
          <w:rFonts w:ascii="Times New Roman" w:hAnsi="Times New Roman" w:cs="Times New Roman"/>
          <w:sz w:val="24"/>
          <w:szCs w:val="24"/>
        </w:rPr>
        <w:t xml:space="preserve">Stosownie do art. 4 ustawy z dnia 7 lipca 2005 r. o działalności lobbingowej w procesie stanowienia prawa (Dz. U. z 2017 r. poz. 248) projekt został zamieszczony w wykazie prac legislacyjnych </w:t>
      </w:r>
      <w:r w:rsidR="00963B0C" w:rsidRPr="007C6DAF">
        <w:rPr>
          <w:rFonts w:ascii="Times New Roman" w:hAnsi="Times New Roman" w:cs="Times New Roman"/>
          <w:sz w:val="24"/>
          <w:szCs w:val="24"/>
        </w:rPr>
        <w:t>Ministra Finansów</w:t>
      </w:r>
      <w:r w:rsidR="00FA1D4F">
        <w:rPr>
          <w:rFonts w:ascii="Times New Roman" w:hAnsi="Times New Roman" w:cs="Times New Roman"/>
          <w:sz w:val="24"/>
          <w:szCs w:val="24"/>
        </w:rPr>
        <w:t>, Funduszy i Polityki Regionalnej</w:t>
      </w:r>
      <w:r w:rsidR="00963B0C" w:rsidRPr="007C6DAF">
        <w:rPr>
          <w:rFonts w:ascii="Times New Roman" w:hAnsi="Times New Roman" w:cs="Times New Roman"/>
          <w:sz w:val="24"/>
          <w:szCs w:val="24"/>
        </w:rPr>
        <w:t>.</w:t>
      </w:r>
      <w:r w:rsidR="00FA1D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E5471" w14:textId="77777777" w:rsidR="00D70A52" w:rsidRDefault="00D70A52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BD619" w14:textId="1BEA66D1" w:rsidR="004D45F7" w:rsidRPr="007C6DAF" w:rsidRDefault="004D45F7" w:rsidP="007A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DAF">
        <w:rPr>
          <w:rFonts w:ascii="Times New Roman" w:hAnsi="Times New Roman" w:cs="Times New Roman"/>
          <w:sz w:val="24"/>
          <w:szCs w:val="24"/>
        </w:rPr>
        <w:t>Zgodnie z art. 5 ustaw</w:t>
      </w:r>
      <w:r w:rsidR="009B0F18">
        <w:rPr>
          <w:rFonts w:ascii="Times New Roman" w:hAnsi="Times New Roman" w:cs="Times New Roman"/>
          <w:sz w:val="24"/>
          <w:szCs w:val="24"/>
        </w:rPr>
        <w:t>y z </w:t>
      </w:r>
      <w:r w:rsidR="008047A2">
        <w:rPr>
          <w:rFonts w:ascii="Times New Roman" w:hAnsi="Times New Roman" w:cs="Times New Roman"/>
          <w:sz w:val="24"/>
          <w:szCs w:val="24"/>
        </w:rPr>
        <w:t>dnia 7 lipca 2005 </w:t>
      </w:r>
      <w:r w:rsidRPr="007C6DAF">
        <w:rPr>
          <w:rFonts w:ascii="Times New Roman" w:hAnsi="Times New Roman" w:cs="Times New Roman"/>
          <w:sz w:val="24"/>
          <w:szCs w:val="24"/>
        </w:rPr>
        <w:t>r. o działalności lobbingowej w procesie stanowi</w:t>
      </w:r>
      <w:r w:rsidR="009B0F18">
        <w:rPr>
          <w:rFonts w:ascii="Times New Roman" w:hAnsi="Times New Roman" w:cs="Times New Roman"/>
          <w:sz w:val="24"/>
          <w:szCs w:val="24"/>
        </w:rPr>
        <w:t>enia prawa oraz § </w:t>
      </w:r>
      <w:r w:rsidR="008047A2">
        <w:rPr>
          <w:rFonts w:ascii="Times New Roman" w:hAnsi="Times New Roman" w:cs="Times New Roman"/>
          <w:sz w:val="24"/>
          <w:szCs w:val="24"/>
        </w:rPr>
        <w:t>52 uchwały nr </w:t>
      </w:r>
      <w:r w:rsidRPr="007C6DAF">
        <w:rPr>
          <w:rFonts w:ascii="Times New Roman" w:hAnsi="Times New Roman" w:cs="Times New Roman"/>
          <w:sz w:val="24"/>
          <w:szCs w:val="24"/>
        </w:rPr>
        <w:t xml:space="preserve">190 Rady Ministrów z dnia 29 października 2013 r. </w:t>
      </w:r>
      <w:r w:rsidR="00963B0C" w:rsidRPr="007C6DAF">
        <w:rPr>
          <w:rFonts w:ascii="Times New Roman" w:hAnsi="Times New Roman" w:cs="Times New Roman"/>
          <w:sz w:val="24"/>
          <w:szCs w:val="24"/>
        </w:rPr>
        <w:t>–</w:t>
      </w:r>
      <w:r w:rsidRPr="007C6DAF">
        <w:rPr>
          <w:rFonts w:ascii="Times New Roman" w:hAnsi="Times New Roman" w:cs="Times New Roman"/>
          <w:sz w:val="24"/>
          <w:szCs w:val="24"/>
        </w:rPr>
        <w:t xml:space="preserve"> Regulamin pracy Rady Ministrów (M.P. z 2016 r. poz. 1006</w:t>
      </w:r>
      <w:r w:rsidR="003E09B6" w:rsidRPr="007C6DAF">
        <w:rPr>
          <w:rFonts w:ascii="Times New Roman" w:hAnsi="Times New Roman" w:cs="Times New Roman"/>
          <w:sz w:val="24"/>
          <w:szCs w:val="24"/>
        </w:rPr>
        <w:t>, z późn. zm.</w:t>
      </w:r>
      <w:r w:rsidRPr="007C6DAF">
        <w:rPr>
          <w:rFonts w:ascii="Times New Roman" w:hAnsi="Times New Roman" w:cs="Times New Roman"/>
          <w:sz w:val="24"/>
          <w:szCs w:val="24"/>
        </w:rPr>
        <w:t>) projekt rozporządzenia został u</w:t>
      </w:r>
      <w:r w:rsidR="008047A2">
        <w:rPr>
          <w:rFonts w:ascii="Times New Roman" w:hAnsi="Times New Roman" w:cs="Times New Roman"/>
          <w:sz w:val="24"/>
          <w:szCs w:val="24"/>
        </w:rPr>
        <w:t>dostępniony w </w:t>
      </w:r>
      <w:r w:rsidRPr="007C6DAF">
        <w:rPr>
          <w:rFonts w:ascii="Times New Roman" w:hAnsi="Times New Roman" w:cs="Times New Roman"/>
          <w:sz w:val="24"/>
          <w:szCs w:val="24"/>
        </w:rPr>
        <w:t xml:space="preserve">Biuletynie Informacji Publicznej na stronie podmiotowej </w:t>
      </w:r>
      <w:r w:rsidR="008047A2">
        <w:rPr>
          <w:rFonts w:ascii="Times New Roman" w:hAnsi="Times New Roman" w:cs="Times New Roman"/>
          <w:sz w:val="24"/>
          <w:szCs w:val="24"/>
        </w:rPr>
        <w:t>Rządowego Centrum Legislacji, w </w:t>
      </w:r>
      <w:r w:rsidRPr="007C6DAF">
        <w:rPr>
          <w:rFonts w:ascii="Times New Roman" w:hAnsi="Times New Roman" w:cs="Times New Roman"/>
          <w:sz w:val="24"/>
          <w:szCs w:val="24"/>
        </w:rPr>
        <w:t>serwisie Rządowy Proces Legislacyjny.</w:t>
      </w:r>
    </w:p>
    <w:p w14:paraId="3C71829B" w14:textId="7CDF55D0" w:rsidR="007E0DE8" w:rsidRDefault="00954B5C" w:rsidP="007A335C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 w:rsidRPr="007C6DAF">
        <w:rPr>
          <w:rFonts w:ascii="Times New Roman" w:hAnsi="Times New Roman" w:cs="Times New Roman"/>
          <w:szCs w:val="24"/>
        </w:rPr>
        <w:lastRenderedPageBreak/>
        <w:t xml:space="preserve">Zawarte w projekcie regulacje nie </w:t>
      </w:r>
      <w:r w:rsidR="00FA1D4F">
        <w:rPr>
          <w:rFonts w:ascii="Times New Roman" w:hAnsi="Times New Roman" w:cs="Times New Roman"/>
          <w:szCs w:val="24"/>
        </w:rPr>
        <w:t xml:space="preserve">wpłyną </w:t>
      </w:r>
      <w:r w:rsidRPr="007C6DAF">
        <w:rPr>
          <w:rFonts w:ascii="Times New Roman" w:hAnsi="Times New Roman" w:cs="Times New Roman"/>
          <w:szCs w:val="24"/>
        </w:rPr>
        <w:t xml:space="preserve">na działalność mikroprzedsiębiorców, małych i średnich przedsiębiorców zgodnie z art. </w:t>
      </w:r>
      <w:r w:rsidR="0061285C" w:rsidRPr="007C6DAF">
        <w:rPr>
          <w:rFonts w:ascii="Times New Roman" w:hAnsi="Times New Roman" w:cs="Times New Roman"/>
          <w:szCs w:val="24"/>
        </w:rPr>
        <w:t xml:space="preserve">68 </w:t>
      </w:r>
      <w:r w:rsidRPr="007C6DAF">
        <w:rPr>
          <w:rFonts w:ascii="Times New Roman" w:hAnsi="Times New Roman" w:cs="Times New Roman"/>
          <w:szCs w:val="24"/>
        </w:rPr>
        <w:t xml:space="preserve">ustawy z dnia </w:t>
      </w:r>
      <w:r w:rsidR="0061285C" w:rsidRPr="007C6DAF">
        <w:rPr>
          <w:rFonts w:ascii="Times New Roman" w:hAnsi="Times New Roman" w:cs="Times New Roman"/>
          <w:szCs w:val="24"/>
        </w:rPr>
        <w:t>6 marca 201</w:t>
      </w:r>
      <w:r w:rsidR="008047A2">
        <w:rPr>
          <w:rFonts w:ascii="Times New Roman" w:hAnsi="Times New Roman" w:cs="Times New Roman"/>
          <w:szCs w:val="24"/>
        </w:rPr>
        <w:t>8 r. prawo przedsiębiorców (Dz. </w:t>
      </w:r>
      <w:r w:rsidR="0061285C" w:rsidRPr="007C6DAF">
        <w:rPr>
          <w:rFonts w:ascii="Times New Roman" w:hAnsi="Times New Roman" w:cs="Times New Roman"/>
          <w:szCs w:val="24"/>
        </w:rPr>
        <w:t xml:space="preserve">U. z </w:t>
      </w:r>
      <w:r w:rsidR="002E6196">
        <w:rPr>
          <w:rFonts w:ascii="Times New Roman" w:hAnsi="Times New Roman" w:cs="Times New Roman"/>
          <w:szCs w:val="24"/>
        </w:rPr>
        <w:t>2021 r. poz. 162</w:t>
      </w:r>
      <w:r w:rsidR="0061285C" w:rsidRPr="007C6DAF">
        <w:rPr>
          <w:rFonts w:ascii="Times New Roman" w:hAnsi="Times New Roman" w:cs="Times New Roman"/>
          <w:szCs w:val="24"/>
        </w:rPr>
        <w:t>)</w:t>
      </w:r>
      <w:r w:rsidRPr="007C6DAF">
        <w:rPr>
          <w:rFonts w:ascii="Times New Roman" w:hAnsi="Times New Roman" w:cs="Times New Roman"/>
          <w:szCs w:val="24"/>
        </w:rPr>
        <w:t>.</w:t>
      </w:r>
    </w:p>
    <w:p w14:paraId="0A772BC2" w14:textId="77777777" w:rsidR="00D70A52" w:rsidRPr="00D70A52" w:rsidRDefault="00D70A52" w:rsidP="00D70A52">
      <w:pPr>
        <w:pStyle w:val="ARTartustawynprozporzdzenia"/>
      </w:pPr>
    </w:p>
    <w:p w14:paraId="1E54B4F6" w14:textId="0CC63A4A" w:rsidR="008D48B5" w:rsidRPr="007C6DAF" w:rsidRDefault="004D45F7" w:rsidP="007A335C">
      <w:pPr>
        <w:spacing w:after="0" w:line="360" w:lineRule="auto"/>
        <w:jc w:val="both"/>
        <w:rPr>
          <w:rFonts w:ascii="Times New Roman" w:hAnsi="Times New Roman"/>
        </w:rPr>
      </w:pPr>
      <w:r w:rsidRPr="007C6DAF">
        <w:rPr>
          <w:rFonts w:ascii="Times New Roman" w:hAnsi="Times New Roman" w:cs="Times New Roman"/>
          <w:sz w:val="24"/>
          <w:szCs w:val="24"/>
        </w:rPr>
        <w:t>Projekt rozporządzenia jest zgodny z prawem Unii Europejskiej.</w:t>
      </w:r>
    </w:p>
    <w:sectPr w:rsidR="008D48B5" w:rsidRPr="007C6D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24412" w14:textId="77777777" w:rsidR="00605333" w:rsidRDefault="00605333" w:rsidP="006C042B">
      <w:pPr>
        <w:spacing w:after="0" w:line="240" w:lineRule="auto"/>
      </w:pPr>
      <w:r>
        <w:separator/>
      </w:r>
    </w:p>
  </w:endnote>
  <w:endnote w:type="continuationSeparator" w:id="0">
    <w:p w14:paraId="21D5AEA0" w14:textId="77777777" w:rsidR="00605333" w:rsidRDefault="00605333" w:rsidP="006C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3140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882C2" w14:textId="44A28A07" w:rsidR="006C042B" w:rsidRPr="006C042B" w:rsidRDefault="006C042B">
        <w:pPr>
          <w:pStyle w:val="Stopka"/>
          <w:jc w:val="right"/>
          <w:rPr>
            <w:sz w:val="16"/>
            <w:szCs w:val="16"/>
          </w:rPr>
        </w:pPr>
        <w:r w:rsidRPr="006C042B">
          <w:rPr>
            <w:sz w:val="16"/>
            <w:szCs w:val="16"/>
          </w:rPr>
          <w:fldChar w:fldCharType="begin"/>
        </w:r>
        <w:r w:rsidRPr="006C042B">
          <w:rPr>
            <w:sz w:val="16"/>
            <w:szCs w:val="16"/>
          </w:rPr>
          <w:instrText>PAGE   \* MERGEFORMAT</w:instrText>
        </w:r>
        <w:r w:rsidRPr="006C042B">
          <w:rPr>
            <w:sz w:val="16"/>
            <w:szCs w:val="16"/>
          </w:rPr>
          <w:fldChar w:fldCharType="separate"/>
        </w:r>
        <w:r w:rsidR="00AE2863">
          <w:rPr>
            <w:noProof/>
            <w:sz w:val="16"/>
            <w:szCs w:val="16"/>
          </w:rPr>
          <w:t>1</w:t>
        </w:r>
        <w:r w:rsidRPr="006C042B">
          <w:rPr>
            <w:sz w:val="16"/>
            <w:szCs w:val="16"/>
          </w:rPr>
          <w:fldChar w:fldCharType="end"/>
        </w:r>
      </w:p>
    </w:sdtContent>
  </w:sdt>
  <w:p w14:paraId="31403974" w14:textId="77777777" w:rsidR="006C042B" w:rsidRDefault="006C0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9D697" w14:textId="77777777" w:rsidR="00605333" w:rsidRDefault="00605333" w:rsidP="006C042B">
      <w:pPr>
        <w:spacing w:after="0" w:line="240" w:lineRule="auto"/>
      </w:pPr>
      <w:r>
        <w:separator/>
      </w:r>
    </w:p>
  </w:footnote>
  <w:footnote w:type="continuationSeparator" w:id="0">
    <w:p w14:paraId="2309D419" w14:textId="77777777" w:rsidR="00605333" w:rsidRDefault="00605333" w:rsidP="006C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2B3F"/>
    <w:multiLevelType w:val="hybridMultilevel"/>
    <w:tmpl w:val="90DA6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4BE7"/>
    <w:multiLevelType w:val="hybridMultilevel"/>
    <w:tmpl w:val="4F7C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F7"/>
    <w:rsid w:val="00010849"/>
    <w:rsid w:val="0001679F"/>
    <w:rsid w:val="0004563A"/>
    <w:rsid w:val="000507E6"/>
    <w:rsid w:val="0005127B"/>
    <w:rsid w:val="00051A6D"/>
    <w:rsid w:val="00074125"/>
    <w:rsid w:val="00082AFA"/>
    <w:rsid w:val="00086441"/>
    <w:rsid w:val="000A47D2"/>
    <w:rsid w:val="000B1013"/>
    <w:rsid w:val="000D08F5"/>
    <w:rsid w:val="000E488D"/>
    <w:rsid w:val="00114C37"/>
    <w:rsid w:val="00116592"/>
    <w:rsid w:val="001171D6"/>
    <w:rsid w:val="001423DD"/>
    <w:rsid w:val="001570A3"/>
    <w:rsid w:val="001602A0"/>
    <w:rsid w:val="00172400"/>
    <w:rsid w:val="00174709"/>
    <w:rsid w:val="00187226"/>
    <w:rsid w:val="0019116B"/>
    <w:rsid w:val="001B1130"/>
    <w:rsid w:val="001B76A7"/>
    <w:rsid w:val="001C2BB2"/>
    <w:rsid w:val="001D4C9B"/>
    <w:rsid w:val="001D7D62"/>
    <w:rsid w:val="001E056E"/>
    <w:rsid w:val="001F14D5"/>
    <w:rsid w:val="00216AD6"/>
    <w:rsid w:val="002425DD"/>
    <w:rsid w:val="00245A44"/>
    <w:rsid w:val="00246FEF"/>
    <w:rsid w:val="00261E91"/>
    <w:rsid w:val="00286E6B"/>
    <w:rsid w:val="00293337"/>
    <w:rsid w:val="002A22A4"/>
    <w:rsid w:val="002A2EA3"/>
    <w:rsid w:val="002A724A"/>
    <w:rsid w:val="002C2703"/>
    <w:rsid w:val="002C66D7"/>
    <w:rsid w:val="002D4A65"/>
    <w:rsid w:val="002D7EB3"/>
    <w:rsid w:val="002E6196"/>
    <w:rsid w:val="002E77B9"/>
    <w:rsid w:val="002F7B98"/>
    <w:rsid w:val="0031324B"/>
    <w:rsid w:val="0031574C"/>
    <w:rsid w:val="003202B8"/>
    <w:rsid w:val="00336444"/>
    <w:rsid w:val="003403B0"/>
    <w:rsid w:val="0035236C"/>
    <w:rsid w:val="00365114"/>
    <w:rsid w:val="0036607B"/>
    <w:rsid w:val="003774C1"/>
    <w:rsid w:val="0038761D"/>
    <w:rsid w:val="00394E17"/>
    <w:rsid w:val="003A1C57"/>
    <w:rsid w:val="003A3A74"/>
    <w:rsid w:val="003A6746"/>
    <w:rsid w:val="003B525B"/>
    <w:rsid w:val="003B6373"/>
    <w:rsid w:val="003C20EE"/>
    <w:rsid w:val="003C53C3"/>
    <w:rsid w:val="003E09B6"/>
    <w:rsid w:val="003F2648"/>
    <w:rsid w:val="003F3E9E"/>
    <w:rsid w:val="0040614C"/>
    <w:rsid w:val="00413B61"/>
    <w:rsid w:val="00422B12"/>
    <w:rsid w:val="00426529"/>
    <w:rsid w:val="00431693"/>
    <w:rsid w:val="00431805"/>
    <w:rsid w:val="00434582"/>
    <w:rsid w:val="004606DB"/>
    <w:rsid w:val="00470CAB"/>
    <w:rsid w:val="004736CF"/>
    <w:rsid w:val="004A717F"/>
    <w:rsid w:val="004B39AC"/>
    <w:rsid w:val="004D45F7"/>
    <w:rsid w:val="004E0A9B"/>
    <w:rsid w:val="004E1F67"/>
    <w:rsid w:val="004F07F3"/>
    <w:rsid w:val="004F5BAB"/>
    <w:rsid w:val="00501AEB"/>
    <w:rsid w:val="005105F7"/>
    <w:rsid w:val="005147C0"/>
    <w:rsid w:val="00516663"/>
    <w:rsid w:val="00520796"/>
    <w:rsid w:val="00521F60"/>
    <w:rsid w:val="00527816"/>
    <w:rsid w:val="0053381F"/>
    <w:rsid w:val="00536B39"/>
    <w:rsid w:val="00557796"/>
    <w:rsid w:val="00563969"/>
    <w:rsid w:val="005737F1"/>
    <w:rsid w:val="0059113B"/>
    <w:rsid w:val="005960D4"/>
    <w:rsid w:val="005A02F8"/>
    <w:rsid w:val="005B1E22"/>
    <w:rsid w:val="005B3458"/>
    <w:rsid w:val="005B6329"/>
    <w:rsid w:val="005C720C"/>
    <w:rsid w:val="005D79C8"/>
    <w:rsid w:val="005F6184"/>
    <w:rsid w:val="00603115"/>
    <w:rsid w:val="0060384B"/>
    <w:rsid w:val="00605333"/>
    <w:rsid w:val="00607913"/>
    <w:rsid w:val="0061285C"/>
    <w:rsid w:val="006137CB"/>
    <w:rsid w:val="00615F44"/>
    <w:rsid w:val="006170F7"/>
    <w:rsid w:val="00617F0A"/>
    <w:rsid w:val="0062163C"/>
    <w:rsid w:val="00624F48"/>
    <w:rsid w:val="00625FBF"/>
    <w:rsid w:val="006452D0"/>
    <w:rsid w:val="006528FA"/>
    <w:rsid w:val="0065329D"/>
    <w:rsid w:val="0065619B"/>
    <w:rsid w:val="00675E4B"/>
    <w:rsid w:val="0068233B"/>
    <w:rsid w:val="006972BF"/>
    <w:rsid w:val="006B5FE5"/>
    <w:rsid w:val="006C042B"/>
    <w:rsid w:val="006C2814"/>
    <w:rsid w:val="006D2BA3"/>
    <w:rsid w:val="006D50AC"/>
    <w:rsid w:val="006E5082"/>
    <w:rsid w:val="006E7A9E"/>
    <w:rsid w:val="00701198"/>
    <w:rsid w:val="0070619D"/>
    <w:rsid w:val="00713B13"/>
    <w:rsid w:val="00713FB3"/>
    <w:rsid w:val="00714FDE"/>
    <w:rsid w:val="007153A1"/>
    <w:rsid w:val="00715E04"/>
    <w:rsid w:val="00727D57"/>
    <w:rsid w:val="00731DAF"/>
    <w:rsid w:val="0073273D"/>
    <w:rsid w:val="00735295"/>
    <w:rsid w:val="00752618"/>
    <w:rsid w:val="00753B2B"/>
    <w:rsid w:val="007604D7"/>
    <w:rsid w:val="00770640"/>
    <w:rsid w:val="00780D00"/>
    <w:rsid w:val="00791B3C"/>
    <w:rsid w:val="007922EF"/>
    <w:rsid w:val="007A335C"/>
    <w:rsid w:val="007B2790"/>
    <w:rsid w:val="007C3622"/>
    <w:rsid w:val="007C6DAF"/>
    <w:rsid w:val="007D70BA"/>
    <w:rsid w:val="007E0DE8"/>
    <w:rsid w:val="007E6B10"/>
    <w:rsid w:val="007F47EC"/>
    <w:rsid w:val="007F7AD8"/>
    <w:rsid w:val="008047A2"/>
    <w:rsid w:val="0081158A"/>
    <w:rsid w:val="00851741"/>
    <w:rsid w:val="0086082D"/>
    <w:rsid w:val="00872B5D"/>
    <w:rsid w:val="0088163D"/>
    <w:rsid w:val="00882761"/>
    <w:rsid w:val="008944AF"/>
    <w:rsid w:val="008A1C6E"/>
    <w:rsid w:val="008A6E08"/>
    <w:rsid w:val="008B58F9"/>
    <w:rsid w:val="008D48B5"/>
    <w:rsid w:val="008E17DB"/>
    <w:rsid w:val="008F1314"/>
    <w:rsid w:val="0090034A"/>
    <w:rsid w:val="00900A7F"/>
    <w:rsid w:val="00903F3B"/>
    <w:rsid w:val="009272C6"/>
    <w:rsid w:val="00936F00"/>
    <w:rsid w:val="00943065"/>
    <w:rsid w:val="00954B5C"/>
    <w:rsid w:val="00963B0C"/>
    <w:rsid w:val="00967AAF"/>
    <w:rsid w:val="00975F2D"/>
    <w:rsid w:val="00976C83"/>
    <w:rsid w:val="009775F4"/>
    <w:rsid w:val="00981F6C"/>
    <w:rsid w:val="009910AC"/>
    <w:rsid w:val="009958CF"/>
    <w:rsid w:val="009B0F18"/>
    <w:rsid w:val="009B6D50"/>
    <w:rsid w:val="009C0316"/>
    <w:rsid w:val="009C1498"/>
    <w:rsid w:val="009D60C7"/>
    <w:rsid w:val="00A012E7"/>
    <w:rsid w:val="00A33554"/>
    <w:rsid w:val="00A34120"/>
    <w:rsid w:val="00A4013D"/>
    <w:rsid w:val="00A4179C"/>
    <w:rsid w:val="00A7162C"/>
    <w:rsid w:val="00A7490D"/>
    <w:rsid w:val="00A83845"/>
    <w:rsid w:val="00A929DA"/>
    <w:rsid w:val="00AA774A"/>
    <w:rsid w:val="00AB190F"/>
    <w:rsid w:val="00AC4AA1"/>
    <w:rsid w:val="00AD0BFF"/>
    <w:rsid w:val="00AD105A"/>
    <w:rsid w:val="00AE2863"/>
    <w:rsid w:val="00AE3DA5"/>
    <w:rsid w:val="00AF4958"/>
    <w:rsid w:val="00AF4E9D"/>
    <w:rsid w:val="00AF7772"/>
    <w:rsid w:val="00B044A8"/>
    <w:rsid w:val="00B47CC2"/>
    <w:rsid w:val="00B50857"/>
    <w:rsid w:val="00B708FF"/>
    <w:rsid w:val="00B734F8"/>
    <w:rsid w:val="00B84DE2"/>
    <w:rsid w:val="00B922A1"/>
    <w:rsid w:val="00BA0D9B"/>
    <w:rsid w:val="00BA3252"/>
    <w:rsid w:val="00BA7220"/>
    <w:rsid w:val="00BB0D32"/>
    <w:rsid w:val="00BB225F"/>
    <w:rsid w:val="00BC23E7"/>
    <w:rsid w:val="00BC33AD"/>
    <w:rsid w:val="00BD745D"/>
    <w:rsid w:val="00BE5803"/>
    <w:rsid w:val="00BF4D78"/>
    <w:rsid w:val="00C07EB2"/>
    <w:rsid w:val="00C16748"/>
    <w:rsid w:val="00C31D7E"/>
    <w:rsid w:val="00C371E1"/>
    <w:rsid w:val="00C45748"/>
    <w:rsid w:val="00C46A54"/>
    <w:rsid w:val="00C47015"/>
    <w:rsid w:val="00C5164E"/>
    <w:rsid w:val="00CB0C6B"/>
    <w:rsid w:val="00CD7525"/>
    <w:rsid w:val="00CF00E2"/>
    <w:rsid w:val="00CF1D95"/>
    <w:rsid w:val="00CF7CB8"/>
    <w:rsid w:val="00D1007C"/>
    <w:rsid w:val="00D12748"/>
    <w:rsid w:val="00D16166"/>
    <w:rsid w:val="00D31FDC"/>
    <w:rsid w:val="00D33C2A"/>
    <w:rsid w:val="00D40481"/>
    <w:rsid w:val="00D46FE5"/>
    <w:rsid w:val="00D61352"/>
    <w:rsid w:val="00D63BBD"/>
    <w:rsid w:val="00D70A52"/>
    <w:rsid w:val="00D71865"/>
    <w:rsid w:val="00D743BC"/>
    <w:rsid w:val="00D83D49"/>
    <w:rsid w:val="00D86E05"/>
    <w:rsid w:val="00D93EB6"/>
    <w:rsid w:val="00D94685"/>
    <w:rsid w:val="00DA11C7"/>
    <w:rsid w:val="00DB0B3D"/>
    <w:rsid w:val="00DD3DE3"/>
    <w:rsid w:val="00DD6B7A"/>
    <w:rsid w:val="00DE324A"/>
    <w:rsid w:val="00E06FC3"/>
    <w:rsid w:val="00E150C0"/>
    <w:rsid w:val="00E17B14"/>
    <w:rsid w:val="00E25139"/>
    <w:rsid w:val="00E26E78"/>
    <w:rsid w:val="00E4755E"/>
    <w:rsid w:val="00E51BC5"/>
    <w:rsid w:val="00E52338"/>
    <w:rsid w:val="00E56D85"/>
    <w:rsid w:val="00E6163F"/>
    <w:rsid w:val="00E6360F"/>
    <w:rsid w:val="00E70BFC"/>
    <w:rsid w:val="00E90020"/>
    <w:rsid w:val="00E9117F"/>
    <w:rsid w:val="00EA08FD"/>
    <w:rsid w:val="00EA25EB"/>
    <w:rsid w:val="00EA4BB8"/>
    <w:rsid w:val="00EA5A9D"/>
    <w:rsid w:val="00EB30C1"/>
    <w:rsid w:val="00EC4A21"/>
    <w:rsid w:val="00ED06D9"/>
    <w:rsid w:val="00EE11BA"/>
    <w:rsid w:val="00EE718B"/>
    <w:rsid w:val="00EF30BE"/>
    <w:rsid w:val="00F057B1"/>
    <w:rsid w:val="00F11D51"/>
    <w:rsid w:val="00F37113"/>
    <w:rsid w:val="00F51F4C"/>
    <w:rsid w:val="00F70D56"/>
    <w:rsid w:val="00F80D2F"/>
    <w:rsid w:val="00F87931"/>
    <w:rsid w:val="00F92787"/>
    <w:rsid w:val="00F95554"/>
    <w:rsid w:val="00FA1D4F"/>
    <w:rsid w:val="00FD772A"/>
    <w:rsid w:val="00FF2008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6527"/>
  <w15:docId w15:val="{448C3AE5-E72D-4E3B-B1E9-97F1B2C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125"/>
    <w:rPr>
      <w:color w:val="0000FF" w:themeColor="hyperlink"/>
      <w:u w:val="single"/>
    </w:rPr>
  </w:style>
  <w:style w:type="paragraph" w:customStyle="1" w:styleId="Default">
    <w:name w:val="Default"/>
    <w:rsid w:val="00D46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57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9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9B6"/>
    <w:rPr>
      <w:b/>
      <w:bCs/>
      <w:sz w:val="20"/>
      <w:szCs w:val="20"/>
    </w:rPr>
  </w:style>
  <w:style w:type="paragraph" w:customStyle="1" w:styleId="PKTpunkt">
    <w:name w:val="PKT – punkt"/>
    <w:uiPriority w:val="13"/>
    <w:qFormat/>
    <w:rsid w:val="004E0A9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4E0A9B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7C3622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C3622"/>
    <w:pPr>
      <w:ind w:left="987"/>
    </w:pPr>
  </w:style>
  <w:style w:type="paragraph" w:customStyle="1" w:styleId="ARTartustawynprozporzdzenia">
    <w:name w:val="ART(§) – art. ustawy (§ np. rozporządzenia)"/>
    <w:uiPriority w:val="99"/>
    <w:qFormat/>
    <w:rsid w:val="009272C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272C6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5164E"/>
    <w:rPr>
      <w:bCs/>
    </w:rPr>
  </w:style>
  <w:style w:type="paragraph" w:customStyle="1" w:styleId="ZPKTzmpktartykuempunktem">
    <w:name w:val="Z/PKT – zm. pkt artykułem (punktem)"/>
    <w:basedOn w:val="PKTpunkt"/>
    <w:uiPriority w:val="31"/>
    <w:qFormat/>
    <w:rsid w:val="000A47D2"/>
    <w:pPr>
      <w:ind w:left="1020"/>
    </w:pPr>
  </w:style>
  <w:style w:type="paragraph" w:customStyle="1" w:styleId="pakthead1">
    <w:name w:val="p.akthead1"/>
    <w:uiPriority w:val="99"/>
    <w:rsid w:val="000D08F5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ppkt">
    <w:name w:val="p.pkt"/>
    <w:uiPriority w:val="99"/>
    <w:rsid w:val="000D08F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0D08F5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artlinks">
    <w:name w:val="p.artlinks"/>
    <w:uiPriority w:val="99"/>
    <w:rsid w:val="000D08F5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163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C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42B"/>
  </w:style>
  <w:style w:type="paragraph" w:styleId="Stopka">
    <w:name w:val="footer"/>
    <w:basedOn w:val="Normalny"/>
    <w:link w:val="StopkaZnak"/>
    <w:uiPriority w:val="99"/>
    <w:unhideWhenUsed/>
    <w:rsid w:val="006C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4DEF-20DA-4164-9F2D-AE9C7025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Staniak Mariusz</dc:creator>
  <cp:lastModifiedBy>KGHM</cp:lastModifiedBy>
  <cp:revision>2</cp:revision>
  <cp:lastPrinted>2021-05-05T07:51:00Z</cp:lastPrinted>
  <dcterms:created xsi:type="dcterms:W3CDTF">2021-07-07T13:03:00Z</dcterms:created>
  <dcterms:modified xsi:type="dcterms:W3CDTF">2021-07-07T13:03:00Z</dcterms:modified>
</cp:coreProperties>
</file>