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646"/>
        <w:gridCol w:w="425"/>
        <w:gridCol w:w="465"/>
        <w:gridCol w:w="301"/>
        <w:gridCol w:w="455"/>
        <w:gridCol w:w="225"/>
        <w:gridCol w:w="312"/>
        <w:gridCol w:w="255"/>
        <w:gridCol w:w="145"/>
        <w:gridCol w:w="134"/>
        <w:gridCol w:w="151"/>
        <w:gridCol w:w="137"/>
        <w:gridCol w:w="47"/>
        <w:gridCol w:w="469"/>
        <w:gridCol w:w="219"/>
        <w:gridCol w:w="250"/>
        <w:gridCol w:w="320"/>
        <w:gridCol w:w="78"/>
        <w:gridCol w:w="71"/>
        <w:gridCol w:w="421"/>
        <w:gridCol w:w="47"/>
        <w:gridCol w:w="64"/>
        <w:gridCol w:w="405"/>
        <w:gridCol w:w="53"/>
        <w:gridCol w:w="264"/>
        <w:gridCol w:w="152"/>
        <w:gridCol w:w="154"/>
        <w:gridCol w:w="315"/>
        <w:gridCol w:w="243"/>
        <w:gridCol w:w="226"/>
        <w:gridCol w:w="312"/>
        <w:gridCol w:w="29"/>
        <w:gridCol w:w="128"/>
        <w:gridCol w:w="581"/>
        <w:gridCol w:w="843"/>
        <w:gridCol w:w="10"/>
      </w:tblGrid>
      <w:tr w:rsidR="0019538B" w:rsidRPr="008B4FE6" w14:paraId="0D9B6E61" w14:textId="77777777" w:rsidTr="00996625">
        <w:trPr>
          <w:gridAfter w:val="1"/>
          <w:wAfter w:w="10" w:type="dxa"/>
          <w:trHeight w:val="1611"/>
        </w:trPr>
        <w:tc>
          <w:tcPr>
            <w:tcW w:w="6629" w:type="dxa"/>
            <w:gridSpan w:val="19"/>
          </w:tcPr>
          <w:p w14:paraId="40A4CC7C" w14:textId="77777777" w:rsidR="0019538B" w:rsidRDefault="0019538B" w:rsidP="00996625">
            <w:pPr>
              <w:spacing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Pr>
                <w:rFonts w:ascii="Times New Roman" w:hAnsi="Times New Roman"/>
                <w:b/>
                <w:color w:val="000000"/>
              </w:rPr>
              <w:t>projektu</w:t>
            </w:r>
          </w:p>
          <w:p w14:paraId="40F94C1C" w14:textId="22B78A9B" w:rsidR="0019538B" w:rsidRPr="008B4FE6" w:rsidRDefault="0019538B" w:rsidP="00996625">
            <w:pPr>
              <w:spacing w:line="240" w:lineRule="auto"/>
              <w:ind w:hanging="34"/>
              <w:rPr>
                <w:rFonts w:ascii="Times New Roman" w:hAnsi="Times New Roman"/>
                <w:color w:val="000000"/>
              </w:rPr>
            </w:pPr>
            <w:r>
              <w:rPr>
                <w:rFonts w:ascii="Times New Roman" w:hAnsi="Times New Roman"/>
                <w:color w:val="000000"/>
              </w:rPr>
              <w:t xml:space="preserve">Projekt ustawy o zmianie ustawy o produktach biobójczych </w:t>
            </w:r>
          </w:p>
          <w:p w14:paraId="36E9A7F0" w14:textId="77777777" w:rsidR="0019538B" w:rsidRDefault="0019538B" w:rsidP="00996625">
            <w:pPr>
              <w:spacing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p w14:paraId="3CDC6CE4" w14:textId="77777777" w:rsidR="0019538B" w:rsidRDefault="0019538B" w:rsidP="00996625">
            <w:pPr>
              <w:spacing w:line="240" w:lineRule="auto"/>
              <w:ind w:hanging="34"/>
              <w:rPr>
                <w:rFonts w:ascii="Times New Roman" w:hAnsi="Times New Roman"/>
                <w:color w:val="000000"/>
              </w:rPr>
            </w:pPr>
            <w:r>
              <w:rPr>
                <w:rFonts w:ascii="Times New Roman" w:hAnsi="Times New Roman"/>
                <w:color w:val="000000"/>
              </w:rPr>
              <w:t>Ministerstwo Zdrowia</w:t>
            </w:r>
          </w:p>
          <w:bookmarkEnd w:id="0"/>
          <w:p w14:paraId="6F4A4456" w14:textId="77777777" w:rsidR="0019538B" w:rsidRDefault="0019538B" w:rsidP="00996625">
            <w:pPr>
              <w:spacing w:line="240" w:lineRule="auto"/>
              <w:ind w:hanging="34"/>
              <w:rPr>
                <w:rFonts w:ascii="Times New Roman" w:hAnsi="Times New Roman"/>
                <w:color w:val="000000"/>
              </w:rPr>
            </w:pPr>
          </w:p>
          <w:p w14:paraId="0F2C8B76" w14:textId="77777777" w:rsidR="0019538B" w:rsidRPr="00642825" w:rsidRDefault="0019538B" w:rsidP="00996625">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p>
          <w:p w14:paraId="3AEED6DB" w14:textId="77777777" w:rsidR="0019538B" w:rsidRDefault="0019538B" w:rsidP="00996625">
            <w:pPr>
              <w:spacing w:line="240" w:lineRule="auto"/>
              <w:rPr>
                <w:rFonts w:ascii="Times New Roman" w:hAnsi="Times New Roman"/>
              </w:rPr>
            </w:pPr>
            <w:r w:rsidRPr="0061440E">
              <w:rPr>
                <w:rFonts w:ascii="Times New Roman" w:hAnsi="Times New Roman"/>
              </w:rPr>
              <w:t>Grzegorz Cessak – Prezes Urzędu Rejestracji Produktów Leczniczych, Wyrobów Medycznych i Produktów Biobójczych</w:t>
            </w:r>
          </w:p>
          <w:p w14:paraId="77B550BE" w14:textId="77777777" w:rsidR="0019538B" w:rsidRDefault="0019538B" w:rsidP="00996625">
            <w:pPr>
              <w:spacing w:line="240" w:lineRule="auto"/>
              <w:rPr>
                <w:rFonts w:ascii="Times New Roman" w:hAnsi="Times New Roman"/>
                <w:sz w:val="21"/>
                <w:szCs w:val="21"/>
              </w:rPr>
            </w:pPr>
          </w:p>
          <w:p w14:paraId="01E78A47" w14:textId="77777777" w:rsidR="0019538B" w:rsidRDefault="0019538B" w:rsidP="00996625">
            <w:pPr>
              <w:spacing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2AB08602" w14:textId="77777777" w:rsidR="0019538B" w:rsidRDefault="0019538B" w:rsidP="00996625">
            <w:pPr>
              <w:spacing w:line="240" w:lineRule="auto"/>
              <w:ind w:hanging="34"/>
              <w:rPr>
                <w:rFonts w:ascii="Times New Roman" w:hAnsi="Times New Roman"/>
                <w:color w:val="000000"/>
              </w:rPr>
            </w:pPr>
            <w:r>
              <w:rPr>
                <w:rFonts w:ascii="Times New Roman" w:hAnsi="Times New Roman"/>
                <w:color w:val="000000"/>
              </w:rPr>
              <w:t>Barbara Jaworska – Łuczak – Wiceprezes ds. Produktów Biobójczych</w:t>
            </w:r>
          </w:p>
          <w:p w14:paraId="5111C7C1" w14:textId="77777777" w:rsidR="0019538B" w:rsidRDefault="0019538B" w:rsidP="00996625">
            <w:pPr>
              <w:spacing w:line="240" w:lineRule="auto"/>
              <w:ind w:hanging="34"/>
              <w:rPr>
                <w:rFonts w:ascii="Times New Roman" w:hAnsi="Times New Roman"/>
                <w:color w:val="000000"/>
              </w:rPr>
            </w:pPr>
            <w:r>
              <w:rPr>
                <w:rFonts w:ascii="Times New Roman" w:hAnsi="Times New Roman"/>
                <w:color w:val="000000"/>
              </w:rPr>
              <w:t>email:</w:t>
            </w:r>
            <w:hyperlink r:id="rId9" w:history="1">
              <w:r w:rsidRPr="00F25CC4">
                <w:rPr>
                  <w:rStyle w:val="Hipercze"/>
                  <w:rFonts w:ascii="Times New Roman" w:hAnsi="Times New Roman"/>
                </w:rPr>
                <w:t>barbara.jaworska-luczak@urpl.gov.pl</w:t>
              </w:r>
            </w:hyperlink>
            <w:r>
              <w:rPr>
                <w:rFonts w:ascii="Times New Roman" w:hAnsi="Times New Roman"/>
                <w:color w:val="000000"/>
              </w:rPr>
              <w:t>;</w:t>
            </w:r>
          </w:p>
          <w:p w14:paraId="32291D77" w14:textId="77777777" w:rsidR="0019538B" w:rsidRDefault="0019538B" w:rsidP="00996625">
            <w:pPr>
              <w:spacing w:line="240" w:lineRule="auto"/>
              <w:ind w:hanging="34"/>
              <w:rPr>
                <w:rFonts w:ascii="Times New Roman" w:hAnsi="Times New Roman"/>
                <w:color w:val="000000"/>
              </w:rPr>
            </w:pPr>
            <w:r>
              <w:rPr>
                <w:rFonts w:ascii="Times New Roman" w:hAnsi="Times New Roman"/>
                <w:color w:val="000000"/>
              </w:rPr>
              <w:t>tel.: 22 49-20-900</w:t>
            </w:r>
          </w:p>
          <w:p w14:paraId="6E5C3CB6" w14:textId="77777777" w:rsidR="0019538B" w:rsidRDefault="0019538B" w:rsidP="00996625">
            <w:pPr>
              <w:spacing w:line="240" w:lineRule="auto"/>
              <w:ind w:left="-34"/>
              <w:rPr>
                <w:rFonts w:ascii="Times New Roman" w:hAnsi="Times New Roman"/>
                <w:color w:val="000000"/>
                <w:lang w:val="fr-FR"/>
              </w:rPr>
            </w:pPr>
            <w:r w:rsidRPr="004A2CCE">
              <w:rPr>
                <w:rFonts w:ascii="Times New Roman" w:hAnsi="Times New Roman"/>
                <w:color w:val="000000"/>
                <w:lang w:val="fr-FR"/>
              </w:rPr>
              <w:t>Marta Osówniak – Dyrektor Depar</w:t>
            </w:r>
            <w:r>
              <w:rPr>
                <w:rFonts w:ascii="Times New Roman" w:hAnsi="Times New Roman"/>
                <w:color w:val="000000"/>
                <w:lang w:val="fr-FR"/>
              </w:rPr>
              <w:t>tamentu Informacji o Produktach</w:t>
            </w:r>
          </w:p>
          <w:p w14:paraId="63921431" w14:textId="77777777" w:rsidR="0019538B" w:rsidRPr="004A2CCE" w:rsidRDefault="0019538B" w:rsidP="00996625">
            <w:pPr>
              <w:spacing w:line="240" w:lineRule="auto"/>
              <w:ind w:left="-34"/>
              <w:rPr>
                <w:rFonts w:ascii="Times New Roman" w:hAnsi="Times New Roman"/>
                <w:color w:val="000000"/>
                <w:lang w:val="fr-FR"/>
              </w:rPr>
            </w:pPr>
            <w:r w:rsidRPr="004A2CCE">
              <w:rPr>
                <w:rFonts w:ascii="Times New Roman" w:hAnsi="Times New Roman"/>
                <w:color w:val="000000"/>
                <w:lang w:val="fr-FR"/>
              </w:rPr>
              <w:t>Biobójczych oraz Wyrobach Poddanych Działaniu Produktów Biobójczych.</w:t>
            </w:r>
          </w:p>
          <w:p w14:paraId="761D823A" w14:textId="77777777" w:rsidR="0019538B" w:rsidRDefault="0019538B" w:rsidP="00996625">
            <w:pPr>
              <w:spacing w:line="240" w:lineRule="auto"/>
              <w:ind w:hanging="34"/>
              <w:rPr>
                <w:rFonts w:ascii="Times New Roman" w:hAnsi="Times New Roman"/>
                <w:color w:val="000000"/>
                <w:lang w:val="fr-FR"/>
              </w:rPr>
            </w:pPr>
            <w:r>
              <w:rPr>
                <w:rFonts w:ascii="Times New Roman" w:hAnsi="Times New Roman"/>
                <w:color w:val="000000"/>
                <w:lang w:val="fr-FR"/>
              </w:rPr>
              <w:t xml:space="preserve">email : </w:t>
            </w:r>
            <w:hyperlink r:id="rId10" w:history="1">
              <w:r w:rsidRPr="00B22BC8">
                <w:rPr>
                  <w:rStyle w:val="Hipercze"/>
                  <w:rFonts w:ascii="Times New Roman" w:hAnsi="Times New Roman"/>
                  <w:lang w:val="fr-FR"/>
                </w:rPr>
                <w:t>marta.osowniak@urpl.gov.pl</w:t>
              </w:r>
            </w:hyperlink>
          </w:p>
          <w:p w14:paraId="6519D085" w14:textId="77777777" w:rsidR="0019538B" w:rsidRDefault="0019538B" w:rsidP="00996625">
            <w:pPr>
              <w:spacing w:line="240" w:lineRule="auto"/>
              <w:ind w:hanging="34"/>
              <w:rPr>
                <w:rFonts w:ascii="Times New Roman" w:hAnsi="Times New Roman"/>
                <w:color w:val="000000"/>
              </w:rPr>
            </w:pPr>
            <w:r w:rsidRPr="004A2CCE">
              <w:rPr>
                <w:rFonts w:ascii="Times New Roman" w:hAnsi="Times New Roman"/>
                <w:color w:val="000000"/>
                <w:lang w:val="fr-FR"/>
              </w:rPr>
              <w:t>tel : 22 49-20-970</w:t>
            </w:r>
          </w:p>
        </w:tc>
        <w:tc>
          <w:tcPr>
            <w:tcW w:w="4308" w:type="dxa"/>
            <w:gridSpan w:val="17"/>
            <w:shd w:val="clear" w:color="auto" w:fill="FFFFFF"/>
          </w:tcPr>
          <w:p w14:paraId="2A617C6C" w14:textId="18865B81" w:rsidR="0019538B" w:rsidRDefault="0019538B" w:rsidP="00996625">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41233E">
              <w:rPr>
                <w:rFonts w:ascii="Times New Roman" w:hAnsi="Times New Roman"/>
                <w:sz w:val="21"/>
                <w:szCs w:val="21"/>
              </w:rPr>
              <w:t>2</w:t>
            </w:r>
            <w:r w:rsidR="00F4049F">
              <w:rPr>
                <w:rFonts w:ascii="Times New Roman" w:hAnsi="Times New Roman"/>
                <w:sz w:val="21"/>
                <w:szCs w:val="21"/>
              </w:rPr>
              <w:t>7</w:t>
            </w:r>
            <w:r w:rsidR="00605FAC">
              <w:rPr>
                <w:rFonts w:ascii="Times New Roman" w:hAnsi="Times New Roman"/>
                <w:sz w:val="21"/>
                <w:szCs w:val="21"/>
              </w:rPr>
              <w:t xml:space="preserve"> lipca 2021</w:t>
            </w:r>
            <w:r w:rsidR="00CA7BF0">
              <w:rPr>
                <w:rFonts w:ascii="Times New Roman" w:hAnsi="Times New Roman"/>
                <w:sz w:val="21"/>
                <w:szCs w:val="21"/>
              </w:rPr>
              <w:t xml:space="preserve"> roku</w:t>
            </w:r>
            <w:r>
              <w:rPr>
                <w:rFonts w:ascii="Times New Roman" w:hAnsi="Times New Roman"/>
                <w:sz w:val="21"/>
                <w:szCs w:val="21"/>
              </w:rPr>
              <w:t xml:space="preserve"> </w:t>
            </w:r>
          </w:p>
          <w:p w14:paraId="78EF099B" w14:textId="77777777" w:rsidR="0019538B" w:rsidRDefault="0019538B" w:rsidP="00996625">
            <w:pPr>
              <w:spacing w:line="240" w:lineRule="auto"/>
              <w:rPr>
                <w:rFonts w:ascii="Times New Roman" w:hAnsi="Times New Roman"/>
                <w:b/>
              </w:rPr>
            </w:pPr>
          </w:p>
          <w:p w14:paraId="05507F5D" w14:textId="77777777" w:rsidR="0019538B" w:rsidRDefault="0019538B" w:rsidP="00996625">
            <w:pPr>
              <w:spacing w:line="240" w:lineRule="auto"/>
              <w:rPr>
                <w:rFonts w:ascii="Times New Roman" w:hAnsi="Times New Roman"/>
                <w:b/>
              </w:rPr>
            </w:pPr>
            <w:r w:rsidRPr="0065019F">
              <w:rPr>
                <w:rFonts w:ascii="Times New Roman" w:hAnsi="Times New Roman"/>
                <w:b/>
              </w:rPr>
              <w:t xml:space="preserve">Źródło: </w:t>
            </w:r>
            <w:bookmarkStart w:id="2" w:name="Lista1"/>
          </w:p>
          <w:p w14:paraId="7C32D698" w14:textId="77777777" w:rsidR="0019538B" w:rsidRDefault="0019538B" w:rsidP="00996625">
            <w:pPr>
              <w:spacing w:line="240" w:lineRule="auto"/>
              <w:jc w:val="both"/>
              <w:rPr>
                <w:rFonts w:ascii="Times New Roman" w:hAnsi="Times New Roman"/>
                <w:b/>
              </w:rPr>
            </w:pPr>
            <w:r>
              <w:rPr>
                <w:rFonts w:ascii="Times New Roman" w:hAnsi="Times New Roman"/>
                <w:bCs/>
              </w:rPr>
              <w:t>-</w:t>
            </w:r>
            <w:r w:rsidRPr="00C1196D">
              <w:rPr>
                <w:rFonts w:ascii="Times New Roman" w:hAnsi="Times New Roman"/>
                <w:bCs/>
              </w:rPr>
              <w:t>realizacja</w:t>
            </w:r>
            <w:r w:rsidRPr="00C1196D">
              <w:rPr>
                <w:rFonts w:ascii="Times New Roman" w:hAnsi="Times New Roman"/>
              </w:rPr>
              <w:t xml:space="preserve"> wyroku Trybunału Sprawiedliwości Unii Europejskiej z dnia 23 listopada 2016 r. w sprawie C-442/14 Bayer </w:t>
            </w:r>
            <w:proofErr w:type="spellStart"/>
            <w:r w:rsidRPr="00C1196D">
              <w:rPr>
                <w:rFonts w:ascii="Times New Roman" w:hAnsi="Times New Roman"/>
              </w:rPr>
              <w:t>CropScience</w:t>
            </w:r>
            <w:proofErr w:type="spellEnd"/>
            <w:r w:rsidRPr="00C1196D">
              <w:rPr>
                <w:rFonts w:ascii="Times New Roman" w:hAnsi="Times New Roman"/>
              </w:rPr>
              <w:t xml:space="preserve"> SA-NV, </w:t>
            </w:r>
            <w:proofErr w:type="spellStart"/>
            <w:r w:rsidRPr="00C1196D">
              <w:rPr>
                <w:rFonts w:ascii="Times New Roman" w:hAnsi="Times New Roman"/>
              </w:rPr>
              <w:t>Stichting</w:t>
            </w:r>
            <w:proofErr w:type="spellEnd"/>
            <w:r w:rsidRPr="00C1196D">
              <w:rPr>
                <w:rFonts w:ascii="Times New Roman" w:hAnsi="Times New Roman"/>
              </w:rPr>
              <w:t xml:space="preserve"> De </w:t>
            </w:r>
            <w:proofErr w:type="spellStart"/>
            <w:r w:rsidRPr="00C1196D">
              <w:rPr>
                <w:rFonts w:ascii="Times New Roman" w:hAnsi="Times New Roman"/>
              </w:rPr>
              <w:t>Bijenstichting</w:t>
            </w:r>
            <w:proofErr w:type="spellEnd"/>
            <w:r w:rsidRPr="00C1196D">
              <w:rPr>
                <w:rFonts w:ascii="Times New Roman" w:hAnsi="Times New Roman"/>
              </w:rPr>
              <w:t xml:space="preserve"> przeciwko College </w:t>
            </w:r>
            <w:proofErr w:type="spellStart"/>
            <w:r w:rsidRPr="00C1196D">
              <w:rPr>
                <w:rFonts w:ascii="Times New Roman" w:hAnsi="Times New Roman"/>
              </w:rPr>
              <w:t>voor</w:t>
            </w:r>
            <w:proofErr w:type="spellEnd"/>
            <w:r w:rsidRPr="00C1196D">
              <w:rPr>
                <w:rFonts w:ascii="Times New Roman" w:hAnsi="Times New Roman"/>
              </w:rPr>
              <w:t xml:space="preserve"> de </w:t>
            </w:r>
            <w:proofErr w:type="spellStart"/>
            <w:r w:rsidRPr="00C1196D">
              <w:rPr>
                <w:rFonts w:ascii="Times New Roman" w:hAnsi="Times New Roman"/>
              </w:rPr>
              <w:t>toelating</w:t>
            </w:r>
            <w:proofErr w:type="spellEnd"/>
            <w:r w:rsidRPr="00C1196D">
              <w:rPr>
                <w:rFonts w:ascii="Times New Roman" w:hAnsi="Times New Roman"/>
              </w:rPr>
              <w:t xml:space="preserve"> van </w:t>
            </w:r>
            <w:proofErr w:type="spellStart"/>
            <w:r w:rsidRPr="00C1196D">
              <w:rPr>
                <w:rFonts w:ascii="Times New Roman" w:hAnsi="Times New Roman"/>
              </w:rPr>
              <w:t>gewasbeschermingsmiddelen</w:t>
            </w:r>
            <w:proofErr w:type="spellEnd"/>
            <w:r w:rsidRPr="00C1196D">
              <w:rPr>
                <w:rFonts w:ascii="Times New Roman" w:hAnsi="Times New Roman"/>
              </w:rPr>
              <w:t xml:space="preserve"> en </w:t>
            </w:r>
            <w:proofErr w:type="spellStart"/>
            <w:r w:rsidRPr="00C1196D">
              <w:rPr>
                <w:rFonts w:ascii="Times New Roman" w:hAnsi="Times New Roman"/>
              </w:rPr>
              <w:t>biociden</w:t>
            </w:r>
            <w:proofErr w:type="spellEnd"/>
            <w:r w:rsidRPr="00C1196D">
              <w:rPr>
                <w:rFonts w:ascii="Times New Roman" w:hAnsi="Times New Roman"/>
              </w:rPr>
              <w:t xml:space="preserve"> (dostęp do informacji o środowisku- informacje dotyczące emisji do środowiska środków ochrony roślin i produktów biobójczych- ochrona informacji handlowych)</w:t>
            </w:r>
          </w:p>
          <w:bookmarkEnd w:id="2"/>
          <w:p w14:paraId="455F6DD2" w14:textId="77777777" w:rsidR="0019538B" w:rsidRDefault="0019538B" w:rsidP="00996625">
            <w:pPr>
              <w:spacing w:line="240" w:lineRule="auto"/>
              <w:jc w:val="both"/>
              <w:rPr>
                <w:rFonts w:ascii="Times New Roman" w:hAnsi="Times New Roman"/>
              </w:rPr>
            </w:pPr>
            <w:r w:rsidRPr="003C3243">
              <w:rPr>
                <w:rFonts w:ascii="Times New Roman" w:hAnsi="Times New Roman"/>
              </w:rPr>
              <w:t>-</w:t>
            </w:r>
            <w:r>
              <w:rPr>
                <w:rFonts w:ascii="Times New Roman" w:hAnsi="Times New Roman"/>
              </w:rPr>
              <w:t xml:space="preserve"> </w:t>
            </w:r>
            <w:r w:rsidRPr="003C3243">
              <w:rPr>
                <w:rFonts w:ascii="Times New Roman" w:hAnsi="Times New Roman"/>
              </w:rPr>
              <w:t>doprecyzowanie obowiązujących przepisów służących właściwemu stosowaniu rozporządzenia Parlamentu Europejskiego i Rady (UE) nr 528/2012 z dnia 22 maja 2012</w:t>
            </w:r>
            <w:r>
              <w:rPr>
                <w:rFonts w:ascii="Times New Roman" w:hAnsi="Times New Roman"/>
              </w:rPr>
              <w:t xml:space="preserve"> </w:t>
            </w:r>
            <w:r w:rsidRPr="003C3243">
              <w:rPr>
                <w:rFonts w:ascii="Times New Roman" w:hAnsi="Times New Roman"/>
              </w:rPr>
              <w:t>r. w sprawie udostępniania na rynku i stosowania produktów biobójczych, w zakresie odnoszącym się do czynności wykonywanych przez Prezesa Urzędu</w:t>
            </w:r>
            <w:r>
              <w:rPr>
                <w:rFonts w:ascii="Times New Roman" w:hAnsi="Times New Roman"/>
              </w:rPr>
              <w:t>,</w:t>
            </w:r>
            <w:r w:rsidRPr="003C3243">
              <w:rPr>
                <w:rFonts w:ascii="Times New Roman" w:hAnsi="Times New Roman"/>
              </w:rPr>
              <w:t xml:space="preserve"> </w:t>
            </w:r>
          </w:p>
          <w:p w14:paraId="7904DAA4" w14:textId="77777777" w:rsidR="0019538B" w:rsidRDefault="0019538B" w:rsidP="00996625">
            <w:pPr>
              <w:spacing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 prac Rady Ministrów:</w:t>
            </w:r>
          </w:p>
          <w:p w14:paraId="4A6486FD" w14:textId="12BB06B0" w:rsidR="0019538B" w:rsidRDefault="0041233E" w:rsidP="00F4049F">
            <w:pPr>
              <w:spacing w:line="240" w:lineRule="auto"/>
              <w:rPr>
                <w:rFonts w:ascii="Times New Roman" w:hAnsi="Times New Roman"/>
                <w:color w:val="000000"/>
                <w:sz w:val="28"/>
                <w:szCs w:val="28"/>
              </w:rPr>
            </w:pPr>
            <w:r>
              <w:rPr>
                <w:rFonts w:ascii="Times New Roman" w:hAnsi="Times New Roman"/>
                <w:color w:val="000000"/>
              </w:rPr>
              <w:t>UC 90</w:t>
            </w:r>
          </w:p>
        </w:tc>
      </w:tr>
      <w:tr w:rsidR="0019538B" w:rsidRPr="0022687A" w14:paraId="03BAFF8C" w14:textId="77777777" w:rsidTr="00996625">
        <w:trPr>
          <w:gridAfter w:val="1"/>
          <w:wAfter w:w="10" w:type="dxa"/>
          <w:trHeight w:val="142"/>
        </w:trPr>
        <w:tc>
          <w:tcPr>
            <w:tcW w:w="10937" w:type="dxa"/>
            <w:gridSpan w:val="36"/>
            <w:shd w:val="clear" w:color="auto" w:fill="99CCFF"/>
          </w:tcPr>
          <w:p w14:paraId="1EE64A3E" w14:textId="77777777" w:rsidR="0019538B" w:rsidRPr="00627221" w:rsidRDefault="0019538B" w:rsidP="00996625">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19538B" w:rsidRPr="008B4FE6" w14:paraId="34BA90D8" w14:textId="77777777" w:rsidTr="00996625">
        <w:trPr>
          <w:gridAfter w:val="1"/>
          <w:wAfter w:w="10" w:type="dxa"/>
          <w:trHeight w:val="333"/>
        </w:trPr>
        <w:tc>
          <w:tcPr>
            <w:tcW w:w="10937" w:type="dxa"/>
            <w:gridSpan w:val="36"/>
            <w:shd w:val="clear" w:color="auto" w:fill="99CCFF"/>
            <w:vAlign w:val="center"/>
          </w:tcPr>
          <w:p w14:paraId="37EA5B3A" w14:textId="77777777" w:rsidR="0019538B" w:rsidRDefault="0019538B" w:rsidP="00996625">
            <w:pPr>
              <w:numPr>
                <w:ilvl w:val="0"/>
                <w:numId w:val="3"/>
              </w:numPr>
              <w:spacing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19538B" w:rsidRPr="008B4FE6" w14:paraId="5E095C9D" w14:textId="77777777" w:rsidTr="00996625">
        <w:trPr>
          <w:gridAfter w:val="1"/>
          <w:wAfter w:w="10" w:type="dxa"/>
          <w:trHeight w:val="142"/>
        </w:trPr>
        <w:tc>
          <w:tcPr>
            <w:tcW w:w="10937" w:type="dxa"/>
            <w:gridSpan w:val="36"/>
            <w:shd w:val="clear" w:color="auto" w:fill="FFFFFF"/>
          </w:tcPr>
          <w:p w14:paraId="15520852" w14:textId="77777777" w:rsidR="00A704B2" w:rsidRDefault="00A704B2" w:rsidP="00A704B2">
            <w:pPr>
              <w:spacing w:line="240" w:lineRule="auto"/>
              <w:jc w:val="both"/>
              <w:rPr>
                <w:rFonts w:ascii="Times New Roman" w:hAnsi="Times New Roman"/>
              </w:rPr>
            </w:pPr>
            <w:r w:rsidRPr="00451401">
              <w:rPr>
                <w:rFonts w:ascii="Times New Roman" w:hAnsi="Times New Roman"/>
              </w:rPr>
              <w:t xml:space="preserve">Projektowana ustawa dokonująca zmiany ustawy z dnia 9 października 2015 r. o produktach biobójczych (Dz. U. </w:t>
            </w:r>
            <w:r>
              <w:rPr>
                <w:rFonts w:ascii="Times New Roman" w:hAnsi="Times New Roman"/>
              </w:rPr>
              <w:br/>
            </w:r>
            <w:r w:rsidRPr="00451401">
              <w:rPr>
                <w:rFonts w:ascii="Times New Roman" w:hAnsi="Times New Roman"/>
              </w:rPr>
              <w:t xml:space="preserve">z 2018 r. poz. 122, z </w:t>
            </w:r>
            <w:proofErr w:type="spellStart"/>
            <w:r w:rsidRPr="00451401">
              <w:rPr>
                <w:rFonts w:ascii="Times New Roman" w:hAnsi="Times New Roman"/>
              </w:rPr>
              <w:t>późn</w:t>
            </w:r>
            <w:proofErr w:type="spellEnd"/>
            <w:r w:rsidRPr="00451401">
              <w:rPr>
                <w:rFonts w:ascii="Times New Roman" w:hAnsi="Times New Roman"/>
              </w:rPr>
              <w:t xml:space="preserve">. zm.), zwanej dalej „ustawą”, ma na celu realizację wyroku Trybunału Sprawiedliwości Unii Europejskiej z dnia 23 listopada 2016 r. w sprawie C-442/14 Bayer </w:t>
            </w:r>
            <w:proofErr w:type="spellStart"/>
            <w:r w:rsidRPr="00451401">
              <w:rPr>
                <w:rFonts w:ascii="Times New Roman" w:hAnsi="Times New Roman"/>
              </w:rPr>
              <w:t>CropScience</w:t>
            </w:r>
            <w:proofErr w:type="spellEnd"/>
            <w:r w:rsidRPr="00451401">
              <w:rPr>
                <w:rFonts w:ascii="Times New Roman" w:hAnsi="Times New Roman"/>
              </w:rPr>
              <w:t xml:space="preserve"> SA-NV, </w:t>
            </w:r>
            <w:proofErr w:type="spellStart"/>
            <w:r w:rsidRPr="00451401">
              <w:rPr>
                <w:rFonts w:ascii="Times New Roman" w:hAnsi="Times New Roman"/>
              </w:rPr>
              <w:t>Stichting</w:t>
            </w:r>
            <w:proofErr w:type="spellEnd"/>
            <w:r w:rsidRPr="00451401">
              <w:rPr>
                <w:rFonts w:ascii="Times New Roman" w:hAnsi="Times New Roman"/>
              </w:rPr>
              <w:t xml:space="preserve"> De </w:t>
            </w:r>
            <w:proofErr w:type="spellStart"/>
            <w:r w:rsidRPr="00451401">
              <w:rPr>
                <w:rFonts w:ascii="Times New Roman" w:hAnsi="Times New Roman"/>
              </w:rPr>
              <w:t>Bijenstichting</w:t>
            </w:r>
            <w:proofErr w:type="spellEnd"/>
            <w:r w:rsidRPr="00451401">
              <w:rPr>
                <w:rFonts w:ascii="Times New Roman" w:hAnsi="Times New Roman"/>
              </w:rPr>
              <w:t xml:space="preserve"> przeciwko College </w:t>
            </w:r>
            <w:proofErr w:type="spellStart"/>
            <w:r w:rsidRPr="00451401">
              <w:rPr>
                <w:rFonts w:ascii="Times New Roman" w:hAnsi="Times New Roman"/>
              </w:rPr>
              <w:t>voor</w:t>
            </w:r>
            <w:proofErr w:type="spellEnd"/>
            <w:r w:rsidRPr="00451401">
              <w:rPr>
                <w:rFonts w:ascii="Times New Roman" w:hAnsi="Times New Roman"/>
              </w:rPr>
              <w:t xml:space="preserve"> de </w:t>
            </w:r>
            <w:proofErr w:type="spellStart"/>
            <w:r w:rsidRPr="00451401">
              <w:rPr>
                <w:rFonts w:ascii="Times New Roman" w:hAnsi="Times New Roman"/>
              </w:rPr>
              <w:t>toelating</w:t>
            </w:r>
            <w:proofErr w:type="spellEnd"/>
            <w:r w:rsidRPr="00451401">
              <w:rPr>
                <w:rFonts w:ascii="Times New Roman" w:hAnsi="Times New Roman"/>
              </w:rPr>
              <w:t xml:space="preserve"> van </w:t>
            </w:r>
            <w:proofErr w:type="spellStart"/>
            <w:r w:rsidRPr="00451401">
              <w:rPr>
                <w:rFonts w:ascii="Times New Roman" w:hAnsi="Times New Roman"/>
              </w:rPr>
              <w:t>gewasbeschermingsmiddelen</w:t>
            </w:r>
            <w:proofErr w:type="spellEnd"/>
            <w:r w:rsidRPr="00451401">
              <w:rPr>
                <w:rFonts w:ascii="Times New Roman" w:hAnsi="Times New Roman"/>
              </w:rPr>
              <w:t xml:space="preserve"> en </w:t>
            </w:r>
            <w:proofErr w:type="spellStart"/>
            <w:r w:rsidRPr="00451401">
              <w:rPr>
                <w:rFonts w:ascii="Times New Roman" w:hAnsi="Times New Roman"/>
              </w:rPr>
              <w:t>biociden</w:t>
            </w:r>
            <w:proofErr w:type="spellEnd"/>
            <w:r w:rsidRPr="00451401">
              <w:rPr>
                <w:rFonts w:ascii="Times New Roman" w:hAnsi="Times New Roman"/>
              </w:rPr>
              <w:t xml:space="preserve"> (dostęp do informacji o środowisku</w:t>
            </w:r>
            <w:r>
              <w:rPr>
                <w:rFonts w:ascii="Times New Roman" w:hAnsi="Times New Roman"/>
              </w:rPr>
              <w:t xml:space="preserve"> </w:t>
            </w:r>
            <w:r w:rsidRPr="00451401">
              <w:rPr>
                <w:rFonts w:ascii="Times New Roman" w:hAnsi="Times New Roman"/>
              </w:rPr>
              <w:t>- informacje dotyczące emisji do środowiska środków ochrony roślin i produktów biobójczych</w:t>
            </w:r>
            <w:r>
              <w:rPr>
                <w:rFonts w:ascii="Times New Roman" w:hAnsi="Times New Roman"/>
              </w:rPr>
              <w:t xml:space="preserve"> </w:t>
            </w:r>
            <w:r w:rsidRPr="00451401">
              <w:rPr>
                <w:rFonts w:ascii="Times New Roman" w:hAnsi="Times New Roman"/>
              </w:rPr>
              <w:t>- ochrona informacji handlowych).</w:t>
            </w:r>
          </w:p>
          <w:p w14:paraId="0715ED83" w14:textId="77777777" w:rsidR="00A704B2" w:rsidRPr="00451401" w:rsidRDefault="00A704B2" w:rsidP="00A704B2">
            <w:pPr>
              <w:spacing w:line="240" w:lineRule="auto"/>
              <w:jc w:val="both"/>
              <w:rPr>
                <w:rFonts w:ascii="Times New Roman" w:hAnsi="Times New Roman"/>
              </w:rPr>
            </w:pPr>
          </w:p>
          <w:p w14:paraId="6F456526" w14:textId="31222142" w:rsidR="00A704B2" w:rsidRPr="008A2235" w:rsidRDefault="00A704B2" w:rsidP="00A704B2">
            <w:pPr>
              <w:spacing w:line="240" w:lineRule="auto"/>
              <w:jc w:val="both"/>
              <w:rPr>
                <w:rFonts w:ascii="Times New Roman" w:hAnsi="Times New Roman"/>
                <w:color w:val="000000"/>
              </w:rPr>
            </w:pPr>
            <w:r w:rsidRPr="00451401">
              <w:rPr>
                <w:rFonts w:ascii="Times New Roman" w:hAnsi="Times New Roman"/>
                <w:color w:val="000000"/>
              </w:rPr>
              <w:t xml:space="preserve">Ponadto przedmiotowy projekt doprecyzowuje obowiązujące przepisy </w:t>
            </w:r>
            <w:r>
              <w:rPr>
                <w:rFonts w:ascii="Times New Roman" w:hAnsi="Times New Roman"/>
                <w:color w:val="000000"/>
              </w:rPr>
              <w:t xml:space="preserve">ustawy </w:t>
            </w:r>
            <w:r w:rsidRPr="00451401">
              <w:rPr>
                <w:rFonts w:ascii="Times New Roman" w:hAnsi="Times New Roman"/>
                <w:color w:val="000000"/>
              </w:rPr>
              <w:t>służące właściwemu stosowaniu rozporządzenia Parlamentu Europejskiego i Rady (UE) nr 528/2012 z dnia 22 maja 2012 r. w sprawie udostępniania na rynku i stosowania produktów biobójczych (Dz. Urz. UE L 167 z 27.06.2012, str. 1</w:t>
            </w:r>
            <w:r>
              <w:rPr>
                <w:rFonts w:ascii="Times New Roman" w:hAnsi="Times New Roman"/>
                <w:color w:val="000000"/>
              </w:rPr>
              <w:t xml:space="preserve">, z </w:t>
            </w:r>
            <w:proofErr w:type="spellStart"/>
            <w:r>
              <w:rPr>
                <w:rFonts w:ascii="Times New Roman" w:hAnsi="Times New Roman"/>
                <w:color w:val="000000"/>
              </w:rPr>
              <w:t>późn</w:t>
            </w:r>
            <w:proofErr w:type="spellEnd"/>
            <w:r>
              <w:rPr>
                <w:rFonts w:ascii="Times New Roman" w:hAnsi="Times New Roman"/>
                <w:color w:val="000000"/>
              </w:rPr>
              <w:t>. zm.), zwanego dalej „rozporządzeniem 528/2012”</w:t>
            </w:r>
            <w:r w:rsidRPr="00451401">
              <w:rPr>
                <w:rFonts w:ascii="Times New Roman" w:hAnsi="Times New Roman"/>
                <w:color w:val="000000"/>
              </w:rPr>
              <w:t>, usuwając dostrzeżone w toku jej dotychczasowego stosowania nieścisłości ora</w:t>
            </w:r>
            <w:r>
              <w:rPr>
                <w:rFonts w:ascii="Times New Roman" w:hAnsi="Times New Roman"/>
                <w:color w:val="000000"/>
              </w:rPr>
              <w:t xml:space="preserve">z wątpliwości interpretacyjne. </w:t>
            </w:r>
            <w:r w:rsidRPr="00451401">
              <w:rPr>
                <w:rFonts w:ascii="Times New Roman" w:hAnsi="Times New Roman"/>
                <w:color w:val="000000"/>
              </w:rPr>
              <w:t xml:space="preserve">Konieczność doprecyzowania </w:t>
            </w:r>
            <w:r>
              <w:rPr>
                <w:rFonts w:ascii="Times New Roman" w:hAnsi="Times New Roman"/>
                <w:color w:val="000000"/>
              </w:rPr>
              <w:t xml:space="preserve">ustawy </w:t>
            </w:r>
            <w:r w:rsidRPr="00451401">
              <w:rPr>
                <w:rFonts w:ascii="Times New Roman" w:hAnsi="Times New Roman"/>
                <w:color w:val="000000"/>
              </w:rPr>
              <w:t xml:space="preserve">zidentyfikowano w następujących obszarach: informacja o produktach biobójczych zawarta w Wykazie Produktów Biobójczych, przebieg </w:t>
            </w:r>
            <w:r>
              <w:rPr>
                <w:rFonts w:ascii="Times New Roman" w:hAnsi="Times New Roman"/>
                <w:color w:val="000000"/>
              </w:rPr>
              <w:t>procedur</w:t>
            </w:r>
            <w:r w:rsidRPr="00451401">
              <w:rPr>
                <w:rFonts w:ascii="Times New Roman" w:hAnsi="Times New Roman"/>
                <w:color w:val="000000"/>
              </w:rPr>
              <w:t xml:space="preserve"> oceny substancji czynnych, przebieg procedur rejestracyjnych produktów biobójczych</w:t>
            </w:r>
            <w:r>
              <w:rPr>
                <w:rFonts w:ascii="Times New Roman" w:hAnsi="Times New Roman"/>
                <w:color w:val="000000"/>
              </w:rPr>
              <w:t xml:space="preserve"> wraz z wymaganiami  dokumentacji, zakres danych objętych pozwoleniem na obrót, </w:t>
            </w:r>
            <w:r w:rsidRPr="00451401">
              <w:rPr>
                <w:rFonts w:ascii="Times New Roman" w:hAnsi="Times New Roman"/>
                <w:color w:val="000000"/>
              </w:rPr>
              <w:t>pakowanie produktów biobójczych, system kontroli zatru</w:t>
            </w:r>
            <w:r>
              <w:rPr>
                <w:rFonts w:ascii="Times New Roman" w:hAnsi="Times New Roman"/>
                <w:color w:val="000000"/>
              </w:rPr>
              <w:t>ć produktami biobójczymi, przepisy karne</w:t>
            </w:r>
            <w:r w:rsidRPr="00451401">
              <w:rPr>
                <w:rFonts w:ascii="Times New Roman" w:hAnsi="Times New Roman"/>
                <w:color w:val="000000"/>
              </w:rPr>
              <w:t xml:space="preserve">. Dotychczasowe doświadczenie w stosowaniu przepisów ustawy wykazało </w:t>
            </w:r>
            <w:r>
              <w:rPr>
                <w:rFonts w:ascii="Times New Roman" w:hAnsi="Times New Roman"/>
                <w:color w:val="000000"/>
              </w:rPr>
              <w:t xml:space="preserve">także </w:t>
            </w:r>
            <w:r w:rsidRPr="00451401">
              <w:rPr>
                <w:rFonts w:ascii="Times New Roman" w:hAnsi="Times New Roman"/>
                <w:color w:val="000000"/>
              </w:rPr>
              <w:t xml:space="preserve">konieczność zmian w obszarze opłat za czynności Prezesa Urzędu podejmowane w zakresie dotyczącym wykonywania przepisów rozporządzenia 528/2012. </w:t>
            </w:r>
            <w:r>
              <w:rPr>
                <w:rFonts w:ascii="Times New Roman" w:hAnsi="Times New Roman"/>
                <w:color w:val="000000"/>
              </w:rPr>
              <w:t>Dodatkowo, b</w:t>
            </w:r>
            <w:r w:rsidRPr="008A2235">
              <w:rPr>
                <w:rFonts w:ascii="Times New Roman" w:hAnsi="Times New Roman"/>
                <w:color w:val="000000"/>
              </w:rPr>
              <w:t>ezprecedensowe doświadczenie pandemi</w:t>
            </w:r>
            <w:r>
              <w:rPr>
                <w:rFonts w:ascii="Times New Roman" w:hAnsi="Times New Roman"/>
                <w:color w:val="000000"/>
              </w:rPr>
              <w:t>i COVID-19 pokazało, że zapewnienie</w:t>
            </w:r>
            <w:r w:rsidRPr="008A2235">
              <w:rPr>
                <w:rFonts w:ascii="Times New Roman" w:hAnsi="Times New Roman"/>
                <w:color w:val="000000"/>
              </w:rPr>
              <w:t xml:space="preserve"> dostępności produktów </w:t>
            </w:r>
            <w:r>
              <w:rPr>
                <w:rFonts w:ascii="Times New Roman" w:hAnsi="Times New Roman"/>
                <w:color w:val="000000"/>
              </w:rPr>
              <w:t>biobójczych do dezynfekcji wymaga zastosowania ekstraordynaryjnej ścieżki prawnej, dotychczas nie wykorzystywanej w praktyce organów regulacyjnych Unii Europejskiej.</w:t>
            </w:r>
          </w:p>
          <w:p w14:paraId="5446433D" w14:textId="0562B4FA" w:rsidR="00A704B2" w:rsidRDefault="00A704B2" w:rsidP="00A704B2">
            <w:pPr>
              <w:spacing w:line="240" w:lineRule="auto"/>
              <w:jc w:val="both"/>
              <w:rPr>
                <w:rFonts w:ascii="Times New Roman" w:hAnsi="Times New Roman"/>
                <w:color w:val="000000"/>
              </w:rPr>
            </w:pPr>
            <w:r w:rsidRPr="008A2235">
              <w:rPr>
                <w:rFonts w:ascii="Times New Roman" w:hAnsi="Times New Roman"/>
                <w:color w:val="000000"/>
              </w:rPr>
              <w:t>W czasie kryzysu związanego z COVID-19 należało znaleźć rozwiązania doraźne, aby ograniczyć ryzyko niedoboru</w:t>
            </w:r>
            <w:r>
              <w:rPr>
                <w:rFonts w:ascii="Times New Roman" w:hAnsi="Times New Roman"/>
                <w:color w:val="000000"/>
              </w:rPr>
              <w:t xml:space="preserve"> tych produktów. </w:t>
            </w:r>
            <w:r w:rsidRPr="008A2235">
              <w:rPr>
                <w:rFonts w:ascii="Times New Roman" w:hAnsi="Times New Roman"/>
                <w:color w:val="000000"/>
              </w:rPr>
              <w:t xml:space="preserve">Funkcjonowanie tych mechanizmów w stanie zagrożenia </w:t>
            </w:r>
            <w:r>
              <w:rPr>
                <w:rFonts w:ascii="Times New Roman" w:hAnsi="Times New Roman"/>
                <w:color w:val="000000"/>
              </w:rPr>
              <w:t>pozwoliło na określenie kolejnych obszarów dotyczących wymagań dokumentacji, które należałoby zawrzeć w projektowanych przepisach ustawy zmieniającej.</w:t>
            </w:r>
          </w:p>
          <w:p w14:paraId="42875D0C" w14:textId="537D4AA8" w:rsidR="0019538B" w:rsidRDefault="0019538B" w:rsidP="00C2000A">
            <w:pPr>
              <w:spacing w:line="240" w:lineRule="auto"/>
              <w:jc w:val="both"/>
              <w:rPr>
                <w:rFonts w:ascii="Times New Roman" w:hAnsi="Times New Roman"/>
                <w:color w:val="000000"/>
                <w:spacing w:val="-2"/>
              </w:rPr>
            </w:pPr>
            <w:bookmarkStart w:id="4" w:name="highlightHit_154"/>
            <w:bookmarkStart w:id="5" w:name="mip39372733"/>
            <w:bookmarkStart w:id="6" w:name="mip39372734"/>
            <w:bookmarkStart w:id="7" w:name="mip39372735"/>
            <w:bookmarkStart w:id="8" w:name="mip39372736"/>
            <w:bookmarkStart w:id="9" w:name="mip39372737"/>
            <w:bookmarkEnd w:id="4"/>
            <w:bookmarkEnd w:id="5"/>
            <w:bookmarkEnd w:id="6"/>
            <w:bookmarkEnd w:id="7"/>
            <w:bookmarkEnd w:id="8"/>
            <w:bookmarkEnd w:id="9"/>
          </w:p>
        </w:tc>
      </w:tr>
      <w:tr w:rsidR="0019538B" w:rsidRPr="008B4FE6" w14:paraId="442BEE08" w14:textId="77777777" w:rsidTr="00996625">
        <w:trPr>
          <w:gridAfter w:val="1"/>
          <w:wAfter w:w="10" w:type="dxa"/>
          <w:trHeight w:val="142"/>
        </w:trPr>
        <w:tc>
          <w:tcPr>
            <w:tcW w:w="10937" w:type="dxa"/>
            <w:gridSpan w:val="36"/>
            <w:shd w:val="clear" w:color="auto" w:fill="99CCFF"/>
            <w:vAlign w:val="center"/>
          </w:tcPr>
          <w:p w14:paraId="2832E946" w14:textId="77777777" w:rsidR="0019538B" w:rsidRDefault="0019538B" w:rsidP="00996625">
            <w:pPr>
              <w:numPr>
                <w:ilvl w:val="0"/>
                <w:numId w:val="3"/>
              </w:numPr>
              <w:spacing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E59C7" w:rsidRPr="001E19CF" w14:paraId="1039FB98" w14:textId="77777777" w:rsidTr="00996625">
        <w:trPr>
          <w:gridAfter w:val="1"/>
          <w:wAfter w:w="10" w:type="dxa"/>
          <w:trHeight w:val="142"/>
        </w:trPr>
        <w:tc>
          <w:tcPr>
            <w:tcW w:w="10937" w:type="dxa"/>
            <w:gridSpan w:val="36"/>
            <w:shd w:val="clear" w:color="auto" w:fill="auto"/>
          </w:tcPr>
          <w:p w14:paraId="4D936A03" w14:textId="3D4C9AD0" w:rsidR="00DC16E2" w:rsidRPr="003E4DDC" w:rsidRDefault="006E59C7" w:rsidP="00825BA8">
            <w:pPr>
              <w:pStyle w:val="NIEARTTEKSTtekstnieartykuowanynppodstprawnarozplubpreambua"/>
              <w:spacing w:line="240" w:lineRule="auto"/>
              <w:ind w:firstLine="34"/>
              <w:rPr>
                <w:rFonts w:ascii="Times New Roman" w:hAnsi="Times New Roman" w:cs="Times New Roman"/>
                <w:sz w:val="22"/>
                <w:szCs w:val="22"/>
              </w:rPr>
            </w:pPr>
            <w:r w:rsidRPr="003E4DDC">
              <w:rPr>
                <w:rFonts w:ascii="Times New Roman" w:hAnsi="Times New Roman" w:cs="Times New Roman"/>
                <w:b/>
                <w:color w:val="000000"/>
                <w:spacing w:val="-2"/>
                <w:sz w:val="22"/>
                <w:szCs w:val="22"/>
              </w:rPr>
              <w:t>1.</w:t>
            </w:r>
            <w:r w:rsidRPr="003E4DDC">
              <w:rPr>
                <w:rFonts w:ascii="Times New Roman" w:hAnsi="Times New Roman" w:cs="Times New Roman"/>
                <w:color w:val="000000"/>
                <w:spacing w:val="-2"/>
                <w:sz w:val="22"/>
                <w:szCs w:val="22"/>
              </w:rPr>
              <w:t xml:space="preserve"> W celu realizacji </w:t>
            </w:r>
            <w:r w:rsidRPr="003E4DDC">
              <w:rPr>
                <w:rFonts w:ascii="Times New Roman" w:hAnsi="Times New Roman" w:cs="Times New Roman"/>
                <w:sz w:val="22"/>
                <w:szCs w:val="22"/>
              </w:rPr>
              <w:t xml:space="preserve">wyroku Trybunału Sprawiedliwości Unii Europejskiej z dnia 23 listopada 2016 r. w sprawie C-442/14 Bayer </w:t>
            </w:r>
            <w:proofErr w:type="spellStart"/>
            <w:r w:rsidRPr="003E4DDC">
              <w:rPr>
                <w:rFonts w:ascii="Times New Roman" w:hAnsi="Times New Roman" w:cs="Times New Roman"/>
                <w:sz w:val="22"/>
                <w:szCs w:val="22"/>
              </w:rPr>
              <w:t>CropScience</w:t>
            </w:r>
            <w:proofErr w:type="spellEnd"/>
            <w:r w:rsidRPr="003E4DDC">
              <w:rPr>
                <w:rFonts w:ascii="Times New Roman" w:hAnsi="Times New Roman" w:cs="Times New Roman"/>
                <w:sz w:val="22"/>
                <w:szCs w:val="22"/>
              </w:rPr>
              <w:t xml:space="preserve"> SA-NV, </w:t>
            </w:r>
            <w:proofErr w:type="spellStart"/>
            <w:r w:rsidRPr="003E4DDC">
              <w:rPr>
                <w:rFonts w:ascii="Times New Roman" w:hAnsi="Times New Roman" w:cs="Times New Roman"/>
                <w:sz w:val="22"/>
                <w:szCs w:val="22"/>
              </w:rPr>
              <w:t>Stichting</w:t>
            </w:r>
            <w:proofErr w:type="spellEnd"/>
            <w:r w:rsidRPr="003E4DDC">
              <w:rPr>
                <w:rFonts w:ascii="Times New Roman" w:hAnsi="Times New Roman" w:cs="Times New Roman"/>
                <w:sz w:val="22"/>
                <w:szCs w:val="22"/>
              </w:rPr>
              <w:t xml:space="preserve"> De </w:t>
            </w:r>
            <w:proofErr w:type="spellStart"/>
            <w:r w:rsidRPr="003E4DDC">
              <w:rPr>
                <w:rFonts w:ascii="Times New Roman" w:hAnsi="Times New Roman" w:cs="Times New Roman"/>
                <w:sz w:val="22"/>
                <w:szCs w:val="22"/>
              </w:rPr>
              <w:t>Bijenstichting</w:t>
            </w:r>
            <w:proofErr w:type="spellEnd"/>
            <w:r w:rsidRPr="003E4DDC">
              <w:rPr>
                <w:rFonts w:ascii="Times New Roman" w:hAnsi="Times New Roman" w:cs="Times New Roman"/>
                <w:sz w:val="22"/>
                <w:szCs w:val="22"/>
              </w:rPr>
              <w:t xml:space="preserve"> przeciwko College </w:t>
            </w:r>
            <w:proofErr w:type="spellStart"/>
            <w:r w:rsidRPr="003E4DDC">
              <w:rPr>
                <w:rFonts w:ascii="Times New Roman" w:hAnsi="Times New Roman" w:cs="Times New Roman"/>
                <w:sz w:val="22"/>
                <w:szCs w:val="22"/>
              </w:rPr>
              <w:t>voor</w:t>
            </w:r>
            <w:proofErr w:type="spellEnd"/>
            <w:r w:rsidRPr="003E4DDC">
              <w:rPr>
                <w:rFonts w:ascii="Times New Roman" w:hAnsi="Times New Roman" w:cs="Times New Roman"/>
                <w:sz w:val="22"/>
                <w:szCs w:val="22"/>
              </w:rPr>
              <w:t xml:space="preserve"> de </w:t>
            </w:r>
            <w:proofErr w:type="spellStart"/>
            <w:r w:rsidRPr="003E4DDC">
              <w:rPr>
                <w:rFonts w:ascii="Times New Roman" w:hAnsi="Times New Roman" w:cs="Times New Roman"/>
                <w:sz w:val="22"/>
                <w:szCs w:val="22"/>
              </w:rPr>
              <w:t>toelating</w:t>
            </w:r>
            <w:proofErr w:type="spellEnd"/>
            <w:r w:rsidRPr="003E4DDC">
              <w:rPr>
                <w:rFonts w:ascii="Times New Roman" w:hAnsi="Times New Roman" w:cs="Times New Roman"/>
                <w:sz w:val="22"/>
                <w:szCs w:val="22"/>
              </w:rPr>
              <w:t xml:space="preserve"> van </w:t>
            </w:r>
            <w:proofErr w:type="spellStart"/>
            <w:r w:rsidRPr="003E4DDC">
              <w:rPr>
                <w:rFonts w:ascii="Times New Roman" w:hAnsi="Times New Roman" w:cs="Times New Roman"/>
                <w:sz w:val="22"/>
                <w:szCs w:val="22"/>
              </w:rPr>
              <w:t>gewasbeschermingsmiddelen</w:t>
            </w:r>
            <w:proofErr w:type="spellEnd"/>
            <w:r w:rsidRPr="003E4DDC">
              <w:rPr>
                <w:rFonts w:ascii="Times New Roman" w:hAnsi="Times New Roman" w:cs="Times New Roman"/>
                <w:sz w:val="22"/>
                <w:szCs w:val="22"/>
              </w:rPr>
              <w:t xml:space="preserve"> en </w:t>
            </w:r>
            <w:proofErr w:type="spellStart"/>
            <w:r w:rsidRPr="003E4DDC">
              <w:rPr>
                <w:rFonts w:ascii="Times New Roman" w:hAnsi="Times New Roman" w:cs="Times New Roman"/>
                <w:sz w:val="22"/>
                <w:szCs w:val="22"/>
              </w:rPr>
              <w:t>biociden</w:t>
            </w:r>
            <w:proofErr w:type="spellEnd"/>
            <w:r w:rsidRPr="003E4DDC">
              <w:rPr>
                <w:rFonts w:ascii="Times New Roman" w:hAnsi="Times New Roman" w:cs="Times New Roman"/>
                <w:sz w:val="22"/>
                <w:szCs w:val="22"/>
              </w:rPr>
              <w:t xml:space="preserve"> proponuje się nowelizację brzmienia przepisu o udostępnianiu dokumentacji przedłożonej w postępowaniu o wydanie pozwolenia na obrót produktem biobójczym przez dodanie zastrzeżenia, </w:t>
            </w:r>
            <w:r w:rsidRPr="003E4DDC">
              <w:rPr>
                <w:rFonts w:ascii="Times New Roman" w:hAnsi="Times New Roman" w:cs="Times New Roman"/>
                <w:sz w:val="22"/>
                <w:szCs w:val="22"/>
              </w:rPr>
              <w:br/>
              <w:t xml:space="preserve">o którym mowa w art. 18 ustawy z dnia </w:t>
            </w:r>
            <w:r w:rsidR="008D7D23" w:rsidRPr="003E4DDC">
              <w:rPr>
                <w:rFonts w:ascii="Times New Roman" w:hAnsi="Times New Roman" w:cs="Times New Roman"/>
                <w:sz w:val="22"/>
                <w:szCs w:val="22"/>
              </w:rPr>
              <w:t>3 października 2008 r.</w:t>
            </w:r>
            <w:r w:rsidRPr="003E4DDC">
              <w:rPr>
                <w:rFonts w:ascii="Times New Roman" w:hAnsi="Times New Roman" w:cs="Times New Roman"/>
                <w:sz w:val="22"/>
                <w:szCs w:val="22"/>
              </w:rPr>
              <w:t xml:space="preserve"> o udostępnianiu informacji o środowisku i jego ochronie, udziale społeczeństwa w ochronie środowiska oraz o ocenach oddziaływania na środowisko (Dz. U. z 20</w:t>
            </w:r>
            <w:r w:rsidR="008D7D23" w:rsidRPr="003E4DDC">
              <w:rPr>
                <w:rFonts w:ascii="Times New Roman" w:hAnsi="Times New Roman" w:cs="Times New Roman"/>
                <w:sz w:val="22"/>
                <w:szCs w:val="22"/>
              </w:rPr>
              <w:t>21</w:t>
            </w:r>
            <w:r w:rsidRPr="003E4DDC">
              <w:rPr>
                <w:rFonts w:ascii="Times New Roman" w:hAnsi="Times New Roman" w:cs="Times New Roman"/>
                <w:sz w:val="22"/>
                <w:szCs w:val="22"/>
              </w:rPr>
              <w:t xml:space="preserve"> r. poz. 2</w:t>
            </w:r>
            <w:r w:rsidR="007D1E90" w:rsidRPr="003E4DDC">
              <w:rPr>
                <w:rFonts w:ascii="Times New Roman" w:hAnsi="Times New Roman" w:cs="Times New Roman"/>
                <w:sz w:val="22"/>
                <w:szCs w:val="22"/>
              </w:rPr>
              <w:t>4</w:t>
            </w:r>
            <w:r w:rsidR="008D7D23" w:rsidRPr="003E4DDC">
              <w:rPr>
                <w:rFonts w:ascii="Times New Roman" w:hAnsi="Times New Roman" w:cs="Times New Roman"/>
                <w:sz w:val="22"/>
                <w:szCs w:val="22"/>
              </w:rPr>
              <w:t xml:space="preserve">7, z </w:t>
            </w:r>
            <w:proofErr w:type="spellStart"/>
            <w:r w:rsidR="008D7D23" w:rsidRPr="003E4DDC">
              <w:rPr>
                <w:rFonts w:ascii="Times New Roman" w:hAnsi="Times New Roman" w:cs="Times New Roman"/>
                <w:sz w:val="22"/>
                <w:szCs w:val="22"/>
              </w:rPr>
              <w:t>późn</w:t>
            </w:r>
            <w:proofErr w:type="spellEnd"/>
            <w:r w:rsidR="008D7D23" w:rsidRPr="003E4DDC">
              <w:rPr>
                <w:rFonts w:ascii="Times New Roman" w:hAnsi="Times New Roman" w:cs="Times New Roman"/>
                <w:sz w:val="22"/>
                <w:szCs w:val="22"/>
              </w:rPr>
              <w:t>. zm.</w:t>
            </w:r>
            <w:r w:rsidRPr="003E4DDC">
              <w:rPr>
                <w:rFonts w:ascii="Times New Roman" w:hAnsi="Times New Roman" w:cs="Times New Roman"/>
                <w:sz w:val="22"/>
                <w:szCs w:val="22"/>
              </w:rPr>
              <w:t>).</w:t>
            </w:r>
            <w:r w:rsidR="00825BA8" w:rsidRPr="003E4DDC">
              <w:rPr>
                <w:rFonts w:ascii="Times New Roman" w:hAnsi="Times New Roman" w:cs="Times New Roman"/>
                <w:sz w:val="22"/>
                <w:szCs w:val="22"/>
              </w:rPr>
              <w:t xml:space="preserve"> Zagadnienie udostępniania dokumentacji przedkładanej w postępowaniu o wydanie pozwolenia na obrót jest obecnie uregulowane w art. 30 ustawy, zgodnie z którym „Dokumentacja przedłożona w postępowaniu o wydanie pozwolenia na obrót może być udostępniana osobom mającym w tym interes prawny, z zachowaniem przepisów o ochronie </w:t>
            </w:r>
            <w:r w:rsidR="00825BA8" w:rsidRPr="003E4DDC">
              <w:rPr>
                <w:rFonts w:ascii="Times New Roman" w:hAnsi="Times New Roman" w:cs="Times New Roman"/>
                <w:sz w:val="22"/>
                <w:szCs w:val="22"/>
              </w:rPr>
              <w:lastRenderedPageBreak/>
              <w:t>informacji niejawnych oraz ochronie informacji stanowiących tajemnicę przedsiębiorstwa w rozumieniu art. 11 ust. 4 ustawy z dnia 16 kwietnia 1993 r. o zwalczaniu nieuczciwej konkurencji” i w art. 66 ust. 4 rozporządzenia</w:t>
            </w:r>
            <w:r w:rsidR="00FC5B36" w:rsidRPr="003E4DDC">
              <w:rPr>
                <w:rFonts w:ascii="Times New Roman" w:hAnsi="Times New Roman" w:cs="Times New Roman"/>
                <w:sz w:val="22"/>
                <w:szCs w:val="22"/>
              </w:rPr>
              <w:t xml:space="preserve"> 528/2012,</w:t>
            </w:r>
            <w:r w:rsidR="00825BA8" w:rsidRPr="003E4DDC">
              <w:rPr>
                <w:rFonts w:ascii="Times New Roman" w:hAnsi="Times New Roman" w:cs="Times New Roman"/>
                <w:sz w:val="22"/>
                <w:szCs w:val="22"/>
              </w:rPr>
              <w:t xml:space="preserve"> zgodnie z którym „Każda osoba przekazująca Agencji lub właściwemu organowi informacje na temat substancji czynnej lub produktu biobójczego do celów niniejszego rozporządzenia może zażądać nieudostępniania informacji, o których mowa w art. 67 ust. 3, podając jednocześnie powody, dla których ujawnienie tych informacji mogłoby być szkodliwe dla jej interesów handlowych lub interesów handlowych innej zainteresowanej strony”. W wyroku z dnia 23 listopada 2016 roku w sprawie C-442/14 Trybunał Sprawiedliwości Unii Europejskiej stwierdził, iż „w zakres pojęcia &gt;&gt;emisji do środowiska&lt;&lt; w rozumieniu tego przepisu wchodzi uwalnianie do środowiska produktów lub substancji takich jak środki ochrony roślin lub produkty biobójcze oraz substancji zawartych w tych produktach, pod warunkiem że uwalnianie to jest rzeczywiste lub przewidywalne w normalnych lub realistycznych warunkach użycia (…) w zakres pojęcia &gt;&gt;informacji dotyczących emisji do środowiska&lt;&lt; w rozumieniu wspomnianego przepisu wchodzą wskazówki dotyczące natury, składu, ilości, daty i miejsca &gt;&gt;emisji do środowiska&lt;&lt; tych produktów lub substancji, jak również dane dotyczące bardziej i mniej długoterminowych skutków tych emisji dla środowiska, a w szczególności informacje dotyczące pozostałości obecnych w środowisku po zastosowaniu danego produktu oraz badania dotyczące pomiaru znoszenia rozpylanej substancji przy takim zastosowaniu, niezależnie od tego, czy dane te pochodzą z badań (</w:t>
            </w:r>
            <w:proofErr w:type="spellStart"/>
            <w:r w:rsidR="00825BA8" w:rsidRPr="003E4DDC">
              <w:rPr>
                <w:rFonts w:ascii="Times New Roman" w:hAnsi="Times New Roman" w:cs="Times New Roman"/>
                <w:sz w:val="22"/>
                <w:szCs w:val="22"/>
              </w:rPr>
              <w:t>semi</w:t>
            </w:r>
            <w:proofErr w:type="spellEnd"/>
            <w:r w:rsidR="00825BA8" w:rsidRPr="003E4DDC">
              <w:rPr>
                <w:rFonts w:ascii="Times New Roman" w:hAnsi="Times New Roman" w:cs="Times New Roman"/>
                <w:sz w:val="22"/>
                <w:szCs w:val="22"/>
              </w:rPr>
              <w:t>-) polowych, badań laboratoryjnych lub badań dotyczących translokacji (…) w przypadku wniosku o dostęp do informacji dotyczących emisji do środowiska, których ujawnienie naruszyłoby jeden z interesów wskazanych w art. 4 ust. 2 akapit pierwszy lit. a), d), f)–h) tej dyrektywy, należy ujawnić tylko istotne dane, które mogą zostać wyciągnięte ze źródła informacji i które dotyczą emisji do środowiska, jeżeli możliwe jest oddzielenie tych danych od innych informacji zawartych w owym źródle, co powinien zweryfikować sąd odsyłający”.</w:t>
            </w:r>
            <w:r w:rsidR="00B63E98" w:rsidRPr="003E4DDC">
              <w:rPr>
                <w:rFonts w:ascii="Times New Roman" w:hAnsi="Times New Roman" w:cs="Times New Roman"/>
                <w:sz w:val="22"/>
                <w:szCs w:val="22"/>
              </w:rPr>
              <w:t xml:space="preserve"> </w:t>
            </w:r>
            <w:r w:rsidR="00BD3231" w:rsidRPr="003E4DDC">
              <w:rPr>
                <w:rFonts w:ascii="Times New Roman" w:hAnsi="Times New Roman" w:cs="Times New Roman"/>
                <w:sz w:val="22"/>
                <w:szCs w:val="22"/>
              </w:rPr>
              <w:t xml:space="preserve">W </w:t>
            </w:r>
            <w:r w:rsidR="00825BA8" w:rsidRPr="003E4DDC">
              <w:rPr>
                <w:rFonts w:ascii="Times New Roman" w:hAnsi="Times New Roman" w:cs="Times New Roman"/>
                <w:sz w:val="22"/>
                <w:szCs w:val="22"/>
              </w:rPr>
              <w:t>art. 16 ust. 1 pkt 1 i 4-8 ustawy z dnia 3 października 2008 roku o udostępnianiu informacji o środowisku i jego ochronie, udziale społeczeństwa w ochronie środowiska oraz o ocenach oddziaływa</w:t>
            </w:r>
            <w:r w:rsidR="00BD3231" w:rsidRPr="003E4DDC">
              <w:rPr>
                <w:rFonts w:ascii="Times New Roman" w:hAnsi="Times New Roman" w:cs="Times New Roman"/>
                <w:sz w:val="22"/>
                <w:szCs w:val="22"/>
              </w:rPr>
              <w:t>nia na środowisko wskazany został</w:t>
            </w:r>
            <w:r w:rsidR="00825BA8" w:rsidRPr="003E4DDC">
              <w:rPr>
                <w:rFonts w:ascii="Times New Roman" w:hAnsi="Times New Roman" w:cs="Times New Roman"/>
                <w:sz w:val="22"/>
                <w:szCs w:val="22"/>
              </w:rPr>
              <w:t xml:space="preserve"> </w:t>
            </w:r>
            <w:r w:rsidR="00BD3231" w:rsidRPr="003E4DDC">
              <w:rPr>
                <w:rFonts w:ascii="Times New Roman" w:hAnsi="Times New Roman" w:cs="Times New Roman"/>
                <w:sz w:val="22"/>
                <w:szCs w:val="22"/>
              </w:rPr>
              <w:t>katalog informacji o środowisku i jego ochronie, jakich o</w:t>
            </w:r>
            <w:r w:rsidR="00825BA8" w:rsidRPr="003E4DDC">
              <w:rPr>
                <w:rFonts w:ascii="Times New Roman" w:hAnsi="Times New Roman" w:cs="Times New Roman"/>
                <w:sz w:val="22"/>
                <w:szCs w:val="22"/>
              </w:rPr>
              <w:t>rg</w:t>
            </w:r>
            <w:r w:rsidR="00BD3231" w:rsidRPr="003E4DDC">
              <w:rPr>
                <w:rFonts w:ascii="Times New Roman" w:hAnsi="Times New Roman" w:cs="Times New Roman"/>
                <w:sz w:val="22"/>
                <w:szCs w:val="22"/>
              </w:rPr>
              <w:t>an administracji nie udostępnia. Z kolei z</w:t>
            </w:r>
            <w:r w:rsidR="00825BA8" w:rsidRPr="003E4DDC">
              <w:rPr>
                <w:rFonts w:ascii="Times New Roman" w:hAnsi="Times New Roman" w:cs="Times New Roman"/>
                <w:sz w:val="22"/>
                <w:szCs w:val="22"/>
              </w:rPr>
              <w:t xml:space="preserve">godnie z art. 18 pkt 1 i 2 ww. ustawy </w:t>
            </w:r>
            <w:r w:rsidR="00BD3231" w:rsidRPr="003E4DDC">
              <w:rPr>
                <w:rFonts w:ascii="Times New Roman" w:hAnsi="Times New Roman" w:cs="Times New Roman"/>
                <w:sz w:val="22"/>
                <w:szCs w:val="22"/>
              </w:rPr>
              <w:t xml:space="preserve">tych przepisów </w:t>
            </w:r>
            <w:r w:rsidR="00825BA8" w:rsidRPr="003E4DDC">
              <w:rPr>
                <w:rFonts w:ascii="Times New Roman" w:hAnsi="Times New Roman" w:cs="Times New Roman"/>
                <w:sz w:val="22"/>
                <w:szCs w:val="22"/>
              </w:rPr>
              <w:t xml:space="preserve">nie stosuje się, jeżeli informacja dotyczy: </w:t>
            </w:r>
          </w:p>
          <w:p w14:paraId="3F32F0C4" w14:textId="77777777" w:rsidR="00DC16E2" w:rsidRPr="003E4DDC" w:rsidRDefault="00825BA8" w:rsidP="00825BA8">
            <w:pPr>
              <w:pStyle w:val="NIEARTTEKSTtekstnieartykuowanynppodstprawnarozplubpreambua"/>
              <w:spacing w:line="240" w:lineRule="auto"/>
              <w:ind w:firstLine="34"/>
              <w:rPr>
                <w:rFonts w:ascii="Times New Roman" w:hAnsi="Times New Roman" w:cs="Times New Roman"/>
                <w:sz w:val="22"/>
                <w:szCs w:val="22"/>
              </w:rPr>
            </w:pPr>
            <w:r w:rsidRPr="003E4DDC">
              <w:rPr>
                <w:rFonts w:ascii="Times New Roman" w:hAnsi="Times New Roman" w:cs="Times New Roman"/>
                <w:sz w:val="22"/>
                <w:szCs w:val="22"/>
              </w:rPr>
              <w:t xml:space="preserve">1) ilości i rodzajów pyłów lub gazów wprowadzanych do powietrza oraz miejsca ich wprowadzania; </w:t>
            </w:r>
          </w:p>
          <w:p w14:paraId="099C0A91" w14:textId="77777777" w:rsidR="00DC16E2" w:rsidRPr="003E4DDC" w:rsidRDefault="00825BA8" w:rsidP="00825BA8">
            <w:pPr>
              <w:pStyle w:val="NIEARTTEKSTtekstnieartykuowanynppodstprawnarozplubpreambua"/>
              <w:spacing w:line="240" w:lineRule="auto"/>
              <w:ind w:firstLine="34"/>
              <w:rPr>
                <w:rFonts w:ascii="Times New Roman" w:hAnsi="Times New Roman" w:cs="Times New Roman"/>
                <w:sz w:val="22"/>
                <w:szCs w:val="22"/>
              </w:rPr>
            </w:pPr>
            <w:r w:rsidRPr="003E4DDC">
              <w:rPr>
                <w:rFonts w:ascii="Times New Roman" w:hAnsi="Times New Roman" w:cs="Times New Roman"/>
                <w:sz w:val="22"/>
                <w:szCs w:val="22"/>
              </w:rPr>
              <w:t>2) stanu, składu i ilości ścieków wprowadzanych do wód lub do ziemi</w:t>
            </w:r>
            <w:r w:rsidR="00DC16E2" w:rsidRPr="003E4DDC">
              <w:rPr>
                <w:rFonts w:ascii="Times New Roman" w:hAnsi="Times New Roman" w:cs="Times New Roman"/>
                <w:sz w:val="22"/>
                <w:szCs w:val="22"/>
              </w:rPr>
              <w:t xml:space="preserve"> oraz miejsca ich wprowadzania.</w:t>
            </w:r>
            <w:r w:rsidRPr="003E4DDC">
              <w:rPr>
                <w:rFonts w:ascii="Times New Roman" w:hAnsi="Times New Roman" w:cs="Times New Roman"/>
                <w:sz w:val="22"/>
                <w:szCs w:val="22"/>
              </w:rPr>
              <w:t xml:space="preserve"> </w:t>
            </w:r>
          </w:p>
          <w:p w14:paraId="7C0D65FC" w14:textId="5BF78456" w:rsidR="006E59C7" w:rsidRPr="003E4DDC" w:rsidRDefault="00B63E98" w:rsidP="00825BA8">
            <w:pPr>
              <w:pStyle w:val="NIEARTTEKSTtekstnieartykuowanynppodstprawnarozplubpreambua"/>
              <w:spacing w:line="240" w:lineRule="auto"/>
              <w:ind w:firstLine="34"/>
              <w:rPr>
                <w:rFonts w:ascii="Times New Roman" w:hAnsi="Times New Roman" w:cs="Times New Roman"/>
                <w:sz w:val="22"/>
                <w:szCs w:val="22"/>
              </w:rPr>
            </w:pPr>
            <w:r w:rsidRPr="003E4DDC">
              <w:rPr>
                <w:rFonts w:ascii="Times New Roman" w:hAnsi="Times New Roman" w:cs="Times New Roman"/>
                <w:sz w:val="22"/>
                <w:szCs w:val="22"/>
              </w:rPr>
              <w:t>O</w:t>
            </w:r>
            <w:r w:rsidR="00825BA8" w:rsidRPr="003E4DDC">
              <w:rPr>
                <w:rFonts w:ascii="Times New Roman" w:hAnsi="Times New Roman" w:cs="Times New Roman"/>
                <w:sz w:val="22"/>
                <w:szCs w:val="22"/>
              </w:rPr>
              <w:t>becne uregulowanie art. 30 ustawy o produktach biobójczych, wprowadza bezwzględny wymóg dysponowania „interesem prawnym”, w tym we wnioskowaniu o informacje przedkładane w postępowaniu o wydanie pozwolenia na obrót.</w:t>
            </w:r>
            <w:r w:rsidRPr="003E4DDC">
              <w:rPr>
                <w:rFonts w:ascii="Times New Roman" w:hAnsi="Times New Roman" w:cs="Times New Roman"/>
                <w:sz w:val="22"/>
                <w:szCs w:val="22"/>
              </w:rPr>
              <w:t xml:space="preserve"> D</w:t>
            </w:r>
            <w:r w:rsidR="00825BA8" w:rsidRPr="003E4DDC">
              <w:rPr>
                <w:rFonts w:ascii="Times New Roman" w:hAnsi="Times New Roman" w:cs="Times New Roman"/>
                <w:sz w:val="22"/>
                <w:szCs w:val="22"/>
              </w:rPr>
              <w:t xml:space="preserve">yspozycja </w:t>
            </w:r>
            <w:r w:rsidRPr="003E4DDC">
              <w:rPr>
                <w:rFonts w:ascii="Times New Roman" w:hAnsi="Times New Roman" w:cs="Times New Roman"/>
                <w:sz w:val="22"/>
                <w:szCs w:val="22"/>
              </w:rPr>
              <w:t>ww. artykułu</w:t>
            </w:r>
            <w:r w:rsidR="00825BA8" w:rsidRPr="003E4DDC">
              <w:rPr>
                <w:rFonts w:ascii="Times New Roman" w:hAnsi="Times New Roman" w:cs="Times New Roman"/>
                <w:sz w:val="22"/>
                <w:szCs w:val="22"/>
              </w:rPr>
              <w:t xml:space="preserve"> - z uwagi na bezwzględny wymóg wykazania interesu prawnego w uzyskaniu wnioskowanych informacji - może ograniczyć prawo do wnioskowania o uzyskanie informacji dotyczących emisji do środowiska, jeżeli takie informacje byłyby przedłożone przez podmiot odpowiedzialny bądź posiadacza pozwolenia obok wymaganej prz</w:t>
            </w:r>
            <w:r w:rsidRPr="003E4DDC">
              <w:rPr>
                <w:rFonts w:ascii="Times New Roman" w:hAnsi="Times New Roman" w:cs="Times New Roman"/>
                <w:sz w:val="22"/>
                <w:szCs w:val="22"/>
              </w:rPr>
              <w:t>episami dokumentacji. Należy</w:t>
            </w:r>
            <w:r w:rsidR="00825BA8" w:rsidRPr="003E4DDC">
              <w:rPr>
                <w:rFonts w:ascii="Times New Roman" w:hAnsi="Times New Roman" w:cs="Times New Roman"/>
                <w:sz w:val="22"/>
                <w:szCs w:val="22"/>
              </w:rPr>
              <w:t xml:space="preserve"> zatem </w:t>
            </w:r>
            <w:r w:rsidRPr="003E4DDC">
              <w:rPr>
                <w:rFonts w:ascii="Times New Roman" w:hAnsi="Times New Roman" w:cs="Times New Roman"/>
                <w:sz w:val="22"/>
                <w:szCs w:val="22"/>
              </w:rPr>
              <w:t>dokonać</w:t>
            </w:r>
            <w:r w:rsidR="00825BA8" w:rsidRPr="003E4DDC">
              <w:rPr>
                <w:rFonts w:ascii="Times New Roman" w:hAnsi="Times New Roman" w:cs="Times New Roman"/>
                <w:sz w:val="22"/>
                <w:szCs w:val="22"/>
              </w:rPr>
              <w:t xml:space="preserve"> w tym zakresie stosownej zmiany polegającej na dodaniu w art. 30 ustawy o produktach biobójczych zastrzeżenia, o którym mowa w art. 18 ustawy o udostępnianiu informacji o środowisku i jego ochronie, udziale społeczeństwa w ochronie środowiska oraz o ocenach oddziaływania na środowisko, tym samym realizując postanowienie przedmiotowego wyroku Trybunału Sprawiedliwości Unii Europejskiej.</w:t>
            </w:r>
          </w:p>
          <w:p w14:paraId="290E8011" w14:textId="77777777" w:rsidR="006E59C7" w:rsidRPr="003E4DDC" w:rsidRDefault="006E59C7" w:rsidP="006E59C7">
            <w:pPr>
              <w:jc w:val="both"/>
              <w:rPr>
                <w:rFonts w:ascii="Times New Roman" w:hAnsi="Times New Roman"/>
                <w:lang w:eastAsia="pl-PL"/>
              </w:rPr>
            </w:pPr>
          </w:p>
          <w:p w14:paraId="2C53C80C" w14:textId="77777777" w:rsidR="006E59C7" w:rsidRPr="003E4DDC" w:rsidRDefault="006E59C7" w:rsidP="006E59C7">
            <w:pPr>
              <w:spacing w:line="240" w:lineRule="auto"/>
              <w:jc w:val="both"/>
              <w:rPr>
                <w:rFonts w:ascii="Times New Roman" w:hAnsi="Times New Roman"/>
                <w:color w:val="000000"/>
              </w:rPr>
            </w:pPr>
            <w:r w:rsidRPr="003E4DDC">
              <w:rPr>
                <w:rFonts w:ascii="Times New Roman" w:eastAsia="Times New Roman" w:hAnsi="Times New Roman"/>
                <w:b/>
                <w:bCs/>
                <w:color w:val="000000"/>
                <w:spacing w:val="-2"/>
                <w:lang w:eastAsia="pl-PL"/>
              </w:rPr>
              <w:t>2.</w:t>
            </w:r>
            <w:r w:rsidRPr="003E4DDC">
              <w:rPr>
                <w:rFonts w:ascii="Times New Roman" w:eastAsia="Times New Roman" w:hAnsi="Times New Roman"/>
                <w:bCs/>
                <w:color w:val="000000"/>
                <w:spacing w:val="-2"/>
                <w:lang w:eastAsia="pl-PL"/>
              </w:rPr>
              <w:t xml:space="preserve"> W celu doprecyzowania</w:t>
            </w:r>
            <w:r w:rsidRPr="003E4DDC">
              <w:rPr>
                <w:rFonts w:ascii="Times New Roman" w:eastAsia="Times New Roman" w:hAnsi="Times New Roman"/>
                <w:b/>
                <w:bCs/>
                <w:color w:val="000000"/>
                <w:spacing w:val="-2"/>
                <w:lang w:eastAsia="pl-PL"/>
              </w:rPr>
              <w:t xml:space="preserve"> </w:t>
            </w:r>
            <w:r w:rsidRPr="003E4DDC">
              <w:rPr>
                <w:rFonts w:ascii="Times New Roman" w:hAnsi="Times New Roman"/>
                <w:color w:val="000000"/>
              </w:rPr>
              <w:t>obowiązujących  przepisów ustawy służących właściwemu stosowaniu rozporządzenia 528/2012 proponuje się w szczególności poniżej wymienione rozwiązania:</w:t>
            </w:r>
          </w:p>
          <w:p w14:paraId="1BE55F3F" w14:textId="77777777" w:rsidR="007D1E90" w:rsidRPr="003E4DDC" w:rsidRDefault="00825BA8" w:rsidP="001A400A">
            <w:pPr>
              <w:pStyle w:val="Akapitzlist"/>
              <w:numPr>
                <w:ilvl w:val="0"/>
                <w:numId w:val="32"/>
              </w:numPr>
              <w:spacing w:line="240" w:lineRule="auto"/>
              <w:jc w:val="both"/>
              <w:rPr>
                <w:rFonts w:ascii="Times New Roman" w:hAnsi="Times New Roman"/>
              </w:rPr>
            </w:pPr>
            <w:r w:rsidRPr="003E4DDC">
              <w:rPr>
                <w:rFonts w:ascii="Times New Roman" w:hAnsi="Times New Roman"/>
                <w:color w:val="000000"/>
              </w:rPr>
              <w:t xml:space="preserve">odstąpienie od wymagania przedłożenia wraz z wnioskiem treści oznakowania opakowania produktu biobójczego oraz karty charakterystyki oraz jednoczesne zapewnienie spójności przepisów ustawy dotyczących obowiązku przekazywania przez Prezesa Urzędu kart charakterystyki ośrodkom toksykologicznym z obowiązkami podmiotów oraz kompetencjami Prezesa Biura do spraw Substancji Chemicznych wynikającymi ze znowelizowanych przepisów o substancjach chemicznych i ich mieszaninach. W efekcie dokonana zostanie </w:t>
            </w:r>
            <w:r w:rsidR="006E59C7" w:rsidRPr="003E4DDC">
              <w:rPr>
                <w:rFonts w:ascii="Times New Roman" w:hAnsi="Times New Roman"/>
                <w:color w:val="000000"/>
              </w:rPr>
              <w:t xml:space="preserve">zmiana zakresu informacji publikowanych w Wykazie Produktów Biobójczych poprzez </w:t>
            </w:r>
            <w:r w:rsidR="006E59C7" w:rsidRPr="003E4DDC">
              <w:rPr>
                <w:rFonts w:ascii="Times New Roman" w:hAnsi="Times New Roman"/>
              </w:rPr>
              <w:t xml:space="preserve">wykreślenie treści oznakowania opakowania w związku z proponowanym zastąpieniem dołączonej do pozwolenia treści oznakowania opakowania </w:t>
            </w:r>
            <w:r w:rsidR="005D5F92" w:rsidRPr="003E4DDC">
              <w:rPr>
                <w:rFonts w:ascii="Times New Roman" w:hAnsi="Times New Roman"/>
              </w:rPr>
              <w:t>zalec</w:t>
            </w:r>
            <w:r w:rsidR="00962141" w:rsidRPr="003E4DDC">
              <w:rPr>
                <w:rFonts w:ascii="Times New Roman" w:hAnsi="Times New Roman"/>
              </w:rPr>
              <w:t>e</w:t>
            </w:r>
            <w:r w:rsidR="005D5F92" w:rsidRPr="003E4DDC">
              <w:rPr>
                <w:rFonts w:ascii="Times New Roman" w:hAnsi="Times New Roman"/>
              </w:rPr>
              <w:t>niami dotyczącymi stosowania dla danego zakresu stosowania produktu biobójczego</w:t>
            </w:r>
            <w:r w:rsidR="006E59C7" w:rsidRPr="003E4DDC">
              <w:rPr>
                <w:rFonts w:ascii="Times New Roman" w:hAnsi="Times New Roman"/>
              </w:rPr>
              <w:t>;</w:t>
            </w:r>
          </w:p>
          <w:p w14:paraId="7F64B2B7" w14:textId="77777777" w:rsidR="007D1E90" w:rsidRPr="003E4DDC" w:rsidRDefault="00AA6934"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zastąpienie dołączonej do pozwolenia treści oznakowania opakowania</w:t>
            </w:r>
            <w:r w:rsidR="005D5F92" w:rsidRPr="003E4DDC">
              <w:rPr>
                <w:rFonts w:ascii="Times New Roman" w:hAnsi="Times New Roman"/>
              </w:rPr>
              <w:t xml:space="preserve"> </w:t>
            </w:r>
            <w:r w:rsidR="000E1C36" w:rsidRPr="003E4DDC">
              <w:rPr>
                <w:rFonts w:ascii="Times New Roman" w:hAnsi="Times New Roman"/>
              </w:rPr>
              <w:t>zalece</w:t>
            </w:r>
            <w:r w:rsidR="005D5F92" w:rsidRPr="003E4DDC">
              <w:rPr>
                <w:rFonts w:ascii="Times New Roman" w:hAnsi="Times New Roman"/>
              </w:rPr>
              <w:t>niami dotyczącymi stosowania dla danego zakresu stosowania produktu biobójczego</w:t>
            </w:r>
            <w:r w:rsidRPr="003E4DDC">
              <w:rPr>
                <w:rFonts w:ascii="Times New Roman" w:hAnsi="Times New Roman"/>
              </w:rPr>
              <w:t xml:space="preserve"> </w:t>
            </w:r>
            <w:r w:rsidR="005D5F92" w:rsidRPr="003E4DDC">
              <w:rPr>
                <w:rFonts w:ascii="Times New Roman" w:hAnsi="Times New Roman"/>
              </w:rPr>
              <w:t>.</w:t>
            </w:r>
            <w:r w:rsidR="003442BE" w:rsidRPr="003E4DDC">
              <w:rPr>
                <w:rFonts w:ascii="Times New Roman" w:hAnsi="Times New Roman"/>
              </w:rPr>
              <w:t xml:space="preserve"> </w:t>
            </w:r>
            <w:r w:rsidR="00AA31E8" w:rsidRPr="003E4DDC">
              <w:rPr>
                <w:rFonts w:ascii="Times New Roman" w:hAnsi="Times New Roman"/>
              </w:rPr>
              <w:t xml:space="preserve">Powyższa zmiana związana jest m. in. z zapisami rozporządzenia </w:t>
            </w:r>
            <w:r w:rsidR="000C06C0" w:rsidRPr="003E4DDC">
              <w:rPr>
                <w:rFonts w:ascii="Times New Roman" w:hAnsi="Times New Roman"/>
              </w:rPr>
              <w:t>Parlamentu Europejskiego i Rady (WE) nr 1272/2008 z dnia 16 grudnia 2008 r. w sprawie klasyfikacji, oznakowania i pakowania substancji i mieszanin, zmieniające i uchylające dyrektywy 67/548/EWG i 1999/45/WE oraz zmieniające rozporządzenie (WE) nr 1907/2006 (Dz.U. L 353 z 31.12.2008, str. 1</w:t>
            </w:r>
            <w:r w:rsidR="007D1E90" w:rsidRPr="003E4DDC">
              <w:rPr>
                <w:rFonts w:ascii="Times New Roman" w:hAnsi="Times New Roman"/>
              </w:rPr>
              <w:t xml:space="preserve">, z </w:t>
            </w:r>
            <w:proofErr w:type="spellStart"/>
            <w:r w:rsidR="007D1E90" w:rsidRPr="003E4DDC">
              <w:rPr>
                <w:rFonts w:ascii="Times New Roman" w:hAnsi="Times New Roman"/>
              </w:rPr>
              <w:t>późn</w:t>
            </w:r>
            <w:proofErr w:type="spellEnd"/>
            <w:r w:rsidR="007D1E90" w:rsidRPr="003E4DDC">
              <w:rPr>
                <w:rFonts w:ascii="Times New Roman" w:hAnsi="Times New Roman"/>
              </w:rPr>
              <w:t>. zm.</w:t>
            </w:r>
            <w:r w:rsidR="000C06C0" w:rsidRPr="003E4DDC">
              <w:rPr>
                <w:rFonts w:ascii="Times New Roman" w:hAnsi="Times New Roman"/>
              </w:rPr>
              <w:t xml:space="preserve">) (rozporządzenie </w:t>
            </w:r>
            <w:r w:rsidR="00AA31E8" w:rsidRPr="003E4DDC">
              <w:rPr>
                <w:rFonts w:ascii="Times New Roman" w:hAnsi="Times New Roman"/>
              </w:rPr>
              <w:t>CLP</w:t>
            </w:r>
            <w:r w:rsidR="000C06C0" w:rsidRPr="003E4DDC">
              <w:rPr>
                <w:rFonts w:ascii="Times New Roman" w:hAnsi="Times New Roman"/>
              </w:rPr>
              <w:t xml:space="preserve">- </w:t>
            </w:r>
            <w:r w:rsidR="00D90FB3" w:rsidRPr="003E4DDC">
              <w:rPr>
                <w:rFonts w:ascii="Times New Roman" w:hAnsi="Times New Roman"/>
              </w:rPr>
              <w:t xml:space="preserve">ang. </w:t>
            </w:r>
            <w:proofErr w:type="spellStart"/>
            <w:r w:rsidR="00D90FB3" w:rsidRPr="003E4DDC">
              <w:rPr>
                <w:rFonts w:ascii="Times New Roman" w:hAnsi="Times New Roman"/>
              </w:rPr>
              <w:t>Classification</w:t>
            </w:r>
            <w:proofErr w:type="spellEnd"/>
            <w:r w:rsidR="00D90FB3" w:rsidRPr="003E4DDC">
              <w:rPr>
                <w:rFonts w:ascii="Times New Roman" w:hAnsi="Times New Roman"/>
              </w:rPr>
              <w:t xml:space="preserve">, </w:t>
            </w:r>
            <w:proofErr w:type="spellStart"/>
            <w:r w:rsidR="00D90FB3" w:rsidRPr="003E4DDC">
              <w:rPr>
                <w:rFonts w:ascii="Times New Roman" w:hAnsi="Times New Roman"/>
              </w:rPr>
              <w:t>Labelling</w:t>
            </w:r>
            <w:proofErr w:type="spellEnd"/>
            <w:r w:rsidR="00D90FB3" w:rsidRPr="003E4DDC">
              <w:rPr>
                <w:rFonts w:ascii="Times New Roman" w:hAnsi="Times New Roman"/>
              </w:rPr>
              <w:t xml:space="preserve"> and </w:t>
            </w:r>
            <w:proofErr w:type="spellStart"/>
            <w:r w:rsidR="00D90FB3" w:rsidRPr="003E4DDC">
              <w:rPr>
                <w:rFonts w:ascii="Times New Roman" w:hAnsi="Times New Roman"/>
              </w:rPr>
              <w:t>Packaging</w:t>
            </w:r>
            <w:proofErr w:type="spellEnd"/>
            <w:r w:rsidR="000C06C0" w:rsidRPr="003E4DDC">
              <w:rPr>
                <w:rFonts w:ascii="Times New Roman" w:hAnsi="Times New Roman"/>
              </w:rPr>
              <w:t>)</w:t>
            </w:r>
            <w:r w:rsidR="0059461A" w:rsidRPr="003E4DDC">
              <w:rPr>
                <w:rFonts w:ascii="Times New Roman" w:hAnsi="Times New Roman"/>
              </w:rPr>
              <w:t xml:space="preserve">. Zgodnie z art. 1 przedmiotowego aktu prawnego, </w:t>
            </w:r>
            <w:r w:rsidR="00AA31E8" w:rsidRPr="003E4DDC">
              <w:rPr>
                <w:rFonts w:ascii="Times New Roman" w:hAnsi="Times New Roman"/>
              </w:rPr>
              <w:t xml:space="preserve">celem niniejszego rozporządzenia jest zapewnienie wysokiego poziomu ochrony zdrowia ludzi i środowiska, a także swobodnego przepływu substancji, mieszanin i wyrobów, o których mowa w art. 4 ust. 8 niniejszego rozporządzenia </w:t>
            </w:r>
            <w:r w:rsidR="00D90FB3" w:rsidRPr="003E4DDC">
              <w:rPr>
                <w:rFonts w:ascii="Times New Roman" w:hAnsi="Times New Roman"/>
              </w:rPr>
              <w:t xml:space="preserve">m. in. </w:t>
            </w:r>
            <w:r w:rsidR="00AA31E8" w:rsidRPr="003E4DDC">
              <w:rPr>
                <w:rFonts w:ascii="Times New Roman" w:hAnsi="Times New Roman"/>
              </w:rPr>
              <w:t xml:space="preserve">za pomocą: a) zharmonizowania kryteriów klasyfikacji substancji i mieszanin oraz przepisów dotyczących oznakowania i pakowania substancji i mieszanin stwarzających </w:t>
            </w:r>
            <w:r w:rsidR="00D90FB3" w:rsidRPr="003E4DDC">
              <w:rPr>
                <w:rFonts w:ascii="Times New Roman" w:hAnsi="Times New Roman"/>
              </w:rPr>
              <w:t>zagrożenie</w:t>
            </w:r>
            <w:r w:rsidR="007D1E90" w:rsidRPr="003E4DDC">
              <w:rPr>
                <w:rFonts w:ascii="Times New Roman" w:hAnsi="Times New Roman"/>
              </w:rPr>
              <w:t>,</w:t>
            </w:r>
            <w:r w:rsidR="00D90FB3" w:rsidRPr="003E4DDC">
              <w:rPr>
                <w:rFonts w:ascii="Times New Roman" w:hAnsi="Times New Roman"/>
              </w:rPr>
              <w:t xml:space="preserve"> </w:t>
            </w:r>
            <w:r w:rsidR="007D1E90" w:rsidRPr="003E4DDC">
              <w:rPr>
                <w:rFonts w:ascii="Times New Roman" w:hAnsi="Times New Roman"/>
              </w:rPr>
              <w:br/>
            </w:r>
            <w:r w:rsidR="00D90FB3" w:rsidRPr="003E4DDC">
              <w:rPr>
                <w:rFonts w:ascii="Times New Roman" w:hAnsi="Times New Roman"/>
              </w:rPr>
              <w:t>b) nałożenia na:</w:t>
            </w:r>
            <w:r w:rsidR="00AA31E8" w:rsidRPr="003E4DDC">
              <w:rPr>
                <w:rFonts w:ascii="Times New Roman" w:hAnsi="Times New Roman"/>
              </w:rPr>
              <w:t xml:space="preserve"> producentów, importerów i dalszych użytkowników – obowiązku klasyfikowania substancji i mieszan</w:t>
            </w:r>
            <w:r w:rsidR="00D90FB3" w:rsidRPr="003E4DDC">
              <w:rPr>
                <w:rFonts w:ascii="Times New Roman" w:hAnsi="Times New Roman"/>
              </w:rPr>
              <w:t xml:space="preserve">in wprowadzanych do obrotu; </w:t>
            </w:r>
            <w:r w:rsidR="00AA31E8" w:rsidRPr="003E4DDC">
              <w:rPr>
                <w:rFonts w:ascii="Times New Roman" w:hAnsi="Times New Roman"/>
              </w:rPr>
              <w:t>dostawców – obowiązku oznakowania i pakowania substancji i mieszanin wprowadzanych do obrotu.</w:t>
            </w:r>
          </w:p>
          <w:p w14:paraId="03F9D89B" w14:textId="77777777" w:rsidR="007D1E90" w:rsidRPr="003E4DDC" w:rsidRDefault="00B90568" w:rsidP="007D1E90">
            <w:pPr>
              <w:pStyle w:val="Akapitzlist"/>
              <w:spacing w:line="240" w:lineRule="auto"/>
              <w:jc w:val="both"/>
              <w:rPr>
                <w:rFonts w:ascii="Times New Roman" w:hAnsi="Times New Roman"/>
              </w:rPr>
            </w:pPr>
            <w:r w:rsidRPr="003E4DDC">
              <w:rPr>
                <w:rFonts w:ascii="Times New Roman" w:hAnsi="Times New Roman"/>
              </w:rPr>
              <w:lastRenderedPageBreak/>
              <w:t xml:space="preserve">Powyższe </w:t>
            </w:r>
            <w:r w:rsidR="00CF1E96" w:rsidRPr="003E4DDC">
              <w:rPr>
                <w:rFonts w:ascii="Times New Roman" w:hAnsi="Times New Roman"/>
              </w:rPr>
              <w:t>wynika również z brzmienia a</w:t>
            </w:r>
            <w:r w:rsidR="00AA31E8" w:rsidRPr="003E4DDC">
              <w:rPr>
                <w:rFonts w:ascii="Times New Roman" w:hAnsi="Times New Roman"/>
              </w:rPr>
              <w:t>rt. 33 ust. 1 ustawy o produktach biobójczych: produkt biobójczy, na który wydano pozwolenie na obrót, jest klasyfikowany i oznakowany zgodnie z przepisami o substancjach chemicznych i ich mieszaninach.</w:t>
            </w:r>
          </w:p>
          <w:p w14:paraId="483CF649" w14:textId="77777777" w:rsidR="007D1E90" w:rsidRPr="003E4DDC" w:rsidRDefault="003442BE" w:rsidP="007D1E90">
            <w:pPr>
              <w:pStyle w:val="Akapitzlist"/>
              <w:spacing w:line="240" w:lineRule="auto"/>
              <w:jc w:val="both"/>
              <w:rPr>
                <w:rFonts w:ascii="Times New Roman" w:hAnsi="Times New Roman"/>
              </w:rPr>
            </w:pPr>
            <w:r w:rsidRPr="003E4DDC">
              <w:rPr>
                <w:rFonts w:ascii="Times New Roman" w:hAnsi="Times New Roman"/>
              </w:rPr>
              <w:t xml:space="preserve">Konsekwencją </w:t>
            </w:r>
            <w:r w:rsidR="00B90568" w:rsidRPr="003E4DDC">
              <w:rPr>
                <w:rFonts w:ascii="Times New Roman" w:hAnsi="Times New Roman"/>
              </w:rPr>
              <w:t xml:space="preserve">proponowanej </w:t>
            </w:r>
            <w:r w:rsidRPr="003E4DDC">
              <w:rPr>
                <w:rFonts w:ascii="Times New Roman" w:hAnsi="Times New Roman"/>
              </w:rPr>
              <w:t>zmian</w:t>
            </w:r>
            <w:r w:rsidR="00B90568" w:rsidRPr="003E4DDC">
              <w:rPr>
                <w:rFonts w:ascii="Times New Roman" w:hAnsi="Times New Roman"/>
              </w:rPr>
              <w:t>y będzie pozyskanie od wnioskodawcy informacji dotyczących stosowania</w:t>
            </w:r>
            <w:r w:rsidR="002D1990" w:rsidRPr="003E4DDC">
              <w:rPr>
                <w:rFonts w:ascii="Times New Roman" w:hAnsi="Times New Roman"/>
              </w:rPr>
              <w:t xml:space="preserve"> tj. szkodliwych organizmów podlegających zwalczaniu, zakresu </w:t>
            </w:r>
            <w:r w:rsidR="000E1C36" w:rsidRPr="003E4DDC">
              <w:rPr>
                <w:rFonts w:ascii="Times New Roman" w:hAnsi="Times New Roman"/>
              </w:rPr>
              <w:t xml:space="preserve">i sposobu </w:t>
            </w:r>
            <w:r w:rsidR="002D1990" w:rsidRPr="003E4DDC">
              <w:rPr>
                <w:rFonts w:ascii="Times New Roman" w:hAnsi="Times New Roman"/>
              </w:rPr>
              <w:t>stosowania produktu biobójczego, danych dotyczących dawki i częstotliwości stosowania jak równie innych  dodatkowych danych niezbędnych do je</w:t>
            </w:r>
            <w:r w:rsidR="000E1C36" w:rsidRPr="003E4DDC">
              <w:rPr>
                <w:rFonts w:ascii="Times New Roman" w:hAnsi="Times New Roman"/>
              </w:rPr>
              <w:t>go prawidłowego i bezpiecznego użycia.</w:t>
            </w:r>
            <w:r w:rsidR="002D1990" w:rsidRPr="003E4DDC">
              <w:rPr>
                <w:rFonts w:ascii="Times New Roman" w:hAnsi="Times New Roman"/>
              </w:rPr>
              <w:t xml:space="preserve"> Skutkiem będzie również rezygnacja z</w:t>
            </w:r>
            <w:r w:rsidR="000E1C36" w:rsidRPr="003E4DDC">
              <w:rPr>
                <w:rFonts w:ascii="Times New Roman" w:hAnsi="Times New Roman"/>
              </w:rPr>
              <w:t xml:space="preserve"> zapisów, które </w:t>
            </w:r>
            <w:r w:rsidR="002D1990" w:rsidRPr="003E4DDC">
              <w:rPr>
                <w:rFonts w:ascii="Times New Roman" w:hAnsi="Times New Roman"/>
              </w:rPr>
              <w:t xml:space="preserve">wprost </w:t>
            </w:r>
            <w:r w:rsidR="000E1C36" w:rsidRPr="003E4DDC">
              <w:rPr>
                <w:rFonts w:ascii="Times New Roman" w:hAnsi="Times New Roman"/>
              </w:rPr>
              <w:t xml:space="preserve">nie wynikają </w:t>
            </w:r>
            <w:r w:rsidR="0011555C" w:rsidRPr="003E4DDC">
              <w:rPr>
                <w:rFonts w:ascii="Times New Roman" w:hAnsi="Times New Roman"/>
              </w:rPr>
              <w:t>z przepisów dotyczących</w:t>
            </w:r>
            <w:r w:rsidR="002D1990" w:rsidRPr="003E4DDC">
              <w:rPr>
                <w:rFonts w:ascii="Times New Roman" w:hAnsi="Times New Roman"/>
              </w:rPr>
              <w:t xml:space="preserve"> produktów biobójczych, natomiast związanych z ww. rozporządzeniem CLP.</w:t>
            </w:r>
          </w:p>
          <w:p w14:paraId="50F25CD3" w14:textId="3946DD48" w:rsidR="00CF1E96" w:rsidRPr="003E4DDC" w:rsidRDefault="002D1990" w:rsidP="007D1E90">
            <w:pPr>
              <w:pStyle w:val="Akapitzlist"/>
              <w:spacing w:line="240" w:lineRule="auto"/>
              <w:jc w:val="both"/>
              <w:rPr>
                <w:rFonts w:ascii="Times New Roman" w:hAnsi="Times New Roman"/>
              </w:rPr>
            </w:pPr>
            <w:r w:rsidRPr="003E4DDC">
              <w:rPr>
                <w:rFonts w:ascii="Times New Roman" w:hAnsi="Times New Roman"/>
              </w:rPr>
              <w:t xml:space="preserve">Niniejsze działanie spowoduje uproszczenie przebiegu procedur, ponadto przedsiębiorcy unikną konieczności </w:t>
            </w:r>
            <w:r w:rsidR="00CF1E96" w:rsidRPr="003E4DDC">
              <w:rPr>
                <w:rFonts w:ascii="Times New Roman" w:hAnsi="Times New Roman"/>
              </w:rPr>
              <w:t>składania</w:t>
            </w:r>
            <w:r w:rsidRPr="003E4DDC">
              <w:rPr>
                <w:rFonts w:ascii="Times New Roman" w:hAnsi="Times New Roman"/>
              </w:rPr>
              <w:t xml:space="preserve"> wniosków o zmianę </w:t>
            </w:r>
            <w:r w:rsidR="00CF1E96" w:rsidRPr="003E4DDC">
              <w:rPr>
                <w:rFonts w:ascii="Times New Roman" w:hAnsi="Times New Roman"/>
              </w:rPr>
              <w:t>pozwolenia</w:t>
            </w:r>
            <w:r w:rsidRPr="003E4DDC">
              <w:rPr>
                <w:rFonts w:ascii="Times New Roman" w:hAnsi="Times New Roman"/>
              </w:rPr>
              <w:t xml:space="preserve"> na obrót, </w:t>
            </w:r>
            <w:r w:rsidR="00CF1E96" w:rsidRPr="003E4DDC">
              <w:rPr>
                <w:rFonts w:ascii="Times New Roman" w:hAnsi="Times New Roman"/>
              </w:rPr>
              <w:t>co umożliwi niezwłoczne wprowadzanie przez podmioty odpowiedzialne</w:t>
            </w:r>
            <w:r w:rsidRPr="003E4DDC">
              <w:rPr>
                <w:rFonts w:ascii="Times New Roman" w:hAnsi="Times New Roman"/>
              </w:rPr>
              <w:t xml:space="preserve"> </w:t>
            </w:r>
            <w:r w:rsidR="00CF1E96" w:rsidRPr="003E4DDC">
              <w:rPr>
                <w:rFonts w:ascii="Times New Roman" w:hAnsi="Times New Roman"/>
              </w:rPr>
              <w:t>zmian wymaganych</w:t>
            </w:r>
            <w:r w:rsidRPr="003E4DDC">
              <w:rPr>
                <w:rFonts w:ascii="Times New Roman" w:hAnsi="Times New Roman"/>
              </w:rPr>
              <w:t xml:space="preserve"> innymi przepisami prawa, np. </w:t>
            </w:r>
            <w:r w:rsidR="00CF1E96" w:rsidRPr="003E4DDC">
              <w:rPr>
                <w:rFonts w:ascii="Times New Roman" w:hAnsi="Times New Roman"/>
              </w:rPr>
              <w:t>kolejnymi nowelizacjami rozporządzenia CLP</w:t>
            </w:r>
            <w:r w:rsidR="007D1E90" w:rsidRPr="003E4DDC">
              <w:rPr>
                <w:rFonts w:ascii="Times New Roman" w:hAnsi="Times New Roman"/>
              </w:rPr>
              <w:t>;</w:t>
            </w:r>
            <w:r w:rsidR="00CF1E96" w:rsidRPr="003E4DDC">
              <w:rPr>
                <w:rFonts w:ascii="Times New Roman" w:hAnsi="Times New Roman"/>
              </w:rPr>
              <w:t xml:space="preserve"> </w:t>
            </w:r>
          </w:p>
          <w:p w14:paraId="53853AB7"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 xml:space="preserve">rozszerzenie katalogu spraw, które mogą zakończyć się pozostawieniem przez Prezesa Urzędu Rejestracji Produktów Leczniczych, Wyrobów Medycznych i Produktów Biobójczych, zwanego dalej „Prezesem Urzędu”, bez rozpoznania, w wyniku braku przedstawienia wymaganych informacji w postępowaniach; </w:t>
            </w:r>
          </w:p>
          <w:p w14:paraId="6BF7350E"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lang w:eastAsia="pl-PL"/>
              </w:rPr>
              <w:t>w</w:t>
            </w:r>
            <w:r w:rsidRPr="003E4DDC">
              <w:rPr>
                <w:rFonts w:ascii="Times New Roman" w:hAnsi="Times New Roman"/>
              </w:rPr>
              <w:t xml:space="preserve"> odniesieniu do oceny porównawczej produktów biobójczych uzupełnienie dotychczasowego art. 12 ust. 2 ustawy o odesłanie do art. 23 ust. 7 rozporządzenia 528/2012 celem wskazania sposobu zakończenia postępowań określonych w tym przepisie. Tym samym, wskazana zostanie możliwość uchylenia pozwolenia w całości lub części, uregulowana sytuacja, gdy produkt biobójczy zawierający substancję czynną kwalifikującą się do zastąpienia nie przejdzie pozytywnie oceny</w:t>
            </w:r>
            <w:r w:rsidR="002736E5" w:rsidRPr="003E4DDC">
              <w:rPr>
                <w:rFonts w:ascii="Times New Roman" w:hAnsi="Times New Roman"/>
              </w:rPr>
              <w:t xml:space="preserve">, co nie było do tej pory </w:t>
            </w:r>
            <w:r w:rsidR="003442BE" w:rsidRPr="003E4DDC">
              <w:rPr>
                <w:rFonts w:ascii="Times New Roman" w:hAnsi="Times New Roman"/>
              </w:rPr>
              <w:t>uregulowane</w:t>
            </w:r>
            <w:r w:rsidRPr="003E4DDC">
              <w:rPr>
                <w:rFonts w:ascii="Times New Roman" w:hAnsi="Times New Roman"/>
              </w:rPr>
              <w:t>;</w:t>
            </w:r>
          </w:p>
          <w:p w14:paraId="51DB2FAE"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ograniczenie dokumentów wymaganych do przedłożenia wraz z wnioskiem o wydanie pozwolenia na obrót do sprawozdania z badań potwierdzających skuteczność produktu biobójczego, upoważnienia do korzystania z danych (jeśli dotyczy) oraz informacji o nazwie dostawcy substancji czynnej lub dostawcy produktu biobójczego znajdującego się w wykazie, o którym mowa w art. 95 rozporządzenia 528/2012;</w:t>
            </w:r>
          </w:p>
          <w:p w14:paraId="4C236777"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umożliwienie wnioskodawcom dołączenia do wniosku danych literaturowych potwierdzających skuteczność produktu biobójczego, w sytuacji wystąpienia zagrożenia dla zdrowia publicznego, którego nie można powstrzymać innymi środkami, dotyczy  to w szczególności sytuacji kryzysowych, takich jak pandemia COVID-19, gdzie wykorzystano narzędzia regulacyjne określone w przepisie art. 55 ust.1 rozporządzenia 528/2012;</w:t>
            </w:r>
          </w:p>
          <w:p w14:paraId="0F114865" w14:textId="77777777" w:rsidR="007D1E90" w:rsidRPr="003E4DDC" w:rsidRDefault="006E59C7" w:rsidP="001A400A">
            <w:pPr>
              <w:pStyle w:val="Akapitzlist"/>
              <w:numPr>
                <w:ilvl w:val="0"/>
                <w:numId w:val="32"/>
              </w:numPr>
              <w:spacing w:line="240" w:lineRule="auto"/>
              <w:jc w:val="both"/>
              <w:rPr>
                <w:rFonts w:ascii="Times New Roman" w:hAnsi="Times New Roman"/>
                <w:lang w:eastAsia="pl-PL"/>
              </w:rPr>
            </w:pPr>
            <w:r w:rsidRPr="003E4DDC">
              <w:rPr>
                <w:rFonts w:ascii="Times New Roman" w:hAnsi="Times New Roman"/>
              </w:rPr>
              <w:t xml:space="preserve">jednoznaczne wskazanie w przepisach ustawy, obecność których substancji czynnych kwalifikuje produkt do trybu rejestracji w procedurze narodowej. Dla zapewnienia kompleksowości rozwiązań przyjętych w art. 89 rozporządzenia 528/2012 proponuje się dodać w art. 19 ust. 1 pkt 1 ustawy możliwość opisaną w art. 89 ust. 2 lit. b rozporządzenia 528/2012, czyli możliwość kombinacji substancji czynnych zatwierdzonych i znajdujących się jeszcze w programie przeglądu. Obecnie art. 19 ust. 1 pkt 1 </w:t>
            </w:r>
            <w:r w:rsidR="007D1E90" w:rsidRPr="003E4DDC">
              <w:rPr>
                <w:rFonts w:ascii="Times New Roman" w:hAnsi="Times New Roman"/>
              </w:rPr>
              <w:t xml:space="preserve">ustawy </w:t>
            </w:r>
            <w:r w:rsidRPr="003E4DDC">
              <w:rPr>
                <w:rFonts w:ascii="Times New Roman" w:hAnsi="Times New Roman"/>
              </w:rPr>
              <w:t>uwzględniał możliwość wydania pozwolenia na obrót w przypadkach określonych w art. 89 ust. 2 lit. a rozporządzenia 528/2012, natomiast nie uwzględniał możliwości opisanej w art. 89 ust. 2 lit. b. Projektowana zmiana art. 19 ust. 1 pkt 1 ustawy uwzględniać będzie zatem wszystkie możliwości wskazane w art. 89 ust. 2 rozporządzenia 528/2012 odnoszące się do środków przejściowych stosowanych na gruncie prawa krajowego;</w:t>
            </w:r>
          </w:p>
          <w:p w14:paraId="4CC20C0A"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 xml:space="preserve">dodanie uprawnienia dla Prezesa Urzędu do wyznaczania terminu na przedstawienie przez podmiot odpowiedzialny dodatkowych danych lub informacji dotyczących zagrożenia dla zdrowia ludzi, zwierząt lub środowiska w wyniku stosowania produktu biobójczego. </w:t>
            </w:r>
            <w:r w:rsidRPr="003E4DDC">
              <w:rPr>
                <w:rFonts w:ascii="Times New Roman" w:hAnsi="Times New Roman"/>
                <w:lang w:eastAsia="pl-PL"/>
              </w:rPr>
              <w:t xml:space="preserve"> Jednocześnie niezbędne jest dodanie możliwości uchylenia pozwolenia na obrót w sytuacji nieprzedstawienia przez podmiot powyższych danych lub informacji </w:t>
            </w:r>
            <w:r w:rsidRPr="003E4DDC">
              <w:rPr>
                <w:rFonts w:ascii="Times New Roman" w:hAnsi="Times New Roman"/>
              </w:rPr>
              <w:t>oraz w sytuacji, gdy przedstawione informacje i dane nie potwierdzają braku zagrożenia dla zdrowia ludzi, zwierząt lub środowiska albo spełnienia warunków określonych w pozwoleniu na obrót</w:t>
            </w:r>
            <w:r w:rsidRPr="003E4DDC">
              <w:rPr>
                <w:rFonts w:ascii="Times New Roman" w:hAnsi="Times New Roman"/>
                <w:lang w:eastAsia="pl-PL"/>
              </w:rPr>
              <w:t>. Przeprowadzenie postępowania administracyjnego umożliwi dokładne ustalenie zagrożenia oraz zastosowanie instrumentów prawnych w celu jego usunięcia, czyli uchylenia bądź zmiany istniejącego pozwolenia na obrót. Również ze względów bezpieczeństwa i konieczności aktualizacji danych dotyczących podmiotu odpowiedzialnego oraz samego produktu biobójczego, należy dodać w projektowanych przepisach możliwość uchylenia pozwolenia na obrót w przypadku niepoinformowania Prezesa Urzędu o danych i okolicznościach, które wpłynęły na zmianę warunków niezbędnych dla wydania pozwolenia</w:t>
            </w:r>
            <w:r w:rsidR="00417DC7" w:rsidRPr="003E4DDC">
              <w:rPr>
                <w:rFonts w:ascii="Times New Roman" w:hAnsi="Times New Roman"/>
                <w:lang w:eastAsia="pl-PL"/>
              </w:rPr>
              <w:t>. Dotychczas w myśl art. 23 ustawy Prezes Urzędu po uzyskaniu informacji dotyczących zagrożenia dla zdrowia ludzi, zwierząt lub środowiska albo informacji wskazujących, że nie są spełniane warunki określone w pozwoleniu na obrót, dokonywał przeglądu dokumentacji stanowiącej podstawę wydania pozwolenia oraz, w razie potrzeby, mógł zażądać od podmiotu odpowiedzialnego przedstawienia dodatkowych danych lub informacji w tym zakresie. Brak terminu na dokonanie ww. czynności oraz brak regulacji w art. 24 ustawy, wprost odnoszącej się do skutków niewykonania tego obowiązku poprzez uchylenie pozwolenia, rodziły wątpliwości interpretacyjne, które należało usunąć</w:t>
            </w:r>
            <w:r w:rsidR="00157A28" w:rsidRPr="003E4DDC">
              <w:rPr>
                <w:rFonts w:ascii="Times New Roman" w:hAnsi="Times New Roman"/>
                <w:lang w:eastAsia="pl-PL"/>
              </w:rPr>
              <w:t>;</w:t>
            </w:r>
            <w:r w:rsidR="00E97A4F" w:rsidRPr="003E4DDC">
              <w:rPr>
                <w:rFonts w:ascii="Times New Roman" w:hAnsi="Times New Roman"/>
                <w:lang w:eastAsia="pl-PL"/>
              </w:rPr>
              <w:t xml:space="preserve"> </w:t>
            </w:r>
          </w:p>
          <w:p w14:paraId="72EBF970"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lang w:eastAsia="pl-PL"/>
              </w:rPr>
              <w:t xml:space="preserve">uporządkowanie kwestii dotyczących właściwego udostępniania produktów biobójczych na rynku, przez doprecyzowanie brzmienia obowiązującego art. 33 ustawy i wskazanie, że produkt biobójczy powinien być nie tylko oznakowany i klasyfikowany zgodnie z przepisami o substancjach chemicznych i ich mieszaninach, ale również pakowany zgodnie z tymi przepisami. </w:t>
            </w:r>
            <w:r w:rsidR="00E97A4F" w:rsidRPr="003E4DDC">
              <w:rPr>
                <w:rFonts w:ascii="Times New Roman" w:hAnsi="Times New Roman"/>
                <w:lang w:eastAsia="pl-PL"/>
              </w:rPr>
              <w:t xml:space="preserve">Powyższe realizuje dyspozycję art. 2 ust. 3 rozporządzenia 528/2012 stanowiącego, iż z zastrzeżeniem jakichkolwiek przepisów wyraźnie stanowiących inaczej zawartych ww. rozporządzeniu lub innych przepisach unijnych, rozporządzenie to nie narusza aktów prawnych m.in.: takich, jak rozporządzenie (WE) nr 1907/2006 Parlamentu Europejskiego i Rady z dnia 18 grudnia 2006 r. w sprawie </w:t>
            </w:r>
            <w:r w:rsidR="00E97A4F" w:rsidRPr="003E4DDC">
              <w:rPr>
                <w:rFonts w:ascii="Times New Roman" w:hAnsi="Times New Roman"/>
                <w:lang w:eastAsia="pl-PL"/>
              </w:rPr>
              <w:lastRenderedPageBreak/>
              <w:t xml:space="preserve">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(Dz. Urz. UE L 136 z 29.5.2007, str. 3) i rozporządzenie Parlamentu Europejskiego i Rady (WE/) nr 1272/2008 z dnia 16 grudnia 2008 r. w sprawie klasyfikacji, oznakowania i pakowania substancji i mieszanin, zmieniające i uchylające dyrektywy 67/548/EWG i 1999/45/WE oraz zmieniające rozporządzenie (WE) nr 1907/2006 (Dz. Urz. UE L 353 z 31.12.2008, str. 1, z </w:t>
            </w:r>
            <w:proofErr w:type="spellStart"/>
            <w:r w:rsidR="00E97A4F" w:rsidRPr="003E4DDC">
              <w:rPr>
                <w:rFonts w:ascii="Times New Roman" w:hAnsi="Times New Roman"/>
                <w:lang w:eastAsia="pl-PL"/>
              </w:rPr>
              <w:t>późn</w:t>
            </w:r>
            <w:proofErr w:type="spellEnd"/>
            <w:r w:rsidR="00E97A4F" w:rsidRPr="003E4DDC">
              <w:rPr>
                <w:rFonts w:ascii="Times New Roman" w:hAnsi="Times New Roman"/>
                <w:lang w:eastAsia="pl-PL"/>
              </w:rPr>
              <w:t xml:space="preserve">. zm.). </w:t>
            </w:r>
            <w:r w:rsidRPr="003E4DDC">
              <w:rPr>
                <w:rFonts w:ascii="Times New Roman" w:hAnsi="Times New Roman"/>
                <w:lang w:eastAsia="pl-PL"/>
              </w:rPr>
              <w:t>W związku ze zmianą art. 33 ustawy konieczne będzie uchylenie art. 31 ustawy powielającego informacje dotyczące pakowania produktów.</w:t>
            </w:r>
            <w:r w:rsidRPr="003E4DDC">
              <w:rPr>
                <w:rFonts w:ascii="Times New Roman" w:hAnsi="Times New Roman"/>
              </w:rPr>
              <w:t xml:space="preserve"> W związku z uchyleniem art. 31 usunięte będą w art. 34 oraz art. 46 ust 1 pkt 2 odesłania do uchylanego artykułu;</w:t>
            </w:r>
          </w:p>
          <w:p w14:paraId="158FA7B9"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doprecyzowanie, iż zmiana pozwolenia na obrót w zakresie substancji czynnej jest zmianą polegającą na dodaniu lub usunięciu substancji czynnej;</w:t>
            </w:r>
          </w:p>
          <w:p w14:paraId="59F7D4BE"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 xml:space="preserve">doprecyzowanie przepisu art. 51 </w:t>
            </w:r>
            <w:r w:rsidR="007D1E90" w:rsidRPr="003E4DDC">
              <w:rPr>
                <w:rFonts w:ascii="Times New Roman" w:hAnsi="Times New Roman"/>
              </w:rPr>
              <w:t xml:space="preserve">ustawy </w:t>
            </w:r>
            <w:r w:rsidRPr="003E4DDC">
              <w:rPr>
                <w:rFonts w:ascii="Times New Roman" w:hAnsi="Times New Roman"/>
              </w:rPr>
              <w:t>przez wskazanie w ust. 1, że umorzenie postępowania o wydanie pozwolenia na obrót lub zmianę pozwolenia na obrót lub zmianę podmiotu odpowiedzialnego może nastąpić w sytuacji zatwierdzenia ostatniej substancji czynnej znajdującej się w produkcie, czyli w sytuacji, gdy wszystkie substancje znajdujące się w produkcie posiadają status „zatwierdzona”. W tej sytuacji państwo członkowskie nie może stosować już narodowej procedury wydawania pozwolenia na udostępnianie i stosowanie produktów biobójczych, ale procedury zgodne z przepisami rozporządzenia 528/2012. Konsekwentnie, postępowania toczące się w dniu wydania decyzji o niezatwierdzeniu substancji czynnej zawartej w produkcie biobójczym będą umarzane;</w:t>
            </w:r>
          </w:p>
          <w:p w14:paraId="2B3E687A"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 xml:space="preserve">doprecyzowanie przepisów dotyczących przyznawania okresu na zużycie zapasów produktu biobójczego w sytuacji, gdy pozwolenie na obrót ulega zmianie, uchyleniu lub wygaszeniu. Wychodząc naprzeciw oczekiwaniom posiadaczy pozwoleń i podmiotów odpowiedzialnych zaproponowano, aby okres na zużycie zapasów przyznawany był z urzędu, a nie na wniosek strony. Przyjęte rozwiązanie zmniejszy obciążenie administracyjne dla uczestników postępowania przez uniknięcie rozpatrywania dodatkowych wniosków strony o przyznanie okresu na zużycie zapasów produktu biobójczego. W celu eliminacji wątpliwości interpretacyjnych w projektowanych przepisach zostanie  wprost wskazana  możliwość przyznania okresu na zużycie zapasów produktu biobójczego w przypadku zmiany podmiotu odpowiedzialnego; </w:t>
            </w:r>
          </w:p>
          <w:p w14:paraId="78B7448A"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doprecyzowanie art. 35</w:t>
            </w:r>
            <w:r w:rsidR="0011555C" w:rsidRPr="003E4DDC">
              <w:rPr>
                <w:rFonts w:ascii="Times New Roman" w:hAnsi="Times New Roman"/>
              </w:rPr>
              <w:t xml:space="preserve"> ustawy</w:t>
            </w:r>
            <w:r w:rsidRPr="003E4DDC">
              <w:rPr>
                <w:rFonts w:ascii="Times New Roman" w:hAnsi="Times New Roman"/>
              </w:rPr>
              <w:t>, dotyczącego wygaśnięcia pozwolenia na obrót w przypadku wydania decyzji Komisji Europejskiej o niezatwierdzeniu substancji będącej substancją czynną danego produktu biobó</w:t>
            </w:r>
            <w:r w:rsidR="0011555C" w:rsidRPr="003E4DDC">
              <w:rPr>
                <w:rFonts w:ascii="Times New Roman" w:hAnsi="Times New Roman"/>
              </w:rPr>
              <w:t>jczego objętego tym pozwoleniem;</w:t>
            </w:r>
          </w:p>
          <w:p w14:paraId="05EC7833"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doprecyzowanie brzmienia art. 36 ust. 2 zgodnie z art. 89 rozporządzenia 528/2012 w sposób uwzględniający przesłanki wygaśnięcia pozwolenia na obrót w przypadku, gdy nie później niż do dnia zatwierdzenia ostatniej substancji czynnej złożono wniosek o wydanie pozwolenia;</w:t>
            </w:r>
          </w:p>
          <w:p w14:paraId="52A4EB27" w14:textId="77777777" w:rsidR="007D1E90" w:rsidRPr="003E4DDC" w:rsidRDefault="006E59C7" w:rsidP="001A400A">
            <w:pPr>
              <w:pStyle w:val="Akapitzlist"/>
              <w:numPr>
                <w:ilvl w:val="0"/>
                <w:numId w:val="32"/>
              </w:numPr>
              <w:spacing w:line="240" w:lineRule="auto"/>
              <w:jc w:val="both"/>
              <w:rPr>
                <w:rFonts w:ascii="Times New Roman" w:hAnsi="Times New Roman"/>
              </w:rPr>
            </w:pPr>
            <w:r w:rsidRPr="003E4DDC">
              <w:rPr>
                <w:rFonts w:ascii="Times New Roman" w:hAnsi="Times New Roman"/>
              </w:rPr>
              <w:t xml:space="preserve">pogrupowanie działań Prezesa Urzędu na podejmowane zgodnie z warunkami decyzji o niezatwierdzeniu substancji oraz rozporządzenia wykonawczego dotyczącego zatwierdzenia substancji w celu właściwego stosowania przepisów art. 89 ust. 2 akapit 2 w zw. z ust. 3 rozporządzenia 528/2012 odnoszących się do środków przejściowych dotyczących udostępniania i stosowania produktów biobójczych. Uregulowane zostaną również kwestie dotyczące terminów na wykorzystanie zapasów produktu biobójczego, dla którego pozwolenie zostało wygaszone lub zmienione zgodnie z warunkami decyzji o niezatwierdzeniu substancji czynnej lub zostało wygaszone lub zmienione zgodnie z warunkami rozporządzenia wykonawczego dotyczącego zatwierdzenia substancji. Analogiczne kwestie doprecyzowane zostaną w przypadku produktów biobójczych,  których wszystkie substancje czynne zostały zatwierdzone; </w:t>
            </w:r>
          </w:p>
          <w:p w14:paraId="750EC322" w14:textId="77777777" w:rsidR="002D646E" w:rsidRPr="003E4DDC" w:rsidRDefault="006E59C7" w:rsidP="002D646E">
            <w:pPr>
              <w:pStyle w:val="Akapitzlist"/>
              <w:numPr>
                <w:ilvl w:val="0"/>
                <w:numId w:val="32"/>
              </w:numPr>
              <w:spacing w:line="240" w:lineRule="auto"/>
              <w:ind w:hanging="369"/>
              <w:jc w:val="both"/>
              <w:rPr>
                <w:rFonts w:ascii="Times New Roman" w:hAnsi="Times New Roman"/>
              </w:rPr>
            </w:pPr>
            <w:r w:rsidRPr="003E4DDC">
              <w:rPr>
                <w:rFonts w:ascii="Times New Roman" w:hAnsi="Times New Roman"/>
              </w:rPr>
              <w:t xml:space="preserve">konieczność zmian w obszarze opłat za czynności Prezesa Urzędu podejmowane w zakresie dotyczącym wykonywania przepisów rozporządzenia 528/2012. Rewizji przepisów dokonano z uwzględnieniem wytycznych wskazanych w art. 80 ust. 2 i 3  rozporządzenia 528/2012, w tym z uwzględnieniem określonego nakładu pracy organu. W art. 44 ust. 2 pkt 1 </w:t>
            </w:r>
            <w:r w:rsidR="007D1E90" w:rsidRPr="003E4DDC">
              <w:rPr>
                <w:rFonts w:ascii="Times New Roman" w:hAnsi="Times New Roman"/>
              </w:rPr>
              <w:t xml:space="preserve">ustawy </w:t>
            </w:r>
            <w:r w:rsidRPr="003E4DDC">
              <w:rPr>
                <w:rFonts w:ascii="Times New Roman" w:hAnsi="Times New Roman"/>
              </w:rPr>
              <w:t>planuje się uchylić lit. h, odnoszącą się do opłat pobieranych za ocenę kompletności wniosku o uchylenie pozwolenia krajowego, składanego zgodnie z art. 49 rozporządzenia 528/2012, uznając powyższe za nadmierne obciążenie dla posiadaczy pozwoleń.  Rezygnacja z ww. opłaty ma zachęcać posiadaczy pozwoleń do dopełnienia formalności w przypadku, gdy przestają udostępniać dany produkt, tak  aby w Wykazie Produktów Biobójczych nie figurowały pozwolenia na produkty biobójcze, które nie są już w praktyce udostępniane.</w:t>
            </w:r>
          </w:p>
          <w:p w14:paraId="080C308C" w14:textId="60EFD1EB" w:rsidR="006E59C7" w:rsidRPr="003E4DDC" w:rsidRDefault="006E59C7" w:rsidP="002D646E">
            <w:pPr>
              <w:pStyle w:val="Akapitzlist"/>
              <w:spacing w:line="240" w:lineRule="auto"/>
              <w:jc w:val="both"/>
              <w:rPr>
                <w:rFonts w:ascii="Times New Roman" w:hAnsi="Times New Roman"/>
              </w:rPr>
            </w:pPr>
            <w:r w:rsidRPr="003E4DDC">
              <w:rPr>
                <w:rFonts w:ascii="Times New Roman" w:hAnsi="Times New Roman"/>
              </w:rPr>
              <w:t>Rozszerzono katalog czynności podlegających opłacie o czynności Prezesa Urzędu</w:t>
            </w:r>
            <w:r w:rsidR="002D646E" w:rsidRPr="003E4DDC">
              <w:rPr>
                <w:rFonts w:ascii="Times New Roman" w:hAnsi="Times New Roman"/>
              </w:rPr>
              <w:t xml:space="preserve"> dokonywane w postępowaniach dotyczących</w:t>
            </w:r>
            <w:r w:rsidRPr="003E4DDC">
              <w:rPr>
                <w:rFonts w:ascii="Times New Roman" w:hAnsi="Times New Roman"/>
              </w:rPr>
              <w:t>:</w:t>
            </w:r>
          </w:p>
          <w:p w14:paraId="56AF1E8F" w14:textId="18FF5AA6" w:rsidR="006E59C7" w:rsidRPr="003E4DDC" w:rsidRDefault="006E59C7" w:rsidP="002D646E">
            <w:pPr>
              <w:pStyle w:val="NIEARTTEKSTtekstnieartykuowanynppodstprawnarozplubpreambua"/>
              <w:numPr>
                <w:ilvl w:val="0"/>
                <w:numId w:val="34"/>
              </w:numPr>
              <w:spacing w:line="240" w:lineRule="auto"/>
              <w:ind w:left="1201"/>
              <w:rPr>
                <w:rFonts w:ascii="Times New Roman" w:hAnsi="Times New Roman" w:cs="Times New Roman"/>
                <w:sz w:val="22"/>
                <w:szCs w:val="22"/>
              </w:rPr>
            </w:pPr>
            <w:r w:rsidRPr="003E4DDC">
              <w:rPr>
                <w:rFonts w:ascii="Times New Roman" w:hAnsi="Times New Roman" w:cs="Times New Roman"/>
                <w:sz w:val="22"/>
                <w:szCs w:val="22"/>
              </w:rPr>
              <w:t>zmiany oraz odnowienia pozwolenia, o którym mowa w art. 26 rozporządzenia 528/2012</w:t>
            </w:r>
            <w:r w:rsidR="002D646E" w:rsidRPr="003E4DDC">
              <w:rPr>
                <w:rFonts w:ascii="Times New Roman" w:hAnsi="Times New Roman" w:cs="Times New Roman"/>
                <w:sz w:val="22"/>
                <w:szCs w:val="22"/>
              </w:rPr>
              <w:t>,</w:t>
            </w:r>
          </w:p>
          <w:p w14:paraId="17343A87" w14:textId="56B58549" w:rsidR="006E59C7" w:rsidRPr="003E4DDC" w:rsidRDefault="006E59C7" w:rsidP="002D646E">
            <w:pPr>
              <w:pStyle w:val="NIEARTTEKSTtekstnieartykuowanynppodstprawnarozplubpreambua"/>
              <w:numPr>
                <w:ilvl w:val="0"/>
                <w:numId w:val="34"/>
              </w:numPr>
              <w:spacing w:line="240" w:lineRule="auto"/>
              <w:ind w:left="1201"/>
              <w:rPr>
                <w:rFonts w:ascii="Times New Roman" w:hAnsi="Times New Roman" w:cs="Times New Roman"/>
                <w:sz w:val="22"/>
                <w:szCs w:val="22"/>
              </w:rPr>
            </w:pPr>
            <w:r w:rsidRPr="003E4DDC">
              <w:rPr>
                <w:rFonts w:ascii="Times New Roman" w:hAnsi="Times New Roman" w:cs="Times New Roman"/>
                <w:sz w:val="22"/>
                <w:szCs w:val="22"/>
              </w:rPr>
              <w:t>zmiany pozwolenia unijnego</w:t>
            </w:r>
            <w:r w:rsidR="002D646E" w:rsidRPr="003E4DDC">
              <w:rPr>
                <w:rFonts w:ascii="Times New Roman" w:hAnsi="Times New Roman" w:cs="Times New Roman"/>
                <w:sz w:val="22"/>
                <w:szCs w:val="22"/>
              </w:rPr>
              <w:t>,</w:t>
            </w:r>
          </w:p>
          <w:p w14:paraId="49B61A12" w14:textId="4EEFB8E5" w:rsidR="006E59C7" w:rsidRPr="003E4DDC" w:rsidRDefault="006E59C7" w:rsidP="002D646E">
            <w:pPr>
              <w:pStyle w:val="NIEARTTEKSTtekstnieartykuowanynppodstprawnarozplubpreambua"/>
              <w:numPr>
                <w:ilvl w:val="0"/>
                <w:numId w:val="34"/>
              </w:numPr>
              <w:spacing w:line="240" w:lineRule="auto"/>
              <w:ind w:left="1201"/>
              <w:rPr>
                <w:rFonts w:ascii="Times New Roman" w:hAnsi="Times New Roman" w:cs="Times New Roman"/>
                <w:sz w:val="22"/>
                <w:szCs w:val="22"/>
              </w:rPr>
            </w:pPr>
            <w:r w:rsidRPr="003E4DDC">
              <w:rPr>
                <w:rFonts w:ascii="Times New Roman" w:hAnsi="Times New Roman" w:cs="Times New Roman"/>
                <w:sz w:val="22"/>
                <w:szCs w:val="22"/>
              </w:rPr>
              <w:t>wydawania pozwolenia na taki sam produkt, zgodnie z przepisami rozporządzenia Wykonawczego Komisji (UE) nr 414/2013 z dnia 6 maja 2013 r. określającego procedurę wydawania pozwoleń dla takich samych produktów biobójczych zgodnie z rozporządzeniem 528/2012 oraz rozporządzenia Wykonawczego Komisji (UE) nr 2016/1802 z dnia 11 października 2016 r. zmieniającego ww. rozporządzenie</w:t>
            </w:r>
            <w:r w:rsidR="002D646E" w:rsidRPr="003E4DDC">
              <w:rPr>
                <w:rFonts w:ascii="Times New Roman" w:hAnsi="Times New Roman" w:cs="Times New Roman"/>
                <w:sz w:val="22"/>
                <w:szCs w:val="22"/>
              </w:rPr>
              <w:t>,</w:t>
            </w:r>
          </w:p>
          <w:p w14:paraId="6A12F3E3" w14:textId="36EA4F5E" w:rsidR="006E59C7" w:rsidRPr="003E4DDC" w:rsidRDefault="006E59C7" w:rsidP="002D646E">
            <w:pPr>
              <w:pStyle w:val="NIEARTTEKSTtekstnieartykuowanynppodstprawnarozplubpreambua"/>
              <w:numPr>
                <w:ilvl w:val="0"/>
                <w:numId w:val="34"/>
              </w:numPr>
              <w:spacing w:line="240" w:lineRule="auto"/>
              <w:ind w:left="1201"/>
              <w:rPr>
                <w:rFonts w:ascii="Times New Roman" w:hAnsi="Times New Roman" w:cs="Times New Roman"/>
                <w:sz w:val="22"/>
                <w:szCs w:val="22"/>
              </w:rPr>
            </w:pPr>
            <w:r w:rsidRPr="003E4DDC">
              <w:rPr>
                <w:rFonts w:ascii="Times New Roman" w:hAnsi="Times New Roman" w:cs="Times New Roman"/>
                <w:sz w:val="22"/>
                <w:szCs w:val="22"/>
              </w:rPr>
              <w:lastRenderedPageBreak/>
              <w:t>zmiany załącznika I rozporządzenia 528/2012, zgodnie z rozporządzeniem Wykonawczym Komisji (UE) Nr  88/2014 z dnia 31 stycznia 2014 r. określającym procedurę zmiany załącznika I do rozporządzenia Parlamentu Europejskiego i Rady (UE) nr 528/2012 w sprawie udostępniania na rynku i stosowania produktów biobójczych</w:t>
            </w:r>
            <w:r w:rsidR="002D646E" w:rsidRPr="003E4DDC">
              <w:rPr>
                <w:rFonts w:ascii="Times New Roman" w:hAnsi="Times New Roman" w:cs="Times New Roman"/>
                <w:sz w:val="22"/>
                <w:szCs w:val="22"/>
              </w:rPr>
              <w:t>,</w:t>
            </w:r>
          </w:p>
          <w:p w14:paraId="74233303" w14:textId="7B709BBB" w:rsidR="006E59C7" w:rsidRPr="003E4DDC" w:rsidRDefault="006E59C7" w:rsidP="002D646E">
            <w:pPr>
              <w:pStyle w:val="NIEARTTEKSTtekstnieartykuowanynppodstprawnarozplubpreambua"/>
              <w:numPr>
                <w:ilvl w:val="0"/>
                <w:numId w:val="34"/>
              </w:numPr>
              <w:spacing w:line="240" w:lineRule="auto"/>
              <w:ind w:left="1201"/>
              <w:rPr>
                <w:rFonts w:ascii="Times New Roman" w:hAnsi="Times New Roman" w:cs="Times New Roman"/>
                <w:sz w:val="22"/>
                <w:szCs w:val="22"/>
              </w:rPr>
            </w:pPr>
            <w:r w:rsidRPr="003E4DDC">
              <w:rPr>
                <w:rFonts w:ascii="Times New Roman" w:hAnsi="Times New Roman" w:cs="Times New Roman"/>
                <w:sz w:val="22"/>
                <w:szCs w:val="22"/>
              </w:rPr>
              <w:t>powiadomienia o wprowadzeniu do obrotu produktu należącego do rodziny produktów biobójczych</w:t>
            </w:r>
            <w:r w:rsidR="002D646E" w:rsidRPr="003E4DDC">
              <w:rPr>
                <w:rFonts w:ascii="Times New Roman" w:hAnsi="Times New Roman" w:cs="Times New Roman"/>
                <w:sz w:val="22"/>
                <w:szCs w:val="22"/>
              </w:rPr>
              <w:t>,</w:t>
            </w:r>
          </w:p>
          <w:p w14:paraId="0568FB58" w14:textId="40DBA6E0" w:rsidR="006E59C7" w:rsidRPr="003E4DDC" w:rsidRDefault="006E59C7" w:rsidP="002D646E">
            <w:pPr>
              <w:pStyle w:val="NIEARTTEKSTtekstnieartykuowanynppodstprawnarozplubpreambua"/>
              <w:numPr>
                <w:ilvl w:val="0"/>
                <w:numId w:val="34"/>
              </w:numPr>
              <w:spacing w:line="240" w:lineRule="auto"/>
              <w:ind w:left="1201"/>
              <w:rPr>
                <w:rFonts w:ascii="Times New Roman" w:hAnsi="Times New Roman" w:cs="Times New Roman"/>
                <w:sz w:val="22"/>
                <w:szCs w:val="22"/>
              </w:rPr>
            </w:pPr>
            <w:r w:rsidRPr="003E4DDC">
              <w:rPr>
                <w:rFonts w:ascii="Times New Roman" w:hAnsi="Times New Roman" w:cs="Times New Roman"/>
                <w:sz w:val="22"/>
                <w:szCs w:val="22"/>
              </w:rPr>
              <w:t>powiadomienia o wprowadzeniu do obrotu produktu na które w innym kraju zostało wydane pozwolenie, o którym mowa w art. 26 rozporządzenia 528/2012</w:t>
            </w:r>
            <w:r w:rsidR="002D646E" w:rsidRPr="003E4DDC">
              <w:rPr>
                <w:rFonts w:ascii="Times New Roman" w:hAnsi="Times New Roman" w:cs="Times New Roman"/>
                <w:sz w:val="22"/>
                <w:szCs w:val="22"/>
              </w:rPr>
              <w:t>,</w:t>
            </w:r>
          </w:p>
          <w:p w14:paraId="277F1F2F" w14:textId="4F475F9C" w:rsidR="006E59C7" w:rsidRPr="003E4DDC" w:rsidRDefault="006E59C7" w:rsidP="002D646E">
            <w:pPr>
              <w:pStyle w:val="NIEARTTEKSTtekstnieartykuowanynppodstprawnarozplubpreambua"/>
              <w:numPr>
                <w:ilvl w:val="0"/>
                <w:numId w:val="34"/>
              </w:numPr>
              <w:spacing w:line="240" w:lineRule="auto"/>
              <w:ind w:left="1201"/>
              <w:rPr>
                <w:rFonts w:ascii="Times New Roman" w:hAnsi="Times New Roman" w:cs="Times New Roman"/>
                <w:sz w:val="22"/>
                <w:szCs w:val="22"/>
              </w:rPr>
            </w:pPr>
            <w:r w:rsidRPr="003E4DDC">
              <w:rPr>
                <w:rFonts w:ascii="Times New Roman" w:hAnsi="Times New Roman" w:cs="Times New Roman"/>
                <w:sz w:val="22"/>
                <w:szCs w:val="22"/>
              </w:rPr>
              <w:t>wydania pozwolenia unijnego, składanego zgodnie z art. 55 ust. 2</w:t>
            </w:r>
            <w:r w:rsidR="002D646E" w:rsidRPr="003E4DDC">
              <w:rPr>
                <w:rFonts w:ascii="Times New Roman" w:hAnsi="Times New Roman" w:cs="Times New Roman"/>
                <w:sz w:val="22"/>
                <w:szCs w:val="22"/>
              </w:rPr>
              <w:t>,</w:t>
            </w:r>
          </w:p>
          <w:p w14:paraId="52DC1B1A" w14:textId="27EA0996" w:rsidR="006E59C7" w:rsidRPr="003E4DDC" w:rsidRDefault="006E59C7" w:rsidP="002D646E">
            <w:pPr>
              <w:pStyle w:val="Akapitzlist"/>
              <w:numPr>
                <w:ilvl w:val="0"/>
                <w:numId w:val="34"/>
              </w:numPr>
              <w:ind w:left="1201"/>
              <w:rPr>
                <w:rFonts w:ascii="Times New Roman" w:hAnsi="Times New Roman"/>
              </w:rPr>
            </w:pPr>
            <w:r w:rsidRPr="003E4DDC">
              <w:rPr>
                <w:rFonts w:ascii="Times New Roman" w:hAnsi="Times New Roman"/>
                <w:lang w:eastAsia="pl-PL"/>
              </w:rPr>
              <w:t xml:space="preserve">wydania pozwolenia unijnego, składanego zgodnie z art. 55 ust. 1 </w:t>
            </w:r>
            <w:r w:rsidRPr="003E4DDC">
              <w:rPr>
                <w:rFonts w:ascii="Times New Roman" w:hAnsi="Times New Roman"/>
              </w:rPr>
              <w:t>rozporządzenia 528/2012</w:t>
            </w:r>
            <w:r w:rsidR="002D646E" w:rsidRPr="003E4DDC">
              <w:rPr>
                <w:rFonts w:ascii="Times New Roman" w:hAnsi="Times New Roman"/>
              </w:rPr>
              <w:t>,</w:t>
            </w:r>
          </w:p>
          <w:p w14:paraId="610883CB" w14:textId="065B10AA" w:rsidR="006E59C7" w:rsidRPr="003E4DDC" w:rsidRDefault="006E59C7" w:rsidP="002D646E">
            <w:pPr>
              <w:pStyle w:val="Akapitzlist"/>
              <w:numPr>
                <w:ilvl w:val="0"/>
                <w:numId w:val="34"/>
              </w:numPr>
              <w:ind w:left="1201"/>
              <w:rPr>
                <w:rFonts w:ascii="Times New Roman" w:hAnsi="Times New Roman"/>
              </w:rPr>
            </w:pPr>
            <w:r w:rsidRPr="003E4DDC">
              <w:rPr>
                <w:rFonts w:ascii="Times New Roman" w:hAnsi="Times New Roman"/>
                <w:lang w:eastAsia="pl-PL"/>
              </w:rPr>
              <w:t xml:space="preserve">wydania pozwolenia unijnego, składanego zgodnie z art. 55 ust. 3 </w:t>
            </w:r>
            <w:r w:rsidRPr="003E4DDC">
              <w:rPr>
                <w:rFonts w:ascii="Times New Roman" w:hAnsi="Times New Roman"/>
              </w:rPr>
              <w:t>rozporządzenia 528/2012</w:t>
            </w:r>
            <w:r w:rsidR="002D646E" w:rsidRPr="003E4DDC">
              <w:rPr>
                <w:rFonts w:ascii="Times New Roman" w:hAnsi="Times New Roman"/>
              </w:rPr>
              <w:t>,</w:t>
            </w:r>
          </w:p>
          <w:p w14:paraId="1EB4EA4D" w14:textId="7E44056D" w:rsidR="006E59C7" w:rsidRPr="003E4DDC" w:rsidRDefault="002F0275" w:rsidP="002F0275">
            <w:pPr>
              <w:pStyle w:val="NIEARTTEKSTtekstnieartykuowanynppodstprawnarozplubpreambua"/>
              <w:spacing w:line="240" w:lineRule="auto"/>
              <w:ind w:left="841" w:firstLine="0"/>
              <w:rPr>
                <w:rFonts w:ascii="Times New Roman" w:hAnsi="Times New Roman" w:cs="Times New Roman"/>
                <w:sz w:val="22"/>
                <w:szCs w:val="22"/>
              </w:rPr>
            </w:pPr>
            <w:r w:rsidRPr="003E4DDC">
              <w:rPr>
                <w:rFonts w:ascii="Times New Roman" w:hAnsi="Times New Roman" w:cs="Times New Roman"/>
                <w:sz w:val="22"/>
                <w:szCs w:val="22"/>
              </w:rPr>
              <w:t xml:space="preserve">a także </w:t>
            </w:r>
            <w:r w:rsidR="006E59C7" w:rsidRPr="003E4DDC">
              <w:rPr>
                <w:rFonts w:ascii="Times New Roman" w:hAnsi="Times New Roman" w:cs="Times New Roman"/>
                <w:sz w:val="22"/>
                <w:szCs w:val="22"/>
              </w:rPr>
              <w:t>za udzielanie informacji przez Prezesa Urzędu również w zakresie stosowania rozporządzenia 528/2012 i ustawy (doprecyzowanie art. 44 ust. 2 pkt 4  ustawy)</w:t>
            </w:r>
            <w:r w:rsidRPr="003E4DDC">
              <w:rPr>
                <w:rFonts w:ascii="Times New Roman" w:hAnsi="Times New Roman" w:cs="Times New Roman"/>
                <w:sz w:val="22"/>
                <w:szCs w:val="22"/>
              </w:rPr>
              <w:t>;</w:t>
            </w:r>
          </w:p>
          <w:p w14:paraId="75C3C16D" w14:textId="77777777" w:rsidR="002F0275" w:rsidRPr="003E4DDC" w:rsidRDefault="006E59C7" w:rsidP="002F0275">
            <w:pPr>
              <w:pStyle w:val="NIEARTTEKSTtekstnieartykuowanynppodstprawnarozplubpreambua"/>
              <w:numPr>
                <w:ilvl w:val="0"/>
                <w:numId w:val="32"/>
              </w:numPr>
              <w:spacing w:line="240" w:lineRule="auto"/>
              <w:ind w:hanging="369"/>
              <w:rPr>
                <w:rFonts w:ascii="Times New Roman" w:hAnsi="Times New Roman" w:cs="Times New Roman"/>
                <w:sz w:val="22"/>
                <w:szCs w:val="22"/>
              </w:rPr>
            </w:pPr>
            <w:r w:rsidRPr="003E4DDC">
              <w:rPr>
                <w:rFonts w:ascii="Times New Roman" w:hAnsi="Times New Roman" w:cs="Times New Roman"/>
                <w:sz w:val="22"/>
                <w:szCs w:val="22"/>
              </w:rPr>
              <w:t>rozszerzenie katalogu czynów podlegających karze określonych w art. 46 przez nałożenie sankcji za naruszenie przepisów art. 26 ustawy, za udostępnianie i stosowanie produktu po upływie terminu ważności oraz stosowanie produktu niezgodnie z wydanym pozwoleniem lub pozwoleniem na obrót oraz zezwoleniem na handel równoległy</w:t>
            </w:r>
            <w:r w:rsidR="002F0275" w:rsidRPr="003E4DDC">
              <w:rPr>
                <w:rFonts w:ascii="Times New Roman" w:hAnsi="Times New Roman" w:cs="Times New Roman"/>
                <w:sz w:val="22"/>
                <w:szCs w:val="22"/>
              </w:rPr>
              <w:t>;</w:t>
            </w:r>
          </w:p>
          <w:p w14:paraId="116B48A1" w14:textId="77777777" w:rsidR="003E4DDC" w:rsidRPr="003E4DDC" w:rsidRDefault="006E59C7" w:rsidP="003E4DDC">
            <w:pPr>
              <w:pStyle w:val="NIEARTTEKSTtekstnieartykuowanynppodstprawnarozplubpreambua"/>
              <w:numPr>
                <w:ilvl w:val="0"/>
                <w:numId w:val="32"/>
              </w:numPr>
              <w:spacing w:line="240" w:lineRule="auto"/>
              <w:ind w:hanging="369"/>
              <w:rPr>
                <w:rFonts w:ascii="Times New Roman" w:hAnsi="Times New Roman" w:cs="Times New Roman"/>
                <w:sz w:val="22"/>
                <w:szCs w:val="22"/>
              </w:rPr>
            </w:pPr>
            <w:r w:rsidRPr="003E4DDC">
              <w:rPr>
                <w:rFonts w:ascii="Times New Roman" w:hAnsi="Times New Roman" w:cs="Times New Roman"/>
                <w:sz w:val="22"/>
                <w:szCs w:val="22"/>
              </w:rPr>
              <w:t>w odniesieniu do toczących się w dniu wejścia w życie projektowanej ustawy postępowań wszczętych na podstawie art. 1 rozporządzenia wykonawczego Komisji (UE) nr 88/2014 z dnia 31 stycznia 2014 r. określającego procedurę zmiany załącznika I do rozporządzenia 528/2012, wprowadzenie obowiązku przedstawienia przez wnioskodawców informacji, o których mowa w załączniku do ww. rozporządzenia  z określeniem konsekwencji w przypadku nieprzedstawienia na wezwanie Prezesa Urzędu stosownych informacji</w:t>
            </w:r>
            <w:r w:rsidR="003E4DDC" w:rsidRPr="003E4DDC">
              <w:rPr>
                <w:rFonts w:ascii="Times New Roman" w:hAnsi="Times New Roman" w:cs="Times New Roman"/>
                <w:sz w:val="22"/>
                <w:szCs w:val="22"/>
              </w:rPr>
              <w:t>;</w:t>
            </w:r>
          </w:p>
          <w:p w14:paraId="4B7CDD13" w14:textId="0803840F" w:rsidR="006E59C7" w:rsidRPr="003E4DDC" w:rsidRDefault="006E59C7" w:rsidP="003E4DDC">
            <w:pPr>
              <w:pStyle w:val="NIEARTTEKSTtekstnieartykuowanynppodstprawnarozplubpreambua"/>
              <w:numPr>
                <w:ilvl w:val="0"/>
                <w:numId w:val="32"/>
              </w:numPr>
              <w:spacing w:line="240" w:lineRule="auto"/>
              <w:ind w:hanging="369"/>
              <w:rPr>
                <w:rFonts w:ascii="Times New Roman" w:hAnsi="Times New Roman" w:cs="Times New Roman"/>
                <w:sz w:val="22"/>
                <w:szCs w:val="22"/>
              </w:rPr>
            </w:pPr>
            <w:r w:rsidRPr="003E4DDC">
              <w:rPr>
                <w:rFonts w:ascii="Times New Roman" w:hAnsi="Times New Roman" w:cs="Times New Roman"/>
                <w:sz w:val="22"/>
                <w:szCs w:val="22"/>
              </w:rPr>
              <w:t>zastosowanie poprzez zapis w przepisach przejściowych możliwości przyznania z urzędu okresu na zużycie istniejących zapasów produktu, bez konieczności składania odrębnego wniosku, w przypadku postępowań wszczętych i niezakończonych przed dniem wejścia w życie niniejszej ustawy dotyczących zmiany pozwolenia na obrót, zmiany podmiotu odpowiedzialnego oraz</w:t>
            </w:r>
            <w:r w:rsidR="0011555C" w:rsidRPr="003E4DDC">
              <w:rPr>
                <w:rFonts w:ascii="Times New Roman" w:hAnsi="Times New Roman" w:cs="Times New Roman"/>
                <w:sz w:val="22"/>
                <w:szCs w:val="22"/>
              </w:rPr>
              <w:t xml:space="preserve"> uchylenia pozwolenia na obrót.</w:t>
            </w:r>
          </w:p>
        </w:tc>
      </w:tr>
      <w:tr w:rsidR="0019538B" w:rsidRPr="008B4FE6" w14:paraId="0E6BA747" w14:textId="77777777" w:rsidTr="00996625">
        <w:trPr>
          <w:gridAfter w:val="1"/>
          <w:wAfter w:w="10" w:type="dxa"/>
          <w:trHeight w:val="307"/>
        </w:trPr>
        <w:tc>
          <w:tcPr>
            <w:tcW w:w="10937" w:type="dxa"/>
            <w:gridSpan w:val="36"/>
            <w:shd w:val="clear" w:color="auto" w:fill="99CCFF"/>
            <w:vAlign w:val="center"/>
          </w:tcPr>
          <w:p w14:paraId="1B75B9F5" w14:textId="67FAA742" w:rsidR="0019538B" w:rsidRDefault="0019538B" w:rsidP="00996625">
            <w:pPr>
              <w:numPr>
                <w:ilvl w:val="0"/>
                <w:numId w:val="3"/>
              </w:numPr>
              <w:spacing w:line="240" w:lineRule="auto"/>
              <w:ind w:left="318" w:hanging="284"/>
              <w:jc w:val="both"/>
              <w:rPr>
                <w:rFonts w:ascii="Times New Roman" w:hAnsi="Times New Roman"/>
                <w:b/>
                <w:color w:val="000000"/>
              </w:rPr>
            </w:pPr>
            <w:r w:rsidRPr="004F72D0">
              <w:rPr>
                <w:rFonts w:ascii="Times New Roman" w:hAnsi="Times New Roman"/>
                <w:b/>
                <w:spacing w:val="-2"/>
              </w:rPr>
              <w:lastRenderedPageBreak/>
              <w:t xml:space="preserve">Jak problem został rozwiązany w innych krajach, w szczególności krajach </w:t>
            </w:r>
            <w:r w:rsidRPr="00256F60">
              <w:rPr>
                <w:rFonts w:ascii="Times New Roman" w:hAnsi="Times New Roman"/>
                <w:b/>
                <w:spacing w:val="-2"/>
              </w:rPr>
              <w:t>c</w:t>
            </w:r>
            <w:r w:rsidR="002372C7" w:rsidRPr="00EB082F">
              <w:rPr>
                <w:rFonts w:ascii="Times New Roman" w:eastAsia="Times New Roman" w:hAnsi="Times New Roman"/>
                <w:b/>
                <w:bCs/>
                <w:spacing w:val="-2"/>
              </w:rPr>
              <w:t>z</w:t>
            </w:r>
            <w:r w:rsidRPr="00067C34">
              <w:rPr>
                <w:rFonts w:ascii="Times New Roman" w:hAnsi="Times New Roman"/>
                <w:b/>
                <w:spacing w:val="-2"/>
              </w:rPr>
              <w:t>łonkowskich OECD/UE</w:t>
            </w:r>
            <w:r w:rsidRPr="00067C34">
              <w:rPr>
                <w:rFonts w:ascii="Times New Roman" w:hAnsi="Times New Roman"/>
                <w:b/>
                <w:color w:val="000000"/>
              </w:rPr>
              <w:t>?</w:t>
            </w:r>
          </w:p>
        </w:tc>
      </w:tr>
      <w:tr w:rsidR="0019538B" w:rsidRPr="008B4FE6" w14:paraId="19937D7E" w14:textId="77777777" w:rsidTr="00996625">
        <w:trPr>
          <w:gridAfter w:val="1"/>
          <w:wAfter w:w="10" w:type="dxa"/>
          <w:trHeight w:val="142"/>
        </w:trPr>
        <w:tc>
          <w:tcPr>
            <w:tcW w:w="10937" w:type="dxa"/>
            <w:gridSpan w:val="36"/>
            <w:shd w:val="clear" w:color="auto" w:fill="auto"/>
          </w:tcPr>
          <w:p w14:paraId="52FCF5E8" w14:textId="77777777" w:rsidR="0019538B" w:rsidRDefault="0019538B" w:rsidP="00996625">
            <w:pPr>
              <w:spacing w:line="240" w:lineRule="auto"/>
              <w:jc w:val="both"/>
              <w:rPr>
                <w:rFonts w:ascii="Times New Roman" w:hAnsi="Times New Roman"/>
              </w:rPr>
            </w:pPr>
            <w:r w:rsidRPr="00067C34">
              <w:rPr>
                <w:rFonts w:ascii="Times New Roman" w:hAnsi="Times New Roman"/>
                <w:color w:val="000000"/>
                <w:spacing w:val="-2"/>
              </w:rPr>
              <w:t xml:space="preserve">Rozporządzenie 528/2012 </w:t>
            </w:r>
            <w:r w:rsidRPr="00067C34">
              <w:rPr>
                <w:rFonts w:ascii="Times New Roman" w:hAnsi="Times New Roman"/>
              </w:rPr>
              <w:t>ustan</w:t>
            </w:r>
            <w:r>
              <w:rPr>
                <w:rFonts w:ascii="Times New Roman" w:hAnsi="Times New Roman"/>
              </w:rPr>
              <w:t>a</w:t>
            </w:r>
            <w:r w:rsidRPr="00067C34">
              <w:rPr>
                <w:rFonts w:ascii="Times New Roman" w:hAnsi="Times New Roman"/>
              </w:rPr>
              <w:t>wi</w:t>
            </w:r>
            <w:r>
              <w:rPr>
                <w:rFonts w:ascii="Times New Roman" w:hAnsi="Times New Roman"/>
              </w:rPr>
              <w:t>a</w:t>
            </w:r>
            <w:r w:rsidRPr="00067C34">
              <w:rPr>
                <w:rFonts w:ascii="Times New Roman" w:hAnsi="Times New Roman"/>
              </w:rPr>
              <w:t xml:space="preserve"> szczegółowe i </w:t>
            </w:r>
            <w:r>
              <w:rPr>
                <w:rFonts w:ascii="Times New Roman" w:hAnsi="Times New Roman"/>
              </w:rPr>
              <w:t xml:space="preserve">stosowane wprost i </w:t>
            </w:r>
            <w:r w:rsidRPr="00067C34">
              <w:rPr>
                <w:rFonts w:ascii="Times New Roman" w:hAnsi="Times New Roman"/>
              </w:rPr>
              <w:t xml:space="preserve">bezpośrednio </w:t>
            </w:r>
            <w:r>
              <w:rPr>
                <w:rFonts w:ascii="Times New Roman" w:hAnsi="Times New Roman"/>
              </w:rPr>
              <w:t xml:space="preserve">przepisy dotyczące </w:t>
            </w:r>
            <w:r w:rsidRPr="00067C34">
              <w:rPr>
                <w:rFonts w:ascii="Times New Roman" w:hAnsi="Times New Roman"/>
              </w:rPr>
              <w:t xml:space="preserve">oceny substancji czynnych oraz produktów biobójczych i udzielania pozwoleń, </w:t>
            </w:r>
            <w:r>
              <w:rPr>
                <w:rFonts w:ascii="Times New Roman" w:hAnsi="Times New Roman"/>
              </w:rPr>
              <w:t>w celu przyjęcia i zapewnienia</w:t>
            </w:r>
            <w:r w:rsidRPr="00067C34">
              <w:rPr>
                <w:rFonts w:ascii="Times New Roman" w:hAnsi="Times New Roman"/>
              </w:rPr>
              <w:t xml:space="preserve"> przez właściwe organy zharmonizowanego podejścia we wszystkich </w:t>
            </w:r>
            <w:r>
              <w:rPr>
                <w:rFonts w:ascii="Times New Roman" w:hAnsi="Times New Roman"/>
              </w:rPr>
              <w:t xml:space="preserve">państwach </w:t>
            </w:r>
            <w:r w:rsidRPr="00067C34">
              <w:rPr>
                <w:rFonts w:ascii="Times New Roman" w:hAnsi="Times New Roman"/>
              </w:rPr>
              <w:t>Unii Europejskiej.</w:t>
            </w:r>
          </w:p>
          <w:p w14:paraId="4D729814" w14:textId="00C4EF58" w:rsidR="0019538B" w:rsidRPr="00752111" w:rsidRDefault="0019538B" w:rsidP="00996625">
            <w:pPr>
              <w:spacing w:line="240" w:lineRule="auto"/>
              <w:jc w:val="both"/>
              <w:rPr>
                <w:rFonts w:ascii="Times New Roman" w:hAnsi="Times New Roman"/>
              </w:rPr>
            </w:pPr>
            <w:r w:rsidRPr="00067C34">
              <w:rPr>
                <w:rFonts w:ascii="Times New Roman" w:hAnsi="Times New Roman"/>
              </w:rPr>
              <w:t>Kwestie wymagające doprecyzowania</w:t>
            </w:r>
            <w:r>
              <w:rPr>
                <w:rFonts w:ascii="Times New Roman" w:hAnsi="Times New Roman"/>
              </w:rPr>
              <w:t xml:space="preserve"> </w:t>
            </w:r>
            <w:r w:rsidRPr="00067C34">
              <w:rPr>
                <w:rFonts w:ascii="Times New Roman" w:hAnsi="Times New Roman"/>
              </w:rPr>
              <w:t>na poziomie krajowym dotyczą stosowania dotychczasowego systemu udostępniania na rynku produktów biobójczych (nie dłużej niż do dnia zakończenia przez Komisję Europejską prac polegających na systematycznej ocenie wszystkich istniejących substancji czynnych), o którym mowa w art. 89 rozporządzenia 528/2012. Każ</w:t>
            </w:r>
            <w:r>
              <w:rPr>
                <w:rFonts w:ascii="Times New Roman" w:hAnsi="Times New Roman"/>
              </w:rPr>
              <w:t xml:space="preserve">de państwo </w:t>
            </w:r>
            <w:r w:rsidRPr="00067C34">
              <w:rPr>
                <w:rFonts w:ascii="Times New Roman" w:hAnsi="Times New Roman"/>
              </w:rPr>
              <w:t>członkowski</w:t>
            </w:r>
            <w:r>
              <w:rPr>
                <w:rFonts w:ascii="Times New Roman" w:hAnsi="Times New Roman"/>
              </w:rPr>
              <w:t>e</w:t>
            </w:r>
            <w:r w:rsidRPr="00067C34">
              <w:rPr>
                <w:rFonts w:ascii="Times New Roman" w:hAnsi="Times New Roman"/>
              </w:rPr>
              <w:t xml:space="preserve"> </w:t>
            </w:r>
            <w:r w:rsidR="00752111">
              <w:rPr>
                <w:rFonts w:ascii="Times New Roman" w:hAnsi="Times New Roman"/>
              </w:rPr>
              <w:t xml:space="preserve">skutki </w:t>
            </w:r>
            <w:r w:rsidR="0075531D" w:rsidRPr="00752111">
              <w:rPr>
                <w:rFonts w:ascii="Times New Roman" w:hAnsi="Times New Roman"/>
              </w:rPr>
              <w:t>wynikające z zatwierdzenia</w:t>
            </w:r>
            <w:r w:rsidR="008E2D96" w:rsidRPr="00752111">
              <w:rPr>
                <w:rFonts w:ascii="Times New Roman" w:hAnsi="Times New Roman"/>
              </w:rPr>
              <w:t xml:space="preserve"> bądź </w:t>
            </w:r>
            <w:r w:rsidR="0075531D" w:rsidRPr="00752111">
              <w:rPr>
                <w:rFonts w:ascii="Times New Roman" w:hAnsi="Times New Roman"/>
              </w:rPr>
              <w:t xml:space="preserve">niezatwierdzenia danej substancji czynnej, </w:t>
            </w:r>
            <w:r w:rsidRPr="00752111">
              <w:rPr>
                <w:rFonts w:ascii="Times New Roman" w:hAnsi="Times New Roman"/>
              </w:rPr>
              <w:t>reguluje na poziomie narodowym w sposób indywidualny</w:t>
            </w:r>
            <w:r w:rsidR="008E2D96" w:rsidRPr="00752111">
              <w:rPr>
                <w:rFonts w:ascii="Times New Roman" w:hAnsi="Times New Roman"/>
              </w:rPr>
              <w:t xml:space="preserve"> (</w:t>
            </w:r>
            <w:r w:rsidR="00752111" w:rsidRPr="00752111">
              <w:rPr>
                <w:rFonts w:ascii="Times New Roman" w:hAnsi="Times New Roman"/>
              </w:rPr>
              <w:t xml:space="preserve">na przykład </w:t>
            </w:r>
            <w:r w:rsidR="0075531D" w:rsidRPr="00752111">
              <w:rPr>
                <w:rFonts w:ascii="Times New Roman" w:hAnsi="Times New Roman"/>
              </w:rPr>
              <w:t xml:space="preserve">w drodze decyzji lub </w:t>
            </w:r>
            <w:r w:rsidR="00752111" w:rsidRPr="00752111">
              <w:rPr>
                <w:rFonts w:ascii="Times New Roman" w:hAnsi="Times New Roman"/>
              </w:rPr>
              <w:t xml:space="preserve">wyłącznie w drodze </w:t>
            </w:r>
            <w:r w:rsidR="0075531D" w:rsidRPr="00752111">
              <w:rPr>
                <w:rFonts w:ascii="Times New Roman" w:hAnsi="Times New Roman"/>
              </w:rPr>
              <w:t>notyfikacji</w:t>
            </w:r>
            <w:r w:rsidR="008E2D96" w:rsidRPr="00752111">
              <w:rPr>
                <w:rFonts w:ascii="Times New Roman" w:hAnsi="Times New Roman"/>
              </w:rPr>
              <w:t>)</w:t>
            </w:r>
            <w:r w:rsidRPr="00752111">
              <w:rPr>
                <w:rFonts w:ascii="Times New Roman" w:hAnsi="Times New Roman"/>
              </w:rPr>
              <w:t>.</w:t>
            </w:r>
            <w:r w:rsidR="008E2D96" w:rsidRPr="005B68E4">
              <w:rPr>
                <w:rFonts w:ascii="Times New Roman" w:hAnsi="Times New Roman"/>
              </w:rPr>
              <w:t xml:space="preserve"> </w:t>
            </w:r>
          </w:p>
          <w:p w14:paraId="18D4ECC2" w14:textId="68E39CFB" w:rsidR="0019538B" w:rsidRPr="00752111" w:rsidRDefault="0075531D" w:rsidP="0049377D">
            <w:pPr>
              <w:spacing w:line="240" w:lineRule="auto"/>
              <w:jc w:val="both"/>
              <w:rPr>
                <w:rFonts w:ascii="Times New Roman" w:hAnsi="Times New Roman"/>
              </w:rPr>
            </w:pPr>
            <w:r w:rsidRPr="00752111">
              <w:rPr>
                <w:rFonts w:ascii="Times New Roman" w:hAnsi="Times New Roman"/>
              </w:rPr>
              <w:t>S</w:t>
            </w:r>
            <w:r w:rsidR="0019538B" w:rsidRPr="00752111">
              <w:rPr>
                <w:rFonts w:ascii="Times New Roman" w:hAnsi="Times New Roman"/>
              </w:rPr>
              <w:t>tosowani</w:t>
            </w:r>
            <w:r w:rsidRPr="00752111">
              <w:rPr>
                <w:rFonts w:ascii="Times New Roman" w:hAnsi="Times New Roman"/>
              </w:rPr>
              <w:t>e</w:t>
            </w:r>
            <w:r w:rsidR="0019538B" w:rsidRPr="00752111">
              <w:rPr>
                <w:rFonts w:ascii="Times New Roman" w:hAnsi="Times New Roman"/>
              </w:rPr>
              <w:t xml:space="preserve"> przepisów </w:t>
            </w:r>
            <w:r w:rsidRPr="00752111">
              <w:rPr>
                <w:rFonts w:ascii="Times New Roman" w:hAnsi="Times New Roman"/>
              </w:rPr>
              <w:t xml:space="preserve">rozporządzenia 528/2012 już </w:t>
            </w:r>
            <w:r w:rsidR="0019538B" w:rsidRPr="00752111">
              <w:rPr>
                <w:rFonts w:ascii="Times New Roman" w:hAnsi="Times New Roman"/>
              </w:rPr>
              <w:t>na poszczególnych etapach udostępniania na rynku i stosowania produktów biobójczych,</w:t>
            </w:r>
            <w:r w:rsidRPr="00752111">
              <w:rPr>
                <w:rFonts w:ascii="Times New Roman" w:hAnsi="Times New Roman"/>
              </w:rPr>
              <w:t xml:space="preserve"> wiąż</w:t>
            </w:r>
            <w:r w:rsidR="00AF7F30">
              <w:rPr>
                <w:rFonts w:ascii="Times New Roman" w:hAnsi="Times New Roman"/>
              </w:rPr>
              <w:t>ące</w:t>
            </w:r>
            <w:r w:rsidR="0049377D" w:rsidRPr="00752111">
              <w:rPr>
                <w:rFonts w:ascii="Times New Roman" w:hAnsi="Times New Roman"/>
              </w:rPr>
              <w:t xml:space="preserve"> się nie tylko z koniecznością dokonywania stosownych zmian w dokumentacji i samym pozwoleniu, ale również ze sprawowaniem skutecznego nadzoru, </w:t>
            </w:r>
            <w:r w:rsidRPr="00752111">
              <w:rPr>
                <w:rFonts w:ascii="Times New Roman" w:hAnsi="Times New Roman"/>
              </w:rPr>
              <w:t xml:space="preserve"> </w:t>
            </w:r>
            <w:r w:rsidR="0019538B" w:rsidRPr="00752111">
              <w:rPr>
                <w:rFonts w:ascii="Times New Roman" w:hAnsi="Times New Roman"/>
              </w:rPr>
              <w:t xml:space="preserve"> </w:t>
            </w:r>
            <w:r w:rsidR="0049377D" w:rsidRPr="00752111">
              <w:rPr>
                <w:rFonts w:ascii="Times New Roman" w:hAnsi="Times New Roman"/>
              </w:rPr>
              <w:t>k</w:t>
            </w:r>
            <w:r w:rsidR="0019538B" w:rsidRPr="00752111">
              <w:rPr>
                <w:rFonts w:ascii="Times New Roman" w:hAnsi="Times New Roman"/>
              </w:rPr>
              <w:t>ażd</w:t>
            </w:r>
            <w:r w:rsidR="0049377D" w:rsidRPr="00752111">
              <w:rPr>
                <w:rFonts w:ascii="Times New Roman" w:hAnsi="Times New Roman"/>
              </w:rPr>
              <w:t>e</w:t>
            </w:r>
            <w:r w:rsidR="0019538B" w:rsidRPr="00752111">
              <w:rPr>
                <w:rFonts w:ascii="Times New Roman" w:hAnsi="Times New Roman"/>
              </w:rPr>
              <w:t xml:space="preserve"> </w:t>
            </w:r>
            <w:r w:rsidR="0049377D" w:rsidRPr="00752111">
              <w:rPr>
                <w:rFonts w:ascii="Times New Roman" w:hAnsi="Times New Roman"/>
              </w:rPr>
              <w:t xml:space="preserve">państwo </w:t>
            </w:r>
            <w:r w:rsidR="0019538B" w:rsidRPr="00752111">
              <w:rPr>
                <w:rFonts w:ascii="Times New Roman" w:hAnsi="Times New Roman"/>
              </w:rPr>
              <w:t>członkowski</w:t>
            </w:r>
            <w:r w:rsidR="0049377D" w:rsidRPr="00752111">
              <w:rPr>
                <w:rFonts w:ascii="Times New Roman" w:hAnsi="Times New Roman"/>
              </w:rPr>
              <w:t>e</w:t>
            </w:r>
            <w:r w:rsidR="0019538B" w:rsidRPr="00752111">
              <w:rPr>
                <w:rFonts w:ascii="Times New Roman" w:hAnsi="Times New Roman"/>
              </w:rPr>
              <w:t xml:space="preserve"> reguluje sposób wdrażania przepisów rozporządzenia 528/2012 w sposób indywidualny.</w:t>
            </w:r>
          </w:p>
          <w:p w14:paraId="40410617" w14:textId="3EA72484" w:rsidR="0049377D" w:rsidRDefault="0049377D" w:rsidP="0049377D">
            <w:pPr>
              <w:spacing w:line="240" w:lineRule="auto"/>
              <w:jc w:val="both"/>
              <w:rPr>
                <w:rFonts w:ascii="Times New Roman" w:hAnsi="Times New Roman"/>
                <w:color w:val="000000"/>
                <w:spacing w:val="-2"/>
              </w:rPr>
            </w:pPr>
          </w:p>
        </w:tc>
      </w:tr>
      <w:tr w:rsidR="0019538B" w:rsidRPr="008B4FE6" w14:paraId="653E9B52" w14:textId="77777777" w:rsidTr="00996625">
        <w:trPr>
          <w:gridAfter w:val="1"/>
          <w:wAfter w:w="10" w:type="dxa"/>
          <w:trHeight w:val="359"/>
        </w:trPr>
        <w:tc>
          <w:tcPr>
            <w:tcW w:w="10937" w:type="dxa"/>
            <w:gridSpan w:val="36"/>
            <w:shd w:val="clear" w:color="auto" w:fill="99CCFF"/>
            <w:vAlign w:val="center"/>
          </w:tcPr>
          <w:p w14:paraId="4A421C25" w14:textId="77777777" w:rsidR="0019538B" w:rsidRDefault="0019538B" w:rsidP="00996625">
            <w:pPr>
              <w:numPr>
                <w:ilvl w:val="0"/>
                <w:numId w:val="3"/>
              </w:numPr>
              <w:spacing w:line="240" w:lineRule="auto"/>
              <w:ind w:left="318" w:hanging="284"/>
              <w:jc w:val="both"/>
              <w:rPr>
                <w:rFonts w:ascii="Times New Roman" w:hAnsi="Times New Roman"/>
                <w:b/>
                <w:color w:val="000000"/>
              </w:rPr>
            </w:pPr>
            <w:r w:rsidRPr="00067C34">
              <w:rPr>
                <w:rFonts w:ascii="Times New Roman" w:hAnsi="Times New Roman"/>
                <w:b/>
                <w:color w:val="000000"/>
              </w:rPr>
              <w:t>Podmioty, na które oddziałuje projekt</w:t>
            </w:r>
          </w:p>
        </w:tc>
      </w:tr>
      <w:tr w:rsidR="0019538B" w:rsidRPr="008B4FE6" w14:paraId="77705A1F" w14:textId="77777777" w:rsidTr="00996625">
        <w:trPr>
          <w:gridAfter w:val="1"/>
          <w:wAfter w:w="10" w:type="dxa"/>
          <w:trHeight w:val="142"/>
        </w:trPr>
        <w:tc>
          <w:tcPr>
            <w:tcW w:w="2666" w:type="dxa"/>
            <w:gridSpan w:val="3"/>
            <w:shd w:val="clear" w:color="auto" w:fill="auto"/>
          </w:tcPr>
          <w:p w14:paraId="2DD97780" w14:textId="77777777" w:rsidR="0019538B" w:rsidRDefault="0019538B" w:rsidP="00996625">
            <w:pPr>
              <w:spacing w:line="240" w:lineRule="auto"/>
              <w:jc w:val="center"/>
              <w:rPr>
                <w:rFonts w:ascii="Times New Roman" w:hAnsi="Times New Roman"/>
                <w:color w:val="000000"/>
                <w:spacing w:val="-2"/>
              </w:rPr>
            </w:pPr>
            <w:r w:rsidRPr="00067C34">
              <w:rPr>
                <w:rFonts w:ascii="Times New Roman" w:hAnsi="Times New Roman"/>
                <w:color w:val="000000"/>
                <w:spacing w:val="-2"/>
              </w:rPr>
              <w:t>Grupa</w:t>
            </w:r>
          </w:p>
        </w:tc>
        <w:tc>
          <w:tcPr>
            <w:tcW w:w="2292" w:type="dxa"/>
            <w:gridSpan w:val="8"/>
            <w:shd w:val="clear" w:color="auto" w:fill="auto"/>
          </w:tcPr>
          <w:p w14:paraId="0ACA33C2" w14:textId="77777777" w:rsidR="0019538B" w:rsidRDefault="0019538B" w:rsidP="00996625">
            <w:pPr>
              <w:spacing w:line="240" w:lineRule="auto"/>
              <w:jc w:val="center"/>
              <w:rPr>
                <w:rFonts w:ascii="Times New Roman" w:hAnsi="Times New Roman"/>
                <w:color w:val="000000"/>
                <w:spacing w:val="-2"/>
              </w:rPr>
            </w:pPr>
            <w:r w:rsidRPr="00067C34">
              <w:rPr>
                <w:rFonts w:ascii="Times New Roman" w:hAnsi="Times New Roman"/>
                <w:color w:val="000000"/>
                <w:spacing w:val="-2"/>
              </w:rPr>
              <w:t>Wielkość</w:t>
            </w:r>
          </w:p>
        </w:tc>
        <w:tc>
          <w:tcPr>
            <w:tcW w:w="2996" w:type="dxa"/>
            <w:gridSpan w:val="15"/>
            <w:shd w:val="clear" w:color="auto" w:fill="auto"/>
          </w:tcPr>
          <w:p w14:paraId="0A304D2E" w14:textId="77777777" w:rsidR="0019538B" w:rsidRDefault="0019538B" w:rsidP="00996625">
            <w:pPr>
              <w:spacing w:line="240" w:lineRule="auto"/>
              <w:jc w:val="center"/>
              <w:rPr>
                <w:rFonts w:ascii="Times New Roman" w:hAnsi="Times New Roman"/>
                <w:color w:val="000000"/>
                <w:spacing w:val="-2"/>
              </w:rPr>
            </w:pPr>
            <w:r w:rsidRPr="00067C34">
              <w:rPr>
                <w:rFonts w:ascii="Times New Roman" w:hAnsi="Times New Roman"/>
                <w:color w:val="000000"/>
                <w:spacing w:val="-2"/>
              </w:rPr>
              <w:t>Źródło danych</w:t>
            </w:r>
          </w:p>
        </w:tc>
        <w:tc>
          <w:tcPr>
            <w:tcW w:w="2983" w:type="dxa"/>
            <w:gridSpan w:val="10"/>
            <w:shd w:val="clear" w:color="auto" w:fill="auto"/>
          </w:tcPr>
          <w:p w14:paraId="7A0D9DEC" w14:textId="77777777" w:rsidR="0019538B" w:rsidRDefault="0019538B" w:rsidP="00996625">
            <w:pPr>
              <w:spacing w:line="240" w:lineRule="auto"/>
              <w:jc w:val="center"/>
              <w:rPr>
                <w:rFonts w:ascii="Times New Roman" w:hAnsi="Times New Roman"/>
                <w:color w:val="000000"/>
                <w:spacing w:val="-2"/>
              </w:rPr>
            </w:pPr>
            <w:r w:rsidRPr="00067C34">
              <w:rPr>
                <w:rFonts w:ascii="Times New Roman" w:hAnsi="Times New Roman"/>
                <w:color w:val="000000"/>
                <w:spacing w:val="-2"/>
              </w:rPr>
              <w:t>Oddziaływanie</w:t>
            </w:r>
          </w:p>
        </w:tc>
      </w:tr>
      <w:tr w:rsidR="0019538B" w:rsidRPr="008B4FE6" w14:paraId="6973108D" w14:textId="77777777" w:rsidTr="00996625">
        <w:trPr>
          <w:gridAfter w:val="1"/>
          <w:wAfter w:w="10" w:type="dxa"/>
          <w:trHeight w:val="142"/>
        </w:trPr>
        <w:tc>
          <w:tcPr>
            <w:tcW w:w="2666" w:type="dxa"/>
            <w:gridSpan w:val="3"/>
            <w:shd w:val="clear" w:color="auto" w:fill="auto"/>
          </w:tcPr>
          <w:p w14:paraId="2C3E4CFA" w14:textId="77777777" w:rsidR="0019538B" w:rsidRPr="00F64912" w:rsidRDefault="0019538B" w:rsidP="00996625">
            <w:pPr>
              <w:spacing w:line="240" w:lineRule="auto"/>
              <w:rPr>
                <w:rFonts w:ascii="Times New Roman" w:hAnsi="Times New Roman"/>
                <w:color w:val="000000"/>
              </w:rPr>
            </w:pPr>
            <w:r w:rsidRPr="00F64912">
              <w:rPr>
                <w:rFonts w:ascii="Times New Roman" w:hAnsi="Times New Roman"/>
                <w:color w:val="000000"/>
              </w:rPr>
              <w:t>podmioty odpowiedzialne,</w:t>
            </w:r>
          </w:p>
          <w:p w14:paraId="6D1BD415" w14:textId="77777777" w:rsidR="0019538B" w:rsidRPr="00F64912" w:rsidRDefault="0019538B" w:rsidP="00996625">
            <w:pPr>
              <w:spacing w:line="240" w:lineRule="auto"/>
              <w:rPr>
                <w:rFonts w:ascii="Times New Roman" w:hAnsi="Times New Roman"/>
                <w:color w:val="000000"/>
                <w:spacing w:val="-2"/>
              </w:rPr>
            </w:pPr>
            <w:r w:rsidRPr="00F64912">
              <w:rPr>
                <w:rFonts w:ascii="Times New Roman" w:hAnsi="Times New Roman"/>
                <w:color w:val="000000"/>
              </w:rPr>
              <w:t>posiadacze pozwoleń oraz zezwoleń na handel równoległy</w:t>
            </w:r>
          </w:p>
        </w:tc>
        <w:tc>
          <w:tcPr>
            <w:tcW w:w="2292" w:type="dxa"/>
            <w:gridSpan w:val="8"/>
            <w:shd w:val="clear" w:color="auto" w:fill="auto"/>
          </w:tcPr>
          <w:p w14:paraId="5FA40B7C" w14:textId="2525FE14" w:rsidR="0019538B" w:rsidRPr="00F64912" w:rsidRDefault="0019538B" w:rsidP="00F64912">
            <w:pPr>
              <w:spacing w:line="240" w:lineRule="auto"/>
              <w:rPr>
                <w:rFonts w:ascii="Times New Roman" w:hAnsi="Times New Roman"/>
                <w:color w:val="000000"/>
                <w:spacing w:val="-2"/>
              </w:rPr>
            </w:pPr>
            <w:r w:rsidRPr="00F64912">
              <w:rPr>
                <w:rFonts w:ascii="Times New Roman" w:hAnsi="Times New Roman"/>
                <w:color w:val="000000"/>
                <w:spacing w:val="-2"/>
              </w:rPr>
              <w:t xml:space="preserve">ok. </w:t>
            </w:r>
            <w:r w:rsidR="00F64912">
              <w:rPr>
                <w:rFonts w:ascii="Times New Roman" w:hAnsi="Times New Roman"/>
                <w:spacing w:val="-2"/>
              </w:rPr>
              <w:t>1800</w:t>
            </w:r>
          </w:p>
        </w:tc>
        <w:tc>
          <w:tcPr>
            <w:tcW w:w="2996" w:type="dxa"/>
            <w:gridSpan w:val="15"/>
            <w:shd w:val="clear" w:color="auto" w:fill="auto"/>
          </w:tcPr>
          <w:p w14:paraId="33597694" w14:textId="77777777" w:rsidR="0019538B" w:rsidRDefault="0019538B" w:rsidP="00996625">
            <w:pPr>
              <w:spacing w:line="240" w:lineRule="auto"/>
              <w:rPr>
                <w:rFonts w:ascii="Times New Roman" w:hAnsi="Times New Roman"/>
                <w:color w:val="000000"/>
                <w:spacing w:val="-2"/>
              </w:rPr>
            </w:pPr>
            <w:r w:rsidRPr="00067C34">
              <w:rPr>
                <w:rFonts w:ascii="Times New Roman" w:hAnsi="Times New Roman"/>
                <w:color w:val="000000"/>
                <w:spacing w:val="-2"/>
              </w:rPr>
              <w:t>Wykaz Produktów Biobójczych</w:t>
            </w:r>
          </w:p>
        </w:tc>
        <w:tc>
          <w:tcPr>
            <w:tcW w:w="2983" w:type="dxa"/>
            <w:gridSpan w:val="10"/>
            <w:shd w:val="clear" w:color="auto" w:fill="auto"/>
          </w:tcPr>
          <w:p w14:paraId="0A26E023" w14:textId="77777777" w:rsidR="0019538B" w:rsidRDefault="0019538B" w:rsidP="0011555C">
            <w:pPr>
              <w:spacing w:line="240" w:lineRule="auto"/>
              <w:rPr>
                <w:rFonts w:ascii="Times New Roman" w:hAnsi="Times New Roman"/>
              </w:rPr>
            </w:pPr>
            <w:r w:rsidRPr="00067C34">
              <w:rPr>
                <w:rFonts w:ascii="Times New Roman" w:hAnsi="Times New Roman"/>
              </w:rPr>
              <w:t xml:space="preserve">1) </w:t>
            </w:r>
            <w:r>
              <w:rPr>
                <w:rFonts w:ascii="Times New Roman" w:hAnsi="Times New Roman"/>
              </w:rPr>
              <w:t>a</w:t>
            </w:r>
            <w:r w:rsidRPr="00067C34">
              <w:rPr>
                <w:rFonts w:ascii="Times New Roman" w:hAnsi="Times New Roman"/>
              </w:rPr>
              <w:t>ktualizacja struktury i sposobu naliczania opłat służąca realizacji  przepisów rozporządzenia 528/2012</w:t>
            </w:r>
            <w:r>
              <w:rPr>
                <w:rFonts w:ascii="Times New Roman" w:hAnsi="Times New Roman"/>
              </w:rPr>
              <w:t>;</w:t>
            </w:r>
            <w:r w:rsidRPr="00067C34">
              <w:rPr>
                <w:rFonts w:ascii="Times New Roman" w:hAnsi="Times New Roman"/>
              </w:rPr>
              <w:t xml:space="preserve"> </w:t>
            </w:r>
          </w:p>
          <w:p w14:paraId="31CC284C" w14:textId="5FE29BE9" w:rsidR="0019538B" w:rsidRDefault="0019538B" w:rsidP="0011555C">
            <w:pPr>
              <w:spacing w:line="240" w:lineRule="auto"/>
              <w:rPr>
                <w:rFonts w:ascii="Times New Roman" w:hAnsi="Times New Roman"/>
              </w:rPr>
            </w:pPr>
            <w:r w:rsidRPr="00067C34">
              <w:rPr>
                <w:rFonts w:ascii="Times New Roman" w:hAnsi="Times New Roman"/>
              </w:rPr>
              <w:t xml:space="preserve">2) </w:t>
            </w:r>
            <w:r w:rsidR="0049377D">
              <w:rPr>
                <w:rFonts w:ascii="Times New Roman" w:hAnsi="Times New Roman"/>
              </w:rPr>
              <w:t>d</w:t>
            </w:r>
            <w:r w:rsidR="0049377D" w:rsidRPr="00067C34">
              <w:rPr>
                <w:rFonts w:ascii="Times New Roman" w:hAnsi="Times New Roman"/>
              </w:rPr>
              <w:t>o</w:t>
            </w:r>
            <w:r w:rsidR="0049377D">
              <w:rPr>
                <w:rFonts w:ascii="Times New Roman" w:hAnsi="Times New Roman"/>
              </w:rPr>
              <w:t xml:space="preserve">precyzowanie wymagań związanych z przedkładaną wraz z wnioskiem dokumentacją oraz skutków niewykonania obowiązków wynikających z ustawy w ramach </w:t>
            </w:r>
            <w:r w:rsidR="0049377D" w:rsidRPr="00067C34">
              <w:rPr>
                <w:rFonts w:ascii="Times New Roman" w:hAnsi="Times New Roman"/>
              </w:rPr>
              <w:t xml:space="preserve"> </w:t>
            </w:r>
            <w:r w:rsidRPr="00067C34">
              <w:rPr>
                <w:rFonts w:ascii="Times New Roman" w:hAnsi="Times New Roman"/>
              </w:rPr>
              <w:t xml:space="preserve">procedur </w:t>
            </w:r>
            <w:r w:rsidR="0049377D">
              <w:rPr>
                <w:rFonts w:ascii="Times New Roman" w:hAnsi="Times New Roman"/>
              </w:rPr>
              <w:t xml:space="preserve">prowadzonych na podstawie przepisów ustawy oraz </w:t>
            </w:r>
            <w:r w:rsidRPr="00067C34">
              <w:rPr>
                <w:rFonts w:ascii="Times New Roman" w:hAnsi="Times New Roman"/>
              </w:rPr>
              <w:t>przepisów rozporządzenia 528/2012</w:t>
            </w:r>
            <w:r w:rsidR="008720CD">
              <w:rPr>
                <w:rFonts w:ascii="Times New Roman" w:hAnsi="Times New Roman"/>
              </w:rPr>
              <w:t>;</w:t>
            </w:r>
          </w:p>
          <w:p w14:paraId="1071666D" w14:textId="7095B00A" w:rsidR="00103C4E" w:rsidRDefault="00103C4E" w:rsidP="0011555C">
            <w:pPr>
              <w:spacing w:line="240" w:lineRule="auto"/>
              <w:rPr>
                <w:rFonts w:ascii="Times New Roman" w:hAnsi="Times New Roman"/>
                <w:color w:val="000000"/>
                <w:spacing w:val="-2"/>
              </w:rPr>
            </w:pPr>
            <w:r>
              <w:rPr>
                <w:rFonts w:ascii="Times New Roman" w:hAnsi="Times New Roman"/>
              </w:rPr>
              <w:lastRenderedPageBreak/>
              <w:t xml:space="preserve">3) </w:t>
            </w:r>
            <w:r w:rsidR="003E61D6">
              <w:rPr>
                <w:rFonts w:ascii="Times New Roman" w:hAnsi="Times New Roman"/>
              </w:rPr>
              <w:t>doprecyzowanie przypadków, gdzie możliwe jest odstąpienie od</w:t>
            </w:r>
            <w:r>
              <w:rPr>
                <w:rFonts w:ascii="Times New Roman" w:hAnsi="Times New Roman"/>
              </w:rPr>
              <w:t xml:space="preserve"> obowiązku przedkładania osobnego wniosku o zu</w:t>
            </w:r>
            <w:r w:rsidR="003E61D6">
              <w:rPr>
                <w:rFonts w:ascii="Times New Roman" w:hAnsi="Times New Roman"/>
              </w:rPr>
              <w:t>życi</w:t>
            </w:r>
            <w:r w:rsidR="00666341">
              <w:rPr>
                <w:rFonts w:ascii="Times New Roman" w:hAnsi="Times New Roman"/>
              </w:rPr>
              <w:t>e</w:t>
            </w:r>
            <w:r w:rsidR="003E61D6">
              <w:rPr>
                <w:rFonts w:ascii="Times New Roman" w:hAnsi="Times New Roman"/>
              </w:rPr>
              <w:t xml:space="preserve"> zapasów produktu biobójczego</w:t>
            </w:r>
          </w:p>
        </w:tc>
      </w:tr>
      <w:tr w:rsidR="0019538B" w:rsidRPr="008B4FE6" w14:paraId="64C7F98A" w14:textId="77777777" w:rsidTr="00996625">
        <w:trPr>
          <w:gridAfter w:val="1"/>
          <w:wAfter w:w="10" w:type="dxa"/>
          <w:trHeight w:val="332"/>
        </w:trPr>
        <w:tc>
          <w:tcPr>
            <w:tcW w:w="2666" w:type="dxa"/>
            <w:gridSpan w:val="3"/>
            <w:shd w:val="clear" w:color="auto" w:fill="auto"/>
          </w:tcPr>
          <w:p w14:paraId="7E4EF0D2" w14:textId="0032BA10" w:rsidR="0019538B" w:rsidRPr="00067C34" w:rsidRDefault="0019538B" w:rsidP="00996625">
            <w:pPr>
              <w:tabs>
                <w:tab w:val="left" w:pos="1560"/>
              </w:tabs>
              <w:spacing w:line="240" w:lineRule="auto"/>
              <w:rPr>
                <w:rFonts w:ascii="Times New Roman" w:hAnsi="Times New Roman"/>
                <w:color w:val="000000"/>
              </w:rPr>
            </w:pPr>
            <w:r>
              <w:rPr>
                <w:rFonts w:ascii="Times New Roman" w:hAnsi="Times New Roman"/>
                <w:color w:val="000000"/>
              </w:rPr>
              <w:lastRenderedPageBreak/>
              <w:t>Urząd Rejestracji Produktów Leczniczych, Wyrobów Medycznych i Produktów Biobójczych</w:t>
            </w:r>
          </w:p>
        </w:tc>
        <w:tc>
          <w:tcPr>
            <w:tcW w:w="2292" w:type="dxa"/>
            <w:gridSpan w:val="8"/>
            <w:shd w:val="clear" w:color="auto" w:fill="auto"/>
          </w:tcPr>
          <w:p w14:paraId="3579B54E" w14:textId="77777777" w:rsidR="0019538B" w:rsidRDefault="0019538B" w:rsidP="00996625">
            <w:pPr>
              <w:spacing w:line="240" w:lineRule="auto"/>
              <w:rPr>
                <w:rFonts w:ascii="Times New Roman" w:hAnsi="Times New Roman"/>
                <w:color w:val="000000"/>
                <w:spacing w:val="-2"/>
              </w:rPr>
            </w:pPr>
          </w:p>
        </w:tc>
        <w:tc>
          <w:tcPr>
            <w:tcW w:w="2996" w:type="dxa"/>
            <w:gridSpan w:val="15"/>
            <w:shd w:val="clear" w:color="auto" w:fill="auto"/>
          </w:tcPr>
          <w:p w14:paraId="192D457C" w14:textId="77777777" w:rsidR="0019538B" w:rsidRDefault="0019538B" w:rsidP="00996625">
            <w:pPr>
              <w:spacing w:line="240" w:lineRule="auto"/>
              <w:rPr>
                <w:rFonts w:ascii="Times New Roman" w:hAnsi="Times New Roman"/>
                <w:color w:val="000000"/>
                <w:spacing w:val="-2"/>
              </w:rPr>
            </w:pPr>
          </w:p>
        </w:tc>
        <w:tc>
          <w:tcPr>
            <w:tcW w:w="2983" w:type="dxa"/>
            <w:gridSpan w:val="10"/>
            <w:shd w:val="clear" w:color="auto" w:fill="auto"/>
          </w:tcPr>
          <w:p w14:paraId="78CF58D8" w14:textId="77777777" w:rsidR="0019538B" w:rsidRPr="00A123F5" w:rsidRDefault="0019538B" w:rsidP="00CF72E4">
            <w:pPr>
              <w:widowControl w:val="0"/>
              <w:numPr>
                <w:ilvl w:val="0"/>
                <w:numId w:val="27"/>
              </w:numPr>
              <w:shd w:val="clear" w:color="auto" w:fill="FFFFFF"/>
              <w:tabs>
                <w:tab w:val="left" w:pos="379"/>
              </w:tabs>
              <w:autoSpaceDE w:val="0"/>
              <w:autoSpaceDN w:val="0"/>
              <w:adjustRightInd w:val="0"/>
              <w:spacing w:line="240" w:lineRule="auto"/>
              <w:ind w:right="34"/>
              <w:jc w:val="both"/>
              <w:rPr>
                <w:rFonts w:ascii="Times New Roman" w:hAnsi="Times New Roman"/>
                <w:spacing w:val="-5"/>
              </w:rPr>
            </w:pPr>
            <w:r w:rsidRPr="00A123F5">
              <w:rPr>
                <w:rFonts w:ascii="Times New Roman" w:hAnsi="Times New Roman"/>
              </w:rPr>
              <w:t>doprecyzowanie przepis</w:t>
            </w:r>
            <w:r w:rsidRPr="00A123F5">
              <w:rPr>
                <w:rFonts w:ascii="Times New Roman" w:eastAsia="Times New Roman" w:hAnsi="Times New Roman"/>
              </w:rPr>
              <w:t xml:space="preserve">ów odnoszących się do procedur oceny substancji czynnych </w:t>
            </w:r>
            <w:r w:rsidRPr="00A123F5">
              <w:rPr>
                <w:rFonts w:ascii="Times New Roman" w:eastAsia="Times New Roman" w:hAnsi="Times New Roman"/>
                <w:spacing w:val="-1"/>
              </w:rPr>
              <w:t>oraz dotyczących przesłanek u</w:t>
            </w:r>
            <w:r w:rsidR="00E871B6">
              <w:rPr>
                <w:rFonts w:ascii="Times New Roman" w:eastAsia="Times New Roman" w:hAnsi="Times New Roman"/>
                <w:spacing w:val="-1"/>
              </w:rPr>
              <w:t>chylenia</w:t>
            </w:r>
            <w:r w:rsidRPr="00A123F5">
              <w:rPr>
                <w:rFonts w:ascii="Times New Roman" w:eastAsia="Times New Roman" w:hAnsi="Times New Roman"/>
                <w:spacing w:val="-1"/>
              </w:rPr>
              <w:t xml:space="preserve"> bądź zmiany pozwolenia po przeprowadzeniu oceny </w:t>
            </w:r>
            <w:r w:rsidRPr="00A123F5">
              <w:rPr>
                <w:rFonts w:ascii="Times New Roman" w:eastAsia="Times New Roman" w:hAnsi="Times New Roman"/>
              </w:rPr>
              <w:t>porównawczej produktów biobójczych;</w:t>
            </w:r>
          </w:p>
          <w:p w14:paraId="45905C84" w14:textId="3D90FCCA" w:rsidR="0019538B" w:rsidRPr="00A123F5" w:rsidRDefault="0019538B" w:rsidP="00CF72E4">
            <w:pPr>
              <w:widowControl w:val="0"/>
              <w:numPr>
                <w:ilvl w:val="0"/>
                <w:numId w:val="27"/>
              </w:numPr>
              <w:shd w:val="clear" w:color="auto" w:fill="FFFFFF"/>
              <w:tabs>
                <w:tab w:val="left" w:pos="379"/>
              </w:tabs>
              <w:autoSpaceDE w:val="0"/>
              <w:autoSpaceDN w:val="0"/>
              <w:adjustRightInd w:val="0"/>
              <w:spacing w:line="240" w:lineRule="auto"/>
              <w:ind w:right="29"/>
              <w:jc w:val="both"/>
              <w:rPr>
                <w:rFonts w:ascii="Times New Roman" w:hAnsi="Times New Roman"/>
                <w:spacing w:val="-9"/>
              </w:rPr>
            </w:pPr>
            <w:r w:rsidRPr="00A123F5">
              <w:rPr>
                <w:rFonts w:ascii="Times New Roman" w:hAnsi="Times New Roman"/>
              </w:rPr>
              <w:t>rozszerzenie rodzaju spraw, kt</w:t>
            </w:r>
            <w:r w:rsidRPr="00A123F5">
              <w:rPr>
                <w:rFonts w:ascii="Times New Roman" w:eastAsia="Times New Roman" w:hAnsi="Times New Roman"/>
              </w:rPr>
              <w:t>óre mogą zakończyć się pozostawieniem przez Prezesa Urzędu bez rozpoznania, w wyniku braku przedstawienia wymaganych informacji o postępowaniu w sprawie oceny substancji czynnej;</w:t>
            </w:r>
          </w:p>
          <w:p w14:paraId="4E3A0C25" w14:textId="77777777" w:rsidR="0019538B" w:rsidRPr="00A123F5" w:rsidRDefault="0019538B" w:rsidP="00CF72E4">
            <w:pPr>
              <w:widowControl w:val="0"/>
              <w:numPr>
                <w:ilvl w:val="0"/>
                <w:numId w:val="27"/>
              </w:numPr>
              <w:shd w:val="clear" w:color="auto" w:fill="FFFFFF"/>
              <w:tabs>
                <w:tab w:val="left" w:pos="17"/>
              </w:tabs>
              <w:autoSpaceDE w:val="0"/>
              <w:autoSpaceDN w:val="0"/>
              <w:adjustRightInd w:val="0"/>
              <w:spacing w:line="240" w:lineRule="auto"/>
              <w:ind w:left="17" w:right="14"/>
              <w:jc w:val="both"/>
              <w:rPr>
                <w:rFonts w:ascii="Times New Roman" w:hAnsi="Times New Roman"/>
                <w:spacing w:val="-6"/>
              </w:rPr>
            </w:pPr>
            <w:r w:rsidRPr="00A123F5">
              <w:rPr>
                <w:rFonts w:ascii="Times New Roman" w:hAnsi="Times New Roman"/>
              </w:rPr>
              <w:t>uporz</w:t>
            </w:r>
            <w:r w:rsidRPr="00A123F5">
              <w:rPr>
                <w:rFonts w:ascii="Times New Roman" w:eastAsia="Times New Roman" w:hAnsi="Times New Roman"/>
              </w:rPr>
              <w:t>ądkowanie warunków, w których dochodzi do wygaszenia lub uchylenia pozwolenia na obrót produktami biobójczymi;</w:t>
            </w:r>
          </w:p>
          <w:p w14:paraId="23F0B944" w14:textId="1E1BDA03" w:rsidR="0019538B" w:rsidRPr="00A123F5" w:rsidRDefault="0019538B" w:rsidP="00CF72E4">
            <w:pPr>
              <w:widowControl w:val="0"/>
              <w:numPr>
                <w:ilvl w:val="0"/>
                <w:numId w:val="27"/>
              </w:numPr>
              <w:shd w:val="clear" w:color="auto" w:fill="FFFFFF"/>
              <w:tabs>
                <w:tab w:val="left" w:pos="17"/>
              </w:tabs>
              <w:autoSpaceDE w:val="0"/>
              <w:autoSpaceDN w:val="0"/>
              <w:adjustRightInd w:val="0"/>
              <w:spacing w:line="240" w:lineRule="auto"/>
              <w:ind w:left="17" w:right="10"/>
              <w:jc w:val="both"/>
              <w:rPr>
                <w:rFonts w:ascii="Times New Roman" w:hAnsi="Times New Roman"/>
                <w:spacing w:val="-14"/>
              </w:rPr>
            </w:pPr>
            <w:r w:rsidRPr="00A123F5">
              <w:rPr>
                <w:rFonts w:ascii="Times New Roman" w:hAnsi="Times New Roman"/>
              </w:rPr>
              <w:t>doprecyzowanie przepis</w:t>
            </w:r>
            <w:r w:rsidRPr="00A123F5">
              <w:rPr>
                <w:rFonts w:ascii="Times New Roman" w:eastAsia="Times New Roman" w:hAnsi="Times New Roman"/>
              </w:rPr>
              <w:t>ów dotyczących przyznawania okresu na zużycie zapasów produktu biobójczego w sytuacji, gdy pozwolenie na obrót ulega zmianie, uchyleniu lub wygaszeniu;</w:t>
            </w:r>
          </w:p>
          <w:p w14:paraId="650026AA" w14:textId="39A66121" w:rsidR="0019538B" w:rsidRPr="00EB082F" w:rsidRDefault="0019538B" w:rsidP="00CF72E4">
            <w:pPr>
              <w:widowControl w:val="0"/>
              <w:numPr>
                <w:ilvl w:val="0"/>
                <w:numId w:val="27"/>
              </w:numPr>
              <w:shd w:val="clear" w:color="auto" w:fill="FFFFFF"/>
              <w:tabs>
                <w:tab w:val="left" w:pos="17"/>
              </w:tabs>
              <w:autoSpaceDE w:val="0"/>
              <w:autoSpaceDN w:val="0"/>
              <w:adjustRightInd w:val="0"/>
              <w:spacing w:line="240" w:lineRule="auto"/>
              <w:ind w:left="17" w:right="19"/>
              <w:jc w:val="both"/>
              <w:rPr>
                <w:rFonts w:ascii="Times New Roman" w:hAnsi="Times New Roman"/>
                <w:spacing w:val="-6"/>
              </w:rPr>
            </w:pPr>
            <w:r w:rsidRPr="00A123F5">
              <w:rPr>
                <w:rFonts w:ascii="Times New Roman" w:hAnsi="Times New Roman"/>
              </w:rPr>
              <w:t>uregulowanie kwestii dotycz</w:t>
            </w:r>
            <w:r w:rsidRPr="00A123F5">
              <w:rPr>
                <w:rFonts w:ascii="Times New Roman" w:eastAsia="Times New Roman" w:hAnsi="Times New Roman"/>
              </w:rPr>
              <w:t xml:space="preserve">ących terminów na wykorzystanie zapasów produktu biobójczego, dla którego pozwolenie zostało wygaszone lub zmienione zgodnie z warunkami decyzji </w:t>
            </w:r>
            <w:r w:rsidRPr="00A123F5">
              <w:rPr>
                <w:rFonts w:ascii="Times New Roman" w:eastAsia="Times New Roman" w:hAnsi="Times New Roman"/>
                <w:spacing w:val="-1"/>
              </w:rPr>
              <w:t xml:space="preserve">o niezatwierdzeniu substancji czynnej lub zostało wygaszone lub zmienione zgodnie z warunkami </w:t>
            </w:r>
            <w:r w:rsidRPr="00A123F5">
              <w:rPr>
                <w:rFonts w:ascii="Times New Roman" w:eastAsia="Times New Roman" w:hAnsi="Times New Roman"/>
              </w:rPr>
              <w:t>rozporządzenia wykonawczego dotyczącego zatwierdzenia substancji;</w:t>
            </w:r>
          </w:p>
          <w:p w14:paraId="0D71B9C7" w14:textId="169E8EFB" w:rsidR="002372C7" w:rsidRPr="00EB082F" w:rsidRDefault="002372C7" w:rsidP="00CF72E4">
            <w:pPr>
              <w:pStyle w:val="Akapitzlist"/>
              <w:numPr>
                <w:ilvl w:val="0"/>
                <w:numId w:val="27"/>
              </w:numPr>
              <w:spacing w:line="240" w:lineRule="auto"/>
              <w:jc w:val="both"/>
              <w:rPr>
                <w:rFonts w:ascii="Times New Roman" w:hAnsi="Times New Roman"/>
              </w:rPr>
            </w:pPr>
            <w:r w:rsidRPr="00EB082F">
              <w:rPr>
                <w:rFonts w:ascii="Times New Roman" w:hAnsi="Times New Roman"/>
              </w:rPr>
              <w:t xml:space="preserve">ograniczenie dokumentów wymaganych do przedłożenia wraz z wnioskiem o wydanie pozwolenia na obrót do sprawozdania z badań potwierdzających skuteczność produktu biobójczego, upoważnienia do korzystania z danych (jeśli dotyczy) oraz informacji o nazwie dostawcy substancji czynnej lub </w:t>
            </w:r>
            <w:r w:rsidRPr="00EB082F">
              <w:rPr>
                <w:rFonts w:ascii="Times New Roman" w:hAnsi="Times New Roman"/>
              </w:rPr>
              <w:lastRenderedPageBreak/>
              <w:t xml:space="preserve">dostawcy produktu biobójczego znajdującego się w wykazie, o którym mowa w art. 95 rozporządzenia 528/2012; </w:t>
            </w:r>
          </w:p>
          <w:p w14:paraId="51ADAEC9" w14:textId="1B15553C" w:rsidR="004E6F9E" w:rsidRPr="0011555C" w:rsidRDefault="002372C7" w:rsidP="00CF72E4">
            <w:pPr>
              <w:pStyle w:val="Akapitzlist"/>
              <w:numPr>
                <w:ilvl w:val="0"/>
                <w:numId w:val="27"/>
              </w:numPr>
              <w:spacing w:line="240" w:lineRule="auto"/>
              <w:jc w:val="both"/>
              <w:rPr>
                <w:rFonts w:ascii="Times New Roman" w:hAnsi="Times New Roman"/>
              </w:rPr>
            </w:pPr>
            <w:r w:rsidRPr="00EB082F">
              <w:rPr>
                <w:rFonts w:ascii="Times New Roman" w:hAnsi="Times New Roman"/>
              </w:rPr>
              <w:t>odstąpienie od wymagania przedłożenia wraz z wnioskiem treści oznakowania opakowania produktu biobójc</w:t>
            </w:r>
            <w:r w:rsidR="0011555C">
              <w:rPr>
                <w:rFonts w:ascii="Times New Roman" w:hAnsi="Times New Roman"/>
              </w:rPr>
              <w:t>zego oraz karty charakterystyki,</w:t>
            </w:r>
          </w:p>
          <w:p w14:paraId="1F81C7CD" w14:textId="221263C1" w:rsidR="002372C7" w:rsidRDefault="00DF3F0C" w:rsidP="00CF72E4">
            <w:pPr>
              <w:spacing w:line="240" w:lineRule="auto"/>
              <w:jc w:val="both"/>
              <w:rPr>
                <w:rFonts w:ascii="Times New Roman" w:hAnsi="Times New Roman"/>
              </w:rPr>
            </w:pPr>
            <w:r w:rsidRPr="00EB082F">
              <w:rPr>
                <w:rFonts w:ascii="Times New Roman" w:hAnsi="Times New Roman"/>
              </w:rPr>
              <w:t xml:space="preserve">zastąpienie dołączonej do pozwolenia treści oznakowania opakowania </w:t>
            </w:r>
            <w:r w:rsidR="005D5F92" w:rsidRPr="005D5F92">
              <w:rPr>
                <w:rFonts w:ascii="Times New Roman" w:hAnsi="Times New Roman"/>
              </w:rPr>
              <w:t>zalecania</w:t>
            </w:r>
            <w:r w:rsidR="005D5F92">
              <w:rPr>
                <w:rFonts w:ascii="Times New Roman" w:hAnsi="Times New Roman"/>
              </w:rPr>
              <w:t>mi dotyczącymi</w:t>
            </w:r>
            <w:r w:rsidR="005D5F92" w:rsidRPr="005D5F92">
              <w:rPr>
                <w:rFonts w:ascii="Times New Roman" w:hAnsi="Times New Roman"/>
              </w:rPr>
              <w:t xml:space="preserve"> stosowania dla danego zakresu stosowania produktu biobójczego</w:t>
            </w:r>
          </w:p>
          <w:p w14:paraId="50DABFB7" w14:textId="7D36FEB6" w:rsidR="002372C7" w:rsidRPr="00EB082F" w:rsidRDefault="002372C7" w:rsidP="00CF72E4">
            <w:pPr>
              <w:pStyle w:val="Akapitzlist"/>
              <w:numPr>
                <w:ilvl w:val="0"/>
                <w:numId w:val="27"/>
              </w:numPr>
              <w:spacing w:line="240" w:lineRule="auto"/>
              <w:jc w:val="both"/>
              <w:rPr>
                <w:rFonts w:ascii="Times New Roman" w:hAnsi="Times New Roman"/>
              </w:rPr>
            </w:pPr>
            <w:r w:rsidRPr="00EB082F">
              <w:rPr>
                <w:rFonts w:ascii="Times New Roman" w:hAnsi="Times New Roman"/>
              </w:rPr>
              <w:t>umożliwienie wnioskodawcom dołączenia do wniosku danych literaturowych potwierdzających skuteczność produktu biobójczego, w sytuacji wystąpienia zagrożenia dla zdrowia publicznego, którego nie można powstrzymać innymi środkami, dotyczy  to w szczególności sytuacji kryzysowych, takich jak pandemia COVID-19, gdzie wykorzystano narzędzia regulacyjne określone w przepisie art. 55 ust.1 rozporządzenia 528/2012;</w:t>
            </w:r>
          </w:p>
          <w:p w14:paraId="51D8341A" w14:textId="47F979EC" w:rsidR="0019538B" w:rsidRPr="0011555C" w:rsidRDefault="0019538B" w:rsidP="00CF72E4">
            <w:pPr>
              <w:widowControl w:val="0"/>
              <w:numPr>
                <w:ilvl w:val="0"/>
                <w:numId w:val="27"/>
              </w:numPr>
              <w:shd w:val="clear" w:color="auto" w:fill="FFFFFF"/>
              <w:tabs>
                <w:tab w:val="left" w:pos="17"/>
              </w:tabs>
              <w:autoSpaceDE w:val="0"/>
              <w:autoSpaceDN w:val="0"/>
              <w:adjustRightInd w:val="0"/>
              <w:spacing w:line="240" w:lineRule="auto"/>
              <w:ind w:left="17" w:right="19"/>
              <w:jc w:val="both"/>
              <w:rPr>
                <w:rFonts w:ascii="Times New Roman" w:hAnsi="Times New Roman"/>
                <w:spacing w:val="-6"/>
              </w:rPr>
            </w:pPr>
            <w:r w:rsidRPr="0011555C">
              <w:rPr>
                <w:rFonts w:ascii="Times New Roman" w:hAnsi="Times New Roman"/>
              </w:rPr>
              <w:t>dokonanie zmian w obszarze op</w:t>
            </w:r>
            <w:r w:rsidRPr="0011555C">
              <w:rPr>
                <w:rFonts w:ascii="Times New Roman" w:eastAsia="Times New Roman" w:hAnsi="Times New Roman"/>
              </w:rPr>
              <w:t>łat za czynności Prezesa Urzędu podejmowane w zakresie dotyczącym wykonywania przepisów rozporządzenia 528/2012</w:t>
            </w:r>
          </w:p>
          <w:p w14:paraId="6E53BC4F" w14:textId="77777777" w:rsidR="0019538B" w:rsidRDefault="0019538B" w:rsidP="00CF72E4">
            <w:pPr>
              <w:widowControl w:val="0"/>
              <w:shd w:val="clear" w:color="auto" w:fill="FFFFFF"/>
              <w:tabs>
                <w:tab w:val="left" w:pos="158"/>
              </w:tabs>
              <w:autoSpaceDE w:val="0"/>
              <w:autoSpaceDN w:val="0"/>
              <w:adjustRightInd w:val="0"/>
              <w:spacing w:line="240" w:lineRule="auto"/>
              <w:ind w:left="17" w:right="5"/>
              <w:jc w:val="both"/>
              <w:rPr>
                <w:rFonts w:ascii="Times New Roman" w:eastAsia="Times New Roman" w:hAnsi="Times New Roman" w:cstheme="majorBidi"/>
                <w:b/>
                <w:bCs/>
                <w:color w:val="5B9BD5" w:themeColor="accent1"/>
              </w:rPr>
            </w:pPr>
            <w:r w:rsidRPr="000661D0">
              <w:rPr>
                <w:rFonts w:ascii="Times New Roman" w:hAnsi="Times New Roman"/>
              </w:rPr>
              <w:t>Ustabilizowanie i klaryfikacja przepisów przyczyni się do sprawniejszego przebiegu procedur rejestracyjnych, co z kolei wpłynie na szybkość załatwiania spraw.</w:t>
            </w:r>
          </w:p>
          <w:p w14:paraId="241C17C0" w14:textId="77777777" w:rsidR="0019538B" w:rsidRPr="00A123F5" w:rsidRDefault="0019538B" w:rsidP="00CF72E4">
            <w:pPr>
              <w:widowControl w:val="0"/>
              <w:shd w:val="clear" w:color="auto" w:fill="FFFFFF"/>
              <w:tabs>
                <w:tab w:val="left" w:pos="158"/>
              </w:tabs>
              <w:autoSpaceDE w:val="0"/>
              <w:autoSpaceDN w:val="0"/>
              <w:adjustRightInd w:val="0"/>
              <w:spacing w:line="240" w:lineRule="auto"/>
              <w:ind w:left="17" w:right="5"/>
              <w:jc w:val="both"/>
              <w:rPr>
                <w:rFonts w:ascii="Times New Roman" w:hAnsi="Times New Roman"/>
                <w:spacing w:val="-12"/>
              </w:rPr>
            </w:pPr>
          </w:p>
        </w:tc>
      </w:tr>
      <w:tr w:rsidR="0019538B" w:rsidRPr="008B4FE6" w14:paraId="7CA8FDF6" w14:textId="77777777" w:rsidTr="00996625">
        <w:trPr>
          <w:gridAfter w:val="1"/>
          <w:wAfter w:w="10" w:type="dxa"/>
          <w:trHeight w:val="302"/>
        </w:trPr>
        <w:tc>
          <w:tcPr>
            <w:tcW w:w="10937" w:type="dxa"/>
            <w:gridSpan w:val="36"/>
            <w:shd w:val="clear" w:color="auto" w:fill="99CCFF"/>
            <w:vAlign w:val="center"/>
          </w:tcPr>
          <w:p w14:paraId="66BD0656" w14:textId="77777777" w:rsidR="0019538B" w:rsidRDefault="0019538B" w:rsidP="00996625">
            <w:pPr>
              <w:numPr>
                <w:ilvl w:val="0"/>
                <w:numId w:val="3"/>
              </w:numPr>
              <w:spacing w:line="240" w:lineRule="auto"/>
              <w:ind w:left="318" w:hanging="284"/>
              <w:jc w:val="both"/>
              <w:rPr>
                <w:rFonts w:ascii="Times New Roman" w:hAnsi="Times New Roman"/>
                <w:b/>
                <w:color w:val="000000"/>
              </w:rPr>
            </w:pPr>
            <w:r w:rsidRPr="00067C34">
              <w:rPr>
                <w:rFonts w:ascii="Times New Roman" w:hAnsi="Times New Roman"/>
                <w:b/>
                <w:color w:val="000000"/>
              </w:rPr>
              <w:lastRenderedPageBreak/>
              <w:t>Informacje na temat zakresu, czasu trwania i podsumowanie wyników konsultacji</w:t>
            </w:r>
          </w:p>
        </w:tc>
      </w:tr>
      <w:tr w:rsidR="0019538B" w:rsidRPr="008B4FE6" w14:paraId="3AA0B89F" w14:textId="77777777" w:rsidTr="00996625">
        <w:trPr>
          <w:gridAfter w:val="1"/>
          <w:wAfter w:w="10" w:type="dxa"/>
          <w:trHeight w:val="342"/>
        </w:trPr>
        <w:tc>
          <w:tcPr>
            <w:tcW w:w="10937" w:type="dxa"/>
            <w:gridSpan w:val="36"/>
            <w:shd w:val="clear" w:color="auto" w:fill="FFFFFF"/>
          </w:tcPr>
          <w:p w14:paraId="7A23B5B5" w14:textId="2FFF3031" w:rsidR="0019538B" w:rsidRDefault="0019538B" w:rsidP="00996625">
            <w:pPr>
              <w:spacing w:line="240" w:lineRule="auto"/>
              <w:jc w:val="both"/>
              <w:rPr>
                <w:rFonts w:ascii="Times New Roman" w:hAnsi="Times New Roman"/>
              </w:rPr>
            </w:pPr>
            <w:r w:rsidRPr="00067C34">
              <w:rPr>
                <w:rFonts w:ascii="Times New Roman" w:hAnsi="Times New Roman"/>
              </w:rPr>
              <w:t xml:space="preserve">Projekt </w:t>
            </w:r>
            <w:r>
              <w:rPr>
                <w:rFonts w:ascii="Times New Roman" w:hAnsi="Times New Roman"/>
              </w:rPr>
              <w:t xml:space="preserve">ustawy </w:t>
            </w:r>
            <w:r w:rsidRPr="00067C34">
              <w:rPr>
                <w:rFonts w:ascii="Times New Roman" w:hAnsi="Times New Roman"/>
              </w:rPr>
              <w:t xml:space="preserve">nie był poddany </w:t>
            </w:r>
            <w:proofErr w:type="spellStart"/>
            <w:r w:rsidR="00C5769A">
              <w:rPr>
                <w:rFonts w:ascii="Times New Roman" w:hAnsi="Times New Roman"/>
              </w:rPr>
              <w:t>pre</w:t>
            </w:r>
            <w:proofErr w:type="spellEnd"/>
            <w:r w:rsidR="00C5769A">
              <w:rPr>
                <w:rFonts w:ascii="Times New Roman" w:hAnsi="Times New Roman"/>
              </w:rPr>
              <w:t>-</w:t>
            </w:r>
            <w:r w:rsidRPr="00067C34">
              <w:rPr>
                <w:rFonts w:ascii="Times New Roman" w:hAnsi="Times New Roman"/>
              </w:rPr>
              <w:t>konsultacjom.</w:t>
            </w:r>
          </w:p>
          <w:p w14:paraId="46FEDDF6" w14:textId="2B6B7D4A" w:rsidR="0019538B" w:rsidRDefault="0019538B" w:rsidP="00996625">
            <w:pPr>
              <w:spacing w:line="240" w:lineRule="auto"/>
              <w:jc w:val="both"/>
              <w:rPr>
                <w:rFonts w:ascii="Times New Roman" w:hAnsi="Times New Roman"/>
              </w:rPr>
            </w:pPr>
            <w:r w:rsidRPr="00067C34">
              <w:rPr>
                <w:rFonts w:ascii="Times New Roman" w:hAnsi="Times New Roman"/>
              </w:rPr>
              <w:t xml:space="preserve">Przedmiotowy projekt zostanie przedstawiony na okres </w:t>
            </w:r>
            <w:r w:rsidR="00642DC2">
              <w:rPr>
                <w:rFonts w:ascii="Times New Roman" w:hAnsi="Times New Roman"/>
              </w:rPr>
              <w:t>30</w:t>
            </w:r>
            <w:r w:rsidR="00642DC2" w:rsidRPr="00067C34">
              <w:rPr>
                <w:rFonts w:ascii="Times New Roman" w:hAnsi="Times New Roman"/>
              </w:rPr>
              <w:t xml:space="preserve"> </w:t>
            </w:r>
            <w:r w:rsidRPr="00067C34">
              <w:rPr>
                <w:rFonts w:ascii="Times New Roman" w:hAnsi="Times New Roman"/>
              </w:rPr>
              <w:t>dni do opiniowania i konsultacji publicznych następującym podmiotom:</w:t>
            </w:r>
          </w:p>
          <w:p w14:paraId="3A95EDED" w14:textId="77777777" w:rsidR="0019538B" w:rsidRPr="00067C34" w:rsidRDefault="0019538B" w:rsidP="00996625">
            <w:pPr>
              <w:numPr>
                <w:ilvl w:val="0"/>
                <w:numId w:val="22"/>
              </w:numPr>
              <w:spacing w:line="240" w:lineRule="auto"/>
              <w:jc w:val="both"/>
              <w:rPr>
                <w:rFonts w:ascii="Times New Roman" w:hAnsi="Times New Roman"/>
              </w:rPr>
            </w:pPr>
            <w:r w:rsidRPr="00067C34">
              <w:rPr>
                <w:rFonts w:ascii="Times New Roman" w:hAnsi="Times New Roman"/>
              </w:rPr>
              <w:t>Polskiemu Stowarzyszeniu Pracowników Dezynfekcji, Dezynsekcji i Deratyzacji;</w:t>
            </w:r>
          </w:p>
          <w:p w14:paraId="24D5627C"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Stowarzyszeniu Producentów Kosmetyków i Środków Czystości;</w:t>
            </w:r>
          </w:p>
          <w:p w14:paraId="292FEA2B" w14:textId="77777777" w:rsidR="00B77FBA" w:rsidRPr="00067C34" w:rsidRDefault="00B77FBA" w:rsidP="00996625">
            <w:pPr>
              <w:numPr>
                <w:ilvl w:val="0"/>
                <w:numId w:val="22"/>
              </w:numPr>
              <w:spacing w:line="240" w:lineRule="auto"/>
              <w:jc w:val="both"/>
              <w:rPr>
                <w:rFonts w:ascii="Times New Roman" w:hAnsi="Times New Roman"/>
              </w:rPr>
            </w:pPr>
            <w:r>
              <w:rPr>
                <w:rFonts w:ascii="Times New Roman" w:hAnsi="Times New Roman"/>
              </w:rPr>
              <w:t>Polskiemu Związkowi Przemysłu Kosmetycznego</w:t>
            </w:r>
          </w:p>
          <w:p w14:paraId="2E373329"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Polskiej Izbie Przemysłu Chemicznego – Związkowi Pracodawców;</w:t>
            </w:r>
          </w:p>
          <w:p w14:paraId="16B286EF"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Stowarzyszeniu Inżynierów i Techników Przemysłu Chemicznego;</w:t>
            </w:r>
          </w:p>
          <w:p w14:paraId="59EF4CE6"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Krajowej Radzie Diagnostów Laboratoryjnych;</w:t>
            </w:r>
          </w:p>
          <w:p w14:paraId="4C65F7BC"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Naczelnej Radzie Lekarskiej;</w:t>
            </w:r>
          </w:p>
          <w:p w14:paraId="7EDDBB83"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Naczelnej Radzie Pielęgniarek i Położnych;</w:t>
            </w:r>
          </w:p>
          <w:p w14:paraId="1B6F9717"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Naczelnej Radzie Aptekarskiej;</w:t>
            </w:r>
          </w:p>
          <w:p w14:paraId="6BE5B9F2"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Krajowej Izbie Gospodarczej;</w:t>
            </w:r>
          </w:p>
          <w:p w14:paraId="671B627C"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Radzie Dialogu Społecznego;</w:t>
            </w:r>
          </w:p>
          <w:p w14:paraId="209E2CB4"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lastRenderedPageBreak/>
              <w:t>Komisji Wspólnej Rządu i Samorządu Terytorialnego;</w:t>
            </w:r>
          </w:p>
          <w:p w14:paraId="6F25C051"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Pracodawcom RP;</w:t>
            </w:r>
          </w:p>
          <w:p w14:paraId="164FD5D8"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Forum Związków Zawodowych;</w:t>
            </w:r>
          </w:p>
          <w:p w14:paraId="0FCB8109"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Ogólnopolskiemu Porozumieniu Związków Zawodowych;</w:t>
            </w:r>
          </w:p>
          <w:p w14:paraId="0D21E747"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Federacji Związków Zawodowych Pracowników Ochrony Zdrowia;</w:t>
            </w:r>
          </w:p>
          <w:p w14:paraId="68B23A53"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Federacji Konsumentów;</w:t>
            </w:r>
          </w:p>
          <w:p w14:paraId="18747073"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Sekretariatowi Ochrony Zdrowia KK NSZZ „Solidarność”;</w:t>
            </w:r>
          </w:p>
          <w:p w14:paraId="22B43975"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Instytutowi Chemii Przemysłowej;</w:t>
            </w:r>
          </w:p>
          <w:p w14:paraId="770CFEEA"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Instytutowi Przemysłu Organicznego;</w:t>
            </w:r>
          </w:p>
          <w:p w14:paraId="489C46CD" w14:textId="6F83B059"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Instytutowi Ochrony Środowiska;</w:t>
            </w:r>
          </w:p>
          <w:p w14:paraId="2A11357D" w14:textId="2476D099" w:rsidR="007C427C" w:rsidRDefault="007C427C" w:rsidP="00996625">
            <w:pPr>
              <w:numPr>
                <w:ilvl w:val="0"/>
                <w:numId w:val="22"/>
              </w:numPr>
              <w:spacing w:line="240" w:lineRule="auto"/>
              <w:jc w:val="both"/>
              <w:rPr>
                <w:rFonts w:ascii="Times New Roman" w:hAnsi="Times New Roman"/>
              </w:rPr>
            </w:pPr>
            <w:r>
              <w:rPr>
                <w:rFonts w:ascii="Times New Roman" w:hAnsi="Times New Roman"/>
              </w:rPr>
              <w:t>Instytut</w:t>
            </w:r>
            <w:r w:rsidR="00996625">
              <w:rPr>
                <w:rFonts w:ascii="Times New Roman" w:hAnsi="Times New Roman"/>
              </w:rPr>
              <w:t>owi</w:t>
            </w:r>
            <w:r>
              <w:rPr>
                <w:rFonts w:ascii="Times New Roman" w:hAnsi="Times New Roman"/>
              </w:rPr>
              <w:t xml:space="preserve"> Ochrony Roślin</w:t>
            </w:r>
          </w:p>
          <w:p w14:paraId="2E55009D"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Instytutowi Medycyny Pracy;</w:t>
            </w:r>
          </w:p>
          <w:p w14:paraId="0E054E38"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Konfederacj</w:t>
            </w:r>
            <w:r>
              <w:rPr>
                <w:rFonts w:ascii="Times New Roman" w:hAnsi="Times New Roman"/>
              </w:rPr>
              <w:t>i</w:t>
            </w:r>
            <w:r w:rsidRPr="00067C34">
              <w:rPr>
                <w:rFonts w:ascii="Times New Roman" w:hAnsi="Times New Roman"/>
              </w:rPr>
              <w:t xml:space="preserve"> „Lewiatan”;</w:t>
            </w:r>
          </w:p>
          <w:p w14:paraId="7C96833F"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Polskiej Izbie Handlu;</w:t>
            </w:r>
          </w:p>
          <w:p w14:paraId="3535FDFA"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Polskiej Izbie Przemysłu Farmaceutycznego i Wyrobów Medycznych POLFARMED;</w:t>
            </w:r>
          </w:p>
          <w:p w14:paraId="735D1D7C"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Ogólnopolskiej Izbie Gospodarczej POLMED;</w:t>
            </w:r>
          </w:p>
          <w:p w14:paraId="56410AB1" w14:textId="4491D6D6"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Business Centre Club;</w:t>
            </w:r>
          </w:p>
          <w:p w14:paraId="29EB9E7E" w14:textId="1A19B6B5" w:rsidR="007C427C" w:rsidRDefault="007C427C" w:rsidP="00996625">
            <w:pPr>
              <w:numPr>
                <w:ilvl w:val="0"/>
                <w:numId w:val="22"/>
              </w:numPr>
              <w:spacing w:line="240" w:lineRule="auto"/>
              <w:jc w:val="both"/>
              <w:rPr>
                <w:rFonts w:ascii="Times New Roman" w:hAnsi="Times New Roman"/>
              </w:rPr>
            </w:pPr>
            <w:r>
              <w:rPr>
                <w:rFonts w:ascii="Times New Roman" w:hAnsi="Times New Roman"/>
              </w:rPr>
              <w:t>Centralnemu Instytutowi Ochrony Pracy</w:t>
            </w:r>
          </w:p>
          <w:p w14:paraId="06465768" w14:textId="3D6B8634" w:rsidR="005D5C8B" w:rsidRDefault="00726280" w:rsidP="00726280">
            <w:pPr>
              <w:numPr>
                <w:ilvl w:val="0"/>
                <w:numId w:val="22"/>
              </w:numPr>
              <w:spacing w:line="240" w:lineRule="auto"/>
              <w:jc w:val="both"/>
              <w:rPr>
                <w:rFonts w:ascii="Times New Roman" w:hAnsi="Times New Roman"/>
              </w:rPr>
            </w:pPr>
            <w:r w:rsidRPr="00726280">
              <w:rPr>
                <w:rFonts w:ascii="Times New Roman" w:hAnsi="Times New Roman"/>
              </w:rPr>
              <w:t>Polski</w:t>
            </w:r>
            <w:r w:rsidR="00996625">
              <w:rPr>
                <w:rFonts w:ascii="Times New Roman" w:hAnsi="Times New Roman"/>
              </w:rPr>
              <w:t>emu Związkowi</w:t>
            </w:r>
            <w:r w:rsidRPr="00726280">
              <w:rPr>
                <w:rFonts w:ascii="Times New Roman" w:hAnsi="Times New Roman"/>
              </w:rPr>
              <w:t xml:space="preserve"> Producentów Farb i Klejów</w:t>
            </w:r>
            <w:r w:rsidR="003E61D6">
              <w:rPr>
                <w:rFonts w:ascii="Times New Roman" w:hAnsi="Times New Roman"/>
              </w:rPr>
              <w:t>;</w:t>
            </w:r>
            <w:r w:rsidR="005D5C8B">
              <w:rPr>
                <w:rFonts w:ascii="Times New Roman" w:hAnsi="Times New Roman"/>
              </w:rPr>
              <w:t xml:space="preserve"> </w:t>
            </w:r>
          </w:p>
          <w:p w14:paraId="6B46CE0B"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WWF Polska;</w:t>
            </w:r>
          </w:p>
          <w:p w14:paraId="165B6E6A" w14:textId="77777777" w:rsidR="0019538B" w:rsidRDefault="0019538B" w:rsidP="00996625">
            <w:pPr>
              <w:numPr>
                <w:ilvl w:val="0"/>
                <w:numId w:val="22"/>
              </w:numPr>
              <w:spacing w:line="240" w:lineRule="auto"/>
              <w:jc w:val="both"/>
              <w:rPr>
                <w:rFonts w:ascii="Times New Roman" w:hAnsi="Times New Roman"/>
              </w:rPr>
            </w:pPr>
            <w:proofErr w:type="spellStart"/>
            <w:r w:rsidRPr="00067C34">
              <w:rPr>
                <w:rFonts w:ascii="Times New Roman" w:hAnsi="Times New Roman"/>
              </w:rPr>
              <w:t>Greenpeace</w:t>
            </w:r>
            <w:proofErr w:type="spellEnd"/>
            <w:r w:rsidRPr="00067C34">
              <w:rPr>
                <w:rFonts w:ascii="Times New Roman" w:hAnsi="Times New Roman"/>
              </w:rPr>
              <w:t xml:space="preserve"> Polska;</w:t>
            </w:r>
          </w:p>
          <w:p w14:paraId="4CA79A12"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Federacji Związków Pracodawców Ochrony Zdrowia „Porozumienie Zielonogórskie”;</w:t>
            </w:r>
          </w:p>
          <w:p w14:paraId="54CE7BE8"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Porozumieniu Pracodawców Ochrony Zdrowia;</w:t>
            </w:r>
          </w:p>
          <w:p w14:paraId="1074452E" w14:textId="77777777" w:rsidR="0019538B" w:rsidRDefault="0019538B" w:rsidP="00996625">
            <w:pPr>
              <w:numPr>
                <w:ilvl w:val="0"/>
                <w:numId w:val="22"/>
              </w:numPr>
              <w:spacing w:line="240" w:lineRule="auto"/>
              <w:jc w:val="both"/>
              <w:rPr>
                <w:rFonts w:ascii="Times New Roman" w:hAnsi="Times New Roman"/>
              </w:rPr>
            </w:pPr>
            <w:r>
              <w:rPr>
                <w:rFonts w:ascii="Times New Roman" w:hAnsi="Times New Roman"/>
              </w:rPr>
              <w:t>Związkowi Przedsiębiorców i Pracodawców;</w:t>
            </w:r>
          </w:p>
          <w:p w14:paraId="145B2FE7" w14:textId="77777777"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Stowarzyszeniu Higieny Lecznictwa;</w:t>
            </w:r>
          </w:p>
          <w:p w14:paraId="0949781A" w14:textId="52AED44C" w:rsidR="0019538B" w:rsidRDefault="0019538B" w:rsidP="00996625">
            <w:pPr>
              <w:numPr>
                <w:ilvl w:val="0"/>
                <w:numId w:val="22"/>
              </w:numPr>
              <w:spacing w:line="240" w:lineRule="auto"/>
              <w:jc w:val="both"/>
              <w:rPr>
                <w:rFonts w:ascii="Times New Roman" w:hAnsi="Times New Roman"/>
              </w:rPr>
            </w:pPr>
            <w:r w:rsidRPr="00067C34">
              <w:rPr>
                <w:rFonts w:ascii="Times New Roman" w:hAnsi="Times New Roman"/>
              </w:rPr>
              <w:t>Fundacji Akademia Nowoczesnej Diagnostyki z siedzibą w Krakowie;</w:t>
            </w:r>
          </w:p>
          <w:p w14:paraId="18134892" w14:textId="6A71879D" w:rsidR="00F1601F" w:rsidRDefault="007C427C" w:rsidP="00996625">
            <w:pPr>
              <w:numPr>
                <w:ilvl w:val="0"/>
                <w:numId w:val="22"/>
              </w:numPr>
              <w:spacing w:line="240" w:lineRule="auto"/>
              <w:jc w:val="both"/>
              <w:rPr>
                <w:rFonts w:ascii="Times New Roman" w:hAnsi="Times New Roman"/>
              </w:rPr>
            </w:pPr>
            <w:r>
              <w:rPr>
                <w:rFonts w:ascii="Times New Roman" w:hAnsi="Times New Roman"/>
              </w:rPr>
              <w:t>Krajowej Izbie</w:t>
            </w:r>
            <w:r w:rsidR="00F1601F">
              <w:rPr>
                <w:rFonts w:ascii="Times New Roman" w:hAnsi="Times New Roman"/>
              </w:rPr>
              <w:t xml:space="preserve"> Lekarsko </w:t>
            </w:r>
            <w:r w:rsidR="00996625">
              <w:rPr>
                <w:rFonts w:ascii="Times New Roman" w:hAnsi="Times New Roman"/>
              </w:rPr>
              <w:t>- Weterynaryjnej</w:t>
            </w:r>
            <w:r w:rsidR="00F1601F">
              <w:rPr>
                <w:rFonts w:ascii="Times New Roman" w:hAnsi="Times New Roman"/>
              </w:rPr>
              <w:t>;</w:t>
            </w:r>
          </w:p>
          <w:p w14:paraId="42A4418F" w14:textId="445418C0" w:rsidR="00F1601F" w:rsidRDefault="00F1601F" w:rsidP="00996625">
            <w:pPr>
              <w:numPr>
                <w:ilvl w:val="0"/>
                <w:numId w:val="22"/>
              </w:numPr>
              <w:spacing w:line="240" w:lineRule="auto"/>
              <w:jc w:val="both"/>
              <w:rPr>
                <w:rFonts w:ascii="Times New Roman" w:hAnsi="Times New Roman"/>
              </w:rPr>
            </w:pPr>
            <w:r>
              <w:rPr>
                <w:rFonts w:ascii="Times New Roman" w:hAnsi="Times New Roman"/>
              </w:rPr>
              <w:t>Instytut</w:t>
            </w:r>
            <w:r w:rsidR="00996625">
              <w:rPr>
                <w:rFonts w:ascii="Times New Roman" w:hAnsi="Times New Roman"/>
              </w:rPr>
              <w:t>owi</w:t>
            </w:r>
            <w:r>
              <w:rPr>
                <w:rFonts w:ascii="Times New Roman" w:hAnsi="Times New Roman"/>
              </w:rPr>
              <w:t xml:space="preserve"> Medycyny Tropikalnej;</w:t>
            </w:r>
          </w:p>
          <w:p w14:paraId="415D7011" w14:textId="52567BD7" w:rsidR="00F1601F" w:rsidRDefault="00996625" w:rsidP="00F1601F">
            <w:pPr>
              <w:numPr>
                <w:ilvl w:val="0"/>
                <w:numId w:val="22"/>
              </w:numPr>
              <w:spacing w:line="240" w:lineRule="auto"/>
              <w:jc w:val="both"/>
              <w:rPr>
                <w:rFonts w:ascii="Times New Roman" w:hAnsi="Times New Roman"/>
              </w:rPr>
            </w:pPr>
            <w:r>
              <w:rPr>
                <w:rFonts w:ascii="Times New Roman" w:hAnsi="Times New Roman"/>
              </w:rPr>
              <w:t>Państwowemu</w:t>
            </w:r>
            <w:r w:rsidR="00F1601F" w:rsidRPr="00F1601F">
              <w:rPr>
                <w:rFonts w:ascii="Times New Roman" w:hAnsi="Times New Roman"/>
              </w:rPr>
              <w:t xml:space="preserve"> Instytut</w:t>
            </w:r>
            <w:r>
              <w:rPr>
                <w:rFonts w:ascii="Times New Roman" w:hAnsi="Times New Roman"/>
              </w:rPr>
              <w:t>owi</w:t>
            </w:r>
            <w:r w:rsidR="00F1601F" w:rsidRPr="00F1601F">
              <w:rPr>
                <w:rFonts w:ascii="Times New Roman" w:hAnsi="Times New Roman"/>
              </w:rPr>
              <w:t xml:space="preserve"> Weterynaryjn</w:t>
            </w:r>
            <w:r>
              <w:rPr>
                <w:rFonts w:ascii="Times New Roman" w:hAnsi="Times New Roman"/>
              </w:rPr>
              <w:t>emu</w:t>
            </w:r>
            <w:r w:rsidR="00F1601F">
              <w:rPr>
                <w:rFonts w:ascii="Times New Roman" w:hAnsi="Times New Roman"/>
              </w:rPr>
              <w:t>;</w:t>
            </w:r>
          </w:p>
          <w:p w14:paraId="06E93767" w14:textId="4F3ADAFB" w:rsidR="00F1601F" w:rsidRDefault="00F1601F" w:rsidP="00F1601F">
            <w:pPr>
              <w:numPr>
                <w:ilvl w:val="0"/>
                <w:numId w:val="22"/>
              </w:numPr>
              <w:spacing w:line="240" w:lineRule="auto"/>
              <w:jc w:val="both"/>
              <w:rPr>
                <w:rFonts w:ascii="Times New Roman" w:hAnsi="Times New Roman"/>
              </w:rPr>
            </w:pPr>
            <w:r w:rsidRPr="00F1601F">
              <w:rPr>
                <w:rFonts w:ascii="Times New Roman" w:hAnsi="Times New Roman"/>
              </w:rPr>
              <w:t>Instytut</w:t>
            </w:r>
            <w:r w:rsidR="00996625">
              <w:rPr>
                <w:rFonts w:ascii="Times New Roman" w:hAnsi="Times New Roman"/>
              </w:rPr>
              <w:t>owi</w:t>
            </w:r>
            <w:r w:rsidRPr="00F1601F">
              <w:rPr>
                <w:rFonts w:ascii="Times New Roman" w:hAnsi="Times New Roman"/>
              </w:rPr>
              <w:t xml:space="preserve"> Technologii Drewna</w:t>
            </w:r>
            <w:r w:rsidR="00996625">
              <w:rPr>
                <w:rFonts w:ascii="Times New Roman" w:hAnsi="Times New Roman"/>
              </w:rPr>
              <w:t>;</w:t>
            </w:r>
          </w:p>
          <w:p w14:paraId="7AD32D3F" w14:textId="54D4607A" w:rsidR="00F1601F" w:rsidRDefault="00F1601F" w:rsidP="00F1601F">
            <w:pPr>
              <w:numPr>
                <w:ilvl w:val="0"/>
                <w:numId w:val="22"/>
              </w:numPr>
              <w:spacing w:line="240" w:lineRule="auto"/>
              <w:jc w:val="both"/>
              <w:rPr>
                <w:rFonts w:ascii="Times New Roman" w:hAnsi="Times New Roman"/>
              </w:rPr>
            </w:pPr>
            <w:r>
              <w:rPr>
                <w:rFonts w:ascii="Times New Roman" w:hAnsi="Times New Roman"/>
              </w:rPr>
              <w:t>Instytut</w:t>
            </w:r>
            <w:r w:rsidR="00996625">
              <w:rPr>
                <w:rFonts w:ascii="Times New Roman" w:hAnsi="Times New Roman"/>
              </w:rPr>
              <w:t>owi</w:t>
            </w:r>
            <w:r>
              <w:rPr>
                <w:rFonts w:ascii="Times New Roman" w:hAnsi="Times New Roman"/>
              </w:rPr>
              <w:t xml:space="preserve"> Nowych Syntez Chemicznych w Puławach</w:t>
            </w:r>
            <w:r w:rsidR="00996625">
              <w:rPr>
                <w:rFonts w:ascii="Times New Roman" w:hAnsi="Times New Roman"/>
              </w:rPr>
              <w:t>;</w:t>
            </w:r>
          </w:p>
          <w:p w14:paraId="10D24297" w14:textId="28B3FA01" w:rsidR="00F1601F" w:rsidRDefault="00996625" w:rsidP="00F1601F">
            <w:pPr>
              <w:numPr>
                <w:ilvl w:val="0"/>
                <w:numId w:val="22"/>
              </w:numPr>
              <w:spacing w:line="240" w:lineRule="auto"/>
              <w:jc w:val="both"/>
              <w:rPr>
                <w:rFonts w:ascii="Times New Roman" w:hAnsi="Times New Roman"/>
              </w:rPr>
            </w:pPr>
            <w:r>
              <w:rPr>
                <w:rFonts w:ascii="Times New Roman" w:hAnsi="Times New Roman"/>
              </w:rPr>
              <w:t>Narodowemu</w:t>
            </w:r>
            <w:r w:rsidR="00F1601F">
              <w:rPr>
                <w:rFonts w:ascii="Times New Roman" w:hAnsi="Times New Roman"/>
              </w:rPr>
              <w:t xml:space="preserve"> Instytut</w:t>
            </w:r>
            <w:r>
              <w:rPr>
                <w:rFonts w:ascii="Times New Roman" w:hAnsi="Times New Roman"/>
              </w:rPr>
              <w:t>owi</w:t>
            </w:r>
            <w:r w:rsidR="00F1601F">
              <w:rPr>
                <w:rFonts w:ascii="Times New Roman" w:hAnsi="Times New Roman"/>
              </w:rPr>
              <w:t xml:space="preserve"> Leków</w:t>
            </w:r>
            <w:r>
              <w:rPr>
                <w:rFonts w:ascii="Times New Roman" w:hAnsi="Times New Roman"/>
              </w:rPr>
              <w:t>;</w:t>
            </w:r>
          </w:p>
          <w:p w14:paraId="6C255179" w14:textId="18ED1080" w:rsidR="00922D0F" w:rsidRDefault="00922D0F" w:rsidP="00F1601F">
            <w:pPr>
              <w:numPr>
                <w:ilvl w:val="0"/>
                <w:numId w:val="22"/>
              </w:numPr>
              <w:spacing w:line="240" w:lineRule="auto"/>
              <w:jc w:val="both"/>
              <w:rPr>
                <w:rFonts w:ascii="Times New Roman" w:hAnsi="Times New Roman"/>
              </w:rPr>
            </w:pPr>
            <w:r>
              <w:rPr>
                <w:rFonts w:ascii="Times New Roman" w:hAnsi="Times New Roman"/>
              </w:rPr>
              <w:t>Instytut</w:t>
            </w:r>
            <w:r w:rsidR="00996625">
              <w:rPr>
                <w:rFonts w:ascii="Times New Roman" w:hAnsi="Times New Roman"/>
              </w:rPr>
              <w:t>owi</w:t>
            </w:r>
            <w:r>
              <w:rPr>
                <w:rFonts w:ascii="Times New Roman" w:hAnsi="Times New Roman"/>
              </w:rPr>
              <w:t xml:space="preserve"> Włókiennictwa</w:t>
            </w:r>
            <w:r w:rsidR="00996625">
              <w:rPr>
                <w:rFonts w:ascii="Times New Roman" w:hAnsi="Times New Roman"/>
              </w:rPr>
              <w:t>;</w:t>
            </w:r>
            <w:r>
              <w:rPr>
                <w:rFonts w:ascii="Times New Roman" w:hAnsi="Times New Roman"/>
              </w:rPr>
              <w:t xml:space="preserve"> </w:t>
            </w:r>
          </w:p>
          <w:p w14:paraId="7B87AEB0" w14:textId="77777777" w:rsidR="00996625" w:rsidRDefault="00922D0F" w:rsidP="00F1601F">
            <w:pPr>
              <w:numPr>
                <w:ilvl w:val="0"/>
                <w:numId w:val="22"/>
              </w:numPr>
              <w:spacing w:line="240" w:lineRule="auto"/>
              <w:jc w:val="both"/>
              <w:rPr>
                <w:rFonts w:ascii="Times New Roman" w:hAnsi="Times New Roman"/>
              </w:rPr>
            </w:pPr>
            <w:r>
              <w:rPr>
                <w:rFonts w:ascii="Times New Roman" w:hAnsi="Times New Roman"/>
              </w:rPr>
              <w:t>Instytut</w:t>
            </w:r>
            <w:r w:rsidR="00996625">
              <w:rPr>
                <w:rFonts w:ascii="Times New Roman" w:hAnsi="Times New Roman"/>
              </w:rPr>
              <w:t>owi</w:t>
            </w:r>
            <w:r>
              <w:rPr>
                <w:rFonts w:ascii="Times New Roman" w:hAnsi="Times New Roman"/>
              </w:rPr>
              <w:t xml:space="preserve"> Przemysłu Skórzanego</w:t>
            </w:r>
            <w:r w:rsidR="00996625">
              <w:rPr>
                <w:rFonts w:ascii="Times New Roman" w:hAnsi="Times New Roman"/>
              </w:rPr>
              <w:t>;</w:t>
            </w:r>
          </w:p>
          <w:p w14:paraId="36DFC2B1" w14:textId="0A0CB2AA" w:rsidR="00922D0F" w:rsidRDefault="00922D0F" w:rsidP="00F1601F">
            <w:pPr>
              <w:numPr>
                <w:ilvl w:val="0"/>
                <w:numId w:val="22"/>
              </w:numPr>
              <w:spacing w:line="240" w:lineRule="auto"/>
              <w:jc w:val="both"/>
              <w:rPr>
                <w:rFonts w:ascii="Times New Roman" w:hAnsi="Times New Roman"/>
              </w:rPr>
            </w:pPr>
            <w:r>
              <w:rPr>
                <w:rFonts w:ascii="Times New Roman" w:hAnsi="Times New Roman"/>
              </w:rPr>
              <w:t xml:space="preserve"> </w:t>
            </w:r>
            <w:r w:rsidR="00A57E11">
              <w:rPr>
                <w:rFonts w:ascii="Times New Roman" w:hAnsi="Times New Roman"/>
              </w:rPr>
              <w:t>Instytut</w:t>
            </w:r>
            <w:r w:rsidR="00996625">
              <w:rPr>
                <w:rFonts w:ascii="Times New Roman" w:hAnsi="Times New Roman"/>
              </w:rPr>
              <w:t>owi</w:t>
            </w:r>
            <w:r w:rsidR="00A57E11">
              <w:rPr>
                <w:rFonts w:ascii="Times New Roman" w:hAnsi="Times New Roman"/>
              </w:rPr>
              <w:t xml:space="preserve"> Biopolimerów i Włókien Chemicznych</w:t>
            </w:r>
            <w:r w:rsidR="0041233E">
              <w:rPr>
                <w:rFonts w:ascii="Times New Roman" w:hAnsi="Times New Roman"/>
              </w:rPr>
              <w:t>;</w:t>
            </w:r>
          </w:p>
          <w:p w14:paraId="1CD742CC" w14:textId="242EC94D" w:rsidR="00A57E11" w:rsidRDefault="00996625" w:rsidP="00996625">
            <w:pPr>
              <w:numPr>
                <w:ilvl w:val="0"/>
                <w:numId w:val="22"/>
              </w:numPr>
              <w:spacing w:line="240" w:lineRule="auto"/>
              <w:jc w:val="both"/>
              <w:rPr>
                <w:rFonts w:ascii="Times New Roman" w:hAnsi="Times New Roman"/>
              </w:rPr>
            </w:pPr>
            <w:r w:rsidRPr="00996625">
              <w:rPr>
                <w:rFonts w:ascii="Times New Roman" w:hAnsi="Times New Roman"/>
              </w:rPr>
              <w:t>Narodow</w:t>
            </w:r>
            <w:r>
              <w:rPr>
                <w:rFonts w:ascii="Times New Roman" w:hAnsi="Times New Roman"/>
              </w:rPr>
              <w:t>emu</w:t>
            </w:r>
            <w:r w:rsidRPr="00996625">
              <w:rPr>
                <w:rFonts w:ascii="Times New Roman" w:hAnsi="Times New Roman"/>
              </w:rPr>
              <w:t xml:space="preserve"> Instytut</w:t>
            </w:r>
            <w:r>
              <w:rPr>
                <w:rFonts w:ascii="Times New Roman" w:hAnsi="Times New Roman"/>
              </w:rPr>
              <w:t>owi</w:t>
            </w:r>
            <w:r w:rsidRPr="00996625">
              <w:rPr>
                <w:rFonts w:ascii="Times New Roman" w:hAnsi="Times New Roman"/>
              </w:rPr>
              <w:t xml:space="preserve"> Zdrowia Public</w:t>
            </w:r>
            <w:r>
              <w:rPr>
                <w:rFonts w:ascii="Times New Roman" w:hAnsi="Times New Roman"/>
              </w:rPr>
              <w:t>znego –Państwowemu</w:t>
            </w:r>
            <w:r w:rsidR="00A57E11">
              <w:rPr>
                <w:rFonts w:ascii="Times New Roman" w:hAnsi="Times New Roman"/>
              </w:rPr>
              <w:t xml:space="preserve"> Zakład</w:t>
            </w:r>
            <w:r>
              <w:rPr>
                <w:rFonts w:ascii="Times New Roman" w:hAnsi="Times New Roman"/>
              </w:rPr>
              <w:t>owi</w:t>
            </w:r>
            <w:r w:rsidR="00A57E11">
              <w:rPr>
                <w:rFonts w:ascii="Times New Roman" w:hAnsi="Times New Roman"/>
              </w:rPr>
              <w:t xml:space="preserve"> Higieny</w:t>
            </w:r>
            <w:r w:rsidR="0041233E">
              <w:rPr>
                <w:rFonts w:ascii="Times New Roman" w:hAnsi="Times New Roman"/>
              </w:rPr>
              <w:t>;</w:t>
            </w:r>
          </w:p>
          <w:p w14:paraId="21DE0290" w14:textId="7817F1F8" w:rsidR="00A57E11" w:rsidRDefault="00A57E11" w:rsidP="00F1601F">
            <w:pPr>
              <w:numPr>
                <w:ilvl w:val="0"/>
                <w:numId w:val="22"/>
              </w:numPr>
              <w:spacing w:line="240" w:lineRule="auto"/>
              <w:jc w:val="both"/>
              <w:rPr>
                <w:rFonts w:ascii="Times New Roman" w:hAnsi="Times New Roman"/>
              </w:rPr>
            </w:pPr>
            <w:r>
              <w:rPr>
                <w:rFonts w:ascii="Times New Roman" w:hAnsi="Times New Roman"/>
              </w:rPr>
              <w:t>Instytut</w:t>
            </w:r>
            <w:r w:rsidR="00996625">
              <w:rPr>
                <w:rFonts w:ascii="Times New Roman" w:hAnsi="Times New Roman"/>
              </w:rPr>
              <w:t>owi</w:t>
            </w:r>
            <w:r>
              <w:rPr>
                <w:rFonts w:ascii="Times New Roman" w:hAnsi="Times New Roman"/>
              </w:rPr>
              <w:t xml:space="preserve"> Włókien Naturalnych i Roślin Zielarskich</w:t>
            </w:r>
            <w:r w:rsidR="00996625">
              <w:rPr>
                <w:rFonts w:ascii="Times New Roman" w:hAnsi="Times New Roman"/>
              </w:rPr>
              <w:t>;</w:t>
            </w:r>
          </w:p>
          <w:p w14:paraId="2C0D4812" w14:textId="31ED4286" w:rsidR="00642DC2" w:rsidRDefault="002B1B73" w:rsidP="00642DC2">
            <w:pPr>
              <w:numPr>
                <w:ilvl w:val="0"/>
                <w:numId w:val="22"/>
              </w:numPr>
              <w:spacing w:line="240" w:lineRule="auto"/>
              <w:jc w:val="both"/>
              <w:rPr>
                <w:rFonts w:ascii="Times New Roman" w:hAnsi="Times New Roman"/>
              </w:rPr>
            </w:pPr>
            <w:r w:rsidRPr="00642DC2">
              <w:rPr>
                <w:rFonts w:ascii="Times New Roman" w:hAnsi="Times New Roman"/>
              </w:rPr>
              <w:t>Instytut</w:t>
            </w:r>
            <w:r>
              <w:rPr>
                <w:rFonts w:ascii="Times New Roman" w:hAnsi="Times New Roman"/>
              </w:rPr>
              <w:t>owi</w:t>
            </w:r>
            <w:r w:rsidRPr="00642DC2">
              <w:rPr>
                <w:rFonts w:ascii="Times New Roman" w:hAnsi="Times New Roman"/>
              </w:rPr>
              <w:t xml:space="preserve"> Nafty </w:t>
            </w:r>
            <w:r>
              <w:rPr>
                <w:rFonts w:ascii="Times New Roman" w:hAnsi="Times New Roman"/>
              </w:rPr>
              <w:t>i</w:t>
            </w:r>
            <w:r w:rsidRPr="00642DC2">
              <w:rPr>
                <w:rFonts w:ascii="Times New Roman" w:hAnsi="Times New Roman"/>
              </w:rPr>
              <w:t xml:space="preserve"> Gazu</w:t>
            </w:r>
            <w:r w:rsidR="0041233E">
              <w:rPr>
                <w:rFonts w:ascii="Times New Roman" w:hAnsi="Times New Roman"/>
              </w:rPr>
              <w:t>;</w:t>
            </w:r>
          </w:p>
          <w:p w14:paraId="0F7C8BAF" w14:textId="761DE751" w:rsidR="002B1B73" w:rsidRPr="00642DC2" w:rsidRDefault="002B1B73" w:rsidP="002B1B73">
            <w:pPr>
              <w:numPr>
                <w:ilvl w:val="0"/>
                <w:numId w:val="22"/>
              </w:numPr>
              <w:spacing w:line="240" w:lineRule="auto"/>
              <w:jc w:val="both"/>
              <w:rPr>
                <w:rFonts w:ascii="Times New Roman" w:hAnsi="Times New Roman"/>
              </w:rPr>
            </w:pPr>
            <w:r>
              <w:rPr>
                <w:rFonts w:ascii="Times New Roman" w:hAnsi="Times New Roman"/>
              </w:rPr>
              <w:t>Ośrodkowi Badawczo-Rozwojowemu</w:t>
            </w:r>
            <w:r w:rsidRPr="002B1B73">
              <w:rPr>
                <w:rFonts w:ascii="Times New Roman" w:hAnsi="Times New Roman"/>
              </w:rPr>
              <w:t xml:space="preserve"> Centrum Techniki Morskiej S.A</w:t>
            </w:r>
            <w:r w:rsidR="0041233E">
              <w:rPr>
                <w:rFonts w:ascii="Times New Roman" w:hAnsi="Times New Roman"/>
              </w:rPr>
              <w:t>.;</w:t>
            </w:r>
          </w:p>
          <w:p w14:paraId="5A80E6D3" w14:textId="20282A2E" w:rsidR="00A57E11" w:rsidRDefault="00996625" w:rsidP="00F1601F">
            <w:pPr>
              <w:numPr>
                <w:ilvl w:val="0"/>
                <w:numId w:val="22"/>
              </w:numPr>
              <w:spacing w:line="240" w:lineRule="auto"/>
              <w:jc w:val="both"/>
              <w:rPr>
                <w:rFonts w:ascii="Times New Roman" w:hAnsi="Times New Roman"/>
              </w:rPr>
            </w:pPr>
            <w:r>
              <w:rPr>
                <w:rFonts w:ascii="Times New Roman" w:hAnsi="Times New Roman"/>
              </w:rPr>
              <w:t>Wojskowemu</w:t>
            </w:r>
            <w:r w:rsidR="00A57E11">
              <w:rPr>
                <w:rFonts w:ascii="Times New Roman" w:hAnsi="Times New Roman"/>
              </w:rPr>
              <w:t xml:space="preserve"> Instytut</w:t>
            </w:r>
            <w:r>
              <w:rPr>
                <w:rFonts w:ascii="Times New Roman" w:hAnsi="Times New Roman"/>
              </w:rPr>
              <w:t>owi</w:t>
            </w:r>
            <w:r w:rsidR="00A57E11">
              <w:rPr>
                <w:rFonts w:ascii="Times New Roman" w:hAnsi="Times New Roman"/>
              </w:rPr>
              <w:t xml:space="preserve"> Medyczn</w:t>
            </w:r>
            <w:r>
              <w:rPr>
                <w:rFonts w:ascii="Times New Roman" w:hAnsi="Times New Roman"/>
              </w:rPr>
              <w:t>emu;</w:t>
            </w:r>
          </w:p>
          <w:p w14:paraId="695C5EC5" w14:textId="137F5E2B" w:rsidR="00A57E11" w:rsidRDefault="00996625" w:rsidP="00A57E11">
            <w:pPr>
              <w:numPr>
                <w:ilvl w:val="0"/>
                <w:numId w:val="22"/>
              </w:numPr>
              <w:spacing w:line="240" w:lineRule="auto"/>
              <w:jc w:val="both"/>
              <w:rPr>
                <w:rFonts w:ascii="Times New Roman" w:hAnsi="Times New Roman"/>
              </w:rPr>
            </w:pPr>
            <w:r>
              <w:rPr>
                <w:rFonts w:ascii="Times New Roman" w:hAnsi="Times New Roman"/>
              </w:rPr>
              <w:t>Wojskowemu</w:t>
            </w:r>
            <w:r w:rsidR="00A57E11">
              <w:rPr>
                <w:rFonts w:ascii="Times New Roman" w:hAnsi="Times New Roman"/>
              </w:rPr>
              <w:t xml:space="preserve"> Instytut</w:t>
            </w:r>
            <w:r>
              <w:rPr>
                <w:rFonts w:ascii="Times New Roman" w:hAnsi="Times New Roman"/>
              </w:rPr>
              <w:t>owi</w:t>
            </w:r>
            <w:r w:rsidR="00A57E11">
              <w:rPr>
                <w:rFonts w:ascii="Times New Roman" w:hAnsi="Times New Roman"/>
              </w:rPr>
              <w:t xml:space="preserve"> Higieny i Epidemiologii</w:t>
            </w:r>
            <w:r>
              <w:rPr>
                <w:rFonts w:ascii="Times New Roman" w:hAnsi="Times New Roman"/>
              </w:rPr>
              <w:t>;</w:t>
            </w:r>
          </w:p>
          <w:p w14:paraId="43EC589B" w14:textId="74400A0E" w:rsidR="00674353" w:rsidRDefault="00674353" w:rsidP="00674353">
            <w:pPr>
              <w:numPr>
                <w:ilvl w:val="0"/>
                <w:numId w:val="22"/>
              </w:numPr>
              <w:spacing w:line="240" w:lineRule="auto"/>
              <w:jc w:val="both"/>
              <w:rPr>
                <w:rFonts w:ascii="Times New Roman" w:hAnsi="Times New Roman"/>
              </w:rPr>
            </w:pPr>
            <w:r>
              <w:rPr>
                <w:rFonts w:ascii="Times New Roman" w:hAnsi="Times New Roman"/>
              </w:rPr>
              <w:t>Polskiej Federacji Producentów Żywności - Związkowi Pracodawców</w:t>
            </w:r>
            <w:r w:rsidR="0041233E">
              <w:rPr>
                <w:rFonts w:ascii="Times New Roman" w:hAnsi="Times New Roman"/>
              </w:rPr>
              <w:t>;</w:t>
            </w:r>
          </w:p>
          <w:p w14:paraId="733C3F7C" w14:textId="1D6B2A3C" w:rsidR="00A57E11" w:rsidRDefault="00A57E11" w:rsidP="00A57E11">
            <w:pPr>
              <w:numPr>
                <w:ilvl w:val="0"/>
                <w:numId w:val="22"/>
              </w:numPr>
              <w:spacing w:line="240" w:lineRule="auto"/>
              <w:jc w:val="both"/>
              <w:rPr>
                <w:rFonts w:ascii="Times New Roman" w:hAnsi="Times New Roman"/>
              </w:rPr>
            </w:pPr>
            <w:r w:rsidRPr="00A57E11">
              <w:rPr>
                <w:rFonts w:ascii="Times New Roman" w:hAnsi="Times New Roman"/>
              </w:rPr>
              <w:t>Polski</w:t>
            </w:r>
            <w:r w:rsidR="00996625">
              <w:rPr>
                <w:rFonts w:ascii="Times New Roman" w:hAnsi="Times New Roman"/>
              </w:rPr>
              <w:t>emu Związkowi</w:t>
            </w:r>
            <w:r w:rsidRPr="00A57E11">
              <w:rPr>
                <w:rFonts w:ascii="Times New Roman" w:hAnsi="Times New Roman"/>
              </w:rPr>
              <w:t xml:space="preserve"> Przetwórców Tworzyw Sztucznych</w:t>
            </w:r>
            <w:r w:rsidR="0039028D">
              <w:rPr>
                <w:rFonts w:ascii="Times New Roman" w:hAnsi="Times New Roman"/>
              </w:rPr>
              <w:t>.</w:t>
            </w:r>
          </w:p>
          <w:p w14:paraId="39B07EE7" w14:textId="77777777" w:rsidR="0019538B" w:rsidRDefault="0019538B" w:rsidP="00996625">
            <w:pPr>
              <w:spacing w:line="240" w:lineRule="auto"/>
              <w:ind w:left="360"/>
              <w:jc w:val="both"/>
              <w:rPr>
                <w:rFonts w:ascii="Times New Roman" w:eastAsia="Times New Roman" w:hAnsi="Times New Roman" w:cs="Arial"/>
                <w:b/>
                <w:bCs/>
              </w:rPr>
            </w:pPr>
          </w:p>
          <w:p w14:paraId="43012A47" w14:textId="77777777" w:rsidR="0019538B" w:rsidRDefault="0019538B" w:rsidP="00996625">
            <w:pPr>
              <w:spacing w:line="240" w:lineRule="auto"/>
              <w:jc w:val="both"/>
              <w:rPr>
                <w:rFonts w:ascii="Times New Roman" w:hAnsi="Times New Roman"/>
                <w:highlight w:val="yellow"/>
              </w:rPr>
            </w:pPr>
            <w:r w:rsidRPr="00067C34">
              <w:rPr>
                <w:rFonts w:ascii="Times New Roman" w:hAnsi="Times New Roman"/>
              </w:rPr>
              <w:t xml:space="preserve">Zgodnie z art. 5 ustawy z dnia 7 lipca 2005 r. o działalności lobbingowej w procesie stanowienia prawa (Dz. U. </w:t>
            </w:r>
            <w:r>
              <w:rPr>
                <w:rFonts w:ascii="Times New Roman" w:hAnsi="Times New Roman"/>
              </w:rPr>
              <w:t>z 2017 r. poz. 248</w:t>
            </w:r>
            <w:r w:rsidRPr="00067C34">
              <w:rPr>
                <w:rFonts w:ascii="Times New Roman" w:hAnsi="Times New Roman"/>
              </w:rPr>
              <w:t xml:space="preserve">) oraz § 52 ust. 1 uchwały </w:t>
            </w:r>
            <w:r>
              <w:rPr>
                <w:rFonts w:ascii="Times New Roman" w:hAnsi="Times New Roman"/>
              </w:rPr>
              <w:t>n</w:t>
            </w:r>
            <w:r w:rsidRPr="00067C34">
              <w:rPr>
                <w:rFonts w:ascii="Times New Roman" w:hAnsi="Times New Roman"/>
              </w:rPr>
              <w:t>r 190 Rady Ministrów z dnia 29 października 2013 r. – Regulamin pracy Rady Ministrów (M.P. z 2016 r. poz. 1006</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r w:rsidRPr="00067C34">
              <w:rPr>
                <w:rFonts w:ascii="Times New Roman" w:hAnsi="Times New Roman"/>
              </w:rPr>
              <w:t>), niniejszy projekt zostanie opublikowany w Biuletynie Informacji Publicznej Ministerstwa Zdrowia oraz w Biuletynie Informacji Publicznej na stronie podmiotowej Rządowego Centrum Legislacji, w serwisie „Rządowy Proces Legislacyjny”.</w:t>
            </w:r>
          </w:p>
          <w:p w14:paraId="1EBFAEC7" w14:textId="77777777" w:rsidR="0019538B" w:rsidRDefault="0019538B" w:rsidP="00996625">
            <w:pPr>
              <w:spacing w:line="240" w:lineRule="auto"/>
              <w:jc w:val="both"/>
              <w:rPr>
                <w:rFonts w:ascii="Times New Roman" w:hAnsi="Times New Roman"/>
              </w:rPr>
            </w:pPr>
            <w:r w:rsidRPr="00067C34">
              <w:rPr>
                <w:rFonts w:ascii="Times New Roman" w:hAnsi="Times New Roman"/>
              </w:rPr>
              <w:t xml:space="preserve">Wyniki konsultacji zostaną omówione w </w:t>
            </w:r>
            <w:r>
              <w:rPr>
                <w:rFonts w:ascii="Times New Roman" w:hAnsi="Times New Roman"/>
              </w:rPr>
              <w:t xml:space="preserve">raporcie dołączonym do </w:t>
            </w:r>
            <w:r w:rsidRPr="00067C34">
              <w:rPr>
                <w:rFonts w:ascii="Times New Roman" w:hAnsi="Times New Roman"/>
              </w:rPr>
              <w:t xml:space="preserve">niniejszej </w:t>
            </w:r>
            <w:r>
              <w:rPr>
                <w:rFonts w:ascii="Times New Roman" w:hAnsi="Times New Roman"/>
              </w:rPr>
              <w:t>O</w:t>
            </w:r>
            <w:r w:rsidRPr="00067C34">
              <w:rPr>
                <w:rFonts w:ascii="Times New Roman" w:hAnsi="Times New Roman"/>
              </w:rPr>
              <w:t>cen</w:t>
            </w:r>
            <w:r>
              <w:rPr>
                <w:rFonts w:ascii="Times New Roman" w:hAnsi="Times New Roman"/>
              </w:rPr>
              <w:t>y</w:t>
            </w:r>
            <w:r w:rsidRPr="00067C34">
              <w:rPr>
                <w:rFonts w:ascii="Times New Roman" w:hAnsi="Times New Roman"/>
              </w:rPr>
              <w:t>, po ich zakończeniu.</w:t>
            </w:r>
          </w:p>
        </w:tc>
      </w:tr>
      <w:tr w:rsidR="0019538B" w:rsidRPr="008B4FE6" w14:paraId="62160C24" w14:textId="77777777" w:rsidTr="00996625">
        <w:trPr>
          <w:gridAfter w:val="1"/>
          <w:wAfter w:w="10" w:type="dxa"/>
          <w:trHeight w:val="363"/>
        </w:trPr>
        <w:tc>
          <w:tcPr>
            <w:tcW w:w="10937" w:type="dxa"/>
            <w:gridSpan w:val="36"/>
            <w:shd w:val="clear" w:color="auto" w:fill="99CCFF"/>
            <w:vAlign w:val="center"/>
          </w:tcPr>
          <w:p w14:paraId="42D78BAC" w14:textId="77777777" w:rsidR="0019538B" w:rsidRDefault="0019538B" w:rsidP="00996625">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19538B" w:rsidRPr="008B4FE6" w14:paraId="722D7C50" w14:textId="77777777" w:rsidTr="00996625">
        <w:trPr>
          <w:gridAfter w:val="1"/>
          <w:wAfter w:w="10" w:type="dxa"/>
          <w:trHeight w:val="142"/>
        </w:trPr>
        <w:tc>
          <w:tcPr>
            <w:tcW w:w="3131" w:type="dxa"/>
            <w:gridSpan w:val="4"/>
            <w:vMerge w:val="restart"/>
            <w:shd w:val="clear" w:color="auto" w:fill="FFFFFF"/>
          </w:tcPr>
          <w:p w14:paraId="02DCA5F0" w14:textId="77777777" w:rsidR="0019538B" w:rsidRDefault="0019538B" w:rsidP="00996625">
            <w:pPr>
              <w:spacing w:line="240" w:lineRule="auto"/>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6" w:type="dxa"/>
            <w:gridSpan w:val="32"/>
            <w:shd w:val="clear" w:color="auto" w:fill="FFFFFF"/>
          </w:tcPr>
          <w:p w14:paraId="65D68808" w14:textId="6E55BFA0" w:rsidR="0019538B" w:rsidRDefault="0019538B" w:rsidP="00996625">
            <w:pPr>
              <w:spacing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6B65DD">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161A1" w:rsidRPr="008B4FE6" w14:paraId="251EB5CE" w14:textId="77777777" w:rsidTr="0011555C">
        <w:trPr>
          <w:gridAfter w:val="1"/>
          <w:wAfter w:w="10" w:type="dxa"/>
          <w:trHeight w:val="142"/>
        </w:trPr>
        <w:tc>
          <w:tcPr>
            <w:tcW w:w="3131" w:type="dxa"/>
            <w:gridSpan w:val="4"/>
            <w:vMerge/>
            <w:shd w:val="clear" w:color="auto" w:fill="FFFFFF"/>
          </w:tcPr>
          <w:p w14:paraId="5606FF00" w14:textId="77777777" w:rsidR="006B65DD" w:rsidRDefault="006B65DD" w:rsidP="00996625">
            <w:pPr>
              <w:spacing w:line="240" w:lineRule="auto"/>
              <w:rPr>
                <w:rFonts w:ascii="Times New Roman" w:eastAsia="Times New Roman" w:hAnsi="Times New Roman" w:cs="Arial"/>
                <w:b/>
                <w:bCs/>
                <w:i/>
                <w:color w:val="000000"/>
                <w:kern w:val="32"/>
                <w:sz w:val="21"/>
                <w:szCs w:val="21"/>
              </w:rPr>
            </w:pPr>
          </w:p>
        </w:tc>
        <w:tc>
          <w:tcPr>
            <w:tcW w:w="301" w:type="dxa"/>
            <w:shd w:val="clear" w:color="auto" w:fill="FFFFFF"/>
          </w:tcPr>
          <w:p w14:paraId="6571793E" w14:textId="77777777" w:rsidR="006B65DD" w:rsidRDefault="006B65DD" w:rsidP="009966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680" w:type="dxa"/>
            <w:gridSpan w:val="2"/>
            <w:shd w:val="clear" w:color="auto" w:fill="FFFFFF"/>
          </w:tcPr>
          <w:p w14:paraId="4D451BFC" w14:textId="7E3E9BB5"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2021</w:t>
            </w:r>
          </w:p>
        </w:tc>
        <w:tc>
          <w:tcPr>
            <w:tcW w:w="567" w:type="dxa"/>
            <w:gridSpan w:val="2"/>
            <w:shd w:val="clear" w:color="auto" w:fill="FFFFFF"/>
          </w:tcPr>
          <w:p w14:paraId="6F4F71EE" w14:textId="42E87626"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2022</w:t>
            </w:r>
          </w:p>
        </w:tc>
        <w:tc>
          <w:tcPr>
            <w:tcW w:w="567" w:type="dxa"/>
            <w:gridSpan w:val="4"/>
            <w:shd w:val="clear" w:color="auto" w:fill="FFFFFF"/>
          </w:tcPr>
          <w:p w14:paraId="55D29A11" w14:textId="6B097255"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2023</w:t>
            </w:r>
          </w:p>
        </w:tc>
        <w:tc>
          <w:tcPr>
            <w:tcW w:w="735" w:type="dxa"/>
            <w:gridSpan w:val="3"/>
            <w:shd w:val="clear" w:color="auto" w:fill="FFFFFF"/>
          </w:tcPr>
          <w:p w14:paraId="0B6D5984" w14:textId="6474219C"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2024</w:t>
            </w:r>
          </w:p>
        </w:tc>
        <w:tc>
          <w:tcPr>
            <w:tcW w:w="570" w:type="dxa"/>
            <w:gridSpan w:val="2"/>
            <w:shd w:val="clear" w:color="auto" w:fill="FFFFFF"/>
          </w:tcPr>
          <w:p w14:paraId="7D0FE089" w14:textId="563A4BE4"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2025</w:t>
            </w:r>
          </w:p>
        </w:tc>
        <w:tc>
          <w:tcPr>
            <w:tcW w:w="570" w:type="dxa"/>
            <w:gridSpan w:val="3"/>
            <w:shd w:val="clear" w:color="auto" w:fill="FFFFFF"/>
          </w:tcPr>
          <w:p w14:paraId="6525E1D3" w14:textId="157E4B17"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2026</w:t>
            </w:r>
          </w:p>
        </w:tc>
        <w:tc>
          <w:tcPr>
            <w:tcW w:w="569" w:type="dxa"/>
            <w:gridSpan w:val="4"/>
            <w:shd w:val="clear" w:color="auto" w:fill="FFFFFF"/>
          </w:tcPr>
          <w:p w14:paraId="795557CE" w14:textId="29135BFE" w:rsidR="006B65DD" w:rsidRPr="0011555C" w:rsidRDefault="006B65DD" w:rsidP="00624FF0">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2027</w:t>
            </w:r>
          </w:p>
        </w:tc>
        <w:tc>
          <w:tcPr>
            <w:tcW w:w="570" w:type="dxa"/>
            <w:gridSpan w:val="3"/>
            <w:shd w:val="clear" w:color="auto" w:fill="FFFFFF"/>
          </w:tcPr>
          <w:p w14:paraId="5A167936" w14:textId="66BCE04F"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2028</w:t>
            </w:r>
          </w:p>
        </w:tc>
        <w:tc>
          <w:tcPr>
            <w:tcW w:w="558" w:type="dxa"/>
            <w:gridSpan w:val="2"/>
            <w:shd w:val="clear" w:color="auto" w:fill="FFFFFF"/>
          </w:tcPr>
          <w:p w14:paraId="2B3504BB" w14:textId="79694950" w:rsidR="006B65DD" w:rsidRPr="0011555C" w:rsidRDefault="006B65DD" w:rsidP="00F44FE7">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2029</w:t>
            </w:r>
          </w:p>
        </w:tc>
        <w:tc>
          <w:tcPr>
            <w:tcW w:w="567" w:type="dxa"/>
            <w:gridSpan w:val="3"/>
            <w:shd w:val="clear" w:color="auto" w:fill="FFFFFF"/>
          </w:tcPr>
          <w:p w14:paraId="35D1C973" w14:textId="77777777"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2030</w:t>
            </w:r>
          </w:p>
        </w:tc>
        <w:tc>
          <w:tcPr>
            <w:tcW w:w="709" w:type="dxa"/>
            <w:gridSpan w:val="2"/>
            <w:shd w:val="clear" w:color="auto" w:fill="FFFFFF"/>
          </w:tcPr>
          <w:p w14:paraId="2C0333EE" w14:textId="5F0DBF6A" w:rsidR="006B65DD" w:rsidRPr="0011555C" w:rsidRDefault="006B65DD" w:rsidP="00996625">
            <w:pPr>
              <w:spacing w:line="240" w:lineRule="auto"/>
              <w:jc w:val="center"/>
              <w:rPr>
                <w:rFonts w:ascii="Times New Roman" w:hAnsi="Times New Roman"/>
                <w:b/>
                <w:color w:val="000000"/>
                <w:sz w:val="16"/>
                <w:szCs w:val="16"/>
              </w:rPr>
            </w:pPr>
            <w:r w:rsidRPr="0011555C">
              <w:rPr>
                <w:rFonts w:ascii="Times New Roman" w:hAnsi="Times New Roman"/>
                <w:b/>
                <w:color w:val="000000"/>
                <w:sz w:val="16"/>
                <w:szCs w:val="16"/>
              </w:rPr>
              <w:t>2031</w:t>
            </w:r>
          </w:p>
        </w:tc>
        <w:tc>
          <w:tcPr>
            <w:tcW w:w="843" w:type="dxa"/>
            <w:shd w:val="clear" w:color="auto" w:fill="FFFFFF"/>
          </w:tcPr>
          <w:p w14:paraId="11EBFB91" w14:textId="77777777" w:rsidR="006B65DD" w:rsidRPr="0011555C" w:rsidRDefault="006B65DD" w:rsidP="00996625">
            <w:pPr>
              <w:spacing w:line="240" w:lineRule="auto"/>
              <w:jc w:val="center"/>
              <w:rPr>
                <w:rFonts w:ascii="Times New Roman" w:hAnsi="Times New Roman"/>
                <w:i/>
                <w:color w:val="000000"/>
                <w:spacing w:val="-2"/>
                <w:sz w:val="16"/>
                <w:szCs w:val="16"/>
              </w:rPr>
            </w:pPr>
            <w:r w:rsidRPr="0011555C">
              <w:rPr>
                <w:rFonts w:ascii="Times New Roman" w:hAnsi="Times New Roman"/>
                <w:i/>
                <w:color w:val="000000"/>
                <w:spacing w:val="-2"/>
                <w:sz w:val="16"/>
                <w:szCs w:val="16"/>
              </w:rPr>
              <w:t>Łącznie (0-10)</w:t>
            </w:r>
          </w:p>
        </w:tc>
      </w:tr>
      <w:tr w:rsidR="0011555C" w:rsidRPr="008B4FE6" w14:paraId="11A66017" w14:textId="77777777" w:rsidTr="0011555C">
        <w:trPr>
          <w:cantSplit/>
          <w:trHeight w:val="1134"/>
        </w:trPr>
        <w:tc>
          <w:tcPr>
            <w:tcW w:w="3131" w:type="dxa"/>
            <w:gridSpan w:val="4"/>
            <w:shd w:val="clear" w:color="auto" w:fill="FFFFFF"/>
            <w:vAlign w:val="center"/>
          </w:tcPr>
          <w:p w14:paraId="2631684B" w14:textId="77777777" w:rsidR="006B65DD" w:rsidRPr="00C53F26" w:rsidRDefault="006B65DD" w:rsidP="006B65DD">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301" w:type="dxa"/>
            <w:shd w:val="clear" w:color="auto" w:fill="FFFFFF"/>
          </w:tcPr>
          <w:p w14:paraId="507AD186" w14:textId="77777777" w:rsidR="006B65DD" w:rsidRPr="00726DA8" w:rsidRDefault="006B65DD" w:rsidP="006B65DD">
            <w:pPr>
              <w:spacing w:line="240" w:lineRule="auto"/>
              <w:rPr>
                <w:rFonts w:ascii="Times New Roman" w:hAnsi="Times New Roman"/>
                <w:color w:val="000000"/>
                <w:sz w:val="16"/>
                <w:szCs w:val="16"/>
              </w:rPr>
            </w:pPr>
          </w:p>
        </w:tc>
        <w:tc>
          <w:tcPr>
            <w:tcW w:w="680" w:type="dxa"/>
            <w:gridSpan w:val="2"/>
            <w:shd w:val="clear" w:color="auto" w:fill="FFFFFF"/>
            <w:textDirection w:val="btLr"/>
          </w:tcPr>
          <w:p w14:paraId="24A214F0" w14:textId="2D82D874" w:rsidR="006B65DD" w:rsidRPr="00726DA8"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1,25</w:t>
            </w:r>
          </w:p>
        </w:tc>
        <w:tc>
          <w:tcPr>
            <w:tcW w:w="567" w:type="dxa"/>
            <w:gridSpan w:val="2"/>
            <w:shd w:val="clear" w:color="auto" w:fill="FFFFFF"/>
            <w:textDirection w:val="btLr"/>
          </w:tcPr>
          <w:p w14:paraId="126E03E0" w14:textId="0FB6AF56"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1,57</w:t>
            </w:r>
          </w:p>
        </w:tc>
        <w:tc>
          <w:tcPr>
            <w:tcW w:w="567" w:type="dxa"/>
            <w:gridSpan w:val="4"/>
            <w:shd w:val="clear" w:color="auto" w:fill="FFFFFF"/>
            <w:textDirection w:val="btLr"/>
          </w:tcPr>
          <w:p w14:paraId="45DC952E" w14:textId="6E713DDF"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1,72</w:t>
            </w:r>
          </w:p>
        </w:tc>
        <w:tc>
          <w:tcPr>
            <w:tcW w:w="735" w:type="dxa"/>
            <w:gridSpan w:val="3"/>
            <w:shd w:val="clear" w:color="auto" w:fill="FFFFFF"/>
            <w:textDirection w:val="btLr"/>
          </w:tcPr>
          <w:p w14:paraId="3D1BC842" w14:textId="095F86BB"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1,67</w:t>
            </w:r>
          </w:p>
        </w:tc>
        <w:tc>
          <w:tcPr>
            <w:tcW w:w="570" w:type="dxa"/>
            <w:gridSpan w:val="2"/>
            <w:shd w:val="clear" w:color="auto" w:fill="FFFFFF"/>
            <w:textDirection w:val="btLr"/>
          </w:tcPr>
          <w:p w14:paraId="09594491" w14:textId="30C06B02"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1,84</w:t>
            </w:r>
          </w:p>
        </w:tc>
        <w:tc>
          <w:tcPr>
            <w:tcW w:w="570" w:type="dxa"/>
            <w:gridSpan w:val="3"/>
            <w:shd w:val="clear" w:color="auto" w:fill="FFFFFF"/>
            <w:textDirection w:val="btLr"/>
          </w:tcPr>
          <w:p w14:paraId="0B501992" w14:textId="60D5F29B"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1,71</w:t>
            </w:r>
          </w:p>
        </w:tc>
        <w:tc>
          <w:tcPr>
            <w:tcW w:w="569" w:type="dxa"/>
            <w:gridSpan w:val="4"/>
            <w:shd w:val="clear" w:color="auto" w:fill="FFFFFF"/>
            <w:textDirection w:val="btLr"/>
          </w:tcPr>
          <w:p w14:paraId="4434BC4C" w14:textId="0AC91E12"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1,94</w:t>
            </w:r>
          </w:p>
        </w:tc>
        <w:tc>
          <w:tcPr>
            <w:tcW w:w="570" w:type="dxa"/>
            <w:gridSpan w:val="3"/>
            <w:shd w:val="clear" w:color="auto" w:fill="FFFFFF"/>
            <w:textDirection w:val="btLr"/>
          </w:tcPr>
          <w:p w14:paraId="4C7E4ED4" w14:textId="60935262" w:rsidR="006B65DD" w:rsidRPr="00726DA8"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1,85</w:t>
            </w:r>
          </w:p>
        </w:tc>
        <w:tc>
          <w:tcPr>
            <w:tcW w:w="558" w:type="dxa"/>
            <w:gridSpan w:val="2"/>
            <w:shd w:val="clear" w:color="auto" w:fill="FFFFFF"/>
            <w:textDirection w:val="btLr"/>
          </w:tcPr>
          <w:p w14:paraId="1A7B8887" w14:textId="0ECC5C23"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1,8</w:t>
            </w:r>
          </w:p>
        </w:tc>
        <w:tc>
          <w:tcPr>
            <w:tcW w:w="538" w:type="dxa"/>
            <w:gridSpan w:val="2"/>
            <w:shd w:val="clear" w:color="auto" w:fill="FFFFFF"/>
            <w:textDirection w:val="btLr"/>
          </w:tcPr>
          <w:p w14:paraId="77526A61" w14:textId="50F758B8"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1,89</w:t>
            </w:r>
          </w:p>
        </w:tc>
        <w:tc>
          <w:tcPr>
            <w:tcW w:w="738" w:type="dxa"/>
            <w:gridSpan w:val="3"/>
            <w:shd w:val="clear" w:color="auto" w:fill="FFFFFF"/>
            <w:textDirection w:val="btLr"/>
          </w:tcPr>
          <w:p w14:paraId="502CF9D9" w14:textId="3C1378EA" w:rsidR="006B65DD" w:rsidRPr="002858FD" w:rsidRDefault="00C61142" w:rsidP="0011555C">
            <w:pPr>
              <w:spacing w:line="240" w:lineRule="auto"/>
              <w:rPr>
                <w:rFonts w:ascii="Times New Roman" w:hAnsi="Times New Roman"/>
                <w:color w:val="000000"/>
                <w:sz w:val="16"/>
                <w:szCs w:val="16"/>
              </w:rPr>
            </w:pPr>
            <w:r>
              <w:rPr>
                <w:rFonts w:ascii="Times New Roman" w:hAnsi="Times New Roman"/>
                <w:color w:val="000000"/>
                <w:sz w:val="16"/>
                <w:szCs w:val="16"/>
              </w:rPr>
              <w:t>1,89</w:t>
            </w:r>
          </w:p>
        </w:tc>
        <w:tc>
          <w:tcPr>
            <w:tcW w:w="853" w:type="dxa"/>
            <w:gridSpan w:val="2"/>
            <w:shd w:val="clear" w:color="auto" w:fill="FFFFFF"/>
            <w:textDirection w:val="btLr"/>
          </w:tcPr>
          <w:p w14:paraId="27E4DAB0" w14:textId="52127C54" w:rsidR="006B65DD" w:rsidRPr="002858FD" w:rsidRDefault="00C61142" w:rsidP="0011555C">
            <w:pPr>
              <w:spacing w:line="240" w:lineRule="auto"/>
              <w:rPr>
                <w:rFonts w:ascii="Times New Roman" w:hAnsi="Times New Roman"/>
                <w:color w:val="000000"/>
                <w:spacing w:val="-2"/>
                <w:sz w:val="16"/>
                <w:szCs w:val="16"/>
              </w:rPr>
            </w:pPr>
            <w:r>
              <w:rPr>
                <w:rFonts w:ascii="Times New Roman" w:hAnsi="Times New Roman"/>
                <w:color w:val="000000"/>
                <w:spacing w:val="-2"/>
                <w:sz w:val="16"/>
                <w:szCs w:val="16"/>
              </w:rPr>
              <w:t>19,13</w:t>
            </w:r>
          </w:p>
        </w:tc>
      </w:tr>
      <w:tr w:rsidR="00EA2CC8" w:rsidRPr="00D313F3" w14:paraId="383716E7" w14:textId="77777777" w:rsidTr="0014674E">
        <w:trPr>
          <w:cantSplit/>
          <w:trHeight w:val="1374"/>
        </w:trPr>
        <w:tc>
          <w:tcPr>
            <w:tcW w:w="3131" w:type="dxa"/>
            <w:gridSpan w:val="4"/>
            <w:shd w:val="clear" w:color="auto" w:fill="FFFFFF"/>
            <w:vAlign w:val="center"/>
          </w:tcPr>
          <w:p w14:paraId="36C11724"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budżet państwa</w:t>
            </w:r>
            <w:r>
              <w:rPr>
                <w:rFonts w:ascii="Times New Roman" w:hAnsi="Times New Roman"/>
                <w:color w:val="000000"/>
                <w:sz w:val="21"/>
                <w:szCs w:val="21"/>
              </w:rPr>
              <w:t>*</w:t>
            </w:r>
          </w:p>
        </w:tc>
        <w:tc>
          <w:tcPr>
            <w:tcW w:w="301" w:type="dxa"/>
            <w:shd w:val="clear" w:color="auto" w:fill="FFFFFF"/>
          </w:tcPr>
          <w:p w14:paraId="28A1902E" w14:textId="77777777" w:rsidR="006B65DD" w:rsidRPr="00362849" w:rsidRDefault="006B65DD" w:rsidP="00996625">
            <w:pPr>
              <w:spacing w:line="240" w:lineRule="auto"/>
              <w:rPr>
                <w:rFonts w:ascii="Times New Roman" w:hAnsi="Times New Roman"/>
                <w:color w:val="000000"/>
                <w:sz w:val="16"/>
                <w:szCs w:val="16"/>
              </w:rPr>
            </w:pPr>
          </w:p>
        </w:tc>
        <w:tc>
          <w:tcPr>
            <w:tcW w:w="680" w:type="dxa"/>
            <w:gridSpan w:val="2"/>
            <w:shd w:val="clear" w:color="auto" w:fill="FFFFFF"/>
            <w:textDirection w:val="tbRl"/>
            <w:vAlign w:val="center"/>
          </w:tcPr>
          <w:p w14:paraId="5924EEDB"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67" w:type="dxa"/>
            <w:gridSpan w:val="2"/>
            <w:shd w:val="clear" w:color="auto" w:fill="FFFFFF"/>
            <w:textDirection w:val="tbRl"/>
            <w:vAlign w:val="center"/>
          </w:tcPr>
          <w:p w14:paraId="78EC1F99"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67" w:type="dxa"/>
            <w:gridSpan w:val="4"/>
            <w:shd w:val="clear" w:color="auto" w:fill="FFFFFF"/>
            <w:textDirection w:val="tbRl"/>
            <w:vAlign w:val="center"/>
          </w:tcPr>
          <w:p w14:paraId="15851AD5"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735" w:type="dxa"/>
            <w:gridSpan w:val="3"/>
            <w:shd w:val="clear" w:color="auto" w:fill="FFFFFF"/>
            <w:textDirection w:val="tbRl"/>
            <w:vAlign w:val="center"/>
          </w:tcPr>
          <w:p w14:paraId="2E6326BC"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70" w:type="dxa"/>
            <w:gridSpan w:val="2"/>
            <w:shd w:val="clear" w:color="auto" w:fill="FFFFFF"/>
            <w:textDirection w:val="tbRl"/>
            <w:vAlign w:val="center"/>
          </w:tcPr>
          <w:p w14:paraId="2CD1CD78"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70" w:type="dxa"/>
            <w:gridSpan w:val="3"/>
            <w:shd w:val="clear" w:color="auto" w:fill="FFFFFF"/>
            <w:textDirection w:val="tbRl"/>
            <w:vAlign w:val="center"/>
          </w:tcPr>
          <w:p w14:paraId="07C43FE7"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69" w:type="dxa"/>
            <w:gridSpan w:val="4"/>
            <w:shd w:val="clear" w:color="auto" w:fill="FFFFFF"/>
            <w:textDirection w:val="tbRl"/>
            <w:vAlign w:val="center"/>
          </w:tcPr>
          <w:p w14:paraId="0ED42317"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70" w:type="dxa"/>
            <w:gridSpan w:val="3"/>
            <w:shd w:val="clear" w:color="auto" w:fill="FFFFFF"/>
            <w:textDirection w:val="tbRl"/>
            <w:vAlign w:val="center"/>
          </w:tcPr>
          <w:p w14:paraId="7B52D63C"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58" w:type="dxa"/>
            <w:gridSpan w:val="2"/>
            <w:shd w:val="clear" w:color="auto" w:fill="FFFFFF"/>
            <w:textDirection w:val="tbRl"/>
            <w:vAlign w:val="center"/>
          </w:tcPr>
          <w:p w14:paraId="33F1B46F"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538" w:type="dxa"/>
            <w:gridSpan w:val="2"/>
            <w:shd w:val="clear" w:color="auto" w:fill="FFFFFF"/>
            <w:textDirection w:val="tbRl"/>
            <w:vAlign w:val="center"/>
          </w:tcPr>
          <w:p w14:paraId="655BE0CD" w14:textId="77777777" w:rsidR="006B65DD" w:rsidRPr="00362849" w:rsidRDefault="006B65DD" w:rsidP="00996625">
            <w:pPr>
              <w:spacing w:line="240" w:lineRule="auto"/>
              <w:ind w:left="113" w:right="113"/>
              <w:rPr>
                <w:rFonts w:ascii="Times New Roman" w:hAnsi="Times New Roman"/>
                <w:color w:val="000000"/>
                <w:sz w:val="16"/>
                <w:szCs w:val="16"/>
              </w:rPr>
            </w:pPr>
          </w:p>
        </w:tc>
        <w:tc>
          <w:tcPr>
            <w:tcW w:w="738" w:type="dxa"/>
            <w:gridSpan w:val="3"/>
            <w:shd w:val="clear" w:color="auto" w:fill="FFFFFF"/>
            <w:textDirection w:val="tbRl"/>
            <w:vAlign w:val="center"/>
          </w:tcPr>
          <w:p w14:paraId="5AA3CAE2" w14:textId="67A94F80" w:rsidR="006B65DD" w:rsidRPr="00362849" w:rsidRDefault="006B65DD" w:rsidP="00996625">
            <w:pPr>
              <w:spacing w:line="240" w:lineRule="auto"/>
              <w:ind w:left="113" w:right="113"/>
              <w:rPr>
                <w:rFonts w:ascii="Times New Roman" w:hAnsi="Times New Roman"/>
                <w:color w:val="000000"/>
                <w:sz w:val="16"/>
                <w:szCs w:val="16"/>
              </w:rPr>
            </w:pPr>
          </w:p>
        </w:tc>
        <w:tc>
          <w:tcPr>
            <w:tcW w:w="853" w:type="dxa"/>
            <w:gridSpan w:val="2"/>
            <w:shd w:val="clear" w:color="auto" w:fill="FFFFFF"/>
            <w:textDirection w:val="tbRl"/>
            <w:vAlign w:val="center"/>
          </w:tcPr>
          <w:p w14:paraId="58AB21A8" w14:textId="77777777" w:rsidR="006B65DD" w:rsidRPr="00362849" w:rsidRDefault="006B65DD" w:rsidP="00996625">
            <w:pPr>
              <w:spacing w:line="240" w:lineRule="auto"/>
              <w:ind w:left="113" w:right="113"/>
              <w:rPr>
                <w:rFonts w:ascii="Times New Roman" w:hAnsi="Times New Roman"/>
                <w:color w:val="000000"/>
                <w:spacing w:val="-2"/>
                <w:sz w:val="16"/>
                <w:szCs w:val="16"/>
              </w:rPr>
            </w:pPr>
          </w:p>
        </w:tc>
      </w:tr>
      <w:tr w:rsidR="006B65DD" w:rsidRPr="00D313F3" w14:paraId="24DD1DDF" w14:textId="77777777" w:rsidTr="0011555C">
        <w:trPr>
          <w:trHeight w:val="344"/>
        </w:trPr>
        <w:tc>
          <w:tcPr>
            <w:tcW w:w="3131" w:type="dxa"/>
            <w:gridSpan w:val="4"/>
            <w:shd w:val="clear" w:color="auto" w:fill="FFFFFF"/>
            <w:vAlign w:val="center"/>
          </w:tcPr>
          <w:p w14:paraId="347672D6"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301" w:type="dxa"/>
            <w:shd w:val="clear" w:color="auto" w:fill="FFFFFF"/>
          </w:tcPr>
          <w:p w14:paraId="3F204A31" w14:textId="77777777" w:rsidR="006B65DD" w:rsidRPr="00362849" w:rsidRDefault="006B65DD" w:rsidP="00996625">
            <w:pPr>
              <w:spacing w:line="240" w:lineRule="auto"/>
              <w:rPr>
                <w:rFonts w:ascii="Times New Roman" w:hAnsi="Times New Roman"/>
                <w:color w:val="000000"/>
                <w:sz w:val="16"/>
                <w:szCs w:val="16"/>
              </w:rPr>
            </w:pPr>
          </w:p>
        </w:tc>
        <w:tc>
          <w:tcPr>
            <w:tcW w:w="680" w:type="dxa"/>
            <w:gridSpan w:val="2"/>
            <w:shd w:val="clear" w:color="auto" w:fill="FFFFFF"/>
          </w:tcPr>
          <w:p w14:paraId="54CB1A75" w14:textId="77777777" w:rsidR="006B65DD" w:rsidRPr="00362849" w:rsidRDefault="006B65DD" w:rsidP="00996625">
            <w:pPr>
              <w:spacing w:line="240" w:lineRule="auto"/>
              <w:rPr>
                <w:rFonts w:ascii="Times New Roman" w:hAnsi="Times New Roman"/>
                <w:color w:val="000000"/>
                <w:sz w:val="16"/>
                <w:szCs w:val="16"/>
              </w:rPr>
            </w:pPr>
          </w:p>
        </w:tc>
        <w:tc>
          <w:tcPr>
            <w:tcW w:w="567" w:type="dxa"/>
            <w:gridSpan w:val="2"/>
            <w:shd w:val="clear" w:color="auto" w:fill="FFFFFF"/>
          </w:tcPr>
          <w:p w14:paraId="0EC2E07C" w14:textId="77777777" w:rsidR="006B65DD" w:rsidRPr="00362849" w:rsidRDefault="006B65DD" w:rsidP="00996625">
            <w:pPr>
              <w:spacing w:line="240" w:lineRule="auto"/>
              <w:rPr>
                <w:rFonts w:ascii="Times New Roman" w:hAnsi="Times New Roman"/>
                <w:color w:val="000000"/>
                <w:sz w:val="16"/>
                <w:szCs w:val="16"/>
              </w:rPr>
            </w:pPr>
          </w:p>
        </w:tc>
        <w:tc>
          <w:tcPr>
            <w:tcW w:w="567" w:type="dxa"/>
            <w:gridSpan w:val="4"/>
            <w:shd w:val="clear" w:color="auto" w:fill="FFFFFF"/>
          </w:tcPr>
          <w:p w14:paraId="652AB0B0" w14:textId="77777777" w:rsidR="006B65DD" w:rsidRPr="00362849" w:rsidRDefault="006B65DD" w:rsidP="00996625">
            <w:pPr>
              <w:spacing w:line="240" w:lineRule="auto"/>
              <w:rPr>
                <w:rFonts w:ascii="Times New Roman" w:hAnsi="Times New Roman"/>
                <w:color w:val="000000"/>
                <w:sz w:val="16"/>
                <w:szCs w:val="16"/>
              </w:rPr>
            </w:pPr>
          </w:p>
        </w:tc>
        <w:tc>
          <w:tcPr>
            <w:tcW w:w="735" w:type="dxa"/>
            <w:gridSpan w:val="3"/>
            <w:shd w:val="clear" w:color="auto" w:fill="FFFFFF"/>
          </w:tcPr>
          <w:p w14:paraId="31C94042" w14:textId="77777777" w:rsidR="006B65DD" w:rsidRPr="00362849" w:rsidRDefault="006B65DD" w:rsidP="00996625">
            <w:pPr>
              <w:spacing w:line="240" w:lineRule="auto"/>
              <w:rPr>
                <w:rFonts w:ascii="Times New Roman" w:hAnsi="Times New Roman"/>
                <w:color w:val="000000"/>
                <w:sz w:val="16"/>
                <w:szCs w:val="16"/>
              </w:rPr>
            </w:pPr>
          </w:p>
        </w:tc>
        <w:tc>
          <w:tcPr>
            <w:tcW w:w="570" w:type="dxa"/>
            <w:gridSpan w:val="2"/>
            <w:shd w:val="clear" w:color="auto" w:fill="FFFFFF"/>
          </w:tcPr>
          <w:p w14:paraId="10B2E22C" w14:textId="77777777" w:rsidR="006B65DD" w:rsidRPr="00362849" w:rsidRDefault="006B65DD" w:rsidP="00996625">
            <w:pPr>
              <w:spacing w:line="240" w:lineRule="auto"/>
              <w:rPr>
                <w:rFonts w:ascii="Times New Roman" w:hAnsi="Times New Roman"/>
                <w:color w:val="000000"/>
                <w:sz w:val="16"/>
                <w:szCs w:val="16"/>
              </w:rPr>
            </w:pPr>
          </w:p>
        </w:tc>
        <w:tc>
          <w:tcPr>
            <w:tcW w:w="570" w:type="dxa"/>
            <w:gridSpan w:val="3"/>
            <w:shd w:val="clear" w:color="auto" w:fill="FFFFFF"/>
          </w:tcPr>
          <w:p w14:paraId="399B5C52" w14:textId="77777777" w:rsidR="006B65DD" w:rsidRPr="00362849" w:rsidRDefault="006B65DD" w:rsidP="00996625">
            <w:pPr>
              <w:spacing w:line="240" w:lineRule="auto"/>
              <w:rPr>
                <w:rFonts w:ascii="Times New Roman" w:hAnsi="Times New Roman"/>
                <w:color w:val="000000"/>
                <w:sz w:val="16"/>
                <w:szCs w:val="16"/>
              </w:rPr>
            </w:pPr>
          </w:p>
        </w:tc>
        <w:tc>
          <w:tcPr>
            <w:tcW w:w="569" w:type="dxa"/>
            <w:gridSpan w:val="4"/>
            <w:shd w:val="clear" w:color="auto" w:fill="FFFFFF"/>
          </w:tcPr>
          <w:p w14:paraId="18318152" w14:textId="77777777" w:rsidR="006B65DD" w:rsidRPr="00362849" w:rsidRDefault="006B65DD" w:rsidP="00996625">
            <w:pPr>
              <w:spacing w:line="240" w:lineRule="auto"/>
              <w:rPr>
                <w:rFonts w:ascii="Times New Roman" w:hAnsi="Times New Roman"/>
                <w:color w:val="000000"/>
                <w:sz w:val="16"/>
                <w:szCs w:val="16"/>
              </w:rPr>
            </w:pPr>
          </w:p>
        </w:tc>
        <w:tc>
          <w:tcPr>
            <w:tcW w:w="570" w:type="dxa"/>
            <w:gridSpan w:val="3"/>
            <w:shd w:val="clear" w:color="auto" w:fill="FFFFFF"/>
          </w:tcPr>
          <w:p w14:paraId="3E3ADDDD" w14:textId="77777777" w:rsidR="006B65DD" w:rsidRPr="00362849" w:rsidRDefault="006B65DD" w:rsidP="00996625">
            <w:pPr>
              <w:spacing w:line="240" w:lineRule="auto"/>
              <w:rPr>
                <w:rFonts w:ascii="Times New Roman" w:hAnsi="Times New Roman"/>
                <w:color w:val="000000"/>
                <w:sz w:val="16"/>
                <w:szCs w:val="16"/>
              </w:rPr>
            </w:pPr>
          </w:p>
        </w:tc>
        <w:tc>
          <w:tcPr>
            <w:tcW w:w="558" w:type="dxa"/>
            <w:gridSpan w:val="2"/>
            <w:shd w:val="clear" w:color="auto" w:fill="FFFFFF"/>
          </w:tcPr>
          <w:p w14:paraId="735E2E2A" w14:textId="77777777" w:rsidR="006B65DD" w:rsidRPr="00362849" w:rsidRDefault="006B65DD" w:rsidP="00996625">
            <w:pPr>
              <w:spacing w:line="240" w:lineRule="auto"/>
              <w:rPr>
                <w:rFonts w:ascii="Times New Roman" w:hAnsi="Times New Roman"/>
                <w:color w:val="000000"/>
                <w:sz w:val="16"/>
                <w:szCs w:val="16"/>
              </w:rPr>
            </w:pPr>
          </w:p>
        </w:tc>
        <w:tc>
          <w:tcPr>
            <w:tcW w:w="538" w:type="dxa"/>
            <w:gridSpan w:val="2"/>
            <w:shd w:val="clear" w:color="auto" w:fill="FFFFFF"/>
          </w:tcPr>
          <w:p w14:paraId="26B9511F" w14:textId="77777777" w:rsidR="006B65DD" w:rsidRPr="00362849" w:rsidRDefault="006B65DD" w:rsidP="00996625">
            <w:pPr>
              <w:spacing w:line="240" w:lineRule="auto"/>
              <w:rPr>
                <w:rFonts w:ascii="Times New Roman" w:hAnsi="Times New Roman"/>
                <w:color w:val="000000"/>
                <w:sz w:val="16"/>
                <w:szCs w:val="16"/>
              </w:rPr>
            </w:pPr>
          </w:p>
        </w:tc>
        <w:tc>
          <w:tcPr>
            <w:tcW w:w="738" w:type="dxa"/>
            <w:gridSpan w:val="3"/>
            <w:shd w:val="clear" w:color="auto" w:fill="FFFFFF"/>
          </w:tcPr>
          <w:p w14:paraId="7F1DFB03" w14:textId="64B8F5C4" w:rsidR="006B65DD" w:rsidRPr="00362849" w:rsidRDefault="006B65DD" w:rsidP="00996625">
            <w:pPr>
              <w:spacing w:line="240" w:lineRule="auto"/>
              <w:rPr>
                <w:rFonts w:ascii="Times New Roman" w:hAnsi="Times New Roman"/>
                <w:color w:val="000000"/>
                <w:sz w:val="16"/>
                <w:szCs w:val="16"/>
              </w:rPr>
            </w:pPr>
          </w:p>
        </w:tc>
        <w:tc>
          <w:tcPr>
            <w:tcW w:w="853" w:type="dxa"/>
            <w:gridSpan w:val="2"/>
            <w:shd w:val="clear" w:color="auto" w:fill="FFFFFF"/>
          </w:tcPr>
          <w:p w14:paraId="3C33A8BD" w14:textId="77777777" w:rsidR="006B65DD" w:rsidRPr="00362849" w:rsidRDefault="006B65DD" w:rsidP="00996625">
            <w:pPr>
              <w:spacing w:line="240" w:lineRule="auto"/>
              <w:rPr>
                <w:rFonts w:ascii="Times New Roman" w:hAnsi="Times New Roman"/>
                <w:color w:val="000000"/>
                <w:sz w:val="16"/>
                <w:szCs w:val="16"/>
              </w:rPr>
            </w:pPr>
          </w:p>
        </w:tc>
      </w:tr>
      <w:tr w:rsidR="006B65DD" w:rsidRPr="00D313F3" w14:paraId="18F56B15" w14:textId="77777777" w:rsidTr="0011555C">
        <w:trPr>
          <w:trHeight w:val="344"/>
        </w:trPr>
        <w:tc>
          <w:tcPr>
            <w:tcW w:w="3131" w:type="dxa"/>
            <w:gridSpan w:val="4"/>
            <w:shd w:val="clear" w:color="auto" w:fill="FFFFFF"/>
            <w:vAlign w:val="center"/>
          </w:tcPr>
          <w:p w14:paraId="51CFCB3A"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301" w:type="dxa"/>
            <w:shd w:val="clear" w:color="auto" w:fill="FFFFFF"/>
          </w:tcPr>
          <w:p w14:paraId="2BB45A65" w14:textId="77777777" w:rsidR="006B65DD" w:rsidRPr="00362849" w:rsidRDefault="006B65DD" w:rsidP="00996625">
            <w:pPr>
              <w:spacing w:line="240" w:lineRule="auto"/>
              <w:rPr>
                <w:rFonts w:ascii="Times New Roman" w:hAnsi="Times New Roman"/>
                <w:color w:val="000000"/>
                <w:sz w:val="16"/>
                <w:szCs w:val="16"/>
              </w:rPr>
            </w:pPr>
          </w:p>
        </w:tc>
        <w:tc>
          <w:tcPr>
            <w:tcW w:w="680" w:type="dxa"/>
            <w:gridSpan w:val="2"/>
            <w:shd w:val="clear" w:color="auto" w:fill="FFFFFF"/>
          </w:tcPr>
          <w:p w14:paraId="40FCA4DD" w14:textId="77777777" w:rsidR="006B65DD" w:rsidRPr="00362849" w:rsidRDefault="006B65DD" w:rsidP="00996625">
            <w:pPr>
              <w:spacing w:line="240" w:lineRule="auto"/>
              <w:rPr>
                <w:rFonts w:ascii="Times New Roman" w:hAnsi="Times New Roman"/>
                <w:color w:val="000000"/>
                <w:sz w:val="16"/>
                <w:szCs w:val="16"/>
              </w:rPr>
            </w:pPr>
          </w:p>
        </w:tc>
        <w:tc>
          <w:tcPr>
            <w:tcW w:w="567" w:type="dxa"/>
            <w:gridSpan w:val="2"/>
            <w:shd w:val="clear" w:color="auto" w:fill="FFFFFF"/>
          </w:tcPr>
          <w:p w14:paraId="374D99C3" w14:textId="77777777" w:rsidR="006B65DD" w:rsidRPr="00362849" w:rsidRDefault="006B65DD" w:rsidP="00996625">
            <w:pPr>
              <w:spacing w:line="240" w:lineRule="auto"/>
              <w:rPr>
                <w:rFonts w:ascii="Times New Roman" w:hAnsi="Times New Roman"/>
                <w:color w:val="000000"/>
                <w:sz w:val="16"/>
                <w:szCs w:val="16"/>
              </w:rPr>
            </w:pPr>
          </w:p>
        </w:tc>
        <w:tc>
          <w:tcPr>
            <w:tcW w:w="567" w:type="dxa"/>
            <w:gridSpan w:val="4"/>
            <w:shd w:val="clear" w:color="auto" w:fill="FFFFFF"/>
          </w:tcPr>
          <w:p w14:paraId="3710A1C3" w14:textId="77777777" w:rsidR="006B65DD" w:rsidRPr="00362849" w:rsidRDefault="006B65DD" w:rsidP="00996625">
            <w:pPr>
              <w:spacing w:line="240" w:lineRule="auto"/>
              <w:rPr>
                <w:rFonts w:ascii="Times New Roman" w:hAnsi="Times New Roman"/>
                <w:color w:val="000000"/>
                <w:sz w:val="16"/>
                <w:szCs w:val="16"/>
              </w:rPr>
            </w:pPr>
          </w:p>
        </w:tc>
        <w:tc>
          <w:tcPr>
            <w:tcW w:w="735" w:type="dxa"/>
            <w:gridSpan w:val="3"/>
            <w:shd w:val="clear" w:color="auto" w:fill="FFFFFF"/>
          </w:tcPr>
          <w:p w14:paraId="141A7A1A" w14:textId="77777777" w:rsidR="006B65DD" w:rsidRPr="00362849" w:rsidRDefault="006B65DD" w:rsidP="00996625">
            <w:pPr>
              <w:spacing w:line="240" w:lineRule="auto"/>
              <w:rPr>
                <w:rFonts w:ascii="Times New Roman" w:hAnsi="Times New Roman"/>
                <w:color w:val="000000"/>
                <w:sz w:val="16"/>
                <w:szCs w:val="16"/>
              </w:rPr>
            </w:pPr>
          </w:p>
        </w:tc>
        <w:tc>
          <w:tcPr>
            <w:tcW w:w="570" w:type="dxa"/>
            <w:gridSpan w:val="2"/>
            <w:shd w:val="clear" w:color="auto" w:fill="FFFFFF"/>
          </w:tcPr>
          <w:p w14:paraId="56CAFD21" w14:textId="77777777" w:rsidR="006B65DD" w:rsidRPr="00362849" w:rsidRDefault="006B65DD" w:rsidP="00996625">
            <w:pPr>
              <w:spacing w:line="240" w:lineRule="auto"/>
              <w:rPr>
                <w:rFonts w:ascii="Times New Roman" w:hAnsi="Times New Roman"/>
                <w:color w:val="000000"/>
                <w:sz w:val="16"/>
                <w:szCs w:val="16"/>
              </w:rPr>
            </w:pPr>
          </w:p>
        </w:tc>
        <w:tc>
          <w:tcPr>
            <w:tcW w:w="570" w:type="dxa"/>
            <w:gridSpan w:val="3"/>
            <w:shd w:val="clear" w:color="auto" w:fill="FFFFFF"/>
          </w:tcPr>
          <w:p w14:paraId="445DB1FB" w14:textId="77777777" w:rsidR="006B65DD" w:rsidRPr="00362849" w:rsidRDefault="006B65DD" w:rsidP="00996625">
            <w:pPr>
              <w:spacing w:line="240" w:lineRule="auto"/>
              <w:rPr>
                <w:rFonts w:ascii="Times New Roman" w:hAnsi="Times New Roman"/>
                <w:color w:val="000000"/>
                <w:sz w:val="16"/>
                <w:szCs w:val="16"/>
              </w:rPr>
            </w:pPr>
          </w:p>
        </w:tc>
        <w:tc>
          <w:tcPr>
            <w:tcW w:w="569" w:type="dxa"/>
            <w:gridSpan w:val="4"/>
            <w:shd w:val="clear" w:color="auto" w:fill="FFFFFF"/>
          </w:tcPr>
          <w:p w14:paraId="5981BF9A" w14:textId="77777777" w:rsidR="006B65DD" w:rsidRPr="00362849" w:rsidRDefault="006B65DD" w:rsidP="00996625">
            <w:pPr>
              <w:spacing w:line="240" w:lineRule="auto"/>
              <w:rPr>
                <w:rFonts w:ascii="Times New Roman" w:hAnsi="Times New Roman"/>
                <w:color w:val="000000"/>
                <w:sz w:val="16"/>
                <w:szCs w:val="16"/>
              </w:rPr>
            </w:pPr>
          </w:p>
        </w:tc>
        <w:tc>
          <w:tcPr>
            <w:tcW w:w="570" w:type="dxa"/>
            <w:gridSpan w:val="3"/>
            <w:shd w:val="clear" w:color="auto" w:fill="FFFFFF"/>
          </w:tcPr>
          <w:p w14:paraId="61A0537B" w14:textId="77777777" w:rsidR="006B65DD" w:rsidRPr="00362849" w:rsidRDefault="006B65DD" w:rsidP="00996625">
            <w:pPr>
              <w:spacing w:line="240" w:lineRule="auto"/>
              <w:rPr>
                <w:rFonts w:ascii="Times New Roman" w:hAnsi="Times New Roman"/>
                <w:color w:val="000000"/>
                <w:sz w:val="16"/>
                <w:szCs w:val="16"/>
              </w:rPr>
            </w:pPr>
          </w:p>
        </w:tc>
        <w:tc>
          <w:tcPr>
            <w:tcW w:w="558" w:type="dxa"/>
            <w:gridSpan w:val="2"/>
            <w:shd w:val="clear" w:color="auto" w:fill="FFFFFF"/>
          </w:tcPr>
          <w:p w14:paraId="5EAF7C09" w14:textId="77777777" w:rsidR="006B65DD" w:rsidRPr="00362849" w:rsidRDefault="006B65DD" w:rsidP="00996625">
            <w:pPr>
              <w:spacing w:line="240" w:lineRule="auto"/>
              <w:rPr>
                <w:rFonts w:ascii="Times New Roman" w:hAnsi="Times New Roman"/>
                <w:color w:val="000000"/>
                <w:sz w:val="16"/>
                <w:szCs w:val="16"/>
              </w:rPr>
            </w:pPr>
          </w:p>
        </w:tc>
        <w:tc>
          <w:tcPr>
            <w:tcW w:w="538" w:type="dxa"/>
            <w:gridSpan w:val="2"/>
            <w:shd w:val="clear" w:color="auto" w:fill="FFFFFF"/>
          </w:tcPr>
          <w:p w14:paraId="73C0D2E4" w14:textId="77777777" w:rsidR="006B65DD" w:rsidRPr="00362849" w:rsidRDefault="006B65DD" w:rsidP="00996625">
            <w:pPr>
              <w:spacing w:line="240" w:lineRule="auto"/>
              <w:rPr>
                <w:rFonts w:ascii="Times New Roman" w:hAnsi="Times New Roman"/>
                <w:color w:val="000000"/>
                <w:sz w:val="16"/>
                <w:szCs w:val="16"/>
              </w:rPr>
            </w:pPr>
          </w:p>
        </w:tc>
        <w:tc>
          <w:tcPr>
            <w:tcW w:w="738" w:type="dxa"/>
            <w:gridSpan w:val="3"/>
            <w:shd w:val="clear" w:color="auto" w:fill="FFFFFF"/>
          </w:tcPr>
          <w:p w14:paraId="0D3643C2" w14:textId="16F94460" w:rsidR="006B65DD" w:rsidRPr="00362849" w:rsidRDefault="006B65DD" w:rsidP="00996625">
            <w:pPr>
              <w:spacing w:line="240" w:lineRule="auto"/>
              <w:rPr>
                <w:rFonts w:ascii="Times New Roman" w:hAnsi="Times New Roman"/>
                <w:color w:val="000000"/>
                <w:sz w:val="16"/>
                <w:szCs w:val="16"/>
              </w:rPr>
            </w:pPr>
          </w:p>
        </w:tc>
        <w:tc>
          <w:tcPr>
            <w:tcW w:w="853" w:type="dxa"/>
            <w:gridSpan w:val="2"/>
            <w:shd w:val="clear" w:color="auto" w:fill="FFFFFF"/>
          </w:tcPr>
          <w:p w14:paraId="75D21ED3" w14:textId="77777777" w:rsidR="006B65DD" w:rsidRPr="00362849" w:rsidRDefault="006B65DD" w:rsidP="00996625">
            <w:pPr>
              <w:spacing w:line="240" w:lineRule="auto"/>
              <w:rPr>
                <w:rFonts w:ascii="Times New Roman" w:hAnsi="Times New Roman"/>
                <w:color w:val="000000"/>
                <w:sz w:val="16"/>
                <w:szCs w:val="16"/>
              </w:rPr>
            </w:pPr>
          </w:p>
        </w:tc>
      </w:tr>
      <w:tr w:rsidR="0011555C" w:rsidRPr="00D313F3" w14:paraId="3F22F7AE" w14:textId="77777777" w:rsidTr="0011555C">
        <w:trPr>
          <w:cantSplit/>
          <w:trHeight w:val="841"/>
        </w:trPr>
        <w:tc>
          <w:tcPr>
            <w:tcW w:w="3131" w:type="dxa"/>
            <w:gridSpan w:val="4"/>
            <w:shd w:val="clear" w:color="auto" w:fill="FFFFFF"/>
            <w:vAlign w:val="center"/>
          </w:tcPr>
          <w:p w14:paraId="1A19C3CC" w14:textId="77777777" w:rsidR="006B65DD" w:rsidRPr="00C53F26" w:rsidRDefault="006B65DD" w:rsidP="006B65DD">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301" w:type="dxa"/>
            <w:shd w:val="clear" w:color="auto" w:fill="FFFFFF"/>
          </w:tcPr>
          <w:p w14:paraId="6979214E" w14:textId="0F1BA2B6" w:rsidR="006B65DD" w:rsidRPr="00362849" w:rsidRDefault="006B65DD" w:rsidP="006B65DD">
            <w:pPr>
              <w:spacing w:line="240" w:lineRule="auto"/>
              <w:rPr>
                <w:rFonts w:ascii="Times New Roman" w:hAnsi="Times New Roman"/>
                <w:color w:val="000000"/>
                <w:sz w:val="16"/>
                <w:szCs w:val="16"/>
              </w:rPr>
            </w:pPr>
          </w:p>
        </w:tc>
        <w:tc>
          <w:tcPr>
            <w:tcW w:w="680" w:type="dxa"/>
            <w:gridSpan w:val="2"/>
            <w:shd w:val="clear" w:color="auto" w:fill="FFFFFF"/>
            <w:textDirection w:val="btLr"/>
          </w:tcPr>
          <w:p w14:paraId="7544CBC2" w14:textId="5D31F8FA"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1,5</w:t>
            </w:r>
          </w:p>
        </w:tc>
        <w:tc>
          <w:tcPr>
            <w:tcW w:w="567" w:type="dxa"/>
            <w:gridSpan w:val="2"/>
            <w:shd w:val="clear" w:color="auto" w:fill="FFFFFF"/>
            <w:textDirection w:val="btLr"/>
          </w:tcPr>
          <w:p w14:paraId="0609FF7C" w14:textId="6129825C"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4,01</w:t>
            </w:r>
          </w:p>
        </w:tc>
        <w:tc>
          <w:tcPr>
            <w:tcW w:w="567" w:type="dxa"/>
            <w:gridSpan w:val="4"/>
            <w:shd w:val="clear" w:color="auto" w:fill="FFFFFF"/>
            <w:textDirection w:val="btLr"/>
          </w:tcPr>
          <w:p w14:paraId="7A334662" w14:textId="107AE0B6"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2,82</w:t>
            </w:r>
          </w:p>
        </w:tc>
        <w:tc>
          <w:tcPr>
            <w:tcW w:w="735" w:type="dxa"/>
            <w:gridSpan w:val="3"/>
            <w:shd w:val="clear" w:color="auto" w:fill="FFFFFF"/>
            <w:textDirection w:val="btLr"/>
          </w:tcPr>
          <w:p w14:paraId="164403AC" w14:textId="550B5F10"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2,82</w:t>
            </w:r>
          </w:p>
        </w:tc>
        <w:tc>
          <w:tcPr>
            <w:tcW w:w="570" w:type="dxa"/>
            <w:gridSpan w:val="2"/>
            <w:shd w:val="clear" w:color="auto" w:fill="FFFFFF"/>
            <w:textDirection w:val="btLr"/>
          </w:tcPr>
          <w:p w14:paraId="1FE6BAB3" w14:textId="304AC473"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2,82</w:t>
            </w:r>
          </w:p>
        </w:tc>
        <w:tc>
          <w:tcPr>
            <w:tcW w:w="570" w:type="dxa"/>
            <w:gridSpan w:val="3"/>
            <w:shd w:val="clear" w:color="auto" w:fill="FFFFFF"/>
            <w:textDirection w:val="btLr"/>
          </w:tcPr>
          <w:p w14:paraId="04774963" w14:textId="3F5F4F3D"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2,94</w:t>
            </w:r>
          </w:p>
        </w:tc>
        <w:tc>
          <w:tcPr>
            <w:tcW w:w="569" w:type="dxa"/>
            <w:gridSpan w:val="4"/>
            <w:shd w:val="clear" w:color="auto" w:fill="FFFFFF"/>
            <w:textDirection w:val="btLr"/>
          </w:tcPr>
          <w:p w14:paraId="13162155" w14:textId="466F9A5F"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2,97</w:t>
            </w:r>
          </w:p>
        </w:tc>
        <w:tc>
          <w:tcPr>
            <w:tcW w:w="570" w:type="dxa"/>
            <w:gridSpan w:val="3"/>
            <w:shd w:val="clear" w:color="auto" w:fill="FFFFFF"/>
            <w:textDirection w:val="btLr"/>
          </w:tcPr>
          <w:p w14:paraId="2A8A1B2F" w14:textId="428205BA"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3</w:t>
            </w:r>
          </w:p>
        </w:tc>
        <w:tc>
          <w:tcPr>
            <w:tcW w:w="558" w:type="dxa"/>
            <w:gridSpan w:val="2"/>
            <w:shd w:val="clear" w:color="auto" w:fill="FFFFFF"/>
            <w:textDirection w:val="btLr"/>
          </w:tcPr>
          <w:p w14:paraId="61CBE14A" w14:textId="11229AE6"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3,02</w:t>
            </w:r>
          </w:p>
        </w:tc>
        <w:tc>
          <w:tcPr>
            <w:tcW w:w="538" w:type="dxa"/>
            <w:gridSpan w:val="2"/>
            <w:shd w:val="clear" w:color="auto" w:fill="FFFFFF"/>
            <w:textDirection w:val="btLr"/>
          </w:tcPr>
          <w:p w14:paraId="460F7CA5" w14:textId="779D135D"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3,05</w:t>
            </w:r>
          </w:p>
        </w:tc>
        <w:tc>
          <w:tcPr>
            <w:tcW w:w="738" w:type="dxa"/>
            <w:gridSpan w:val="3"/>
            <w:shd w:val="clear" w:color="auto" w:fill="FFFFFF"/>
            <w:textDirection w:val="btLr"/>
          </w:tcPr>
          <w:p w14:paraId="2EB3D7FB" w14:textId="5FFCBE42"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3,07</w:t>
            </w:r>
          </w:p>
        </w:tc>
        <w:tc>
          <w:tcPr>
            <w:tcW w:w="853" w:type="dxa"/>
            <w:gridSpan w:val="2"/>
            <w:shd w:val="clear" w:color="auto" w:fill="FFFFFF"/>
            <w:textDirection w:val="btLr"/>
          </w:tcPr>
          <w:p w14:paraId="416161FF" w14:textId="77777777" w:rsidR="006B65DD" w:rsidRDefault="006B65DD" w:rsidP="006B65DD">
            <w:pPr>
              <w:spacing w:line="240" w:lineRule="auto"/>
              <w:rPr>
                <w:rFonts w:ascii="Times New Roman" w:hAnsi="Times New Roman"/>
                <w:color w:val="000000"/>
                <w:sz w:val="16"/>
                <w:szCs w:val="16"/>
              </w:rPr>
            </w:pPr>
          </w:p>
          <w:p w14:paraId="5496FADE" w14:textId="7E1BE455" w:rsidR="006B65DD" w:rsidRPr="00362849" w:rsidRDefault="00C82638" w:rsidP="0011555C">
            <w:pPr>
              <w:spacing w:line="240" w:lineRule="auto"/>
              <w:rPr>
                <w:rFonts w:ascii="Times New Roman" w:hAnsi="Times New Roman"/>
                <w:color w:val="000000"/>
                <w:sz w:val="16"/>
                <w:szCs w:val="16"/>
              </w:rPr>
            </w:pPr>
            <w:r>
              <w:rPr>
                <w:rFonts w:ascii="Times New Roman" w:hAnsi="Times New Roman"/>
                <w:color w:val="000000"/>
                <w:sz w:val="16"/>
                <w:szCs w:val="16"/>
              </w:rPr>
              <w:t>32.02</w:t>
            </w:r>
          </w:p>
        </w:tc>
      </w:tr>
      <w:tr w:rsidR="0011555C" w:rsidRPr="00D313F3" w14:paraId="06C870FC" w14:textId="77777777" w:rsidTr="0011555C">
        <w:trPr>
          <w:cantSplit/>
          <w:trHeight w:val="1915"/>
        </w:trPr>
        <w:tc>
          <w:tcPr>
            <w:tcW w:w="3131" w:type="dxa"/>
            <w:gridSpan w:val="4"/>
            <w:shd w:val="clear" w:color="auto" w:fill="FFFFFF"/>
            <w:vAlign w:val="center"/>
          </w:tcPr>
          <w:p w14:paraId="3B84B0AB"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301" w:type="dxa"/>
            <w:shd w:val="clear" w:color="auto" w:fill="FFFFFF"/>
            <w:textDirection w:val="tbRl"/>
            <w:vAlign w:val="center"/>
          </w:tcPr>
          <w:p w14:paraId="6C7A5D85" w14:textId="77777777" w:rsidR="006B65DD" w:rsidRPr="00CF6E0F" w:rsidRDefault="006B65DD" w:rsidP="00996625">
            <w:pPr>
              <w:spacing w:line="240" w:lineRule="auto"/>
              <w:ind w:left="113" w:right="113"/>
              <w:jc w:val="center"/>
              <w:rPr>
                <w:rFonts w:ascii="Arial" w:hAnsi="Arial" w:cs="Arial"/>
                <w:color w:val="000000"/>
              </w:rPr>
            </w:pPr>
          </w:p>
        </w:tc>
        <w:tc>
          <w:tcPr>
            <w:tcW w:w="680" w:type="dxa"/>
            <w:gridSpan w:val="2"/>
            <w:shd w:val="clear" w:color="auto" w:fill="FFFFFF"/>
            <w:textDirection w:val="tbRl"/>
            <w:vAlign w:val="center"/>
          </w:tcPr>
          <w:p w14:paraId="2D62A982" w14:textId="77777777" w:rsidR="006B65DD" w:rsidRPr="00D313F3" w:rsidRDefault="006B65DD" w:rsidP="00996625">
            <w:pPr>
              <w:pStyle w:val="TEKSTwTABELItekstzwcitympierwwierszem"/>
              <w:spacing w:after="0" w:line="240" w:lineRule="auto"/>
              <w:ind w:left="113" w:right="113" w:firstLine="0"/>
              <w:jc w:val="center"/>
              <w:rPr>
                <w:rFonts w:ascii="Times New Roman" w:hAnsi="Times New Roman"/>
                <w:color w:val="000000"/>
                <w:sz w:val="18"/>
                <w:szCs w:val="18"/>
              </w:rPr>
            </w:pPr>
          </w:p>
        </w:tc>
        <w:tc>
          <w:tcPr>
            <w:tcW w:w="567" w:type="dxa"/>
            <w:gridSpan w:val="2"/>
            <w:shd w:val="clear" w:color="auto" w:fill="FFFFFF"/>
            <w:textDirection w:val="tbRl"/>
            <w:vAlign w:val="center"/>
          </w:tcPr>
          <w:p w14:paraId="3D0DB32C" w14:textId="77777777" w:rsidR="006B65DD" w:rsidRPr="00D313F3" w:rsidRDefault="006B65DD" w:rsidP="00996625">
            <w:pPr>
              <w:pStyle w:val="TEKSTwTABELItekstzwcitympierwwierszem"/>
              <w:spacing w:after="0" w:line="240" w:lineRule="auto"/>
              <w:ind w:left="113" w:right="113" w:firstLine="0"/>
              <w:rPr>
                <w:rFonts w:ascii="Times New Roman" w:hAnsi="Times New Roman"/>
                <w:color w:val="000000"/>
                <w:sz w:val="18"/>
                <w:szCs w:val="18"/>
              </w:rPr>
            </w:pPr>
          </w:p>
        </w:tc>
        <w:tc>
          <w:tcPr>
            <w:tcW w:w="567" w:type="dxa"/>
            <w:gridSpan w:val="4"/>
            <w:shd w:val="clear" w:color="auto" w:fill="FFFFFF"/>
            <w:textDirection w:val="tbRl"/>
            <w:vAlign w:val="center"/>
          </w:tcPr>
          <w:p w14:paraId="519F7BBF"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735" w:type="dxa"/>
            <w:gridSpan w:val="3"/>
            <w:shd w:val="clear" w:color="auto" w:fill="FFFFFF"/>
            <w:textDirection w:val="tbRl"/>
            <w:vAlign w:val="center"/>
          </w:tcPr>
          <w:p w14:paraId="6E5B2347"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570" w:type="dxa"/>
            <w:gridSpan w:val="2"/>
            <w:shd w:val="clear" w:color="auto" w:fill="FFFFFF"/>
            <w:textDirection w:val="tbRl"/>
            <w:vAlign w:val="center"/>
          </w:tcPr>
          <w:p w14:paraId="39655347"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570" w:type="dxa"/>
            <w:gridSpan w:val="3"/>
            <w:shd w:val="clear" w:color="auto" w:fill="FFFFFF"/>
            <w:textDirection w:val="tbRl"/>
            <w:vAlign w:val="center"/>
          </w:tcPr>
          <w:p w14:paraId="7F38A7A0"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569" w:type="dxa"/>
            <w:gridSpan w:val="4"/>
            <w:shd w:val="clear" w:color="auto" w:fill="FFFFFF"/>
            <w:textDirection w:val="tbRl"/>
            <w:vAlign w:val="center"/>
          </w:tcPr>
          <w:p w14:paraId="3B83A75A"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570" w:type="dxa"/>
            <w:gridSpan w:val="3"/>
            <w:shd w:val="clear" w:color="auto" w:fill="FFFFFF"/>
            <w:textDirection w:val="tbRl"/>
            <w:vAlign w:val="center"/>
          </w:tcPr>
          <w:p w14:paraId="44B7F5D8"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558" w:type="dxa"/>
            <w:gridSpan w:val="2"/>
            <w:shd w:val="clear" w:color="auto" w:fill="FFFFFF"/>
            <w:textDirection w:val="tbRl"/>
            <w:vAlign w:val="center"/>
          </w:tcPr>
          <w:p w14:paraId="605F4A9D"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538" w:type="dxa"/>
            <w:gridSpan w:val="2"/>
            <w:shd w:val="clear" w:color="auto" w:fill="FFFFFF"/>
            <w:textDirection w:val="tbRl"/>
            <w:vAlign w:val="center"/>
          </w:tcPr>
          <w:p w14:paraId="2333D056" w14:textId="77777777" w:rsidR="006B65DD" w:rsidRPr="00D313F3" w:rsidRDefault="006B65DD" w:rsidP="00996625">
            <w:pPr>
              <w:spacing w:line="240" w:lineRule="auto"/>
              <w:ind w:left="113" w:right="113"/>
              <w:jc w:val="center"/>
              <w:rPr>
                <w:rFonts w:ascii="Times New Roman" w:hAnsi="Times New Roman"/>
                <w:color w:val="000000"/>
                <w:sz w:val="18"/>
                <w:szCs w:val="18"/>
              </w:rPr>
            </w:pPr>
          </w:p>
        </w:tc>
        <w:tc>
          <w:tcPr>
            <w:tcW w:w="738" w:type="dxa"/>
            <w:gridSpan w:val="3"/>
            <w:shd w:val="clear" w:color="auto" w:fill="FFFFFF"/>
            <w:textDirection w:val="tbRl"/>
            <w:vAlign w:val="center"/>
          </w:tcPr>
          <w:p w14:paraId="42BE5F7F" w14:textId="65F5D686" w:rsidR="006B65DD" w:rsidRPr="00D313F3" w:rsidRDefault="006B65DD" w:rsidP="00996625">
            <w:pPr>
              <w:spacing w:line="240" w:lineRule="auto"/>
              <w:ind w:left="113" w:right="113"/>
              <w:jc w:val="center"/>
              <w:rPr>
                <w:rFonts w:ascii="Times New Roman" w:hAnsi="Times New Roman"/>
                <w:color w:val="000000"/>
                <w:sz w:val="18"/>
                <w:szCs w:val="18"/>
              </w:rPr>
            </w:pPr>
          </w:p>
        </w:tc>
        <w:tc>
          <w:tcPr>
            <w:tcW w:w="853" w:type="dxa"/>
            <w:gridSpan w:val="2"/>
            <w:shd w:val="clear" w:color="auto" w:fill="FFFFFF"/>
            <w:textDirection w:val="tbRl"/>
            <w:vAlign w:val="center"/>
          </w:tcPr>
          <w:p w14:paraId="1C626BA6" w14:textId="77777777" w:rsidR="006B65DD" w:rsidRPr="00D313F3" w:rsidRDefault="006B65DD" w:rsidP="00996625">
            <w:pPr>
              <w:ind w:left="113" w:right="113"/>
              <w:jc w:val="center"/>
              <w:rPr>
                <w:rFonts w:ascii="Times New Roman" w:hAnsi="Times New Roman"/>
                <w:color w:val="000000"/>
                <w:sz w:val="18"/>
                <w:szCs w:val="18"/>
              </w:rPr>
            </w:pPr>
          </w:p>
        </w:tc>
      </w:tr>
      <w:tr w:rsidR="006B65DD" w:rsidRPr="00D313F3" w14:paraId="03F00C36" w14:textId="77777777" w:rsidTr="0011555C">
        <w:trPr>
          <w:trHeight w:val="351"/>
        </w:trPr>
        <w:tc>
          <w:tcPr>
            <w:tcW w:w="3131" w:type="dxa"/>
            <w:gridSpan w:val="4"/>
            <w:shd w:val="clear" w:color="auto" w:fill="FFFFFF"/>
            <w:vAlign w:val="center"/>
          </w:tcPr>
          <w:p w14:paraId="52A3376E"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301" w:type="dxa"/>
            <w:shd w:val="clear" w:color="auto" w:fill="FFFFFF"/>
          </w:tcPr>
          <w:p w14:paraId="5A926687" w14:textId="77777777" w:rsidR="006B65DD" w:rsidRPr="00B37C80" w:rsidRDefault="006B65DD" w:rsidP="00996625">
            <w:pPr>
              <w:spacing w:line="240" w:lineRule="auto"/>
              <w:rPr>
                <w:rFonts w:ascii="Times New Roman" w:hAnsi="Times New Roman"/>
                <w:color w:val="000000"/>
                <w:sz w:val="21"/>
                <w:szCs w:val="21"/>
              </w:rPr>
            </w:pPr>
          </w:p>
        </w:tc>
        <w:tc>
          <w:tcPr>
            <w:tcW w:w="680" w:type="dxa"/>
            <w:gridSpan w:val="2"/>
            <w:shd w:val="clear" w:color="auto" w:fill="FFFFFF"/>
          </w:tcPr>
          <w:p w14:paraId="3D7434A4" w14:textId="77777777" w:rsidR="006B65DD" w:rsidRPr="00D313F3" w:rsidRDefault="006B65DD" w:rsidP="00996625">
            <w:pPr>
              <w:spacing w:line="240" w:lineRule="auto"/>
              <w:rPr>
                <w:rFonts w:ascii="Times New Roman" w:hAnsi="Times New Roman"/>
                <w:color w:val="000000"/>
                <w:sz w:val="21"/>
                <w:szCs w:val="21"/>
              </w:rPr>
            </w:pPr>
          </w:p>
        </w:tc>
        <w:tc>
          <w:tcPr>
            <w:tcW w:w="567" w:type="dxa"/>
            <w:gridSpan w:val="2"/>
            <w:shd w:val="clear" w:color="auto" w:fill="FFFFFF"/>
          </w:tcPr>
          <w:p w14:paraId="2E144B20" w14:textId="77777777" w:rsidR="006B65DD" w:rsidRPr="00D313F3" w:rsidRDefault="006B65DD" w:rsidP="00996625">
            <w:pPr>
              <w:spacing w:line="240" w:lineRule="auto"/>
              <w:rPr>
                <w:rFonts w:ascii="Times New Roman" w:hAnsi="Times New Roman"/>
                <w:color w:val="000000"/>
                <w:sz w:val="21"/>
                <w:szCs w:val="21"/>
              </w:rPr>
            </w:pPr>
          </w:p>
        </w:tc>
        <w:tc>
          <w:tcPr>
            <w:tcW w:w="567" w:type="dxa"/>
            <w:gridSpan w:val="4"/>
            <w:shd w:val="clear" w:color="auto" w:fill="FFFFFF"/>
          </w:tcPr>
          <w:p w14:paraId="5B92D268" w14:textId="77777777" w:rsidR="006B65DD" w:rsidRPr="00D313F3" w:rsidRDefault="006B65DD" w:rsidP="00996625">
            <w:pPr>
              <w:spacing w:line="240" w:lineRule="auto"/>
              <w:rPr>
                <w:rFonts w:ascii="Times New Roman" w:hAnsi="Times New Roman"/>
                <w:color w:val="000000"/>
                <w:sz w:val="21"/>
                <w:szCs w:val="21"/>
              </w:rPr>
            </w:pPr>
          </w:p>
        </w:tc>
        <w:tc>
          <w:tcPr>
            <w:tcW w:w="735" w:type="dxa"/>
            <w:gridSpan w:val="3"/>
            <w:shd w:val="clear" w:color="auto" w:fill="FFFFFF"/>
          </w:tcPr>
          <w:p w14:paraId="2A9EBA12" w14:textId="77777777" w:rsidR="006B65DD" w:rsidRPr="00D313F3" w:rsidRDefault="006B65DD" w:rsidP="00996625">
            <w:pPr>
              <w:spacing w:line="240" w:lineRule="auto"/>
              <w:rPr>
                <w:rFonts w:ascii="Times New Roman" w:hAnsi="Times New Roman"/>
                <w:color w:val="000000"/>
                <w:sz w:val="21"/>
                <w:szCs w:val="21"/>
              </w:rPr>
            </w:pPr>
          </w:p>
        </w:tc>
        <w:tc>
          <w:tcPr>
            <w:tcW w:w="570" w:type="dxa"/>
            <w:gridSpan w:val="2"/>
            <w:shd w:val="clear" w:color="auto" w:fill="FFFFFF"/>
          </w:tcPr>
          <w:p w14:paraId="265519A9" w14:textId="77777777" w:rsidR="006B65DD" w:rsidRPr="00D313F3"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29C6290F" w14:textId="77777777" w:rsidR="006B65DD" w:rsidRPr="00D313F3" w:rsidRDefault="006B65DD" w:rsidP="00996625">
            <w:pPr>
              <w:spacing w:line="240" w:lineRule="auto"/>
              <w:rPr>
                <w:rFonts w:ascii="Times New Roman" w:hAnsi="Times New Roman"/>
                <w:color w:val="000000"/>
                <w:sz w:val="21"/>
                <w:szCs w:val="21"/>
              </w:rPr>
            </w:pPr>
          </w:p>
        </w:tc>
        <w:tc>
          <w:tcPr>
            <w:tcW w:w="569" w:type="dxa"/>
            <w:gridSpan w:val="4"/>
            <w:shd w:val="clear" w:color="auto" w:fill="FFFFFF"/>
          </w:tcPr>
          <w:p w14:paraId="3221F4EC" w14:textId="77777777" w:rsidR="006B65DD" w:rsidRPr="00D313F3"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5BBDDEB8" w14:textId="77777777" w:rsidR="006B65DD" w:rsidRPr="00D313F3" w:rsidRDefault="006B65DD" w:rsidP="00996625">
            <w:pPr>
              <w:spacing w:line="240" w:lineRule="auto"/>
              <w:rPr>
                <w:rFonts w:ascii="Times New Roman" w:hAnsi="Times New Roman"/>
                <w:color w:val="000000"/>
                <w:sz w:val="21"/>
                <w:szCs w:val="21"/>
              </w:rPr>
            </w:pPr>
          </w:p>
        </w:tc>
        <w:tc>
          <w:tcPr>
            <w:tcW w:w="558" w:type="dxa"/>
            <w:gridSpan w:val="2"/>
            <w:shd w:val="clear" w:color="auto" w:fill="FFFFFF"/>
          </w:tcPr>
          <w:p w14:paraId="1E1622A5" w14:textId="77777777" w:rsidR="006B65DD" w:rsidRPr="00D313F3" w:rsidRDefault="006B65DD" w:rsidP="00996625">
            <w:pPr>
              <w:spacing w:line="240" w:lineRule="auto"/>
              <w:rPr>
                <w:rFonts w:ascii="Times New Roman" w:hAnsi="Times New Roman"/>
                <w:color w:val="000000"/>
                <w:sz w:val="21"/>
                <w:szCs w:val="21"/>
              </w:rPr>
            </w:pPr>
          </w:p>
        </w:tc>
        <w:tc>
          <w:tcPr>
            <w:tcW w:w="538" w:type="dxa"/>
            <w:gridSpan w:val="2"/>
            <w:shd w:val="clear" w:color="auto" w:fill="FFFFFF"/>
          </w:tcPr>
          <w:p w14:paraId="05E59AF0" w14:textId="77777777" w:rsidR="006B65DD" w:rsidRPr="00D313F3" w:rsidRDefault="006B65DD" w:rsidP="00996625">
            <w:pPr>
              <w:spacing w:line="240" w:lineRule="auto"/>
              <w:rPr>
                <w:rFonts w:ascii="Times New Roman" w:hAnsi="Times New Roman"/>
                <w:color w:val="000000"/>
                <w:sz w:val="21"/>
                <w:szCs w:val="21"/>
              </w:rPr>
            </w:pPr>
          </w:p>
        </w:tc>
        <w:tc>
          <w:tcPr>
            <w:tcW w:w="738" w:type="dxa"/>
            <w:gridSpan w:val="3"/>
            <w:shd w:val="clear" w:color="auto" w:fill="FFFFFF"/>
          </w:tcPr>
          <w:p w14:paraId="523BD9B3" w14:textId="1D3B457D" w:rsidR="006B65DD" w:rsidRPr="00D313F3" w:rsidRDefault="006B65DD" w:rsidP="00996625">
            <w:pPr>
              <w:spacing w:line="240" w:lineRule="auto"/>
              <w:rPr>
                <w:rFonts w:ascii="Times New Roman" w:hAnsi="Times New Roman"/>
                <w:color w:val="000000"/>
                <w:sz w:val="21"/>
                <w:szCs w:val="21"/>
              </w:rPr>
            </w:pPr>
          </w:p>
        </w:tc>
        <w:tc>
          <w:tcPr>
            <w:tcW w:w="853" w:type="dxa"/>
            <w:gridSpan w:val="2"/>
            <w:shd w:val="clear" w:color="auto" w:fill="FFFFFF"/>
          </w:tcPr>
          <w:p w14:paraId="5D1B85FC" w14:textId="77777777" w:rsidR="006B65DD" w:rsidRPr="00D313F3" w:rsidRDefault="006B65DD" w:rsidP="00996625">
            <w:pPr>
              <w:spacing w:line="240" w:lineRule="auto"/>
              <w:rPr>
                <w:rFonts w:ascii="Times New Roman" w:hAnsi="Times New Roman"/>
                <w:color w:val="000000"/>
                <w:sz w:val="21"/>
                <w:szCs w:val="21"/>
              </w:rPr>
            </w:pPr>
          </w:p>
        </w:tc>
      </w:tr>
      <w:tr w:rsidR="006B65DD" w:rsidRPr="00D313F3" w14:paraId="6CB390A0" w14:textId="77777777" w:rsidTr="0011555C">
        <w:trPr>
          <w:trHeight w:val="351"/>
        </w:trPr>
        <w:tc>
          <w:tcPr>
            <w:tcW w:w="3131" w:type="dxa"/>
            <w:gridSpan w:val="4"/>
            <w:shd w:val="clear" w:color="auto" w:fill="FFFFFF"/>
            <w:vAlign w:val="center"/>
          </w:tcPr>
          <w:p w14:paraId="2B112A2B"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301" w:type="dxa"/>
            <w:shd w:val="clear" w:color="auto" w:fill="FFFFFF"/>
          </w:tcPr>
          <w:p w14:paraId="4C8B7016" w14:textId="77777777" w:rsidR="006B65DD" w:rsidRPr="00B37C80" w:rsidRDefault="006B65DD" w:rsidP="00996625">
            <w:pPr>
              <w:spacing w:line="240" w:lineRule="auto"/>
              <w:rPr>
                <w:rFonts w:ascii="Times New Roman" w:hAnsi="Times New Roman"/>
                <w:color w:val="000000"/>
                <w:sz w:val="21"/>
                <w:szCs w:val="21"/>
              </w:rPr>
            </w:pPr>
          </w:p>
        </w:tc>
        <w:tc>
          <w:tcPr>
            <w:tcW w:w="680" w:type="dxa"/>
            <w:gridSpan w:val="2"/>
            <w:shd w:val="clear" w:color="auto" w:fill="FFFFFF"/>
          </w:tcPr>
          <w:p w14:paraId="1C57EC3D" w14:textId="77777777" w:rsidR="006B65DD" w:rsidRPr="00D313F3" w:rsidRDefault="006B65DD" w:rsidP="00996625">
            <w:pPr>
              <w:spacing w:line="240" w:lineRule="auto"/>
              <w:rPr>
                <w:rFonts w:ascii="Times New Roman" w:hAnsi="Times New Roman"/>
                <w:color w:val="000000"/>
                <w:sz w:val="21"/>
                <w:szCs w:val="21"/>
              </w:rPr>
            </w:pPr>
          </w:p>
        </w:tc>
        <w:tc>
          <w:tcPr>
            <w:tcW w:w="567" w:type="dxa"/>
            <w:gridSpan w:val="2"/>
            <w:shd w:val="clear" w:color="auto" w:fill="FFFFFF"/>
          </w:tcPr>
          <w:p w14:paraId="740E9761" w14:textId="77777777" w:rsidR="006B65DD" w:rsidRPr="00D313F3" w:rsidRDefault="006B65DD" w:rsidP="00996625">
            <w:pPr>
              <w:spacing w:line="240" w:lineRule="auto"/>
              <w:rPr>
                <w:rFonts w:ascii="Times New Roman" w:hAnsi="Times New Roman"/>
                <w:color w:val="000000"/>
                <w:sz w:val="21"/>
                <w:szCs w:val="21"/>
              </w:rPr>
            </w:pPr>
          </w:p>
        </w:tc>
        <w:tc>
          <w:tcPr>
            <w:tcW w:w="567" w:type="dxa"/>
            <w:gridSpan w:val="4"/>
            <w:shd w:val="clear" w:color="auto" w:fill="FFFFFF"/>
          </w:tcPr>
          <w:p w14:paraId="6ED25F6B" w14:textId="77777777" w:rsidR="006B65DD" w:rsidRPr="00D313F3" w:rsidRDefault="006B65DD" w:rsidP="00996625">
            <w:pPr>
              <w:spacing w:line="240" w:lineRule="auto"/>
              <w:rPr>
                <w:rFonts w:ascii="Times New Roman" w:hAnsi="Times New Roman"/>
                <w:color w:val="000000"/>
                <w:sz w:val="21"/>
                <w:szCs w:val="21"/>
              </w:rPr>
            </w:pPr>
          </w:p>
        </w:tc>
        <w:tc>
          <w:tcPr>
            <w:tcW w:w="735" w:type="dxa"/>
            <w:gridSpan w:val="3"/>
            <w:shd w:val="clear" w:color="auto" w:fill="FFFFFF"/>
          </w:tcPr>
          <w:p w14:paraId="17A37D64" w14:textId="77777777" w:rsidR="006B65DD" w:rsidRPr="00D313F3" w:rsidRDefault="006B65DD" w:rsidP="00996625">
            <w:pPr>
              <w:spacing w:line="240" w:lineRule="auto"/>
              <w:rPr>
                <w:rFonts w:ascii="Times New Roman" w:hAnsi="Times New Roman"/>
                <w:color w:val="000000"/>
                <w:sz w:val="21"/>
                <w:szCs w:val="21"/>
              </w:rPr>
            </w:pPr>
          </w:p>
        </w:tc>
        <w:tc>
          <w:tcPr>
            <w:tcW w:w="570" w:type="dxa"/>
            <w:gridSpan w:val="2"/>
            <w:shd w:val="clear" w:color="auto" w:fill="FFFFFF"/>
          </w:tcPr>
          <w:p w14:paraId="760E1FFE" w14:textId="77777777" w:rsidR="006B65DD" w:rsidRPr="00D313F3"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16EE5C18" w14:textId="77777777" w:rsidR="006B65DD" w:rsidRPr="00D313F3" w:rsidRDefault="006B65DD" w:rsidP="00996625">
            <w:pPr>
              <w:spacing w:line="240" w:lineRule="auto"/>
              <w:rPr>
                <w:rFonts w:ascii="Times New Roman" w:hAnsi="Times New Roman"/>
                <w:color w:val="000000"/>
                <w:sz w:val="21"/>
                <w:szCs w:val="21"/>
              </w:rPr>
            </w:pPr>
          </w:p>
        </w:tc>
        <w:tc>
          <w:tcPr>
            <w:tcW w:w="569" w:type="dxa"/>
            <w:gridSpan w:val="4"/>
            <w:shd w:val="clear" w:color="auto" w:fill="FFFFFF"/>
          </w:tcPr>
          <w:p w14:paraId="514FD245" w14:textId="77777777" w:rsidR="006B65DD" w:rsidRPr="00D313F3"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7E427AD4" w14:textId="77777777" w:rsidR="006B65DD" w:rsidRPr="00D313F3" w:rsidRDefault="006B65DD" w:rsidP="00996625">
            <w:pPr>
              <w:spacing w:line="240" w:lineRule="auto"/>
              <w:rPr>
                <w:rFonts w:ascii="Times New Roman" w:hAnsi="Times New Roman"/>
                <w:color w:val="000000"/>
                <w:sz w:val="21"/>
                <w:szCs w:val="21"/>
              </w:rPr>
            </w:pPr>
          </w:p>
        </w:tc>
        <w:tc>
          <w:tcPr>
            <w:tcW w:w="558" w:type="dxa"/>
            <w:gridSpan w:val="2"/>
            <w:shd w:val="clear" w:color="auto" w:fill="FFFFFF"/>
          </w:tcPr>
          <w:p w14:paraId="576F0815" w14:textId="77777777" w:rsidR="006B65DD" w:rsidRPr="00D313F3" w:rsidRDefault="006B65DD" w:rsidP="00996625">
            <w:pPr>
              <w:spacing w:line="240" w:lineRule="auto"/>
              <w:rPr>
                <w:rFonts w:ascii="Times New Roman" w:hAnsi="Times New Roman"/>
                <w:color w:val="000000"/>
                <w:sz w:val="21"/>
                <w:szCs w:val="21"/>
              </w:rPr>
            </w:pPr>
          </w:p>
        </w:tc>
        <w:tc>
          <w:tcPr>
            <w:tcW w:w="538" w:type="dxa"/>
            <w:gridSpan w:val="2"/>
            <w:shd w:val="clear" w:color="auto" w:fill="FFFFFF"/>
          </w:tcPr>
          <w:p w14:paraId="1C56ED2D" w14:textId="77777777" w:rsidR="006B65DD" w:rsidRPr="00D313F3" w:rsidRDefault="006B65DD" w:rsidP="00996625">
            <w:pPr>
              <w:spacing w:line="240" w:lineRule="auto"/>
              <w:rPr>
                <w:rFonts w:ascii="Times New Roman" w:hAnsi="Times New Roman"/>
                <w:color w:val="000000"/>
                <w:sz w:val="21"/>
                <w:szCs w:val="21"/>
              </w:rPr>
            </w:pPr>
          </w:p>
        </w:tc>
        <w:tc>
          <w:tcPr>
            <w:tcW w:w="738" w:type="dxa"/>
            <w:gridSpan w:val="3"/>
            <w:shd w:val="clear" w:color="auto" w:fill="FFFFFF"/>
          </w:tcPr>
          <w:p w14:paraId="5995EB37" w14:textId="043C6763" w:rsidR="006B65DD" w:rsidRPr="00D313F3" w:rsidRDefault="006B65DD" w:rsidP="00996625">
            <w:pPr>
              <w:spacing w:line="240" w:lineRule="auto"/>
              <w:rPr>
                <w:rFonts w:ascii="Times New Roman" w:hAnsi="Times New Roman"/>
                <w:color w:val="000000"/>
                <w:sz w:val="21"/>
                <w:szCs w:val="21"/>
              </w:rPr>
            </w:pPr>
          </w:p>
        </w:tc>
        <w:tc>
          <w:tcPr>
            <w:tcW w:w="853" w:type="dxa"/>
            <w:gridSpan w:val="2"/>
            <w:shd w:val="clear" w:color="auto" w:fill="FFFFFF"/>
          </w:tcPr>
          <w:p w14:paraId="676D71CC" w14:textId="77777777" w:rsidR="006B65DD" w:rsidRPr="00D313F3" w:rsidRDefault="006B65DD" w:rsidP="00996625">
            <w:pPr>
              <w:spacing w:line="240" w:lineRule="auto"/>
              <w:rPr>
                <w:rFonts w:ascii="Times New Roman" w:hAnsi="Times New Roman"/>
                <w:color w:val="000000"/>
                <w:sz w:val="21"/>
                <w:szCs w:val="21"/>
              </w:rPr>
            </w:pPr>
          </w:p>
        </w:tc>
      </w:tr>
      <w:tr w:rsidR="0011555C" w:rsidRPr="00D313F3" w14:paraId="3BCACC63" w14:textId="77777777" w:rsidTr="0011555C">
        <w:trPr>
          <w:cantSplit/>
          <w:trHeight w:val="1334"/>
        </w:trPr>
        <w:tc>
          <w:tcPr>
            <w:tcW w:w="3131" w:type="dxa"/>
            <w:gridSpan w:val="4"/>
            <w:shd w:val="clear" w:color="auto" w:fill="FFFFFF"/>
            <w:vAlign w:val="center"/>
          </w:tcPr>
          <w:p w14:paraId="3FC02B15" w14:textId="77777777" w:rsidR="00FC50A9" w:rsidRPr="00C53F26" w:rsidRDefault="00FC50A9" w:rsidP="00FC50A9">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301" w:type="dxa"/>
            <w:shd w:val="clear" w:color="auto" w:fill="FFFFFF"/>
          </w:tcPr>
          <w:p w14:paraId="4A41A044" w14:textId="77777777" w:rsidR="00FC50A9" w:rsidRPr="00B37C80" w:rsidRDefault="00FC50A9" w:rsidP="00FC50A9">
            <w:pPr>
              <w:spacing w:line="240" w:lineRule="auto"/>
              <w:rPr>
                <w:rFonts w:ascii="Times New Roman" w:hAnsi="Times New Roman"/>
                <w:color w:val="000000"/>
                <w:sz w:val="21"/>
                <w:szCs w:val="21"/>
              </w:rPr>
            </w:pPr>
          </w:p>
        </w:tc>
        <w:tc>
          <w:tcPr>
            <w:tcW w:w="680" w:type="dxa"/>
            <w:gridSpan w:val="2"/>
            <w:shd w:val="clear" w:color="auto" w:fill="FFFFFF"/>
            <w:textDirection w:val="btLr"/>
          </w:tcPr>
          <w:p w14:paraId="7F7A7E77" w14:textId="58F28E9F"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-0,25</w:t>
            </w:r>
          </w:p>
        </w:tc>
        <w:tc>
          <w:tcPr>
            <w:tcW w:w="567" w:type="dxa"/>
            <w:gridSpan w:val="2"/>
            <w:shd w:val="clear" w:color="auto" w:fill="FFFFFF"/>
            <w:textDirection w:val="btLr"/>
          </w:tcPr>
          <w:p w14:paraId="10BD2787" w14:textId="6C564552"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-2,44</w:t>
            </w:r>
          </w:p>
        </w:tc>
        <w:tc>
          <w:tcPr>
            <w:tcW w:w="567" w:type="dxa"/>
            <w:gridSpan w:val="4"/>
            <w:shd w:val="clear" w:color="auto" w:fill="FFFFFF"/>
            <w:textDirection w:val="btLr"/>
          </w:tcPr>
          <w:p w14:paraId="3B4705AC" w14:textId="44AE59A5"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-1,1</w:t>
            </w:r>
          </w:p>
        </w:tc>
        <w:tc>
          <w:tcPr>
            <w:tcW w:w="735" w:type="dxa"/>
            <w:gridSpan w:val="3"/>
            <w:shd w:val="clear" w:color="auto" w:fill="FFFFFF"/>
            <w:textDirection w:val="btLr"/>
          </w:tcPr>
          <w:p w14:paraId="6772390A" w14:textId="7EEE38CC"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-1,15</w:t>
            </w:r>
          </w:p>
        </w:tc>
        <w:tc>
          <w:tcPr>
            <w:tcW w:w="570" w:type="dxa"/>
            <w:gridSpan w:val="2"/>
            <w:shd w:val="clear" w:color="auto" w:fill="FFFFFF"/>
            <w:textDirection w:val="btLr"/>
          </w:tcPr>
          <w:p w14:paraId="27098A34" w14:textId="1405F5A1"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-0,98</w:t>
            </w:r>
          </w:p>
        </w:tc>
        <w:tc>
          <w:tcPr>
            <w:tcW w:w="570" w:type="dxa"/>
            <w:gridSpan w:val="3"/>
            <w:shd w:val="clear" w:color="auto" w:fill="FFFFFF"/>
            <w:textDirection w:val="btLr"/>
          </w:tcPr>
          <w:p w14:paraId="28B62D3D" w14:textId="43ACDD5B"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-1,23</w:t>
            </w:r>
          </w:p>
        </w:tc>
        <w:tc>
          <w:tcPr>
            <w:tcW w:w="569" w:type="dxa"/>
            <w:gridSpan w:val="4"/>
            <w:shd w:val="clear" w:color="auto" w:fill="FFFFFF"/>
            <w:textDirection w:val="btLr"/>
          </w:tcPr>
          <w:p w14:paraId="3B20B94A" w14:textId="59B4CAEB"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-1,03</w:t>
            </w:r>
          </w:p>
        </w:tc>
        <w:tc>
          <w:tcPr>
            <w:tcW w:w="570" w:type="dxa"/>
            <w:gridSpan w:val="3"/>
            <w:shd w:val="clear" w:color="auto" w:fill="FFFFFF"/>
            <w:textDirection w:val="btLr"/>
          </w:tcPr>
          <w:p w14:paraId="1D0BB885" w14:textId="07D97191"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-1,15</w:t>
            </w:r>
          </w:p>
        </w:tc>
        <w:tc>
          <w:tcPr>
            <w:tcW w:w="558" w:type="dxa"/>
            <w:gridSpan w:val="2"/>
            <w:shd w:val="clear" w:color="auto" w:fill="FFFFFF"/>
            <w:textDirection w:val="btLr"/>
          </w:tcPr>
          <w:p w14:paraId="0C16A57D" w14:textId="3BE67323"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-1,22</w:t>
            </w:r>
          </w:p>
        </w:tc>
        <w:tc>
          <w:tcPr>
            <w:tcW w:w="538" w:type="dxa"/>
            <w:gridSpan w:val="2"/>
            <w:shd w:val="clear" w:color="auto" w:fill="FFFFFF"/>
            <w:textDirection w:val="btLr"/>
          </w:tcPr>
          <w:p w14:paraId="7EC4E84B" w14:textId="12DBC6AE"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-1,16</w:t>
            </w:r>
          </w:p>
        </w:tc>
        <w:tc>
          <w:tcPr>
            <w:tcW w:w="738" w:type="dxa"/>
            <w:gridSpan w:val="3"/>
            <w:shd w:val="clear" w:color="auto" w:fill="FFFFFF"/>
            <w:textDirection w:val="btLr"/>
          </w:tcPr>
          <w:p w14:paraId="71F088D7" w14:textId="1461C732"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-1,18</w:t>
            </w:r>
          </w:p>
        </w:tc>
        <w:tc>
          <w:tcPr>
            <w:tcW w:w="853" w:type="dxa"/>
            <w:gridSpan w:val="2"/>
            <w:shd w:val="clear" w:color="auto" w:fill="FFFFFF"/>
            <w:textDirection w:val="btLr"/>
            <w:vAlign w:val="center"/>
          </w:tcPr>
          <w:p w14:paraId="2FF3ECA9" w14:textId="062395AB" w:rsidR="00FC50A9" w:rsidRPr="009966B0" w:rsidRDefault="0014674E" w:rsidP="0011555C">
            <w:pPr>
              <w:spacing w:line="240" w:lineRule="auto"/>
              <w:rPr>
                <w:rFonts w:ascii="Times New Roman" w:hAnsi="Times New Roman"/>
                <w:color w:val="000000"/>
                <w:sz w:val="16"/>
                <w:szCs w:val="16"/>
              </w:rPr>
            </w:pPr>
            <w:r>
              <w:rPr>
                <w:rFonts w:ascii="Times New Roman" w:hAnsi="Times New Roman"/>
                <w:color w:val="000000"/>
                <w:sz w:val="16"/>
                <w:szCs w:val="16"/>
              </w:rPr>
              <w:t>-12,89</w:t>
            </w:r>
          </w:p>
        </w:tc>
      </w:tr>
      <w:tr w:rsidR="006B65DD" w:rsidRPr="008B4FE6" w14:paraId="1BCD93DF" w14:textId="77777777" w:rsidTr="0011555C">
        <w:trPr>
          <w:trHeight w:val="360"/>
        </w:trPr>
        <w:tc>
          <w:tcPr>
            <w:tcW w:w="3131" w:type="dxa"/>
            <w:gridSpan w:val="4"/>
            <w:shd w:val="clear" w:color="auto" w:fill="FFFFFF"/>
            <w:vAlign w:val="center"/>
          </w:tcPr>
          <w:p w14:paraId="6E0FC642"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301" w:type="dxa"/>
            <w:shd w:val="clear" w:color="auto" w:fill="FFFFFF"/>
          </w:tcPr>
          <w:p w14:paraId="6E35B913" w14:textId="77777777" w:rsidR="006B65DD" w:rsidRPr="00B37C80" w:rsidRDefault="006B65DD" w:rsidP="00996625">
            <w:pPr>
              <w:spacing w:line="240" w:lineRule="auto"/>
              <w:rPr>
                <w:rFonts w:ascii="Times New Roman" w:hAnsi="Times New Roman"/>
                <w:color w:val="000000"/>
                <w:sz w:val="21"/>
                <w:szCs w:val="21"/>
              </w:rPr>
            </w:pPr>
          </w:p>
        </w:tc>
        <w:tc>
          <w:tcPr>
            <w:tcW w:w="680" w:type="dxa"/>
            <w:gridSpan w:val="2"/>
            <w:shd w:val="clear" w:color="auto" w:fill="FFFFFF"/>
          </w:tcPr>
          <w:p w14:paraId="1E0A0BB6" w14:textId="77777777" w:rsidR="006B65DD" w:rsidRDefault="006B65DD" w:rsidP="00996625">
            <w:pPr>
              <w:spacing w:line="240" w:lineRule="auto"/>
              <w:rPr>
                <w:rFonts w:ascii="Times New Roman" w:hAnsi="Times New Roman"/>
                <w:color w:val="000000"/>
                <w:sz w:val="21"/>
                <w:szCs w:val="21"/>
              </w:rPr>
            </w:pPr>
          </w:p>
        </w:tc>
        <w:tc>
          <w:tcPr>
            <w:tcW w:w="567" w:type="dxa"/>
            <w:gridSpan w:val="2"/>
            <w:shd w:val="clear" w:color="auto" w:fill="FFFFFF"/>
          </w:tcPr>
          <w:p w14:paraId="026FF7B3" w14:textId="77777777" w:rsidR="006B65DD" w:rsidRDefault="006B65DD" w:rsidP="00996625">
            <w:pPr>
              <w:spacing w:line="240" w:lineRule="auto"/>
              <w:rPr>
                <w:rFonts w:ascii="Times New Roman" w:hAnsi="Times New Roman"/>
                <w:color w:val="000000"/>
                <w:sz w:val="21"/>
                <w:szCs w:val="21"/>
              </w:rPr>
            </w:pPr>
          </w:p>
        </w:tc>
        <w:tc>
          <w:tcPr>
            <w:tcW w:w="567" w:type="dxa"/>
            <w:gridSpan w:val="4"/>
            <w:shd w:val="clear" w:color="auto" w:fill="FFFFFF"/>
          </w:tcPr>
          <w:p w14:paraId="1C7E3272" w14:textId="77777777" w:rsidR="006B65DD" w:rsidRDefault="006B65DD" w:rsidP="00996625">
            <w:pPr>
              <w:spacing w:line="240" w:lineRule="auto"/>
              <w:rPr>
                <w:rFonts w:ascii="Times New Roman" w:hAnsi="Times New Roman"/>
                <w:color w:val="000000"/>
                <w:sz w:val="21"/>
                <w:szCs w:val="21"/>
              </w:rPr>
            </w:pPr>
          </w:p>
        </w:tc>
        <w:tc>
          <w:tcPr>
            <w:tcW w:w="735" w:type="dxa"/>
            <w:gridSpan w:val="3"/>
            <w:shd w:val="clear" w:color="auto" w:fill="FFFFFF"/>
          </w:tcPr>
          <w:p w14:paraId="3061FD89" w14:textId="77777777" w:rsidR="006B65DD" w:rsidRDefault="006B65DD" w:rsidP="00996625">
            <w:pPr>
              <w:spacing w:line="240" w:lineRule="auto"/>
              <w:rPr>
                <w:rFonts w:ascii="Times New Roman" w:hAnsi="Times New Roman"/>
                <w:color w:val="000000"/>
                <w:sz w:val="21"/>
                <w:szCs w:val="21"/>
              </w:rPr>
            </w:pPr>
          </w:p>
        </w:tc>
        <w:tc>
          <w:tcPr>
            <w:tcW w:w="570" w:type="dxa"/>
            <w:gridSpan w:val="2"/>
            <w:shd w:val="clear" w:color="auto" w:fill="FFFFFF"/>
          </w:tcPr>
          <w:p w14:paraId="3A482B24" w14:textId="77777777" w:rsidR="006B65DD"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7DABCAA8" w14:textId="77777777" w:rsidR="006B65DD" w:rsidRDefault="006B65DD" w:rsidP="00996625">
            <w:pPr>
              <w:spacing w:line="240" w:lineRule="auto"/>
              <w:rPr>
                <w:rFonts w:ascii="Times New Roman" w:hAnsi="Times New Roman"/>
                <w:color w:val="000000"/>
                <w:sz w:val="21"/>
                <w:szCs w:val="21"/>
              </w:rPr>
            </w:pPr>
          </w:p>
        </w:tc>
        <w:tc>
          <w:tcPr>
            <w:tcW w:w="569" w:type="dxa"/>
            <w:gridSpan w:val="4"/>
            <w:shd w:val="clear" w:color="auto" w:fill="FFFFFF"/>
          </w:tcPr>
          <w:p w14:paraId="428A9348" w14:textId="77777777" w:rsidR="006B65DD"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5940FB8F" w14:textId="77777777" w:rsidR="006B65DD" w:rsidRDefault="006B65DD" w:rsidP="00996625">
            <w:pPr>
              <w:spacing w:line="240" w:lineRule="auto"/>
              <w:rPr>
                <w:rFonts w:ascii="Times New Roman" w:hAnsi="Times New Roman"/>
                <w:color w:val="000000"/>
                <w:sz w:val="21"/>
                <w:szCs w:val="21"/>
              </w:rPr>
            </w:pPr>
          </w:p>
        </w:tc>
        <w:tc>
          <w:tcPr>
            <w:tcW w:w="558" w:type="dxa"/>
            <w:gridSpan w:val="2"/>
            <w:shd w:val="clear" w:color="auto" w:fill="FFFFFF"/>
          </w:tcPr>
          <w:p w14:paraId="2CFF84F4" w14:textId="77777777" w:rsidR="006B65DD" w:rsidRDefault="006B65DD" w:rsidP="00996625">
            <w:pPr>
              <w:spacing w:line="240" w:lineRule="auto"/>
              <w:rPr>
                <w:rFonts w:ascii="Times New Roman" w:hAnsi="Times New Roman"/>
                <w:color w:val="000000"/>
                <w:sz w:val="21"/>
                <w:szCs w:val="21"/>
              </w:rPr>
            </w:pPr>
          </w:p>
        </w:tc>
        <w:tc>
          <w:tcPr>
            <w:tcW w:w="538" w:type="dxa"/>
            <w:gridSpan w:val="2"/>
            <w:shd w:val="clear" w:color="auto" w:fill="FFFFFF"/>
          </w:tcPr>
          <w:p w14:paraId="11BE0581" w14:textId="77777777" w:rsidR="006B65DD" w:rsidRDefault="006B65DD" w:rsidP="00996625">
            <w:pPr>
              <w:spacing w:line="240" w:lineRule="auto"/>
              <w:rPr>
                <w:rFonts w:ascii="Times New Roman" w:hAnsi="Times New Roman"/>
                <w:color w:val="000000"/>
                <w:sz w:val="21"/>
                <w:szCs w:val="21"/>
              </w:rPr>
            </w:pPr>
          </w:p>
        </w:tc>
        <w:tc>
          <w:tcPr>
            <w:tcW w:w="738" w:type="dxa"/>
            <w:gridSpan w:val="3"/>
            <w:shd w:val="clear" w:color="auto" w:fill="FFFFFF"/>
          </w:tcPr>
          <w:p w14:paraId="619C3C9C" w14:textId="6CD3BB1C" w:rsidR="006B65DD" w:rsidRDefault="006B65DD" w:rsidP="00996625">
            <w:pPr>
              <w:spacing w:line="240" w:lineRule="auto"/>
              <w:rPr>
                <w:rFonts w:ascii="Times New Roman" w:hAnsi="Times New Roman"/>
                <w:color w:val="000000"/>
                <w:sz w:val="21"/>
                <w:szCs w:val="21"/>
              </w:rPr>
            </w:pPr>
          </w:p>
        </w:tc>
        <w:tc>
          <w:tcPr>
            <w:tcW w:w="853" w:type="dxa"/>
            <w:gridSpan w:val="2"/>
            <w:shd w:val="clear" w:color="auto" w:fill="FFFFFF"/>
          </w:tcPr>
          <w:p w14:paraId="41CE20D0" w14:textId="77777777" w:rsidR="006B65DD" w:rsidRDefault="006B65DD" w:rsidP="00996625">
            <w:pPr>
              <w:spacing w:line="240" w:lineRule="auto"/>
              <w:rPr>
                <w:rFonts w:ascii="Times New Roman" w:hAnsi="Times New Roman"/>
                <w:color w:val="000000"/>
                <w:sz w:val="21"/>
                <w:szCs w:val="21"/>
              </w:rPr>
            </w:pPr>
          </w:p>
        </w:tc>
      </w:tr>
      <w:tr w:rsidR="006B65DD" w:rsidRPr="008B4FE6" w14:paraId="52ACE2C2" w14:textId="77777777" w:rsidTr="0011555C">
        <w:trPr>
          <w:trHeight w:val="357"/>
        </w:trPr>
        <w:tc>
          <w:tcPr>
            <w:tcW w:w="3131" w:type="dxa"/>
            <w:gridSpan w:val="4"/>
            <w:shd w:val="clear" w:color="auto" w:fill="FFFFFF"/>
            <w:vAlign w:val="center"/>
          </w:tcPr>
          <w:p w14:paraId="38AE905A"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301" w:type="dxa"/>
            <w:shd w:val="clear" w:color="auto" w:fill="FFFFFF"/>
          </w:tcPr>
          <w:p w14:paraId="1BE4AB55" w14:textId="77777777" w:rsidR="006B65DD" w:rsidRPr="00B37C80" w:rsidRDefault="006B65DD" w:rsidP="00996625">
            <w:pPr>
              <w:spacing w:line="240" w:lineRule="auto"/>
              <w:rPr>
                <w:rFonts w:ascii="Times New Roman" w:hAnsi="Times New Roman"/>
                <w:color w:val="000000"/>
                <w:sz w:val="21"/>
                <w:szCs w:val="21"/>
              </w:rPr>
            </w:pPr>
          </w:p>
        </w:tc>
        <w:tc>
          <w:tcPr>
            <w:tcW w:w="680" w:type="dxa"/>
            <w:gridSpan w:val="2"/>
            <w:shd w:val="clear" w:color="auto" w:fill="FFFFFF"/>
          </w:tcPr>
          <w:p w14:paraId="2E8D9F2A" w14:textId="77777777" w:rsidR="006B65DD" w:rsidRDefault="006B65DD" w:rsidP="00996625">
            <w:pPr>
              <w:spacing w:line="240" w:lineRule="auto"/>
              <w:rPr>
                <w:rFonts w:ascii="Times New Roman" w:hAnsi="Times New Roman"/>
                <w:color w:val="000000"/>
                <w:sz w:val="21"/>
                <w:szCs w:val="21"/>
              </w:rPr>
            </w:pPr>
          </w:p>
        </w:tc>
        <w:tc>
          <w:tcPr>
            <w:tcW w:w="567" w:type="dxa"/>
            <w:gridSpan w:val="2"/>
            <w:shd w:val="clear" w:color="auto" w:fill="FFFFFF"/>
          </w:tcPr>
          <w:p w14:paraId="0A1FEC72" w14:textId="77777777" w:rsidR="006B65DD" w:rsidRDefault="006B65DD" w:rsidP="00996625">
            <w:pPr>
              <w:spacing w:line="240" w:lineRule="auto"/>
              <w:rPr>
                <w:rFonts w:ascii="Times New Roman" w:hAnsi="Times New Roman"/>
                <w:color w:val="000000"/>
                <w:sz w:val="21"/>
                <w:szCs w:val="21"/>
              </w:rPr>
            </w:pPr>
          </w:p>
        </w:tc>
        <w:tc>
          <w:tcPr>
            <w:tcW w:w="567" w:type="dxa"/>
            <w:gridSpan w:val="4"/>
            <w:shd w:val="clear" w:color="auto" w:fill="FFFFFF"/>
          </w:tcPr>
          <w:p w14:paraId="05BE9142" w14:textId="77777777" w:rsidR="006B65DD" w:rsidRDefault="006B65DD" w:rsidP="00996625">
            <w:pPr>
              <w:spacing w:line="240" w:lineRule="auto"/>
              <w:rPr>
                <w:rFonts w:ascii="Times New Roman" w:hAnsi="Times New Roman"/>
                <w:color w:val="000000"/>
                <w:sz w:val="21"/>
                <w:szCs w:val="21"/>
              </w:rPr>
            </w:pPr>
          </w:p>
        </w:tc>
        <w:tc>
          <w:tcPr>
            <w:tcW w:w="735" w:type="dxa"/>
            <w:gridSpan w:val="3"/>
            <w:shd w:val="clear" w:color="auto" w:fill="FFFFFF"/>
          </w:tcPr>
          <w:p w14:paraId="7AD73B28" w14:textId="77777777" w:rsidR="006B65DD" w:rsidRDefault="006B65DD" w:rsidP="00996625">
            <w:pPr>
              <w:spacing w:line="240" w:lineRule="auto"/>
              <w:rPr>
                <w:rFonts w:ascii="Times New Roman" w:hAnsi="Times New Roman"/>
                <w:color w:val="000000"/>
                <w:sz w:val="21"/>
                <w:szCs w:val="21"/>
              </w:rPr>
            </w:pPr>
          </w:p>
        </w:tc>
        <w:tc>
          <w:tcPr>
            <w:tcW w:w="570" w:type="dxa"/>
            <w:gridSpan w:val="2"/>
            <w:shd w:val="clear" w:color="auto" w:fill="FFFFFF"/>
          </w:tcPr>
          <w:p w14:paraId="2E0577DA" w14:textId="77777777" w:rsidR="006B65DD"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22D3A5A9" w14:textId="77777777" w:rsidR="006B65DD" w:rsidRDefault="006B65DD" w:rsidP="00996625">
            <w:pPr>
              <w:spacing w:line="240" w:lineRule="auto"/>
              <w:rPr>
                <w:rFonts w:ascii="Times New Roman" w:hAnsi="Times New Roman"/>
                <w:color w:val="000000"/>
                <w:sz w:val="21"/>
                <w:szCs w:val="21"/>
              </w:rPr>
            </w:pPr>
          </w:p>
        </w:tc>
        <w:tc>
          <w:tcPr>
            <w:tcW w:w="569" w:type="dxa"/>
            <w:gridSpan w:val="4"/>
            <w:shd w:val="clear" w:color="auto" w:fill="FFFFFF"/>
          </w:tcPr>
          <w:p w14:paraId="2C871877" w14:textId="77777777" w:rsidR="006B65DD"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55C25F6D" w14:textId="77777777" w:rsidR="006B65DD" w:rsidRDefault="006B65DD" w:rsidP="00996625">
            <w:pPr>
              <w:spacing w:line="240" w:lineRule="auto"/>
              <w:rPr>
                <w:rFonts w:ascii="Times New Roman" w:hAnsi="Times New Roman"/>
                <w:color w:val="000000"/>
                <w:sz w:val="21"/>
                <w:szCs w:val="21"/>
              </w:rPr>
            </w:pPr>
          </w:p>
        </w:tc>
        <w:tc>
          <w:tcPr>
            <w:tcW w:w="558" w:type="dxa"/>
            <w:gridSpan w:val="2"/>
            <w:shd w:val="clear" w:color="auto" w:fill="FFFFFF"/>
          </w:tcPr>
          <w:p w14:paraId="1CD3BC68" w14:textId="77777777" w:rsidR="006B65DD" w:rsidRDefault="006B65DD" w:rsidP="00996625">
            <w:pPr>
              <w:spacing w:line="240" w:lineRule="auto"/>
              <w:rPr>
                <w:rFonts w:ascii="Times New Roman" w:hAnsi="Times New Roman"/>
                <w:color w:val="000000"/>
                <w:sz w:val="21"/>
                <w:szCs w:val="21"/>
              </w:rPr>
            </w:pPr>
          </w:p>
        </w:tc>
        <w:tc>
          <w:tcPr>
            <w:tcW w:w="538" w:type="dxa"/>
            <w:gridSpan w:val="2"/>
            <w:shd w:val="clear" w:color="auto" w:fill="FFFFFF"/>
          </w:tcPr>
          <w:p w14:paraId="27A15412" w14:textId="77777777" w:rsidR="006B65DD" w:rsidRDefault="006B65DD" w:rsidP="00996625">
            <w:pPr>
              <w:spacing w:line="240" w:lineRule="auto"/>
              <w:rPr>
                <w:rFonts w:ascii="Times New Roman" w:hAnsi="Times New Roman"/>
                <w:color w:val="000000"/>
                <w:sz w:val="21"/>
                <w:szCs w:val="21"/>
              </w:rPr>
            </w:pPr>
          </w:p>
        </w:tc>
        <w:tc>
          <w:tcPr>
            <w:tcW w:w="738" w:type="dxa"/>
            <w:gridSpan w:val="3"/>
            <w:shd w:val="clear" w:color="auto" w:fill="FFFFFF"/>
          </w:tcPr>
          <w:p w14:paraId="01EF932A" w14:textId="4C2AF90D" w:rsidR="006B65DD" w:rsidRDefault="006B65DD" w:rsidP="00996625">
            <w:pPr>
              <w:spacing w:line="240" w:lineRule="auto"/>
              <w:rPr>
                <w:rFonts w:ascii="Times New Roman" w:hAnsi="Times New Roman"/>
                <w:color w:val="000000"/>
                <w:sz w:val="21"/>
                <w:szCs w:val="21"/>
              </w:rPr>
            </w:pPr>
          </w:p>
        </w:tc>
        <w:tc>
          <w:tcPr>
            <w:tcW w:w="853" w:type="dxa"/>
            <w:gridSpan w:val="2"/>
            <w:shd w:val="clear" w:color="auto" w:fill="FFFFFF"/>
          </w:tcPr>
          <w:p w14:paraId="5EED5A45" w14:textId="77777777" w:rsidR="006B65DD" w:rsidRDefault="006B65DD" w:rsidP="00996625">
            <w:pPr>
              <w:spacing w:line="240" w:lineRule="auto"/>
              <w:rPr>
                <w:rFonts w:ascii="Times New Roman" w:hAnsi="Times New Roman"/>
                <w:color w:val="000000"/>
                <w:sz w:val="21"/>
                <w:szCs w:val="21"/>
              </w:rPr>
            </w:pPr>
          </w:p>
        </w:tc>
      </w:tr>
      <w:tr w:rsidR="006B65DD" w:rsidRPr="008B4FE6" w14:paraId="5277505D" w14:textId="77777777" w:rsidTr="0011555C">
        <w:trPr>
          <w:trHeight w:val="357"/>
        </w:trPr>
        <w:tc>
          <w:tcPr>
            <w:tcW w:w="3131" w:type="dxa"/>
            <w:gridSpan w:val="4"/>
            <w:shd w:val="clear" w:color="auto" w:fill="FFFFFF"/>
            <w:vAlign w:val="center"/>
          </w:tcPr>
          <w:p w14:paraId="4D840737" w14:textId="77777777" w:rsidR="006B65DD" w:rsidRPr="00C53F26" w:rsidRDefault="006B65DD"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301" w:type="dxa"/>
            <w:shd w:val="clear" w:color="auto" w:fill="FFFFFF"/>
          </w:tcPr>
          <w:p w14:paraId="5D15A18B" w14:textId="77777777" w:rsidR="006B65DD" w:rsidRPr="00B37C80" w:rsidRDefault="006B65DD" w:rsidP="00996625">
            <w:pPr>
              <w:spacing w:line="240" w:lineRule="auto"/>
              <w:rPr>
                <w:rFonts w:ascii="Times New Roman" w:hAnsi="Times New Roman"/>
                <w:color w:val="000000"/>
                <w:sz w:val="21"/>
                <w:szCs w:val="21"/>
              </w:rPr>
            </w:pPr>
          </w:p>
        </w:tc>
        <w:tc>
          <w:tcPr>
            <w:tcW w:w="680" w:type="dxa"/>
            <w:gridSpan w:val="2"/>
            <w:shd w:val="clear" w:color="auto" w:fill="FFFFFF"/>
          </w:tcPr>
          <w:p w14:paraId="21E34629" w14:textId="77777777" w:rsidR="006B65DD" w:rsidRDefault="006B65DD" w:rsidP="00996625">
            <w:pPr>
              <w:spacing w:line="240" w:lineRule="auto"/>
              <w:rPr>
                <w:rFonts w:ascii="Times New Roman" w:hAnsi="Times New Roman"/>
                <w:color w:val="000000"/>
                <w:sz w:val="21"/>
                <w:szCs w:val="21"/>
              </w:rPr>
            </w:pPr>
          </w:p>
        </w:tc>
        <w:tc>
          <w:tcPr>
            <w:tcW w:w="567" w:type="dxa"/>
            <w:gridSpan w:val="2"/>
            <w:shd w:val="clear" w:color="auto" w:fill="FFFFFF"/>
          </w:tcPr>
          <w:p w14:paraId="2707659E" w14:textId="77777777" w:rsidR="006B65DD" w:rsidRDefault="006B65DD" w:rsidP="00996625">
            <w:pPr>
              <w:spacing w:line="240" w:lineRule="auto"/>
              <w:rPr>
                <w:rFonts w:ascii="Times New Roman" w:hAnsi="Times New Roman"/>
                <w:color w:val="000000"/>
                <w:sz w:val="21"/>
                <w:szCs w:val="21"/>
              </w:rPr>
            </w:pPr>
          </w:p>
        </w:tc>
        <w:tc>
          <w:tcPr>
            <w:tcW w:w="567" w:type="dxa"/>
            <w:gridSpan w:val="4"/>
            <w:shd w:val="clear" w:color="auto" w:fill="FFFFFF"/>
          </w:tcPr>
          <w:p w14:paraId="61D22641" w14:textId="77777777" w:rsidR="006B65DD" w:rsidRDefault="006B65DD" w:rsidP="00996625">
            <w:pPr>
              <w:spacing w:line="240" w:lineRule="auto"/>
              <w:rPr>
                <w:rFonts w:ascii="Times New Roman" w:hAnsi="Times New Roman"/>
                <w:color w:val="000000"/>
                <w:sz w:val="21"/>
                <w:szCs w:val="21"/>
              </w:rPr>
            </w:pPr>
          </w:p>
        </w:tc>
        <w:tc>
          <w:tcPr>
            <w:tcW w:w="735" w:type="dxa"/>
            <w:gridSpan w:val="3"/>
            <w:shd w:val="clear" w:color="auto" w:fill="FFFFFF"/>
          </w:tcPr>
          <w:p w14:paraId="56126CDF" w14:textId="77777777" w:rsidR="006B65DD" w:rsidRDefault="006B65DD" w:rsidP="00996625">
            <w:pPr>
              <w:spacing w:line="240" w:lineRule="auto"/>
              <w:rPr>
                <w:rFonts w:ascii="Times New Roman" w:hAnsi="Times New Roman"/>
                <w:color w:val="000000"/>
                <w:sz w:val="21"/>
                <w:szCs w:val="21"/>
              </w:rPr>
            </w:pPr>
          </w:p>
        </w:tc>
        <w:tc>
          <w:tcPr>
            <w:tcW w:w="570" w:type="dxa"/>
            <w:gridSpan w:val="2"/>
            <w:shd w:val="clear" w:color="auto" w:fill="FFFFFF"/>
          </w:tcPr>
          <w:p w14:paraId="1BE77803" w14:textId="77777777" w:rsidR="006B65DD"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19F3CC21" w14:textId="77777777" w:rsidR="006B65DD" w:rsidRDefault="006B65DD" w:rsidP="00996625">
            <w:pPr>
              <w:spacing w:line="240" w:lineRule="auto"/>
              <w:rPr>
                <w:rFonts w:ascii="Times New Roman" w:hAnsi="Times New Roman"/>
                <w:color w:val="000000"/>
                <w:sz w:val="21"/>
                <w:szCs w:val="21"/>
              </w:rPr>
            </w:pPr>
          </w:p>
        </w:tc>
        <w:tc>
          <w:tcPr>
            <w:tcW w:w="569" w:type="dxa"/>
            <w:gridSpan w:val="4"/>
            <w:shd w:val="clear" w:color="auto" w:fill="FFFFFF"/>
          </w:tcPr>
          <w:p w14:paraId="38EADAF1" w14:textId="77777777" w:rsidR="006B65DD" w:rsidRDefault="006B65DD" w:rsidP="00996625">
            <w:pPr>
              <w:spacing w:line="240" w:lineRule="auto"/>
              <w:rPr>
                <w:rFonts w:ascii="Times New Roman" w:hAnsi="Times New Roman"/>
                <w:color w:val="000000"/>
                <w:sz w:val="21"/>
                <w:szCs w:val="21"/>
              </w:rPr>
            </w:pPr>
          </w:p>
        </w:tc>
        <w:tc>
          <w:tcPr>
            <w:tcW w:w="570" w:type="dxa"/>
            <w:gridSpan w:val="3"/>
            <w:shd w:val="clear" w:color="auto" w:fill="FFFFFF"/>
          </w:tcPr>
          <w:p w14:paraId="24DE17EF" w14:textId="77777777" w:rsidR="006B65DD" w:rsidRDefault="006B65DD" w:rsidP="00996625">
            <w:pPr>
              <w:spacing w:line="240" w:lineRule="auto"/>
              <w:rPr>
                <w:rFonts w:ascii="Times New Roman" w:hAnsi="Times New Roman"/>
                <w:color w:val="000000"/>
                <w:sz w:val="21"/>
                <w:szCs w:val="21"/>
              </w:rPr>
            </w:pPr>
          </w:p>
        </w:tc>
        <w:tc>
          <w:tcPr>
            <w:tcW w:w="558" w:type="dxa"/>
            <w:gridSpan w:val="2"/>
            <w:shd w:val="clear" w:color="auto" w:fill="FFFFFF"/>
          </w:tcPr>
          <w:p w14:paraId="7748F121" w14:textId="77777777" w:rsidR="006B65DD" w:rsidRDefault="006B65DD" w:rsidP="00996625">
            <w:pPr>
              <w:spacing w:line="240" w:lineRule="auto"/>
              <w:rPr>
                <w:rFonts w:ascii="Times New Roman" w:hAnsi="Times New Roman"/>
                <w:color w:val="000000"/>
                <w:sz w:val="21"/>
                <w:szCs w:val="21"/>
              </w:rPr>
            </w:pPr>
          </w:p>
        </w:tc>
        <w:tc>
          <w:tcPr>
            <w:tcW w:w="538" w:type="dxa"/>
            <w:gridSpan w:val="2"/>
            <w:shd w:val="clear" w:color="auto" w:fill="FFFFFF"/>
          </w:tcPr>
          <w:p w14:paraId="20ACD576" w14:textId="77777777" w:rsidR="006B65DD" w:rsidRDefault="006B65DD" w:rsidP="00996625">
            <w:pPr>
              <w:spacing w:line="240" w:lineRule="auto"/>
              <w:rPr>
                <w:rFonts w:ascii="Times New Roman" w:hAnsi="Times New Roman"/>
                <w:color w:val="000000"/>
                <w:sz w:val="21"/>
                <w:szCs w:val="21"/>
              </w:rPr>
            </w:pPr>
          </w:p>
        </w:tc>
        <w:tc>
          <w:tcPr>
            <w:tcW w:w="738" w:type="dxa"/>
            <w:gridSpan w:val="3"/>
            <w:shd w:val="clear" w:color="auto" w:fill="FFFFFF"/>
          </w:tcPr>
          <w:p w14:paraId="44577FDD" w14:textId="7455F535" w:rsidR="006B65DD" w:rsidRDefault="006B65DD" w:rsidP="00996625">
            <w:pPr>
              <w:spacing w:line="240" w:lineRule="auto"/>
              <w:rPr>
                <w:rFonts w:ascii="Times New Roman" w:hAnsi="Times New Roman"/>
                <w:color w:val="000000"/>
                <w:sz w:val="21"/>
                <w:szCs w:val="21"/>
              </w:rPr>
            </w:pPr>
          </w:p>
        </w:tc>
        <w:tc>
          <w:tcPr>
            <w:tcW w:w="853" w:type="dxa"/>
            <w:gridSpan w:val="2"/>
            <w:shd w:val="clear" w:color="auto" w:fill="FFFFFF"/>
          </w:tcPr>
          <w:p w14:paraId="6BD12B4E" w14:textId="77777777" w:rsidR="006B65DD" w:rsidRDefault="006B65DD" w:rsidP="00996625">
            <w:pPr>
              <w:spacing w:line="240" w:lineRule="auto"/>
              <w:rPr>
                <w:rFonts w:ascii="Times New Roman" w:hAnsi="Times New Roman"/>
                <w:color w:val="000000"/>
                <w:sz w:val="21"/>
                <w:szCs w:val="21"/>
              </w:rPr>
            </w:pPr>
          </w:p>
        </w:tc>
      </w:tr>
      <w:tr w:rsidR="0019538B" w:rsidRPr="008B4FE6" w14:paraId="17AF5E58" w14:textId="77777777" w:rsidTr="00996625">
        <w:trPr>
          <w:gridAfter w:val="1"/>
          <w:wAfter w:w="10" w:type="dxa"/>
          <w:trHeight w:val="348"/>
        </w:trPr>
        <w:tc>
          <w:tcPr>
            <w:tcW w:w="2241" w:type="dxa"/>
            <w:gridSpan w:val="2"/>
            <w:shd w:val="clear" w:color="auto" w:fill="FFFFFF"/>
            <w:vAlign w:val="center"/>
          </w:tcPr>
          <w:p w14:paraId="4652D188" w14:textId="77777777" w:rsidR="0019538B" w:rsidRPr="00C53F26" w:rsidRDefault="0019538B" w:rsidP="00996625">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6" w:type="dxa"/>
            <w:gridSpan w:val="34"/>
            <w:shd w:val="clear" w:color="auto" w:fill="FFFFFF"/>
            <w:vAlign w:val="center"/>
          </w:tcPr>
          <w:p w14:paraId="32EF2FC2" w14:textId="77777777" w:rsidR="003851F8" w:rsidRPr="003851F8" w:rsidRDefault="003851F8" w:rsidP="003851F8">
            <w:pPr>
              <w:spacing w:line="240" w:lineRule="auto"/>
              <w:jc w:val="both"/>
              <w:rPr>
                <w:rFonts w:ascii="Times New Roman" w:hAnsi="Times New Roman"/>
                <w:color w:val="000000"/>
                <w:sz w:val="21"/>
                <w:szCs w:val="21"/>
              </w:rPr>
            </w:pPr>
            <w:r w:rsidRPr="003851F8">
              <w:rPr>
                <w:rFonts w:ascii="Times New Roman" w:hAnsi="Times New Roman"/>
                <w:color w:val="000000"/>
                <w:sz w:val="21"/>
                <w:szCs w:val="21"/>
              </w:rPr>
              <w:t>Z uwagi na brak w części 46 - Zdrowie środków finansowych na wprowadzenie uregulowań wynikających z projektu ustawy, niezbędne jest zwiększenie ze środków budżetu państwa wydatków</w:t>
            </w:r>
          </w:p>
          <w:p w14:paraId="723D2EC3" w14:textId="46F05088" w:rsidR="0019538B" w:rsidRPr="00B37C80" w:rsidRDefault="003851F8" w:rsidP="003851F8">
            <w:pPr>
              <w:spacing w:line="240" w:lineRule="auto"/>
              <w:jc w:val="both"/>
              <w:rPr>
                <w:rFonts w:ascii="Times New Roman" w:hAnsi="Times New Roman"/>
                <w:color w:val="000000"/>
                <w:sz w:val="21"/>
                <w:szCs w:val="21"/>
              </w:rPr>
            </w:pPr>
            <w:r w:rsidRPr="003851F8">
              <w:rPr>
                <w:rFonts w:ascii="Times New Roman" w:hAnsi="Times New Roman"/>
                <w:color w:val="000000"/>
                <w:sz w:val="21"/>
                <w:szCs w:val="21"/>
              </w:rPr>
              <w:t xml:space="preserve">części, której dysponentem jest Minister Zdrowia zgodnie z </w:t>
            </w:r>
            <w:r>
              <w:rPr>
                <w:rFonts w:ascii="Times New Roman" w:hAnsi="Times New Roman"/>
                <w:color w:val="000000"/>
                <w:sz w:val="21"/>
                <w:szCs w:val="21"/>
              </w:rPr>
              <w:t>niniejszymi kalkulacjami</w:t>
            </w:r>
            <w:r w:rsidR="005D6832">
              <w:rPr>
                <w:rFonts w:ascii="Times New Roman" w:hAnsi="Times New Roman"/>
                <w:color w:val="000000"/>
                <w:sz w:val="21"/>
                <w:szCs w:val="21"/>
              </w:rPr>
              <w:t>.</w:t>
            </w:r>
          </w:p>
          <w:p w14:paraId="3037DF4F" w14:textId="77777777" w:rsidR="0019538B" w:rsidRDefault="0019538B" w:rsidP="00996625">
            <w:pPr>
              <w:spacing w:line="240" w:lineRule="auto"/>
              <w:jc w:val="both"/>
              <w:rPr>
                <w:rFonts w:ascii="Times New Roman" w:hAnsi="Times New Roman"/>
                <w:color w:val="000000"/>
                <w:sz w:val="21"/>
                <w:szCs w:val="21"/>
              </w:rPr>
            </w:pPr>
          </w:p>
          <w:p w14:paraId="6A7EA5E6" w14:textId="77777777" w:rsidR="0019538B" w:rsidRDefault="0019538B" w:rsidP="00996625">
            <w:pPr>
              <w:spacing w:line="240" w:lineRule="auto"/>
              <w:jc w:val="both"/>
              <w:rPr>
                <w:rFonts w:ascii="Times New Roman" w:hAnsi="Times New Roman"/>
                <w:color w:val="000000"/>
                <w:sz w:val="21"/>
                <w:szCs w:val="21"/>
              </w:rPr>
            </w:pPr>
          </w:p>
        </w:tc>
      </w:tr>
      <w:tr w:rsidR="0019538B" w:rsidRPr="008B4FE6" w14:paraId="73ACADE6" w14:textId="77777777" w:rsidTr="00996625">
        <w:trPr>
          <w:gridAfter w:val="1"/>
          <w:wAfter w:w="10" w:type="dxa"/>
          <w:trHeight w:val="1926"/>
        </w:trPr>
        <w:tc>
          <w:tcPr>
            <w:tcW w:w="2241" w:type="dxa"/>
            <w:gridSpan w:val="2"/>
            <w:shd w:val="clear" w:color="auto" w:fill="FFFFFF"/>
          </w:tcPr>
          <w:p w14:paraId="3DC31E20" w14:textId="77777777" w:rsidR="0019538B" w:rsidRPr="00C53F26" w:rsidRDefault="0019538B"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6" w:type="dxa"/>
            <w:gridSpan w:val="34"/>
            <w:shd w:val="clear" w:color="auto" w:fill="FFFFFF"/>
          </w:tcPr>
          <w:p w14:paraId="01678865" w14:textId="15821AED" w:rsidR="0019538B" w:rsidRPr="00AC1BF3" w:rsidRDefault="0019538B" w:rsidP="00996625">
            <w:pPr>
              <w:pStyle w:val="NIEARTTEKSTtekstnieartykuowanynppodstprawnarozplubpreambua"/>
              <w:spacing w:before="0" w:line="240" w:lineRule="auto"/>
              <w:ind w:firstLine="0"/>
              <w:rPr>
                <w:rFonts w:ascii="Times New Roman" w:hAnsi="Times New Roman" w:cs="Times New Roman"/>
                <w:sz w:val="22"/>
                <w:szCs w:val="22"/>
              </w:rPr>
            </w:pPr>
            <w:r w:rsidRPr="000735FA">
              <w:rPr>
                <w:rFonts w:ascii="Times New Roman" w:hAnsi="Times New Roman" w:cs="Times New Roman"/>
                <w:sz w:val="22"/>
                <w:szCs w:val="22"/>
              </w:rPr>
              <w:t xml:space="preserve">Zgodnie z art. 81 rozporządzenia 528/2012 państwa członkowskie zapewniają właściwym organom wystarczającą liczbę personelu o odpowiednich kwalifikacjach i doświadczeniu, aby mogły one sprawnie i skutecznie wykonywać obowiązki określone w niniejszym rozporządzeniu. </w:t>
            </w:r>
            <w:r>
              <w:rPr>
                <w:rFonts w:ascii="Times New Roman" w:hAnsi="Times New Roman" w:cs="Times New Roman"/>
                <w:sz w:val="22"/>
                <w:szCs w:val="22"/>
              </w:rPr>
              <w:t>L</w:t>
            </w:r>
            <w:r w:rsidRPr="000735FA">
              <w:rPr>
                <w:rFonts w:ascii="Times New Roman" w:hAnsi="Times New Roman" w:cs="Times New Roman"/>
                <w:sz w:val="22"/>
                <w:szCs w:val="22"/>
              </w:rPr>
              <w:t xml:space="preserve">iczba pracowników </w:t>
            </w:r>
            <w:r>
              <w:rPr>
                <w:rFonts w:ascii="Times New Roman" w:hAnsi="Times New Roman" w:cs="Times New Roman"/>
                <w:sz w:val="22"/>
                <w:szCs w:val="22"/>
              </w:rPr>
              <w:t>w Pionie Produktów Biobójczych Urzędu Rejestracji Produktów Leczniczych, Wyrobów Medycznych i Produktów Biobójczych</w:t>
            </w:r>
            <w:r w:rsidR="00256E57">
              <w:rPr>
                <w:rFonts w:ascii="Times New Roman" w:hAnsi="Times New Roman" w:cs="Times New Roman"/>
                <w:sz w:val="22"/>
                <w:szCs w:val="22"/>
              </w:rPr>
              <w:t>, zwanego dalej „Urzędem”,</w:t>
            </w:r>
            <w:r>
              <w:rPr>
                <w:rFonts w:ascii="Times New Roman" w:hAnsi="Times New Roman" w:cs="Times New Roman"/>
                <w:sz w:val="22"/>
                <w:szCs w:val="22"/>
              </w:rPr>
              <w:t xml:space="preserve"> wymaga zwiększenia w celu usprawnienia</w:t>
            </w:r>
            <w:r w:rsidRPr="000735FA">
              <w:rPr>
                <w:rFonts w:ascii="Times New Roman" w:hAnsi="Times New Roman" w:cs="Times New Roman"/>
                <w:sz w:val="22"/>
                <w:szCs w:val="22"/>
              </w:rPr>
              <w:t xml:space="preserve"> realizacji przepisów niniejszego artykułu, </w:t>
            </w:r>
            <w:r>
              <w:rPr>
                <w:rFonts w:ascii="Times New Roman" w:hAnsi="Times New Roman" w:cs="Times New Roman"/>
                <w:sz w:val="22"/>
                <w:szCs w:val="22"/>
              </w:rPr>
              <w:t xml:space="preserve">m. in. w celu </w:t>
            </w:r>
            <w:r w:rsidRPr="000735FA">
              <w:rPr>
                <w:rFonts w:ascii="Times New Roman" w:hAnsi="Times New Roman" w:cs="Times New Roman"/>
                <w:sz w:val="22"/>
                <w:szCs w:val="22"/>
              </w:rPr>
              <w:t>zapewnienia terminowego wywiązywania się z obowiązków nałożo</w:t>
            </w:r>
            <w:r>
              <w:rPr>
                <w:rFonts w:ascii="Times New Roman" w:hAnsi="Times New Roman" w:cs="Times New Roman"/>
                <w:sz w:val="22"/>
                <w:szCs w:val="22"/>
              </w:rPr>
              <w:t xml:space="preserve">nych przez ww. rozporządzenie, a tym samym zapewniania </w:t>
            </w:r>
            <w:r w:rsidRPr="00AC1BF3">
              <w:rPr>
                <w:rFonts w:ascii="Times New Roman" w:hAnsi="Times New Roman" w:cs="Times New Roman"/>
                <w:sz w:val="22"/>
                <w:szCs w:val="22"/>
              </w:rPr>
              <w:t xml:space="preserve">bezpieczeństwa i skuteczności  produktów biobójczych na rynku polskim. </w:t>
            </w:r>
          </w:p>
          <w:p w14:paraId="67CB4968" w14:textId="77777777" w:rsidR="00951A5C" w:rsidRDefault="0019538B" w:rsidP="00996625">
            <w:pPr>
              <w:pStyle w:val="ARTartustawynprozporzdzenia"/>
              <w:spacing w:line="240" w:lineRule="auto"/>
              <w:rPr>
                <w:rFonts w:ascii="Times New Roman" w:hAnsi="Times New Roman" w:cs="Times New Roman"/>
                <w:sz w:val="22"/>
                <w:szCs w:val="22"/>
              </w:rPr>
            </w:pPr>
            <w:r>
              <w:rPr>
                <w:rFonts w:ascii="Times New Roman" w:hAnsi="Times New Roman" w:cs="Times New Roman"/>
                <w:sz w:val="22"/>
                <w:szCs w:val="22"/>
              </w:rPr>
              <w:t>Ponadto, zgodnie z zapisami Strategii na rzecz Odpowiedzialnego rozwoju do roku 2020 (z perspektywą do 2030</w:t>
            </w:r>
            <w:r w:rsidR="004E6F9E">
              <w:rPr>
                <w:rFonts w:ascii="Times New Roman" w:hAnsi="Times New Roman" w:cs="Times New Roman"/>
                <w:sz w:val="22"/>
                <w:szCs w:val="22"/>
              </w:rPr>
              <w:t xml:space="preserve"> </w:t>
            </w:r>
            <w:r>
              <w:rPr>
                <w:rFonts w:ascii="Times New Roman" w:hAnsi="Times New Roman" w:cs="Times New Roman"/>
                <w:sz w:val="22"/>
                <w:szCs w:val="22"/>
              </w:rPr>
              <w:t xml:space="preserve">r.) jednym z aspektów systemu zarządzania jakością w przemyśle jest podniesienie wiedzy i kwalifikacji inspektorów (np. w zakresie zmieniającego się otoczenia legislacyjnego); zintensyfikowanie współpracy z innymi instytucjami nadzoru rynku na forum europejskim np. poprzez wymianę informacji o przypadkach nieuczciwych praktyk (m. in. Urząd Ochrony Konkurencji i Konsumentów, Inspekcja Handlowa, Państwowa Inspekcja Pracy, Inspekcja Ochrony Środowiska, Główny Inspektorat Sanitarny) w celu zwiększenia skuteczności przeciwdziałania występowaniu zniekształceń rynku towarów i usług oraz zapewnienia bezpieczeństwa konsumentom. Realizacja powyższych celów strategicznych jest możliwa m. in. dzięki ścisłej współpracy organów nadzoru z Pionem Produktów Biobójczych Urzędu. Organy nadzoru nad produktami biobójczymi oraz przedstawiciele firm regularnie zwracają się z licznymi zapytaniami i prośbami o opinię do Pionu Produktów Biobójczych. </w:t>
            </w:r>
          </w:p>
          <w:p w14:paraId="06923BF3" w14:textId="77777777" w:rsidR="00951A5C" w:rsidRPr="00951A5C" w:rsidRDefault="00951A5C" w:rsidP="00951A5C">
            <w:pPr>
              <w:pStyle w:val="ARTartustawynprozporzdzenia"/>
              <w:spacing w:line="240" w:lineRule="auto"/>
              <w:rPr>
                <w:rFonts w:ascii="Times New Roman" w:hAnsi="Times New Roman" w:cs="Times New Roman"/>
                <w:sz w:val="22"/>
                <w:szCs w:val="22"/>
              </w:rPr>
            </w:pPr>
            <w:r w:rsidRPr="00951A5C">
              <w:rPr>
                <w:rFonts w:ascii="Times New Roman" w:hAnsi="Times New Roman" w:cs="Times New Roman"/>
                <w:sz w:val="22"/>
                <w:szCs w:val="22"/>
              </w:rPr>
              <w:t xml:space="preserve">Należy podkreślić, iż pracownicy pionu produktów biobójczych aktywnie uczestniczą w pracach międzynarodowych struktur: Komisji Europejskiej oraz Europejskiej Agencji Chemikaliów a zdobytą wiedzę i doświadczenie wykorzystują również przy udzielaniu </w:t>
            </w:r>
            <w:r w:rsidRPr="00951A5C">
              <w:rPr>
                <w:rFonts w:ascii="Times New Roman" w:hAnsi="Times New Roman" w:cs="Times New Roman"/>
                <w:sz w:val="22"/>
                <w:szCs w:val="22"/>
              </w:rPr>
              <w:lastRenderedPageBreak/>
              <w:t>odpowiedzi na pisma kierowane z organów nadzoru z prośbą o opinię w zakresie produktów biobójczych.</w:t>
            </w:r>
          </w:p>
          <w:p w14:paraId="38FB37D9" w14:textId="33128543" w:rsidR="00951A5C" w:rsidRDefault="00951A5C" w:rsidP="00951A5C">
            <w:pPr>
              <w:pStyle w:val="ARTartustawynprozporzdzenia"/>
              <w:spacing w:line="240" w:lineRule="auto"/>
              <w:rPr>
                <w:rFonts w:ascii="Times New Roman" w:hAnsi="Times New Roman" w:cs="Times New Roman"/>
                <w:sz w:val="22"/>
                <w:szCs w:val="22"/>
              </w:rPr>
            </w:pPr>
            <w:r w:rsidRPr="00951A5C">
              <w:rPr>
                <w:rFonts w:ascii="Times New Roman" w:hAnsi="Times New Roman" w:cs="Times New Roman"/>
                <w:sz w:val="22"/>
                <w:szCs w:val="22"/>
              </w:rPr>
              <w:t>Istotne jest bieżące wsparcie informacyjne dla organów nadzoru udzielane przez pion produktów biobójczych również  za pośrednictwem środków komunikacji elektronicznej czy w ramach konsultacji telefonicznych.  np. w celu przedyskutowania pilnych spraw czy weryfikacji statusu produktów będących przedmiotem zapytań, w tym ich obecności w Wykazie Produktów Biobójczych. Należy podkreślić, iż w trakcie pandemii COVID-19 liczba zapytań pisemnych i telefonicznych kierowanych z organów nadzoru uległa zintensyfikowaniu.</w:t>
            </w:r>
          </w:p>
          <w:p w14:paraId="7BE84B34" w14:textId="7CCBFECF" w:rsidR="0019538B" w:rsidRDefault="0019538B" w:rsidP="00996625">
            <w:pPr>
              <w:pStyle w:val="ARTartustawynprozporzdzenia"/>
              <w:spacing w:line="240" w:lineRule="auto"/>
              <w:rPr>
                <w:rFonts w:ascii="Times New Roman" w:hAnsi="Times New Roman" w:cs="Times New Roman"/>
                <w:sz w:val="22"/>
                <w:szCs w:val="22"/>
              </w:rPr>
            </w:pPr>
            <w:r>
              <w:rPr>
                <w:rFonts w:ascii="Times New Roman" w:hAnsi="Times New Roman" w:cs="Times New Roman"/>
                <w:sz w:val="22"/>
                <w:szCs w:val="22"/>
              </w:rPr>
              <w:t xml:space="preserve">W związku z nowelizacją ustawy liczba zapytań jw. </w:t>
            </w:r>
            <w:r w:rsidRPr="00FA1965">
              <w:rPr>
                <w:rFonts w:ascii="Times New Roman" w:hAnsi="Times New Roman" w:cs="Times New Roman"/>
                <w:sz w:val="22"/>
                <w:szCs w:val="22"/>
              </w:rPr>
              <w:t xml:space="preserve">ulegnie zwiększeniu. </w:t>
            </w:r>
            <w:r w:rsidRPr="00FA1965">
              <w:rPr>
                <w:rFonts w:ascii="Times New Roman" w:hAnsi="Times New Roman" w:cs="Times New Roman"/>
                <w:bCs/>
                <w:sz w:val="22"/>
                <w:szCs w:val="22"/>
              </w:rPr>
              <w:t>Należy podkreślić, iż poza ww. działaniami, Pion Produktów Biobójczych rozpatruje wnioski o w</w:t>
            </w:r>
            <w:r w:rsidRPr="00FA1965">
              <w:rPr>
                <w:rFonts w:ascii="Times New Roman" w:eastAsia="UniversPro-Roman" w:hAnsi="Times New Roman" w:cs="Times New Roman"/>
                <w:sz w:val="22"/>
                <w:szCs w:val="22"/>
              </w:rPr>
              <w:t xml:space="preserve">ydanie pozwoleń na obrót produktami biobójczymi, wnioski o dokonanie zmian w pozwoleniach na obrót, wnioski w zakresie wydawania pozwoleń na udostępnianie na rynku i stosowanie produktów biobójczych oraz </w:t>
            </w:r>
            <w:r w:rsidRPr="00FA1965">
              <w:rPr>
                <w:rFonts w:ascii="Times New Roman" w:hAnsi="Times New Roman" w:cs="Times New Roman"/>
                <w:sz w:val="22"/>
                <w:szCs w:val="22"/>
              </w:rPr>
              <w:t xml:space="preserve">prowadzi działania w związku z programem przeglądu istniejących substancji czynnych zawartych w produktach biobójczych. </w:t>
            </w:r>
          </w:p>
          <w:p w14:paraId="6AF47235" w14:textId="2E5538C6" w:rsidR="00887A1D" w:rsidRPr="00887A1D" w:rsidRDefault="00887A1D" w:rsidP="00996625">
            <w:pPr>
              <w:pStyle w:val="ARTartustawynprozporzdzenia"/>
              <w:spacing w:line="240" w:lineRule="auto"/>
              <w:rPr>
                <w:rFonts w:ascii="Times New Roman" w:hAnsi="Times New Roman" w:cs="Times New Roman"/>
                <w:sz w:val="22"/>
                <w:szCs w:val="22"/>
              </w:rPr>
            </w:pPr>
            <w:r w:rsidRPr="00887A1D">
              <w:rPr>
                <w:rFonts w:ascii="Times New Roman" w:hAnsi="Times New Roman" w:cs="Times New Roman"/>
                <w:sz w:val="22"/>
                <w:szCs w:val="22"/>
              </w:rPr>
              <w:t xml:space="preserve">Należy również podkreślić prowadzone obecnie prace nad strategią </w:t>
            </w:r>
            <w:r w:rsidRPr="0011555C">
              <w:rPr>
                <w:rFonts w:ascii="Times New Roman" w:hAnsi="Times New Roman" w:cs="Times New Roman"/>
                <w:sz w:val="22"/>
                <w:szCs w:val="22"/>
              </w:rPr>
              <w:t>projekt „Sprawne i Nowoczesne Państwo 2030”. W ramach kompetencji Urzędu wniesiono uwagi i propozycje zapisu do niniejszego projektu i są one obecnie przedmiotem dyskusji i ustaleń. Fakt zainicjowania nadmienienia chemikaliów,</w:t>
            </w:r>
            <w:r w:rsidR="00505860">
              <w:rPr>
                <w:rFonts w:ascii="Times New Roman" w:hAnsi="Times New Roman" w:cs="Times New Roman"/>
                <w:sz w:val="22"/>
                <w:szCs w:val="22"/>
              </w:rPr>
              <w:t xml:space="preserve"> </w:t>
            </w:r>
            <w:r w:rsidRPr="0011555C">
              <w:rPr>
                <w:rFonts w:ascii="Times New Roman" w:hAnsi="Times New Roman" w:cs="Times New Roman"/>
                <w:sz w:val="22"/>
                <w:szCs w:val="22"/>
              </w:rPr>
              <w:t>w tym produktó</w:t>
            </w:r>
            <w:r w:rsidR="007E7484" w:rsidRPr="007E7484">
              <w:rPr>
                <w:rFonts w:ascii="Times New Roman" w:hAnsi="Times New Roman" w:cs="Times New Roman"/>
                <w:sz w:val="22"/>
                <w:szCs w:val="22"/>
              </w:rPr>
              <w:t>w</w:t>
            </w:r>
            <w:r w:rsidRPr="0011555C">
              <w:rPr>
                <w:rFonts w:ascii="Times New Roman" w:hAnsi="Times New Roman" w:cs="Times New Roman"/>
                <w:sz w:val="22"/>
                <w:szCs w:val="22"/>
              </w:rPr>
              <w:t xml:space="preserve"> biobójczych w ww. dokumencie wynikał z</w:t>
            </w:r>
            <w:r w:rsidR="007E7484">
              <w:rPr>
                <w:rFonts w:ascii="Times New Roman" w:hAnsi="Times New Roman" w:cs="Times New Roman"/>
                <w:sz w:val="22"/>
                <w:szCs w:val="22"/>
              </w:rPr>
              <w:t xml:space="preserve"> </w:t>
            </w:r>
            <w:r w:rsidR="007E7484" w:rsidRPr="0011555C">
              <w:rPr>
                <w:rFonts w:ascii="Times New Roman" w:hAnsi="Times New Roman" w:cs="Times New Roman"/>
                <w:sz w:val="22"/>
                <w:szCs w:val="22"/>
              </w:rPr>
              <w:t>opublikowanego</w:t>
            </w:r>
            <w:r w:rsidRPr="0011555C">
              <w:rPr>
                <w:rFonts w:ascii="Times New Roman" w:hAnsi="Times New Roman" w:cs="Times New Roman"/>
                <w:sz w:val="22"/>
                <w:szCs w:val="22"/>
              </w:rPr>
              <w:t xml:space="preserve"> dokument</w:t>
            </w:r>
            <w:r w:rsidR="007E7484">
              <w:rPr>
                <w:rFonts w:ascii="Times New Roman" w:hAnsi="Times New Roman" w:cs="Times New Roman"/>
                <w:sz w:val="22"/>
                <w:szCs w:val="22"/>
              </w:rPr>
              <w:t>u</w:t>
            </w:r>
            <w:r w:rsidRPr="0011555C">
              <w:rPr>
                <w:rFonts w:ascii="Times New Roman" w:hAnsi="Times New Roman" w:cs="Times New Roman"/>
                <w:sz w:val="22"/>
                <w:szCs w:val="22"/>
              </w:rPr>
              <w:t xml:space="preserve"> Komisji Europejskiej COM(2020) 667 </w:t>
            </w:r>
            <w:proofErr w:type="spellStart"/>
            <w:r w:rsidRPr="0011555C">
              <w:rPr>
                <w:rFonts w:ascii="Times New Roman" w:hAnsi="Times New Roman" w:cs="Times New Roman"/>
                <w:sz w:val="22"/>
                <w:szCs w:val="22"/>
              </w:rPr>
              <w:t>final</w:t>
            </w:r>
            <w:proofErr w:type="spellEnd"/>
            <w:r w:rsidRPr="0011555C">
              <w:rPr>
                <w:rFonts w:ascii="Times New Roman" w:hAnsi="Times New Roman" w:cs="Times New Roman"/>
                <w:sz w:val="22"/>
                <w:szCs w:val="22"/>
              </w:rPr>
              <w:t xml:space="preserve"> pt.: „</w:t>
            </w:r>
            <w:proofErr w:type="spellStart"/>
            <w:r w:rsidRPr="0011555C">
              <w:rPr>
                <w:rFonts w:ascii="Times New Roman" w:hAnsi="Times New Roman" w:cs="Times New Roman"/>
                <w:sz w:val="22"/>
                <w:szCs w:val="22"/>
              </w:rPr>
              <w:t>Communication</w:t>
            </w:r>
            <w:proofErr w:type="spellEnd"/>
            <w:r w:rsidRPr="0011555C">
              <w:rPr>
                <w:rFonts w:ascii="Times New Roman" w:hAnsi="Times New Roman" w:cs="Times New Roman"/>
                <w:sz w:val="22"/>
                <w:szCs w:val="22"/>
              </w:rPr>
              <w:t xml:space="preserve"> from the </w:t>
            </w:r>
            <w:proofErr w:type="spellStart"/>
            <w:r w:rsidRPr="0011555C">
              <w:rPr>
                <w:rFonts w:ascii="Times New Roman" w:hAnsi="Times New Roman" w:cs="Times New Roman"/>
                <w:sz w:val="22"/>
                <w:szCs w:val="22"/>
              </w:rPr>
              <w:t>Commission</w:t>
            </w:r>
            <w:proofErr w:type="spellEnd"/>
            <w:r w:rsidRPr="0011555C">
              <w:rPr>
                <w:rFonts w:ascii="Times New Roman" w:hAnsi="Times New Roman" w:cs="Times New Roman"/>
                <w:sz w:val="22"/>
                <w:szCs w:val="22"/>
              </w:rPr>
              <w:t xml:space="preserve"> to the </w:t>
            </w:r>
            <w:proofErr w:type="spellStart"/>
            <w:r w:rsidRPr="0011555C">
              <w:rPr>
                <w:rFonts w:ascii="Times New Roman" w:hAnsi="Times New Roman" w:cs="Times New Roman"/>
                <w:sz w:val="22"/>
                <w:szCs w:val="22"/>
              </w:rPr>
              <w:t>European</w:t>
            </w:r>
            <w:proofErr w:type="spellEnd"/>
            <w:r w:rsidRPr="0011555C">
              <w:rPr>
                <w:rFonts w:ascii="Times New Roman" w:hAnsi="Times New Roman" w:cs="Times New Roman"/>
                <w:sz w:val="22"/>
                <w:szCs w:val="22"/>
              </w:rPr>
              <w:t xml:space="preserve"> </w:t>
            </w:r>
            <w:proofErr w:type="spellStart"/>
            <w:r w:rsidRPr="0011555C">
              <w:rPr>
                <w:rFonts w:ascii="Times New Roman" w:hAnsi="Times New Roman" w:cs="Times New Roman"/>
                <w:sz w:val="22"/>
                <w:szCs w:val="22"/>
              </w:rPr>
              <w:t>Parliament</w:t>
            </w:r>
            <w:proofErr w:type="spellEnd"/>
            <w:r w:rsidRPr="0011555C">
              <w:rPr>
                <w:rFonts w:ascii="Times New Roman" w:hAnsi="Times New Roman" w:cs="Times New Roman"/>
                <w:sz w:val="22"/>
                <w:szCs w:val="22"/>
              </w:rPr>
              <w:t xml:space="preserve">, the </w:t>
            </w:r>
            <w:proofErr w:type="spellStart"/>
            <w:r w:rsidRPr="0011555C">
              <w:rPr>
                <w:rFonts w:ascii="Times New Roman" w:hAnsi="Times New Roman" w:cs="Times New Roman"/>
                <w:sz w:val="22"/>
                <w:szCs w:val="22"/>
              </w:rPr>
              <w:t>Council</w:t>
            </w:r>
            <w:proofErr w:type="spellEnd"/>
            <w:r w:rsidRPr="0011555C">
              <w:rPr>
                <w:rFonts w:ascii="Times New Roman" w:hAnsi="Times New Roman" w:cs="Times New Roman"/>
                <w:sz w:val="22"/>
                <w:szCs w:val="22"/>
              </w:rPr>
              <w:t xml:space="preserve">, the </w:t>
            </w:r>
            <w:proofErr w:type="spellStart"/>
            <w:r w:rsidRPr="0011555C">
              <w:rPr>
                <w:rFonts w:ascii="Times New Roman" w:hAnsi="Times New Roman" w:cs="Times New Roman"/>
                <w:sz w:val="22"/>
                <w:szCs w:val="22"/>
              </w:rPr>
              <w:t>European</w:t>
            </w:r>
            <w:proofErr w:type="spellEnd"/>
            <w:r w:rsidRPr="0011555C">
              <w:rPr>
                <w:rFonts w:ascii="Times New Roman" w:hAnsi="Times New Roman" w:cs="Times New Roman"/>
                <w:sz w:val="22"/>
                <w:szCs w:val="22"/>
              </w:rPr>
              <w:t xml:space="preserve"> </w:t>
            </w:r>
            <w:proofErr w:type="spellStart"/>
            <w:r w:rsidRPr="0011555C">
              <w:rPr>
                <w:rFonts w:ascii="Times New Roman" w:hAnsi="Times New Roman" w:cs="Times New Roman"/>
                <w:sz w:val="22"/>
                <w:szCs w:val="22"/>
              </w:rPr>
              <w:t>Economic</w:t>
            </w:r>
            <w:proofErr w:type="spellEnd"/>
            <w:r w:rsidRPr="0011555C">
              <w:rPr>
                <w:rFonts w:ascii="Times New Roman" w:hAnsi="Times New Roman" w:cs="Times New Roman"/>
                <w:sz w:val="22"/>
                <w:szCs w:val="22"/>
              </w:rPr>
              <w:t xml:space="preserve"> and </w:t>
            </w:r>
            <w:proofErr w:type="spellStart"/>
            <w:r w:rsidRPr="0011555C">
              <w:rPr>
                <w:rFonts w:ascii="Times New Roman" w:hAnsi="Times New Roman" w:cs="Times New Roman"/>
                <w:sz w:val="22"/>
                <w:szCs w:val="22"/>
              </w:rPr>
              <w:t>Social</w:t>
            </w:r>
            <w:proofErr w:type="spellEnd"/>
            <w:r w:rsidRPr="0011555C">
              <w:rPr>
                <w:rFonts w:ascii="Times New Roman" w:hAnsi="Times New Roman" w:cs="Times New Roman"/>
                <w:sz w:val="22"/>
                <w:szCs w:val="22"/>
              </w:rPr>
              <w:t xml:space="preserve"> </w:t>
            </w:r>
            <w:proofErr w:type="spellStart"/>
            <w:r w:rsidRPr="0011555C">
              <w:rPr>
                <w:rFonts w:ascii="Times New Roman" w:hAnsi="Times New Roman" w:cs="Times New Roman"/>
                <w:sz w:val="22"/>
                <w:szCs w:val="22"/>
              </w:rPr>
              <w:t>Committee</w:t>
            </w:r>
            <w:proofErr w:type="spellEnd"/>
            <w:r w:rsidRPr="0011555C">
              <w:rPr>
                <w:rFonts w:ascii="Times New Roman" w:hAnsi="Times New Roman" w:cs="Times New Roman"/>
                <w:sz w:val="22"/>
                <w:szCs w:val="22"/>
              </w:rPr>
              <w:t xml:space="preserve"> and the </w:t>
            </w:r>
            <w:proofErr w:type="spellStart"/>
            <w:r w:rsidRPr="0011555C">
              <w:rPr>
                <w:rFonts w:ascii="Times New Roman" w:hAnsi="Times New Roman" w:cs="Times New Roman"/>
                <w:sz w:val="22"/>
                <w:szCs w:val="22"/>
              </w:rPr>
              <w:t>Committee</w:t>
            </w:r>
            <w:proofErr w:type="spellEnd"/>
            <w:r w:rsidRPr="0011555C">
              <w:rPr>
                <w:rFonts w:ascii="Times New Roman" w:hAnsi="Times New Roman" w:cs="Times New Roman"/>
                <w:sz w:val="22"/>
                <w:szCs w:val="22"/>
              </w:rPr>
              <w:t xml:space="preserve"> </w:t>
            </w:r>
            <w:proofErr w:type="spellStart"/>
            <w:r w:rsidRPr="0011555C">
              <w:rPr>
                <w:rFonts w:ascii="Times New Roman" w:hAnsi="Times New Roman" w:cs="Times New Roman"/>
                <w:sz w:val="22"/>
                <w:szCs w:val="22"/>
              </w:rPr>
              <w:t>ofthe</w:t>
            </w:r>
            <w:proofErr w:type="spellEnd"/>
            <w:r w:rsidRPr="0011555C">
              <w:rPr>
                <w:rFonts w:ascii="Times New Roman" w:hAnsi="Times New Roman" w:cs="Times New Roman"/>
                <w:sz w:val="22"/>
                <w:szCs w:val="22"/>
              </w:rPr>
              <w:t xml:space="preserve"> Regions. Chemicals </w:t>
            </w:r>
            <w:proofErr w:type="spellStart"/>
            <w:r w:rsidRPr="0011555C">
              <w:rPr>
                <w:rFonts w:ascii="Times New Roman" w:hAnsi="Times New Roman" w:cs="Times New Roman"/>
                <w:sz w:val="22"/>
                <w:szCs w:val="22"/>
              </w:rPr>
              <w:t>Strategy</w:t>
            </w:r>
            <w:proofErr w:type="spellEnd"/>
            <w:r w:rsidRPr="0011555C">
              <w:rPr>
                <w:rFonts w:ascii="Times New Roman" w:hAnsi="Times New Roman" w:cs="Times New Roman"/>
                <w:sz w:val="22"/>
                <w:szCs w:val="22"/>
              </w:rPr>
              <w:t xml:space="preserve"> for </w:t>
            </w:r>
            <w:proofErr w:type="spellStart"/>
            <w:r w:rsidRPr="0011555C">
              <w:rPr>
                <w:rFonts w:ascii="Times New Roman" w:hAnsi="Times New Roman" w:cs="Times New Roman"/>
                <w:sz w:val="22"/>
                <w:szCs w:val="22"/>
              </w:rPr>
              <w:t>Sustainability</w:t>
            </w:r>
            <w:proofErr w:type="spellEnd"/>
            <w:r w:rsidRPr="0011555C">
              <w:rPr>
                <w:rFonts w:ascii="Times New Roman" w:hAnsi="Times New Roman" w:cs="Times New Roman"/>
                <w:sz w:val="22"/>
                <w:szCs w:val="22"/>
              </w:rPr>
              <w:t xml:space="preserve"> </w:t>
            </w:r>
            <w:proofErr w:type="spellStart"/>
            <w:r w:rsidRPr="0011555C">
              <w:rPr>
                <w:rFonts w:ascii="Times New Roman" w:hAnsi="Times New Roman" w:cs="Times New Roman"/>
                <w:sz w:val="22"/>
                <w:szCs w:val="22"/>
              </w:rPr>
              <w:t>Towards</w:t>
            </w:r>
            <w:proofErr w:type="spellEnd"/>
            <w:r w:rsidRPr="0011555C">
              <w:rPr>
                <w:rFonts w:ascii="Times New Roman" w:hAnsi="Times New Roman" w:cs="Times New Roman"/>
                <w:sz w:val="22"/>
                <w:szCs w:val="22"/>
              </w:rPr>
              <w:t xml:space="preserve"> a </w:t>
            </w:r>
            <w:proofErr w:type="spellStart"/>
            <w:r w:rsidRPr="0011555C">
              <w:rPr>
                <w:rFonts w:ascii="Times New Roman" w:hAnsi="Times New Roman" w:cs="Times New Roman"/>
                <w:sz w:val="22"/>
                <w:szCs w:val="22"/>
              </w:rPr>
              <w:t>Toxic-Free</w:t>
            </w:r>
            <w:proofErr w:type="spellEnd"/>
            <w:r w:rsidRPr="0011555C">
              <w:rPr>
                <w:rFonts w:ascii="Times New Roman" w:hAnsi="Times New Roman" w:cs="Times New Roman"/>
                <w:sz w:val="22"/>
                <w:szCs w:val="22"/>
              </w:rPr>
              <w:t xml:space="preserve"> Environment”. Niniejszy dokument jest skutkiem szerszej strategii Unii Europejskiej, pod nazwą </w:t>
            </w:r>
            <w:proofErr w:type="spellStart"/>
            <w:r w:rsidRPr="0011555C">
              <w:rPr>
                <w:rFonts w:ascii="Times New Roman" w:hAnsi="Times New Roman" w:cs="Times New Roman"/>
                <w:sz w:val="22"/>
                <w:szCs w:val="22"/>
              </w:rPr>
              <w:t>European</w:t>
            </w:r>
            <w:proofErr w:type="spellEnd"/>
            <w:r w:rsidRPr="0011555C">
              <w:rPr>
                <w:rFonts w:ascii="Times New Roman" w:hAnsi="Times New Roman" w:cs="Times New Roman"/>
                <w:sz w:val="22"/>
                <w:szCs w:val="22"/>
              </w:rPr>
              <w:t xml:space="preserve"> Green Deal (Europejski Zielony Ład). Chemikalia, w tym również produkty biobójcze i substancje czynne stosowane w produktach biobójczych są niezbędne dla standardu życia i komfortu współczesnego społeczeństwa. Są wykorzystywane w wielu sektorach. Jednak większość chemikaliów ma niebezpieczne właściwości. Od wielu lat obowiązują unijne przepisy w zakresie chemikaliów, m.in. rozporządzenia REACH, CLP oraz, leżące w zakresie kompetencji Urzędu rozporządzenie BPR (</w:t>
            </w:r>
            <w:proofErr w:type="spellStart"/>
            <w:r w:rsidRPr="0011555C">
              <w:rPr>
                <w:rFonts w:ascii="Times New Roman" w:hAnsi="Times New Roman" w:cs="Times New Roman"/>
                <w:sz w:val="22"/>
                <w:szCs w:val="22"/>
              </w:rPr>
              <w:t>Biocidal</w:t>
            </w:r>
            <w:proofErr w:type="spellEnd"/>
            <w:r w:rsidRPr="0011555C">
              <w:rPr>
                <w:rFonts w:ascii="Times New Roman" w:hAnsi="Times New Roman" w:cs="Times New Roman"/>
                <w:sz w:val="22"/>
                <w:szCs w:val="22"/>
              </w:rPr>
              <w:t xml:space="preserve"> Products </w:t>
            </w:r>
            <w:proofErr w:type="spellStart"/>
            <w:r w:rsidRPr="0011555C">
              <w:rPr>
                <w:rFonts w:ascii="Times New Roman" w:hAnsi="Times New Roman" w:cs="Times New Roman"/>
                <w:sz w:val="22"/>
                <w:szCs w:val="22"/>
              </w:rPr>
              <w:t>Regulation</w:t>
            </w:r>
            <w:proofErr w:type="spellEnd"/>
            <w:r w:rsidRPr="0011555C">
              <w:rPr>
                <w:rFonts w:ascii="Times New Roman" w:hAnsi="Times New Roman" w:cs="Times New Roman"/>
                <w:sz w:val="22"/>
                <w:szCs w:val="22"/>
              </w:rPr>
              <w:t>, Rozporządzenie Parlamentu Europejskiego i Rady (UE) nr 528/2012 z dnia 22 maja 2012 r. w sprawie udostępniania na rynku i stosowania produktów biobójczych). Produkty biobójcze stanowią istotną część chemikaliów podlegających regulacjom krajowym i unijnym.</w:t>
            </w:r>
          </w:p>
          <w:p w14:paraId="1999F2CB" w14:textId="690DA771" w:rsidR="00834B1A" w:rsidRDefault="00834B1A" w:rsidP="000D4F8E">
            <w:pPr>
              <w:pStyle w:val="ARTartustawynprozporzdzenia"/>
              <w:spacing w:line="240" w:lineRule="auto"/>
              <w:rPr>
                <w:rFonts w:ascii="Times New Roman" w:hAnsi="Times New Roman"/>
                <w:sz w:val="22"/>
                <w:szCs w:val="22"/>
              </w:rPr>
            </w:pPr>
            <w:r w:rsidRPr="0023454F">
              <w:rPr>
                <w:rFonts w:ascii="Times New Roman" w:hAnsi="Times New Roman" w:cs="Times New Roman"/>
                <w:sz w:val="22"/>
                <w:szCs w:val="22"/>
              </w:rPr>
              <w:t>Komisja Europejska zaleca zakończenie programu przeglądu substancji czynnych do 2024 roku, tym samym zespół Pionu Produktów Biobójczych powinien zintensyfikować prace w celu dokończenia procedowanych ocen dokumentacji</w:t>
            </w:r>
            <w:r w:rsidR="00256E57" w:rsidRPr="0023454F">
              <w:rPr>
                <w:rFonts w:ascii="Times New Roman" w:hAnsi="Times New Roman" w:cs="Times New Roman"/>
                <w:sz w:val="22"/>
                <w:szCs w:val="22"/>
              </w:rPr>
              <w:t>. Podkreślenia wymaga</w:t>
            </w:r>
            <w:r w:rsidRPr="0023454F">
              <w:rPr>
                <w:rFonts w:ascii="Times New Roman" w:hAnsi="Times New Roman" w:cs="Times New Roman"/>
                <w:sz w:val="22"/>
                <w:szCs w:val="22"/>
              </w:rPr>
              <w:t>,</w:t>
            </w:r>
            <w:r w:rsidR="00256E57" w:rsidRPr="0023454F">
              <w:rPr>
                <w:rFonts w:ascii="Times New Roman" w:hAnsi="Times New Roman" w:cs="Times New Roman"/>
                <w:sz w:val="22"/>
                <w:szCs w:val="22"/>
              </w:rPr>
              <w:t xml:space="preserve"> iż </w:t>
            </w:r>
            <w:r w:rsidR="00C96A81" w:rsidRPr="0023454F">
              <w:rPr>
                <w:rFonts w:ascii="Times New Roman" w:hAnsi="Times New Roman" w:cs="Times New Roman"/>
                <w:sz w:val="22"/>
                <w:szCs w:val="22"/>
              </w:rPr>
              <w:t xml:space="preserve">obecnie </w:t>
            </w:r>
            <w:r w:rsidR="00256E57" w:rsidRPr="00D94D55">
              <w:rPr>
                <w:rFonts w:ascii="Times New Roman" w:hAnsi="Times New Roman"/>
                <w:sz w:val="22"/>
                <w:szCs w:val="22"/>
              </w:rPr>
              <w:t>w związku z rozprzestrzenianiem się choroby zakaźnej wywołanej wirusem SARS-</w:t>
            </w:r>
            <w:r w:rsidR="00C96A81" w:rsidRPr="00D94D55">
              <w:rPr>
                <w:rFonts w:ascii="Times New Roman" w:hAnsi="Times New Roman"/>
                <w:sz w:val="22"/>
                <w:szCs w:val="22"/>
              </w:rPr>
              <w:t>CoV-2 i utrzymywaniem stanu pandemii,</w:t>
            </w:r>
            <w:r w:rsidR="00256E57" w:rsidRPr="00D94D55">
              <w:rPr>
                <w:rFonts w:ascii="Times New Roman" w:hAnsi="Times New Roman"/>
                <w:sz w:val="22"/>
                <w:szCs w:val="22"/>
              </w:rPr>
              <w:t xml:space="preserve"> które stanowi zagrożeni</w:t>
            </w:r>
            <w:r w:rsidR="00C96A81" w:rsidRPr="00D94D55">
              <w:rPr>
                <w:rFonts w:ascii="Times New Roman" w:hAnsi="Times New Roman"/>
                <w:sz w:val="22"/>
                <w:szCs w:val="22"/>
              </w:rPr>
              <w:t xml:space="preserve">e dla zdrowia publicznego, </w:t>
            </w:r>
            <w:r w:rsidR="000D4F8E" w:rsidRPr="00D94D55">
              <w:rPr>
                <w:rFonts w:ascii="Times New Roman" w:hAnsi="Times New Roman"/>
                <w:sz w:val="22"/>
                <w:szCs w:val="22"/>
              </w:rPr>
              <w:t xml:space="preserve">priorytetem jest zapewnienie poprzez rejestrację w trybie pilnym dostępności do środków dezynfekcyjnych, stanowiących podstawowe narzędzie profilaktyki w celu zminimalizowania rozprzestrzeniania się wirusa SARS-CoV-2. </w:t>
            </w:r>
            <w:r w:rsidR="000572E2" w:rsidRPr="00D94D55">
              <w:rPr>
                <w:rFonts w:ascii="Times New Roman" w:hAnsi="Times New Roman"/>
                <w:sz w:val="22"/>
                <w:szCs w:val="22"/>
              </w:rPr>
              <w:t xml:space="preserve">Z uwagi na zagrożenie chorobą zakaźną COVID-19, podobnie jak w innych </w:t>
            </w:r>
            <w:r w:rsidR="00103C4E">
              <w:rPr>
                <w:rFonts w:ascii="Times New Roman" w:hAnsi="Times New Roman"/>
                <w:sz w:val="22"/>
                <w:szCs w:val="22"/>
              </w:rPr>
              <w:t>państwach</w:t>
            </w:r>
            <w:r w:rsidR="00103C4E" w:rsidRPr="00D94D55">
              <w:rPr>
                <w:rFonts w:ascii="Times New Roman" w:hAnsi="Times New Roman"/>
                <w:sz w:val="22"/>
                <w:szCs w:val="22"/>
              </w:rPr>
              <w:t xml:space="preserve"> </w:t>
            </w:r>
            <w:r w:rsidR="000572E2" w:rsidRPr="00D94D55">
              <w:rPr>
                <w:rFonts w:ascii="Times New Roman" w:hAnsi="Times New Roman"/>
                <w:sz w:val="22"/>
                <w:szCs w:val="22"/>
              </w:rPr>
              <w:t>członkowskich, została uruchomiona procedura dopuszczania do obrotu środków do dezynfekcji w drodze odstępstwa od wymogów zgodnie z art. 55 ust. 1 rozporządzenia 528/2012.</w:t>
            </w:r>
            <w:r w:rsidR="005D1E12" w:rsidRPr="00D94D55">
              <w:rPr>
                <w:rFonts w:ascii="Times New Roman" w:hAnsi="Times New Roman"/>
                <w:sz w:val="22"/>
                <w:szCs w:val="22"/>
              </w:rPr>
              <w:t xml:space="preserve"> Dla Pionu Produktów Biobójczych Urzędu oznacza to </w:t>
            </w:r>
            <w:r w:rsidR="0023454F">
              <w:rPr>
                <w:rFonts w:ascii="Times New Roman" w:hAnsi="Times New Roman"/>
                <w:sz w:val="22"/>
                <w:szCs w:val="22"/>
              </w:rPr>
              <w:t xml:space="preserve">ogromny </w:t>
            </w:r>
            <w:r w:rsidR="005D1E12" w:rsidRPr="00D94D55">
              <w:rPr>
                <w:rFonts w:ascii="Times New Roman" w:hAnsi="Times New Roman"/>
                <w:sz w:val="22"/>
                <w:szCs w:val="22"/>
              </w:rPr>
              <w:t xml:space="preserve">wzrost </w:t>
            </w:r>
            <w:r w:rsidR="0023454F" w:rsidRPr="00D94D55">
              <w:rPr>
                <w:rFonts w:ascii="Times New Roman" w:hAnsi="Times New Roman"/>
                <w:sz w:val="22"/>
                <w:szCs w:val="22"/>
              </w:rPr>
              <w:t>nakładu</w:t>
            </w:r>
            <w:r w:rsidR="005D1E12" w:rsidRPr="00D94D55">
              <w:rPr>
                <w:rFonts w:ascii="Times New Roman" w:hAnsi="Times New Roman"/>
                <w:sz w:val="22"/>
                <w:szCs w:val="22"/>
              </w:rPr>
              <w:t xml:space="preserve"> pracy, zarówno w związku z wydawaniem </w:t>
            </w:r>
            <w:r w:rsidR="0023454F">
              <w:rPr>
                <w:rFonts w:ascii="Times New Roman" w:hAnsi="Times New Roman"/>
                <w:sz w:val="22"/>
                <w:szCs w:val="22"/>
              </w:rPr>
              <w:t xml:space="preserve">przedmiotowych </w:t>
            </w:r>
            <w:r w:rsidR="005D1E12" w:rsidRPr="00D94D55">
              <w:rPr>
                <w:rFonts w:ascii="Times New Roman" w:hAnsi="Times New Roman"/>
                <w:sz w:val="22"/>
                <w:szCs w:val="22"/>
              </w:rPr>
              <w:t>decyzji</w:t>
            </w:r>
            <w:r w:rsidR="0023454F" w:rsidRPr="00D94D55">
              <w:rPr>
                <w:rFonts w:ascii="Times New Roman" w:hAnsi="Times New Roman"/>
                <w:sz w:val="22"/>
                <w:szCs w:val="22"/>
              </w:rPr>
              <w:t>,</w:t>
            </w:r>
            <w:r w:rsidR="005D1E12" w:rsidRPr="00D94D55">
              <w:rPr>
                <w:rFonts w:ascii="Times New Roman" w:hAnsi="Times New Roman"/>
                <w:sz w:val="22"/>
                <w:szCs w:val="22"/>
              </w:rPr>
              <w:t xml:space="preserve"> jak również udzielaniem </w:t>
            </w:r>
            <w:r w:rsidR="0023454F">
              <w:rPr>
                <w:rFonts w:ascii="Times New Roman" w:hAnsi="Times New Roman"/>
                <w:sz w:val="22"/>
                <w:szCs w:val="22"/>
              </w:rPr>
              <w:t xml:space="preserve"> bieżących </w:t>
            </w:r>
            <w:r w:rsidR="005D1E12" w:rsidRPr="00D94D55">
              <w:rPr>
                <w:rFonts w:ascii="Times New Roman" w:hAnsi="Times New Roman"/>
                <w:sz w:val="22"/>
                <w:szCs w:val="22"/>
              </w:rPr>
              <w:t>odpowiedzi na znaczną liczbę zapytań</w:t>
            </w:r>
            <w:r w:rsidR="00103C4E">
              <w:rPr>
                <w:rFonts w:ascii="Times New Roman" w:hAnsi="Times New Roman"/>
                <w:sz w:val="22"/>
                <w:szCs w:val="22"/>
              </w:rPr>
              <w:t xml:space="preserve"> kierowanych nie tylko przez podmioty odpowiedzialne</w:t>
            </w:r>
            <w:r w:rsidR="00F2479F">
              <w:rPr>
                <w:rFonts w:ascii="Times New Roman" w:hAnsi="Times New Roman"/>
                <w:sz w:val="22"/>
                <w:szCs w:val="22"/>
              </w:rPr>
              <w:t>,</w:t>
            </w:r>
            <w:r w:rsidR="00103C4E">
              <w:rPr>
                <w:rFonts w:ascii="Times New Roman" w:hAnsi="Times New Roman"/>
                <w:sz w:val="22"/>
                <w:szCs w:val="22"/>
              </w:rPr>
              <w:t xml:space="preserve"> ale i organy publiczne</w:t>
            </w:r>
            <w:r w:rsidR="0023454F">
              <w:rPr>
                <w:rFonts w:ascii="Times New Roman" w:hAnsi="Times New Roman"/>
                <w:sz w:val="22"/>
                <w:szCs w:val="22"/>
              </w:rPr>
              <w:t xml:space="preserve">. </w:t>
            </w:r>
          </w:p>
          <w:p w14:paraId="42042026" w14:textId="7A33E538" w:rsidR="0019538B" w:rsidRDefault="0019538B" w:rsidP="00996625">
            <w:pPr>
              <w:pStyle w:val="NIEARTTEKSTtekstnieartykuowanynppodstprawnarozplubpreambua"/>
              <w:spacing w:before="0" w:line="240" w:lineRule="auto"/>
              <w:ind w:firstLine="0"/>
              <w:rPr>
                <w:rFonts w:ascii="Times New Roman" w:hAnsi="Times New Roman" w:cs="Times New Roman"/>
                <w:sz w:val="22"/>
                <w:szCs w:val="22"/>
              </w:rPr>
            </w:pPr>
            <w:r w:rsidRPr="00FA1965">
              <w:rPr>
                <w:rFonts w:ascii="Times New Roman" w:hAnsi="Times New Roman" w:cs="Times New Roman"/>
                <w:sz w:val="22"/>
                <w:szCs w:val="22"/>
              </w:rPr>
              <w:t xml:space="preserve">Aktualnie w całym Pionie Produktów Biobójczych Urzędu zatrudnionych jest </w:t>
            </w:r>
            <w:r w:rsidRPr="003B3079">
              <w:rPr>
                <w:rFonts w:ascii="Times New Roman" w:hAnsi="Times New Roman" w:cs="Times New Roman"/>
                <w:sz w:val="22"/>
                <w:szCs w:val="22"/>
              </w:rPr>
              <w:t>39 osób</w:t>
            </w:r>
            <w:r w:rsidRPr="00FA1965">
              <w:rPr>
                <w:rFonts w:ascii="Times New Roman" w:hAnsi="Times New Roman" w:cs="Times New Roman"/>
                <w:sz w:val="22"/>
                <w:szCs w:val="22"/>
              </w:rPr>
              <w:t xml:space="preserve"> (wliczając kierownictwo), podczas gdy w podobnej pod względem zakresu zadań holenderskiej Agencji ds. Rejestracji Środków Ochrony Roślin i Produktów Biobójczych, bardzo efektywnej i aktywnej na forum europejskim, zatrudnionych jest 150 osób.</w:t>
            </w:r>
          </w:p>
          <w:p w14:paraId="37A38C88" w14:textId="68A0F5B7" w:rsidR="006011D6" w:rsidRPr="00176291" w:rsidRDefault="006011D6" w:rsidP="00176291">
            <w:pPr>
              <w:pStyle w:val="ARTartustawynprozporzdzenia"/>
              <w:spacing w:before="0" w:line="240" w:lineRule="auto"/>
              <w:ind w:firstLine="0"/>
              <w:rPr>
                <w:rFonts w:ascii="Times New Roman" w:hAnsi="Times New Roman" w:cs="Times New Roman"/>
                <w:sz w:val="22"/>
                <w:szCs w:val="22"/>
              </w:rPr>
            </w:pPr>
            <w:r w:rsidRPr="00176291">
              <w:rPr>
                <w:rFonts w:ascii="Times New Roman" w:hAnsi="Times New Roman" w:cs="Times New Roman"/>
                <w:sz w:val="22"/>
                <w:szCs w:val="22"/>
              </w:rPr>
              <w:t>Do głównych zadań Pionu Produktów Biobójczych</w:t>
            </w:r>
            <w:r w:rsidR="00B62B45">
              <w:rPr>
                <w:rFonts w:ascii="Times New Roman" w:hAnsi="Times New Roman" w:cs="Times New Roman"/>
                <w:sz w:val="22"/>
                <w:szCs w:val="22"/>
              </w:rPr>
              <w:t>, częściowo nadmienionych powyżej</w:t>
            </w:r>
            <w:r w:rsidRPr="00176291">
              <w:rPr>
                <w:rFonts w:ascii="Times New Roman" w:hAnsi="Times New Roman" w:cs="Times New Roman"/>
                <w:sz w:val="22"/>
                <w:szCs w:val="22"/>
              </w:rPr>
              <w:t xml:space="preserve"> należy:</w:t>
            </w:r>
          </w:p>
          <w:p w14:paraId="463300B0" w14:textId="51586291" w:rsidR="006011D6" w:rsidRDefault="006011D6" w:rsidP="00176291">
            <w:pPr>
              <w:pStyle w:val="ARTartustawynprozporzdzenia"/>
              <w:spacing w:before="0" w:line="240" w:lineRule="auto"/>
              <w:ind w:firstLine="0"/>
              <w:rPr>
                <w:rFonts w:ascii="Times New Roman" w:hAnsi="Times New Roman" w:cs="Times New Roman"/>
                <w:sz w:val="22"/>
                <w:szCs w:val="22"/>
              </w:rPr>
            </w:pPr>
            <w:r w:rsidRPr="00176291">
              <w:rPr>
                <w:rFonts w:ascii="Times New Roman" w:hAnsi="Times New Roman" w:cs="Times New Roman"/>
                <w:sz w:val="22"/>
                <w:szCs w:val="22"/>
              </w:rPr>
              <w:t>1</w:t>
            </w:r>
            <w:r w:rsidR="00505860">
              <w:rPr>
                <w:rFonts w:ascii="Times New Roman" w:hAnsi="Times New Roman" w:cs="Times New Roman"/>
                <w:sz w:val="22"/>
                <w:szCs w:val="22"/>
              </w:rPr>
              <w:t>)</w:t>
            </w:r>
            <w:r w:rsidRPr="00176291">
              <w:rPr>
                <w:rFonts w:ascii="Times New Roman" w:hAnsi="Times New Roman" w:cs="Times New Roman"/>
                <w:sz w:val="22"/>
                <w:szCs w:val="22"/>
              </w:rPr>
              <w:t xml:space="preserve"> rozpatrywanie wniosków oraz przedłożonej dokumentacji, skutkujące wydaniem decyzji:</w:t>
            </w:r>
          </w:p>
          <w:p w14:paraId="23B4C5BB" w14:textId="254692CC" w:rsidR="006011D6" w:rsidRPr="00176291" w:rsidRDefault="00505860" w:rsidP="00176291">
            <w:pPr>
              <w:pStyle w:val="ARTartustawynprozporzdzeni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 xml:space="preserve">a) </w:t>
            </w:r>
            <w:r w:rsidR="006011D6" w:rsidRPr="00176291">
              <w:rPr>
                <w:rFonts w:ascii="Times New Roman" w:hAnsi="Times New Roman" w:cs="Times New Roman"/>
                <w:sz w:val="22"/>
                <w:szCs w:val="22"/>
              </w:rPr>
              <w:t>w procedurze narodowej pozwoleń na obrót produktami biobójczymi. W związku</w:t>
            </w:r>
            <w:r w:rsidR="006011D6">
              <w:rPr>
                <w:rFonts w:ascii="Times New Roman" w:hAnsi="Times New Roman" w:cs="Times New Roman"/>
                <w:sz w:val="22"/>
                <w:szCs w:val="22"/>
              </w:rPr>
              <w:t xml:space="preserve"> </w:t>
            </w:r>
            <w:r w:rsidR="006011D6" w:rsidRPr="00176291">
              <w:rPr>
                <w:rFonts w:ascii="Times New Roman" w:hAnsi="Times New Roman" w:cs="Times New Roman"/>
                <w:sz w:val="22"/>
                <w:szCs w:val="22"/>
              </w:rPr>
              <w:t>z planowanym w nowelizacji ustawy uproszczeniem procedur, liczba wniosków</w:t>
            </w:r>
            <w:r w:rsidR="006011D6">
              <w:rPr>
                <w:rFonts w:ascii="Times New Roman" w:hAnsi="Times New Roman" w:cs="Times New Roman"/>
                <w:sz w:val="22"/>
                <w:szCs w:val="22"/>
              </w:rPr>
              <w:t xml:space="preserve"> </w:t>
            </w:r>
            <w:r w:rsidR="006011D6" w:rsidRPr="00176291">
              <w:rPr>
                <w:rFonts w:ascii="Times New Roman" w:hAnsi="Times New Roman" w:cs="Times New Roman"/>
                <w:sz w:val="22"/>
                <w:szCs w:val="22"/>
              </w:rPr>
              <w:t>w procedurze narodowej ulegnie zwiększeniu,</w:t>
            </w:r>
          </w:p>
          <w:p w14:paraId="12C5A33C" w14:textId="3C06470E" w:rsidR="006011D6" w:rsidRPr="00176291" w:rsidRDefault="00505860" w:rsidP="00176291">
            <w:pPr>
              <w:pStyle w:val="ARTartustawynprozporzdzeni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b)</w:t>
            </w:r>
            <w:r w:rsidR="006011D6" w:rsidRPr="00176291">
              <w:rPr>
                <w:rFonts w:ascii="Times New Roman" w:hAnsi="Times New Roman" w:cs="Times New Roman"/>
                <w:sz w:val="22"/>
                <w:szCs w:val="22"/>
              </w:rPr>
              <w:t xml:space="preserve"> w procedurach europejskich: pozwoleń krajowych, pozwoleń na udostępnianie na</w:t>
            </w:r>
            <w:r w:rsidR="006011D6">
              <w:rPr>
                <w:rFonts w:ascii="Times New Roman" w:hAnsi="Times New Roman" w:cs="Times New Roman"/>
                <w:sz w:val="22"/>
                <w:szCs w:val="22"/>
              </w:rPr>
              <w:t xml:space="preserve"> </w:t>
            </w:r>
            <w:r w:rsidR="006011D6" w:rsidRPr="00176291">
              <w:rPr>
                <w:rFonts w:ascii="Times New Roman" w:hAnsi="Times New Roman" w:cs="Times New Roman"/>
                <w:sz w:val="22"/>
                <w:szCs w:val="22"/>
              </w:rPr>
              <w:t>rynku i stosowanie produktów biobójczych, pozwoleń unijnych. Większa liczba</w:t>
            </w:r>
            <w:r w:rsidR="006011D6">
              <w:rPr>
                <w:rFonts w:ascii="Times New Roman" w:hAnsi="Times New Roman" w:cs="Times New Roman"/>
                <w:sz w:val="22"/>
                <w:szCs w:val="22"/>
              </w:rPr>
              <w:t xml:space="preserve"> </w:t>
            </w:r>
            <w:r w:rsidR="006011D6" w:rsidRPr="00176291">
              <w:rPr>
                <w:rFonts w:ascii="Times New Roman" w:hAnsi="Times New Roman" w:cs="Times New Roman"/>
                <w:sz w:val="22"/>
                <w:szCs w:val="22"/>
              </w:rPr>
              <w:t>substancji czynnych zatwierdzonych w ramach programu przeglądu oznacza</w:t>
            </w:r>
            <w:r w:rsidR="006011D6">
              <w:rPr>
                <w:rFonts w:ascii="Times New Roman" w:hAnsi="Times New Roman" w:cs="Times New Roman"/>
                <w:sz w:val="22"/>
                <w:szCs w:val="22"/>
              </w:rPr>
              <w:t xml:space="preserve"> </w:t>
            </w:r>
            <w:r w:rsidR="006011D6" w:rsidRPr="00176291">
              <w:rPr>
                <w:rFonts w:ascii="Times New Roman" w:hAnsi="Times New Roman" w:cs="Times New Roman"/>
                <w:sz w:val="22"/>
                <w:szCs w:val="22"/>
              </w:rPr>
              <w:t>większą liczbę wniosków w procedurach europejskich i większą liczbę zmian</w:t>
            </w:r>
            <w:r w:rsidR="006011D6">
              <w:rPr>
                <w:rFonts w:ascii="Times New Roman" w:hAnsi="Times New Roman" w:cs="Times New Roman"/>
                <w:sz w:val="22"/>
                <w:szCs w:val="22"/>
              </w:rPr>
              <w:t xml:space="preserve"> </w:t>
            </w:r>
            <w:r w:rsidR="006011D6" w:rsidRPr="00176291">
              <w:rPr>
                <w:rFonts w:ascii="Times New Roman" w:hAnsi="Times New Roman" w:cs="Times New Roman"/>
                <w:sz w:val="22"/>
                <w:szCs w:val="22"/>
              </w:rPr>
              <w:t>i odnowień pozwoleń</w:t>
            </w:r>
            <w:r>
              <w:rPr>
                <w:rFonts w:ascii="Times New Roman" w:hAnsi="Times New Roman" w:cs="Times New Roman"/>
                <w:sz w:val="22"/>
                <w:szCs w:val="22"/>
              </w:rPr>
              <w:t>;</w:t>
            </w:r>
          </w:p>
          <w:p w14:paraId="6C193D35" w14:textId="60B2A37F" w:rsidR="006011D6" w:rsidRPr="00176291" w:rsidRDefault="006011D6" w:rsidP="00176291">
            <w:pPr>
              <w:pStyle w:val="ARTartustawynprozporzdzenia"/>
              <w:spacing w:before="0" w:line="240" w:lineRule="auto"/>
              <w:ind w:firstLine="0"/>
              <w:rPr>
                <w:rFonts w:ascii="Times New Roman" w:hAnsi="Times New Roman" w:cs="Times New Roman"/>
                <w:sz w:val="22"/>
                <w:szCs w:val="22"/>
              </w:rPr>
            </w:pPr>
            <w:r w:rsidRPr="00176291">
              <w:rPr>
                <w:rFonts w:ascii="Times New Roman" w:hAnsi="Times New Roman" w:cs="Times New Roman"/>
                <w:sz w:val="22"/>
                <w:szCs w:val="22"/>
              </w:rPr>
              <w:lastRenderedPageBreak/>
              <w:t>2</w:t>
            </w:r>
            <w:r w:rsidR="00505860">
              <w:rPr>
                <w:rFonts w:ascii="Times New Roman" w:hAnsi="Times New Roman" w:cs="Times New Roman"/>
                <w:sz w:val="22"/>
                <w:szCs w:val="22"/>
              </w:rPr>
              <w:t>)</w:t>
            </w:r>
            <w:r w:rsidRPr="00176291">
              <w:rPr>
                <w:rFonts w:ascii="Times New Roman" w:hAnsi="Times New Roman" w:cs="Times New Roman"/>
                <w:sz w:val="22"/>
                <w:szCs w:val="22"/>
              </w:rPr>
              <w:t xml:space="preserve"> prowadzenie oceny dokumentacji substancji czynnych oraz pozostałych działań w związku</w:t>
            </w:r>
            <w:r>
              <w:rPr>
                <w:rFonts w:ascii="Times New Roman" w:hAnsi="Times New Roman" w:cs="Times New Roman"/>
                <w:sz w:val="22"/>
                <w:szCs w:val="22"/>
              </w:rPr>
              <w:t xml:space="preserve"> </w:t>
            </w:r>
            <w:r w:rsidRPr="00176291">
              <w:rPr>
                <w:rFonts w:ascii="Times New Roman" w:hAnsi="Times New Roman" w:cs="Times New Roman"/>
                <w:sz w:val="22"/>
                <w:szCs w:val="22"/>
              </w:rPr>
              <w:t>z programem przeglądu istniejących substancji czynnych. Ocena wielu substancji nadal</w:t>
            </w:r>
            <w:r>
              <w:rPr>
                <w:rFonts w:ascii="Times New Roman" w:hAnsi="Times New Roman" w:cs="Times New Roman"/>
                <w:sz w:val="22"/>
                <w:szCs w:val="22"/>
              </w:rPr>
              <w:t xml:space="preserve"> </w:t>
            </w:r>
            <w:r w:rsidRPr="00176291">
              <w:rPr>
                <w:rFonts w:ascii="Times New Roman" w:hAnsi="Times New Roman" w:cs="Times New Roman"/>
                <w:sz w:val="22"/>
                <w:szCs w:val="22"/>
              </w:rPr>
              <w:t>jest w toku i wymaga zintensyfikowania prac w celu planowego zakończenia przeglądu</w:t>
            </w:r>
            <w:r>
              <w:rPr>
                <w:rFonts w:ascii="Times New Roman" w:hAnsi="Times New Roman" w:cs="Times New Roman"/>
                <w:sz w:val="22"/>
                <w:szCs w:val="22"/>
              </w:rPr>
              <w:t xml:space="preserve"> </w:t>
            </w:r>
            <w:r w:rsidRPr="00176291">
              <w:rPr>
                <w:rFonts w:ascii="Times New Roman" w:hAnsi="Times New Roman" w:cs="Times New Roman"/>
                <w:sz w:val="22"/>
                <w:szCs w:val="22"/>
              </w:rPr>
              <w:t>do 2024 roku</w:t>
            </w:r>
            <w:r w:rsidR="00505860">
              <w:rPr>
                <w:rFonts w:ascii="Times New Roman" w:hAnsi="Times New Roman" w:cs="Times New Roman"/>
                <w:sz w:val="22"/>
                <w:szCs w:val="22"/>
              </w:rPr>
              <w:t>;</w:t>
            </w:r>
          </w:p>
          <w:p w14:paraId="52AAFFAA" w14:textId="36899BFD" w:rsidR="006011D6" w:rsidRPr="00176291" w:rsidRDefault="006011D6" w:rsidP="00176291">
            <w:pPr>
              <w:pStyle w:val="ARTartustawynprozporzdzenia"/>
              <w:spacing w:before="0" w:line="240" w:lineRule="auto"/>
              <w:ind w:firstLine="0"/>
              <w:rPr>
                <w:rFonts w:ascii="Times New Roman" w:hAnsi="Times New Roman" w:cs="Times New Roman"/>
                <w:sz w:val="22"/>
                <w:szCs w:val="22"/>
              </w:rPr>
            </w:pPr>
            <w:r w:rsidRPr="00176291">
              <w:rPr>
                <w:rFonts w:ascii="Times New Roman" w:hAnsi="Times New Roman" w:cs="Times New Roman"/>
                <w:sz w:val="22"/>
                <w:szCs w:val="22"/>
              </w:rPr>
              <w:t>3</w:t>
            </w:r>
            <w:r w:rsidR="00505860">
              <w:rPr>
                <w:rFonts w:ascii="Times New Roman" w:hAnsi="Times New Roman" w:cs="Times New Roman"/>
                <w:sz w:val="22"/>
                <w:szCs w:val="22"/>
              </w:rPr>
              <w:t>)</w:t>
            </w:r>
            <w:r w:rsidRPr="00176291">
              <w:rPr>
                <w:rFonts w:ascii="Times New Roman" w:hAnsi="Times New Roman" w:cs="Times New Roman"/>
                <w:sz w:val="22"/>
                <w:szCs w:val="22"/>
              </w:rPr>
              <w:t xml:space="preserve"> doradztwo Prezesa Urzędu w zakresie odpowiedzialności i obowiązków,</w:t>
            </w:r>
            <w:r>
              <w:rPr>
                <w:rFonts w:ascii="Times New Roman" w:hAnsi="Times New Roman" w:cs="Times New Roman"/>
                <w:sz w:val="22"/>
                <w:szCs w:val="22"/>
              </w:rPr>
              <w:t xml:space="preserve"> </w:t>
            </w:r>
            <w:r w:rsidRPr="00176291">
              <w:rPr>
                <w:rFonts w:ascii="Times New Roman" w:hAnsi="Times New Roman" w:cs="Times New Roman"/>
                <w:sz w:val="22"/>
                <w:szCs w:val="22"/>
              </w:rPr>
              <w:t>o których mowa w art. 81 ust. 2. W związku z coraz większą liczbą substancji czynnych</w:t>
            </w:r>
            <w:r>
              <w:rPr>
                <w:rFonts w:ascii="Times New Roman" w:hAnsi="Times New Roman" w:cs="Times New Roman"/>
                <w:sz w:val="22"/>
                <w:szCs w:val="22"/>
              </w:rPr>
              <w:t xml:space="preserve"> </w:t>
            </w:r>
            <w:r w:rsidRPr="00176291">
              <w:rPr>
                <w:rFonts w:ascii="Times New Roman" w:hAnsi="Times New Roman" w:cs="Times New Roman"/>
                <w:sz w:val="22"/>
                <w:szCs w:val="22"/>
              </w:rPr>
              <w:t>zatwierdzonych w ramach programu przeglądu liczba wniosków o doradztwo ulegnie</w:t>
            </w:r>
            <w:r>
              <w:rPr>
                <w:rFonts w:ascii="Times New Roman" w:hAnsi="Times New Roman" w:cs="Times New Roman"/>
                <w:sz w:val="22"/>
                <w:szCs w:val="22"/>
              </w:rPr>
              <w:t xml:space="preserve"> </w:t>
            </w:r>
            <w:r w:rsidRPr="00176291">
              <w:rPr>
                <w:rFonts w:ascii="Times New Roman" w:hAnsi="Times New Roman" w:cs="Times New Roman"/>
                <w:sz w:val="22"/>
                <w:szCs w:val="22"/>
              </w:rPr>
              <w:t>zwiększeniu</w:t>
            </w:r>
            <w:r w:rsidR="00505860">
              <w:rPr>
                <w:rFonts w:ascii="Times New Roman" w:hAnsi="Times New Roman" w:cs="Times New Roman"/>
                <w:sz w:val="22"/>
                <w:szCs w:val="22"/>
              </w:rPr>
              <w:t>;</w:t>
            </w:r>
          </w:p>
          <w:p w14:paraId="5189AFB9" w14:textId="1FB7F262" w:rsidR="006011D6" w:rsidRPr="00176291" w:rsidRDefault="006011D6" w:rsidP="00176291">
            <w:pPr>
              <w:pStyle w:val="ARTartustawynprozporzdzenia"/>
              <w:spacing w:before="0" w:line="240" w:lineRule="auto"/>
              <w:ind w:firstLine="0"/>
              <w:rPr>
                <w:rFonts w:ascii="Times New Roman" w:hAnsi="Times New Roman" w:cs="Times New Roman"/>
                <w:sz w:val="22"/>
                <w:szCs w:val="22"/>
              </w:rPr>
            </w:pPr>
            <w:r w:rsidRPr="00176291">
              <w:rPr>
                <w:rFonts w:ascii="Times New Roman" w:hAnsi="Times New Roman" w:cs="Times New Roman"/>
                <w:sz w:val="22"/>
                <w:szCs w:val="22"/>
              </w:rPr>
              <w:t>4</w:t>
            </w:r>
            <w:r w:rsidR="00505860">
              <w:rPr>
                <w:rFonts w:ascii="Times New Roman" w:hAnsi="Times New Roman" w:cs="Times New Roman"/>
                <w:sz w:val="22"/>
                <w:szCs w:val="22"/>
              </w:rPr>
              <w:t>)</w:t>
            </w:r>
            <w:r w:rsidRPr="00176291">
              <w:rPr>
                <w:rFonts w:ascii="Times New Roman" w:hAnsi="Times New Roman" w:cs="Times New Roman"/>
                <w:sz w:val="22"/>
                <w:szCs w:val="22"/>
              </w:rPr>
              <w:t xml:space="preserve"> udzielanie informacji w zakresie stosowania przepisów dotyczących produktów</w:t>
            </w:r>
            <w:r>
              <w:rPr>
                <w:rFonts w:ascii="Times New Roman" w:hAnsi="Times New Roman" w:cs="Times New Roman"/>
                <w:sz w:val="22"/>
                <w:szCs w:val="22"/>
              </w:rPr>
              <w:t xml:space="preserve"> </w:t>
            </w:r>
            <w:r w:rsidRPr="00176291">
              <w:rPr>
                <w:rFonts w:ascii="Times New Roman" w:hAnsi="Times New Roman" w:cs="Times New Roman"/>
                <w:sz w:val="22"/>
                <w:szCs w:val="22"/>
              </w:rPr>
              <w:t>biobójczych, przedstawicielom firm, organom nadzoru nad produktami biobójczymi</w:t>
            </w:r>
            <w:r>
              <w:rPr>
                <w:rFonts w:ascii="Times New Roman" w:hAnsi="Times New Roman" w:cs="Times New Roman"/>
                <w:sz w:val="22"/>
                <w:szCs w:val="22"/>
              </w:rPr>
              <w:t xml:space="preserve"> </w:t>
            </w:r>
            <w:r w:rsidRPr="00176291">
              <w:rPr>
                <w:rFonts w:ascii="Times New Roman" w:hAnsi="Times New Roman" w:cs="Times New Roman"/>
                <w:sz w:val="22"/>
                <w:szCs w:val="22"/>
              </w:rPr>
              <w:t>(Państwowa Inspekcja Sanitarna, Inspekcja Handlowa), innym organom (Policja,</w:t>
            </w:r>
            <w:r>
              <w:rPr>
                <w:rFonts w:ascii="Times New Roman" w:hAnsi="Times New Roman" w:cs="Times New Roman"/>
                <w:sz w:val="22"/>
                <w:szCs w:val="22"/>
              </w:rPr>
              <w:t xml:space="preserve"> </w:t>
            </w:r>
            <w:r w:rsidRPr="00176291">
              <w:rPr>
                <w:rFonts w:ascii="Times New Roman" w:hAnsi="Times New Roman" w:cs="Times New Roman"/>
                <w:sz w:val="22"/>
                <w:szCs w:val="22"/>
              </w:rPr>
              <w:t>Prokuratura, Krajowa Administracja Skarbowa). W związku z nowelizacją ustawy liczba</w:t>
            </w:r>
            <w:r>
              <w:rPr>
                <w:rFonts w:ascii="Times New Roman" w:hAnsi="Times New Roman" w:cs="Times New Roman"/>
                <w:sz w:val="22"/>
                <w:szCs w:val="22"/>
              </w:rPr>
              <w:t xml:space="preserve"> </w:t>
            </w:r>
            <w:r w:rsidRPr="00176291">
              <w:rPr>
                <w:rFonts w:ascii="Times New Roman" w:hAnsi="Times New Roman" w:cs="Times New Roman"/>
                <w:sz w:val="22"/>
                <w:szCs w:val="22"/>
              </w:rPr>
              <w:t>zapytań ulegnie zwiększeniu</w:t>
            </w:r>
            <w:r w:rsidR="00505860">
              <w:rPr>
                <w:rFonts w:ascii="Times New Roman" w:hAnsi="Times New Roman" w:cs="Times New Roman"/>
                <w:sz w:val="22"/>
                <w:szCs w:val="22"/>
              </w:rPr>
              <w:t>;</w:t>
            </w:r>
          </w:p>
          <w:p w14:paraId="02068978" w14:textId="4C2CD780" w:rsidR="006011D6" w:rsidRPr="00176291" w:rsidRDefault="006011D6" w:rsidP="00176291">
            <w:pPr>
              <w:pStyle w:val="ARTartustawynprozporzdzenia"/>
              <w:spacing w:before="0" w:line="240" w:lineRule="auto"/>
              <w:ind w:firstLine="0"/>
              <w:rPr>
                <w:rFonts w:ascii="Times New Roman" w:hAnsi="Times New Roman" w:cs="Times New Roman"/>
                <w:sz w:val="22"/>
                <w:szCs w:val="22"/>
              </w:rPr>
            </w:pPr>
            <w:r w:rsidRPr="00176291">
              <w:rPr>
                <w:rFonts w:ascii="Times New Roman" w:hAnsi="Times New Roman" w:cs="Times New Roman"/>
                <w:sz w:val="22"/>
                <w:szCs w:val="22"/>
              </w:rPr>
              <w:t>5</w:t>
            </w:r>
            <w:r w:rsidR="00505860">
              <w:rPr>
                <w:rFonts w:ascii="Times New Roman" w:hAnsi="Times New Roman" w:cs="Times New Roman"/>
                <w:sz w:val="22"/>
                <w:szCs w:val="22"/>
              </w:rPr>
              <w:t>)</w:t>
            </w:r>
            <w:r w:rsidRPr="00176291">
              <w:rPr>
                <w:rFonts w:ascii="Times New Roman" w:hAnsi="Times New Roman" w:cs="Times New Roman"/>
                <w:sz w:val="22"/>
                <w:szCs w:val="22"/>
              </w:rPr>
              <w:t xml:space="preserve"> współpraca zagraniczna: reprezentowanie PL m. in. w posiedzeniach: Standing </w:t>
            </w:r>
            <w:proofErr w:type="spellStart"/>
            <w:r w:rsidRPr="00176291">
              <w:rPr>
                <w:rFonts w:ascii="Times New Roman" w:hAnsi="Times New Roman" w:cs="Times New Roman"/>
                <w:sz w:val="22"/>
                <w:szCs w:val="22"/>
              </w:rPr>
              <w:t>Committee</w:t>
            </w:r>
            <w:proofErr w:type="spellEnd"/>
            <w:r w:rsidR="007C1918">
              <w:rPr>
                <w:rFonts w:ascii="Times New Roman" w:hAnsi="Times New Roman" w:cs="Times New Roman"/>
                <w:sz w:val="22"/>
                <w:szCs w:val="22"/>
              </w:rPr>
              <w:t xml:space="preserve"> </w:t>
            </w:r>
            <w:r w:rsidRPr="00176291">
              <w:rPr>
                <w:rFonts w:ascii="Times New Roman" w:hAnsi="Times New Roman" w:cs="Times New Roman"/>
                <w:sz w:val="22"/>
                <w:szCs w:val="22"/>
              </w:rPr>
              <w:t xml:space="preserve">on </w:t>
            </w:r>
            <w:proofErr w:type="spellStart"/>
            <w:r w:rsidRPr="00176291">
              <w:rPr>
                <w:rFonts w:ascii="Times New Roman" w:hAnsi="Times New Roman" w:cs="Times New Roman"/>
                <w:sz w:val="22"/>
                <w:szCs w:val="22"/>
              </w:rPr>
              <w:t>Biocidal</w:t>
            </w:r>
            <w:proofErr w:type="spellEnd"/>
            <w:r w:rsidRPr="00176291">
              <w:rPr>
                <w:rFonts w:ascii="Times New Roman" w:hAnsi="Times New Roman" w:cs="Times New Roman"/>
                <w:sz w:val="22"/>
                <w:szCs w:val="22"/>
              </w:rPr>
              <w:t xml:space="preserve"> Products (SCBP) oraz w spotkaniach </w:t>
            </w:r>
            <w:proofErr w:type="spellStart"/>
            <w:r w:rsidRPr="00176291">
              <w:rPr>
                <w:rFonts w:ascii="Times New Roman" w:hAnsi="Times New Roman" w:cs="Times New Roman"/>
                <w:sz w:val="22"/>
                <w:szCs w:val="22"/>
              </w:rPr>
              <w:t>Competent</w:t>
            </w:r>
            <w:proofErr w:type="spellEnd"/>
            <w:r w:rsidRPr="00176291">
              <w:rPr>
                <w:rFonts w:ascii="Times New Roman" w:hAnsi="Times New Roman" w:cs="Times New Roman"/>
                <w:sz w:val="22"/>
                <w:szCs w:val="22"/>
              </w:rPr>
              <w:t xml:space="preserve"> </w:t>
            </w:r>
            <w:proofErr w:type="spellStart"/>
            <w:r w:rsidRPr="00176291">
              <w:rPr>
                <w:rFonts w:ascii="Times New Roman" w:hAnsi="Times New Roman" w:cs="Times New Roman"/>
                <w:sz w:val="22"/>
                <w:szCs w:val="22"/>
              </w:rPr>
              <w:t>Authorities</w:t>
            </w:r>
            <w:proofErr w:type="spellEnd"/>
            <w:r w:rsidRPr="00176291">
              <w:rPr>
                <w:rFonts w:ascii="Times New Roman" w:hAnsi="Times New Roman" w:cs="Times New Roman"/>
                <w:sz w:val="22"/>
                <w:szCs w:val="22"/>
              </w:rPr>
              <w:t xml:space="preserve"> organizowanych</w:t>
            </w:r>
            <w:r w:rsidR="007C1918">
              <w:rPr>
                <w:rFonts w:ascii="Times New Roman" w:hAnsi="Times New Roman" w:cs="Times New Roman"/>
                <w:sz w:val="22"/>
                <w:szCs w:val="22"/>
              </w:rPr>
              <w:t xml:space="preserve"> </w:t>
            </w:r>
            <w:r w:rsidRPr="00176291">
              <w:rPr>
                <w:rFonts w:ascii="Times New Roman" w:hAnsi="Times New Roman" w:cs="Times New Roman"/>
                <w:sz w:val="22"/>
                <w:szCs w:val="22"/>
              </w:rPr>
              <w:t xml:space="preserve">przy Komisji Europejskiej, </w:t>
            </w:r>
            <w:proofErr w:type="spellStart"/>
            <w:r w:rsidRPr="00176291">
              <w:rPr>
                <w:rFonts w:ascii="Times New Roman" w:hAnsi="Times New Roman" w:cs="Times New Roman"/>
                <w:sz w:val="22"/>
                <w:szCs w:val="22"/>
              </w:rPr>
              <w:t>Biocidal</w:t>
            </w:r>
            <w:proofErr w:type="spellEnd"/>
            <w:r w:rsidRPr="00176291">
              <w:rPr>
                <w:rFonts w:ascii="Times New Roman" w:hAnsi="Times New Roman" w:cs="Times New Roman"/>
                <w:sz w:val="22"/>
                <w:szCs w:val="22"/>
              </w:rPr>
              <w:t xml:space="preserve"> Products </w:t>
            </w:r>
            <w:proofErr w:type="spellStart"/>
            <w:r w:rsidRPr="00176291">
              <w:rPr>
                <w:rFonts w:ascii="Times New Roman" w:hAnsi="Times New Roman" w:cs="Times New Roman"/>
                <w:sz w:val="22"/>
                <w:szCs w:val="22"/>
              </w:rPr>
              <w:t>Committee</w:t>
            </w:r>
            <w:proofErr w:type="spellEnd"/>
            <w:r w:rsidRPr="00176291">
              <w:rPr>
                <w:rFonts w:ascii="Times New Roman" w:hAnsi="Times New Roman" w:cs="Times New Roman"/>
                <w:sz w:val="22"/>
                <w:szCs w:val="22"/>
              </w:rPr>
              <w:t xml:space="preserve"> (BPC) wraz z grupami</w:t>
            </w:r>
            <w:r w:rsidR="007C1918">
              <w:rPr>
                <w:rFonts w:ascii="Times New Roman" w:hAnsi="Times New Roman" w:cs="Times New Roman"/>
                <w:sz w:val="22"/>
                <w:szCs w:val="22"/>
              </w:rPr>
              <w:t xml:space="preserve"> </w:t>
            </w:r>
            <w:r w:rsidRPr="00176291">
              <w:rPr>
                <w:rFonts w:ascii="Times New Roman" w:hAnsi="Times New Roman" w:cs="Times New Roman"/>
                <w:sz w:val="22"/>
                <w:szCs w:val="22"/>
              </w:rPr>
              <w:t xml:space="preserve">roboczymi oraz </w:t>
            </w:r>
            <w:proofErr w:type="spellStart"/>
            <w:r w:rsidRPr="00176291">
              <w:rPr>
                <w:rFonts w:ascii="Times New Roman" w:hAnsi="Times New Roman" w:cs="Times New Roman"/>
                <w:sz w:val="22"/>
                <w:szCs w:val="22"/>
              </w:rPr>
              <w:t>Coordination</w:t>
            </w:r>
            <w:proofErr w:type="spellEnd"/>
            <w:r w:rsidRPr="00176291">
              <w:rPr>
                <w:rFonts w:ascii="Times New Roman" w:hAnsi="Times New Roman" w:cs="Times New Roman"/>
                <w:sz w:val="22"/>
                <w:szCs w:val="22"/>
              </w:rPr>
              <w:t xml:space="preserve"> </w:t>
            </w:r>
            <w:proofErr w:type="spellStart"/>
            <w:r w:rsidRPr="00176291">
              <w:rPr>
                <w:rFonts w:ascii="Times New Roman" w:hAnsi="Times New Roman" w:cs="Times New Roman"/>
                <w:sz w:val="22"/>
                <w:szCs w:val="22"/>
              </w:rPr>
              <w:t>Group</w:t>
            </w:r>
            <w:proofErr w:type="spellEnd"/>
            <w:r w:rsidRPr="00176291">
              <w:rPr>
                <w:rFonts w:ascii="Times New Roman" w:hAnsi="Times New Roman" w:cs="Times New Roman"/>
                <w:sz w:val="22"/>
                <w:szCs w:val="22"/>
              </w:rPr>
              <w:t xml:space="preserve"> (CG), działających przy Europejskiej Agencji</w:t>
            </w:r>
            <w:r w:rsidR="007C1918">
              <w:rPr>
                <w:rFonts w:ascii="Times New Roman" w:hAnsi="Times New Roman" w:cs="Times New Roman"/>
                <w:sz w:val="22"/>
                <w:szCs w:val="22"/>
              </w:rPr>
              <w:t xml:space="preserve"> </w:t>
            </w:r>
            <w:r w:rsidRPr="00176291">
              <w:rPr>
                <w:rFonts w:ascii="Times New Roman" w:hAnsi="Times New Roman" w:cs="Times New Roman"/>
                <w:sz w:val="22"/>
                <w:szCs w:val="22"/>
              </w:rPr>
              <w:t>Chemikaliów w Helsinkach,</w:t>
            </w:r>
          </w:p>
          <w:p w14:paraId="1B964DAF" w14:textId="70DDF032" w:rsidR="006011D6" w:rsidRPr="00176291" w:rsidRDefault="006011D6" w:rsidP="00176291">
            <w:pPr>
              <w:pStyle w:val="ARTartustawynprozporzdzenia"/>
              <w:spacing w:before="0" w:line="240" w:lineRule="auto"/>
              <w:ind w:firstLine="0"/>
              <w:rPr>
                <w:rFonts w:ascii="Times New Roman" w:hAnsi="Times New Roman" w:cs="Times New Roman"/>
                <w:sz w:val="22"/>
                <w:szCs w:val="22"/>
              </w:rPr>
            </w:pPr>
            <w:r w:rsidRPr="00176291">
              <w:rPr>
                <w:rFonts w:ascii="Times New Roman" w:hAnsi="Times New Roman" w:cs="Times New Roman"/>
                <w:sz w:val="22"/>
                <w:szCs w:val="22"/>
              </w:rPr>
              <w:t>6. prowadzenie Wykazu Produktów Biobójczych. Zwiększona liczba wydanych pozwoleń</w:t>
            </w:r>
            <w:r w:rsidR="007C1918">
              <w:rPr>
                <w:rFonts w:ascii="Times New Roman" w:hAnsi="Times New Roman" w:cs="Times New Roman"/>
                <w:sz w:val="22"/>
                <w:szCs w:val="22"/>
              </w:rPr>
              <w:t xml:space="preserve"> </w:t>
            </w:r>
            <w:r w:rsidRPr="00176291">
              <w:rPr>
                <w:rFonts w:ascii="Times New Roman" w:hAnsi="Times New Roman" w:cs="Times New Roman"/>
                <w:sz w:val="22"/>
                <w:szCs w:val="22"/>
              </w:rPr>
              <w:t>wpływa na aktualizowanie Wykazu Produktów Biobójczych oraz prowadzenie postępowań</w:t>
            </w:r>
            <w:r w:rsidR="007C1918">
              <w:rPr>
                <w:rFonts w:ascii="Times New Roman" w:hAnsi="Times New Roman" w:cs="Times New Roman"/>
                <w:sz w:val="22"/>
                <w:szCs w:val="22"/>
              </w:rPr>
              <w:t xml:space="preserve"> </w:t>
            </w:r>
            <w:r w:rsidRPr="00176291">
              <w:rPr>
                <w:rFonts w:ascii="Times New Roman" w:hAnsi="Times New Roman" w:cs="Times New Roman"/>
                <w:sz w:val="22"/>
                <w:szCs w:val="22"/>
              </w:rPr>
              <w:t>w sprawie wygaśnięć pozwoleń narodowych.</w:t>
            </w:r>
          </w:p>
          <w:p w14:paraId="335239CE" w14:textId="07F8755B" w:rsidR="0019538B" w:rsidRPr="0094720E" w:rsidRDefault="0019538B" w:rsidP="00996625">
            <w:pPr>
              <w:spacing w:line="240" w:lineRule="auto"/>
              <w:jc w:val="both"/>
              <w:rPr>
                <w:rFonts w:ascii="Times New Roman" w:hAnsi="Times New Roman"/>
                <w:color w:val="000000"/>
                <w:szCs w:val="26"/>
              </w:rPr>
            </w:pPr>
            <w:r w:rsidRPr="00FA1965">
              <w:rPr>
                <w:rFonts w:ascii="Times New Roman" w:hAnsi="Times New Roman"/>
                <w:color w:val="000000"/>
              </w:rPr>
              <w:t>Maksymalny limit wydatków obejmuje również wydatki pozapłacowe</w:t>
            </w:r>
            <w:r w:rsidRPr="000735FA">
              <w:rPr>
                <w:rFonts w:ascii="Times New Roman" w:hAnsi="Times New Roman"/>
                <w:color w:val="000000"/>
              </w:rPr>
              <w:t xml:space="preserve"> (m.in. materiały biurowe i eksploatacyjne, szkolenia zagraniczne) oraz wydatki związane z utrzymaniem i rozbudową „</w:t>
            </w:r>
            <w:r w:rsidRPr="000735FA">
              <w:rPr>
                <w:rFonts w:ascii="Times New Roman" w:hAnsi="Times New Roman"/>
                <w:color w:val="000000"/>
                <w:lang w:eastAsia="pl-PL"/>
              </w:rPr>
              <w:t>Systemu Bazy Danych Substancji Czynnych i Produktów Biobójczych – POBIS” (m.in. usługi wsparcia systemu, rozbudowa o nowe funkcjonalności, rozbudowa bezpieczeństwa teleinformatycznego)</w:t>
            </w:r>
            <w:r w:rsidRPr="000735FA">
              <w:rPr>
                <w:rFonts w:ascii="Times New Roman" w:hAnsi="Times New Roman"/>
                <w:color w:val="000000"/>
              </w:rPr>
              <w:t>.</w:t>
            </w:r>
            <w:r>
              <w:rPr>
                <w:rFonts w:ascii="Times New Roman" w:hAnsi="Times New Roman"/>
                <w:color w:val="000000"/>
              </w:rPr>
              <w:t xml:space="preserve"> </w:t>
            </w:r>
            <w:r w:rsidRPr="00A123F5">
              <w:rPr>
                <w:rFonts w:ascii="Times New Roman" w:hAnsi="Times New Roman"/>
                <w:color w:val="000000"/>
              </w:rPr>
              <w:t>Rozbudowa systemu POBIS wiąże się z koniecznością sprawnego dostosowania do zmian implikowanych niniejszym projektem ustawy.</w:t>
            </w:r>
            <w:r w:rsidR="00FA1965">
              <w:rPr>
                <w:rFonts w:ascii="Times New Roman" w:hAnsi="Times New Roman"/>
                <w:color w:val="000000"/>
              </w:rPr>
              <w:t xml:space="preserve"> </w:t>
            </w:r>
            <w:r w:rsidRPr="00A123F5">
              <w:rPr>
                <w:rFonts w:ascii="Times New Roman" w:hAnsi="Times New Roman"/>
                <w:color w:val="000000"/>
                <w:szCs w:val="26"/>
              </w:rPr>
              <w:t>Po wejściu w życie ustawy, ilość zadań dla Pionu Produktów Biobójczych Urzędu wzrośnie. Doprecyzowanie przepisów odnoszących się do procedur oceny substancji czynnych oraz dotyczących przesłanek unieważnienia bądź zmiany pozwolenia po przeprowadzeniu oceny porównawczej produktów biobójczych, jak również uregulowanie sytuacji, gdy produkt biobójczy, zawierający substancję czynną kwalifikującą się do zastąpienia, nie przejdzie pozytywnej oceny, przez wskazanie na możliwość uchylenia pozwolenia w całości lub w części skutkować będą rozszerzeniem zadań dla pracowników Pionu. Konieczne będzie ustalenie procedur i przebiegu postępowania w ww. przypadkach, również w konsultacji z Departamentem Prawnym</w:t>
            </w:r>
            <w:r w:rsidR="000572E2">
              <w:rPr>
                <w:rFonts w:ascii="Times New Roman" w:hAnsi="Times New Roman"/>
                <w:color w:val="000000"/>
                <w:szCs w:val="26"/>
              </w:rPr>
              <w:t xml:space="preserve"> Urzędu</w:t>
            </w:r>
            <w:r w:rsidRPr="00A123F5">
              <w:rPr>
                <w:rFonts w:ascii="Times New Roman" w:hAnsi="Times New Roman"/>
                <w:color w:val="000000"/>
                <w:szCs w:val="26"/>
              </w:rPr>
              <w:t>. Każda z wprowadzanych niniejszym projektem ustawy zmian będzie wymagała, w mniejszym lub większym zakresie kompleksowego podejścia w formie prowadzenia dodatkowej korespondencji oraz działań zmierzających do zbadania spraw pod kątem merytorycznym i formalno-prawnym</w:t>
            </w:r>
            <w:r>
              <w:rPr>
                <w:rFonts w:ascii="Times New Roman" w:hAnsi="Times New Roman"/>
                <w:color w:val="000000"/>
                <w:szCs w:val="26"/>
              </w:rPr>
              <w:t xml:space="preserve">. </w:t>
            </w:r>
            <w:r w:rsidRPr="00A123F5">
              <w:rPr>
                <w:rFonts w:ascii="Times New Roman" w:hAnsi="Times New Roman"/>
                <w:color w:val="000000"/>
                <w:szCs w:val="26"/>
              </w:rPr>
              <w:t>Należy również podkreślić, iż p</w:t>
            </w:r>
            <w:r w:rsidRPr="00A123F5">
              <w:rPr>
                <w:rFonts w:ascii="Times New Roman" w:hAnsi="Times New Roman"/>
                <w:bCs/>
                <w:color w:val="000000"/>
                <w:szCs w:val="26"/>
              </w:rPr>
              <w:t xml:space="preserve">rawodawstwo w zakresie produktów biobójczych wymaga wymiany informacji z organami nadzoru. Pion Produktów Biobójczych </w:t>
            </w:r>
            <w:r w:rsidR="000572E2">
              <w:rPr>
                <w:rFonts w:ascii="Times New Roman" w:hAnsi="Times New Roman"/>
                <w:bCs/>
                <w:color w:val="000000"/>
                <w:szCs w:val="26"/>
              </w:rPr>
              <w:t xml:space="preserve">Urzędu </w:t>
            </w:r>
            <w:r w:rsidRPr="00A123F5">
              <w:rPr>
                <w:rFonts w:ascii="Times New Roman" w:hAnsi="Times New Roman"/>
                <w:color w:val="000000"/>
                <w:szCs w:val="26"/>
              </w:rPr>
              <w:t xml:space="preserve">rozpatruje zapytania przekazywane przez inne organy administracji centralnej oraz terenowe organy nadzoru. Można </w:t>
            </w:r>
            <w:r w:rsidR="00FA1965">
              <w:rPr>
                <w:rFonts w:ascii="Times New Roman" w:hAnsi="Times New Roman"/>
                <w:color w:val="000000"/>
                <w:szCs w:val="26"/>
              </w:rPr>
              <w:t xml:space="preserve">założyć, iż po wejściu w życie </w:t>
            </w:r>
            <w:r w:rsidRPr="00A123F5">
              <w:rPr>
                <w:rFonts w:ascii="Times New Roman" w:hAnsi="Times New Roman"/>
                <w:color w:val="000000"/>
                <w:szCs w:val="26"/>
              </w:rPr>
              <w:t>znowelizowanej ustawy, liczba zapytań, również od podmiotów odpowiedzialnych oraz innych przedstawicieli sektora przemysłu wzrośnie.</w:t>
            </w:r>
          </w:p>
          <w:p w14:paraId="7480722B" w14:textId="77777777" w:rsidR="0019538B" w:rsidRPr="0094720E" w:rsidRDefault="0019538B" w:rsidP="00996625">
            <w:pPr>
              <w:spacing w:line="240" w:lineRule="auto"/>
              <w:jc w:val="both"/>
              <w:rPr>
                <w:rFonts w:ascii="Times New Roman" w:hAnsi="Times New Roman"/>
                <w:b/>
                <w:color w:val="000000"/>
                <w:szCs w:val="26"/>
              </w:rPr>
            </w:pPr>
            <w:r w:rsidRPr="00A123F5">
              <w:rPr>
                <w:rFonts w:ascii="Times New Roman" w:hAnsi="Times New Roman"/>
                <w:color w:val="000000"/>
                <w:szCs w:val="26"/>
              </w:rPr>
              <w:t>Konieczne będzie przeprowadzenie szkoleń dla organów nadzoru, obejmujących przedstawienie planowanych zmian, ich genezy, celowości i skutków. Podobne szkolenia mogą być również zorganizowane dla przedsiębiorców i podmiotów odpowiedzialnych</w:t>
            </w:r>
            <w:r w:rsidRPr="0094720E">
              <w:rPr>
                <w:rFonts w:ascii="Times New Roman" w:hAnsi="Times New Roman"/>
                <w:b/>
                <w:color w:val="000000"/>
                <w:szCs w:val="26"/>
              </w:rPr>
              <w:t>.</w:t>
            </w:r>
          </w:p>
          <w:p w14:paraId="7EA8CFC2" w14:textId="4A09EA0B" w:rsidR="0019538B" w:rsidRPr="0094720E" w:rsidRDefault="0019538B" w:rsidP="00996625">
            <w:pPr>
              <w:spacing w:line="240" w:lineRule="auto"/>
              <w:jc w:val="both"/>
              <w:rPr>
                <w:rFonts w:ascii="Times New Roman" w:hAnsi="Times New Roman"/>
                <w:color w:val="000000"/>
              </w:rPr>
            </w:pPr>
            <w:r w:rsidRPr="0094720E">
              <w:rPr>
                <w:rFonts w:ascii="Times New Roman" w:hAnsi="Times New Roman"/>
                <w:color w:val="000000"/>
              </w:rPr>
              <w:t xml:space="preserve">Zmiany w prawodawstwie krajowym oraz sposób realizowania wymagań rozporządzenia 528/2012 będą przez pracowników Pionu Produktów Biobójczych </w:t>
            </w:r>
            <w:r w:rsidR="00D94D55">
              <w:rPr>
                <w:rFonts w:ascii="Times New Roman" w:hAnsi="Times New Roman"/>
                <w:color w:val="000000"/>
              </w:rPr>
              <w:t>Urzędu</w:t>
            </w:r>
            <w:r w:rsidR="000572E2">
              <w:rPr>
                <w:rFonts w:ascii="Times New Roman" w:hAnsi="Times New Roman"/>
                <w:color w:val="000000"/>
              </w:rPr>
              <w:t xml:space="preserve"> </w:t>
            </w:r>
            <w:r w:rsidRPr="0094720E">
              <w:rPr>
                <w:rFonts w:ascii="Times New Roman" w:hAnsi="Times New Roman"/>
                <w:color w:val="000000"/>
              </w:rPr>
              <w:t>sygnalizowane podczas dyskusji na forum unijnym, głównie podczas posiedzeń organów właściwych ds. produktów biobójczych. Wiąże się to z konieczności</w:t>
            </w:r>
            <w:r>
              <w:rPr>
                <w:rFonts w:ascii="Times New Roman" w:hAnsi="Times New Roman"/>
                <w:color w:val="000000"/>
              </w:rPr>
              <w:t>ą</w:t>
            </w:r>
            <w:r w:rsidRPr="0094720E">
              <w:rPr>
                <w:rFonts w:ascii="Times New Roman" w:hAnsi="Times New Roman"/>
                <w:color w:val="000000"/>
              </w:rPr>
              <w:t xml:space="preserve"> dodatkowej pracy oraz dokonywaniem roboczych tłumaczeń dokumentacji lub tekstów aktów prawnych w celu przedstawienia opinii na posiedzeniach unijnych gremiów.</w:t>
            </w:r>
          </w:p>
          <w:p w14:paraId="10096D75" w14:textId="5C36F8EA" w:rsidR="00C372A0" w:rsidRPr="00256A52" w:rsidRDefault="0019538B" w:rsidP="00C372A0">
            <w:pPr>
              <w:spacing w:line="240" w:lineRule="auto"/>
              <w:jc w:val="both"/>
              <w:rPr>
                <w:rFonts w:ascii="Times New Roman" w:hAnsi="Times New Roman"/>
                <w:color w:val="000000"/>
                <w:spacing w:val="-2"/>
              </w:rPr>
            </w:pPr>
            <w:r w:rsidRPr="0094720E">
              <w:rPr>
                <w:rFonts w:ascii="Times New Roman" w:hAnsi="Times New Roman"/>
                <w:color w:val="000000"/>
              </w:rPr>
              <w:t>Obecnie trudno jest podać szacunkowe dane co do prognozowanej liczby spraw na podstawie nowego prawodawstwa, jednak można założyć, iż liczba prowadzonych postępowań i zapytań wzrośnie, będą one bardziej złożone i tym samym będą wymagały zwięk</w:t>
            </w:r>
            <w:r w:rsidR="00FA1965">
              <w:rPr>
                <w:rFonts w:ascii="Times New Roman" w:hAnsi="Times New Roman"/>
                <w:color w:val="000000"/>
              </w:rPr>
              <w:t xml:space="preserve">szenia obecnego nakładu pracy. </w:t>
            </w:r>
            <w:r w:rsidRPr="0094720E">
              <w:rPr>
                <w:rFonts w:ascii="Times New Roman" w:hAnsi="Times New Roman"/>
                <w:color w:val="000000"/>
              </w:rPr>
              <w:t xml:space="preserve">W świetle powyższego wnioskowane etaty są niezbędne do prawidłowego wykonywania zadań związanych z nowelizowaną ustawą o produktach biobójczych. </w:t>
            </w:r>
            <w:r w:rsidR="0023454F">
              <w:rPr>
                <w:rFonts w:ascii="Times New Roman" w:hAnsi="Times New Roman"/>
                <w:color w:val="000000"/>
              </w:rPr>
              <w:t xml:space="preserve">Przykładem może być właśnie realizacja nieplanowanych zadań związanych </w:t>
            </w:r>
            <w:r w:rsidR="00E56A96" w:rsidRPr="00E56A96">
              <w:rPr>
                <w:rFonts w:ascii="Times New Roman" w:hAnsi="Times New Roman"/>
                <w:color w:val="000000"/>
              </w:rPr>
              <w:t xml:space="preserve">z rozprzestrzenianiem się </w:t>
            </w:r>
            <w:proofErr w:type="spellStart"/>
            <w:r w:rsidR="00E56A96" w:rsidRPr="00E56A96">
              <w:rPr>
                <w:rFonts w:ascii="Times New Roman" w:hAnsi="Times New Roman"/>
                <w:color w:val="000000"/>
              </w:rPr>
              <w:t>koronawirusa</w:t>
            </w:r>
            <w:proofErr w:type="spellEnd"/>
            <w:r w:rsidR="00E56A96" w:rsidRPr="00E56A96">
              <w:rPr>
                <w:rFonts w:ascii="Times New Roman" w:hAnsi="Times New Roman"/>
                <w:color w:val="000000"/>
              </w:rPr>
              <w:t xml:space="preserve"> SARS-CoV-2</w:t>
            </w:r>
            <w:r w:rsidR="0023454F">
              <w:rPr>
                <w:rFonts w:ascii="Times New Roman" w:hAnsi="Times New Roman"/>
                <w:color w:val="000000"/>
              </w:rPr>
              <w:t>.</w:t>
            </w:r>
            <w:r w:rsidR="00E56A96" w:rsidRPr="00E56A96">
              <w:rPr>
                <w:rFonts w:ascii="Times New Roman" w:hAnsi="Times New Roman"/>
                <w:color w:val="000000"/>
              </w:rPr>
              <w:t xml:space="preserve"> </w:t>
            </w:r>
            <w:r w:rsidR="00A95D32" w:rsidRPr="00A95D32">
              <w:rPr>
                <w:rFonts w:ascii="Times New Roman" w:hAnsi="Times New Roman"/>
                <w:color w:val="000000"/>
              </w:rPr>
              <w:t xml:space="preserve">Projektowane zmiany w ustawie o produktach biobójczych zakładają wzrost wpływającej do Urzędu dokumentacji wraz z niezbędnymi opłatami za wykonywane czynności Prezesa Urzędu, a co za tym idzie przekładają się na zwiększenie ilości pracy dla komórek merytorycznych jak również dla służb finansowych Urzędu. </w:t>
            </w:r>
            <w:r w:rsidR="007B5E50">
              <w:rPr>
                <w:rFonts w:ascii="Times New Roman" w:hAnsi="Times New Roman"/>
                <w:color w:val="000000"/>
              </w:rPr>
              <w:t>Prognozowane dochody zostały wyliczone w oparciu o</w:t>
            </w:r>
            <w:r w:rsidR="000C43F0">
              <w:rPr>
                <w:rFonts w:ascii="Times New Roman" w:hAnsi="Times New Roman"/>
                <w:color w:val="000000"/>
              </w:rPr>
              <w:t xml:space="preserve"> rutynowe prognozy dochodów dla dotychczasowego prawodawstwa  i </w:t>
            </w:r>
            <w:r w:rsidR="007B5E50">
              <w:rPr>
                <w:rFonts w:ascii="Times New Roman" w:hAnsi="Times New Roman"/>
                <w:color w:val="000000"/>
              </w:rPr>
              <w:t xml:space="preserve"> realizowanych kompetencji. Policzono 10% od </w:t>
            </w:r>
            <w:r w:rsidR="008E1272">
              <w:rPr>
                <w:rFonts w:ascii="Times New Roman" w:hAnsi="Times New Roman"/>
                <w:color w:val="000000"/>
              </w:rPr>
              <w:t xml:space="preserve">dochodów Urzędu </w:t>
            </w:r>
            <w:r w:rsidR="005D6832">
              <w:rPr>
                <w:rFonts w:ascii="Times New Roman" w:hAnsi="Times New Roman"/>
                <w:color w:val="000000"/>
              </w:rPr>
              <w:t xml:space="preserve">osiąganych </w:t>
            </w:r>
            <w:r w:rsidR="008E1272">
              <w:rPr>
                <w:rFonts w:ascii="Times New Roman" w:hAnsi="Times New Roman"/>
                <w:color w:val="000000"/>
              </w:rPr>
              <w:t xml:space="preserve">w ramach dotychczasowego brzmienia ustawy i przedstawiono jako dochód wynikający ze zmian </w:t>
            </w:r>
            <w:r w:rsidR="008E1272">
              <w:rPr>
                <w:rFonts w:ascii="Times New Roman" w:hAnsi="Times New Roman"/>
                <w:color w:val="000000"/>
              </w:rPr>
              <w:lastRenderedPageBreak/>
              <w:t xml:space="preserve">wprowadzonych niniejszym projektem ustawy. 10 % wynika z zakładanego wzrostu wniosków przedkładanych do Urzędu w związku z uproszczeniem procedur. Dodatkową składową dochodów stanowią koszty składek na ubezpieczenia </w:t>
            </w:r>
            <w:r w:rsidR="00CF4800">
              <w:rPr>
                <w:rFonts w:ascii="Times New Roman" w:hAnsi="Times New Roman"/>
                <w:color w:val="000000"/>
              </w:rPr>
              <w:t>społeczne</w:t>
            </w:r>
            <w:r w:rsidR="008E1272">
              <w:rPr>
                <w:rFonts w:ascii="Times New Roman" w:hAnsi="Times New Roman"/>
                <w:color w:val="000000"/>
              </w:rPr>
              <w:t xml:space="preserve"> i zdrowotne od nowych etatów. </w:t>
            </w:r>
            <w:r w:rsidR="000C43F0">
              <w:rPr>
                <w:rFonts w:ascii="Times New Roman" w:hAnsi="Times New Roman"/>
                <w:color w:val="000000"/>
              </w:rPr>
              <w:t>Kolejna zakładaną składowa dochodów są ewentualne wpływy z</w:t>
            </w:r>
            <w:r w:rsidR="00C372A0">
              <w:rPr>
                <w:rFonts w:ascii="Times New Roman" w:hAnsi="Times New Roman"/>
                <w:color w:val="000000"/>
              </w:rPr>
              <w:t xml:space="preserve"> p</w:t>
            </w:r>
            <w:r w:rsidR="000C43F0">
              <w:rPr>
                <w:rFonts w:ascii="Times New Roman" w:hAnsi="Times New Roman"/>
                <w:color w:val="000000"/>
                <w:spacing w:val="-2"/>
              </w:rPr>
              <w:t>lanowanych</w:t>
            </w:r>
            <w:r w:rsidR="00C372A0">
              <w:rPr>
                <w:rFonts w:ascii="Times New Roman" w:hAnsi="Times New Roman"/>
                <w:color w:val="000000"/>
                <w:spacing w:val="-2"/>
              </w:rPr>
              <w:t xml:space="preserve"> zmian w zakresie opłat</w:t>
            </w:r>
            <w:r w:rsidR="000C43F0">
              <w:rPr>
                <w:rFonts w:ascii="Times New Roman" w:hAnsi="Times New Roman"/>
                <w:color w:val="000000"/>
                <w:spacing w:val="-2"/>
              </w:rPr>
              <w:t xml:space="preserve">, </w:t>
            </w:r>
            <w:r w:rsidR="00C372A0">
              <w:rPr>
                <w:rFonts w:ascii="Times New Roman" w:hAnsi="Times New Roman"/>
                <w:color w:val="000000"/>
                <w:spacing w:val="-2"/>
              </w:rPr>
              <w:t xml:space="preserve">w przypadku przedkładania wniosków </w:t>
            </w:r>
            <w:r w:rsidR="00C372A0" w:rsidRPr="00256A52">
              <w:rPr>
                <w:rFonts w:ascii="Times New Roman" w:hAnsi="Times New Roman"/>
                <w:color w:val="000000"/>
                <w:spacing w:val="-2"/>
              </w:rPr>
              <w:t>o doradztwo Prezesa Urzędu w zakresie odpowiedzialności i obowiązków, o których mowa w art. 81 ust. 2 rozporz</w:t>
            </w:r>
            <w:r w:rsidR="000C43F0">
              <w:rPr>
                <w:rFonts w:ascii="Times New Roman" w:hAnsi="Times New Roman"/>
                <w:color w:val="000000"/>
                <w:spacing w:val="-2"/>
              </w:rPr>
              <w:t>ądzenia 528/2012 oraz udzielania</w:t>
            </w:r>
            <w:r w:rsidR="00C372A0" w:rsidRPr="00256A52">
              <w:rPr>
                <w:rFonts w:ascii="Times New Roman" w:hAnsi="Times New Roman"/>
                <w:color w:val="000000"/>
                <w:spacing w:val="-2"/>
              </w:rPr>
              <w:t xml:space="preserve"> informacji w zakresie stosowania rozporządzenia 528/2012 i ustawy.</w:t>
            </w:r>
          </w:p>
          <w:p w14:paraId="54B8DAD3" w14:textId="3B76EF84" w:rsidR="00C372A0" w:rsidRDefault="00C372A0" w:rsidP="00C372A0">
            <w:pPr>
              <w:spacing w:line="240" w:lineRule="auto"/>
              <w:jc w:val="both"/>
              <w:rPr>
                <w:rFonts w:ascii="Times New Roman" w:hAnsi="Times New Roman"/>
                <w:color w:val="000000"/>
                <w:spacing w:val="-2"/>
              </w:rPr>
            </w:pPr>
            <w:r>
              <w:rPr>
                <w:rFonts w:ascii="Times New Roman" w:hAnsi="Times New Roman"/>
                <w:color w:val="000000"/>
                <w:spacing w:val="-2"/>
              </w:rPr>
              <w:t>W</w:t>
            </w:r>
            <w:r w:rsidR="000C43F0">
              <w:rPr>
                <w:rFonts w:ascii="Times New Roman" w:hAnsi="Times New Roman"/>
                <w:color w:val="000000"/>
                <w:spacing w:val="-2"/>
              </w:rPr>
              <w:t xml:space="preserve">ysokość i struktura opłat są </w:t>
            </w:r>
            <w:r>
              <w:rPr>
                <w:rFonts w:ascii="Times New Roman" w:hAnsi="Times New Roman"/>
                <w:color w:val="000000"/>
                <w:spacing w:val="-2"/>
              </w:rPr>
              <w:t xml:space="preserve">nadal przedmiotem ustaleń. </w:t>
            </w:r>
          </w:p>
          <w:p w14:paraId="3492F8AF" w14:textId="4F2EF0EF" w:rsidR="005D6832" w:rsidRDefault="00D975C3" w:rsidP="00D975C3">
            <w:pPr>
              <w:spacing w:line="240" w:lineRule="auto"/>
              <w:jc w:val="both"/>
              <w:rPr>
                <w:rFonts w:ascii="Times New Roman" w:hAnsi="Times New Roman"/>
                <w:color w:val="000000"/>
              </w:rPr>
            </w:pPr>
            <w:r>
              <w:rPr>
                <w:rFonts w:ascii="Times New Roman" w:hAnsi="Times New Roman"/>
                <w:color w:val="000000"/>
              </w:rPr>
              <w:t xml:space="preserve">Należy jednak podkreślić, iż </w:t>
            </w:r>
            <w:r w:rsidRPr="00D975C3">
              <w:rPr>
                <w:rFonts w:ascii="Times New Roman" w:hAnsi="Times New Roman"/>
                <w:color w:val="000000"/>
              </w:rPr>
              <w:t>nie wszystkie zadania wynikające z nowelizowanej ustawy podlegają</w:t>
            </w:r>
            <w:r>
              <w:rPr>
                <w:rFonts w:ascii="Times New Roman" w:hAnsi="Times New Roman"/>
                <w:color w:val="000000"/>
              </w:rPr>
              <w:t xml:space="preserve"> </w:t>
            </w:r>
            <w:r w:rsidRPr="00D975C3">
              <w:rPr>
                <w:rFonts w:ascii="Times New Roman" w:hAnsi="Times New Roman"/>
                <w:color w:val="000000"/>
              </w:rPr>
              <w:t>opłatom i przynoszą dochód. Część zadań realizowanych przez pracowników Pionu</w:t>
            </w:r>
            <w:r>
              <w:rPr>
                <w:rFonts w:ascii="Times New Roman" w:hAnsi="Times New Roman"/>
                <w:color w:val="000000"/>
              </w:rPr>
              <w:t xml:space="preserve"> </w:t>
            </w:r>
            <w:r w:rsidRPr="00D975C3">
              <w:rPr>
                <w:rFonts w:ascii="Times New Roman" w:hAnsi="Times New Roman"/>
                <w:color w:val="000000"/>
              </w:rPr>
              <w:t>Produktów Biobójczych jest nieodpłatna, jak np. udzielanie informacji w zakresie stosowania</w:t>
            </w:r>
            <w:r>
              <w:rPr>
                <w:rFonts w:ascii="Times New Roman" w:hAnsi="Times New Roman"/>
                <w:color w:val="000000"/>
              </w:rPr>
              <w:t xml:space="preserve"> </w:t>
            </w:r>
            <w:r w:rsidRPr="00D975C3">
              <w:rPr>
                <w:rFonts w:ascii="Times New Roman" w:hAnsi="Times New Roman"/>
                <w:color w:val="000000"/>
              </w:rPr>
              <w:t>przepisów dotyczących produktów biobójczych, zarówno w drodze korespondencji</w:t>
            </w:r>
            <w:r>
              <w:rPr>
                <w:rFonts w:ascii="Times New Roman" w:hAnsi="Times New Roman"/>
                <w:color w:val="000000"/>
              </w:rPr>
              <w:t xml:space="preserve"> </w:t>
            </w:r>
            <w:r w:rsidRPr="00D975C3">
              <w:rPr>
                <w:rFonts w:ascii="Times New Roman" w:hAnsi="Times New Roman"/>
                <w:color w:val="000000"/>
              </w:rPr>
              <w:t>pocztowej, mailowej jak również konsultacji telefonicznych, prowadzenie Wykazu</w:t>
            </w:r>
            <w:r>
              <w:rPr>
                <w:rFonts w:ascii="Times New Roman" w:hAnsi="Times New Roman"/>
                <w:color w:val="000000"/>
              </w:rPr>
              <w:t xml:space="preserve"> </w:t>
            </w:r>
            <w:r w:rsidRPr="00D975C3">
              <w:rPr>
                <w:rFonts w:ascii="Times New Roman" w:hAnsi="Times New Roman"/>
                <w:color w:val="000000"/>
              </w:rPr>
              <w:t>Produktów Biobójczych, czy współpraca z Komisją Europejską i Europejską Agencją</w:t>
            </w:r>
            <w:r>
              <w:rPr>
                <w:rFonts w:ascii="Times New Roman" w:hAnsi="Times New Roman"/>
                <w:color w:val="000000"/>
              </w:rPr>
              <w:t xml:space="preserve"> </w:t>
            </w:r>
            <w:r w:rsidRPr="00D975C3">
              <w:rPr>
                <w:rFonts w:ascii="Times New Roman" w:hAnsi="Times New Roman"/>
                <w:color w:val="000000"/>
              </w:rPr>
              <w:t xml:space="preserve">Chemikaliów w Helsinkach. </w:t>
            </w:r>
          </w:p>
          <w:p w14:paraId="133A34FD" w14:textId="5B17A147" w:rsidR="007B5E50" w:rsidRDefault="008E1272" w:rsidP="00A95D32">
            <w:pPr>
              <w:spacing w:line="240" w:lineRule="auto"/>
              <w:jc w:val="both"/>
              <w:rPr>
                <w:rFonts w:ascii="Times New Roman" w:hAnsi="Times New Roman"/>
                <w:color w:val="000000"/>
              </w:rPr>
            </w:pPr>
            <w:r>
              <w:rPr>
                <w:rFonts w:ascii="Times New Roman" w:hAnsi="Times New Roman"/>
                <w:color w:val="000000"/>
              </w:rPr>
              <w:t>Dla poprawienia czytelności kwoty przedstawiono w zaokrągleniu do dziesiątej części miliona złotych.</w:t>
            </w:r>
          </w:p>
          <w:p w14:paraId="6F13A6C5" w14:textId="2FFADCB3" w:rsidR="00CF4800" w:rsidRDefault="00CF4800" w:rsidP="00A95D32">
            <w:pPr>
              <w:spacing w:line="240" w:lineRule="auto"/>
              <w:jc w:val="both"/>
              <w:rPr>
                <w:rFonts w:ascii="Times New Roman" w:hAnsi="Times New Roman"/>
                <w:color w:val="000000"/>
              </w:rPr>
            </w:pPr>
            <w:r>
              <w:rPr>
                <w:rFonts w:ascii="Times New Roman" w:hAnsi="Times New Roman"/>
                <w:color w:val="000000"/>
              </w:rPr>
              <w:t xml:space="preserve">Oszacowanie przyrostu liczby spraw oraz średniego czasu przeznaczonego na sprawę z uwagi na specyfikę realizowanych zadań jest utrudnione. Należy podkreślić, iż na bieżąco realizowany jest program oceny substancji czynnych, od którego uzależniony jest rodzaj stosowanych procedur rejestracyjnych. </w:t>
            </w:r>
          </w:p>
          <w:p w14:paraId="45F17C18" w14:textId="717E3640" w:rsidR="006C5520" w:rsidRPr="00A95D32" w:rsidRDefault="006C5520" w:rsidP="00A95D32">
            <w:pPr>
              <w:spacing w:line="240" w:lineRule="auto"/>
              <w:jc w:val="both"/>
              <w:rPr>
                <w:rFonts w:ascii="Times New Roman" w:hAnsi="Times New Roman"/>
                <w:color w:val="000000"/>
              </w:rPr>
            </w:pPr>
            <w:r w:rsidRPr="006C5520">
              <w:rPr>
                <w:rFonts w:ascii="Times New Roman" w:hAnsi="Times New Roman"/>
                <w:color w:val="000000"/>
              </w:rPr>
              <w:t xml:space="preserve">Rejestracja produktów biobójczych realizowana jest w oparciu o procedurę narodową lub zharmonizowane tzw. procedury europejskie. Dobór odpowiedniej procedury rejestracji zależy od statusu zawartej w produkcie substancji czynnej. Jeśli substancja czynna jest nadal badana pod względem zastosowania w produktach biobójczych, rejestracja przebiega </w:t>
            </w:r>
            <w:r w:rsidR="005D6832">
              <w:rPr>
                <w:rFonts w:ascii="Times New Roman" w:hAnsi="Times New Roman"/>
                <w:color w:val="000000"/>
              </w:rPr>
              <w:t>według tzw. procedury narodowej</w:t>
            </w:r>
            <w:r w:rsidRPr="006C5520">
              <w:rPr>
                <w:rFonts w:ascii="Times New Roman" w:hAnsi="Times New Roman"/>
                <w:color w:val="000000"/>
              </w:rPr>
              <w:t>. Z kolei, jeśli wszystkie substancje czynne zawarte w produkcie biobójczym zostały zatwierdzone w poszczególnych grupach produktowych, rejestracja przebiega zgodnie z procedurą europejską.</w:t>
            </w:r>
            <w:r>
              <w:rPr>
                <w:rFonts w:ascii="Times New Roman" w:hAnsi="Times New Roman"/>
                <w:color w:val="000000"/>
              </w:rPr>
              <w:t xml:space="preserve"> W miarę postępu programu oceny substancji czynnych coraz więcej substancji jest zatwierdzanych i tym samym wnioskodawcy będą zobligowani do przedkładania wniosków w procedurach europejskich, generujących znacznie większy dochód. Niemniej jednak niemożliwe jest oszacowanie tempa i dalszego przebiegu zatwierdzania substancji czynnych na poziomie wspólnotowym.</w:t>
            </w:r>
            <w:r w:rsidR="005D6832">
              <w:rPr>
                <w:rFonts w:ascii="Times New Roman" w:hAnsi="Times New Roman"/>
                <w:color w:val="000000"/>
              </w:rPr>
              <w:t xml:space="preserve"> Kolejnym czynnikiem utrudniającym ilościowe oszacowanie jest nieprzewidywalna dynamika składania wniosków. </w:t>
            </w:r>
          </w:p>
          <w:p w14:paraId="29BF6912" w14:textId="1CF6BDC3" w:rsidR="00A95D32" w:rsidRPr="00A95D32" w:rsidRDefault="008E1272" w:rsidP="00A95D32">
            <w:pPr>
              <w:spacing w:line="240" w:lineRule="auto"/>
              <w:jc w:val="both"/>
              <w:rPr>
                <w:rFonts w:ascii="Times New Roman" w:hAnsi="Times New Roman"/>
                <w:color w:val="000000"/>
              </w:rPr>
            </w:pPr>
            <w:r>
              <w:rPr>
                <w:rFonts w:ascii="Times New Roman" w:hAnsi="Times New Roman"/>
                <w:color w:val="000000"/>
              </w:rPr>
              <w:t xml:space="preserve"> </w:t>
            </w:r>
          </w:p>
          <w:p w14:paraId="47D9A0AC" w14:textId="17C65EBE" w:rsidR="0019538B" w:rsidRPr="00A123F5" w:rsidRDefault="00A95D32" w:rsidP="00996625">
            <w:pPr>
              <w:spacing w:line="240" w:lineRule="auto"/>
              <w:jc w:val="both"/>
              <w:rPr>
                <w:color w:val="000000"/>
              </w:rPr>
            </w:pPr>
            <w:r w:rsidRPr="00A95D32">
              <w:rPr>
                <w:rFonts w:ascii="Times New Roman" w:hAnsi="Times New Roman"/>
                <w:color w:val="000000"/>
              </w:rPr>
              <w:t xml:space="preserve">Wobec powyższego </w:t>
            </w:r>
            <w:r w:rsidR="00103C4E">
              <w:rPr>
                <w:rFonts w:ascii="Times New Roman" w:hAnsi="Times New Roman"/>
                <w:color w:val="000000"/>
              </w:rPr>
              <w:t>celem zapewnienia</w:t>
            </w:r>
            <w:r w:rsidRPr="00A95D32">
              <w:rPr>
                <w:rFonts w:ascii="Times New Roman" w:hAnsi="Times New Roman"/>
                <w:color w:val="000000"/>
              </w:rPr>
              <w:t xml:space="preserve"> rzeteln</w:t>
            </w:r>
            <w:r w:rsidR="00103C4E">
              <w:rPr>
                <w:rFonts w:ascii="Times New Roman" w:hAnsi="Times New Roman"/>
                <w:color w:val="000000"/>
              </w:rPr>
              <w:t>ego</w:t>
            </w:r>
            <w:r w:rsidRPr="00A95D32">
              <w:rPr>
                <w:rFonts w:ascii="Times New Roman" w:hAnsi="Times New Roman"/>
                <w:color w:val="000000"/>
              </w:rPr>
              <w:t xml:space="preserve"> i terminow</w:t>
            </w:r>
            <w:r w:rsidR="00103C4E">
              <w:rPr>
                <w:rFonts w:ascii="Times New Roman" w:hAnsi="Times New Roman"/>
                <w:color w:val="000000"/>
              </w:rPr>
              <w:t>ego</w:t>
            </w:r>
            <w:r w:rsidRPr="00A95D32">
              <w:rPr>
                <w:rFonts w:ascii="Times New Roman" w:hAnsi="Times New Roman"/>
                <w:color w:val="000000"/>
              </w:rPr>
              <w:t xml:space="preserve"> </w:t>
            </w:r>
            <w:r w:rsidR="00103C4E">
              <w:rPr>
                <w:rFonts w:ascii="Times New Roman" w:hAnsi="Times New Roman"/>
                <w:color w:val="000000"/>
              </w:rPr>
              <w:t>przebiegu postępowań</w:t>
            </w:r>
            <w:r w:rsidRPr="00A95D32">
              <w:rPr>
                <w:rFonts w:ascii="Times New Roman" w:hAnsi="Times New Roman"/>
                <w:color w:val="000000"/>
              </w:rPr>
              <w:t>, konieczne jest przydzielenie 1 etatu do obsługi finansowo-księgowej w celu realizacji zadań związanych w szczególności z szeroko pojętą weryfikacją wpływających opłat do Urzędu, dokonywania niezbędnych księgowań, a w następstwie możliwość przygotowania odpowiednich statystyk, raportów i zestawień  finansowych oraz sporządzenia sprawozdawczości wynikającej z przepisów prawa.</w:t>
            </w:r>
          </w:p>
          <w:p w14:paraId="167A6A43" w14:textId="0682140F" w:rsidR="00951A5C" w:rsidRPr="004E3247" w:rsidRDefault="00FA1965" w:rsidP="004E3247">
            <w:pPr>
              <w:pStyle w:val="NIEARTTEKSTtekstnieartykuowanynppodstprawnarozplubpreambu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 xml:space="preserve">Powyższe, </w:t>
            </w:r>
            <w:r w:rsidR="0019538B">
              <w:rPr>
                <w:rFonts w:ascii="Times New Roman" w:hAnsi="Times New Roman" w:cs="Times New Roman"/>
                <w:sz w:val="22"/>
                <w:szCs w:val="22"/>
              </w:rPr>
              <w:t>w świetle projektowanych zmian, mających na celu nie tylko realizację wyroku TSUE, ale przede wszystkim zapewnienie właściwej, kompleksowej i terminowej realizacji  przepisów rozporządzenia 528/2012</w:t>
            </w:r>
            <w:r w:rsidR="002D5A2C">
              <w:rPr>
                <w:rFonts w:ascii="Times New Roman" w:hAnsi="Times New Roman" w:cs="Times New Roman"/>
                <w:sz w:val="22"/>
                <w:szCs w:val="22"/>
              </w:rPr>
              <w:t>,</w:t>
            </w:r>
            <w:r w:rsidR="0019538B">
              <w:rPr>
                <w:rFonts w:ascii="Times New Roman" w:hAnsi="Times New Roman" w:cs="Times New Roman"/>
                <w:sz w:val="22"/>
                <w:szCs w:val="22"/>
              </w:rPr>
              <w:t xml:space="preserve"> uzasadnia </w:t>
            </w:r>
            <w:r w:rsidR="0019538B" w:rsidRPr="000735FA">
              <w:rPr>
                <w:rFonts w:ascii="Times New Roman" w:hAnsi="Times New Roman" w:cs="Times New Roman"/>
                <w:sz w:val="22"/>
                <w:szCs w:val="22"/>
              </w:rPr>
              <w:t>wniosk</w:t>
            </w:r>
            <w:r w:rsidR="0019538B">
              <w:rPr>
                <w:rFonts w:ascii="Times New Roman" w:hAnsi="Times New Roman" w:cs="Times New Roman"/>
                <w:sz w:val="22"/>
                <w:szCs w:val="22"/>
              </w:rPr>
              <w:t>owanie</w:t>
            </w:r>
            <w:r w:rsidR="0019538B" w:rsidRPr="000735FA">
              <w:rPr>
                <w:rFonts w:ascii="Times New Roman" w:hAnsi="Times New Roman" w:cs="Times New Roman"/>
                <w:sz w:val="22"/>
                <w:szCs w:val="22"/>
              </w:rPr>
              <w:t xml:space="preserve"> o przyznanie 16 dodatkowych etatów w Pionie Produktów Biobójczych </w:t>
            </w:r>
            <w:r w:rsidR="002D5A2C">
              <w:rPr>
                <w:rFonts w:ascii="Times New Roman" w:hAnsi="Times New Roman" w:cs="Times New Roman"/>
                <w:sz w:val="22"/>
                <w:szCs w:val="22"/>
              </w:rPr>
              <w:t xml:space="preserve">Urzędu </w:t>
            </w:r>
            <w:r w:rsidR="0019538B" w:rsidRPr="000735FA">
              <w:rPr>
                <w:rFonts w:ascii="Times New Roman" w:hAnsi="Times New Roman" w:cs="Times New Roman"/>
                <w:sz w:val="22"/>
                <w:szCs w:val="22"/>
              </w:rPr>
              <w:t>oraz 2 etatów dla Biura Administracyjno-Gospodarczego</w:t>
            </w:r>
            <w:r w:rsidR="002D5A2C">
              <w:rPr>
                <w:rFonts w:ascii="Times New Roman" w:hAnsi="Times New Roman" w:cs="Times New Roman"/>
                <w:sz w:val="22"/>
                <w:szCs w:val="22"/>
              </w:rPr>
              <w:t xml:space="preserve"> Urzędu </w:t>
            </w:r>
            <w:r w:rsidR="0019538B" w:rsidRPr="000735FA">
              <w:rPr>
                <w:rFonts w:ascii="Times New Roman" w:hAnsi="Times New Roman" w:cs="Times New Roman"/>
                <w:sz w:val="22"/>
                <w:szCs w:val="22"/>
              </w:rPr>
              <w:t xml:space="preserve"> przeznaczonych na wsparcie informatyczne Pionu Produktów Biobójczych oraz </w:t>
            </w:r>
            <w:r w:rsidR="00A95D32">
              <w:rPr>
                <w:rFonts w:ascii="Times New Roman" w:hAnsi="Times New Roman" w:cs="Times New Roman"/>
                <w:sz w:val="22"/>
                <w:szCs w:val="22"/>
              </w:rPr>
              <w:t>1</w:t>
            </w:r>
            <w:r w:rsidR="00A95D32" w:rsidRPr="000735FA">
              <w:rPr>
                <w:rFonts w:ascii="Times New Roman" w:hAnsi="Times New Roman" w:cs="Times New Roman"/>
                <w:sz w:val="22"/>
                <w:szCs w:val="22"/>
              </w:rPr>
              <w:t xml:space="preserve"> </w:t>
            </w:r>
            <w:r w:rsidR="0019538B" w:rsidRPr="000735FA">
              <w:rPr>
                <w:rFonts w:ascii="Times New Roman" w:hAnsi="Times New Roman" w:cs="Times New Roman"/>
                <w:sz w:val="22"/>
                <w:szCs w:val="22"/>
              </w:rPr>
              <w:t>etat</w:t>
            </w:r>
            <w:r w:rsidR="00A95D32">
              <w:rPr>
                <w:rFonts w:ascii="Times New Roman" w:hAnsi="Times New Roman" w:cs="Times New Roman"/>
                <w:sz w:val="22"/>
                <w:szCs w:val="22"/>
              </w:rPr>
              <w:t>u</w:t>
            </w:r>
            <w:r w:rsidR="0019538B" w:rsidRPr="000735FA">
              <w:rPr>
                <w:rFonts w:ascii="Times New Roman" w:hAnsi="Times New Roman" w:cs="Times New Roman"/>
                <w:sz w:val="22"/>
                <w:szCs w:val="22"/>
              </w:rPr>
              <w:t xml:space="preserve"> w Departamencie Prawnym Urzędu</w:t>
            </w:r>
            <w:r w:rsidR="00A95D32">
              <w:rPr>
                <w:rFonts w:ascii="Times New Roman" w:hAnsi="Times New Roman" w:cs="Times New Roman"/>
                <w:sz w:val="22"/>
                <w:szCs w:val="22"/>
              </w:rPr>
              <w:t xml:space="preserve"> i 1 etatu w Biurze Finansowo- Księgowym.</w:t>
            </w:r>
          </w:p>
          <w:p w14:paraId="2C211A7F" w14:textId="53405269" w:rsidR="00B60985" w:rsidRPr="0011555C" w:rsidRDefault="00B60985" w:rsidP="0011555C">
            <w:pPr>
              <w:pStyle w:val="ARTartustawynprozporzdzenia"/>
              <w:spacing w:line="240" w:lineRule="auto"/>
              <w:rPr>
                <w:sz w:val="22"/>
                <w:szCs w:val="22"/>
              </w:rPr>
            </w:pPr>
            <w:r w:rsidRPr="0011555C">
              <w:rPr>
                <w:sz w:val="22"/>
                <w:szCs w:val="22"/>
              </w:rPr>
              <w:t xml:space="preserve">W uzasadnieniu </w:t>
            </w:r>
            <w:r w:rsidRPr="004E3247">
              <w:rPr>
                <w:sz w:val="22"/>
                <w:szCs w:val="22"/>
              </w:rPr>
              <w:t>zmodyfikowanej</w:t>
            </w:r>
            <w:r w:rsidRPr="0011555C">
              <w:rPr>
                <w:sz w:val="22"/>
                <w:szCs w:val="22"/>
              </w:rPr>
              <w:t xml:space="preserve"> proponowanej kwoty wynagrodzenia do wyliczeń OSR </w:t>
            </w:r>
            <w:r w:rsidR="00C35A07">
              <w:rPr>
                <w:sz w:val="22"/>
                <w:szCs w:val="22"/>
              </w:rPr>
              <w:t>należy</w:t>
            </w:r>
            <w:r w:rsidRPr="0011555C">
              <w:rPr>
                <w:sz w:val="22"/>
                <w:szCs w:val="22"/>
              </w:rPr>
              <w:t xml:space="preserve"> poinformować, iż od początku istnienia Urzędu tj. od 2002 roku jednostka nigdy nie otrzymała środków na podwyższenie uposażenia pracownikom aby zrównać ich wynagrodzenia z pozostałymi jednostkami podległymi MZ. Wynagrodzenia były jedynie zwiększane o wskaźnik inflacji zapisany w ustawie budżetowej. </w:t>
            </w:r>
          </w:p>
          <w:p w14:paraId="1EBBA4E3" w14:textId="43F8216B" w:rsidR="00B60985" w:rsidRPr="0011555C" w:rsidRDefault="00B60985" w:rsidP="0011555C">
            <w:pPr>
              <w:pStyle w:val="ARTartustawynprozporzdzenia"/>
              <w:spacing w:line="240" w:lineRule="auto"/>
              <w:rPr>
                <w:sz w:val="22"/>
                <w:szCs w:val="22"/>
              </w:rPr>
            </w:pPr>
            <w:r w:rsidRPr="0011555C">
              <w:rPr>
                <w:sz w:val="22"/>
                <w:szCs w:val="22"/>
              </w:rPr>
              <w:t>Skutkiem tej sytuacji jest niski poziom wynagrodzeń pracowników, a co za tym idzie duża fluktuacja kadr</w:t>
            </w:r>
            <w:r w:rsidR="00D24B1D">
              <w:rPr>
                <w:sz w:val="22"/>
                <w:szCs w:val="22"/>
              </w:rPr>
              <w:t>.</w:t>
            </w:r>
          </w:p>
          <w:p w14:paraId="565E6FE3" w14:textId="77777777" w:rsidR="00C15270" w:rsidRDefault="00B60985" w:rsidP="0011555C">
            <w:pPr>
              <w:pStyle w:val="ARTartustawynprozporzdzenia"/>
              <w:spacing w:line="240" w:lineRule="auto"/>
              <w:rPr>
                <w:sz w:val="22"/>
                <w:szCs w:val="22"/>
              </w:rPr>
            </w:pPr>
            <w:r w:rsidRPr="0011555C">
              <w:rPr>
                <w:sz w:val="22"/>
                <w:szCs w:val="22"/>
              </w:rPr>
              <w:t>Niniejsza sytuacja najlepiej obrazuje jak trudna jest sytuacja Urzędu w obszarze wynagrodzeń, skoro nawet pandemia Covid-19, która w pewnym stopniu zmieniła rynek pracy (zmniejszyła ilość dostępnych stanowisk pracy, zwiększyła zainteresowanie stabilnymi stanowiskami pracy), nie jest w stanie w istotny sposób zmniejszyć fluktuacji pracowników w Urzędzie.</w:t>
            </w:r>
            <w:r w:rsidR="00C15270">
              <w:rPr>
                <w:sz w:val="22"/>
                <w:szCs w:val="22"/>
              </w:rPr>
              <w:t xml:space="preserve"> </w:t>
            </w:r>
          </w:p>
          <w:p w14:paraId="6D590022" w14:textId="5B5A0A29" w:rsidR="00B60985" w:rsidRPr="0011555C" w:rsidRDefault="00B60985" w:rsidP="0011555C">
            <w:pPr>
              <w:pStyle w:val="ARTartustawynprozporzdzenia"/>
              <w:spacing w:line="240" w:lineRule="auto"/>
              <w:rPr>
                <w:sz w:val="22"/>
                <w:szCs w:val="22"/>
              </w:rPr>
            </w:pPr>
            <w:r w:rsidRPr="0011555C">
              <w:rPr>
                <w:sz w:val="22"/>
                <w:szCs w:val="22"/>
              </w:rPr>
              <w:t xml:space="preserve">Niestety z uwagi na zbyt niskie zarobki, Urząd stał się miejscem, w którym pracownicy zostają przeszkoleni i przygotowani do wykonywania obowiązków, a następnie zdobyty przez nich potencjał zawodowy, wykorzystywany jest przez firmy </w:t>
            </w:r>
            <w:r w:rsidR="00C15270">
              <w:rPr>
                <w:sz w:val="22"/>
                <w:szCs w:val="22"/>
              </w:rPr>
              <w:t xml:space="preserve">doradcze w zakresie produktów </w:t>
            </w:r>
            <w:r w:rsidR="00C15270">
              <w:rPr>
                <w:sz w:val="22"/>
                <w:szCs w:val="22"/>
              </w:rPr>
              <w:lastRenderedPageBreak/>
              <w:t xml:space="preserve">biobójczych lub </w:t>
            </w:r>
            <w:r w:rsidR="00951A5C">
              <w:rPr>
                <w:sz w:val="22"/>
                <w:szCs w:val="22"/>
              </w:rPr>
              <w:t>firmy branżowe</w:t>
            </w:r>
            <w:r w:rsidRPr="0011555C">
              <w:rPr>
                <w:sz w:val="22"/>
                <w:szCs w:val="22"/>
              </w:rPr>
              <w:t>, które chętnie zatrudniają pracowników Urzędu oferując im zdecydowanie bardziej konkurencyjne warunki zatrudnienia.</w:t>
            </w:r>
            <w:r w:rsidR="00C15270">
              <w:rPr>
                <w:sz w:val="22"/>
                <w:szCs w:val="22"/>
              </w:rPr>
              <w:t xml:space="preserve"> </w:t>
            </w:r>
          </w:p>
          <w:p w14:paraId="0A671915" w14:textId="114C577D" w:rsidR="00B60985" w:rsidRPr="0011555C" w:rsidRDefault="00B60985" w:rsidP="0011555C">
            <w:pPr>
              <w:pStyle w:val="ARTartustawynprozporzdzenia"/>
              <w:spacing w:line="240" w:lineRule="auto"/>
              <w:rPr>
                <w:sz w:val="22"/>
                <w:szCs w:val="22"/>
              </w:rPr>
            </w:pPr>
            <w:r w:rsidRPr="0011555C">
              <w:rPr>
                <w:sz w:val="22"/>
                <w:szCs w:val="22"/>
              </w:rPr>
              <w:t>Pozyskanie nowych wysokokwalifikowanych pracowników (</w:t>
            </w:r>
            <w:r w:rsidR="00951A5C">
              <w:rPr>
                <w:sz w:val="22"/>
                <w:szCs w:val="22"/>
              </w:rPr>
              <w:t xml:space="preserve">toksykologów, </w:t>
            </w:r>
            <w:proofErr w:type="spellStart"/>
            <w:r w:rsidR="00951A5C">
              <w:rPr>
                <w:sz w:val="22"/>
                <w:szCs w:val="22"/>
              </w:rPr>
              <w:t>ekotoksykologów</w:t>
            </w:r>
            <w:proofErr w:type="spellEnd"/>
            <w:r w:rsidR="00951A5C">
              <w:rPr>
                <w:sz w:val="22"/>
                <w:szCs w:val="22"/>
              </w:rPr>
              <w:t>, chemików, biotechnologów, biologów</w:t>
            </w:r>
            <w:r w:rsidRPr="0011555C">
              <w:rPr>
                <w:sz w:val="22"/>
                <w:szCs w:val="22"/>
              </w:rPr>
              <w:t xml:space="preserve"> itp.) przy wynagrodzeniach, które Urząd jest w stanie zaproponować jest bardzo trudne, a czasami wręcz niemożliwe. Z drugiej strony </w:t>
            </w:r>
            <w:r w:rsidR="00951A5C">
              <w:rPr>
                <w:sz w:val="22"/>
                <w:szCs w:val="22"/>
              </w:rPr>
              <w:t xml:space="preserve">przemysł </w:t>
            </w:r>
            <w:r w:rsidR="00951A5C" w:rsidRPr="00951A5C">
              <w:rPr>
                <w:sz w:val="22"/>
                <w:szCs w:val="22"/>
              </w:rPr>
              <w:t xml:space="preserve"> proponuje</w:t>
            </w:r>
            <w:r w:rsidRPr="0011555C">
              <w:rPr>
                <w:sz w:val="22"/>
                <w:szCs w:val="22"/>
              </w:rPr>
              <w:t xml:space="preserve"> wysokie wynagrodzenia, dlatego też tracimy wyszkolonych przez Urząd pracowników, często z długoletnim stażem.</w:t>
            </w:r>
          </w:p>
          <w:p w14:paraId="2E8B1248" w14:textId="349975BE" w:rsidR="00B60985" w:rsidRPr="0011555C" w:rsidRDefault="00B60985" w:rsidP="0011555C">
            <w:pPr>
              <w:pStyle w:val="ARTartustawynprozporzdzenia"/>
              <w:spacing w:line="240" w:lineRule="auto"/>
              <w:rPr>
                <w:sz w:val="22"/>
                <w:szCs w:val="22"/>
              </w:rPr>
            </w:pPr>
            <w:r w:rsidRPr="0011555C">
              <w:rPr>
                <w:sz w:val="22"/>
                <w:szCs w:val="22"/>
              </w:rPr>
              <w:t xml:space="preserve">Niski poziom wynagrodzeń w Urzędzie nastręcza również dużych trudności w procesach naborów zewnętrznych na nieobsadzone stanowiska pacy. Na wiele ogłaszanych naborów brak jest </w:t>
            </w:r>
            <w:r w:rsidR="00C35A07">
              <w:rPr>
                <w:sz w:val="22"/>
                <w:szCs w:val="22"/>
              </w:rPr>
              <w:t xml:space="preserve">zgłoszeń </w:t>
            </w:r>
            <w:r w:rsidRPr="0011555C">
              <w:rPr>
                <w:sz w:val="22"/>
                <w:szCs w:val="22"/>
              </w:rPr>
              <w:t>kandydatów do pracy, natomiast jeżeli już są osoby zainteresowane, to istotnym problemem jest niski poziom oferowanego przez Urząd wynagrodzenia w porównaniu do warunków na rynku pracy, jak również wymaganych kwalifikacji niezbędnych do prawidłowego wykonywania pracy.</w:t>
            </w:r>
          </w:p>
          <w:p w14:paraId="2BA04224" w14:textId="2126DBBE" w:rsidR="0019538B" w:rsidRDefault="0019538B" w:rsidP="00996625">
            <w:pPr>
              <w:spacing w:line="240" w:lineRule="auto"/>
              <w:jc w:val="both"/>
              <w:rPr>
                <w:rFonts w:ascii="Times New Roman" w:hAnsi="Times New Roman"/>
              </w:rPr>
            </w:pPr>
            <w:r w:rsidRPr="00A123F5">
              <w:rPr>
                <w:rFonts w:ascii="Times New Roman" w:hAnsi="Times New Roman"/>
              </w:rPr>
              <w:t>Zestawienie finansowe związane z przyznaniem dodatkowych etatów dla Urzędu zawierają załączniki nr 1</w:t>
            </w:r>
            <w:r>
              <w:rPr>
                <w:rFonts w:ascii="Times New Roman" w:hAnsi="Times New Roman"/>
              </w:rPr>
              <w:t xml:space="preserve">, 2, 3 </w:t>
            </w:r>
            <w:r w:rsidRPr="00A123F5">
              <w:rPr>
                <w:rFonts w:ascii="Times New Roman" w:hAnsi="Times New Roman"/>
              </w:rPr>
              <w:t xml:space="preserve"> do niniejszej oceny.</w:t>
            </w:r>
            <w:r w:rsidRPr="000735FA">
              <w:rPr>
                <w:rFonts w:ascii="Times New Roman" w:hAnsi="Times New Roman"/>
              </w:rPr>
              <w:t xml:space="preserve"> </w:t>
            </w:r>
          </w:p>
          <w:p w14:paraId="3E162C42" w14:textId="77777777" w:rsidR="0019538B" w:rsidRDefault="0019538B" w:rsidP="00996625">
            <w:pPr>
              <w:spacing w:line="240" w:lineRule="auto"/>
              <w:jc w:val="both"/>
              <w:rPr>
                <w:rFonts w:ascii="Times New Roman" w:eastAsia="Times New Roman" w:hAnsi="Times New Roman"/>
                <w:b/>
                <w:bCs/>
                <w:color w:val="000000"/>
                <w:sz w:val="21"/>
                <w:szCs w:val="21"/>
              </w:rPr>
            </w:pPr>
            <w:r w:rsidRPr="00A82C4A">
              <w:rPr>
                <w:rFonts w:ascii="Times New Roman" w:hAnsi="Times New Roman"/>
              </w:rPr>
              <w:t xml:space="preserve"> </w:t>
            </w:r>
          </w:p>
        </w:tc>
      </w:tr>
      <w:tr w:rsidR="0019538B" w:rsidRPr="008B4FE6" w14:paraId="67D4FA6E" w14:textId="77777777" w:rsidTr="00996625">
        <w:trPr>
          <w:gridAfter w:val="1"/>
          <w:wAfter w:w="10" w:type="dxa"/>
          <w:trHeight w:val="345"/>
        </w:trPr>
        <w:tc>
          <w:tcPr>
            <w:tcW w:w="10937" w:type="dxa"/>
            <w:gridSpan w:val="36"/>
            <w:shd w:val="clear" w:color="auto" w:fill="99CCFF"/>
          </w:tcPr>
          <w:p w14:paraId="42984D29" w14:textId="77777777" w:rsidR="0019538B" w:rsidRDefault="0019538B" w:rsidP="00996625">
            <w:pPr>
              <w:numPr>
                <w:ilvl w:val="0"/>
                <w:numId w:val="3"/>
              </w:numPr>
              <w:spacing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 xml:space="preserve">i i przedsiębiorczość, 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19538B" w:rsidRPr="008B4FE6" w14:paraId="1A1BBF8D" w14:textId="77777777" w:rsidTr="00996625">
        <w:trPr>
          <w:gridAfter w:val="1"/>
          <w:wAfter w:w="10" w:type="dxa"/>
          <w:trHeight w:val="142"/>
        </w:trPr>
        <w:tc>
          <w:tcPr>
            <w:tcW w:w="10937" w:type="dxa"/>
            <w:gridSpan w:val="36"/>
            <w:shd w:val="clear" w:color="auto" w:fill="FFFFFF"/>
          </w:tcPr>
          <w:p w14:paraId="7098344F" w14:textId="77777777" w:rsidR="0019538B" w:rsidRPr="00301959" w:rsidRDefault="0019538B" w:rsidP="00996625">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EA2CC8" w:rsidRPr="008B4FE6" w14:paraId="18CD6DA7" w14:textId="77777777" w:rsidTr="00DF3AAC">
        <w:trPr>
          <w:gridAfter w:val="1"/>
          <w:wAfter w:w="10" w:type="dxa"/>
          <w:trHeight w:val="142"/>
        </w:trPr>
        <w:tc>
          <w:tcPr>
            <w:tcW w:w="3887" w:type="dxa"/>
            <w:gridSpan w:val="6"/>
            <w:shd w:val="clear" w:color="auto" w:fill="FFFFFF"/>
          </w:tcPr>
          <w:p w14:paraId="359039A6" w14:textId="77777777" w:rsidR="00EA2CC8" w:rsidRPr="00301959" w:rsidRDefault="00EA2CC8"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537" w:type="dxa"/>
            <w:gridSpan w:val="2"/>
            <w:shd w:val="clear" w:color="auto" w:fill="FFFFFF"/>
          </w:tcPr>
          <w:p w14:paraId="7CC24688" w14:textId="20AA2863"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2021</w:t>
            </w:r>
          </w:p>
        </w:tc>
        <w:tc>
          <w:tcPr>
            <w:tcW w:w="400" w:type="dxa"/>
            <w:gridSpan w:val="2"/>
            <w:shd w:val="clear" w:color="auto" w:fill="FFFFFF"/>
          </w:tcPr>
          <w:p w14:paraId="79005C55" w14:textId="54885C2E"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2022</w:t>
            </w:r>
          </w:p>
        </w:tc>
        <w:tc>
          <w:tcPr>
            <w:tcW w:w="469" w:type="dxa"/>
            <w:gridSpan w:val="4"/>
            <w:shd w:val="clear" w:color="auto" w:fill="FFFFFF"/>
          </w:tcPr>
          <w:p w14:paraId="3491E4C8" w14:textId="29285B9E"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2023</w:t>
            </w:r>
          </w:p>
        </w:tc>
        <w:tc>
          <w:tcPr>
            <w:tcW w:w="469" w:type="dxa"/>
            <w:shd w:val="clear" w:color="auto" w:fill="FFFFFF"/>
          </w:tcPr>
          <w:p w14:paraId="1DE33094" w14:textId="449C492E"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2024</w:t>
            </w:r>
          </w:p>
        </w:tc>
        <w:tc>
          <w:tcPr>
            <w:tcW w:w="469" w:type="dxa"/>
            <w:gridSpan w:val="2"/>
            <w:shd w:val="clear" w:color="auto" w:fill="FFFFFF"/>
          </w:tcPr>
          <w:p w14:paraId="556DB3CA" w14:textId="7A51251F" w:rsidR="00EA2CC8" w:rsidRPr="00AF7894" w:rsidRDefault="00EA2CC8"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w:t>
            </w:r>
            <w:r w:rsidR="000D3181" w:rsidRPr="00AF7894">
              <w:rPr>
                <w:rFonts w:ascii="Times New Roman" w:hAnsi="Times New Roman"/>
                <w:color w:val="000000"/>
                <w:sz w:val="16"/>
                <w:szCs w:val="16"/>
              </w:rPr>
              <w:t>025</w:t>
            </w:r>
          </w:p>
        </w:tc>
        <w:tc>
          <w:tcPr>
            <w:tcW w:w="469" w:type="dxa"/>
            <w:gridSpan w:val="3"/>
            <w:shd w:val="clear" w:color="auto" w:fill="FFFFFF"/>
          </w:tcPr>
          <w:p w14:paraId="2FCB4F72" w14:textId="53DBD03F"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2026</w:t>
            </w:r>
          </w:p>
        </w:tc>
        <w:tc>
          <w:tcPr>
            <w:tcW w:w="468" w:type="dxa"/>
            <w:gridSpan w:val="2"/>
            <w:shd w:val="clear" w:color="auto" w:fill="FFFFFF"/>
          </w:tcPr>
          <w:p w14:paraId="59D42675" w14:textId="63F8B731"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2027</w:t>
            </w:r>
          </w:p>
        </w:tc>
        <w:tc>
          <w:tcPr>
            <w:tcW w:w="469" w:type="dxa"/>
            <w:gridSpan w:val="2"/>
            <w:shd w:val="clear" w:color="auto" w:fill="FFFFFF"/>
          </w:tcPr>
          <w:p w14:paraId="25B38C4D" w14:textId="578A803C"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2028</w:t>
            </w:r>
          </w:p>
        </w:tc>
        <w:tc>
          <w:tcPr>
            <w:tcW w:w="469" w:type="dxa"/>
            <w:gridSpan w:val="3"/>
            <w:shd w:val="clear" w:color="auto" w:fill="FFFFFF"/>
          </w:tcPr>
          <w:p w14:paraId="3A0EFFB9" w14:textId="1BA1AD86"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2029</w:t>
            </w:r>
          </w:p>
        </w:tc>
        <w:tc>
          <w:tcPr>
            <w:tcW w:w="469" w:type="dxa"/>
            <w:gridSpan w:val="2"/>
            <w:shd w:val="clear" w:color="auto" w:fill="FFFFFF"/>
          </w:tcPr>
          <w:p w14:paraId="741A2F2D" w14:textId="0B336419"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2030</w:t>
            </w:r>
          </w:p>
        </w:tc>
        <w:tc>
          <w:tcPr>
            <w:tcW w:w="469" w:type="dxa"/>
            <w:gridSpan w:val="2"/>
            <w:shd w:val="clear" w:color="auto" w:fill="FFFFFF"/>
          </w:tcPr>
          <w:p w14:paraId="0F036CDA" w14:textId="2FBCC37C" w:rsidR="00EA2CC8" w:rsidRPr="00AF7894" w:rsidRDefault="000D3181" w:rsidP="00996625">
            <w:pPr>
              <w:spacing w:line="240" w:lineRule="auto"/>
              <w:jc w:val="center"/>
              <w:rPr>
                <w:rFonts w:ascii="Times New Roman" w:hAnsi="Times New Roman"/>
                <w:color w:val="000000"/>
                <w:sz w:val="16"/>
                <w:szCs w:val="16"/>
              </w:rPr>
            </w:pPr>
            <w:r w:rsidRPr="00AF7894">
              <w:rPr>
                <w:rFonts w:ascii="Times New Roman" w:hAnsi="Times New Roman"/>
                <w:color w:val="000000"/>
                <w:sz w:val="16"/>
                <w:szCs w:val="16"/>
              </w:rPr>
              <w:t>2031</w:t>
            </w:r>
          </w:p>
        </w:tc>
        <w:tc>
          <w:tcPr>
            <w:tcW w:w="469" w:type="dxa"/>
            <w:gridSpan w:val="3"/>
            <w:shd w:val="clear" w:color="auto" w:fill="FFFFFF"/>
          </w:tcPr>
          <w:p w14:paraId="2B90BCF2" w14:textId="4BAEE13B" w:rsidR="00EA2CC8" w:rsidRPr="00EA2CC8" w:rsidRDefault="00EA2CC8" w:rsidP="00996625">
            <w:pPr>
              <w:spacing w:line="240" w:lineRule="auto"/>
              <w:jc w:val="center"/>
              <w:rPr>
                <w:rFonts w:ascii="Times New Roman" w:hAnsi="Times New Roman"/>
                <w:color w:val="000000"/>
                <w:sz w:val="21"/>
                <w:szCs w:val="21"/>
              </w:rPr>
            </w:pPr>
          </w:p>
        </w:tc>
        <w:tc>
          <w:tcPr>
            <w:tcW w:w="1424" w:type="dxa"/>
            <w:gridSpan w:val="2"/>
            <w:shd w:val="clear" w:color="auto" w:fill="FFFFFF"/>
          </w:tcPr>
          <w:p w14:paraId="6AAD6375" w14:textId="77777777" w:rsidR="00EA2CC8" w:rsidRDefault="00EA2CC8" w:rsidP="00996625">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Łącznie(0-10)</w:t>
            </w:r>
          </w:p>
        </w:tc>
      </w:tr>
      <w:tr w:rsidR="00EA2CC8" w:rsidRPr="008B4FE6" w14:paraId="3C007EF4" w14:textId="77777777" w:rsidTr="00DF3AAC">
        <w:trPr>
          <w:gridAfter w:val="1"/>
          <w:wAfter w:w="10" w:type="dxa"/>
          <w:trHeight w:val="142"/>
        </w:trPr>
        <w:tc>
          <w:tcPr>
            <w:tcW w:w="1595" w:type="dxa"/>
            <w:vMerge w:val="restart"/>
            <w:shd w:val="clear" w:color="auto" w:fill="FFFFFF"/>
          </w:tcPr>
          <w:p w14:paraId="1BF45399" w14:textId="77777777" w:rsidR="00EA2CC8" w:rsidRDefault="00EA2CC8"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0737C357" w14:textId="77777777" w:rsidR="00EA2CC8" w:rsidRDefault="00EA2CC8" w:rsidP="00996625">
            <w:pPr>
              <w:spacing w:line="240" w:lineRule="auto"/>
              <w:rPr>
                <w:rFonts w:ascii="Times New Roman" w:hAnsi="Times New Roman"/>
                <w:spacing w:val="-2"/>
                <w:sz w:val="21"/>
                <w:szCs w:val="21"/>
              </w:rPr>
            </w:pPr>
            <w:r>
              <w:rPr>
                <w:rFonts w:ascii="Times New Roman" w:hAnsi="Times New Roman"/>
                <w:spacing w:val="-2"/>
                <w:sz w:val="21"/>
                <w:szCs w:val="21"/>
              </w:rPr>
              <w:t xml:space="preserve">(w mln zł, </w:t>
            </w:r>
          </w:p>
          <w:p w14:paraId="014DA146" w14:textId="77777777" w:rsidR="00EA2CC8" w:rsidRPr="00301959" w:rsidRDefault="00EA2CC8" w:rsidP="00996625">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2" w:type="dxa"/>
            <w:gridSpan w:val="5"/>
            <w:shd w:val="clear" w:color="auto" w:fill="FFFFFF"/>
          </w:tcPr>
          <w:p w14:paraId="1A30A48B" w14:textId="77777777" w:rsidR="00EA2CC8" w:rsidRPr="00FB1002" w:rsidRDefault="00EA2CC8" w:rsidP="00996625">
            <w:pPr>
              <w:spacing w:line="240" w:lineRule="auto"/>
              <w:rPr>
                <w:rFonts w:ascii="Times New Roman" w:hAnsi="Times New Roman"/>
                <w:color w:val="000000"/>
                <w:sz w:val="21"/>
                <w:szCs w:val="21"/>
              </w:rPr>
            </w:pPr>
            <w:r w:rsidRPr="00FB1002">
              <w:rPr>
                <w:rFonts w:ascii="Times New Roman" w:hAnsi="Times New Roman"/>
                <w:color w:val="000000"/>
                <w:sz w:val="21"/>
                <w:szCs w:val="21"/>
              </w:rPr>
              <w:t>duże przedsiębiorstwa</w:t>
            </w:r>
          </w:p>
        </w:tc>
        <w:tc>
          <w:tcPr>
            <w:tcW w:w="537" w:type="dxa"/>
            <w:gridSpan w:val="2"/>
            <w:shd w:val="clear" w:color="auto" w:fill="FFFFFF"/>
          </w:tcPr>
          <w:p w14:paraId="2EB6A614" w14:textId="77777777" w:rsidR="00AF7894" w:rsidRPr="008C7266" w:rsidRDefault="00AF7894" w:rsidP="00AF7894">
            <w:pPr>
              <w:spacing w:line="240" w:lineRule="auto"/>
              <w:rPr>
                <w:rFonts w:ascii="Times New Roman" w:eastAsia="Times New Roman" w:hAnsi="Times New Roman"/>
                <w:color w:val="000000"/>
                <w:sz w:val="16"/>
                <w:szCs w:val="16"/>
              </w:rPr>
            </w:pPr>
            <w:r w:rsidRPr="008C7266">
              <w:rPr>
                <w:rFonts w:ascii="Times New Roman" w:hAnsi="Times New Roman"/>
                <w:color w:val="000000"/>
                <w:sz w:val="16"/>
                <w:szCs w:val="16"/>
              </w:rPr>
              <w:t>0,553</w:t>
            </w:r>
          </w:p>
          <w:p w14:paraId="6B15FD9B" w14:textId="77777777" w:rsidR="00EA2CC8" w:rsidRPr="008C7266" w:rsidRDefault="00EA2CC8" w:rsidP="00996625">
            <w:pPr>
              <w:spacing w:line="240" w:lineRule="auto"/>
              <w:rPr>
                <w:rFonts w:ascii="Times New Roman" w:hAnsi="Times New Roman"/>
                <w:color w:val="000000"/>
                <w:sz w:val="16"/>
                <w:szCs w:val="16"/>
              </w:rPr>
            </w:pPr>
          </w:p>
        </w:tc>
        <w:tc>
          <w:tcPr>
            <w:tcW w:w="400" w:type="dxa"/>
            <w:gridSpan w:val="2"/>
            <w:shd w:val="clear" w:color="auto" w:fill="FFFFFF"/>
          </w:tcPr>
          <w:p w14:paraId="57251F1E" w14:textId="29B44BD8"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0,42</w:t>
            </w:r>
          </w:p>
        </w:tc>
        <w:tc>
          <w:tcPr>
            <w:tcW w:w="469" w:type="dxa"/>
            <w:gridSpan w:val="4"/>
            <w:shd w:val="clear" w:color="auto" w:fill="FFFFFF"/>
          </w:tcPr>
          <w:p w14:paraId="715AA965" w14:textId="04CE6EEB"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0,504</w:t>
            </w:r>
          </w:p>
        </w:tc>
        <w:tc>
          <w:tcPr>
            <w:tcW w:w="469" w:type="dxa"/>
            <w:shd w:val="clear" w:color="auto" w:fill="FFFFFF"/>
          </w:tcPr>
          <w:p w14:paraId="4627B733" w14:textId="7E81F1DA"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0,469</w:t>
            </w:r>
          </w:p>
        </w:tc>
        <w:tc>
          <w:tcPr>
            <w:tcW w:w="469" w:type="dxa"/>
            <w:gridSpan w:val="2"/>
            <w:tcBorders>
              <w:bottom w:val="nil"/>
            </w:tcBorders>
            <w:shd w:val="clear" w:color="auto" w:fill="FFFFFF"/>
          </w:tcPr>
          <w:p w14:paraId="3D766ABD" w14:textId="5A283925"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0,588</w:t>
            </w:r>
          </w:p>
        </w:tc>
        <w:tc>
          <w:tcPr>
            <w:tcW w:w="469" w:type="dxa"/>
            <w:gridSpan w:val="3"/>
            <w:tcBorders>
              <w:bottom w:val="nil"/>
            </w:tcBorders>
            <w:shd w:val="clear" w:color="auto" w:fill="FFFFFF"/>
          </w:tcPr>
          <w:p w14:paraId="7CABF3E5" w14:textId="54253182"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0,462</w:t>
            </w:r>
          </w:p>
        </w:tc>
        <w:tc>
          <w:tcPr>
            <w:tcW w:w="468" w:type="dxa"/>
            <w:gridSpan w:val="2"/>
            <w:shd w:val="clear" w:color="auto" w:fill="FFFFFF"/>
          </w:tcPr>
          <w:p w14:paraId="118D73DF" w14:textId="31E925BD"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0,616</w:t>
            </w:r>
          </w:p>
        </w:tc>
        <w:tc>
          <w:tcPr>
            <w:tcW w:w="469" w:type="dxa"/>
            <w:gridSpan w:val="2"/>
            <w:shd w:val="clear" w:color="auto" w:fill="FFFFFF"/>
          </w:tcPr>
          <w:p w14:paraId="6BB88642" w14:textId="58599182"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0,546</w:t>
            </w:r>
          </w:p>
        </w:tc>
        <w:tc>
          <w:tcPr>
            <w:tcW w:w="469" w:type="dxa"/>
            <w:gridSpan w:val="3"/>
            <w:shd w:val="clear" w:color="auto" w:fill="FFFFFF"/>
          </w:tcPr>
          <w:p w14:paraId="62C177F7" w14:textId="7F301DDC"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0,504</w:t>
            </w:r>
          </w:p>
        </w:tc>
        <w:tc>
          <w:tcPr>
            <w:tcW w:w="469" w:type="dxa"/>
            <w:gridSpan w:val="2"/>
            <w:shd w:val="clear" w:color="auto" w:fill="FFFFFF"/>
          </w:tcPr>
          <w:p w14:paraId="21038BBD" w14:textId="73F687DD"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0,56</w:t>
            </w:r>
          </w:p>
        </w:tc>
        <w:tc>
          <w:tcPr>
            <w:tcW w:w="469" w:type="dxa"/>
            <w:gridSpan w:val="2"/>
            <w:shd w:val="clear" w:color="auto" w:fill="FFFFFF"/>
          </w:tcPr>
          <w:p w14:paraId="55D9049D" w14:textId="53C72EBB" w:rsidR="00EA2CC8" w:rsidRPr="008C7266" w:rsidRDefault="00AF7894"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0,56</w:t>
            </w:r>
          </w:p>
        </w:tc>
        <w:tc>
          <w:tcPr>
            <w:tcW w:w="469" w:type="dxa"/>
            <w:gridSpan w:val="3"/>
            <w:shd w:val="clear" w:color="auto" w:fill="FFFFFF"/>
          </w:tcPr>
          <w:p w14:paraId="20148B95" w14:textId="36938EC6" w:rsidR="00EA2CC8" w:rsidRPr="008C7266" w:rsidRDefault="00EA2CC8" w:rsidP="00996625">
            <w:pPr>
              <w:spacing w:line="240" w:lineRule="auto"/>
              <w:rPr>
                <w:rFonts w:ascii="Times New Roman" w:hAnsi="Times New Roman"/>
                <w:color w:val="000000"/>
                <w:sz w:val="16"/>
                <w:szCs w:val="16"/>
              </w:rPr>
            </w:pPr>
          </w:p>
        </w:tc>
        <w:tc>
          <w:tcPr>
            <w:tcW w:w="1424" w:type="dxa"/>
            <w:gridSpan w:val="2"/>
            <w:shd w:val="clear" w:color="auto" w:fill="FFFFFF"/>
          </w:tcPr>
          <w:p w14:paraId="4F3B9644" w14:textId="1B58A91B" w:rsidR="00EA2CC8" w:rsidRPr="008C7266" w:rsidRDefault="00AF7894" w:rsidP="00996625">
            <w:pPr>
              <w:spacing w:line="240" w:lineRule="auto"/>
              <w:rPr>
                <w:rFonts w:ascii="Times New Roman" w:hAnsi="Times New Roman"/>
                <w:color w:val="000000"/>
                <w:spacing w:val="-2"/>
                <w:sz w:val="16"/>
                <w:szCs w:val="16"/>
              </w:rPr>
            </w:pPr>
            <w:r w:rsidRPr="008C7266">
              <w:rPr>
                <w:rFonts w:ascii="Times New Roman" w:hAnsi="Times New Roman"/>
                <w:color w:val="000000"/>
                <w:spacing w:val="-2"/>
                <w:sz w:val="16"/>
                <w:szCs w:val="16"/>
              </w:rPr>
              <w:t>5,782</w:t>
            </w:r>
          </w:p>
        </w:tc>
      </w:tr>
      <w:tr w:rsidR="00EA2CC8" w:rsidRPr="008B4FE6" w14:paraId="1B6268FD" w14:textId="77777777" w:rsidTr="00DF3AAC">
        <w:trPr>
          <w:gridAfter w:val="1"/>
          <w:wAfter w:w="10" w:type="dxa"/>
          <w:trHeight w:val="142"/>
        </w:trPr>
        <w:tc>
          <w:tcPr>
            <w:tcW w:w="1595" w:type="dxa"/>
            <w:vMerge/>
            <w:shd w:val="clear" w:color="auto" w:fill="FFFFFF"/>
          </w:tcPr>
          <w:p w14:paraId="7A131EB8" w14:textId="77777777" w:rsidR="00EA2CC8" w:rsidRDefault="00EA2CC8" w:rsidP="00996625">
            <w:pPr>
              <w:spacing w:line="240" w:lineRule="auto"/>
              <w:rPr>
                <w:rFonts w:ascii="Times New Roman" w:hAnsi="Times New Roman"/>
                <w:color w:val="000000"/>
                <w:sz w:val="21"/>
                <w:szCs w:val="21"/>
              </w:rPr>
            </w:pPr>
          </w:p>
        </w:tc>
        <w:tc>
          <w:tcPr>
            <w:tcW w:w="2292" w:type="dxa"/>
            <w:gridSpan w:val="5"/>
            <w:shd w:val="clear" w:color="auto" w:fill="FFFFFF"/>
          </w:tcPr>
          <w:p w14:paraId="4A8E6F01" w14:textId="77777777" w:rsidR="00EA2CC8" w:rsidRPr="00EA2CC8" w:rsidRDefault="00EA2CC8" w:rsidP="00996625">
            <w:pPr>
              <w:spacing w:line="240" w:lineRule="auto"/>
              <w:rPr>
                <w:rFonts w:ascii="Times New Roman" w:hAnsi="Times New Roman"/>
                <w:color w:val="000000"/>
                <w:sz w:val="21"/>
                <w:szCs w:val="21"/>
                <w:highlight w:val="yellow"/>
              </w:rPr>
            </w:pPr>
            <w:r w:rsidRPr="004E3247">
              <w:rPr>
                <w:rFonts w:ascii="Times New Roman" w:hAnsi="Times New Roman"/>
                <w:color w:val="000000"/>
                <w:sz w:val="21"/>
                <w:szCs w:val="21"/>
              </w:rPr>
              <w:t>sektor mikro-, małych i średnich przedsiębiorstw</w:t>
            </w:r>
          </w:p>
        </w:tc>
        <w:tc>
          <w:tcPr>
            <w:tcW w:w="537" w:type="dxa"/>
            <w:gridSpan w:val="2"/>
            <w:shd w:val="clear" w:color="auto" w:fill="FFFFFF"/>
          </w:tcPr>
          <w:p w14:paraId="21984106" w14:textId="2105ACC9"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0,237</w:t>
            </w:r>
          </w:p>
        </w:tc>
        <w:tc>
          <w:tcPr>
            <w:tcW w:w="400" w:type="dxa"/>
            <w:gridSpan w:val="2"/>
            <w:shd w:val="clear" w:color="auto" w:fill="FFFFFF"/>
          </w:tcPr>
          <w:p w14:paraId="5545646F" w14:textId="71C24CB2"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0,18</w:t>
            </w:r>
          </w:p>
        </w:tc>
        <w:tc>
          <w:tcPr>
            <w:tcW w:w="469" w:type="dxa"/>
            <w:gridSpan w:val="4"/>
            <w:shd w:val="clear" w:color="auto" w:fill="FFFFFF"/>
          </w:tcPr>
          <w:p w14:paraId="728CCDD5" w14:textId="460532EA"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0,216</w:t>
            </w:r>
          </w:p>
        </w:tc>
        <w:tc>
          <w:tcPr>
            <w:tcW w:w="469" w:type="dxa"/>
            <w:shd w:val="clear" w:color="auto" w:fill="FFFFFF"/>
          </w:tcPr>
          <w:p w14:paraId="622AE5D1" w14:textId="507F045D"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0,201</w:t>
            </w:r>
          </w:p>
        </w:tc>
        <w:tc>
          <w:tcPr>
            <w:tcW w:w="469" w:type="dxa"/>
            <w:gridSpan w:val="2"/>
            <w:tcBorders>
              <w:top w:val="nil"/>
            </w:tcBorders>
            <w:shd w:val="clear" w:color="auto" w:fill="FFFFFF"/>
          </w:tcPr>
          <w:p w14:paraId="5B250EF6" w14:textId="33D736F5"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0,252</w:t>
            </w:r>
          </w:p>
        </w:tc>
        <w:tc>
          <w:tcPr>
            <w:tcW w:w="469" w:type="dxa"/>
            <w:gridSpan w:val="3"/>
            <w:tcBorders>
              <w:top w:val="nil"/>
            </w:tcBorders>
            <w:shd w:val="clear" w:color="auto" w:fill="FFFFFF"/>
          </w:tcPr>
          <w:p w14:paraId="22BF678E" w14:textId="6264204E"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0,198</w:t>
            </w:r>
          </w:p>
        </w:tc>
        <w:tc>
          <w:tcPr>
            <w:tcW w:w="468" w:type="dxa"/>
            <w:gridSpan w:val="2"/>
            <w:shd w:val="clear" w:color="auto" w:fill="FFFFFF"/>
          </w:tcPr>
          <w:p w14:paraId="21D3620F" w14:textId="36383F3B"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0,264</w:t>
            </w:r>
          </w:p>
        </w:tc>
        <w:tc>
          <w:tcPr>
            <w:tcW w:w="469" w:type="dxa"/>
            <w:gridSpan w:val="2"/>
            <w:shd w:val="clear" w:color="auto" w:fill="FFFFFF"/>
          </w:tcPr>
          <w:p w14:paraId="23F48A41" w14:textId="26DE8DAE"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0,234</w:t>
            </w:r>
          </w:p>
        </w:tc>
        <w:tc>
          <w:tcPr>
            <w:tcW w:w="469" w:type="dxa"/>
            <w:gridSpan w:val="3"/>
            <w:shd w:val="clear" w:color="auto" w:fill="FFFFFF"/>
          </w:tcPr>
          <w:p w14:paraId="0EE7577B" w14:textId="42EE1E7B"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0,216</w:t>
            </w:r>
          </w:p>
        </w:tc>
        <w:tc>
          <w:tcPr>
            <w:tcW w:w="469" w:type="dxa"/>
            <w:gridSpan w:val="2"/>
            <w:shd w:val="clear" w:color="auto" w:fill="FFFFFF"/>
          </w:tcPr>
          <w:p w14:paraId="7768A704" w14:textId="44143F75"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0,24</w:t>
            </w:r>
          </w:p>
        </w:tc>
        <w:tc>
          <w:tcPr>
            <w:tcW w:w="469" w:type="dxa"/>
            <w:gridSpan w:val="2"/>
            <w:shd w:val="clear" w:color="auto" w:fill="FFFFFF"/>
          </w:tcPr>
          <w:p w14:paraId="7FDB2B03" w14:textId="57D33F1F" w:rsidR="00EA2CC8" w:rsidRPr="008C7266" w:rsidRDefault="005B74A5" w:rsidP="00996625">
            <w:pPr>
              <w:spacing w:line="240" w:lineRule="auto"/>
              <w:rPr>
                <w:rFonts w:ascii="Times New Roman" w:hAnsi="Times New Roman"/>
                <w:color w:val="000000"/>
                <w:sz w:val="16"/>
                <w:szCs w:val="16"/>
              </w:rPr>
            </w:pPr>
            <w:r w:rsidRPr="008C7266">
              <w:rPr>
                <w:rFonts w:ascii="Times New Roman" w:hAnsi="Times New Roman"/>
                <w:color w:val="000000"/>
                <w:sz w:val="16"/>
                <w:szCs w:val="16"/>
              </w:rPr>
              <w:t>0,24</w:t>
            </w:r>
          </w:p>
        </w:tc>
        <w:tc>
          <w:tcPr>
            <w:tcW w:w="469" w:type="dxa"/>
            <w:gridSpan w:val="3"/>
            <w:shd w:val="clear" w:color="auto" w:fill="FFFFFF"/>
          </w:tcPr>
          <w:p w14:paraId="04DC48A1" w14:textId="48C9C6C4" w:rsidR="00EA2CC8" w:rsidRPr="008C7266" w:rsidRDefault="00EA2CC8" w:rsidP="00996625">
            <w:pPr>
              <w:spacing w:line="240" w:lineRule="auto"/>
              <w:rPr>
                <w:rFonts w:ascii="Times New Roman" w:hAnsi="Times New Roman"/>
                <w:color w:val="000000"/>
                <w:sz w:val="16"/>
                <w:szCs w:val="16"/>
              </w:rPr>
            </w:pPr>
          </w:p>
        </w:tc>
        <w:tc>
          <w:tcPr>
            <w:tcW w:w="1424" w:type="dxa"/>
            <w:gridSpan w:val="2"/>
            <w:shd w:val="clear" w:color="auto" w:fill="FFFFFF"/>
          </w:tcPr>
          <w:p w14:paraId="11DB0BDA" w14:textId="78BBA20A" w:rsidR="00EA2CC8" w:rsidRPr="008C7266" w:rsidRDefault="005B74A5" w:rsidP="00996625">
            <w:pPr>
              <w:spacing w:line="240" w:lineRule="auto"/>
              <w:rPr>
                <w:rFonts w:ascii="Times New Roman" w:hAnsi="Times New Roman"/>
                <w:color w:val="000000"/>
                <w:spacing w:val="-2"/>
                <w:sz w:val="16"/>
                <w:szCs w:val="16"/>
              </w:rPr>
            </w:pPr>
            <w:r w:rsidRPr="008C7266">
              <w:rPr>
                <w:rFonts w:ascii="Times New Roman" w:hAnsi="Times New Roman"/>
                <w:color w:val="000000"/>
                <w:spacing w:val="-2"/>
                <w:sz w:val="16"/>
                <w:szCs w:val="16"/>
              </w:rPr>
              <w:t>2,478</w:t>
            </w:r>
          </w:p>
        </w:tc>
      </w:tr>
      <w:tr w:rsidR="000D3181" w:rsidRPr="008B4FE6" w14:paraId="3FBA6059" w14:textId="77777777" w:rsidTr="00DF3AAC">
        <w:trPr>
          <w:gridAfter w:val="1"/>
          <w:wAfter w:w="10" w:type="dxa"/>
          <w:trHeight w:val="142"/>
        </w:trPr>
        <w:tc>
          <w:tcPr>
            <w:tcW w:w="1595" w:type="dxa"/>
            <w:vMerge/>
            <w:shd w:val="clear" w:color="auto" w:fill="FFFFFF"/>
          </w:tcPr>
          <w:p w14:paraId="29626DA1" w14:textId="77777777" w:rsidR="000D3181" w:rsidRDefault="000D3181" w:rsidP="00996625">
            <w:pPr>
              <w:spacing w:line="240" w:lineRule="auto"/>
              <w:rPr>
                <w:rFonts w:ascii="Times New Roman" w:hAnsi="Times New Roman"/>
                <w:color w:val="000000"/>
                <w:sz w:val="21"/>
                <w:szCs w:val="21"/>
              </w:rPr>
            </w:pPr>
          </w:p>
        </w:tc>
        <w:tc>
          <w:tcPr>
            <w:tcW w:w="2292" w:type="dxa"/>
            <w:gridSpan w:val="5"/>
            <w:shd w:val="clear" w:color="auto" w:fill="FFFFFF"/>
          </w:tcPr>
          <w:p w14:paraId="40148A69" w14:textId="17F7DC7B" w:rsidR="000D3181" w:rsidRDefault="000D3181" w:rsidP="00996625">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w:t>
            </w:r>
            <w:r w:rsidR="00505860">
              <w:rPr>
                <w:rFonts w:ascii="Times New Roman" w:hAnsi="Times New Roman"/>
                <w:sz w:val="21"/>
                <w:szCs w:val="21"/>
              </w:rPr>
              <w:t>, w tym osoby starsze i niepełnosprawne</w:t>
            </w:r>
            <w:r w:rsidRPr="00301959">
              <w:rPr>
                <w:rFonts w:ascii="Times New Roman" w:hAnsi="Times New Roman"/>
                <w:sz w:val="21"/>
                <w:szCs w:val="21"/>
              </w:rPr>
              <w:t xml:space="preserve"> oraz gospodarstwa domowe</w:t>
            </w:r>
          </w:p>
        </w:tc>
        <w:tc>
          <w:tcPr>
            <w:tcW w:w="537" w:type="dxa"/>
            <w:gridSpan w:val="2"/>
            <w:shd w:val="clear" w:color="auto" w:fill="FFFFFF"/>
          </w:tcPr>
          <w:p w14:paraId="5B743C35" w14:textId="77777777" w:rsidR="000D3181" w:rsidRDefault="000D3181" w:rsidP="00996625">
            <w:pPr>
              <w:spacing w:line="240" w:lineRule="auto"/>
              <w:rPr>
                <w:rFonts w:ascii="Times New Roman" w:hAnsi="Times New Roman"/>
                <w:color w:val="000000"/>
                <w:sz w:val="21"/>
                <w:szCs w:val="21"/>
              </w:rPr>
            </w:pPr>
          </w:p>
        </w:tc>
        <w:tc>
          <w:tcPr>
            <w:tcW w:w="400" w:type="dxa"/>
            <w:gridSpan w:val="2"/>
            <w:shd w:val="clear" w:color="auto" w:fill="FFFFFF"/>
          </w:tcPr>
          <w:p w14:paraId="6F0EBE93" w14:textId="6A6C6539" w:rsidR="000D3181" w:rsidRDefault="000D3181" w:rsidP="00996625">
            <w:pPr>
              <w:spacing w:line="240" w:lineRule="auto"/>
              <w:rPr>
                <w:rFonts w:ascii="Times New Roman" w:hAnsi="Times New Roman"/>
                <w:color w:val="000000"/>
                <w:sz w:val="21"/>
                <w:szCs w:val="21"/>
              </w:rPr>
            </w:pPr>
          </w:p>
        </w:tc>
        <w:tc>
          <w:tcPr>
            <w:tcW w:w="469" w:type="dxa"/>
            <w:gridSpan w:val="4"/>
            <w:shd w:val="clear" w:color="auto" w:fill="FFFFFF"/>
          </w:tcPr>
          <w:p w14:paraId="433A32C4" w14:textId="77777777" w:rsidR="000D3181" w:rsidRDefault="000D3181" w:rsidP="00996625">
            <w:pPr>
              <w:spacing w:line="240" w:lineRule="auto"/>
              <w:rPr>
                <w:rFonts w:ascii="Times New Roman" w:hAnsi="Times New Roman"/>
                <w:color w:val="000000"/>
                <w:sz w:val="21"/>
                <w:szCs w:val="21"/>
              </w:rPr>
            </w:pPr>
          </w:p>
        </w:tc>
        <w:tc>
          <w:tcPr>
            <w:tcW w:w="469" w:type="dxa"/>
            <w:shd w:val="clear" w:color="auto" w:fill="FFFFFF"/>
          </w:tcPr>
          <w:p w14:paraId="23B204D7" w14:textId="66ED9356" w:rsidR="000D3181" w:rsidRDefault="000D3181" w:rsidP="00996625">
            <w:pPr>
              <w:spacing w:line="240" w:lineRule="auto"/>
              <w:rPr>
                <w:rFonts w:ascii="Times New Roman" w:hAnsi="Times New Roman"/>
                <w:color w:val="000000"/>
                <w:sz w:val="21"/>
                <w:szCs w:val="21"/>
              </w:rPr>
            </w:pPr>
          </w:p>
        </w:tc>
        <w:tc>
          <w:tcPr>
            <w:tcW w:w="469" w:type="dxa"/>
            <w:gridSpan w:val="2"/>
            <w:shd w:val="clear" w:color="auto" w:fill="FFFFFF"/>
          </w:tcPr>
          <w:p w14:paraId="309DBCB9" w14:textId="77777777" w:rsidR="000D3181" w:rsidRDefault="000D3181" w:rsidP="00996625">
            <w:pPr>
              <w:spacing w:line="240" w:lineRule="auto"/>
              <w:rPr>
                <w:rFonts w:ascii="Times New Roman" w:hAnsi="Times New Roman"/>
                <w:color w:val="000000"/>
                <w:sz w:val="21"/>
                <w:szCs w:val="21"/>
              </w:rPr>
            </w:pPr>
          </w:p>
        </w:tc>
        <w:tc>
          <w:tcPr>
            <w:tcW w:w="469" w:type="dxa"/>
            <w:gridSpan w:val="3"/>
            <w:shd w:val="clear" w:color="auto" w:fill="FFFFFF"/>
          </w:tcPr>
          <w:p w14:paraId="7F707442" w14:textId="1640021C" w:rsidR="000D3181" w:rsidRDefault="000D3181" w:rsidP="00996625">
            <w:pPr>
              <w:spacing w:line="240" w:lineRule="auto"/>
              <w:rPr>
                <w:rFonts w:ascii="Times New Roman" w:hAnsi="Times New Roman"/>
                <w:color w:val="000000"/>
                <w:sz w:val="21"/>
                <w:szCs w:val="21"/>
              </w:rPr>
            </w:pPr>
          </w:p>
        </w:tc>
        <w:tc>
          <w:tcPr>
            <w:tcW w:w="468" w:type="dxa"/>
            <w:gridSpan w:val="2"/>
            <w:shd w:val="clear" w:color="auto" w:fill="FFFFFF"/>
          </w:tcPr>
          <w:p w14:paraId="419FBB63" w14:textId="77777777" w:rsidR="000D3181" w:rsidRDefault="000D3181" w:rsidP="00996625">
            <w:pPr>
              <w:spacing w:line="240" w:lineRule="auto"/>
              <w:rPr>
                <w:rFonts w:ascii="Times New Roman" w:hAnsi="Times New Roman"/>
                <w:color w:val="000000"/>
                <w:sz w:val="21"/>
                <w:szCs w:val="21"/>
              </w:rPr>
            </w:pPr>
          </w:p>
        </w:tc>
        <w:tc>
          <w:tcPr>
            <w:tcW w:w="469" w:type="dxa"/>
            <w:gridSpan w:val="2"/>
            <w:shd w:val="clear" w:color="auto" w:fill="FFFFFF"/>
          </w:tcPr>
          <w:p w14:paraId="1829051C" w14:textId="04581163" w:rsidR="000D3181" w:rsidRDefault="000D3181" w:rsidP="00996625">
            <w:pPr>
              <w:spacing w:line="240" w:lineRule="auto"/>
              <w:rPr>
                <w:rFonts w:ascii="Times New Roman" w:hAnsi="Times New Roman"/>
                <w:color w:val="000000"/>
                <w:sz w:val="21"/>
                <w:szCs w:val="21"/>
              </w:rPr>
            </w:pPr>
          </w:p>
        </w:tc>
        <w:tc>
          <w:tcPr>
            <w:tcW w:w="469" w:type="dxa"/>
            <w:gridSpan w:val="3"/>
            <w:shd w:val="clear" w:color="auto" w:fill="FFFFFF"/>
          </w:tcPr>
          <w:p w14:paraId="68B63379" w14:textId="77777777" w:rsidR="000D3181" w:rsidRDefault="000D3181" w:rsidP="00996625">
            <w:pPr>
              <w:spacing w:line="240" w:lineRule="auto"/>
              <w:rPr>
                <w:rFonts w:ascii="Times New Roman" w:hAnsi="Times New Roman"/>
                <w:color w:val="000000"/>
                <w:sz w:val="21"/>
                <w:szCs w:val="21"/>
              </w:rPr>
            </w:pPr>
          </w:p>
        </w:tc>
        <w:tc>
          <w:tcPr>
            <w:tcW w:w="469" w:type="dxa"/>
            <w:gridSpan w:val="2"/>
            <w:shd w:val="clear" w:color="auto" w:fill="FFFFFF"/>
          </w:tcPr>
          <w:p w14:paraId="78B5C3D5" w14:textId="445E1771" w:rsidR="000D3181" w:rsidRDefault="000D3181" w:rsidP="00996625">
            <w:pPr>
              <w:spacing w:line="240" w:lineRule="auto"/>
              <w:rPr>
                <w:rFonts w:ascii="Times New Roman" w:hAnsi="Times New Roman"/>
                <w:color w:val="000000"/>
                <w:sz w:val="21"/>
                <w:szCs w:val="21"/>
              </w:rPr>
            </w:pPr>
          </w:p>
        </w:tc>
        <w:tc>
          <w:tcPr>
            <w:tcW w:w="469" w:type="dxa"/>
            <w:gridSpan w:val="2"/>
            <w:shd w:val="clear" w:color="auto" w:fill="FFFFFF"/>
          </w:tcPr>
          <w:p w14:paraId="3915E9A4" w14:textId="77777777" w:rsidR="000D3181" w:rsidRDefault="000D3181" w:rsidP="00996625">
            <w:pPr>
              <w:spacing w:line="240" w:lineRule="auto"/>
              <w:rPr>
                <w:rFonts w:ascii="Times New Roman" w:hAnsi="Times New Roman"/>
                <w:color w:val="000000"/>
                <w:sz w:val="21"/>
                <w:szCs w:val="21"/>
              </w:rPr>
            </w:pPr>
          </w:p>
        </w:tc>
        <w:tc>
          <w:tcPr>
            <w:tcW w:w="469" w:type="dxa"/>
            <w:gridSpan w:val="3"/>
            <w:shd w:val="clear" w:color="auto" w:fill="FFFFFF"/>
          </w:tcPr>
          <w:p w14:paraId="7026B936" w14:textId="2C64FBA0" w:rsidR="000D3181" w:rsidRDefault="000D3181" w:rsidP="00996625">
            <w:pPr>
              <w:spacing w:line="240" w:lineRule="auto"/>
              <w:rPr>
                <w:rFonts w:ascii="Times New Roman" w:hAnsi="Times New Roman"/>
                <w:color w:val="000000"/>
                <w:sz w:val="21"/>
                <w:szCs w:val="21"/>
              </w:rPr>
            </w:pPr>
          </w:p>
        </w:tc>
        <w:tc>
          <w:tcPr>
            <w:tcW w:w="1424" w:type="dxa"/>
            <w:gridSpan w:val="2"/>
            <w:shd w:val="clear" w:color="auto" w:fill="FFFFFF"/>
          </w:tcPr>
          <w:p w14:paraId="189C501E" w14:textId="77777777" w:rsidR="000D3181" w:rsidRDefault="000D3181" w:rsidP="00996625">
            <w:pPr>
              <w:spacing w:line="240" w:lineRule="auto"/>
              <w:rPr>
                <w:rFonts w:ascii="Times New Roman" w:hAnsi="Times New Roman"/>
                <w:color w:val="000000"/>
                <w:spacing w:val="-2"/>
                <w:sz w:val="21"/>
                <w:szCs w:val="21"/>
              </w:rPr>
            </w:pPr>
          </w:p>
        </w:tc>
      </w:tr>
      <w:tr w:rsidR="0019538B" w:rsidRPr="008B4FE6" w14:paraId="6F6C828A" w14:textId="77777777" w:rsidTr="00996625">
        <w:trPr>
          <w:gridAfter w:val="1"/>
          <w:wAfter w:w="10" w:type="dxa"/>
          <w:trHeight w:val="142"/>
        </w:trPr>
        <w:tc>
          <w:tcPr>
            <w:tcW w:w="1595" w:type="dxa"/>
            <w:vMerge w:val="restart"/>
            <w:shd w:val="clear" w:color="auto" w:fill="FFFFFF"/>
          </w:tcPr>
          <w:p w14:paraId="6C0EFAD0" w14:textId="77777777" w:rsidR="0019538B" w:rsidRPr="00301959" w:rsidRDefault="0019538B"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 xml:space="preserve">ujęciu </w:t>
            </w:r>
            <w:r w:rsidRPr="00301959">
              <w:rPr>
                <w:rFonts w:ascii="Times New Roman" w:hAnsi="Times New Roman"/>
                <w:color w:val="000000"/>
                <w:sz w:val="21"/>
                <w:szCs w:val="21"/>
              </w:rPr>
              <w:t>niepieniężnym</w:t>
            </w:r>
          </w:p>
        </w:tc>
        <w:tc>
          <w:tcPr>
            <w:tcW w:w="2292" w:type="dxa"/>
            <w:gridSpan w:val="5"/>
            <w:shd w:val="clear" w:color="auto" w:fill="FFFFFF"/>
          </w:tcPr>
          <w:p w14:paraId="15B8FE84" w14:textId="77777777" w:rsidR="0019538B" w:rsidRPr="00301959" w:rsidRDefault="0019538B"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50" w:type="dxa"/>
            <w:gridSpan w:val="30"/>
            <w:shd w:val="clear" w:color="auto" w:fill="FFFFFF"/>
          </w:tcPr>
          <w:p w14:paraId="7508D8A7" w14:textId="77777777" w:rsidR="0019538B" w:rsidRPr="00B37C80" w:rsidRDefault="0019538B" w:rsidP="00996625">
            <w:pPr>
              <w:spacing w:line="240" w:lineRule="auto"/>
              <w:rPr>
                <w:rFonts w:ascii="Times New Roman" w:hAnsi="Times New Roman"/>
                <w:color w:val="000000"/>
                <w:spacing w:val="-2"/>
                <w:sz w:val="21"/>
                <w:szCs w:val="21"/>
              </w:rPr>
            </w:pPr>
          </w:p>
        </w:tc>
      </w:tr>
      <w:tr w:rsidR="0019538B" w:rsidRPr="008B4FE6" w14:paraId="25633EBB" w14:textId="77777777" w:rsidTr="00996625">
        <w:trPr>
          <w:gridAfter w:val="1"/>
          <w:wAfter w:w="10" w:type="dxa"/>
          <w:trHeight w:val="142"/>
        </w:trPr>
        <w:tc>
          <w:tcPr>
            <w:tcW w:w="1595" w:type="dxa"/>
            <w:vMerge/>
            <w:shd w:val="clear" w:color="auto" w:fill="FFFFFF"/>
          </w:tcPr>
          <w:p w14:paraId="30D8DC59" w14:textId="77777777" w:rsidR="0019538B" w:rsidRDefault="0019538B" w:rsidP="00996625">
            <w:pPr>
              <w:spacing w:line="240" w:lineRule="auto"/>
              <w:rPr>
                <w:rFonts w:ascii="Times New Roman" w:hAnsi="Times New Roman"/>
                <w:color w:val="000000"/>
                <w:sz w:val="21"/>
                <w:szCs w:val="21"/>
              </w:rPr>
            </w:pPr>
          </w:p>
        </w:tc>
        <w:tc>
          <w:tcPr>
            <w:tcW w:w="2292" w:type="dxa"/>
            <w:gridSpan w:val="5"/>
            <w:shd w:val="clear" w:color="auto" w:fill="FFFFFF"/>
          </w:tcPr>
          <w:p w14:paraId="0A8A11AF" w14:textId="77777777" w:rsidR="0019538B" w:rsidRDefault="0019538B"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50" w:type="dxa"/>
            <w:gridSpan w:val="30"/>
            <w:shd w:val="clear" w:color="auto" w:fill="FFFFFF"/>
          </w:tcPr>
          <w:p w14:paraId="6DD527C2" w14:textId="77777777" w:rsidR="0019538B" w:rsidRDefault="0019538B" w:rsidP="00996625">
            <w:pPr>
              <w:spacing w:line="240" w:lineRule="auto"/>
              <w:rPr>
                <w:rFonts w:ascii="Times New Roman" w:hAnsi="Times New Roman"/>
                <w:color w:val="000000"/>
                <w:spacing w:val="-2"/>
                <w:sz w:val="21"/>
                <w:szCs w:val="21"/>
              </w:rPr>
            </w:pPr>
          </w:p>
        </w:tc>
      </w:tr>
      <w:tr w:rsidR="0019538B" w:rsidRPr="008B4FE6" w14:paraId="5102C31F" w14:textId="77777777" w:rsidTr="00996625">
        <w:trPr>
          <w:gridAfter w:val="1"/>
          <w:wAfter w:w="10" w:type="dxa"/>
          <w:trHeight w:val="596"/>
        </w:trPr>
        <w:tc>
          <w:tcPr>
            <w:tcW w:w="1595" w:type="dxa"/>
            <w:vMerge/>
            <w:shd w:val="clear" w:color="auto" w:fill="FFFFFF"/>
          </w:tcPr>
          <w:p w14:paraId="6B6A4C25" w14:textId="77777777" w:rsidR="0019538B" w:rsidRDefault="0019538B" w:rsidP="00996625">
            <w:pPr>
              <w:spacing w:line="240" w:lineRule="auto"/>
              <w:rPr>
                <w:rFonts w:ascii="Times New Roman" w:hAnsi="Times New Roman"/>
                <w:color w:val="000000"/>
                <w:sz w:val="21"/>
                <w:szCs w:val="21"/>
              </w:rPr>
            </w:pPr>
          </w:p>
        </w:tc>
        <w:tc>
          <w:tcPr>
            <w:tcW w:w="2292" w:type="dxa"/>
            <w:gridSpan w:val="5"/>
            <w:shd w:val="clear" w:color="auto" w:fill="FFFFFF"/>
          </w:tcPr>
          <w:p w14:paraId="67F81AD4" w14:textId="3DCD8506" w:rsidR="0019538B" w:rsidRDefault="0019538B" w:rsidP="00996625">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w:t>
            </w:r>
            <w:r w:rsidR="00505860">
              <w:rPr>
                <w:rFonts w:ascii="Times New Roman" w:hAnsi="Times New Roman"/>
                <w:sz w:val="21"/>
                <w:szCs w:val="21"/>
              </w:rPr>
              <w:t>, w tym osoby starsze i niepełnosprawne</w:t>
            </w:r>
            <w:r w:rsidR="004D0155">
              <w:rPr>
                <w:rFonts w:ascii="Times New Roman" w:hAnsi="Times New Roman"/>
                <w:sz w:val="21"/>
                <w:szCs w:val="21"/>
              </w:rPr>
              <w:t>,</w:t>
            </w:r>
            <w:r w:rsidRPr="00301959">
              <w:rPr>
                <w:rFonts w:ascii="Times New Roman" w:hAnsi="Times New Roman"/>
                <w:sz w:val="21"/>
                <w:szCs w:val="21"/>
              </w:rPr>
              <w:t xml:space="preserve"> oraz gospodarstwa domowe</w:t>
            </w:r>
          </w:p>
        </w:tc>
        <w:tc>
          <w:tcPr>
            <w:tcW w:w="7050" w:type="dxa"/>
            <w:gridSpan w:val="30"/>
            <w:shd w:val="clear" w:color="auto" w:fill="FFFFFF"/>
          </w:tcPr>
          <w:p w14:paraId="342A2CBB" w14:textId="77777777" w:rsidR="0019538B" w:rsidRDefault="0019538B" w:rsidP="00996625">
            <w:pPr>
              <w:spacing w:line="240" w:lineRule="auto"/>
              <w:rPr>
                <w:rFonts w:ascii="Times New Roman" w:hAnsi="Times New Roman"/>
                <w:color w:val="000000"/>
                <w:spacing w:val="-2"/>
                <w:sz w:val="21"/>
                <w:szCs w:val="21"/>
              </w:rPr>
            </w:pPr>
          </w:p>
        </w:tc>
      </w:tr>
      <w:tr w:rsidR="0019538B" w:rsidRPr="008B4FE6" w14:paraId="560D23C2" w14:textId="77777777" w:rsidTr="00996625">
        <w:trPr>
          <w:gridAfter w:val="1"/>
          <w:wAfter w:w="10" w:type="dxa"/>
          <w:trHeight w:val="493"/>
        </w:trPr>
        <w:tc>
          <w:tcPr>
            <w:tcW w:w="1595" w:type="dxa"/>
            <w:shd w:val="clear" w:color="auto" w:fill="FFFFFF"/>
          </w:tcPr>
          <w:p w14:paraId="72045726" w14:textId="77777777" w:rsidR="0019538B" w:rsidRPr="00301959" w:rsidRDefault="0019538B"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9342" w:type="dxa"/>
            <w:gridSpan w:val="35"/>
            <w:shd w:val="clear" w:color="auto" w:fill="FFFFFF"/>
          </w:tcPr>
          <w:p w14:paraId="2B90334F" w14:textId="77777777" w:rsidR="0019538B" w:rsidRPr="00B37C80" w:rsidRDefault="0019538B" w:rsidP="00996625">
            <w:pPr>
              <w:spacing w:line="240" w:lineRule="auto"/>
              <w:rPr>
                <w:rFonts w:ascii="Times New Roman" w:hAnsi="Times New Roman"/>
                <w:color w:val="000000"/>
                <w:spacing w:val="-2"/>
                <w:sz w:val="21"/>
                <w:szCs w:val="21"/>
              </w:rPr>
            </w:pPr>
          </w:p>
        </w:tc>
      </w:tr>
      <w:tr w:rsidR="0019538B" w:rsidRPr="008B4FE6" w14:paraId="02D912F3" w14:textId="77777777" w:rsidTr="00996625">
        <w:trPr>
          <w:gridAfter w:val="1"/>
          <w:wAfter w:w="10" w:type="dxa"/>
          <w:trHeight w:val="1643"/>
        </w:trPr>
        <w:tc>
          <w:tcPr>
            <w:tcW w:w="2241" w:type="dxa"/>
            <w:gridSpan w:val="2"/>
            <w:shd w:val="clear" w:color="auto" w:fill="FFFFFF"/>
          </w:tcPr>
          <w:p w14:paraId="51219CF2" w14:textId="77777777" w:rsidR="0019538B" w:rsidRPr="00301959" w:rsidRDefault="0019538B" w:rsidP="00996625">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6" w:type="dxa"/>
            <w:gridSpan w:val="34"/>
            <w:shd w:val="clear" w:color="auto" w:fill="FFFFFF"/>
          </w:tcPr>
          <w:p w14:paraId="4464BD98" w14:textId="16EB2F69" w:rsidR="00B21B8D" w:rsidRDefault="0019538B" w:rsidP="00996625">
            <w:pPr>
              <w:spacing w:line="240" w:lineRule="auto"/>
              <w:jc w:val="both"/>
              <w:rPr>
                <w:rFonts w:ascii="Times New Roman" w:hAnsi="Times New Roman"/>
                <w:color w:val="000000"/>
                <w:spacing w:val="-2"/>
              </w:rPr>
            </w:pPr>
            <w:r w:rsidRPr="0061440E">
              <w:rPr>
                <w:rFonts w:ascii="Times New Roman" w:hAnsi="Times New Roman"/>
                <w:color w:val="000000"/>
                <w:spacing w:val="-2"/>
              </w:rPr>
              <w:t>Projektowana regulacja</w:t>
            </w:r>
            <w:r>
              <w:rPr>
                <w:rFonts w:ascii="Times New Roman" w:hAnsi="Times New Roman"/>
                <w:color w:val="000000"/>
                <w:spacing w:val="-2"/>
              </w:rPr>
              <w:t xml:space="preserve"> </w:t>
            </w:r>
            <w:r w:rsidR="00EE668D">
              <w:rPr>
                <w:rFonts w:ascii="Times New Roman" w:hAnsi="Times New Roman"/>
                <w:color w:val="000000"/>
                <w:spacing w:val="-2"/>
              </w:rPr>
              <w:t xml:space="preserve">w korzystny </w:t>
            </w:r>
            <w:r w:rsidRPr="0061440E">
              <w:rPr>
                <w:rFonts w:ascii="Times New Roman" w:hAnsi="Times New Roman"/>
                <w:color w:val="000000"/>
                <w:spacing w:val="-2"/>
              </w:rPr>
              <w:t xml:space="preserve"> sposób</w:t>
            </w:r>
            <w:r>
              <w:rPr>
                <w:rFonts w:ascii="Times New Roman" w:hAnsi="Times New Roman"/>
                <w:color w:val="000000"/>
                <w:spacing w:val="-2"/>
              </w:rPr>
              <w:t xml:space="preserve"> </w:t>
            </w:r>
            <w:r w:rsidR="00EE668D">
              <w:rPr>
                <w:rFonts w:ascii="Times New Roman" w:hAnsi="Times New Roman"/>
                <w:color w:val="000000"/>
                <w:spacing w:val="-2"/>
              </w:rPr>
              <w:t xml:space="preserve">wpłynie </w:t>
            </w:r>
            <w:r w:rsidRPr="0061440E">
              <w:rPr>
                <w:rFonts w:ascii="Times New Roman" w:hAnsi="Times New Roman"/>
                <w:color w:val="000000"/>
                <w:spacing w:val="-2"/>
              </w:rPr>
              <w:t>na konkurencyjność gospodarki i przedsiębiorczość, w tym funkcjonowanie przedsiębiorców</w:t>
            </w:r>
            <w:r>
              <w:rPr>
                <w:rFonts w:ascii="Times New Roman" w:hAnsi="Times New Roman"/>
                <w:color w:val="000000"/>
                <w:spacing w:val="-2"/>
              </w:rPr>
              <w:t>.</w:t>
            </w:r>
            <w:r w:rsidRPr="0061440E">
              <w:rPr>
                <w:rFonts w:ascii="Times New Roman" w:hAnsi="Times New Roman"/>
                <w:color w:val="000000"/>
                <w:spacing w:val="-2"/>
              </w:rPr>
              <w:t xml:space="preserve"> </w:t>
            </w:r>
            <w:r w:rsidR="00EE668D">
              <w:rPr>
                <w:rFonts w:ascii="Times New Roman" w:hAnsi="Times New Roman"/>
                <w:color w:val="000000"/>
                <w:spacing w:val="-2"/>
              </w:rPr>
              <w:t>Uproszczenie i uporządkowanie procedur będzie miało wpływ na zwiększoną liczbę przedkładanych wniosków i tym samym większą ilość produktów biobójczych dostępnych w obrocie, co przełoży się na zyski przedsiębiorców.</w:t>
            </w:r>
          </w:p>
          <w:p w14:paraId="726AD392" w14:textId="07EAE46A" w:rsidR="00997140" w:rsidRPr="0011555C" w:rsidRDefault="00B21B8D" w:rsidP="00996625">
            <w:pPr>
              <w:spacing w:line="240" w:lineRule="auto"/>
              <w:jc w:val="both"/>
              <w:rPr>
                <w:rFonts w:ascii="Times New Roman" w:hAnsi="Times New Roman"/>
                <w:color w:val="000000"/>
                <w:spacing w:val="-2"/>
              </w:rPr>
            </w:pPr>
            <w:r>
              <w:rPr>
                <w:rFonts w:ascii="Times New Roman" w:hAnsi="Times New Roman"/>
                <w:color w:val="000000"/>
                <w:spacing w:val="-2"/>
              </w:rPr>
              <w:t xml:space="preserve">Planowane zmiany w zakresie opłat </w:t>
            </w:r>
            <w:r w:rsidR="00997140">
              <w:rPr>
                <w:rFonts w:ascii="Times New Roman" w:hAnsi="Times New Roman"/>
                <w:color w:val="000000"/>
                <w:spacing w:val="-2"/>
              </w:rPr>
              <w:t>mogą wpłynąć</w:t>
            </w:r>
            <w:r w:rsidR="00EC7959">
              <w:rPr>
                <w:rFonts w:ascii="Times New Roman" w:hAnsi="Times New Roman"/>
                <w:color w:val="000000"/>
                <w:spacing w:val="-2"/>
              </w:rPr>
              <w:t xml:space="preserve"> </w:t>
            </w:r>
            <w:r>
              <w:rPr>
                <w:rFonts w:ascii="Times New Roman" w:hAnsi="Times New Roman"/>
                <w:color w:val="000000"/>
                <w:spacing w:val="-2"/>
              </w:rPr>
              <w:t xml:space="preserve">na </w:t>
            </w:r>
            <w:r w:rsidR="00997140">
              <w:rPr>
                <w:rFonts w:ascii="Times New Roman" w:hAnsi="Times New Roman"/>
                <w:color w:val="000000"/>
                <w:spacing w:val="-2"/>
              </w:rPr>
              <w:t xml:space="preserve">dotychczasową </w:t>
            </w:r>
            <w:r>
              <w:rPr>
                <w:rFonts w:ascii="Times New Roman" w:hAnsi="Times New Roman"/>
                <w:color w:val="000000"/>
                <w:spacing w:val="-2"/>
              </w:rPr>
              <w:t>sytuację przedsiębiorstw</w:t>
            </w:r>
            <w:r w:rsidR="00997140">
              <w:rPr>
                <w:rFonts w:ascii="Times New Roman" w:hAnsi="Times New Roman"/>
                <w:color w:val="000000"/>
                <w:spacing w:val="-2"/>
              </w:rPr>
              <w:t>, w przypadku przedkładania</w:t>
            </w:r>
            <w:r w:rsidR="00D24B1D">
              <w:rPr>
                <w:rFonts w:ascii="Times New Roman" w:hAnsi="Times New Roman"/>
                <w:color w:val="000000"/>
                <w:spacing w:val="-2"/>
              </w:rPr>
              <w:t xml:space="preserve"> przez nich </w:t>
            </w:r>
            <w:r w:rsidR="00997140">
              <w:rPr>
                <w:rFonts w:ascii="Times New Roman" w:hAnsi="Times New Roman"/>
                <w:color w:val="000000"/>
                <w:spacing w:val="-2"/>
              </w:rPr>
              <w:t xml:space="preserve"> wniosków </w:t>
            </w:r>
            <w:r w:rsidRPr="00C372A0">
              <w:rPr>
                <w:rFonts w:ascii="Times New Roman" w:hAnsi="Times New Roman"/>
                <w:color w:val="000000"/>
                <w:spacing w:val="-2"/>
              </w:rPr>
              <w:t xml:space="preserve">o doradztwo </w:t>
            </w:r>
            <w:r w:rsidRPr="00036885">
              <w:rPr>
                <w:rFonts w:ascii="Times New Roman" w:hAnsi="Times New Roman"/>
                <w:color w:val="000000"/>
                <w:spacing w:val="-2"/>
              </w:rPr>
              <w:t>Prezesa Urzędu w zakresie odpowiedzialności i obowiązków, o których mowa w art. 81 ust. 2 rozporządzenia 528/2012 oraz udzielanie informacji w zakresie stosowania rozporządzenia 528/2012 i ustawy</w:t>
            </w:r>
            <w:r w:rsidR="00997140" w:rsidRPr="0011555C">
              <w:rPr>
                <w:rFonts w:ascii="Times New Roman" w:hAnsi="Times New Roman"/>
                <w:color w:val="000000"/>
                <w:spacing w:val="-2"/>
              </w:rPr>
              <w:t>.</w:t>
            </w:r>
          </w:p>
          <w:p w14:paraId="0D4E1D35" w14:textId="66B5513C" w:rsidR="00B21B8D" w:rsidRDefault="00F60AA4" w:rsidP="00996625">
            <w:pPr>
              <w:spacing w:line="240" w:lineRule="auto"/>
              <w:jc w:val="both"/>
              <w:rPr>
                <w:rFonts w:ascii="Times New Roman" w:hAnsi="Times New Roman"/>
                <w:color w:val="000000"/>
                <w:spacing w:val="-2"/>
              </w:rPr>
            </w:pPr>
            <w:r>
              <w:rPr>
                <w:rFonts w:ascii="Times New Roman" w:hAnsi="Times New Roman"/>
                <w:color w:val="000000"/>
                <w:spacing w:val="-2"/>
              </w:rPr>
              <w:t>W</w:t>
            </w:r>
            <w:r w:rsidR="00997140">
              <w:rPr>
                <w:rFonts w:ascii="Times New Roman" w:hAnsi="Times New Roman"/>
                <w:color w:val="000000"/>
                <w:spacing w:val="-2"/>
              </w:rPr>
              <w:t>ysokość i struktura opłat jest nadal przedmiotem ustaleń.</w:t>
            </w:r>
            <w:r w:rsidR="0069695D">
              <w:rPr>
                <w:rFonts w:ascii="Times New Roman" w:hAnsi="Times New Roman"/>
                <w:color w:val="000000"/>
                <w:spacing w:val="-2"/>
              </w:rPr>
              <w:t>, powyższe dane są szacunkowe.</w:t>
            </w:r>
          </w:p>
          <w:p w14:paraId="0ED8C780" w14:textId="2C953758" w:rsidR="00036B48" w:rsidRDefault="00036B48" w:rsidP="00036B48">
            <w:pPr>
              <w:spacing w:line="240" w:lineRule="auto"/>
              <w:jc w:val="both"/>
              <w:rPr>
                <w:rFonts w:ascii="Times New Roman" w:hAnsi="Times New Roman"/>
                <w:color w:val="000000"/>
                <w:spacing w:val="-2"/>
              </w:rPr>
            </w:pPr>
            <w:r>
              <w:rPr>
                <w:rFonts w:ascii="Times New Roman" w:hAnsi="Times New Roman"/>
                <w:color w:val="000000"/>
                <w:spacing w:val="-2"/>
              </w:rPr>
              <w:t>Powyższe wyliczenia prognozowano w oparciu o ewentualnie przedłożone wnioski o doradztwo, oraz wnioski o wydanie pozwolenia.</w:t>
            </w:r>
          </w:p>
          <w:p w14:paraId="52D34A5E" w14:textId="77777777" w:rsidR="00036B48" w:rsidRDefault="00036B48" w:rsidP="00996625">
            <w:pPr>
              <w:spacing w:line="240" w:lineRule="auto"/>
              <w:jc w:val="both"/>
              <w:rPr>
                <w:rFonts w:ascii="Times New Roman" w:hAnsi="Times New Roman"/>
                <w:color w:val="000000"/>
                <w:spacing w:val="-2"/>
              </w:rPr>
            </w:pPr>
          </w:p>
          <w:p w14:paraId="118ED718" w14:textId="1CB1617C" w:rsidR="0019538B" w:rsidRPr="0061440E" w:rsidRDefault="0019538B" w:rsidP="00996625">
            <w:pPr>
              <w:spacing w:line="240" w:lineRule="auto"/>
              <w:jc w:val="both"/>
              <w:rPr>
                <w:rFonts w:ascii="Times New Roman" w:hAnsi="Times New Roman"/>
                <w:color w:val="000000"/>
              </w:rPr>
            </w:pPr>
            <w:r>
              <w:rPr>
                <w:rFonts w:ascii="Times New Roman" w:hAnsi="Times New Roman"/>
                <w:color w:val="000000"/>
                <w:spacing w:val="-2"/>
              </w:rPr>
              <w:t xml:space="preserve">Planowany wzrost zatrudnienia będzie miał korzystny wpływ na </w:t>
            </w:r>
            <w:r w:rsidRPr="001E271A">
              <w:rPr>
                <w:rFonts w:ascii="Times New Roman" w:hAnsi="Times New Roman"/>
                <w:color w:val="000000"/>
                <w:szCs w:val="24"/>
              </w:rPr>
              <w:t xml:space="preserve"> sytuację </w:t>
            </w:r>
            <w:r>
              <w:rPr>
                <w:rFonts w:ascii="Times New Roman" w:hAnsi="Times New Roman"/>
                <w:color w:val="000000"/>
                <w:szCs w:val="24"/>
              </w:rPr>
              <w:t>ekonomiczną i społeczną rodziny.</w:t>
            </w:r>
          </w:p>
          <w:p w14:paraId="2FDE6BC4" w14:textId="77777777" w:rsidR="0019538B" w:rsidRPr="00301959" w:rsidRDefault="0019538B" w:rsidP="00996625">
            <w:pPr>
              <w:spacing w:line="240" w:lineRule="auto"/>
              <w:jc w:val="both"/>
              <w:rPr>
                <w:rFonts w:ascii="Times New Roman" w:hAnsi="Times New Roman"/>
                <w:color w:val="000000"/>
                <w:sz w:val="21"/>
                <w:szCs w:val="21"/>
              </w:rPr>
            </w:pPr>
            <w:r w:rsidRPr="001E271A">
              <w:rPr>
                <w:rFonts w:ascii="Times New Roman" w:hAnsi="Times New Roman"/>
                <w:szCs w:val="24"/>
              </w:rPr>
              <w:t xml:space="preserve">Projektowana zmiana nie wpływa </w:t>
            </w:r>
            <w:r w:rsidRPr="001E271A">
              <w:rPr>
                <w:rFonts w:ascii="Times New Roman" w:hAnsi="Times New Roman"/>
                <w:color w:val="000000"/>
                <w:szCs w:val="24"/>
              </w:rPr>
              <w:t xml:space="preserve">na </w:t>
            </w:r>
            <w:r>
              <w:rPr>
                <w:rFonts w:ascii="Times New Roman" w:hAnsi="Times New Roman"/>
                <w:color w:val="000000"/>
                <w:szCs w:val="24"/>
              </w:rPr>
              <w:t xml:space="preserve">sytuację </w:t>
            </w:r>
            <w:r w:rsidRPr="001E271A">
              <w:rPr>
                <w:rFonts w:ascii="Times New Roman" w:hAnsi="Times New Roman"/>
                <w:color w:val="000000"/>
                <w:szCs w:val="24"/>
              </w:rPr>
              <w:t>osób niepełnosprawnych i osób starszych.</w:t>
            </w:r>
          </w:p>
        </w:tc>
      </w:tr>
      <w:tr w:rsidR="0019538B" w:rsidRPr="008B4FE6" w14:paraId="35896BF3" w14:textId="77777777" w:rsidTr="00996625">
        <w:trPr>
          <w:gridAfter w:val="1"/>
          <w:wAfter w:w="10" w:type="dxa"/>
          <w:trHeight w:val="342"/>
        </w:trPr>
        <w:tc>
          <w:tcPr>
            <w:tcW w:w="10937" w:type="dxa"/>
            <w:gridSpan w:val="36"/>
            <w:shd w:val="clear" w:color="auto" w:fill="99CCFF"/>
            <w:vAlign w:val="center"/>
          </w:tcPr>
          <w:p w14:paraId="5CB8B876" w14:textId="77777777" w:rsidR="0019538B" w:rsidRDefault="0019538B" w:rsidP="00996625">
            <w:pPr>
              <w:numPr>
                <w:ilvl w:val="0"/>
                <w:numId w:val="3"/>
              </w:numPr>
              <w:spacing w:line="240" w:lineRule="auto"/>
              <w:ind w:left="318" w:hanging="284"/>
              <w:jc w:val="both"/>
              <w:rPr>
                <w:rFonts w:ascii="Times New Roman" w:hAnsi="Times New Roman"/>
                <w:b/>
                <w:color w:val="000000"/>
              </w:rPr>
            </w:pP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bookmarkStart w:id="10" w:name="__Fieldmark__958_584089848"/>
      <w:tr w:rsidR="0019538B" w:rsidRPr="008B4FE6" w14:paraId="1BD69FE3" w14:textId="77777777" w:rsidTr="00996625">
        <w:trPr>
          <w:gridAfter w:val="1"/>
          <w:wAfter w:w="10" w:type="dxa"/>
          <w:trHeight w:val="151"/>
        </w:trPr>
        <w:tc>
          <w:tcPr>
            <w:tcW w:w="10937" w:type="dxa"/>
            <w:gridSpan w:val="36"/>
            <w:shd w:val="clear" w:color="auto" w:fill="FFFFFF"/>
          </w:tcPr>
          <w:p w14:paraId="73FF1507" w14:textId="77777777" w:rsidR="0019538B" w:rsidRPr="008B4FE6" w:rsidRDefault="00815C38" w:rsidP="00996625">
            <w:pPr>
              <w:spacing w:line="240" w:lineRule="auto"/>
              <w:rPr>
                <w:rFonts w:ascii="Times New Roman" w:hAnsi="Times New Roman"/>
                <w:color w:val="000000"/>
              </w:rPr>
            </w:pPr>
            <w:r w:rsidRPr="006E292D">
              <w:fldChar w:fldCharType="begin">
                <w:ffData>
                  <w:name w:val=""/>
                  <w:enabled/>
                  <w:calcOnExit w:val="0"/>
                  <w:checkBox>
                    <w:sizeAuto/>
                    <w:default w:val="0"/>
                    <w:checked/>
                  </w:checkBox>
                </w:ffData>
              </w:fldChar>
            </w:r>
            <w:r w:rsidR="0019538B">
              <w:instrText xml:space="preserve"> FORMCHECKBOX </w:instrText>
            </w:r>
            <w:r w:rsidR="007F2920">
              <w:fldChar w:fldCharType="separate"/>
            </w:r>
            <w:r w:rsidRPr="006E292D">
              <w:fldChar w:fldCharType="end"/>
            </w:r>
            <w:bookmarkEnd w:id="10"/>
            <w:r w:rsidR="0019538B" w:rsidRPr="001A5FDA">
              <w:rPr>
                <w:rFonts w:ascii="Times New Roman" w:hAnsi="Times New Roman"/>
                <w:color w:val="000000"/>
                <w:spacing w:val="-2"/>
              </w:rPr>
              <w:t>nie dotyczy</w:t>
            </w:r>
          </w:p>
        </w:tc>
      </w:tr>
      <w:tr w:rsidR="0019538B" w:rsidRPr="008B4FE6" w14:paraId="1CE067E1" w14:textId="77777777" w:rsidTr="00996625">
        <w:trPr>
          <w:gridAfter w:val="1"/>
          <w:wAfter w:w="10" w:type="dxa"/>
          <w:trHeight w:val="946"/>
        </w:trPr>
        <w:tc>
          <w:tcPr>
            <w:tcW w:w="5109" w:type="dxa"/>
            <w:gridSpan w:val="12"/>
            <w:shd w:val="clear" w:color="auto" w:fill="FFFFFF"/>
          </w:tcPr>
          <w:p w14:paraId="13C08223" w14:textId="77777777" w:rsidR="0019538B" w:rsidRDefault="0019538B" w:rsidP="00996625">
            <w:pPr>
              <w:spacing w:line="240" w:lineRule="auto"/>
              <w:rPr>
                <w:rFonts w:ascii="Times New Roman" w:hAnsi="Times New Roman"/>
                <w:color w:val="000000"/>
                <w:spacing w:val="-2"/>
              </w:rPr>
            </w:pPr>
            <w:r>
              <w:rPr>
                <w:rFonts w:ascii="Times New Roman" w:hAnsi="Times New Roman"/>
                <w:color w:val="000000"/>
                <w:spacing w:val="-2"/>
              </w:rPr>
              <w:lastRenderedPageBreak/>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sidRPr="008B4FE6">
              <w:rPr>
                <w:rFonts w:ascii="Times New Roman" w:hAnsi="Times New Roman"/>
                <w:color w:val="000000"/>
              </w:rPr>
              <w:t>(szczegóły w odwróconej tabeli zgodności</w:t>
            </w:r>
            <w:r>
              <w:rPr>
                <w:rFonts w:ascii="Times New Roman" w:hAnsi="Times New Roman"/>
                <w:color w:val="000000"/>
              </w:rPr>
              <w:t>).</w:t>
            </w:r>
          </w:p>
        </w:tc>
        <w:tc>
          <w:tcPr>
            <w:tcW w:w="5828" w:type="dxa"/>
            <w:gridSpan w:val="24"/>
            <w:shd w:val="clear" w:color="auto" w:fill="FFFFFF"/>
          </w:tcPr>
          <w:p w14:paraId="5B4D34CE" w14:textId="77777777" w:rsidR="0019538B" w:rsidRDefault="00815C38" w:rsidP="0099662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Pr>
                <w:rFonts w:ascii="Times New Roman" w:hAnsi="Times New Roman"/>
                <w:color w:val="000000"/>
              </w:rPr>
              <w:t xml:space="preserve"> tak</w:t>
            </w:r>
          </w:p>
          <w:p w14:paraId="3BEFB69A" w14:textId="77777777" w:rsidR="0019538B" w:rsidRDefault="00815C38" w:rsidP="0099662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Pr>
                <w:rFonts w:ascii="Times New Roman" w:hAnsi="Times New Roman"/>
                <w:color w:val="000000"/>
              </w:rPr>
              <w:t xml:space="preserve"> nie</w:t>
            </w:r>
          </w:p>
          <w:p w14:paraId="763CFDC5" w14:textId="77777777" w:rsidR="0019538B" w:rsidRDefault="00815C38" w:rsidP="00996625">
            <w:pPr>
              <w:spacing w:line="240" w:lineRule="auto"/>
              <w:rPr>
                <w:rFonts w:ascii="Times New Roman" w:hAnsi="Times New Roman"/>
                <w:color w:val="000000"/>
              </w:rPr>
            </w:pPr>
            <w:r w:rsidRPr="006E292D">
              <w:fldChar w:fldCharType="begin">
                <w:ffData>
                  <w:name w:val=""/>
                  <w:enabled/>
                  <w:calcOnExit w:val="0"/>
                  <w:checkBox>
                    <w:sizeAuto/>
                    <w:default w:val="0"/>
                    <w:checked/>
                  </w:checkBox>
                </w:ffData>
              </w:fldChar>
            </w:r>
            <w:r w:rsidR="0019538B">
              <w:instrText xml:space="preserve"> FORMCHECKBOX </w:instrText>
            </w:r>
            <w:r w:rsidR="007F2920">
              <w:fldChar w:fldCharType="separate"/>
            </w:r>
            <w:r w:rsidRPr="006E292D">
              <w:fldChar w:fldCharType="end"/>
            </w:r>
            <w:r w:rsidR="0019538B">
              <w:rPr>
                <w:rFonts w:ascii="Times New Roman" w:hAnsi="Times New Roman"/>
                <w:color w:val="000000"/>
              </w:rPr>
              <w:t xml:space="preserve"> nie dotyczy</w:t>
            </w:r>
          </w:p>
        </w:tc>
      </w:tr>
      <w:tr w:rsidR="0019538B" w:rsidRPr="008B4FE6" w14:paraId="517ED24F" w14:textId="77777777" w:rsidTr="00996625">
        <w:trPr>
          <w:gridAfter w:val="1"/>
          <w:wAfter w:w="10" w:type="dxa"/>
          <w:trHeight w:val="1245"/>
        </w:trPr>
        <w:tc>
          <w:tcPr>
            <w:tcW w:w="5109" w:type="dxa"/>
            <w:gridSpan w:val="12"/>
            <w:shd w:val="clear" w:color="auto" w:fill="FFFFFF"/>
          </w:tcPr>
          <w:p w14:paraId="67FDD936" w14:textId="77777777" w:rsidR="0019538B" w:rsidRPr="008B4FE6"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zmniejszenie liczby dokumentów</w:t>
            </w:r>
          </w:p>
          <w:p w14:paraId="1082C87C" w14:textId="77777777" w:rsidR="0019538B" w:rsidRPr="008B4FE6"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zmniejszenie liczby procedur</w:t>
            </w:r>
          </w:p>
          <w:p w14:paraId="0451E4B0" w14:textId="77777777" w:rsidR="0019538B"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skrócenie czasu</w:t>
            </w:r>
            <w:r w:rsidR="0019538B">
              <w:rPr>
                <w:rFonts w:ascii="Times New Roman" w:hAnsi="Times New Roman"/>
                <w:color w:val="000000"/>
                <w:spacing w:val="-2"/>
              </w:rPr>
              <w:t xml:space="preserve"> na załatwienie sprawy</w:t>
            </w:r>
          </w:p>
          <w:p w14:paraId="54BEEAC9" w14:textId="77777777" w:rsidR="0019538B" w:rsidRDefault="00815C38" w:rsidP="00996625">
            <w:pPr>
              <w:spacing w:line="240" w:lineRule="auto"/>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inne:</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9538B"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Pr="008B4FE6">
              <w:rPr>
                <w:rFonts w:ascii="Times New Roman" w:hAnsi="Times New Roman"/>
                <w:color w:val="000000"/>
              </w:rPr>
              <w:fldChar w:fldCharType="end"/>
            </w:r>
          </w:p>
        </w:tc>
        <w:tc>
          <w:tcPr>
            <w:tcW w:w="5828" w:type="dxa"/>
            <w:gridSpan w:val="24"/>
            <w:shd w:val="clear" w:color="auto" w:fill="FFFFFF"/>
          </w:tcPr>
          <w:p w14:paraId="3B41F95C" w14:textId="77777777" w:rsidR="0019538B"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zwiększenie liczby dokumentów</w:t>
            </w:r>
          </w:p>
          <w:p w14:paraId="6D081E2E" w14:textId="77777777" w:rsidR="0019538B"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zwiększenie liczby procedur</w:t>
            </w:r>
          </w:p>
          <w:p w14:paraId="6B7AA9CB" w14:textId="77777777" w:rsidR="0019538B"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wydłużenie czasu</w:t>
            </w:r>
            <w:r w:rsidR="0019538B">
              <w:rPr>
                <w:rFonts w:ascii="Times New Roman" w:hAnsi="Times New Roman"/>
                <w:color w:val="000000"/>
                <w:spacing w:val="-2"/>
              </w:rPr>
              <w:t xml:space="preserve"> na załatwienie sprawy</w:t>
            </w:r>
          </w:p>
          <w:p w14:paraId="5BD0BDEA" w14:textId="77777777" w:rsidR="0019538B" w:rsidRDefault="00815C38" w:rsidP="0099662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inne:</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9538B"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Pr="008B4FE6">
              <w:rPr>
                <w:rFonts w:ascii="Times New Roman" w:hAnsi="Times New Roman"/>
                <w:color w:val="000000"/>
              </w:rPr>
              <w:fldChar w:fldCharType="end"/>
            </w:r>
          </w:p>
          <w:p w14:paraId="7212ACDF" w14:textId="77777777" w:rsidR="0019538B" w:rsidRDefault="0019538B" w:rsidP="00996625">
            <w:pPr>
              <w:spacing w:line="240" w:lineRule="auto"/>
              <w:rPr>
                <w:rFonts w:ascii="Times New Roman" w:hAnsi="Times New Roman"/>
                <w:color w:val="000000"/>
              </w:rPr>
            </w:pPr>
          </w:p>
        </w:tc>
      </w:tr>
      <w:tr w:rsidR="0019538B" w:rsidRPr="008B4FE6" w14:paraId="0D09E187" w14:textId="77777777" w:rsidTr="00996625">
        <w:trPr>
          <w:gridAfter w:val="1"/>
          <w:wAfter w:w="10" w:type="dxa"/>
          <w:trHeight w:val="870"/>
        </w:trPr>
        <w:tc>
          <w:tcPr>
            <w:tcW w:w="5109" w:type="dxa"/>
            <w:gridSpan w:val="12"/>
            <w:shd w:val="clear" w:color="auto" w:fill="FFFFFF"/>
          </w:tcPr>
          <w:p w14:paraId="0956FEBD" w14:textId="77777777" w:rsidR="0019538B" w:rsidRPr="008B4FE6" w:rsidRDefault="0019538B" w:rsidP="00996625">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8" w:type="dxa"/>
            <w:gridSpan w:val="24"/>
            <w:shd w:val="clear" w:color="auto" w:fill="FFFFFF"/>
          </w:tcPr>
          <w:p w14:paraId="69774A8F" w14:textId="77777777" w:rsidR="0019538B" w:rsidRDefault="00815C38" w:rsidP="00996625">
            <w:pPr>
              <w:spacing w:line="240" w:lineRule="auto"/>
              <w:rPr>
                <w:rFonts w:ascii="Times New Roman" w:hAnsi="Times New Roman"/>
                <w:color w:val="000000"/>
              </w:rPr>
            </w:pPr>
            <w:r w:rsidRPr="006E292D">
              <w:fldChar w:fldCharType="begin">
                <w:ffData>
                  <w:name w:val=""/>
                  <w:enabled/>
                  <w:calcOnExit w:val="0"/>
                  <w:checkBox>
                    <w:sizeAuto/>
                    <w:default w:val="0"/>
                    <w:checked/>
                  </w:checkBox>
                </w:ffData>
              </w:fldChar>
            </w:r>
            <w:r w:rsidR="0019538B">
              <w:instrText xml:space="preserve"> FORMCHECKBOX </w:instrText>
            </w:r>
            <w:r w:rsidR="007F2920">
              <w:fldChar w:fldCharType="separate"/>
            </w:r>
            <w:r w:rsidRPr="006E292D">
              <w:fldChar w:fldCharType="end"/>
            </w:r>
            <w:r w:rsidR="0019538B">
              <w:rPr>
                <w:rFonts w:ascii="Times New Roman" w:hAnsi="Times New Roman"/>
                <w:color w:val="000000"/>
              </w:rPr>
              <w:t xml:space="preserve"> tak</w:t>
            </w:r>
          </w:p>
          <w:p w14:paraId="20744F1B" w14:textId="77777777" w:rsidR="0019538B" w:rsidRDefault="00815C38" w:rsidP="0099662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Pr>
                <w:rFonts w:ascii="Times New Roman" w:hAnsi="Times New Roman"/>
                <w:color w:val="000000"/>
              </w:rPr>
              <w:t xml:space="preserve"> nie</w:t>
            </w:r>
          </w:p>
          <w:p w14:paraId="290B7BA7" w14:textId="77777777" w:rsidR="0019538B" w:rsidRDefault="00815C38" w:rsidP="00996625">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Pr>
                <w:rFonts w:ascii="Times New Roman" w:hAnsi="Times New Roman"/>
                <w:color w:val="000000"/>
              </w:rPr>
              <w:t xml:space="preserve"> nie dotyczy</w:t>
            </w:r>
          </w:p>
          <w:p w14:paraId="38937C07" w14:textId="77777777" w:rsidR="0019538B" w:rsidRDefault="0019538B" w:rsidP="00996625">
            <w:pPr>
              <w:spacing w:line="240" w:lineRule="auto"/>
              <w:rPr>
                <w:rFonts w:ascii="Times New Roman" w:hAnsi="Times New Roman"/>
                <w:color w:val="000000"/>
              </w:rPr>
            </w:pPr>
          </w:p>
        </w:tc>
      </w:tr>
      <w:tr w:rsidR="0019538B" w:rsidRPr="008B4FE6" w14:paraId="556F09E4" w14:textId="77777777" w:rsidTr="00996625">
        <w:trPr>
          <w:gridAfter w:val="1"/>
          <w:wAfter w:w="10" w:type="dxa"/>
          <w:trHeight w:val="630"/>
        </w:trPr>
        <w:tc>
          <w:tcPr>
            <w:tcW w:w="10937" w:type="dxa"/>
            <w:gridSpan w:val="36"/>
            <w:shd w:val="clear" w:color="auto" w:fill="FFFFFF"/>
          </w:tcPr>
          <w:p w14:paraId="4F1DA85F" w14:textId="77777777" w:rsidR="0019538B" w:rsidRDefault="0019538B" w:rsidP="00996625">
            <w:pPr>
              <w:spacing w:line="240" w:lineRule="auto"/>
              <w:jc w:val="both"/>
              <w:rPr>
                <w:rFonts w:ascii="Times New Roman" w:hAnsi="Times New Roman"/>
                <w:color w:val="000000"/>
              </w:rPr>
            </w:pPr>
            <w:r>
              <w:rPr>
                <w:rFonts w:ascii="Times New Roman" w:hAnsi="Times New Roman"/>
                <w:color w:val="000000"/>
              </w:rPr>
              <w:t>Komentarz:</w:t>
            </w:r>
          </w:p>
          <w:p w14:paraId="3FD1246C" w14:textId="64CD58B3" w:rsidR="0019538B" w:rsidRDefault="0019538B" w:rsidP="00011D10">
            <w:pPr>
              <w:spacing w:line="240" w:lineRule="auto"/>
              <w:jc w:val="both"/>
              <w:rPr>
                <w:rFonts w:ascii="Times New Roman" w:eastAsia="Times New Roman" w:hAnsi="Times New Roman" w:cs="Arial"/>
                <w:b/>
                <w:bCs/>
                <w:color w:val="000000"/>
              </w:rPr>
            </w:pPr>
            <w:r>
              <w:rPr>
                <w:rFonts w:ascii="Times New Roman" w:hAnsi="Times New Roman"/>
                <w:color w:val="000000"/>
              </w:rPr>
              <w:t xml:space="preserve">Projektowana regulacja doprecyzowuje wprowadzone ustawą z dnia 9 października 2015 r. o produktach biobójczych procedury i wymogi dotyczące dokumentacji, stąd nie zmieni w istotny sposób obciążeń regulacyjnych, za wyjątkiem </w:t>
            </w:r>
            <w:r w:rsidR="003370F2">
              <w:rPr>
                <w:rFonts w:ascii="Times New Roman" w:hAnsi="Times New Roman"/>
                <w:color w:val="000000"/>
              </w:rPr>
              <w:t xml:space="preserve">określenia </w:t>
            </w:r>
            <w:r w:rsidR="003370F2" w:rsidRPr="003370F2">
              <w:rPr>
                <w:rFonts w:ascii="Times New Roman" w:hAnsi="Times New Roman"/>
                <w:color w:val="000000"/>
              </w:rPr>
              <w:t xml:space="preserve"> przypadków, gdzie możliwe jest odstąpienie od obowiązku przedkładania osobnego wniosku o zużyci</w:t>
            </w:r>
            <w:r w:rsidR="00994461">
              <w:rPr>
                <w:rFonts w:ascii="Times New Roman" w:hAnsi="Times New Roman"/>
                <w:color w:val="000000"/>
              </w:rPr>
              <w:t>e</w:t>
            </w:r>
            <w:r w:rsidR="003370F2" w:rsidRPr="003370F2">
              <w:rPr>
                <w:rFonts w:ascii="Times New Roman" w:hAnsi="Times New Roman"/>
                <w:color w:val="000000"/>
              </w:rPr>
              <w:t xml:space="preserve"> zapasów produktu biobójczego</w:t>
            </w:r>
            <w:r>
              <w:rPr>
                <w:rFonts w:ascii="Times New Roman" w:hAnsi="Times New Roman"/>
                <w:color w:val="000000"/>
              </w:rPr>
              <w:t>.</w:t>
            </w:r>
            <w:r w:rsidR="00D7704B">
              <w:t xml:space="preserve"> </w:t>
            </w:r>
            <w:r w:rsidR="00D7704B" w:rsidRPr="00D7704B">
              <w:rPr>
                <w:rFonts w:ascii="Times New Roman" w:hAnsi="Times New Roman"/>
                <w:color w:val="000000"/>
              </w:rPr>
              <w:t>Przyjęte rozwiązanie zmniejszy obciążenie administracyjne dla uczestników postępowania przez uniknięcie rozpatrywania dodatkowych wniosków strony o przyznanie okresu na zużycie zapasów produktu biobójczego</w:t>
            </w:r>
            <w:r w:rsidR="00D7704B">
              <w:rPr>
                <w:rFonts w:ascii="Times New Roman" w:hAnsi="Times New Roman"/>
                <w:color w:val="000000"/>
              </w:rPr>
              <w:t>, w tym</w:t>
            </w:r>
            <w:r w:rsidR="00D7704B" w:rsidRPr="00D7704B">
              <w:rPr>
                <w:rFonts w:ascii="Times New Roman" w:hAnsi="Times New Roman"/>
                <w:color w:val="000000"/>
              </w:rPr>
              <w:t xml:space="preserve"> </w:t>
            </w:r>
            <w:r w:rsidR="00D7704B">
              <w:rPr>
                <w:rFonts w:ascii="Times New Roman" w:hAnsi="Times New Roman"/>
                <w:color w:val="000000"/>
              </w:rPr>
              <w:t>w przypadkach</w:t>
            </w:r>
            <w:r w:rsidR="00D7704B" w:rsidRPr="00D7704B">
              <w:rPr>
                <w:rFonts w:ascii="Times New Roman" w:hAnsi="Times New Roman"/>
                <w:color w:val="000000"/>
              </w:rPr>
              <w:t xml:space="preserve"> </w:t>
            </w:r>
            <w:r w:rsidR="00651A5D">
              <w:rPr>
                <w:rFonts w:ascii="Times New Roman" w:hAnsi="Times New Roman"/>
                <w:color w:val="000000"/>
              </w:rPr>
              <w:t xml:space="preserve">postępowań w przedmiocie </w:t>
            </w:r>
            <w:r w:rsidR="00D7704B" w:rsidRPr="00D7704B">
              <w:rPr>
                <w:rFonts w:ascii="Times New Roman" w:hAnsi="Times New Roman"/>
                <w:color w:val="000000"/>
              </w:rPr>
              <w:t>zmiany podmiotu odpowiedzialnego.</w:t>
            </w:r>
            <w:r>
              <w:rPr>
                <w:rFonts w:ascii="Times New Roman" w:hAnsi="Times New Roman"/>
                <w:color w:val="000000"/>
              </w:rPr>
              <w:t xml:space="preserve"> </w:t>
            </w:r>
            <w:r w:rsidR="00994461">
              <w:rPr>
                <w:rFonts w:ascii="Times New Roman" w:hAnsi="Times New Roman"/>
                <w:color w:val="000000"/>
              </w:rPr>
              <w:t xml:space="preserve">Jednocześnie proponuje się </w:t>
            </w:r>
            <w:r w:rsidR="00994461" w:rsidRPr="00994461">
              <w:rPr>
                <w:rFonts w:ascii="Times New Roman" w:hAnsi="Times New Roman"/>
                <w:color w:val="000000"/>
              </w:rPr>
              <w:t xml:space="preserve">odstąpienie od wymagania przedłożenia wraz z wnioskiem </w:t>
            </w:r>
            <w:r w:rsidR="00651A5D">
              <w:rPr>
                <w:rFonts w:ascii="Times New Roman" w:hAnsi="Times New Roman"/>
                <w:color w:val="000000"/>
              </w:rPr>
              <w:t xml:space="preserve">o pozwolenie na obrót </w:t>
            </w:r>
            <w:r w:rsidR="00B23062">
              <w:rPr>
                <w:rFonts w:ascii="Times New Roman" w:hAnsi="Times New Roman"/>
                <w:color w:val="000000"/>
              </w:rPr>
              <w:t xml:space="preserve">dodatkowej dokumentacji w postaci </w:t>
            </w:r>
            <w:r w:rsidR="00994461" w:rsidRPr="00994461">
              <w:rPr>
                <w:rFonts w:ascii="Times New Roman" w:hAnsi="Times New Roman"/>
                <w:color w:val="000000"/>
              </w:rPr>
              <w:t>treści oznakowania opakowania produktu biobójczego oraz karty charakterystyki</w:t>
            </w:r>
            <w:r w:rsidR="00B23062">
              <w:rPr>
                <w:rFonts w:ascii="Times New Roman" w:hAnsi="Times New Roman"/>
                <w:color w:val="000000"/>
              </w:rPr>
              <w:t xml:space="preserve"> zastępując ww. obowiązek przedstawieniem wyłącznie informacji o zal</w:t>
            </w:r>
            <w:r w:rsidR="00B23062" w:rsidRPr="00B23062">
              <w:rPr>
                <w:rFonts w:ascii="Times New Roman" w:hAnsi="Times New Roman"/>
                <w:color w:val="000000"/>
              </w:rPr>
              <w:t>e</w:t>
            </w:r>
            <w:r w:rsidR="00B23062">
              <w:rPr>
                <w:rFonts w:ascii="Times New Roman" w:hAnsi="Times New Roman"/>
                <w:color w:val="000000"/>
              </w:rPr>
              <w:t xml:space="preserve">ceniach </w:t>
            </w:r>
            <w:r w:rsidR="0074669A">
              <w:rPr>
                <w:rFonts w:ascii="Times New Roman" w:hAnsi="Times New Roman"/>
                <w:color w:val="000000"/>
              </w:rPr>
              <w:t>dotyczących</w:t>
            </w:r>
            <w:r w:rsidR="0074669A" w:rsidRPr="0074669A">
              <w:rPr>
                <w:rFonts w:ascii="Times New Roman" w:hAnsi="Times New Roman"/>
                <w:color w:val="000000"/>
              </w:rPr>
              <w:t xml:space="preserve"> stosowania dla danego zakresu stosowania produktu biobójczego</w:t>
            </w:r>
          </w:p>
        </w:tc>
      </w:tr>
      <w:tr w:rsidR="0019538B" w:rsidRPr="008B4FE6" w14:paraId="3C4C83C8" w14:textId="77777777" w:rsidTr="00996625">
        <w:trPr>
          <w:gridAfter w:val="1"/>
          <w:wAfter w:w="10" w:type="dxa"/>
          <w:trHeight w:val="142"/>
        </w:trPr>
        <w:tc>
          <w:tcPr>
            <w:tcW w:w="10937" w:type="dxa"/>
            <w:gridSpan w:val="36"/>
            <w:shd w:val="clear" w:color="auto" w:fill="99CCFF"/>
          </w:tcPr>
          <w:p w14:paraId="1FDB54AF" w14:textId="77777777" w:rsidR="0019538B" w:rsidRDefault="0019538B" w:rsidP="00996625">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9538B" w:rsidRPr="008B4FE6" w14:paraId="67C651BF" w14:textId="77777777" w:rsidTr="00996625">
        <w:trPr>
          <w:gridAfter w:val="1"/>
          <w:wAfter w:w="10" w:type="dxa"/>
          <w:trHeight w:val="142"/>
        </w:trPr>
        <w:tc>
          <w:tcPr>
            <w:tcW w:w="10937" w:type="dxa"/>
            <w:gridSpan w:val="36"/>
            <w:shd w:val="clear" w:color="auto" w:fill="auto"/>
          </w:tcPr>
          <w:p w14:paraId="5E687110" w14:textId="0D6006F0" w:rsidR="0019538B" w:rsidRDefault="002A029E" w:rsidP="00996625">
            <w:pPr>
              <w:spacing w:line="240" w:lineRule="auto"/>
              <w:ind w:firstLine="34"/>
              <w:jc w:val="both"/>
              <w:rPr>
                <w:rFonts w:ascii="Times New Roman" w:hAnsi="Times New Roman"/>
                <w:color w:val="000000"/>
              </w:rPr>
            </w:pPr>
            <w:r>
              <w:rPr>
                <w:rFonts w:ascii="Times New Roman" w:hAnsi="Times New Roman"/>
              </w:rPr>
              <w:t>Brak wpływu</w:t>
            </w:r>
            <w:r w:rsidR="0019538B">
              <w:rPr>
                <w:rFonts w:ascii="Times New Roman" w:hAnsi="Times New Roman"/>
              </w:rPr>
              <w:t xml:space="preserve">. </w:t>
            </w:r>
          </w:p>
        </w:tc>
      </w:tr>
      <w:tr w:rsidR="0019538B" w:rsidRPr="008B4FE6" w14:paraId="756B278F" w14:textId="77777777" w:rsidTr="00996625">
        <w:trPr>
          <w:gridAfter w:val="1"/>
          <w:wAfter w:w="10" w:type="dxa"/>
          <w:trHeight w:val="142"/>
        </w:trPr>
        <w:tc>
          <w:tcPr>
            <w:tcW w:w="10937" w:type="dxa"/>
            <w:gridSpan w:val="36"/>
            <w:shd w:val="clear" w:color="auto" w:fill="99CCFF"/>
          </w:tcPr>
          <w:p w14:paraId="3E3AEB8C" w14:textId="77777777" w:rsidR="0019538B" w:rsidRDefault="0019538B" w:rsidP="00996625">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9538B" w:rsidRPr="008B4FE6" w14:paraId="4FF3E0AC" w14:textId="77777777" w:rsidTr="0011555C">
        <w:trPr>
          <w:gridAfter w:val="1"/>
          <w:wAfter w:w="10" w:type="dxa"/>
          <w:trHeight w:val="1031"/>
        </w:trPr>
        <w:tc>
          <w:tcPr>
            <w:tcW w:w="3432" w:type="dxa"/>
            <w:gridSpan w:val="5"/>
            <w:shd w:val="clear" w:color="auto" w:fill="FFFFFF"/>
          </w:tcPr>
          <w:p w14:paraId="2AD980A7" w14:textId="77777777" w:rsidR="0019538B" w:rsidRPr="008B4FE6" w:rsidRDefault="0019538B" w:rsidP="00996625">
            <w:pPr>
              <w:spacing w:line="240" w:lineRule="auto"/>
              <w:rPr>
                <w:rFonts w:ascii="Times New Roman" w:hAnsi="Times New Roman"/>
                <w:color w:val="000000"/>
              </w:rPr>
            </w:pPr>
          </w:p>
          <w:p w14:paraId="75294920" w14:textId="77777777" w:rsidR="0019538B" w:rsidRPr="008B4FE6" w:rsidRDefault="00815C38" w:rsidP="00996625">
            <w:pPr>
              <w:spacing w:line="240" w:lineRule="auto"/>
              <w:rPr>
                <w:rFonts w:ascii="Times New Roman" w:hAnsi="Times New Roman"/>
                <w:color w:val="000000"/>
                <w:spacing w:val="-2"/>
              </w:rPr>
            </w:pPr>
            <w:r w:rsidRPr="006E292D">
              <w:fldChar w:fldCharType="begin">
                <w:ffData>
                  <w:name w:val=""/>
                  <w:enabled/>
                  <w:calcOnExit w:val="0"/>
                  <w:checkBox>
                    <w:sizeAuto/>
                    <w:default w:val="0"/>
                    <w:checked/>
                  </w:checkBox>
                </w:ffData>
              </w:fldChar>
            </w:r>
            <w:r w:rsidR="0019538B">
              <w:instrText xml:space="preserve"> FORMCHECKBOX </w:instrText>
            </w:r>
            <w:r w:rsidR="007F2920">
              <w:fldChar w:fldCharType="separate"/>
            </w:r>
            <w:r w:rsidRPr="006E292D">
              <w:fldChar w:fldCharType="end"/>
            </w:r>
            <w:r w:rsidR="0019538B" w:rsidRPr="008B4FE6">
              <w:rPr>
                <w:rFonts w:ascii="Times New Roman" w:hAnsi="Times New Roman"/>
                <w:color w:val="000000"/>
                <w:spacing w:val="-2"/>
              </w:rPr>
              <w:t>środowisko naturalne</w:t>
            </w:r>
          </w:p>
          <w:p w14:paraId="4BE7553F" w14:textId="77777777" w:rsidR="0019538B" w:rsidRDefault="00815C38" w:rsidP="00996625">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rPr>
              <w:t>sytuacja i rozwój regionalny</w:t>
            </w:r>
          </w:p>
          <w:p w14:paraId="04BE3F36" w14:textId="77777777" w:rsidR="0019538B"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9538B"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0019538B" w:rsidRPr="008B4FE6">
              <w:rPr>
                <w:rFonts w:ascii="Times New Roman"/>
                <w:noProof/>
                <w:color w:val="000000"/>
              </w:rPr>
              <w:t> </w:t>
            </w:r>
            <w:r w:rsidRPr="008B4FE6">
              <w:rPr>
                <w:rFonts w:ascii="Times New Roman" w:hAnsi="Times New Roman"/>
                <w:color w:val="000000"/>
              </w:rPr>
              <w:fldChar w:fldCharType="end"/>
            </w:r>
          </w:p>
        </w:tc>
        <w:tc>
          <w:tcPr>
            <w:tcW w:w="3800" w:type="dxa"/>
            <w:gridSpan w:val="18"/>
            <w:shd w:val="clear" w:color="auto" w:fill="FFFFFF"/>
          </w:tcPr>
          <w:p w14:paraId="118BAE9F" w14:textId="77777777" w:rsidR="0019538B" w:rsidRDefault="0019538B" w:rsidP="00996625">
            <w:pPr>
              <w:spacing w:line="240" w:lineRule="auto"/>
              <w:rPr>
                <w:rFonts w:ascii="Times New Roman" w:hAnsi="Times New Roman"/>
                <w:color w:val="000000"/>
              </w:rPr>
            </w:pPr>
          </w:p>
          <w:p w14:paraId="36B6BF7C" w14:textId="77777777" w:rsidR="0019538B"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demografia</w:t>
            </w:r>
          </w:p>
          <w:p w14:paraId="1BDCDAF4" w14:textId="77777777" w:rsidR="0019538B" w:rsidRDefault="00815C38" w:rsidP="00996625">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Pr>
                <w:rFonts w:ascii="Times New Roman" w:hAnsi="Times New Roman"/>
                <w:color w:val="000000"/>
              </w:rPr>
              <w:t>mienie państwowe</w:t>
            </w:r>
          </w:p>
        </w:tc>
        <w:tc>
          <w:tcPr>
            <w:tcW w:w="3705" w:type="dxa"/>
            <w:gridSpan w:val="13"/>
            <w:shd w:val="clear" w:color="auto" w:fill="FFFFFF"/>
          </w:tcPr>
          <w:p w14:paraId="02C8937E" w14:textId="77777777" w:rsidR="0019538B" w:rsidRDefault="0019538B" w:rsidP="00996625">
            <w:pPr>
              <w:spacing w:line="240" w:lineRule="auto"/>
              <w:rPr>
                <w:rFonts w:ascii="Times New Roman" w:hAnsi="Times New Roman"/>
                <w:color w:val="000000"/>
              </w:rPr>
            </w:pPr>
          </w:p>
          <w:p w14:paraId="63CEFBDF" w14:textId="77777777" w:rsidR="0019538B" w:rsidRDefault="00815C38" w:rsidP="00996625">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9538B" w:rsidRPr="008B4FE6">
              <w:rPr>
                <w:rFonts w:ascii="Times New Roman" w:hAnsi="Times New Roman"/>
                <w:color w:val="000000"/>
              </w:rPr>
              <w:instrText xml:space="preserve"> FORMCHECKBOX </w:instrText>
            </w:r>
            <w:r w:rsidR="007F2920">
              <w:rPr>
                <w:rFonts w:ascii="Times New Roman" w:hAnsi="Times New Roman"/>
                <w:color w:val="000000"/>
              </w:rPr>
            </w:r>
            <w:r w:rsidR="007F2920">
              <w:rPr>
                <w:rFonts w:ascii="Times New Roman" w:hAnsi="Times New Roman"/>
                <w:color w:val="000000"/>
              </w:rPr>
              <w:fldChar w:fldCharType="separate"/>
            </w:r>
            <w:r w:rsidRPr="008B4FE6">
              <w:rPr>
                <w:rFonts w:ascii="Times New Roman" w:hAnsi="Times New Roman"/>
                <w:color w:val="000000"/>
              </w:rPr>
              <w:fldChar w:fldCharType="end"/>
            </w:r>
            <w:r w:rsidR="0019538B" w:rsidRPr="008B4FE6">
              <w:rPr>
                <w:rFonts w:ascii="Times New Roman" w:hAnsi="Times New Roman"/>
                <w:color w:val="000000"/>
                <w:spacing w:val="-2"/>
              </w:rPr>
              <w:t>informatyzacja</w:t>
            </w:r>
          </w:p>
          <w:p w14:paraId="16A19593" w14:textId="77777777" w:rsidR="0019538B" w:rsidRDefault="00815C38" w:rsidP="00996625">
            <w:pPr>
              <w:spacing w:line="240" w:lineRule="auto"/>
              <w:rPr>
                <w:rFonts w:ascii="Times New Roman" w:hAnsi="Times New Roman"/>
                <w:color w:val="000000"/>
              </w:rPr>
            </w:pPr>
            <w:r w:rsidRPr="006E292D">
              <w:fldChar w:fldCharType="begin">
                <w:ffData>
                  <w:name w:val=""/>
                  <w:enabled/>
                  <w:calcOnExit w:val="0"/>
                  <w:checkBox>
                    <w:sizeAuto/>
                    <w:default w:val="0"/>
                    <w:checked/>
                  </w:checkBox>
                </w:ffData>
              </w:fldChar>
            </w:r>
            <w:r w:rsidR="0019538B">
              <w:instrText xml:space="preserve"> FORMCHECKBOX </w:instrText>
            </w:r>
            <w:r w:rsidR="007F2920">
              <w:fldChar w:fldCharType="separate"/>
            </w:r>
            <w:r w:rsidRPr="006E292D">
              <w:fldChar w:fldCharType="end"/>
            </w:r>
            <w:r w:rsidR="0019538B">
              <w:rPr>
                <w:rFonts w:ascii="Times New Roman" w:hAnsi="Times New Roman"/>
                <w:color w:val="000000"/>
                <w:spacing w:val="-2"/>
              </w:rPr>
              <w:t>zdrowie</w:t>
            </w:r>
          </w:p>
        </w:tc>
      </w:tr>
      <w:tr w:rsidR="0019538B" w:rsidRPr="008B4FE6" w14:paraId="033F5BFA" w14:textId="77777777" w:rsidTr="00996625">
        <w:trPr>
          <w:gridAfter w:val="1"/>
          <w:wAfter w:w="10" w:type="dxa"/>
          <w:trHeight w:val="712"/>
        </w:trPr>
        <w:tc>
          <w:tcPr>
            <w:tcW w:w="2241" w:type="dxa"/>
            <w:gridSpan w:val="2"/>
            <w:shd w:val="clear" w:color="auto" w:fill="FFFFFF"/>
            <w:vAlign w:val="center"/>
          </w:tcPr>
          <w:p w14:paraId="59FF1022" w14:textId="77777777" w:rsidR="0019538B" w:rsidRPr="008B4FE6" w:rsidRDefault="0019538B" w:rsidP="00996625">
            <w:pPr>
              <w:spacing w:line="240" w:lineRule="auto"/>
              <w:rPr>
                <w:rFonts w:ascii="Times New Roman" w:hAnsi="Times New Roman"/>
                <w:color w:val="000000"/>
              </w:rPr>
            </w:pPr>
            <w:r w:rsidRPr="008B4FE6">
              <w:rPr>
                <w:rFonts w:ascii="Times New Roman" w:hAnsi="Times New Roman"/>
                <w:color w:val="000000"/>
              </w:rPr>
              <w:t>Omówienie wpływu</w:t>
            </w:r>
          </w:p>
        </w:tc>
        <w:tc>
          <w:tcPr>
            <w:tcW w:w="8696" w:type="dxa"/>
            <w:gridSpan w:val="34"/>
            <w:shd w:val="clear" w:color="auto" w:fill="FFFFFF"/>
            <w:vAlign w:val="center"/>
          </w:tcPr>
          <w:p w14:paraId="291AC68A" w14:textId="77777777" w:rsidR="0019538B" w:rsidRPr="000735FA" w:rsidRDefault="0019538B" w:rsidP="00996625">
            <w:pPr>
              <w:spacing w:line="240" w:lineRule="auto"/>
              <w:jc w:val="both"/>
              <w:rPr>
                <w:rFonts w:ascii="Times New Roman" w:hAnsi="Times New Roman"/>
                <w:color w:val="000000"/>
                <w:spacing w:val="-2"/>
              </w:rPr>
            </w:pPr>
            <w:r w:rsidRPr="000735FA">
              <w:rPr>
                <w:rFonts w:ascii="Times New Roman" w:hAnsi="Times New Roman"/>
              </w:rPr>
              <w:t>Regulacja będzie miała pozytywny wpływ na zdrowie ludzi i na środowisko przez dopuszczanie do obrotu tylko tych produktów biobójczych, dla których w wyniku przeprowadzonej oceny nie stwierdzono nieakceptowalnego ryzyka dla ludzi, zwierząt i środowiska lub zaproponowano odpowiednie środki ograniczające ryzyko ich stosowania. Umożliwi to ograniczenie dostępności produktów biobójczych, które mogą mieć szkodliwy wpływ na użytkowników i otaczające ich środowisko.</w:t>
            </w:r>
          </w:p>
        </w:tc>
      </w:tr>
      <w:tr w:rsidR="0019538B" w:rsidRPr="008B4FE6" w14:paraId="25167A52" w14:textId="77777777" w:rsidTr="00996625">
        <w:trPr>
          <w:gridAfter w:val="1"/>
          <w:wAfter w:w="10" w:type="dxa"/>
          <w:trHeight w:val="142"/>
        </w:trPr>
        <w:tc>
          <w:tcPr>
            <w:tcW w:w="10937" w:type="dxa"/>
            <w:gridSpan w:val="36"/>
            <w:shd w:val="clear" w:color="auto" w:fill="99CCFF"/>
          </w:tcPr>
          <w:p w14:paraId="30B83002" w14:textId="77777777" w:rsidR="0019538B" w:rsidRDefault="0019538B" w:rsidP="00996625">
            <w:pPr>
              <w:numPr>
                <w:ilvl w:val="0"/>
                <w:numId w:val="3"/>
              </w:numPr>
              <w:spacing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19538B" w:rsidRPr="008B4FE6" w14:paraId="6AA9593C" w14:textId="77777777" w:rsidTr="00996625">
        <w:trPr>
          <w:gridAfter w:val="1"/>
          <w:wAfter w:w="10" w:type="dxa"/>
          <w:trHeight w:val="142"/>
        </w:trPr>
        <w:tc>
          <w:tcPr>
            <w:tcW w:w="10937" w:type="dxa"/>
            <w:gridSpan w:val="36"/>
            <w:shd w:val="clear" w:color="auto" w:fill="FFFFFF"/>
          </w:tcPr>
          <w:p w14:paraId="6A5F721B" w14:textId="77777777" w:rsidR="0019538B" w:rsidRPr="00B37C80" w:rsidRDefault="0019538B" w:rsidP="00CA7BF0">
            <w:pPr>
              <w:spacing w:line="240" w:lineRule="auto"/>
              <w:jc w:val="both"/>
              <w:rPr>
                <w:rFonts w:ascii="Times New Roman" w:hAnsi="Times New Roman"/>
                <w:spacing w:val="-2"/>
              </w:rPr>
            </w:pPr>
            <w:r>
              <w:rPr>
                <w:rFonts w:ascii="Times New Roman" w:hAnsi="Times New Roman"/>
                <w:spacing w:val="-2"/>
              </w:rPr>
              <w:t>Projektowana zmiana ustawy wejdzie w życie po upływie 30 dni od dnia ogłoszenia</w:t>
            </w:r>
            <w:r w:rsidRPr="007B7305">
              <w:rPr>
                <w:rFonts w:ascii="Times New Roman" w:hAnsi="Times New Roman"/>
                <w:spacing w:val="-2"/>
              </w:rPr>
              <w:t xml:space="preserve">, </w:t>
            </w:r>
          </w:p>
        </w:tc>
      </w:tr>
      <w:tr w:rsidR="0019538B" w:rsidRPr="008B4FE6" w14:paraId="62A09636" w14:textId="77777777" w:rsidTr="00996625">
        <w:trPr>
          <w:gridAfter w:val="1"/>
          <w:wAfter w:w="10" w:type="dxa"/>
          <w:trHeight w:val="142"/>
        </w:trPr>
        <w:tc>
          <w:tcPr>
            <w:tcW w:w="10937" w:type="dxa"/>
            <w:gridSpan w:val="36"/>
            <w:shd w:val="clear" w:color="auto" w:fill="99CCFF"/>
          </w:tcPr>
          <w:p w14:paraId="7DD1546B" w14:textId="77777777" w:rsidR="0019538B" w:rsidRDefault="0019538B" w:rsidP="00996625">
            <w:pPr>
              <w:numPr>
                <w:ilvl w:val="0"/>
                <w:numId w:val="3"/>
              </w:numPr>
              <w:spacing w:line="240" w:lineRule="auto"/>
              <w:ind w:left="318" w:hanging="284"/>
              <w:jc w:val="both"/>
              <w:rPr>
                <w:rFonts w:ascii="Times New Roman" w:hAnsi="Times New Roman"/>
                <w:b/>
                <w:color w:val="000000"/>
              </w:rPr>
            </w:pP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19538B" w:rsidRPr="008B4FE6" w14:paraId="337EBFE1" w14:textId="77777777" w:rsidTr="00996625">
        <w:trPr>
          <w:gridAfter w:val="1"/>
          <w:wAfter w:w="10" w:type="dxa"/>
          <w:trHeight w:val="142"/>
        </w:trPr>
        <w:tc>
          <w:tcPr>
            <w:tcW w:w="10937" w:type="dxa"/>
            <w:gridSpan w:val="36"/>
            <w:shd w:val="clear" w:color="auto" w:fill="FFFFFF"/>
          </w:tcPr>
          <w:p w14:paraId="45AF93DF" w14:textId="77777777" w:rsidR="0019538B" w:rsidRPr="00393D62" w:rsidRDefault="0019538B" w:rsidP="00996625">
            <w:pPr>
              <w:jc w:val="both"/>
              <w:rPr>
                <w:rFonts w:ascii="Times New Roman" w:hAnsi="Times New Roman"/>
              </w:rPr>
            </w:pPr>
            <w:r w:rsidRPr="00A123F5">
              <w:rPr>
                <w:rFonts w:ascii="Times New Roman" w:hAnsi="Times New Roman"/>
              </w:rPr>
              <w:t>Ewaluacja efektów projektu nastąpi po wejściu w życie niniejszej ustawy, w ramach corocznych lub kilkuletnich prowadzonych raportów i statystyk zwi</w:t>
            </w:r>
            <w:r>
              <w:rPr>
                <w:rFonts w:ascii="Times New Roman" w:hAnsi="Times New Roman"/>
              </w:rPr>
              <w:t>ązanych z funkcjonowanie urzędu, przy założeniu, że miernikami będą odpowiednio:</w:t>
            </w:r>
          </w:p>
          <w:p w14:paraId="7BC8AE52" w14:textId="77777777" w:rsidR="0019538B" w:rsidRPr="00393D62" w:rsidRDefault="0019538B" w:rsidP="00996625">
            <w:pPr>
              <w:pStyle w:val="Akapitzlist"/>
              <w:keepNext/>
              <w:keepLines/>
              <w:numPr>
                <w:ilvl w:val="0"/>
                <w:numId w:val="29"/>
              </w:numPr>
              <w:tabs>
                <w:tab w:val="center" w:pos="4536"/>
                <w:tab w:val="right" w:pos="9072"/>
              </w:tabs>
              <w:spacing w:before="200" w:after="160" w:line="259" w:lineRule="auto"/>
              <w:jc w:val="both"/>
              <w:outlineLvl w:val="1"/>
              <w:rPr>
                <w:rFonts w:ascii="Times New Roman" w:hAnsi="Times New Roman"/>
              </w:rPr>
            </w:pPr>
            <w:r w:rsidRPr="00A123F5">
              <w:rPr>
                <w:rFonts w:ascii="Times New Roman" w:hAnsi="Times New Roman"/>
              </w:rPr>
              <w:t>miernikiem odnoszącym się do procedur oceny substancji czynnych oraz dot. przesłanek unieważnienia bądź zmiany pozwolenia po przeprowadzeniu oceny porównawczej produktów biobójczych</w:t>
            </w:r>
          </w:p>
          <w:p w14:paraId="5CD47799" w14:textId="77777777" w:rsidR="0019538B" w:rsidRPr="00393D62" w:rsidRDefault="0019538B" w:rsidP="00996625">
            <w:pPr>
              <w:pStyle w:val="Akapitzlist"/>
              <w:keepNext/>
              <w:keepLines/>
              <w:tabs>
                <w:tab w:val="center" w:pos="4536"/>
                <w:tab w:val="right" w:pos="9072"/>
              </w:tabs>
              <w:spacing w:before="200"/>
              <w:jc w:val="both"/>
              <w:outlineLvl w:val="1"/>
              <w:rPr>
                <w:rFonts w:ascii="Times New Roman" w:hAnsi="Times New Roman"/>
              </w:rPr>
            </w:pPr>
            <w:r w:rsidRPr="00A123F5">
              <w:rPr>
                <w:rFonts w:ascii="Times New Roman" w:hAnsi="Times New Roman"/>
              </w:rPr>
              <w:t>- liczba decyzji o zmianie pozwolenia</w:t>
            </w:r>
          </w:p>
          <w:p w14:paraId="5DFD1381" w14:textId="77777777" w:rsidR="0019538B" w:rsidRPr="00393D62" w:rsidRDefault="0019538B" w:rsidP="00996625">
            <w:pPr>
              <w:pStyle w:val="Akapitzlist"/>
              <w:keepNext/>
              <w:keepLines/>
              <w:numPr>
                <w:ilvl w:val="0"/>
                <w:numId w:val="29"/>
              </w:numPr>
              <w:tabs>
                <w:tab w:val="center" w:pos="4536"/>
                <w:tab w:val="right" w:pos="9072"/>
              </w:tabs>
              <w:spacing w:before="200" w:after="160" w:line="259" w:lineRule="auto"/>
              <w:jc w:val="both"/>
              <w:outlineLvl w:val="1"/>
              <w:rPr>
                <w:rFonts w:ascii="Times New Roman" w:hAnsi="Times New Roman"/>
              </w:rPr>
            </w:pPr>
            <w:r w:rsidRPr="00A123F5">
              <w:rPr>
                <w:rFonts w:ascii="Times New Roman" w:hAnsi="Times New Roman"/>
              </w:rPr>
              <w:t xml:space="preserve">miernikiem odnoszącym się do projektowanego art. 11 ust. 2, rozszerzającego rodzaj spraw, które mogą zakończyć się pozostawieniem przez Prezesa </w:t>
            </w:r>
            <w:r>
              <w:rPr>
                <w:rFonts w:ascii="Times New Roman" w:hAnsi="Times New Roman"/>
              </w:rPr>
              <w:t>Urzędu</w:t>
            </w:r>
            <w:r w:rsidRPr="00A123F5">
              <w:rPr>
                <w:rFonts w:ascii="Times New Roman" w:hAnsi="Times New Roman"/>
              </w:rPr>
              <w:t xml:space="preserve"> bez rozpoznania będzie:</w:t>
            </w:r>
          </w:p>
          <w:p w14:paraId="50E21D6B" w14:textId="77777777" w:rsidR="0019538B" w:rsidRPr="00393D62" w:rsidRDefault="0019538B" w:rsidP="00996625">
            <w:pPr>
              <w:pStyle w:val="Akapitzlist"/>
              <w:keepNext/>
              <w:keepLines/>
              <w:tabs>
                <w:tab w:val="center" w:pos="4536"/>
                <w:tab w:val="right" w:pos="9072"/>
              </w:tabs>
              <w:spacing w:before="200"/>
              <w:jc w:val="both"/>
              <w:outlineLvl w:val="1"/>
              <w:rPr>
                <w:rFonts w:ascii="Times New Roman" w:hAnsi="Times New Roman"/>
              </w:rPr>
            </w:pPr>
            <w:r w:rsidRPr="00A123F5">
              <w:rPr>
                <w:rFonts w:ascii="Times New Roman" w:hAnsi="Times New Roman"/>
              </w:rPr>
              <w:t>- liczba wniosków pozostawionych bez rozpoznania</w:t>
            </w:r>
          </w:p>
          <w:p w14:paraId="0D8F7EBF" w14:textId="77777777" w:rsidR="0019538B" w:rsidRPr="00393D62" w:rsidRDefault="0019538B" w:rsidP="00996625">
            <w:pPr>
              <w:pStyle w:val="Akapitzlist"/>
              <w:keepNext/>
              <w:keepLines/>
              <w:numPr>
                <w:ilvl w:val="0"/>
                <w:numId w:val="29"/>
              </w:numPr>
              <w:tabs>
                <w:tab w:val="center" w:pos="4536"/>
                <w:tab w:val="right" w:pos="9072"/>
              </w:tabs>
              <w:spacing w:before="200" w:after="160" w:line="259" w:lineRule="auto"/>
              <w:jc w:val="both"/>
              <w:outlineLvl w:val="1"/>
              <w:rPr>
                <w:rFonts w:ascii="Times New Roman" w:hAnsi="Times New Roman"/>
              </w:rPr>
            </w:pPr>
            <w:r w:rsidRPr="00A123F5">
              <w:rPr>
                <w:rFonts w:ascii="Times New Roman" w:hAnsi="Times New Roman"/>
              </w:rPr>
              <w:t>miernikiem odnoszącym się do projektowanego uporządkowania warunków, w których dochodzi do wygaszenia lub uchylenia pozwolenia na obrót bądź umorzenia postępowania będą:</w:t>
            </w:r>
          </w:p>
          <w:p w14:paraId="54FE15F0" w14:textId="01E0C0CD" w:rsidR="0019538B" w:rsidRPr="00393D62" w:rsidRDefault="0019538B" w:rsidP="00996625">
            <w:pPr>
              <w:pStyle w:val="Akapitzlist"/>
              <w:keepNext/>
              <w:keepLines/>
              <w:tabs>
                <w:tab w:val="center" w:pos="4536"/>
                <w:tab w:val="right" w:pos="9072"/>
              </w:tabs>
              <w:spacing w:before="200"/>
              <w:jc w:val="both"/>
              <w:outlineLvl w:val="1"/>
              <w:rPr>
                <w:rFonts w:ascii="Times New Roman" w:hAnsi="Times New Roman"/>
              </w:rPr>
            </w:pPr>
            <w:r w:rsidRPr="00A123F5">
              <w:rPr>
                <w:rFonts w:ascii="Times New Roman" w:hAnsi="Times New Roman"/>
              </w:rPr>
              <w:t>- liczba decyzji o uchyleniu</w:t>
            </w:r>
            <w:r w:rsidR="002D5A2C">
              <w:rPr>
                <w:rFonts w:ascii="Times New Roman" w:hAnsi="Times New Roman"/>
              </w:rPr>
              <w:t>,</w:t>
            </w:r>
          </w:p>
          <w:p w14:paraId="329C8D00" w14:textId="26511F5D" w:rsidR="0019538B" w:rsidRPr="00393D62" w:rsidRDefault="0019538B" w:rsidP="00996625">
            <w:pPr>
              <w:pStyle w:val="Akapitzlist"/>
              <w:keepNext/>
              <w:keepLines/>
              <w:tabs>
                <w:tab w:val="center" w:pos="4536"/>
                <w:tab w:val="right" w:pos="9072"/>
              </w:tabs>
              <w:spacing w:before="200"/>
              <w:jc w:val="both"/>
              <w:outlineLvl w:val="1"/>
              <w:rPr>
                <w:rFonts w:ascii="Times New Roman" w:hAnsi="Times New Roman"/>
              </w:rPr>
            </w:pPr>
            <w:r w:rsidRPr="00A123F5">
              <w:rPr>
                <w:rFonts w:ascii="Times New Roman" w:hAnsi="Times New Roman"/>
              </w:rPr>
              <w:t>- liczba decyzji o umorzeniu</w:t>
            </w:r>
            <w:r w:rsidR="002D5A2C">
              <w:rPr>
                <w:rFonts w:ascii="Times New Roman" w:hAnsi="Times New Roman"/>
              </w:rPr>
              <w:t>,</w:t>
            </w:r>
          </w:p>
          <w:p w14:paraId="3ADA19A8" w14:textId="112CF0AE" w:rsidR="0019538B" w:rsidRPr="00393D62" w:rsidRDefault="0019538B" w:rsidP="00996625">
            <w:pPr>
              <w:pStyle w:val="Akapitzlist"/>
              <w:keepNext/>
              <w:keepLines/>
              <w:tabs>
                <w:tab w:val="center" w:pos="4536"/>
                <w:tab w:val="right" w:pos="9072"/>
              </w:tabs>
              <w:spacing w:before="200"/>
              <w:jc w:val="both"/>
              <w:outlineLvl w:val="1"/>
              <w:rPr>
                <w:rFonts w:ascii="Times New Roman" w:hAnsi="Times New Roman"/>
              </w:rPr>
            </w:pPr>
            <w:r w:rsidRPr="00A123F5">
              <w:rPr>
                <w:rFonts w:ascii="Times New Roman" w:hAnsi="Times New Roman"/>
              </w:rPr>
              <w:t>- liczba decyzji o wygaśnięciu</w:t>
            </w:r>
            <w:r w:rsidR="002D5A2C">
              <w:rPr>
                <w:rFonts w:ascii="Times New Roman" w:hAnsi="Times New Roman"/>
              </w:rPr>
              <w:t>,</w:t>
            </w:r>
          </w:p>
          <w:p w14:paraId="5C172802" w14:textId="77777777" w:rsidR="0019538B" w:rsidRPr="00393D62" w:rsidRDefault="0019538B" w:rsidP="00996625">
            <w:pPr>
              <w:pStyle w:val="Akapitzlist"/>
              <w:keepNext/>
              <w:keepLines/>
              <w:numPr>
                <w:ilvl w:val="0"/>
                <w:numId w:val="29"/>
              </w:numPr>
              <w:tabs>
                <w:tab w:val="center" w:pos="4536"/>
                <w:tab w:val="right" w:pos="9072"/>
              </w:tabs>
              <w:spacing w:before="200" w:after="160" w:line="259" w:lineRule="auto"/>
              <w:jc w:val="both"/>
              <w:outlineLvl w:val="1"/>
              <w:rPr>
                <w:rFonts w:ascii="Times New Roman" w:hAnsi="Times New Roman"/>
              </w:rPr>
            </w:pPr>
            <w:r w:rsidRPr="00A123F5">
              <w:rPr>
                <w:rFonts w:ascii="Times New Roman" w:hAnsi="Times New Roman"/>
              </w:rPr>
              <w:t>miernikiem odnoszącym się do doprecyzowania obowiązującego art. 33 ustawy będzie:</w:t>
            </w:r>
          </w:p>
          <w:p w14:paraId="7F66B6BB" w14:textId="37FB20AA" w:rsidR="0019538B" w:rsidRPr="00393D62" w:rsidRDefault="0019538B" w:rsidP="00996625">
            <w:pPr>
              <w:pStyle w:val="Akapitzlist"/>
              <w:keepNext/>
              <w:keepLines/>
              <w:tabs>
                <w:tab w:val="center" w:pos="4536"/>
                <w:tab w:val="right" w:pos="9072"/>
              </w:tabs>
              <w:spacing w:before="200"/>
              <w:jc w:val="both"/>
              <w:outlineLvl w:val="1"/>
              <w:rPr>
                <w:rFonts w:ascii="Times New Roman" w:hAnsi="Times New Roman"/>
              </w:rPr>
            </w:pPr>
            <w:r w:rsidRPr="00A123F5">
              <w:rPr>
                <w:rFonts w:ascii="Times New Roman" w:hAnsi="Times New Roman"/>
              </w:rPr>
              <w:t>- liczba zapytań kierowanych od przedsiębiorców oraz organów nadzoru nad produktami biobójczymi w niniejszych sprawach, w początkowym, np. dwuletnim okresie od wejścia w życie ustawy</w:t>
            </w:r>
          </w:p>
          <w:p w14:paraId="227D1441" w14:textId="77777777" w:rsidR="0019538B" w:rsidRPr="00B37C80" w:rsidRDefault="0019538B" w:rsidP="00996625">
            <w:pPr>
              <w:pStyle w:val="Akapitzlist"/>
              <w:rPr>
                <w:rFonts w:ascii="Times New Roman" w:hAnsi="Times New Roman"/>
                <w:color w:val="000000"/>
                <w:spacing w:val="-2"/>
              </w:rPr>
            </w:pPr>
            <w:r w:rsidRPr="00A123F5">
              <w:rPr>
                <w:rFonts w:ascii="Times New Roman" w:hAnsi="Times New Roman"/>
              </w:rPr>
              <w:t>Specyfika projektu uniemożliwia zastosowanie mierników w stosunku do pozostałych zmian.</w:t>
            </w:r>
          </w:p>
        </w:tc>
      </w:tr>
      <w:tr w:rsidR="0019538B" w:rsidRPr="008B4FE6" w14:paraId="66C74730" w14:textId="77777777" w:rsidTr="00996625">
        <w:trPr>
          <w:gridAfter w:val="1"/>
          <w:wAfter w:w="10" w:type="dxa"/>
          <w:trHeight w:val="142"/>
        </w:trPr>
        <w:tc>
          <w:tcPr>
            <w:tcW w:w="10937" w:type="dxa"/>
            <w:gridSpan w:val="36"/>
            <w:shd w:val="clear" w:color="auto" w:fill="99CCFF"/>
          </w:tcPr>
          <w:p w14:paraId="2093F268" w14:textId="77777777" w:rsidR="0019538B" w:rsidRDefault="0019538B" w:rsidP="00996625">
            <w:pPr>
              <w:numPr>
                <w:ilvl w:val="0"/>
                <w:numId w:val="3"/>
              </w:numPr>
              <w:spacing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lastRenderedPageBreak/>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19538B" w:rsidRPr="008B4FE6" w14:paraId="450A7728" w14:textId="77777777" w:rsidTr="00996625">
        <w:trPr>
          <w:gridAfter w:val="1"/>
          <w:wAfter w:w="10" w:type="dxa"/>
          <w:trHeight w:val="142"/>
        </w:trPr>
        <w:tc>
          <w:tcPr>
            <w:tcW w:w="10937" w:type="dxa"/>
            <w:gridSpan w:val="36"/>
            <w:shd w:val="clear" w:color="auto" w:fill="auto"/>
          </w:tcPr>
          <w:p w14:paraId="0602DA40" w14:textId="77777777" w:rsidR="0019538B" w:rsidRPr="00A82C4A" w:rsidRDefault="0019538B" w:rsidP="00996625">
            <w:pPr>
              <w:spacing w:line="240" w:lineRule="auto"/>
              <w:jc w:val="both"/>
              <w:rPr>
                <w:rFonts w:ascii="Times New Roman" w:hAnsi="Times New Roman"/>
                <w:color w:val="000000"/>
                <w:spacing w:val="-2"/>
              </w:rPr>
            </w:pPr>
            <w:r w:rsidRPr="00A82C4A">
              <w:rPr>
                <w:rFonts w:ascii="Times New Roman" w:hAnsi="Times New Roman"/>
                <w:color w:val="000000"/>
                <w:spacing w:val="-2"/>
              </w:rPr>
              <w:t>Załączniki:</w:t>
            </w:r>
          </w:p>
          <w:p w14:paraId="367B8C9D" w14:textId="3820FE8A" w:rsidR="0019538B" w:rsidRPr="006C1E44" w:rsidRDefault="0019538B" w:rsidP="00996625">
            <w:pPr>
              <w:pStyle w:val="Akapitzlist"/>
              <w:numPr>
                <w:ilvl w:val="0"/>
                <w:numId w:val="30"/>
              </w:numPr>
              <w:spacing w:line="240" w:lineRule="auto"/>
              <w:rPr>
                <w:rFonts w:ascii="Times New Roman" w:hAnsi="Times New Roman"/>
                <w:color w:val="000000"/>
                <w:spacing w:val="-2"/>
              </w:rPr>
            </w:pPr>
            <w:r w:rsidRPr="006C1E44">
              <w:rPr>
                <w:rFonts w:ascii="Times New Roman" w:hAnsi="Times New Roman"/>
                <w:color w:val="000000"/>
                <w:spacing w:val="-2"/>
              </w:rPr>
              <w:t xml:space="preserve">Wyliczenia dot. dochodów sektora finansów publicznych z tytułu podatków i składek od wynagrodzeń - 20 etatów dla </w:t>
            </w:r>
            <w:r w:rsidR="002D5A2C">
              <w:rPr>
                <w:rFonts w:ascii="Times New Roman" w:hAnsi="Times New Roman"/>
                <w:color w:val="000000"/>
                <w:spacing w:val="-2"/>
              </w:rPr>
              <w:t>Urzędu</w:t>
            </w:r>
          </w:p>
          <w:p w14:paraId="3CCE21D3" w14:textId="24B181FB" w:rsidR="0019538B" w:rsidRPr="006C1E44" w:rsidRDefault="009F3DAD" w:rsidP="00996625">
            <w:pPr>
              <w:pStyle w:val="Akapitzlist"/>
              <w:numPr>
                <w:ilvl w:val="0"/>
                <w:numId w:val="30"/>
              </w:numPr>
              <w:spacing w:line="240" w:lineRule="auto"/>
              <w:rPr>
                <w:rFonts w:ascii="Times New Roman" w:hAnsi="Times New Roman"/>
                <w:color w:val="000000"/>
                <w:spacing w:val="-2"/>
              </w:rPr>
            </w:pPr>
            <w:r>
              <w:rPr>
                <w:rFonts w:ascii="Times New Roman" w:hAnsi="Times New Roman"/>
                <w:color w:val="000000"/>
                <w:spacing w:val="-2"/>
              </w:rPr>
              <w:t xml:space="preserve">Prognoza dochodów </w:t>
            </w:r>
            <w:r w:rsidR="002D5A2C">
              <w:rPr>
                <w:rFonts w:ascii="Times New Roman" w:hAnsi="Times New Roman"/>
                <w:color w:val="000000"/>
                <w:spacing w:val="-2"/>
              </w:rPr>
              <w:t>Urzędu</w:t>
            </w:r>
            <w:r w:rsidR="002D5A2C" w:rsidRPr="006C1E44">
              <w:rPr>
                <w:rFonts w:ascii="Times New Roman" w:hAnsi="Times New Roman"/>
                <w:color w:val="000000"/>
                <w:spacing w:val="-2"/>
              </w:rPr>
              <w:t xml:space="preserve"> </w:t>
            </w:r>
            <w:r w:rsidR="0019538B" w:rsidRPr="006C1E44">
              <w:rPr>
                <w:rFonts w:ascii="Times New Roman" w:hAnsi="Times New Roman"/>
                <w:color w:val="000000"/>
                <w:spacing w:val="-2"/>
              </w:rPr>
              <w:t>wynikających z realizowanych zadań</w:t>
            </w:r>
          </w:p>
          <w:p w14:paraId="4AF47DBC" w14:textId="44A63D53" w:rsidR="0019538B" w:rsidRPr="006C1E44" w:rsidRDefault="0019538B" w:rsidP="00996625">
            <w:pPr>
              <w:pStyle w:val="Akapitzlist"/>
              <w:numPr>
                <w:ilvl w:val="0"/>
                <w:numId w:val="30"/>
              </w:numPr>
              <w:spacing w:line="240" w:lineRule="auto"/>
              <w:rPr>
                <w:rFonts w:ascii="Times New Roman" w:hAnsi="Times New Roman"/>
                <w:bCs/>
                <w:color w:val="000000"/>
                <w:spacing w:val="-2"/>
              </w:rPr>
            </w:pPr>
            <w:r w:rsidRPr="006C1E44">
              <w:rPr>
                <w:rFonts w:ascii="Times New Roman" w:hAnsi="Times New Roman"/>
                <w:bCs/>
                <w:color w:val="000000"/>
                <w:spacing w:val="-2"/>
              </w:rPr>
              <w:t>Obciążenia dla budżetu państwa w długofalowym horyzoncie czasowym</w:t>
            </w:r>
          </w:p>
          <w:p w14:paraId="2BC652C7" w14:textId="77777777" w:rsidR="0019538B" w:rsidRDefault="0019538B" w:rsidP="00996625">
            <w:pPr>
              <w:pStyle w:val="Akapitzlist"/>
              <w:spacing w:line="240" w:lineRule="auto"/>
              <w:ind w:left="1080"/>
              <w:jc w:val="both"/>
              <w:rPr>
                <w:rFonts w:ascii="Times New Roman" w:hAnsi="Times New Roman"/>
                <w:color w:val="000000"/>
                <w:spacing w:val="-2"/>
              </w:rPr>
            </w:pPr>
          </w:p>
          <w:p w14:paraId="72626D5D" w14:textId="77777777" w:rsidR="0019538B" w:rsidRPr="004D5674" w:rsidRDefault="0019538B" w:rsidP="00996625">
            <w:pPr>
              <w:spacing w:line="240" w:lineRule="auto"/>
              <w:jc w:val="both"/>
              <w:rPr>
                <w:rFonts w:ascii="Times New Roman" w:hAnsi="Times New Roman"/>
                <w:color w:val="000000"/>
                <w:spacing w:val="-2"/>
              </w:rPr>
            </w:pPr>
          </w:p>
        </w:tc>
      </w:tr>
    </w:tbl>
    <w:p w14:paraId="728C5269" w14:textId="77777777" w:rsidR="00996625" w:rsidRDefault="00996625"/>
    <w:sectPr w:rsidR="00996625" w:rsidSect="00996625">
      <w:pgSz w:w="11906" w:h="16838"/>
      <w:pgMar w:top="568" w:right="707" w:bottom="568" w:left="720" w:header="708" w:footer="29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402A" w16cex:dateUtc="2021-07-27T06: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charset w:val="00"/>
    <w:family w:val="auto"/>
    <w:pitch w:val="default"/>
    <w:sig w:usb0="00000001" w:usb1="00000000" w:usb2="00000000" w:usb3="00000000" w:csb0="00000003" w:csb1="00000000"/>
  </w:font>
  <w:font w:name="UniversPro-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F8A"/>
    <w:multiLevelType w:val="hybridMultilevel"/>
    <w:tmpl w:val="64F2F45A"/>
    <w:lvl w:ilvl="0" w:tplc="BD1672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C393E"/>
    <w:multiLevelType w:val="singleLevel"/>
    <w:tmpl w:val="8E76DBAC"/>
    <w:lvl w:ilvl="0">
      <w:start w:val="10"/>
      <w:numFmt w:val="decimal"/>
      <w:lvlText w:val="%1)"/>
      <w:legacy w:legacy="1" w:legacySpace="0" w:legacyIndent="403"/>
      <w:lvlJc w:val="left"/>
      <w:rPr>
        <w:rFonts w:ascii="Times New Roman" w:hAnsi="Times New Roman" w:cs="Times New Roman" w:hint="default"/>
      </w:rPr>
    </w:lvl>
  </w:abstractNum>
  <w:abstractNum w:abstractNumId="4" w15:restartNumberingAfterBreak="0">
    <w:nsid w:val="0EEF2B88"/>
    <w:multiLevelType w:val="singleLevel"/>
    <w:tmpl w:val="0A42DCFE"/>
    <w:lvl w:ilvl="0">
      <w:start w:val="1"/>
      <w:numFmt w:val="decimal"/>
      <w:lvlText w:val="%1)"/>
      <w:lvlJc w:val="left"/>
      <w:pPr>
        <w:ind w:left="0" w:firstLine="0"/>
      </w:pPr>
      <w:rPr>
        <w:rFonts w:ascii="Times New Roman" w:hAnsi="Times New Roman" w:cs="Times New Roman" w:hint="default"/>
      </w:rPr>
    </w:lvl>
  </w:abstractNum>
  <w:abstractNum w:abstractNumId="5" w15:restartNumberingAfterBreak="0">
    <w:nsid w:val="113A0523"/>
    <w:multiLevelType w:val="hybridMultilevel"/>
    <w:tmpl w:val="FE68808C"/>
    <w:lvl w:ilvl="0" w:tplc="16FC07FE">
      <w:start w:val="7"/>
      <w:numFmt w:val="decimal"/>
      <w:lvlText w:val="%1"/>
      <w:lvlJc w:val="left"/>
      <w:pPr>
        <w:ind w:left="1080" w:hanging="360"/>
      </w:pPr>
      <w:rPr>
        <w:rFonts w:hint="default"/>
        <w:color w:val="auto"/>
        <w:sz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8C370F"/>
    <w:multiLevelType w:val="hybridMultilevel"/>
    <w:tmpl w:val="BD96C5DE"/>
    <w:lvl w:ilvl="0" w:tplc="49B88214">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8" w15:restartNumberingAfterBreak="0">
    <w:nsid w:val="15CD004A"/>
    <w:multiLevelType w:val="hybridMultilevel"/>
    <w:tmpl w:val="46A22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57EB8"/>
    <w:multiLevelType w:val="hybridMultilevel"/>
    <w:tmpl w:val="38B4B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F1F83"/>
    <w:multiLevelType w:val="hybridMultilevel"/>
    <w:tmpl w:val="24B0F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52343"/>
    <w:multiLevelType w:val="hybridMultilevel"/>
    <w:tmpl w:val="B6D49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2" w15:restartNumberingAfterBreak="0">
    <w:nsid w:val="50F174FD"/>
    <w:multiLevelType w:val="hybridMultilevel"/>
    <w:tmpl w:val="E23A64C0"/>
    <w:lvl w:ilvl="0" w:tplc="A286656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3996D64"/>
    <w:multiLevelType w:val="hybridMultilevel"/>
    <w:tmpl w:val="A9D876DE"/>
    <w:lvl w:ilvl="0" w:tplc="A7FCEB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8EF58DA"/>
    <w:multiLevelType w:val="hybridMultilevel"/>
    <w:tmpl w:val="25F80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9D7F1F"/>
    <w:multiLevelType w:val="hybridMultilevel"/>
    <w:tmpl w:val="424A7A14"/>
    <w:lvl w:ilvl="0" w:tplc="733A120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3" w15:restartNumberingAfterBreak="0">
    <w:nsid w:val="790220F1"/>
    <w:multiLevelType w:val="hybridMultilevel"/>
    <w:tmpl w:val="58622C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012915"/>
    <w:multiLevelType w:val="hybridMultilevel"/>
    <w:tmpl w:val="89B2F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17"/>
  </w:num>
  <w:num w:numId="4">
    <w:abstractNumId w:val="28"/>
  </w:num>
  <w:num w:numId="5">
    <w:abstractNumId w:val="2"/>
  </w:num>
  <w:num w:numId="6">
    <w:abstractNumId w:val="14"/>
  </w:num>
  <w:num w:numId="7">
    <w:abstractNumId w:val="20"/>
  </w:num>
  <w:num w:numId="8">
    <w:abstractNumId w:val="11"/>
  </w:num>
  <w:num w:numId="9">
    <w:abstractNumId w:val="23"/>
  </w:num>
  <w:num w:numId="10">
    <w:abstractNumId w:val="19"/>
  </w:num>
  <w:num w:numId="11">
    <w:abstractNumId w:val="21"/>
  </w:num>
  <w:num w:numId="12">
    <w:abstractNumId w:val="7"/>
  </w:num>
  <w:num w:numId="13">
    <w:abstractNumId w:val="18"/>
  </w:num>
  <w:num w:numId="14">
    <w:abstractNumId w:val="29"/>
  </w:num>
  <w:num w:numId="15">
    <w:abstractNumId w:val="25"/>
  </w:num>
  <w:num w:numId="16">
    <w:abstractNumId w:val="27"/>
  </w:num>
  <w:num w:numId="17">
    <w:abstractNumId w:val="12"/>
  </w:num>
  <w:num w:numId="18">
    <w:abstractNumId w:val="31"/>
  </w:num>
  <w:num w:numId="19">
    <w:abstractNumId w:val="34"/>
  </w:num>
  <w:num w:numId="20">
    <w:abstractNumId w:val="26"/>
  </w:num>
  <w:num w:numId="21">
    <w:abstractNumId w:val="13"/>
  </w:num>
  <w:num w:numId="22">
    <w:abstractNumId w:val="35"/>
  </w:num>
  <w:num w:numId="23">
    <w:abstractNumId w:val="8"/>
  </w:num>
  <w:num w:numId="24">
    <w:abstractNumId w:val="33"/>
  </w:num>
  <w:num w:numId="25">
    <w:abstractNumId w:val="22"/>
  </w:num>
  <w:num w:numId="26">
    <w:abstractNumId w:val="6"/>
  </w:num>
  <w:num w:numId="27">
    <w:abstractNumId w:val="4"/>
  </w:num>
  <w:num w:numId="28">
    <w:abstractNumId w:val="3"/>
  </w:num>
  <w:num w:numId="29">
    <w:abstractNumId w:val="30"/>
  </w:num>
  <w:num w:numId="30">
    <w:abstractNumId w:val="16"/>
  </w:num>
  <w:num w:numId="31">
    <w:abstractNumId w:val="5"/>
  </w:num>
  <w:num w:numId="32">
    <w:abstractNumId w:val="0"/>
  </w:num>
  <w:num w:numId="33">
    <w:abstractNumId w:val="24"/>
  </w:num>
  <w:num w:numId="34">
    <w:abstractNumId w:val="15"/>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8B"/>
    <w:rsid w:val="00001215"/>
    <w:rsid w:val="00001271"/>
    <w:rsid w:val="00011D10"/>
    <w:rsid w:val="00034C6A"/>
    <w:rsid w:val="00036885"/>
    <w:rsid w:val="00036B48"/>
    <w:rsid w:val="00043ACF"/>
    <w:rsid w:val="000572E2"/>
    <w:rsid w:val="000661D0"/>
    <w:rsid w:val="000712B6"/>
    <w:rsid w:val="00096C82"/>
    <w:rsid w:val="000C06C0"/>
    <w:rsid w:val="000C43F0"/>
    <w:rsid w:val="000D3181"/>
    <w:rsid w:val="000D4F81"/>
    <w:rsid w:val="000D4F8E"/>
    <w:rsid w:val="000E1C36"/>
    <w:rsid w:val="000F31F2"/>
    <w:rsid w:val="00103C4E"/>
    <w:rsid w:val="00105C05"/>
    <w:rsid w:val="0011555C"/>
    <w:rsid w:val="001449E6"/>
    <w:rsid w:val="0014674E"/>
    <w:rsid w:val="00157A28"/>
    <w:rsid w:val="00166D96"/>
    <w:rsid w:val="00173FAF"/>
    <w:rsid w:val="00176291"/>
    <w:rsid w:val="0019538B"/>
    <w:rsid w:val="001A2587"/>
    <w:rsid w:val="001A400A"/>
    <w:rsid w:val="001E2169"/>
    <w:rsid w:val="001F4494"/>
    <w:rsid w:val="001F4A03"/>
    <w:rsid w:val="002161A1"/>
    <w:rsid w:val="0023454F"/>
    <w:rsid w:val="00234B2C"/>
    <w:rsid w:val="002372C7"/>
    <w:rsid w:val="002431B5"/>
    <w:rsid w:val="00256E57"/>
    <w:rsid w:val="002736E5"/>
    <w:rsid w:val="002858FD"/>
    <w:rsid w:val="00291D52"/>
    <w:rsid w:val="002A029E"/>
    <w:rsid w:val="002B1B73"/>
    <w:rsid w:val="002C5C24"/>
    <w:rsid w:val="002D1990"/>
    <w:rsid w:val="002D2CF6"/>
    <w:rsid w:val="002D5A2C"/>
    <w:rsid w:val="002D646E"/>
    <w:rsid w:val="002F0275"/>
    <w:rsid w:val="002F0B9F"/>
    <w:rsid w:val="00301C56"/>
    <w:rsid w:val="00326F24"/>
    <w:rsid w:val="003370F2"/>
    <w:rsid w:val="003442BE"/>
    <w:rsid w:val="00362849"/>
    <w:rsid w:val="00365B38"/>
    <w:rsid w:val="00380ED2"/>
    <w:rsid w:val="003851F8"/>
    <w:rsid w:val="0039028D"/>
    <w:rsid w:val="00394D74"/>
    <w:rsid w:val="00396447"/>
    <w:rsid w:val="003B3079"/>
    <w:rsid w:val="003E4DDC"/>
    <w:rsid w:val="003E61D6"/>
    <w:rsid w:val="0041233E"/>
    <w:rsid w:val="00417DC7"/>
    <w:rsid w:val="00426A5F"/>
    <w:rsid w:val="004377F2"/>
    <w:rsid w:val="00463BB8"/>
    <w:rsid w:val="0049377D"/>
    <w:rsid w:val="004D0155"/>
    <w:rsid w:val="004D783D"/>
    <w:rsid w:val="004E15D7"/>
    <w:rsid w:val="004E3247"/>
    <w:rsid w:val="004E6F9E"/>
    <w:rsid w:val="00505860"/>
    <w:rsid w:val="00527825"/>
    <w:rsid w:val="00535F64"/>
    <w:rsid w:val="0059461A"/>
    <w:rsid w:val="005A2800"/>
    <w:rsid w:val="005B68E4"/>
    <w:rsid w:val="005B74A5"/>
    <w:rsid w:val="005D11C8"/>
    <w:rsid w:val="005D1E12"/>
    <w:rsid w:val="005D5C8B"/>
    <w:rsid w:val="005D5F92"/>
    <w:rsid w:val="005D6832"/>
    <w:rsid w:val="005D6856"/>
    <w:rsid w:val="006010D8"/>
    <w:rsid w:val="006011D6"/>
    <w:rsid w:val="00605FAC"/>
    <w:rsid w:val="00611589"/>
    <w:rsid w:val="00624FF0"/>
    <w:rsid w:val="00642DC2"/>
    <w:rsid w:val="00651A5D"/>
    <w:rsid w:val="00666341"/>
    <w:rsid w:val="00674353"/>
    <w:rsid w:val="0069695D"/>
    <w:rsid w:val="006A38C4"/>
    <w:rsid w:val="006B65DD"/>
    <w:rsid w:val="006C5520"/>
    <w:rsid w:val="006E59C7"/>
    <w:rsid w:val="00706ACB"/>
    <w:rsid w:val="00722CCF"/>
    <w:rsid w:val="00726280"/>
    <w:rsid w:val="00726DA8"/>
    <w:rsid w:val="0074669A"/>
    <w:rsid w:val="00752111"/>
    <w:rsid w:val="0075531D"/>
    <w:rsid w:val="00763376"/>
    <w:rsid w:val="00786F52"/>
    <w:rsid w:val="00786FDC"/>
    <w:rsid w:val="00793D53"/>
    <w:rsid w:val="00797B11"/>
    <w:rsid w:val="007B2432"/>
    <w:rsid w:val="007B5E50"/>
    <w:rsid w:val="007C1918"/>
    <w:rsid w:val="007C427C"/>
    <w:rsid w:val="007D1E90"/>
    <w:rsid w:val="007D4EAC"/>
    <w:rsid w:val="007E4B7A"/>
    <w:rsid w:val="007E7484"/>
    <w:rsid w:val="007F2920"/>
    <w:rsid w:val="007F370B"/>
    <w:rsid w:val="008065F5"/>
    <w:rsid w:val="00810D67"/>
    <w:rsid w:val="00815C38"/>
    <w:rsid w:val="00825BA8"/>
    <w:rsid w:val="00834B1A"/>
    <w:rsid w:val="00847962"/>
    <w:rsid w:val="008720CD"/>
    <w:rsid w:val="00887A1D"/>
    <w:rsid w:val="008C2316"/>
    <w:rsid w:val="008C7266"/>
    <w:rsid w:val="008D4527"/>
    <w:rsid w:val="008D7D23"/>
    <w:rsid w:val="008E1272"/>
    <w:rsid w:val="008E2D96"/>
    <w:rsid w:val="008F6A7C"/>
    <w:rsid w:val="00922D0F"/>
    <w:rsid w:val="009354EC"/>
    <w:rsid w:val="009375E9"/>
    <w:rsid w:val="00951A5C"/>
    <w:rsid w:val="00962141"/>
    <w:rsid w:val="009837E6"/>
    <w:rsid w:val="00994461"/>
    <w:rsid w:val="00994582"/>
    <w:rsid w:val="00996625"/>
    <w:rsid w:val="009966B0"/>
    <w:rsid w:val="00997140"/>
    <w:rsid w:val="009F3DAD"/>
    <w:rsid w:val="00A24BAC"/>
    <w:rsid w:val="00A57E11"/>
    <w:rsid w:val="00A6234F"/>
    <w:rsid w:val="00A704B2"/>
    <w:rsid w:val="00A82CD8"/>
    <w:rsid w:val="00A95D32"/>
    <w:rsid w:val="00AA2749"/>
    <w:rsid w:val="00AA31E8"/>
    <w:rsid w:val="00AA6934"/>
    <w:rsid w:val="00AF7894"/>
    <w:rsid w:val="00AF7F30"/>
    <w:rsid w:val="00B21B8D"/>
    <w:rsid w:val="00B2225A"/>
    <w:rsid w:val="00B23062"/>
    <w:rsid w:val="00B60985"/>
    <w:rsid w:val="00B62B45"/>
    <w:rsid w:val="00B63E98"/>
    <w:rsid w:val="00B70878"/>
    <w:rsid w:val="00B77FBA"/>
    <w:rsid w:val="00B80C23"/>
    <w:rsid w:val="00B86993"/>
    <w:rsid w:val="00B90568"/>
    <w:rsid w:val="00BB04EC"/>
    <w:rsid w:val="00BD3231"/>
    <w:rsid w:val="00BE2059"/>
    <w:rsid w:val="00BF5F93"/>
    <w:rsid w:val="00C107EC"/>
    <w:rsid w:val="00C15270"/>
    <w:rsid w:val="00C2000A"/>
    <w:rsid w:val="00C35A07"/>
    <w:rsid w:val="00C372A0"/>
    <w:rsid w:val="00C5769A"/>
    <w:rsid w:val="00C61142"/>
    <w:rsid w:val="00C6592A"/>
    <w:rsid w:val="00C82638"/>
    <w:rsid w:val="00C96A81"/>
    <w:rsid w:val="00CA24E7"/>
    <w:rsid w:val="00CA6E95"/>
    <w:rsid w:val="00CA7BF0"/>
    <w:rsid w:val="00CD6C2D"/>
    <w:rsid w:val="00CD7F6E"/>
    <w:rsid w:val="00CF1E96"/>
    <w:rsid w:val="00CF4800"/>
    <w:rsid w:val="00CF72E4"/>
    <w:rsid w:val="00CF7A83"/>
    <w:rsid w:val="00D24B1D"/>
    <w:rsid w:val="00D5403A"/>
    <w:rsid w:val="00D7704B"/>
    <w:rsid w:val="00D90FB3"/>
    <w:rsid w:val="00D94D55"/>
    <w:rsid w:val="00D9582E"/>
    <w:rsid w:val="00D9710A"/>
    <w:rsid w:val="00D975C3"/>
    <w:rsid w:val="00DB4A07"/>
    <w:rsid w:val="00DC16E2"/>
    <w:rsid w:val="00DC5D9B"/>
    <w:rsid w:val="00DD1A00"/>
    <w:rsid w:val="00DF3AAC"/>
    <w:rsid w:val="00DF3F0C"/>
    <w:rsid w:val="00E04675"/>
    <w:rsid w:val="00E25E1D"/>
    <w:rsid w:val="00E56A96"/>
    <w:rsid w:val="00E871B6"/>
    <w:rsid w:val="00E927A3"/>
    <w:rsid w:val="00E97A4F"/>
    <w:rsid w:val="00EA2CC8"/>
    <w:rsid w:val="00EA43FE"/>
    <w:rsid w:val="00EB082F"/>
    <w:rsid w:val="00EB5E21"/>
    <w:rsid w:val="00EC7959"/>
    <w:rsid w:val="00ED4B43"/>
    <w:rsid w:val="00EE0853"/>
    <w:rsid w:val="00EE668D"/>
    <w:rsid w:val="00F05902"/>
    <w:rsid w:val="00F14BAF"/>
    <w:rsid w:val="00F1601F"/>
    <w:rsid w:val="00F2479F"/>
    <w:rsid w:val="00F4049F"/>
    <w:rsid w:val="00F443B1"/>
    <w:rsid w:val="00F44FE7"/>
    <w:rsid w:val="00F60AA4"/>
    <w:rsid w:val="00F63C15"/>
    <w:rsid w:val="00F64912"/>
    <w:rsid w:val="00F85892"/>
    <w:rsid w:val="00F949B9"/>
    <w:rsid w:val="00F94CCE"/>
    <w:rsid w:val="00FA1965"/>
    <w:rsid w:val="00FA36E5"/>
    <w:rsid w:val="00FA41FA"/>
    <w:rsid w:val="00FA795E"/>
    <w:rsid w:val="00FB1002"/>
    <w:rsid w:val="00FC50A9"/>
    <w:rsid w:val="00FC5B36"/>
    <w:rsid w:val="00FE4C96"/>
    <w:rsid w:val="00FF1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4E14"/>
  <w15:docId w15:val="{E8C4A0AA-3C1B-4BC1-A62D-9F51D0D0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38B"/>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19538B"/>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19538B"/>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642D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538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19538B"/>
    <w:rPr>
      <w:rFonts w:ascii="Arial" w:eastAsia="Times New Roman" w:hAnsi="Arial" w:cs="Arial"/>
      <w:b/>
      <w:bCs/>
      <w:sz w:val="26"/>
      <w:szCs w:val="26"/>
      <w:lang w:eastAsia="pl-PL"/>
    </w:rPr>
  </w:style>
  <w:style w:type="table" w:styleId="Tabela-Siatka">
    <w:name w:val="Table Grid"/>
    <w:basedOn w:val="Standardowy"/>
    <w:uiPriority w:val="99"/>
    <w:rsid w:val="0019538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9538B"/>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9538B"/>
    <w:rPr>
      <w:rFonts w:ascii="Tahoma" w:eastAsia="Calibri" w:hAnsi="Tahoma" w:cs="Times New Roman"/>
      <w:sz w:val="16"/>
      <w:szCs w:val="16"/>
    </w:rPr>
  </w:style>
  <w:style w:type="paragraph" w:styleId="Nagwek">
    <w:name w:val="header"/>
    <w:basedOn w:val="Normalny"/>
    <w:link w:val="NagwekZnak"/>
    <w:uiPriority w:val="99"/>
    <w:unhideWhenUsed/>
    <w:rsid w:val="0019538B"/>
    <w:pPr>
      <w:tabs>
        <w:tab w:val="center" w:pos="4536"/>
        <w:tab w:val="right" w:pos="9072"/>
      </w:tabs>
      <w:spacing w:line="240" w:lineRule="auto"/>
    </w:pPr>
    <w:rPr>
      <w:sz w:val="20"/>
      <w:szCs w:val="20"/>
    </w:rPr>
  </w:style>
  <w:style w:type="character" w:customStyle="1" w:styleId="NagwekZnak">
    <w:name w:val="Nagłówek Znak"/>
    <w:basedOn w:val="Domylnaczcionkaakapitu"/>
    <w:link w:val="Nagwek"/>
    <w:uiPriority w:val="99"/>
    <w:rsid w:val="0019538B"/>
    <w:rPr>
      <w:rFonts w:ascii="Calibri" w:eastAsia="Calibri" w:hAnsi="Calibri" w:cs="Times New Roman"/>
      <w:sz w:val="20"/>
      <w:szCs w:val="20"/>
    </w:rPr>
  </w:style>
  <w:style w:type="paragraph" w:styleId="Stopka">
    <w:name w:val="footer"/>
    <w:basedOn w:val="Normalny"/>
    <w:link w:val="StopkaZnak"/>
    <w:uiPriority w:val="99"/>
    <w:unhideWhenUsed/>
    <w:rsid w:val="0019538B"/>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rsid w:val="0019538B"/>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19538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38B"/>
    <w:rPr>
      <w:rFonts w:ascii="Calibri" w:eastAsia="Calibri" w:hAnsi="Calibri" w:cs="Times New Roman"/>
      <w:sz w:val="20"/>
      <w:szCs w:val="20"/>
    </w:rPr>
  </w:style>
  <w:style w:type="character" w:styleId="Odwoanieprzypisukocowego">
    <w:name w:val="endnote reference"/>
    <w:uiPriority w:val="99"/>
    <w:semiHidden/>
    <w:unhideWhenUsed/>
    <w:rsid w:val="0019538B"/>
    <w:rPr>
      <w:vertAlign w:val="superscript"/>
    </w:rPr>
  </w:style>
  <w:style w:type="paragraph" w:styleId="Akapitzlist">
    <w:name w:val="List Paragraph"/>
    <w:basedOn w:val="Normalny"/>
    <w:uiPriority w:val="34"/>
    <w:qFormat/>
    <w:rsid w:val="0019538B"/>
    <w:pPr>
      <w:ind w:left="720"/>
      <w:contextualSpacing/>
    </w:pPr>
  </w:style>
  <w:style w:type="character" w:styleId="Odwoaniedokomentarza">
    <w:name w:val="annotation reference"/>
    <w:uiPriority w:val="99"/>
    <w:semiHidden/>
    <w:unhideWhenUsed/>
    <w:rsid w:val="0019538B"/>
    <w:rPr>
      <w:sz w:val="16"/>
      <w:szCs w:val="16"/>
    </w:rPr>
  </w:style>
  <w:style w:type="paragraph" w:styleId="Tekstkomentarza">
    <w:name w:val="annotation text"/>
    <w:basedOn w:val="Normalny"/>
    <w:link w:val="TekstkomentarzaZnak"/>
    <w:uiPriority w:val="99"/>
    <w:unhideWhenUsed/>
    <w:rsid w:val="0019538B"/>
    <w:rPr>
      <w:sz w:val="20"/>
      <w:szCs w:val="20"/>
    </w:rPr>
  </w:style>
  <w:style w:type="character" w:customStyle="1" w:styleId="TekstkomentarzaZnak">
    <w:name w:val="Tekst komentarza Znak"/>
    <w:basedOn w:val="Domylnaczcionkaakapitu"/>
    <w:link w:val="Tekstkomentarza"/>
    <w:uiPriority w:val="99"/>
    <w:rsid w:val="0019538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9538B"/>
    <w:rPr>
      <w:b/>
      <w:bCs/>
    </w:rPr>
  </w:style>
  <w:style w:type="character" w:customStyle="1" w:styleId="TematkomentarzaZnak">
    <w:name w:val="Temat komentarza Znak"/>
    <w:basedOn w:val="TekstkomentarzaZnak"/>
    <w:link w:val="Tematkomentarza"/>
    <w:uiPriority w:val="99"/>
    <w:semiHidden/>
    <w:rsid w:val="0019538B"/>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19538B"/>
    <w:rPr>
      <w:sz w:val="20"/>
      <w:szCs w:val="20"/>
    </w:rPr>
  </w:style>
  <w:style w:type="character" w:customStyle="1" w:styleId="TekstprzypisudolnegoZnak">
    <w:name w:val="Tekst przypisu dolnego Znak"/>
    <w:basedOn w:val="Domylnaczcionkaakapitu"/>
    <w:link w:val="Tekstprzypisudolnego"/>
    <w:uiPriority w:val="99"/>
    <w:semiHidden/>
    <w:rsid w:val="0019538B"/>
    <w:rPr>
      <w:rFonts w:ascii="Calibri" w:eastAsia="Calibri" w:hAnsi="Calibri" w:cs="Times New Roman"/>
      <w:sz w:val="20"/>
      <w:szCs w:val="20"/>
    </w:rPr>
  </w:style>
  <w:style w:type="character" w:styleId="Odwoanieprzypisudolnego">
    <w:name w:val="footnote reference"/>
    <w:uiPriority w:val="99"/>
    <w:semiHidden/>
    <w:unhideWhenUsed/>
    <w:rsid w:val="0019538B"/>
    <w:rPr>
      <w:vertAlign w:val="superscript"/>
    </w:rPr>
  </w:style>
  <w:style w:type="character" w:styleId="Hipercze">
    <w:name w:val="Hyperlink"/>
    <w:uiPriority w:val="99"/>
    <w:unhideWhenUsed/>
    <w:rsid w:val="0019538B"/>
    <w:rPr>
      <w:color w:val="0000FF"/>
      <w:u w:val="single"/>
    </w:rPr>
  </w:style>
  <w:style w:type="character" w:styleId="UyteHipercze">
    <w:name w:val="FollowedHyperlink"/>
    <w:uiPriority w:val="99"/>
    <w:semiHidden/>
    <w:unhideWhenUsed/>
    <w:rsid w:val="0019538B"/>
    <w:rPr>
      <w:color w:val="800080"/>
      <w:u w:val="single"/>
    </w:rPr>
  </w:style>
  <w:style w:type="paragraph" w:styleId="Tytu">
    <w:name w:val="Title"/>
    <w:basedOn w:val="Normalny"/>
    <w:link w:val="TytuZnak"/>
    <w:uiPriority w:val="99"/>
    <w:qFormat/>
    <w:rsid w:val="0019538B"/>
    <w:pPr>
      <w:spacing w:line="240" w:lineRule="auto"/>
      <w:jc w:val="center"/>
    </w:pPr>
    <w:rPr>
      <w:rFonts w:ascii="Times New Roman" w:eastAsia="Times New Roman" w:hAnsi="Times New Roman"/>
      <w:sz w:val="24"/>
      <w:szCs w:val="20"/>
    </w:rPr>
  </w:style>
  <w:style w:type="character" w:customStyle="1" w:styleId="TytuZnak">
    <w:name w:val="Tytuł Znak"/>
    <w:basedOn w:val="Domylnaczcionkaakapitu"/>
    <w:link w:val="Tytu"/>
    <w:uiPriority w:val="99"/>
    <w:rsid w:val="0019538B"/>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unhideWhenUsed/>
    <w:rsid w:val="0019538B"/>
    <w:pPr>
      <w:spacing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uiPriority w:val="99"/>
    <w:rsid w:val="0019538B"/>
    <w:rPr>
      <w:rFonts w:ascii="Times New Roman" w:eastAsia="Times New Roman" w:hAnsi="Times New Roman" w:cs="Times New Roman"/>
      <w:sz w:val="24"/>
      <w:szCs w:val="20"/>
    </w:rPr>
  </w:style>
  <w:style w:type="paragraph" w:customStyle="1" w:styleId="ARTartustawynprozporzdzenia">
    <w:name w:val="ART(§) – art. ustawy (§ np. rozporządzenia)"/>
    <w:uiPriority w:val="11"/>
    <w:qFormat/>
    <w:rsid w:val="0019538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styleId="Uwydatnienie">
    <w:name w:val="Emphasis"/>
    <w:uiPriority w:val="20"/>
    <w:qFormat/>
    <w:rsid w:val="0019538B"/>
    <w:rPr>
      <w:i/>
      <w:iCs/>
    </w:rPr>
  </w:style>
  <w:style w:type="paragraph" w:customStyle="1" w:styleId="CM4">
    <w:name w:val="CM4"/>
    <w:basedOn w:val="Normalny"/>
    <w:next w:val="Normalny"/>
    <w:uiPriority w:val="99"/>
    <w:rsid w:val="0019538B"/>
    <w:pPr>
      <w:autoSpaceDE w:val="0"/>
      <w:autoSpaceDN w:val="0"/>
      <w:adjustRightInd w:val="0"/>
      <w:spacing w:line="240" w:lineRule="auto"/>
    </w:pPr>
    <w:rPr>
      <w:rFonts w:ascii="Times New Roman" w:eastAsia="Times New Roman" w:hAnsi="Times New Roman"/>
      <w:sz w:val="24"/>
      <w:szCs w:val="24"/>
      <w:lang w:eastAsia="pl-PL"/>
    </w:rPr>
  </w:style>
  <w:style w:type="paragraph" w:customStyle="1" w:styleId="CM1">
    <w:name w:val="CM1"/>
    <w:basedOn w:val="Normalny"/>
    <w:next w:val="Normalny"/>
    <w:uiPriority w:val="99"/>
    <w:rsid w:val="0019538B"/>
    <w:pPr>
      <w:autoSpaceDE w:val="0"/>
      <w:autoSpaceDN w:val="0"/>
      <w:adjustRightInd w:val="0"/>
      <w:spacing w:line="240" w:lineRule="auto"/>
    </w:pPr>
    <w:rPr>
      <w:rFonts w:ascii="EUAlbertina" w:eastAsia="Times New Roman" w:hAnsi="EUAlbertina"/>
      <w:sz w:val="24"/>
      <w:szCs w:val="24"/>
      <w:lang w:eastAsia="pl-PL"/>
    </w:rPr>
  </w:style>
  <w:style w:type="paragraph" w:customStyle="1" w:styleId="mainpub">
    <w:name w:val="mainpub"/>
    <w:basedOn w:val="Normalny"/>
    <w:rsid w:val="0019538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19538B"/>
    <w:rPr>
      <w:bCs/>
    </w:rPr>
  </w:style>
  <w:style w:type="paragraph" w:customStyle="1" w:styleId="PKTpunkt">
    <w:name w:val="PKT – punkt"/>
    <w:uiPriority w:val="13"/>
    <w:qFormat/>
    <w:rsid w:val="0019538B"/>
    <w:pPr>
      <w:spacing w:after="0" w:line="360" w:lineRule="auto"/>
      <w:ind w:left="510" w:hanging="510"/>
      <w:jc w:val="both"/>
    </w:pPr>
    <w:rPr>
      <w:rFonts w:ascii="Times" w:eastAsia="Times New Roman" w:hAnsi="Times" w:cs="Arial"/>
      <w:bCs/>
      <w:sz w:val="24"/>
      <w:szCs w:val="20"/>
      <w:lang w:eastAsia="pl-PL"/>
    </w:rPr>
  </w:style>
  <w:style w:type="paragraph" w:customStyle="1" w:styleId="TEKSTwTABELItekstzwcitympierwwierszem">
    <w:name w:val="TEKST_w_TABELI – tekst z wciętym pierw. wierszem"/>
    <w:basedOn w:val="Normalny"/>
    <w:uiPriority w:val="99"/>
    <w:rsid w:val="0019538B"/>
    <w:pPr>
      <w:suppressAutoHyphens/>
      <w:spacing w:after="200"/>
      <w:ind w:firstLine="510"/>
    </w:pPr>
    <w:rPr>
      <w:rFonts w:ascii="Times" w:eastAsia="Times New Roman" w:hAnsi="Times"/>
      <w:bCs/>
      <w:kern w:val="24"/>
    </w:rPr>
  </w:style>
  <w:style w:type="paragraph" w:customStyle="1" w:styleId="TYTTABELItytutabeli">
    <w:name w:val="TYT_TABELI – tytuł tabeli"/>
    <w:basedOn w:val="Normalny"/>
    <w:uiPriority w:val="99"/>
    <w:rsid w:val="0019538B"/>
    <w:pPr>
      <w:keepNext/>
      <w:spacing w:before="120" w:line="360" w:lineRule="auto"/>
      <w:jc w:val="center"/>
    </w:pPr>
    <w:rPr>
      <w:rFonts w:ascii="Times" w:eastAsia="Times New Roman" w:hAnsi="Times" w:cs="Arial"/>
      <w:b/>
      <w:bCs/>
      <w:caps/>
      <w:kern w:val="24"/>
      <w:sz w:val="24"/>
      <w:szCs w:val="24"/>
      <w:lang w:eastAsia="pl-PL"/>
    </w:rPr>
  </w:style>
  <w:style w:type="paragraph" w:styleId="Poprawka">
    <w:name w:val="Revision"/>
    <w:hidden/>
    <w:uiPriority w:val="99"/>
    <w:semiHidden/>
    <w:rsid w:val="0019538B"/>
    <w:pPr>
      <w:spacing w:after="0" w:line="240" w:lineRule="auto"/>
    </w:pPr>
    <w:rPr>
      <w:rFonts w:ascii="Calibri" w:eastAsia="Calibri" w:hAnsi="Calibri" w:cs="Times New Roman"/>
    </w:rPr>
  </w:style>
  <w:style w:type="character" w:customStyle="1" w:styleId="Internetlink">
    <w:name w:val="Internet link"/>
    <w:basedOn w:val="Domylnaczcionkaakapitu"/>
    <w:rsid w:val="0019538B"/>
    <w:rPr>
      <w:color w:val="0000FF"/>
      <w:u w:val="single"/>
    </w:rPr>
  </w:style>
  <w:style w:type="paragraph" w:customStyle="1" w:styleId="western">
    <w:name w:val="western"/>
    <w:basedOn w:val="Normalny"/>
    <w:rsid w:val="0019538B"/>
    <w:pPr>
      <w:spacing w:before="100" w:beforeAutospacing="1" w:after="119"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642DC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657">
      <w:bodyDiv w:val="1"/>
      <w:marLeft w:val="0"/>
      <w:marRight w:val="0"/>
      <w:marTop w:val="0"/>
      <w:marBottom w:val="0"/>
      <w:divBdr>
        <w:top w:val="none" w:sz="0" w:space="0" w:color="auto"/>
        <w:left w:val="none" w:sz="0" w:space="0" w:color="auto"/>
        <w:bottom w:val="none" w:sz="0" w:space="0" w:color="auto"/>
        <w:right w:val="none" w:sz="0" w:space="0" w:color="auto"/>
      </w:divBdr>
    </w:div>
    <w:div w:id="28116911">
      <w:bodyDiv w:val="1"/>
      <w:marLeft w:val="0"/>
      <w:marRight w:val="0"/>
      <w:marTop w:val="0"/>
      <w:marBottom w:val="0"/>
      <w:divBdr>
        <w:top w:val="none" w:sz="0" w:space="0" w:color="auto"/>
        <w:left w:val="none" w:sz="0" w:space="0" w:color="auto"/>
        <w:bottom w:val="none" w:sz="0" w:space="0" w:color="auto"/>
        <w:right w:val="none" w:sz="0" w:space="0" w:color="auto"/>
      </w:divBdr>
    </w:div>
    <w:div w:id="86772761">
      <w:bodyDiv w:val="1"/>
      <w:marLeft w:val="0"/>
      <w:marRight w:val="0"/>
      <w:marTop w:val="0"/>
      <w:marBottom w:val="0"/>
      <w:divBdr>
        <w:top w:val="none" w:sz="0" w:space="0" w:color="auto"/>
        <w:left w:val="none" w:sz="0" w:space="0" w:color="auto"/>
        <w:bottom w:val="none" w:sz="0" w:space="0" w:color="auto"/>
        <w:right w:val="none" w:sz="0" w:space="0" w:color="auto"/>
      </w:divBdr>
    </w:div>
    <w:div w:id="106242450">
      <w:bodyDiv w:val="1"/>
      <w:marLeft w:val="0"/>
      <w:marRight w:val="0"/>
      <w:marTop w:val="0"/>
      <w:marBottom w:val="0"/>
      <w:divBdr>
        <w:top w:val="none" w:sz="0" w:space="0" w:color="auto"/>
        <w:left w:val="none" w:sz="0" w:space="0" w:color="auto"/>
        <w:bottom w:val="none" w:sz="0" w:space="0" w:color="auto"/>
        <w:right w:val="none" w:sz="0" w:space="0" w:color="auto"/>
      </w:divBdr>
    </w:div>
    <w:div w:id="141819970">
      <w:bodyDiv w:val="1"/>
      <w:marLeft w:val="0"/>
      <w:marRight w:val="0"/>
      <w:marTop w:val="0"/>
      <w:marBottom w:val="0"/>
      <w:divBdr>
        <w:top w:val="none" w:sz="0" w:space="0" w:color="auto"/>
        <w:left w:val="none" w:sz="0" w:space="0" w:color="auto"/>
        <w:bottom w:val="none" w:sz="0" w:space="0" w:color="auto"/>
        <w:right w:val="none" w:sz="0" w:space="0" w:color="auto"/>
      </w:divBdr>
    </w:div>
    <w:div w:id="363294015">
      <w:bodyDiv w:val="1"/>
      <w:marLeft w:val="0"/>
      <w:marRight w:val="0"/>
      <w:marTop w:val="0"/>
      <w:marBottom w:val="0"/>
      <w:divBdr>
        <w:top w:val="none" w:sz="0" w:space="0" w:color="auto"/>
        <w:left w:val="none" w:sz="0" w:space="0" w:color="auto"/>
        <w:bottom w:val="none" w:sz="0" w:space="0" w:color="auto"/>
        <w:right w:val="none" w:sz="0" w:space="0" w:color="auto"/>
      </w:divBdr>
    </w:div>
    <w:div w:id="383988954">
      <w:bodyDiv w:val="1"/>
      <w:marLeft w:val="0"/>
      <w:marRight w:val="0"/>
      <w:marTop w:val="0"/>
      <w:marBottom w:val="0"/>
      <w:divBdr>
        <w:top w:val="none" w:sz="0" w:space="0" w:color="auto"/>
        <w:left w:val="none" w:sz="0" w:space="0" w:color="auto"/>
        <w:bottom w:val="none" w:sz="0" w:space="0" w:color="auto"/>
        <w:right w:val="none" w:sz="0" w:space="0" w:color="auto"/>
      </w:divBdr>
    </w:div>
    <w:div w:id="400298975">
      <w:bodyDiv w:val="1"/>
      <w:marLeft w:val="0"/>
      <w:marRight w:val="0"/>
      <w:marTop w:val="0"/>
      <w:marBottom w:val="0"/>
      <w:divBdr>
        <w:top w:val="none" w:sz="0" w:space="0" w:color="auto"/>
        <w:left w:val="none" w:sz="0" w:space="0" w:color="auto"/>
        <w:bottom w:val="none" w:sz="0" w:space="0" w:color="auto"/>
        <w:right w:val="none" w:sz="0" w:space="0" w:color="auto"/>
      </w:divBdr>
    </w:div>
    <w:div w:id="434399732">
      <w:bodyDiv w:val="1"/>
      <w:marLeft w:val="0"/>
      <w:marRight w:val="0"/>
      <w:marTop w:val="0"/>
      <w:marBottom w:val="0"/>
      <w:divBdr>
        <w:top w:val="none" w:sz="0" w:space="0" w:color="auto"/>
        <w:left w:val="none" w:sz="0" w:space="0" w:color="auto"/>
        <w:bottom w:val="none" w:sz="0" w:space="0" w:color="auto"/>
        <w:right w:val="none" w:sz="0" w:space="0" w:color="auto"/>
      </w:divBdr>
    </w:div>
    <w:div w:id="463694000">
      <w:bodyDiv w:val="1"/>
      <w:marLeft w:val="0"/>
      <w:marRight w:val="0"/>
      <w:marTop w:val="0"/>
      <w:marBottom w:val="0"/>
      <w:divBdr>
        <w:top w:val="none" w:sz="0" w:space="0" w:color="auto"/>
        <w:left w:val="none" w:sz="0" w:space="0" w:color="auto"/>
        <w:bottom w:val="none" w:sz="0" w:space="0" w:color="auto"/>
        <w:right w:val="none" w:sz="0" w:space="0" w:color="auto"/>
      </w:divBdr>
    </w:div>
    <w:div w:id="479998841">
      <w:bodyDiv w:val="1"/>
      <w:marLeft w:val="0"/>
      <w:marRight w:val="0"/>
      <w:marTop w:val="0"/>
      <w:marBottom w:val="0"/>
      <w:divBdr>
        <w:top w:val="none" w:sz="0" w:space="0" w:color="auto"/>
        <w:left w:val="none" w:sz="0" w:space="0" w:color="auto"/>
        <w:bottom w:val="none" w:sz="0" w:space="0" w:color="auto"/>
        <w:right w:val="none" w:sz="0" w:space="0" w:color="auto"/>
      </w:divBdr>
    </w:div>
    <w:div w:id="483477196">
      <w:bodyDiv w:val="1"/>
      <w:marLeft w:val="0"/>
      <w:marRight w:val="0"/>
      <w:marTop w:val="0"/>
      <w:marBottom w:val="0"/>
      <w:divBdr>
        <w:top w:val="none" w:sz="0" w:space="0" w:color="auto"/>
        <w:left w:val="none" w:sz="0" w:space="0" w:color="auto"/>
        <w:bottom w:val="none" w:sz="0" w:space="0" w:color="auto"/>
        <w:right w:val="none" w:sz="0" w:space="0" w:color="auto"/>
      </w:divBdr>
    </w:div>
    <w:div w:id="493493946">
      <w:bodyDiv w:val="1"/>
      <w:marLeft w:val="0"/>
      <w:marRight w:val="0"/>
      <w:marTop w:val="0"/>
      <w:marBottom w:val="0"/>
      <w:divBdr>
        <w:top w:val="none" w:sz="0" w:space="0" w:color="auto"/>
        <w:left w:val="none" w:sz="0" w:space="0" w:color="auto"/>
        <w:bottom w:val="none" w:sz="0" w:space="0" w:color="auto"/>
        <w:right w:val="none" w:sz="0" w:space="0" w:color="auto"/>
      </w:divBdr>
    </w:div>
    <w:div w:id="601497545">
      <w:bodyDiv w:val="1"/>
      <w:marLeft w:val="0"/>
      <w:marRight w:val="0"/>
      <w:marTop w:val="0"/>
      <w:marBottom w:val="0"/>
      <w:divBdr>
        <w:top w:val="none" w:sz="0" w:space="0" w:color="auto"/>
        <w:left w:val="none" w:sz="0" w:space="0" w:color="auto"/>
        <w:bottom w:val="none" w:sz="0" w:space="0" w:color="auto"/>
        <w:right w:val="none" w:sz="0" w:space="0" w:color="auto"/>
      </w:divBdr>
    </w:div>
    <w:div w:id="801270287">
      <w:bodyDiv w:val="1"/>
      <w:marLeft w:val="0"/>
      <w:marRight w:val="0"/>
      <w:marTop w:val="0"/>
      <w:marBottom w:val="0"/>
      <w:divBdr>
        <w:top w:val="none" w:sz="0" w:space="0" w:color="auto"/>
        <w:left w:val="none" w:sz="0" w:space="0" w:color="auto"/>
        <w:bottom w:val="none" w:sz="0" w:space="0" w:color="auto"/>
        <w:right w:val="none" w:sz="0" w:space="0" w:color="auto"/>
      </w:divBdr>
    </w:div>
    <w:div w:id="841896654">
      <w:bodyDiv w:val="1"/>
      <w:marLeft w:val="0"/>
      <w:marRight w:val="0"/>
      <w:marTop w:val="0"/>
      <w:marBottom w:val="0"/>
      <w:divBdr>
        <w:top w:val="none" w:sz="0" w:space="0" w:color="auto"/>
        <w:left w:val="none" w:sz="0" w:space="0" w:color="auto"/>
        <w:bottom w:val="none" w:sz="0" w:space="0" w:color="auto"/>
        <w:right w:val="none" w:sz="0" w:space="0" w:color="auto"/>
      </w:divBdr>
    </w:div>
    <w:div w:id="923299647">
      <w:bodyDiv w:val="1"/>
      <w:marLeft w:val="0"/>
      <w:marRight w:val="0"/>
      <w:marTop w:val="0"/>
      <w:marBottom w:val="0"/>
      <w:divBdr>
        <w:top w:val="none" w:sz="0" w:space="0" w:color="auto"/>
        <w:left w:val="none" w:sz="0" w:space="0" w:color="auto"/>
        <w:bottom w:val="none" w:sz="0" w:space="0" w:color="auto"/>
        <w:right w:val="none" w:sz="0" w:space="0" w:color="auto"/>
      </w:divBdr>
    </w:div>
    <w:div w:id="925184913">
      <w:bodyDiv w:val="1"/>
      <w:marLeft w:val="0"/>
      <w:marRight w:val="0"/>
      <w:marTop w:val="0"/>
      <w:marBottom w:val="0"/>
      <w:divBdr>
        <w:top w:val="none" w:sz="0" w:space="0" w:color="auto"/>
        <w:left w:val="none" w:sz="0" w:space="0" w:color="auto"/>
        <w:bottom w:val="none" w:sz="0" w:space="0" w:color="auto"/>
        <w:right w:val="none" w:sz="0" w:space="0" w:color="auto"/>
      </w:divBdr>
    </w:div>
    <w:div w:id="993023952">
      <w:bodyDiv w:val="1"/>
      <w:marLeft w:val="0"/>
      <w:marRight w:val="0"/>
      <w:marTop w:val="0"/>
      <w:marBottom w:val="0"/>
      <w:divBdr>
        <w:top w:val="none" w:sz="0" w:space="0" w:color="auto"/>
        <w:left w:val="none" w:sz="0" w:space="0" w:color="auto"/>
        <w:bottom w:val="none" w:sz="0" w:space="0" w:color="auto"/>
        <w:right w:val="none" w:sz="0" w:space="0" w:color="auto"/>
      </w:divBdr>
    </w:div>
    <w:div w:id="1030692495">
      <w:bodyDiv w:val="1"/>
      <w:marLeft w:val="0"/>
      <w:marRight w:val="0"/>
      <w:marTop w:val="0"/>
      <w:marBottom w:val="0"/>
      <w:divBdr>
        <w:top w:val="none" w:sz="0" w:space="0" w:color="auto"/>
        <w:left w:val="none" w:sz="0" w:space="0" w:color="auto"/>
        <w:bottom w:val="none" w:sz="0" w:space="0" w:color="auto"/>
        <w:right w:val="none" w:sz="0" w:space="0" w:color="auto"/>
      </w:divBdr>
    </w:div>
    <w:div w:id="1067535824">
      <w:bodyDiv w:val="1"/>
      <w:marLeft w:val="0"/>
      <w:marRight w:val="0"/>
      <w:marTop w:val="0"/>
      <w:marBottom w:val="0"/>
      <w:divBdr>
        <w:top w:val="none" w:sz="0" w:space="0" w:color="auto"/>
        <w:left w:val="none" w:sz="0" w:space="0" w:color="auto"/>
        <w:bottom w:val="none" w:sz="0" w:space="0" w:color="auto"/>
        <w:right w:val="none" w:sz="0" w:space="0" w:color="auto"/>
      </w:divBdr>
    </w:div>
    <w:div w:id="1068571341">
      <w:bodyDiv w:val="1"/>
      <w:marLeft w:val="0"/>
      <w:marRight w:val="0"/>
      <w:marTop w:val="0"/>
      <w:marBottom w:val="0"/>
      <w:divBdr>
        <w:top w:val="none" w:sz="0" w:space="0" w:color="auto"/>
        <w:left w:val="none" w:sz="0" w:space="0" w:color="auto"/>
        <w:bottom w:val="none" w:sz="0" w:space="0" w:color="auto"/>
        <w:right w:val="none" w:sz="0" w:space="0" w:color="auto"/>
      </w:divBdr>
    </w:div>
    <w:div w:id="1168473495">
      <w:bodyDiv w:val="1"/>
      <w:marLeft w:val="0"/>
      <w:marRight w:val="0"/>
      <w:marTop w:val="0"/>
      <w:marBottom w:val="0"/>
      <w:divBdr>
        <w:top w:val="none" w:sz="0" w:space="0" w:color="auto"/>
        <w:left w:val="none" w:sz="0" w:space="0" w:color="auto"/>
        <w:bottom w:val="none" w:sz="0" w:space="0" w:color="auto"/>
        <w:right w:val="none" w:sz="0" w:space="0" w:color="auto"/>
      </w:divBdr>
    </w:div>
    <w:div w:id="1318070226">
      <w:bodyDiv w:val="1"/>
      <w:marLeft w:val="0"/>
      <w:marRight w:val="0"/>
      <w:marTop w:val="0"/>
      <w:marBottom w:val="0"/>
      <w:divBdr>
        <w:top w:val="none" w:sz="0" w:space="0" w:color="auto"/>
        <w:left w:val="none" w:sz="0" w:space="0" w:color="auto"/>
        <w:bottom w:val="none" w:sz="0" w:space="0" w:color="auto"/>
        <w:right w:val="none" w:sz="0" w:space="0" w:color="auto"/>
      </w:divBdr>
    </w:div>
    <w:div w:id="1329601297">
      <w:bodyDiv w:val="1"/>
      <w:marLeft w:val="0"/>
      <w:marRight w:val="0"/>
      <w:marTop w:val="0"/>
      <w:marBottom w:val="0"/>
      <w:divBdr>
        <w:top w:val="none" w:sz="0" w:space="0" w:color="auto"/>
        <w:left w:val="none" w:sz="0" w:space="0" w:color="auto"/>
        <w:bottom w:val="none" w:sz="0" w:space="0" w:color="auto"/>
        <w:right w:val="none" w:sz="0" w:space="0" w:color="auto"/>
      </w:divBdr>
    </w:div>
    <w:div w:id="1331719952">
      <w:bodyDiv w:val="1"/>
      <w:marLeft w:val="0"/>
      <w:marRight w:val="0"/>
      <w:marTop w:val="0"/>
      <w:marBottom w:val="0"/>
      <w:divBdr>
        <w:top w:val="none" w:sz="0" w:space="0" w:color="auto"/>
        <w:left w:val="none" w:sz="0" w:space="0" w:color="auto"/>
        <w:bottom w:val="none" w:sz="0" w:space="0" w:color="auto"/>
        <w:right w:val="none" w:sz="0" w:space="0" w:color="auto"/>
      </w:divBdr>
    </w:div>
    <w:div w:id="1349066178">
      <w:bodyDiv w:val="1"/>
      <w:marLeft w:val="0"/>
      <w:marRight w:val="0"/>
      <w:marTop w:val="0"/>
      <w:marBottom w:val="0"/>
      <w:divBdr>
        <w:top w:val="none" w:sz="0" w:space="0" w:color="auto"/>
        <w:left w:val="none" w:sz="0" w:space="0" w:color="auto"/>
        <w:bottom w:val="none" w:sz="0" w:space="0" w:color="auto"/>
        <w:right w:val="none" w:sz="0" w:space="0" w:color="auto"/>
      </w:divBdr>
    </w:div>
    <w:div w:id="1355889147">
      <w:bodyDiv w:val="1"/>
      <w:marLeft w:val="0"/>
      <w:marRight w:val="0"/>
      <w:marTop w:val="0"/>
      <w:marBottom w:val="0"/>
      <w:divBdr>
        <w:top w:val="none" w:sz="0" w:space="0" w:color="auto"/>
        <w:left w:val="none" w:sz="0" w:space="0" w:color="auto"/>
        <w:bottom w:val="none" w:sz="0" w:space="0" w:color="auto"/>
        <w:right w:val="none" w:sz="0" w:space="0" w:color="auto"/>
      </w:divBdr>
    </w:div>
    <w:div w:id="1373723826">
      <w:bodyDiv w:val="1"/>
      <w:marLeft w:val="0"/>
      <w:marRight w:val="0"/>
      <w:marTop w:val="0"/>
      <w:marBottom w:val="0"/>
      <w:divBdr>
        <w:top w:val="none" w:sz="0" w:space="0" w:color="auto"/>
        <w:left w:val="none" w:sz="0" w:space="0" w:color="auto"/>
        <w:bottom w:val="none" w:sz="0" w:space="0" w:color="auto"/>
        <w:right w:val="none" w:sz="0" w:space="0" w:color="auto"/>
      </w:divBdr>
    </w:div>
    <w:div w:id="1450856054">
      <w:bodyDiv w:val="1"/>
      <w:marLeft w:val="0"/>
      <w:marRight w:val="0"/>
      <w:marTop w:val="0"/>
      <w:marBottom w:val="0"/>
      <w:divBdr>
        <w:top w:val="none" w:sz="0" w:space="0" w:color="auto"/>
        <w:left w:val="none" w:sz="0" w:space="0" w:color="auto"/>
        <w:bottom w:val="none" w:sz="0" w:space="0" w:color="auto"/>
        <w:right w:val="none" w:sz="0" w:space="0" w:color="auto"/>
      </w:divBdr>
    </w:div>
    <w:div w:id="1499539769">
      <w:bodyDiv w:val="1"/>
      <w:marLeft w:val="0"/>
      <w:marRight w:val="0"/>
      <w:marTop w:val="0"/>
      <w:marBottom w:val="0"/>
      <w:divBdr>
        <w:top w:val="none" w:sz="0" w:space="0" w:color="auto"/>
        <w:left w:val="none" w:sz="0" w:space="0" w:color="auto"/>
        <w:bottom w:val="none" w:sz="0" w:space="0" w:color="auto"/>
        <w:right w:val="none" w:sz="0" w:space="0" w:color="auto"/>
      </w:divBdr>
    </w:div>
    <w:div w:id="1507205643">
      <w:bodyDiv w:val="1"/>
      <w:marLeft w:val="0"/>
      <w:marRight w:val="0"/>
      <w:marTop w:val="0"/>
      <w:marBottom w:val="0"/>
      <w:divBdr>
        <w:top w:val="none" w:sz="0" w:space="0" w:color="auto"/>
        <w:left w:val="none" w:sz="0" w:space="0" w:color="auto"/>
        <w:bottom w:val="none" w:sz="0" w:space="0" w:color="auto"/>
        <w:right w:val="none" w:sz="0" w:space="0" w:color="auto"/>
      </w:divBdr>
    </w:div>
    <w:div w:id="1601060098">
      <w:bodyDiv w:val="1"/>
      <w:marLeft w:val="0"/>
      <w:marRight w:val="0"/>
      <w:marTop w:val="0"/>
      <w:marBottom w:val="0"/>
      <w:divBdr>
        <w:top w:val="none" w:sz="0" w:space="0" w:color="auto"/>
        <w:left w:val="none" w:sz="0" w:space="0" w:color="auto"/>
        <w:bottom w:val="none" w:sz="0" w:space="0" w:color="auto"/>
        <w:right w:val="none" w:sz="0" w:space="0" w:color="auto"/>
      </w:divBdr>
    </w:div>
    <w:div w:id="1624457862">
      <w:bodyDiv w:val="1"/>
      <w:marLeft w:val="0"/>
      <w:marRight w:val="0"/>
      <w:marTop w:val="0"/>
      <w:marBottom w:val="0"/>
      <w:divBdr>
        <w:top w:val="none" w:sz="0" w:space="0" w:color="auto"/>
        <w:left w:val="none" w:sz="0" w:space="0" w:color="auto"/>
        <w:bottom w:val="none" w:sz="0" w:space="0" w:color="auto"/>
        <w:right w:val="none" w:sz="0" w:space="0" w:color="auto"/>
      </w:divBdr>
    </w:div>
    <w:div w:id="1649898169">
      <w:bodyDiv w:val="1"/>
      <w:marLeft w:val="0"/>
      <w:marRight w:val="0"/>
      <w:marTop w:val="0"/>
      <w:marBottom w:val="0"/>
      <w:divBdr>
        <w:top w:val="none" w:sz="0" w:space="0" w:color="auto"/>
        <w:left w:val="none" w:sz="0" w:space="0" w:color="auto"/>
        <w:bottom w:val="none" w:sz="0" w:space="0" w:color="auto"/>
        <w:right w:val="none" w:sz="0" w:space="0" w:color="auto"/>
      </w:divBdr>
    </w:div>
    <w:div w:id="1657807150">
      <w:bodyDiv w:val="1"/>
      <w:marLeft w:val="0"/>
      <w:marRight w:val="0"/>
      <w:marTop w:val="0"/>
      <w:marBottom w:val="0"/>
      <w:divBdr>
        <w:top w:val="none" w:sz="0" w:space="0" w:color="auto"/>
        <w:left w:val="none" w:sz="0" w:space="0" w:color="auto"/>
        <w:bottom w:val="none" w:sz="0" w:space="0" w:color="auto"/>
        <w:right w:val="none" w:sz="0" w:space="0" w:color="auto"/>
      </w:divBdr>
    </w:div>
    <w:div w:id="1665549125">
      <w:bodyDiv w:val="1"/>
      <w:marLeft w:val="0"/>
      <w:marRight w:val="0"/>
      <w:marTop w:val="0"/>
      <w:marBottom w:val="0"/>
      <w:divBdr>
        <w:top w:val="none" w:sz="0" w:space="0" w:color="auto"/>
        <w:left w:val="none" w:sz="0" w:space="0" w:color="auto"/>
        <w:bottom w:val="none" w:sz="0" w:space="0" w:color="auto"/>
        <w:right w:val="none" w:sz="0" w:space="0" w:color="auto"/>
      </w:divBdr>
    </w:div>
    <w:div w:id="1683389233">
      <w:bodyDiv w:val="1"/>
      <w:marLeft w:val="0"/>
      <w:marRight w:val="0"/>
      <w:marTop w:val="0"/>
      <w:marBottom w:val="0"/>
      <w:divBdr>
        <w:top w:val="none" w:sz="0" w:space="0" w:color="auto"/>
        <w:left w:val="none" w:sz="0" w:space="0" w:color="auto"/>
        <w:bottom w:val="none" w:sz="0" w:space="0" w:color="auto"/>
        <w:right w:val="none" w:sz="0" w:space="0" w:color="auto"/>
      </w:divBdr>
    </w:div>
    <w:div w:id="1741904016">
      <w:bodyDiv w:val="1"/>
      <w:marLeft w:val="0"/>
      <w:marRight w:val="0"/>
      <w:marTop w:val="0"/>
      <w:marBottom w:val="0"/>
      <w:divBdr>
        <w:top w:val="none" w:sz="0" w:space="0" w:color="auto"/>
        <w:left w:val="none" w:sz="0" w:space="0" w:color="auto"/>
        <w:bottom w:val="none" w:sz="0" w:space="0" w:color="auto"/>
        <w:right w:val="none" w:sz="0" w:space="0" w:color="auto"/>
      </w:divBdr>
    </w:div>
    <w:div w:id="1750883605">
      <w:bodyDiv w:val="1"/>
      <w:marLeft w:val="0"/>
      <w:marRight w:val="0"/>
      <w:marTop w:val="0"/>
      <w:marBottom w:val="0"/>
      <w:divBdr>
        <w:top w:val="none" w:sz="0" w:space="0" w:color="auto"/>
        <w:left w:val="none" w:sz="0" w:space="0" w:color="auto"/>
        <w:bottom w:val="none" w:sz="0" w:space="0" w:color="auto"/>
        <w:right w:val="none" w:sz="0" w:space="0" w:color="auto"/>
      </w:divBdr>
    </w:div>
    <w:div w:id="1783763055">
      <w:bodyDiv w:val="1"/>
      <w:marLeft w:val="0"/>
      <w:marRight w:val="0"/>
      <w:marTop w:val="0"/>
      <w:marBottom w:val="0"/>
      <w:divBdr>
        <w:top w:val="none" w:sz="0" w:space="0" w:color="auto"/>
        <w:left w:val="none" w:sz="0" w:space="0" w:color="auto"/>
        <w:bottom w:val="none" w:sz="0" w:space="0" w:color="auto"/>
        <w:right w:val="none" w:sz="0" w:space="0" w:color="auto"/>
      </w:divBdr>
    </w:div>
    <w:div w:id="1933053415">
      <w:bodyDiv w:val="1"/>
      <w:marLeft w:val="0"/>
      <w:marRight w:val="0"/>
      <w:marTop w:val="0"/>
      <w:marBottom w:val="0"/>
      <w:divBdr>
        <w:top w:val="none" w:sz="0" w:space="0" w:color="auto"/>
        <w:left w:val="none" w:sz="0" w:space="0" w:color="auto"/>
        <w:bottom w:val="none" w:sz="0" w:space="0" w:color="auto"/>
        <w:right w:val="none" w:sz="0" w:space="0" w:color="auto"/>
      </w:divBdr>
    </w:div>
    <w:div w:id="1954242671">
      <w:bodyDiv w:val="1"/>
      <w:marLeft w:val="0"/>
      <w:marRight w:val="0"/>
      <w:marTop w:val="0"/>
      <w:marBottom w:val="0"/>
      <w:divBdr>
        <w:top w:val="none" w:sz="0" w:space="0" w:color="auto"/>
        <w:left w:val="none" w:sz="0" w:space="0" w:color="auto"/>
        <w:bottom w:val="none" w:sz="0" w:space="0" w:color="auto"/>
        <w:right w:val="none" w:sz="0" w:space="0" w:color="auto"/>
      </w:divBdr>
    </w:div>
    <w:div w:id="1972126432">
      <w:bodyDiv w:val="1"/>
      <w:marLeft w:val="0"/>
      <w:marRight w:val="0"/>
      <w:marTop w:val="0"/>
      <w:marBottom w:val="0"/>
      <w:divBdr>
        <w:top w:val="none" w:sz="0" w:space="0" w:color="auto"/>
        <w:left w:val="none" w:sz="0" w:space="0" w:color="auto"/>
        <w:bottom w:val="none" w:sz="0" w:space="0" w:color="auto"/>
        <w:right w:val="none" w:sz="0" w:space="0" w:color="auto"/>
      </w:divBdr>
    </w:div>
    <w:div w:id="1982616070">
      <w:bodyDiv w:val="1"/>
      <w:marLeft w:val="0"/>
      <w:marRight w:val="0"/>
      <w:marTop w:val="0"/>
      <w:marBottom w:val="0"/>
      <w:divBdr>
        <w:top w:val="none" w:sz="0" w:space="0" w:color="auto"/>
        <w:left w:val="none" w:sz="0" w:space="0" w:color="auto"/>
        <w:bottom w:val="none" w:sz="0" w:space="0" w:color="auto"/>
        <w:right w:val="none" w:sz="0" w:space="0" w:color="auto"/>
      </w:divBdr>
    </w:div>
    <w:div w:id="2040931808">
      <w:bodyDiv w:val="1"/>
      <w:marLeft w:val="0"/>
      <w:marRight w:val="0"/>
      <w:marTop w:val="0"/>
      <w:marBottom w:val="0"/>
      <w:divBdr>
        <w:top w:val="none" w:sz="0" w:space="0" w:color="auto"/>
        <w:left w:val="none" w:sz="0" w:space="0" w:color="auto"/>
        <w:bottom w:val="none" w:sz="0" w:space="0" w:color="auto"/>
        <w:right w:val="none" w:sz="0" w:space="0" w:color="auto"/>
      </w:divBdr>
    </w:div>
    <w:div w:id="2045013963">
      <w:bodyDiv w:val="1"/>
      <w:marLeft w:val="0"/>
      <w:marRight w:val="0"/>
      <w:marTop w:val="0"/>
      <w:marBottom w:val="0"/>
      <w:divBdr>
        <w:top w:val="none" w:sz="0" w:space="0" w:color="auto"/>
        <w:left w:val="none" w:sz="0" w:space="0" w:color="auto"/>
        <w:bottom w:val="none" w:sz="0" w:space="0" w:color="auto"/>
        <w:right w:val="none" w:sz="0" w:space="0" w:color="auto"/>
      </w:divBdr>
    </w:div>
    <w:div w:id="2075152303">
      <w:bodyDiv w:val="1"/>
      <w:marLeft w:val="0"/>
      <w:marRight w:val="0"/>
      <w:marTop w:val="0"/>
      <w:marBottom w:val="0"/>
      <w:divBdr>
        <w:top w:val="none" w:sz="0" w:space="0" w:color="auto"/>
        <w:left w:val="none" w:sz="0" w:space="0" w:color="auto"/>
        <w:bottom w:val="none" w:sz="0" w:space="0" w:color="auto"/>
        <w:right w:val="none" w:sz="0" w:space="0" w:color="auto"/>
      </w:divBdr>
    </w:div>
    <w:div w:id="2085713707">
      <w:bodyDiv w:val="1"/>
      <w:marLeft w:val="0"/>
      <w:marRight w:val="0"/>
      <w:marTop w:val="0"/>
      <w:marBottom w:val="0"/>
      <w:divBdr>
        <w:top w:val="none" w:sz="0" w:space="0" w:color="auto"/>
        <w:left w:val="none" w:sz="0" w:space="0" w:color="auto"/>
        <w:bottom w:val="none" w:sz="0" w:space="0" w:color="auto"/>
        <w:right w:val="none" w:sz="0" w:space="0" w:color="auto"/>
      </w:divBdr>
    </w:div>
    <w:div w:id="20870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ta.osowniak@urpl.gov.pl" TargetMode="External"/><Relationship Id="rId4" Type="http://schemas.openxmlformats.org/officeDocument/2006/relationships/customXml" Target="../customXml/item4.xml"/><Relationship Id="rId9" Type="http://schemas.openxmlformats.org/officeDocument/2006/relationships/hyperlink" Target="mailto:barbara.jaworska-luczak@urpl.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5929-5AAA-4482-A093-0EAB559937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FE84D-E94F-4127-97FF-ECACB84F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8FEC1-914A-4B17-821B-A39FF17AC46B}">
  <ds:schemaRefs>
    <ds:schemaRef ds:uri="http://schemas.microsoft.com/sharepoint/v3/contenttype/forms"/>
  </ds:schemaRefs>
</ds:datastoreItem>
</file>

<file path=customXml/itemProps4.xml><?xml version="1.0" encoding="utf-8"?>
<ds:datastoreItem xmlns:ds="http://schemas.openxmlformats.org/officeDocument/2006/customXml" ds:itemID="{512E67CA-8C98-4237-B1D7-F402BA07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8287</Words>
  <Characters>49727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Osówniak</dc:creator>
  <cp:lastModifiedBy>Dorota Kędzińska</cp:lastModifiedBy>
  <cp:revision>2</cp:revision>
  <dcterms:created xsi:type="dcterms:W3CDTF">2021-08-18T08:42:00Z</dcterms:created>
  <dcterms:modified xsi:type="dcterms:W3CDTF">2021-08-18T08:42:00Z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