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92A7E" w14:textId="59CBAB8D" w:rsidR="00EF0734" w:rsidRPr="00EF0734" w:rsidRDefault="00EF0734" w:rsidP="00EF0734">
      <w:pPr>
        <w:pStyle w:val="OZNPROJEKTUwskazaniedatylubwersjiprojektu"/>
      </w:pPr>
      <w:bookmarkStart w:id="0" w:name="_GoBack"/>
      <w:bookmarkEnd w:id="0"/>
      <w:r w:rsidRPr="00EF0734">
        <w:t xml:space="preserve">Projekt </w:t>
      </w:r>
      <w:r w:rsidR="00D87A3E">
        <w:t xml:space="preserve">z dnia </w:t>
      </w:r>
      <w:r w:rsidR="006E074D">
        <w:t>5</w:t>
      </w:r>
      <w:r w:rsidRPr="00EF0734">
        <w:t>.0</w:t>
      </w:r>
      <w:r w:rsidR="006E074D">
        <w:t>8</w:t>
      </w:r>
      <w:r w:rsidRPr="00EF0734">
        <w:t>.2021</w:t>
      </w:r>
      <w:r>
        <w:t> </w:t>
      </w:r>
      <w:r w:rsidRPr="00EF0734">
        <w:t>r.</w:t>
      </w:r>
    </w:p>
    <w:p w14:paraId="205FD0A8" w14:textId="77777777" w:rsidR="00EF0734" w:rsidRPr="00EF0734" w:rsidRDefault="00EF0734" w:rsidP="00EF0734">
      <w:pPr>
        <w:pStyle w:val="OZNRODZAKTUtznustawalubrozporzdzenieiorganwydajcy"/>
      </w:pPr>
      <w:r>
        <w:t>R</w:t>
      </w:r>
      <w:r w:rsidRPr="00EF0734">
        <w:t>OZ</w:t>
      </w:r>
      <w:r>
        <w:t>P</w:t>
      </w:r>
      <w:r w:rsidRPr="00EF0734">
        <w:t>O</w:t>
      </w:r>
      <w:r>
        <w:t>R</w:t>
      </w:r>
      <w:r w:rsidRPr="00EF0734">
        <w:t>Z</w:t>
      </w:r>
      <w:r>
        <w:t>ĄD</w:t>
      </w:r>
      <w:r w:rsidRPr="00EF0734">
        <w:t>ZE</w:t>
      </w:r>
      <w:r>
        <w:t>Ni</w:t>
      </w:r>
      <w:r w:rsidRPr="00EF0734">
        <w:t>E</w:t>
      </w:r>
      <w:r w:rsidR="00546BC4">
        <w:t xml:space="preserve"> </w:t>
      </w:r>
    </w:p>
    <w:p w14:paraId="16D48F4E" w14:textId="77777777" w:rsidR="00EF0734" w:rsidRPr="00EF0734" w:rsidRDefault="00EF0734" w:rsidP="00EF0734">
      <w:pPr>
        <w:pStyle w:val="OZNRODZAKTUtznustawalubrozporzdzenieiorganwydajcy"/>
      </w:pPr>
      <w:r>
        <w:t>M</w:t>
      </w:r>
      <w:r w:rsidRPr="00EF0734">
        <w:t>I</w:t>
      </w:r>
      <w:r>
        <w:t>N</w:t>
      </w:r>
      <w:r w:rsidRPr="00EF0734">
        <w:t>I</w:t>
      </w:r>
      <w:r>
        <w:t>Stra rozwoju, pracy i technologii</w:t>
      </w:r>
      <w:r w:rsidRPr="0008255B">
        <w:rPr>
          <w:rStyle w:val="IGPindeksgrnyipogrubienie"/>
        </w:rPr>
        <w:footnoteReference w:id="1"/>
      </w:r>
      <w:r w:rsidRPr="0008255B">
        <w:rPr>
          <w:rStyle w:val="IGPindeksgrnyipogrubienie"/>
        </w:rPr>
        <w:t>)</w:t>
      </w:r>
    </w:p>
    <w:p w14:paraId="738A733F" w14:textId="77777777" w:rsidR="00EF0734" w:rsidRPr="00EF0734" w:rsidRDefault="00EF0734" w:rsidP="00EF0734">
      <w:pPr>
        <w:pStyle w:val="DATAAKTUdatauchwalenialubwydaniaaktu"/>
      </w:pPr>
      <w:r w:rsidRPr="00EF0734">
        <w:t>z dnia ……………..………. 2021</w:t>
      </w:r>
      <w:r>
        <w:t> </w:t>
      </w:r>
      <w:r w:rsidRPr="00EF0734">
        <w:t>r.</w:t>
      </w:r>
    </w:p>
    <w:p w14:paraId="21741A28" w14:textId="77777777" w:rsidR="00EF0734" w:rsidRPr="00EF0734" w:rsidRDefault="00EF0734" w:rsidP="00EF0734">
      <w:pPr>
        <w:pStyle w:val="TYTUAKTUprzedmiotregulacjiustawylubrozporzdzenia"/>
      </w:pPr>
      <w:r w:rsidRPr="00EF0734">
        <w:t>zmieniające rozporządzenie w</w:t>
      </w:r>
      <w:r>
        <w:t> </w:t>
      </w:r>
      <w:r w:rsidRPr="00EF0734">
        <w:t>sprawie wymagań, którym powinny odpowiadać zbiorniki pomiarowe, oraz szczegółowego zakresu badań i</w:t>
      </w:r>
      <w:r>
        <w:t> </w:t>
      </w:r>
      <w:r w:rsidRPr="00EF0734">
        <w:t>sprawdzeń wykonywanych podczas prawnej kontroli metrologicznej tych przyrządów pomiarowych</w:t>
      </w:r>
      <w:r w:rsidRPr="0008255B">
        <w:rPr>
          <w:rStyle w:val="IGPindeksgrnyipogrubienie"/>
        </w:rPr>
        <w:footnoteReference w:id="2"/>
      </w:r>
      <w:r w:rsidRPr="0008255B">
        <w:rPr>
          <w:rStyle w:val="IGPindeksgrnyipogrubienie"/>
        </w:rPr>
        <w:t>)</w:t>
      </w:r>
    </w:p>
    <w:p w14:paraId="7E1C3FBA" w14:textId="5006CBBF" w:rsidR="00EF0734" w:rsidRPr="00EF0734" w:rsidRDefault="00EF0734" w:rsidP="00EF0734">
      <w:pPr>
        <w:pStyle w:val="NIEARTTEKSTtekstnieartykuowanynppodstprawnarozplubpreambua"/>
      </w:pPr>
      <w:r w:rsidRPr="00EF0734">
        <w:t>Na podstawie</w:t>
      </w:r>
      <w:r>
        <w:t xml:space="preserve"> art. </w:t>
      </w:r>
      <w:r w:rsidRPr="00EF0734">
        <w:t>9a ustawy z</w:t>
      </w:r>
      <w:r>
        <w:t> </w:t>
      </w:r>
      <w:r w:rsidRPr="00EF0734">
        <w:t>dnia 11</w:t>
      </w:r>
      <w:r>
        <w:t> </w:t>
      </w:r>
      <w:r w:rsidRPr="00EF0734">
        <w:t>maja 2001</w:t>
      </w:r>
      <w:r>
        <w:t> </w:t>
      </w:r>
      <w:r w:rsidRPr="00EF0734">
        <w:t>r. – Prawo o</w:t>
      </w:r>
      <w:r>
        <w:t> </w:t>
      </w:r>
      <w:r w:rsidRPr="00EF0734">
        <w:t>miarach (</w:t>
      </w:r>
      <w:r>
        <w:t>Dz. U.</w:t>
      </w:r>
      <w:r w:rsidRPr="00EF0734">
        <w:t xml:space="preserve"> z</w:t>
      </w:r>
      <w:r>
        <w:t> </w:t>
      </w:r>
      <w:r w:rsidRPr="00EF0734">
        <w:t>2020</w:t>
      </w:r>
      <w:r>
        <w:t> </w:t>
      </w:r>
      <w:r w:rsidRPr="00EF0734">
        <w:t>r.</w:t>
      </w:r>
      <w:r>
        <w:t xml:space="preserve"> poz. </w:t>
      </w:r>
      <w:r w:rsidRPr="00EF0734">
        <w:t>2166</w:t>
      </w:r>
      <w:r w:rsidR="001F31E0">
        <w:t xml:space="preserve"> oraz z 2021 r. poz. 1093.</w:t>
      </w:r>
      <w:r w:rsidRPr="00EF0734">
        <w:t>) zarządza się, co następuje:</w:t>
      </w:r>
    </w:p>
    <w:p w14:paraId="1CC5C28D" w14:textId="77777777" w:rsidR="00EF0734" w:rsidRPr="00EF0734" w:rsidRDefault="00EF0734" w:rsidP="00EF0734">
      <w:pPr>
        <w:pStyle w:val="ARTartustawynprozporzdzenia"/>
      </w:pPr>
      <w:r w:rsidRPr="00EF0734">
        <w:rPr>
          <w:rStyle w:val="Ppogrubienie"/>
        </w:rPr>
        <w:t>§ 1.</w:t>
      </w:r>
      <w:r w:rsidRPr="00EF0734">
        <w:t xml:space="preserve"> W</w:t>
      </w:r>
      <w:r>
        <w:t> </w:t>
      </w:r>
      <w:r w:rsidRPr="00EF0734">
        <w:t>rozporządzeniu Ministra Gospodarki z</w:t>
      </w:r>
      <w:r>
        <w:t> </w:t>
      </w:r>
      <w:r w:rsidRPr="00EF0734">
        <w:t>dnia 22</w:t>
      </w:r>
      <w:r>
        <w:t> </w:t>
      </w:r>
      <w:r w:rsidRPr="00EF0734">
        <w:t>stycznia 2008</w:t>
      </w:r>
      <w:r>
        <w:t> </w:t>
      </w:r>
      <w:r w:rsidRPr="00EF0734">
        <w:t>r. w</w:t>
      </w:r>
      <w:r>
        <w:t> </w:t>
      </w:r>
      <w:r w:rsidRPr="00EF0734">
        <w:t>sprawie wymagań, którym powinny odpowiadać zbiorniki pomiarowe, oraz szczegółowego zakresu badań i</w:t>
      </w:r>
      <w:r>
        <w:t> </w:t>
      </w:r>
      <w:r w:rsidRPr="00EF0734">
        <w:t>sprawdzeń wykonywanych podczas prawnej kontroli metrologicznej tych przyrządów pomiarowych (</w:t>
      </w:r>
      <w:r>
        <w:t>Dz. U.</w:t>
      </w:r>
      <w:r w:rsidRPr="00EF0734">
        <w:t xml:space="preserve"> z</w:t>
      </w:r>
      <w:r>
        <w:t> </w:t>
      </w:r>
      <w:r w:rsidRPr="00EF0734">
        <w:t>2021</w:t>
      </w:r>
      <w:r>
        <w:t> </w:t>
      </w:r>
      <w:r w:rsidRPr="00EF0734">
        <w:t>r.</w:t>
      </w:r>
      <w:r>
        <w:t xml:space="preserve"> poz. </w:t>
      </w:r>
      <w:r w:rsidRPr="00EF0734">
        <w:t>373) wprowadza się następujące zmiany:</w:t>
      </w:r>
    </w:p>
    <w:p w14:paraId="69C557FD" w14:textId="77777777" w:rsidR="00EF0734" w:rsidRPr="00EF0734" w:rsidRDefault="00EF0734" w:rsidP="00EF0734">
      <w:pPr>
        <w:pStyle w:val="PKTpunkt"/>
      </w:pPr>
      <w:r>
        <w:t>1)</w:t>
      </w:r>
      <w:r>
        <w:tab/>
      </w:r>
      <w:r w:rsidRPr="00EF0734">
        <w:t>w</w:t>
      </w:r>
      <w:r>
        <w:t> § </w:t>
      </w:r>
      <w:r w:rsidRPr="00EF0734">
        <w:t>22</w:t>
      </w:r>
      <w:r>
        <w:t xml:space="preserve"> ust. </w:t>
      </w:r>
      <w:r w:rsidRPr="00EF0734">
        <w:t>7</w:t>
      </w:r>
      <w:r>
        <w:t> </w:t>
      </w:r>
      <w:r w:rsidRPr="00EF0734">
        <w:t>otrzymuje brzmienie:</w:t>
      </w:r>
    </w:p>
    <w:p w14:paraId="52CD6AA9" w14:textId="5A1C061D" w:rsidR="00EF0734" w:rsidRPr="00EF0734" w:rsidRDefault="00EF0734" w:rsidP="00EF0734">
      <w:pPr>
        <w:pStyle w:val="ZUSTzmustartykuempunktem"/>
      </w:pPr>
      <w:r>
        <w:t xml:space="preserve">„7. </w:t>
      </w:r>
      <w:r w:rsidRPr="00EF0734">
        <w:t>W</w:t>
      </w:r>
      <w:r>
        <w:t> </w:t>
      </w:r>
      <w:r w:rsidRPr="00EF0734">
        <w:t>zakresie nieuregulowanym w</w:t>
      </w:r>
      <w:r>
        <w:t> ust. </w:t>
      </w:r>
      <w:r w:rsidRPr="00EF0734">
        <w:t>1</w:t>
      </w:r>
      <w:r>
        <w:t>-</w:t>
      </w:r>
      <w:r w:rsidRPr="00EF0734">
        <w:t>6</w:t>
      </w:r>
      <w:r>
        <w:t> </w:t>
      </w:r>
      <w:r w:rsidRPr="00EF0734">
        <w:t>przymiary wstęgowe, sztywne i</w:t>
      </w:r>
      <w:r>
        <w:t> </w:t>
      </w:r>
      <w:r w:rsidRPr="00EF0734">
        <w:t>półsztywne stosowane do pomiaru wysokości napełnienia komory zbiornika powinny spełniać wymagania określone w części I</w:t>
      </w:r>
      <w:r>
        <w:t> </w:t>
      </w:r>
      <w:r w:rsidRPr="00EF0734">
        <w:t xml:space="preserve"> </w:t>
      </w:r>
      <w:r w:rsidR="00852579">
        <w:t>W</w:t>
      </w:r>
      <w:r w:rsidRPr="00EF0734">
        <w:t>ymagania dla materialnych miar długości załącznika</w:t>
      </w:r>
      <w:r>
        <w:t xml:space="preserve"> nr </w:t>
      </w:r>
      <w:r w:rsidRPr="00EF0734">
        <w:t>8</w:t>
      </w:r>
      <w:r>
        <w:t> </w:t>
      </w:r>
      <w:r w:rsidRPr="00EF0734">
        <w:t>do rozporządzenia Ministra Rozwoju z</w:t>
      </w:r>
      <w:r>
        <w:t> </w:t>
      </w:r>
      <w:r w:rsidRPr="00EF0734">
        <w:t>dnia 2</w:t>
      </w:r>
      <w:r>
        <w:t> </w:t>
      </w:r>
      <w:r w:rsidRPr="00EF0734">
        <w:t>czerwca 2016</w:t>
      </w:r>
      <w:r>
        <w:t> </w:t>
      </w:r>
      <w:r w:rsidRPr="00EF0734">
        <w:t>r. w</w:t>
      </w:r>
      <w:r>
        <w:t> </w:t>
      </w:r>
      <w:r w:rsidRPr="00EF0734">
        <w:t>sprawie wymagań dla przyrządów pomiarowych (</w:t>
      </w:r>
      <w:r>
        <w:t>Dz. U.</w:t>
      </w:r>
      <w:r w:rsidRPr="00EF0734">
        <w:t xml:space="preserve"> </w:t>
      </w:r>
      <w:r>
        <w:t>poz. </w:t>
      </w:r>
      <w:r w:rsidRPr="00EF0734">
        <w:t>815).</w:t>
      </w:r>
      <w:r>
        <w:t>”</w:t>
      </w:r>
      <w:r w:rsidRPr="00EF0734">
        <w:t>;</w:t>
      </w:r>
    </w:p>
    <w:p w14:paraId="2D81C8DC" w14:textId="694E4D41" w:rsidR="00EF0734" w:rsidRPr="00EF0734" w:rsidRDefault="00EF0734" w:rsidP="00EF0734">
      <w:pPr>
        <w:pStyle w:val="PKTpunkt"/>
      </w:pPr>
      <w:r>
        <w:t>2)</w:t>
      </w:r>
      <w:r>
        <w:tab/>
      </w:r>
      <w:r w:rsidRPr="00EF0734">
        <w:t>w</w:t>
      </w:r>
      <w:r>
        <w:t> </w:t>
      </w:r>
      <w:r w:rsidRPr="00EF0734">
        <w:t>załączniku</w:t>
      </w:r>
      <w:r>
        <w:t xml:space="preserve"> nr </w:t>
      </w:r>
      <w:r w:rsidRPr="00EF0734">
        <w:t>2</w:t>
      </w:r>
      <w:r>
        <w:t> </w:t>
      </w:r>
      <w:r w:rsidR="00767B91" w:rsidDel="00767B91">
        <w:t xml:space="preserve"> </w:t>
      </w:r>
      <w:r w:rsidRPr="00EF0734">
        <w:t>dodaje się</w:t>
      </w:r>
      <w:r w:rsidR="00767B91">
        <w:t xml:space="preserve"> pkt</w:t>
      </w:r>
      <w:r>
        <w:t> </w:t>
      </w:r>
      <w:r w:rsidRPr="00EF0734">
        <w:t>7</w:t>
      </w:r>
      <w:r>
        <w:t xml:space="preserve"> w </w:t>
      </w:r>
      <w:r w:rsidRPr="00EF0734">
        <w:t>brzmieniu:</w:t>
      </w:r>
    </w:p>
    <w:p w14:paraId="6703763D" w14:textId="410A1608" w:rsidR="00EF0734" w:rsidRDefault="00EF0734" w:rsidP="00EF0734">
      <w:pPr>
        <w:pStyle w:val="ZUSTzmustartykuempunktem"/>
      </w:pPr>
      <w:r>
        <w:t>„</w:t>
      </w:r>
      <w:r w:rsidRPr="00EF0734">
        <w:t>7. Objętość (V</w:t>
      </w:r>
      <w:r w:rsidRPr="00EF0734">
        <w:rPr>
          <w:rStyle w:val="IDindeksdolny"/>
        </w:rPr>
        <w:t>15</w:t>
      </w:r>
      <w:r w:rsidRPr="00EF0734">
        <w:t>) uwodornionych olejów roślinnych (HVO), dla których wartość gęstości w temperaturze 15</w:t>
      </w:r>
      <w:r>
        <w:t> </w:t>
      </w:r>
      <w:r w:rsidRPr="00EF0734">
        <w:t>°C zawiera się w zakresie od 700</w:t>
      </w:r>
      <w:r>
        <w:t> </w:t>
      </w:r>
      <w:r w:rsidRPr="00EF0734">
        <w:t>kg/m</w:t>
      </w:r>
      <w:r w:rsidRPr="00EF0734">
        <w:rPr>
          <w:rStyle w:val="IGindeksgrny"/>
        </w:rPr>
        <w:t>3</w:t>
      </w:r>
      <w:r w:rsidRPr="00EF0734">
        <w:t xml:space="preserve"> do 830</w:t>
      </w:r>
      <w:r>
        <w:t> </w:t>
      </w:r>
      <w:r w:rsidRPr="00EF0734">
        <w:t>kg/m</w:t>
      </w:r>
      <w:r w:rsidRPr="00EF0734">
        <w:rPr>
          <w:rStyle w:val="IGindeksgrny"/>
        </w:rPr>
        <w:t>3</w:t>
      </w:r>
      <w:r w:rsidRPr="00EF0734">
        <w:t>, w</w:t>
      </w:r>
      <w:r>
        <w:t> </w:t>
      </w:r>
      <w:r w:rsidRPr="00EF0734">
        <w:t xml:space="preserve">zakresie temperatury od </w:t>
      </w:r>
      <w:r>
        <w:noBreakHyphen/>
      </w:r>
      <w:r w:rsidRPr="00EF0734">
        <w:t>20°C do 50°C, w zbiorniku w temperaturze bazowej równej 15</w:t>
      </w:r>
      <w:r>
        <w:t> </w:t>
      </w:r>
      <w:r w:rsidRPr="00EF0734">
        <w:t>°C, określa się według wzoru:</w:t>
      </w:r>
    </w:p>
    <w:p w14:paraId="0ADBE598" w14:textId="77777777" w:rsidR="00EF0734" w:rsidRPr="00EF0734" w:rsidRDefault="00C36542" w:rsidP="0008255B">
      <w:pPr>
        <w:pStyle w:val="ZWMATFIZCHEMzmwzorumatfizlubchemartykuempunktem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VCF</m:t>
          </m:r>
          <m:r>
            <m:rPr>
              <m:sty m:val="p"/>
            </m:rPr>
            <w:rPr>
              <w:rFonts w:ascii="Cambria Math" w:hAnsi="Cambria Math"/>
            </w:rPr>
            <m:t xml:space="preserve"> ∙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14:paraId="3103AD1F" w14:textId="77777777" w:rsidR="00EF0734" w:rsidRPr="00EF0734" w:rsidRDefault="00EF0734" w:rsidP="0008255B">
      <w:pPr>
        <w:pStyle w:val="ZLEGWMATFIZCHEMzmlegendywzorumatfizlubchemartykuempunktem"/>
      </w:pPr>
      <w:r w:rsidRPr="00EF0734">
        <w:lastRenderedPageBreak/>
        <w:t>gdzie:</w:t>
      </w:r>
    </w:p>
    <w:p w14:paraId="75153AE0" w14:textId="77777777" w:rsidR="00EF0734" w:rsidRPr="00EF0734" w:rsidRDefault="00EF0734" w:rsidP="0008255B">
      <w:pPr>
        <w:pStyle w:val="ZLEGWMATFIZCHEMzmlegendywzorumatfizlubchemartykuempunktem"/>
      </w:pPr>
      <w:r w:rsidRPr="00EF0734">
        <w:t>VCF</w:t>
      </w:r>
      <w:r w:rsidR="0008255B">
        <w:t xml:space="preserve"> –</w:t>
      </w:r>
      <w:r w:rsidR="0008255B">
        <w:tab/>
      </w:r>
      <w:r w:rsidRPr="00EF0734">
        <w:t>współczynnik korekcji objętości, wyznaczany z</w:t>
      </w:r>
      <w:r w:rsidR="0008255B">
        <w:t xml:space="preserve"> </w:t>
      </w:r>
      <w:r w:rsidRPr="00EF0734">
        <w:t>wykorzystaniem wzorów i</w:t>
      </w:r>
      <w:r w:rsidR="0008255B">
        <w:t xml:space="preserve"> </w:t>
      </w:r>
      <w:r w:rsidRPr="00EF0734">
        <w:t>stałych, określonych w</w:t>
      </w:r>
      <w:r w:rsidR="0008255B">
        <w:t xml:space="preserve"> </w:t>
      </w:r>
      <w:r w:rsidRPr="00EF0734">
        <w:t>Załączniku C.4</w:t>
      </w:r>
      <w:r w:rsidR="0008255B">
        <w:t xml:space="preserve"> </w:t>
      </w:r>
      <w:r w:rsidRPr="00EF0734">
        <w:t>normy PN</w:t>
      </w:r>
      <w:r>
        <w:noBreakHyphen/>
      </w:r>
      <w:r w:rsidRPr="00EF0734">
        <w:t>EN 15940+A1+AC:2019</w:t>
      </w:r>
      <w:r>
        <w:noBreakHyphen/>
      </w:r>
      <w:r w:rsidRPr="00EF0734">
        <w:t>04,</w:t>
      </w:r>
    </w:p>
    <w:p w14:paraId="4A80A18E" w14:textId="77777777" w:rsidR="00EF0734" w:rsidRPr="00EF0734" w:rsidRDefault="00EF0734" w:rsidP="0008255B">
      <w:pPr>
        <w:pStyle w:val="ZLEGWMATFIZCHEMzmlegendywzorumatfizlubchemartykuempunktem"/>
      </w:pPr>
      <w:r w:rsidRPr="00EF0734">
        <w:t>V</w:t>
      </w:r>
      <w:r w:rsidRPr="00EF0734">
        <w:rPr>
          <w:rStyle w:val="IDindeksdolny"/>
        </w:rPr>
        <w:t xml:space="preserve">t </w:t>
      </w:r>
      <w:r w:rsidR="0008255B">
        <w:t>–</w:t>
      </w:r>
      <w:r w:rsidR="0008255B">
        <w:tab/>
      </w:r>
      <w:r w:rsidRPr="00EF0734">
        <w:t xml:space="preserve">objętość produktu </w:t>
      </w:r>
      <w:r w:rsidRPr="0008255B">
        <w:t>zawartego</w:t>
      </w:r>
      <w:r w:rsidRPr="00EF0734">
        <w:t xml:space="preserve"> w zbiorniku obliczona w sposób, o którym mowa</w:t>
      </w:r>
      <w:r w:rsidR="0008255B">
        <w:t xml:space="preserve"> </w:t>
      </w:r>
      <w:r w:rsidRPr="00EF0734">
        <w:t>w</w:t>
      </w:r>
      <w:r>
        <w:t xml:space="preserve"> ust. </w:t>
      </w:r>
      <w:r w:rsidRPr="00EF0734">
        <w:t>4</w:t>
      </w:r>
      <w:r>
        <w:t xml:space="preserve"> pkt </w:t>
      </w:r>
      <w:r w:rsidRPr="00EF0734">
        <w:t>1</w:t>
      </w:r>
      <w:r>
        <w:t xml:space="preserve"> lub</w:t>
      </w:r>
      <w:r w:rsidRPr="00EF0734">
        <w:t xml:space="preserve"> 2, w dm</w:t>
      </w:r>
      <w:r w:rsidRPr="00EF0734">
        <w:rPr>
          <w:rStyle w:val="IGindeksgrny"/>
        </w:rPr>
        <w:t>3</w:t>
      </w:r>
      <w:r w:rsidRPr="00EF0734">
        <w:t>.</w:t>
      </w:r>
      <w:r>
        <w:t>”</w:t>
      </w:r>
      <w:r w:rsidRPr="00EF0734">
        <w:t>.</w:t>
      </w:r>
    </w:p>
    <w:p w14:paraId="43C299EE" w14:textId="508CF704" w:rsidR="00EF0734" w:rsidRDefault="0008255B" w:rsidP="0008255B">
      <w:pPr>
        <w:pStyle w:val="ARTartustawynprozporzdzenia"/>
      </w:pPr>
      <w:r w:rsidRPr="0008255B">
        <w:rPr>
          <w:rStyle w:val="Ppogrubienie"/>
        </w:rPr>
        <w:t>§ </w:t>
      </w:r>
      <w:r w:rsidR="00EF0734" w:rsidRPr="0008255B">
        <w:rPr>
          <w:rStyle w:val="Ppogrubienie"/>
        </w:rPr>
        <w:t>2.</w:t>
      </w:r>
      <w:r w:rsidR="00EF0734" w:rsidRPr="00EF0734">
        <w:t xml:space="preserve"> Rozporządzenie wchodzi w</w:t>
      </w:r>
      <w:r w:rsidR="00EF0734">
        <w:t> </w:t>
      </w:r>
      <w:r w:rsidR="00EF0734" w:rsidRPr="00EF0734">
        <w:t>życie z</w:t>
      </w:r>
      <w:r w:rsidR="00EF0734">
        <w:t> </w:t>
      </w:r>
      <w:r w:rsidR="00EF0734" w:rsidRPr="00EF0734">
        <w:t>dniem 1</w:t>
      </w:r>
      <w:r w:rsidR="00EF0734">
        <w:t> </w:t>
      </w:r>
      <w:r w:rsidR="00EF0734" w:rsidRPr="00EF0734">
        <w:t>stycznia 2022</w:t>
      </w:r>
      <w:r w:rsidR="00EF0734">
        <w:t> </w:t>
      </w:r>
      <w:r w:rsidR="00EF0734" w:rsidRPr="00EF0734">
        <w:t>r.</w:t>
      </w:r>
    </w:p>
    <w:p w14:paraId="4AED23F4" w14:textId="77777777" w:rsidR="00AB21E1" w:rsidRPr="00EF0734" w:rsidRDefault="00AB21E1" w:rsidP="0008255B">
      <w:pPr>
        <w:pStyle w:val="ARTartustawynprozporzdzenia"/>
      </w:pPr>
    </w:p>
    <w:p w14:paraId="1B981508" w14:textId="4FA59903" w:rsidR="00EF0734" w:rsidRDefault="00EF0734" w:rsidP="00EF0734">
      <w:pPr>
        <w:pStyle w:val="NAZORGWYDnazwaorganuwydajcegoprojektowanyakt"/>
      </w:pPr>
      <w:r w:rsidRPr="00EF0734">
        <w:t>MINISTER ROZWOJU, PRACY I</w:t>
      </w:r>
      <w:r>
        <w:t> </w:t>
      </w:r>
      <w:r w:rsidRPr="00EF0734">
        <w:t>TECHNOLOGII</w:t>
      </w:r>
    </w:p>
    <w:p w14:paraId="185BFCA7" w14:textId="77777777" w:rsidR="00AB21E1" w:rsidRPr="00AB21E1" w:rsidRDefault="00AB21E1" w:rsidP="00AB21E1">
      <w:r w:rsidRPr="00AB21E1">
        <w:t>Za zgodność pod względem prawnym,</w:t>
      </w:r>
    </w:p>
    <w:p w14:paraId="1BF84433" w14:textId="77777777" w:rsidR="00AB21E1" w:rsidRPr="00AB21E1" w:rsidRDefault="00AB21E1" w:rsidP="00AB21E1">
      <w:r w:rsidRPr="00AB21E1">
        <w:t>legislacyjnym i redakcyjnym</w:t>
      </w:r>
    </w:p>
    <w:p w14:paraId="1E5D0E7A" w14:textId="77777777" w:rsidR="00AB21E1" w:rsidRPr="00AB21E1" w:rsidRDefault="00AB21E1" w:rsidP="00AB21E1"/>
    <w:p w14:paraId="73012FC4" w14:textId="77777777" w:rsidR="00AB21E1" w:rsidRPr="00AB21E1" w:rsidRDefault="00AB21E1" w:rsidP="00AB21E1">
      <w:r w:rsidRPr="00AB21E1">
        <w:t>Małgorzata Brzozowska-Kruczek</w:t>
      </w:r>
    </w:p>
    <w:p w14:paraId="0F925D0E" w14:textId="77777777" w:rsidR="00AB21E1" w:rsidRPr="00AB21E1" w:rsidRDefault="00AB21E1" w:rsidP="00AB21E1">
      <w:r w:rsidRPr="00AB21E1">
        <w:t>Zastępca Dyrektora</w:t>
      </w:r>
    </w:p>
    <w:p w14:paraId="7D089675" w14:textId="77777777" w:rsidR="00AB21E1" w:rsidRPr="00AB21E1" w:rsidRDefault="00AB21E1" w:rsidP="00AB21E1">
      <w:r w:rsidRPr="00AB21E1">
        <w:t>Biura Dyrektora Generalnego</w:t>
      </w:r>
    </w:p>
    <w:p w14:paraId="4D81056F" w14:textId="77777777" w:rsidR="00AB21E1" w:rsidRPr="00AB21E1" w:rsidRDefault="00AB21E1" w:rsidP="00AB21E1">
      <w:r w:rsidRPr="00AB21E1">
        <w:t>/podpisano elektronicznie/</w:t>
      </w:r>
    </w:p>
    <w:p w14:paraId="1EEBE1A2" w14:textId="77777777" w:rsidR="00AB21E1" w:rsidRPr="00EF0734" w:rsidRDefault="00AB21E1" w:rsidP="00EF0734">
      <w:pPr>
        <w:pStyle w:val="NAZORGWYDnazwaorganuwydajcegoprojektowanyakt"/>
      </w:pPr>
    </w:p>
    <w:p w14:paraId="346B9804" w14:textId="77777777"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BD56A" w14:textId="77777777" w:rsidR="00C36542" w:rsidRDefault="00C36542">
      <w:r>
        <w:separator/>
      </w:r>
    </w:p>
  </w:endnote>
  <w:endnote w:type="continuationSeparator" w:id="0">
    <w:p w14:paraId="4AB4CAED" w14:textId="77777777" w:rsidR="00C36542" w:rsidRDefault="00C3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B30D1" w14:textId="77777777" w:rsidR="00C36542" w:rsidRDefault="00C36542">
      <w:r>
        <w:separator/>
      </w:r>
    </w:p>
  </w:footnote>
  <w:footnote w:type="continuationSeparator" w:id="0">
    <w:p w14:paraId="17C22086" w14:textId="77777777" w:rsidR="00C36542" w:rsidRDefault="00C36542">
      <w:r>
        <w:continuationSeparator/>
      </w:r>
    </w:p>
  </w:footnote>
  <w:footnote w:id="1">
    <w:p w14:paraId="64AC7CBD" w14:textId="77777777" w:rsidR="00EF0734" w:rsidRDefault="00EF0734" w:rsidP="00EF073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Rozwoju, Pracy i Technologii kieruje działem administracji rządowej – gospodarka na podstawie § 1 ust. 2 pkt 2 rozporządzenia Prezesa Rady Ministrów z dnia 6 października 2020 r. w sprawie szczegółowego zakresu działania  Ministra Rozwoju, Pracy i Technologii (Dz. U. poz. 1718).</w:t>
      </w:r>
    </w:p>
  </w:footnote>
  <w:footnote w:id="2">
    <w:p w14:paraId="483A54AC" w14:textId="3AFC093F" w:rsidR="00EF0734" w:rsidRDefault="00EF0734" w:rsidP="00EF073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 )</w:t>
      </w:r>
      <w:r>
        <w:tab/>
        <w:t>Niniejsze rozporządzenie zostało notyfikowane Komisji Europejskiej w dniu … r. pod numerem …,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</w:t>
      </w:r>
      <w:r w:rsidR="007145CE">
        <w:t>cyjnego</w:t>
      </w:r>
      <w:r>
        <w:t xml:space="preserve"> (ujednolicenie) (Dz. Urz. UE L 241 z 17.09.2015,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F76E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E49A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A11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55B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489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71D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1E0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2F4C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0078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1B9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DE0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7770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6BC4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A3A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6883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74D"/>
    <w:rsid w:val="006E0FCC"/>
    <w:rsid w:val="006E1E96"/>
    <w:rsid w:val="006E49AC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5CE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5E7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B91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579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DD0"/>
    <w:rsid w:val="008F2E83"/>
    <w:rsid w:val="008F612A"/>
    <w:rsid w:val="008F776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9C0"/>
    <w:rsid w:val="00AA1C2C"/>
    <w:rsid w:val="00AA35F6"/>
    <w:rsid w:val="00AA667C"/>
    <w:rsid w:val="00AA6E91"/>
    <w:rsid w:val="00AA7439"/>
    <w:rsid w:val="00AB047E"/>
    <w:rsid w:val="00AB0B0A"/>
    <w:rsid w:val="00AB0BB7"/>
    <w:rsid w:val="00AB21E1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1920"/>
    <w:rsid w:val="00B13921"/>
    <w:rsid w:val="00B1528C"/>
    <w:rsid w:val="00B16612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360"/>
    <w:rsid w:val="00B51A7D"/>
    <w:rsid w:val="00B52A02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6542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6FF4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A3E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65C5"/>
    <w:rsid w:val="00DC1C6B"/>
    <w:rsid w:val="00DC2C2E"/>
    <w:rsid w:val="00DC4AF0"/>
    <w:rsid w:val="00DC7886"/>
    <w:rsid w:val="00DD0CF2"/>
    <w:rsid w:val="00DD55E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664"/>
    <w:rsid w:val="00E276AC"/>
    <w:rsid w:val="00E34A35"/>
    <w:rsid w:val="00E34A39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734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7278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A2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rsid w:val="00EF0734"/>
    <w:pPr>
      <w:suppressAutoHyphens/>
      <w:autoSpaceDN w:val="0"/>
      <w:spacing w:after="4"/>
      <w:ind w:right="1" w:firstLine="500"/>
      <w:jc w:val="both"/>
      <w:textAlignment w:val="baseline"/>
    </w:pPr>
    <w:rPr>
      <w:rFonts w:ascii="Times New Roman" w:hAnsi="Times New Roman"/>
      <w:color w:val="000000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autoSpaceDN/>
      <w:spacing w:before="480" w:after="0"/>
      <w:ind w:right="0" w:firstLine="0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autoSpaceDN/>
      <w:spacing w:after="0"/>
      <w:ind w:right="0" w:firstLine="0"/>
      <w:jc w:val="left"/>
      <w:textAlignment w:val="auto"/>
    </w:pPr>
    <w:rPr>
      <w:rFonts w:ascii="Times" w:hAnsi="Times"/>
      <w:color w:val="auto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autoSpaceDN/>
      <w:spacing w:after="0"/>
      <w:ind w:right="0" w:firstLine="0"/>
      <w:jc w:val="left"/>
      <w:textAlignment w:val="auto"/>
    </w:pPr>
    <w:rPr>
      <w:rFonts w:ascii="Times" w:hAnsi="Times"/>
      <w:color w:val="auto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autoSpaceDN/>
      <w:spacing w:after="0"/>
      <w:ind w:right="0" w:firstLine="0"/>
      <w:jc w:val="left"/>
      <w:textAlignment w:val="auto"/>
    </w:pPr>
    <w:rPr>
      <w:rFonts w:ascii="Tahoma" w:hAnsi="Tahoma" w:cs="Tahoma"/>
      <w:color w:val="auto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suppressAutoHyphens w:val="0"/>
      <w:autoSpaceDE w:val="0"/>
      <w:adjustRightInd w:val="0"/>
      <w:spacing w:after="0"/>
      <w:ind w:right="0" w:firstLine="0"/>
      <w:jc w:val="left"/>
      <w:textAlignment w:val="auto"/>
    </w:pPr>
    <w:rPr>
      <w:rFonts w:ascii="Times" w:hAnsi="Times"/>
      <w:color w:val="auto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djustRightInd w:val="0"/>
      <w:spacing w:after="0"/>
      <w:ind w:right="0" w:firstLine="0"/>
      <w:jc w:val="left"/>
      <w:textAlignment w:val="auto"/>
    </w:pPr>
    <w:rPr>
      <w:rFonts w:ascii="Times" w:hAnsi="Times"/>
      <w:color w:val="auto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djustRightInd w:val="0"/>
      <w:spacing w:after="0"/>
      <w:ind w:right="0" w:firstLine="0"/>
      <w:jc w:val="left"/>
      <w:textAlignment w:val="auto"/>
    </w:pPr>
    <w:rPr>
      <w:rFonts w:eastAsiaTheme="minorEastAsia" w:cs="Arial"/>
      <w:b/>
      <w:i/>
      <w:color w:val="auto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autoSpaceDN/>
      <w:spacing w:after="0" w:line="240" w:lineRule="auto"/>
      <w:ind w:left="283" w:right="0" w:hanging="170"/>
      <w:jc w:val="left"/>
      <w:textAlignment w:val="auto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djustRightInd w:val="0"/>
      <w:spacing w:after="0"/>
      <w:ind w:right="0" w:firstLine="510"/>
      <w:jc w:val="left"/>
      <w:textAlignment w:val="auto"/>
    </w:pPr>
    <w:rPr>
      <w:rFonts w:ascii="Times" w:eastAsiaTheme="minorEastAsia" w:hAnsi="Times" w:cs="Arial"/>
      <w:bCs/>
      <w:color w:val="auto"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djustRightInd w:val="0"/>
      <w:spacing w:after="0"/>
      <w:ind w:right="0" w:firstLine="0"/>
      <w:jc w:val="center"/>
      <w:textAlignment w:val="auto"/>
    </w:pPr>
    <w:rPr>
      <w:rFonts w:ascii="Times" w:eastAsiaTheme="minorEastAsia" w:hAnsi="Times" w:cs="Arial"/>
      <w:bCs/>
      <w:color w:val="auto"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rsid w:val="00EF0734"/>
    <w:pPr>
      <w:suppressAutoHyphens/>
      <w:autoSpaceDN w:val="0"/>
      <w:spacing w:after="4"/>
      <w:ind w:right="1" w:firstLine="500"/>
      <w:jc w:val="both"/>
      <w:textAlignment w:val="baseline"/>
    </w:pPr>
    <w:rPr>
      <w:rFonts w:ascii="Times New Roman" w:hAnsi="Times New Roman"/>
      <w:color w:val="000000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autoSpaceDN/>
      <w:spacing w:before="480" w:after="0"/>
      <w:ind w:right="0" w:firstLine="0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autoSpaceDN/>
      <w:spacing w:after="0"/>
      <w:ind w:right="0" w:firstLine="0"/>
      <w:jc w:val="left"/>
      <w:textAlignment w:val="auto"/>
    </w:pPr>
    <w:rPr>
      <w:rFonts w:ascii="Times" w:hAnsi="Times"/>
      <w:color w:val="auto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autoSpaceDN/>
      <w:spacing w:after="0"/>
      <w:ind w:right="0" w:firstLine="0"/>
      <w:jc w:val="left"/>
      <w:textAlignment w:val="auto"/>
    </w:pPr>
    <w:rPr>
      <w:rFonts w:ascii="Times" w:hAnsi="Times"/>
      <w:color w:val="auto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autoSpaceDN/>
      <w:spacing w:after="0"/>
      <w:ind w:right="0" w:firstLine="0"/>
      <w:jc w:val="left"/>
      <w:textAlignment w:val="auto"/>
    </w:pPr>
    <w:rPr>
      <w:rFonts w:ascii="Tahoma" w:hAnsi="Tahoma" w:cs="Tahoma"/>
      <w:color w:val="auto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suppressAutoHyphens w:val="0"/>
      <w:autoSpaceDE w:val="0"/>
      <w:adjustRightInd w:val="0"/>
      <w:spacing w:after="0"/>
      <w:ind w:right="0" w:firstLine="0"/>
      <w:jc w:val="left"/>
      <w:textAlignment w:val="auto"/>
    </w:pPr>
    <w:rPr>
      <w:rFonts w:ascii="Times" w:hAnsi="Times"/>
      <w:color w:val="auto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djustRightInd w:val="0"/>
      <w:spacing w:after="0"/>
      <w:ind w:right="0" w:firstLine="0"/>
      <w:jc w:val="left"/>
      <w:textAlignment w:val="auto"/>
    </w:pPr>
    <w:rPr>
      <w:rFonts w:ascii="Times" w:hAnsi="Times"/>
      <w:color w:val="auto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djustRightInd w:val="0"/>
      <w:spacing w:after="0"/>
      <w:ind w:right="0" w:firstLine="0"/>
      <w:jc w:val="left"/>
      <w:textAlignment w:val="auto"/>
    </w:pPr>
    <w:rPr>
      <w:rFonts w:eastAsiaTheme="minorEastAsia" w:cs="Arial"/>
      <w:b/>
      <w:i/>
      <w:color w:val="auto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autoSpaceDN/>
      <w:spacing w:after="0" w:line="240" w:lineRule="auto"/>
      <w:ind w:left="283" w:right="0" w:hanging="170"/>
      <w:jc w:val="left"/>
      <w:textAlignment w:val="auto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djustRightInd w:val="0"/>
      <w:spacing w:after="0"/>
      <w:ind w:right="0" w:firstLine="510"/>
      <w:jc w:val="left"/>
      <w:textAlignment w:val="auto"/>
    </w:pPr>
    <w:rPr>
      <w:rFonts w:ascii="Times" w:eastAsiaTheme="minorEastAsia" w:hAnsi="Times" w:cs="Arial"/>
      <w:bCs/>
      <w:color w:val="auto"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djustRightInd w:val="0"/>
      <w:spacing w:after="0"/>
      <w:ind w:right="0" w:firstLine="0"/>
      <w:jc w:val="center"/>
      <w:textAlignment w:val="auto"/>
    </w:pPr>
    <w:rPr>
      <w:rFonts w:ascii="Times" w:eastAsiaTheme="minorEastAsia" w:hAnsi="Times" w:cs="Arial"/>
      <w:bCs/>
      <w:color w:val="auto"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normark\AppData\Local\Temp\Temp2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1D7AC-7D15-41D2-A22E-66F4BC4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Normark Marietta</dc:creator>
  <cp:lastModifiedBy>Joanna Klimczak</cp:lastModifiedBy>
  <cp:revision>2</cp:revision>
  <cp:lastPrinted>2012-04-23T06:39:00Z</cp:lastPrinted>
  <dcterms:created xsi:type="dcterms:W3CDTF">2021-08-12T09:12:00Z</dcterms:created>
  <dcterms:modified xsi:type="dcterms:W3CDTF">2021-08-12T09:12:00Z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