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2D01" w14:textId="5CA226B3" w:rsidR="00C605CC" w:rsidRDefault="007D341A">
      <w:pPr>
        <w:pStyle w:val="Pagedecouverture"/>
        <w:rPr>
          <w:noProof/>
        </w:rPr>
      </w:pPr>
      <w:r>
        <w:rPr>
          <w:noProof/>
        </w:rPr>
        <w:drawing>
          <wp:inline distT="0" distB="0" distL="0" distR="0" wp14:anchorId="7C002F3E" wp14:editId="60BA0D6E">
            <wp:extent cx="5784850" cy="5803900"/>
            <wp:effectExtent l="0" t="0" r="0" b="6350"/>
            <wp:docPr id="1" name="Obraz 1" descr="7067A4C0-6021-4E67-8247-58CFF85DB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67A4C0-6021-4E67-8247-58CFF85DB3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0505C" w14:textId="77777777" w:rsidR="00C605CC" w:rsidRDefault="00C605CC">
      <w:pPr>
        <w:rPr>
          <w:noProof/>
        </w:rPr>
        <w:sectPr w:rsidR="00C605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71D7C0D2" w14:textId="77777777" w:rsidR="00C605CC" w:rsidRDefault="00D44079">
      <w:pPr>
        <w:pStyle w:val="Annexetitre"/>
        <w:rPr>
          <w:noProof/>
        </w:rPr>
      </w:pPr>
      <w:r>
        <w:rPr>
          <w:noProof/>
        </w:rPr>
        <w:lastRenderedPageBreak/>
        <w:t>ZAŁĄCZNIK I</w:t>
      </w:r>
    </w:p>
    <w:p w14:paraId="7D0D2B9A" w14:textId="77777777" w:rsidR="00C605CC" w:rsidRDefault="00D44079">
      <w:pPr>
        <w:keepNext/>
        <w:tabs>
          <w:tab w:val="left" w:pos="4252"/>
        </w:tabs>
        <w:spacing w:before="720" w:after="0"/>
        <w:rPr>
          <w:noProof/>
        </w:rPr>
      </w:pPr>
      <w:r>
        <w:rPr>
          <w:noProof/>
        </w:rPr>
        <w:t>W załącznikach do dyrektywy (UE) 2018/2001 wprowadza się następujące zmiany:</w:t>
      </w:r>
    </w:p>
    <w:p w14:paraId="7D4EA1C3" w14:textId="77777777" w:rsidR="00C605CC" w:rsidRDefault="00D44079">
      <w:pPr>
        <w:pStyle w:val="Point1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w załączniku I skreśla się ostatni wiersz w tabeli; </w:t>
      </w:r>
    </w:p>
    <w:p w14:paraId="4CA0A88E" w14:textId="77777777" w:rsidR="00C605CC" w:rsidRDefault="00D44079">
      <w:pPr>
        <w:pStyle w:val="Point1"/>
        <w:rPr>
          <w:noProof/>
        </w:rPr>
      </w:pPr>
      <w:r>
        <w:rPr>
          <w:noProof/>
        </w:rPr>
        <w:t>2)</w:t>
      </w:r>
      <w:r>
        <w:rPr>
          <w:noProof/>
        </w:rPr>
        <w:tab/>
        <w:t>dodaje się załącznik 1a w brzmieniu:</w:t>
      </w:r>
    </w:p>
    <w:p w14:paraId="4A6F2D05" w14:textId="77777777" w:rsidR="00C605CC" w:rsidRDefault="00D44079">
      <w:pPr>
        <w:ind w:left="850"/>
        <w:jc w:val="center"/>
        <w:rPr>
          <w:noProof/>
        </w:rPr>
      </w:pPr>
      <w:r>
        <w:rPr>
          <w:noProof/>
        </w:rPr>
        <w:t>„</w:t>
      </w:r>
      <w:r>
        <w:rPr>
          <w:i/>
          <w:noProof/>
        </w:rPr>
        <w:t>ZAŁĄCZNIK 1a</w:t>
      </w:r>
    </w:p>
    <w:p w14:paraId="261F0610" w14:textId="77777777" w:rsidR="00C605CC" w:rsidRDefault="00D44079">
      <w:pPr>
        <w:ind w:left="850"/>
        <w:rPr>
          <w:b/>
          <w:bCs/>
          <w:noProof/>
          <w:color w:val="000000"/>
          <w:sz w:val="20"/>
        </w:rPr>
      </w:pPr>
      <w:r>
        <w:rPr>
          <w:b/>
          <w:bCs/>
          <w:noProof/>
          <w:color w:val="000000"/>
          <w:sz w:val="20"/>
        </w:rPr>
        <w:t xml:space="preserve">UDZIAŁY ENERGII ZE ŹRÓDEŁ ODNAWIALNYCH WYKORZYSTYWANEJ W KRAJOWYM SEKTORZE OGRZEWANIA I CHŁODZENIA W KOŃCOWYM ZUŻYCIU ENERGII BRUTTO W LATACH 2020–2030 </w:t>
      </w:r>
    </w:p>
    <w:p w14:paraId="0F386736" w14:textId="77777777" w:rsidR="00C605CC" w:rsidRDefault="00C605CC">
      <w:pPr>
        <w:ind w:left="850"/>
        <w:rPr>
          <w:b/>
          <w:bCs/>
          <w:noProof/>
          <w:color w:val="00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8"/>
        <w:gridCol w:w="2938"/>
        <w:gridCol w:w="3119"/>
      </w:tblGrid>
      <w:tr w:rsidR="00C605CC" w14:paraId="04BCFAD4" w14:textId="77777777">
        <w:tc>
          <w:tcPr>
            <w:tcW w:w="1848" w:type="dxa"/>
          </w:tcPr>
          <w:p w14:paraId="01DC3C77" w14:textId="77777777" w:rsidR="00C605CC" w:rsidRDefault="00C605CC">
            <w:pPr>
              <w:rPr>
                <w:noProof/>
              </w:rPr>
            </w:pPr>
          </w:p>
        </w:tc>
        <w:tc>
          <w:tcPr>
            <w:tcW w:w="2938" w:type="dxa"/>
          </w:tcPr>
          <w:p w14:paraId="79085D65" w14:textId="77777777" w:rsidR="00C605CC" w:rsidRDefault="00D4407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Wzrost udziałów bazowych (w punktach procentowych)</w:t>
            </w:r>
          </w:p>
          <w:p w14:paraId="50F3E66D" w14:textId="77777777" w:rsidR="00C605CC" w:rsidRDefault="00D4407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(REF20/krajowe plany w dziedzinie ene</w:t>
            </w:r>
            <w:r>
              <w:rPr>
                <w:b/>
                <w:noProof/>
              </w:rPr>
              <w:t>rgii i klimatu)</w:t>
            </w:r>
          </w:p>
        </w:tc>
        <w:tc>
          <w:tcPr>
            <w:tcW w:w="3119" w:type="dxa"/>
          </w:tcPr>
          <w:p w14:paraId="37DBC262" w14:textId="77777777" w:rsidR="00C605CC" w:rsidRDefault="00D4407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Uzyskane udziały energii ze źródeł odnawialnych wykorzystywanej w krajowym sektorze ogrzewania i chłodzenia w 2030 r., wyrażone w punktach procentowych z uwzględnieniem (co najmniej) dodatkowych zobowiązań</w:t>
            </w:r>
          </w:p>
        </w:tc>
      </w:tr>
      <w:tr w:rsidR="00C605CC" w14:paraId="4F65D584" w14:textId="77777777">
        <w:tc>
          <w:tcPr>
            <w:tcW w:w="1848" w:type="dxa"/>
          </w:tcPr>
          <w:p w14:paraId="60EF4698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Belgia</w:t>
            </w:r>
          </w:p>
        </w:tc>
        <w:tc>
          <w:tcPr>
            <w:tcW w:w="2938" w:type="dxa"/>
          </w:tcPr>
          <w:p w14:paraId="56741C2B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0,3 %</w:t>
            </w:r>
          </w:p>
        </w:tc>
        <w:tc>
          <w:tcPr>
            <w:tcW w:w="3119" w:type="dxa"/>
          </w:tcPr>
          <w:p w14:paraId="3F698D7D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1,4 %</w:t>
            </w:r>
          </w:p>
        </w:tc>
      </w:tr>
      <w:tr w:rsidR="00C605CC" w14:paraId="535F0BBD" w14:textId="77777777">
        <w:tc>
          <w:tcPr>
            <w:tcW w:w="1848" w:type="dxa"/>
          </w:tcPr>
          <w:p w14:paraId="10BD1261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Bułgaria</w:t>
            </w:r>
          </w:p>
        </w:tc>
        <w:tc>
          <w:tcPr>
            <w:tcW w:w="2938" w:type="dxa"/>
          </w:tcPr>
          <w:p w14:paraId="4076DC85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0,9 </w:t>
            </w:r>
            <w:r>
              <w:rPr>
                <w:noProof/>
              </w:rPr>
              <w:t>%</w:t>
            </w:r>
          </w:p>
        </w:tc>
        <w:tc>
          <w:tcPr>
            <w:tcW w:w="3119" w:type="dxa"/>
          </w:tcPr>
          <w:p w14:paraId="2AF6A685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1,4 %</w:t>
            </w:r>
          </w:p>
        </w:tc>
      </w:tr>
      <w:tr w:rsidR="00C605CC" w14:paraId="728A9B86" w14:textId="77777777">
        <w:tc>
          <w:tcPr>
            <w:tcW w:w="1848" w:type="dxa"/>
          </w:tcPr>
          <w:p w14:paraId="0052402F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Republika Czeska</w:t>
            </w:r>
          </w:p>
        </w:tc>
        <w:tc>
          <w:tcPr>
            <w:tcW w:w="2938" w:type="dxa"/>
          </w:tcPr>
          <w:p w14:paraId="6E74FB7A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0,5 %</w:t>
            </w:r>
          </w:p>
        </w:tc>
        <w:tc>
          <w:tcPr>
            <w:tcW w:w="3119" w:type="dxa"/>
          </w:tcPr>
          <w:p w14:paraId="18E05E33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1,4 %</w:t>
            </w:r>
          </w:p>
        </w:tc>
      </w:tr>
      <w:tr w:rsidR="00C605CC" w14:paraId="68430BE5" w14:textId="77777777">
        <w:tc>
          <w:tcPr>
            <w:tcW w:w="1848" w:type="dxa"/>
          </w:tcPr>
          <w:p w14:paraId="4A7D4B15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Dania</w:t>
            </w:r>
          </w:p>
        </w:tc>
        <w:tc>
          <w:tcPr>
            <w:tcW w:w="2938" w:type="dxa"/>
          </w:tcPr>
          <w:p w14:paraId="43B63195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0,9 %</w:t>
            </w:r>
          </w:p>
        </w:tc>
        <w:tc>
          <w:tcPr>
            <w:tcW w:w="3119" w:type="dxa"/>
          </w:tcPr>
          <w:p w14:paraId="3F98E983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1,4 %</w:t>
            </w:r>
          </w:p>
        </w:tc>
      </w:tr>
      <w:tr w:rsidR="00C605CC" w14:paraId="3DCA6745" w14:textId="77777777">
        <w:tc>
          <w:tcPr>
            <w:tcW w:w="1848" w:type="dxa"/>
          </w:tcPr>
          <w:p w14:paraId="6F2C5111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Niemcy</w:t>
            </w:r>
          </w:p>
        </w:tc>
        <w:tc>
          <w:tcPr>
            <w:tcW w:w="2938" w:type="dxa"/>
          </w:tcPr>
          <w:p w14:paraId="122EE334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0,9 %</w:t>
            </w:r>
          </w:p>
        </w:tc>
        <w:tc>
          <w:tcPr>
            <w:tcW w:w="3119" w:type="dxa"/>
          </w:tcPr>
          <w:p w14:paraId="2BCEF644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1,5 %</w:t>
            </w:r>
          </w:p>
        </w:tc>
      </w:tr>
      <w:tr w:rsidR="00C605CC" w14:paraId="70D547E7" w14:textId="77777777">
        <w:tc>
          <w:tcPr>
            <w:tcW w:w="1848" w:type="dxa"/>
          </w:tcPr>
          <w:p w14:paraId="18E8905F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Estonia</w:t>
            </w:r>
          </w:p>
        </w:tc>
        <w:tc>
          <w:tcPr>
            <w:tcW w:w="2938" w:type="dxa"/>
          </w:tcPr>
          <w:p w14:paraId="2CF738DF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1,2 %</w:t>
            </w:r>
          </w:p>
        </w:tc>
        <w:tc>
          <w:tcPr>
            <w:tcW w:w="3119" w:type="dxa"/>
          </w:tcPr>
          <w:p w14:paraId="234D8ADF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1,5 %</w:t>
            </w:r>
          </w:p>
        </w:tc>
      </w:tr>
      <w:tr w:rsidR="00C605CC" w14:paraId="0FF9F32C" w14:textId="77777777">
        <w:tc>
          <w:tcPr>
            <w:tcW w:w="1848" w:type="dxa"/>
          </w:tcPr>
          <w:p w14:paraId="41346047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Irlandia</w:t>
            </w:r>
          </w:p>
        </w:tc>
        <w:tc>
          <w:tcPr>
            <w:tcW w:w="2938" w:type="dxa"/>
          </w:tcPr>
          <w:p w14:paraId="115E6B46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2,1 %</w:t>
            </w:r>
          </w:p>
        </w:tc>
        <w:tc>
          <w:tcPr>
            <w:tcW w:w="3119" w:type="dxa"/>
          </w:tcPr>
          <w:p w14:paraId="6E4609FC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2,9 %</w:t>
            </w:r>
          </w:p>
        </w:tc>
      </w:tr>
      <w:tr w:rsidR="00C605CC" w14:paraId="4B54D062" w14:textId="77777777">
        <w:tc>
          <w:tcPr>
            <w:tcW w:w="1848" w:type="dxa"/>
          </w:tcPr>
          <w:p w14:paraId="02F2A4BF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Grecja</w:t>
            </w:r>
          </w:p>
        </w:tc>
        <w:tc>
          <w:tcPr>
            <w:tcW w:w="2938" w:type="dxa"/>
          </w:tcPr>
          <w:p w14:paraId="31A6EAFC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1,6 %</w:t>
            </w:r>
          </w:p>
        </w:tc>
        <w:tc>
          <w:tcPr>
            <w:tcW w:w="3119" w:type="dxa"/>
          </w:tcPr>
          <w:p w14:paraId="6B9196D8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2,0 %</w:t>
            </w:r>
          </w:p>
        </w:tc>
      </w:tr>
      <w:tr w:rsidR="00C605CC" w14:paraId="152802E3" w14:textId="77777777">
        <w:tc>
          <w:tcPr>
            <w:tcW w:w="1848" w:type="dxa"/>
          </w:tcPr>
          <w:p w14:paraId="0FCB1972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Hiszpania</w:t>
            </w:r>
          </w:p>
        </w:tc>
        <w:tc>
          <w:tcPr>
            <w:tcW w:w="2938" w:type="dxa"/>
          </w:tcPr>
          <w:p w14:paraId="7D9BD5B8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1,1 %</w:t>
            </w:r>
          </w:p>
        </w:tc>
        <w:tc>
          <w:tcPr>
            <w:tcW w:w="3119" w:type="dxa"/>
          </w:tcPr>
          <w:p w14:paraId="5E62F398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1,4 %</w:t>
            </w:r>
          </w:p>
        </w:tc>
      </w:tr>
      <w:tr w:rsidR="00C605CC" w14:paraId="2A93FA0C" w14:textId="77777777">
        <w:tc>
          <w:tcPr>
            <w:tcW w:w="1848" w:type="dxa"/>
          </w:tcPr>
          <w:p w14:paraId="3B036AD3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Francja</w:t>
            </w:r>
          </w:p>
        </w:tc>
        <w:tc>
          <w:tcPr>
            <w:tcW w:w="2938" w:type="dxa"/>
          </w:tcPr>
          <w:p w14:paraId="0D25E883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1,4 %</w:t>
            </w:r>
          </w:p>
        </w:tc>
        <w:tc>
          <w:tcPr>
            <w:tcW w:w="3119" w:type="dxa"/>
          </w:tcPr>
          <w:p w14:paraId="0255A47D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1,8 %</w:t>
            </w:r>
          </w:p>
        </w:tc>
      </w:tr>
      <w:tr w:rsidR="00C605CC" w14:paraId="3681B5EA" w14:textId="77777777">
        <w:tc>
          <w:tcPr>
            <w:tcW w:w="1848" w:type="dxa"/>
          </w:tcPr>
          <w:p w14:paraId="09EC5F67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Chorwacja</w:t>
            </w:r>
          </w:p>
        </w:tc>
        <w:tc>
          <w:tcPr>
            <w:tcW w:w="2938" w:type="dxa"/>
          </w:tcPr>
          <w:p w14:paraId="4C14B002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0,7 %</w:t>
            </w:r>
          </w:p>
        </w:tc>
        <w:tc>
          <w:tcPr>
            <w:tcW w:w="3119" w:type="dxa"/>
          </w:tcPr>
          <w:p w14:paraId="50B12267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1,4 %</w:t>
            </w:r>
          </w:p>
        </w:tc>
      </w:tr>
      <w:tr w:rsidR="00C605CC" w14:paraId="748BA075" w14:textId="77777777">
        <w:tc>
          <w:tcPr>
            <w:tcW w:w="1848" w:type="dxa"/>
          </w:tcPr>
          <w:p w14:paraId="292CAC73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Włochy</w:t>
            </w:r>
          </w:p>
        </w:tc>
        <w:tc>
          <w:tcPr>
            <w:tcW w:w="2938" w:type="dxa"/>
          </w:tcPr>
          <w:p w14:paraId="31E07478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1,2 %</w:t>
            </w:r>
          </w:p>
        </w:tc>
        <w:tc>
          <w:tcPr>
            <w:tcW w:w="3119" w:type="dxa"/>
          </w:tcPr>
          <w:p w14:paraId="0AE0FE62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1,6 %</w:t>
            </w:r>
          </w:p>
        </w:tc>
      </w:tr>
      <w:tr w:rsidR="00C605CC" w14:paraId="77E60EA1" w14:textId="77777777">
        <w:tc>
          <w:tcPr>
            <w:tcW w:w="1848" w:type="dxa"/>
          </w:tcPr>
          <w:p w14:paraId="2B97A4D0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Cypr</w:t>
            </w:r>
          </w:p>
        </w:tc>
        <w:tc>
          <w:tcPr>
            <w:tcW w:w="2938" w:type="dxa"/>
          </w:tcPr>
          <w:p w14:paraId="739A8039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0,5 %</w:t>
            </w:r>
          </w:p>
        </w:tc>
        <w:tc>
          <w:tcPr>
            <w:tcW w:w="3119" w:type="dxa"/>
          </w:tcPr>
          <w:p w14:paraId="0936018C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1,6 %</w:t>
            </w:r>
          </w:p>
        </w:tc>
      </w:tr>
      <w:tr w:rsidR="00C605CC" w14:paraId="37A501ED" w14:textId="77777777">
        <w:tc>
          <w:tcPr>
            <w:tcW w:w="1848" w:type="dxa"/>
          </w:tcPr>
          <w:p w14:paraId="4FCC2E39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Łotwa</w:t>
            </w:r>
          </w:p>
        </w:tc>
        <w:tc>
          <w:tcPr>
            <w:tcW w:w="2938" w:type="dxa"/>
          </w:tcPr>
          <w:p w14:paraId="671624BC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0,8 %</w:t>
            </w:r>
          </w:p>
        </w:tc>
        <w:tc>
          <w:tcPr>
            <w:tcW w:w="3119" w:type="dxa"/>
          </w:tcPr>
          <w:p w14:paraId="578C2CF1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1,0 %</w:t>
            </w:r>
          </w:p>
        </w:tc>
      </w:tr>
      <w:tr w:rsidR="00C605CC" w14:paraId="704F7512" w14:textId="77777777">
        <w:tc>
          <w:tcPr>
            <w:tcW w:w="1848" w:type="dxa"/>
          </w:tcPr>
          <w:p w14:paraId="5047BBE9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Litwa</w:t>
            </w:r>
          </w:p>
        </w:tc>
        <w:tc>
          <w:tcPr>
            <w:tcW w:w="2938" w:type="dxa"/>
          </w:tcPr>
          <w:p w14:paraId="6B00B92D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1,6 %</w:t>
            </w:r>
          </w:p>
        </w:tc>
        <w:tc>
          <w:tcPr>
            <w:tcW w:w="3119" w:type="dxa"/>
          </w:tcPr>
          <w:p w14:paraId="15CCE3E5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2,0 %</w:t>
            </w:r>
          </w:p>
        </w:tc>
      </w:tr>
      <w:tr w:rsidR="00C605CC" w14:paraId="341CDD9D" w14:textId="77777777">
        <w:tc>
          <w:tcPr>
            <w:tcW w:w="1848" w:type="dxa"/>
          </w:tcPr>
          <w:p w14:paraId="334B2C2D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Luksemburg</w:t>
            </w:r>
          </w:p>
        </w:tc>
        <w:tc>
          <w:tcPr>
            <w:tcW w:w="2938" w:type="dxa"/>
          </w:tcPr>
          <w:p w14:paraId="65EA7EE8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2,0 %</w:t>
            </w:r>
          </w:p>
        </w:tc>
        <w:tc>
          <w:tcPr>
            <w:tcW w:w="3119" w:type="dxa"/>
          </w:tcPr>
          <w:p w14:paraId="70136BD6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2,7 %</w:t>
            </w:r>
          </w:p>
        </w:tc>
      </w:tr>
      <w:tr w:rsidR="00C605CC" w14:paraId="6D59A558" w14:textId="77777777">
        <w:tc>
          <w:tcPr>
            <w:tcW w:w="1848" w:type="dxa"/>
          </w:tcPr>
          <w:p w14:paraId="526EA707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Węgry</w:t>
            </w:r>
          </w:p>
        </w:tc>
        <w:tc>
          <w:tcPr>
            <w:tcW w:w="2938" w:type="dxa"/>
          </w:tcPr>
          <w:p w14:paraId="7A0A8CF5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0,9 %</w:t>
            </w:r>
          </w:p>
        </w:tc>
        <w:tc>
          <w:tcPr>
            <w:tcW w:w="3119" w:type="dxa"/>
          </w:tcPr>
          <w:p w14:paraId="01CE95E8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1,5 %</w:t>
            </w:r>
          </w:p>
        </w:tc>
      </w:tr>
      <w:tr w:rsidR="00C605CC" w14:paraId="2274CF66" w14:textId="77777777">
        <w:tc>
          <w:tcPr>
            <w:tcW w:w="1848" w:type="dxa"/>
          </w:tcPr>
          <w:p w14:paraId="2329066D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Malta</w:t>
            </w:r>
          </w:p>
        </w:tc>
        <w:tc>
          <w:tcPr>
            <w:tcW w:w="2938" w:type="dxa"/>
          </w:tcPr>
          <w:p w14:paraId="77E84BE6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0,5 %</w:t>
            </w:r>
          </w:p>
        </w:tc>
        <w:tc>
          <w:tcPr>
            <w:tcW w:w="3119" w:type="dxa"/>
          </w:tcPr>
          <w:p w14:paraId="25B4C1A0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1,5 %</w:t>
            </w:r>
          </w:p>
        </w:tc>
      </w:tr>
      <w:tr w:rsidR="00C605CC" w14:paraId="77AA63E8" w14:textId="77777777">
        <w:tc>
          <w:tcPr>
            <w:tcW w:w="1848" w:type="dxa"/>
          </w:tcPr>
          <w:p w14:paraId="76453F56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Niderlandy</w:t>
            </w:r>
          </w:p>
        </w:tc>
        <w:tc>
          <w:tcPr>
            <w:tcW w:w="2938" w:type="dxa"/>
          </w:tcPr>
          <w:p w14:paraId="599BCACA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0,7 %</w:t>
            </w:r>
          </w:p>
        </w:tc>
        <w:tc>
          <w:tcPr>
            <w:tcW w:w="3119" w:type="dxa"/>
          </w:tcPr>
          <w:p w14:paraId="48BF8DA9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1,4 %</w:t>
            </w:r>
          </w:p>
        </w:tc>
      </w:tr>
      <w:tr w:rsidR="00C605CC" w14:paraId="07E03F23" w14:textId="77777777">
        <w:tc>
          <w:tcPr>
            <w:tcW w:w="1848" w:type="dxa"/>
          </w:tcPr>
          <w:p w14:paraId="5EC7C17A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Austria</w:t>
            </w:r>
          </w:p>
        </w:tc>
        <w:tc>
          <w:tcPr>
            <w:tcW w:w="2938" w:type="dxa"/>
          </w:tcPr>
          <w:p w14:paraId="30564B73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0,7 %</w:t>
            </w:r>
          </w:p>
        </w:tc>
        <w:tc>
          <w:tcPr>
            <w:tcW w:w="3119" w:type="dxa"/>
          </w:tcPr>
          <w:p w14:paraId="7999445B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1,5 %</w:t>
            </w:r>
          </w:p>
        </w:tc>
      </w:tr>
      <w:tr w:rsidR="00C605CC" w14:paraId="5074ECC8" w14:textId="77777777">
        <w:tc>
          <w:tcPr>
            <w:tcW w:w="1848" w:type="dxa"/>
          </w:tcPr>
          <w:p w14:paraId="40E2E0BB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Polska</w:t>
            </w:r>
          </w:p>
        </w:tc>
        <w:tc>
          <w:tcPr>
            <w:tcW w:w="2938" w:type="dxa"/>
          </w:tcPr>
          <w:p w14:paraId="5AD4368E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1,0 %</w:t>
            </w:r>
          </w:p>
        </w:tc>
        <w:tc>
          <w:tcPr>
            <w:tcW w:w="3119" w:type="dxa"/>
          </w:tcPr>
          <w:p w14:paraId="1A3DD083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1,5 %</w:t>
            </w:r>
          </w:p>
        </w:tc>
      </w:tr>
      <w:tr w:rsidR="00C605CC" w14:paraId="4543CF95" w14:textId="77777777">
        <w:tc>
          <w:tcPr>
            <w:tcW w:w="1848" w:type="dxa"/>
          </w:tcPr>
          <w:p w14:paraId="30ACA187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Portugalia</w:t>
            </w:r>
          </w:p>
        </w:tc>
        <w:tc>
          <w:tcPr>
            <w:tcW w:w="2938" w:type="dxa"/>
          </w:tcPr>
          <w:p w14:paraId="69BD8EF5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1,0 %</w:t>
            </w:r>
          </w:p>
        </w:tc>
        <w:tc>
          <w:tcPr>
            <w:tcW w:w="3119" w:type="dxa"/>
          </w:tcPr>
          <w:p w14:paraId="282241D2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1,4 %</w:t>
            </w:r>
          </w:p>
        </w:tc>
      </w:tr>
      <w:tr w:rsidR="00C605CC" w14:paraId="281EA14B" w14:textId="77777777">
        <w:tc>
          <w:tcPr>
            <w:tcW w:w="1848" w:type="dxa"/>
          </w:tcPr>
          <w:p w14:paraId="557F6D1B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Rumunia</w:t>
            </w:r>
          </w:p>
        </w:tc>
        <w:tc>
          <w:tcPr>
            <w:tcW w:w="2938" w:type="dxa"/>
          </w:tcPr>
          <w:p w14:paraId="148986D1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0,6 %</w:t>
            </w:r>
          </w:p>
        </w:tc>
        <w:tc>
          <w:tcPr>
            <w:tcW w:w="3119" w:type="dxa"/>
          </w:tcPr>
          <w:p w14:paraId="7B05C9E0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1,4 %</w:t>
            </w:r>
          </w:p>
        </w:tc>
      </w:tr>
      <w:tr w:rsidR="00C605CC" w14:paraId="66D3B7B2" w14:textId="77777777">
        <w:tc>
          <w:tcPr>
            <w:tcW w:w="1848" w:type="dxa"/>
          </w:tcPr>
          <w:p w14:paraId="3A1E8B18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Słowenia</w:t>
            </w:r>
          </w:p>
        </w:tc>
        <w:tc>
          <w:tcPr>
            <w:tcW w:w="2938" w:type="dxa"/>
          </w:tcPr>
          <w:p w14:paraId="40CAF12F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0,7 %</w:t>
            </w:r>
          </w:p>
        </w:tc>
        <w:tc>
          <w:tcPr>
            <w:tcW w:w="3119" w:type="dxa"/>
          </w:tcPr>
          <w:p w14:paraId="44936D45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1,4 %</w:t>
            </w:r>
          </w:p>
        </w:tc>
      </w:tr>
      <w:tr w:rsidR="00C605CC" w14:paraId="6FCC0E83" w14:textId="77777777">
        <w:tc>
          <w:tcPr>
            <w:tcW w:w="1848" w:type="dxa"/>
          </w:tcPr>
          <w:p w14:paraId="633B1A61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Słowacja</w:t>
            </w:r>
          </w:p>
        </w:tc>
        <w:tc>
          <w:tcPr>
            <w:tcW w:w="2938" w:type="dxa"/>
          </w:tcPr>
          <w:p w14:paraId="6D6FD899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0,3 %</w:t>
            </w:r>
          </w:p>
        </w:tc>
        <w:tc>
          <w:tcPr>
            <w:tcW w:w="3119" w:type="dxa"/>
          </w:tcPr>
          <w:p w14:paraId="76D54BDB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1,4 %</w:t>
            </w:r>
          </w:p>
        </w:tc>
      </w:tr>
      <w:tr w:rsidR="00C605CC" w14:paraId="6D4606EC" w14:textId="77777777">
        <w:tc>
          <w:tcPr>
            <w:tcW w:w="1848" w:type="dxa"/>
          </w:tcPr>
          <w:p w14:paraId="02559E78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Finlandia</w:t>
            </w:r>
          </w:p>
        </w:tc>
        <w:tc>
          <w:tcPr>
            <w:tcW w:w="2938" w:type="dxa"/>
          </w:tcPr>
          <w:p w14:paraId="29AD2435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0,5 %</w:t>
            </w:r>
          </w:p>
        </w:tc>
        <w:tc>
          <w:tcPr>
            <w:tcW w:w="3119" w:type="dxa"/>
          </w:tcPr>
          <w:p w14:paraId="7252CB16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0,8 %</w:t>
            </w:r>
          </w:p>
        </w:tc>
      </w:tr>
      <w:tr w:rsidR="00C605CC" w14:paraId="2F53A6C8" w14:textId="77777777">
        <w:tc>
          <w:tcPr>
            <w:tcW w:w="1848" w:type="dxa"/>
          </w:tcPr>
          <w:p w14:paraId="3284765C" w14:textId="77777777" w:rsidR="00C605CC" w:rsidRDefault="00D44079">
            <w:pPr>
              <w:rPr>
                <w:b/>
                <w:noProof/>
              </w:rPr>
            </w:pPr>
            <w:r>
              <w:rPr>
                <w:b/>
                <w:noProof/>
              </w:rPr>
              <w:t>Szwecja</w:t>
            </w:r>
          </w:p>
        </w:tc>
        <w:tc>
          <w:tcPr>
            <w:tcW w:w="2938" w:type="dxa"/>
          </w:tcPr>
          <w:p w14:paraId="1EBD6D2F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0,3 %</w:t>
            </w:r>
          </w:p>
        </w:tc>
        <w:tc>
          <w:tcPr>
            <w:tcW w:w="3119" w:type="dxa"/>
          </w:tcPr>
          <w:p w14:paraId="64125BAB" w14:textId="77777777" w:rsidR="00C605CC" w:rsidRDefault="00D44079">
            <w:pPr>
              <w:rPr>
                <w:noProof/>
              </w:rPr>
            </w:pPr>
            <w:r>
              <w:rPr>
                <w:noProof/>
              </w:rPr>
              <w:t>0,6 %”</w:t>
            </w:r>
          </w:p>
        </w:tc>
      </w:tr>
    </w:tbl>
    <w:p w14:paraId="37322391" w14:textId="77777777" w:rsidR="00C605CC" w:rsidRDefault="00C605CC">
      <w:pPr>
        <w:ind w:left="850"/>
        <w:rPr>
          <w:b/>
          <w:bCs/>
          <w:noProof/>
          <w:color w:val="000000"/>
          <w:sz w:val="20"/>
        </w:rPr>
      </w:pPr>
    </w:p>
    <w:p w14:paraId="198B5482" w14:textId="77777777" w:rsidR="00C605CC" w:rsidRDefault="00D44079">
      <w:pPr>
        <w:pStyle w:val="Point1"/>
        <w:rPr>
          <w:noProof/>
        </w:rPr>
      </w:pPr>
      <w:r>
        <w:rPr>
          <w:noProof/>
        </w:rPr>
        <w:t>3)</w:t>
      </w:r>
      <w:r>
        <w:rPr>
          <w:noProof/>
        </w:rPr>
        <w:tab/>
        <w:t>załącznik III otrzymuje brzmienie:</w:t>
      </w:r>
    </w:p>
    <w:p w14:paraId="1135C91C" w14:textId="77777777" w:rsidR="00C605CC" w:rsidRDefault="00D44079">
      <w:pPr>
        <w:rPr>
          <w:noProof/>
        </w:rPr>
      </w:pPr>
      <w:r>
        <w:rPr>
          <w:noProof/>
        </w:rPr>
        <w:t>„WARTOŚĆ ENERGETYCZNA PALIW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4"/>
        <w:gridCol w:w="2136"/>
        <w:gridCol w:w="2136"/>
      </w:tblGrid>
      <w:tr w:rsidR="00C605CC" w14:paraId="166D2AFC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EE65" w14:textId="77777777" w:rsidR="00C605CC" w:rsidRDefault="00D44079">
            <w:pPr>
              <w:pStyle w:val="NormalCentered"/>
              <w:rPr>
                <w:noProof/>
              </w:rPr>
            </w:pPr>
            <w:r>
              <w:rPr>
                <w:noProof/>
              </w:rPr>
              <w:t>Paliwo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6D83" w14:textId="77777777" w:rsidR="00C605CC" w:rsidRDefault="00D44079">
            <w:pPr>
              <w:pStyle w:val="NormalCentered"/>
              <w:rPr>
                <w:noProof/>
              </w:rPr>
            </w:pPr>
            <w:r>
              <w:rPr>
                <w:noProof/>
              </w:rPr>
              <w:t>Wartość energetyczna według wagi (dolna wartość kaloryczna, MJ/kg)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05BE" w14:textId="77777777" w:rsidR="00C605CC" w:rsidRDefault="00D44079">
            <w:pPr>
              <w:pStyle w:val="NormalCentered"/>
              <w:rPr>
                <w:noProof/>
              </w:rPr>
            </w:pPr>
            <w:r>
              <w:rPr>
                <w:noProof/>
              </w:rPr>
              <w:t xml:space="preserve">Wartość energetyczna według objętości (dolna wartość </w:t>
            </w:r>
            <w:r>
              <w:rPr>
                <w:noProof/>
              </w:rPr>
              <w:t>kaloryczna, MJ/l)</w:t>
            </w:r>
          </w:p>
        </w:tc>
      </w:tr>
      <w:tr w:rsidR="00C605CC" w14:paraId="70AC6D2D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BAAB" w14:textId="77777777" w:rsidR="00C605CC" w:rsidRDefault="00D44079">
            <w:pPr>
              <w:pStyle w:val="NormalCentered"/>
              <w:rPr>
                <w:noProof/>
              </w:rPr>
            </w:pPr>
            <w:r>
              <w:rPr>
                <w:noProof/>
              </w:rPr>
              <w:t>PALIWA Z BIOMASY LUB Z OPERACJI PRZETWARZANIA BIOMASY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2A03" w14:textId="77777777" w:rsidR="00C605CC" w:rsidRDefault="00C605CC">
            <w:pPr>
              <w:pStyle w:val="NormalCentered"/>
              <w:rPr>
                <w:noProof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5A2E" w14:textId="77777777" w:rsidR="00C605CC" w:rsidRDefault="00C605CC">
            <w:pPr>
              <w:pStyle w:val="NormalCentered"/>
              <w:rPr>
                <w:noProof/>
              </w:rPr>
            </w:pPr>
          </w:p>
        </w:tc>
      </w:tr>
      <w:tr w:rsidR="00C605CC" w14:paraId="52857B19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48B7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Biopropanol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6793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5D1B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C605CC" w14:paraId="3039E05B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40F3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Czyste oleje roślinne (oleje uzyskiwane z roślin oleistych w wyniku tłoczenia, ekstrakcji lub podobnych procesów, nierafinowane lub rafinowane, lecz </w:t>
            </w:r>
            <w:r>
              <w:rPr>
                <w:noProof/>
              </w:rPr>
              <w:t>niezmodyfikowane chemicznie)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A670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C957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C605CC" w14:paraId="702204F0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C885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Biodiesel – estry metylowe kwasów tłuszczowych (estry metylowe produkowane z olejów pochodzących z biomasy)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5868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4932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</w:tr>
      <w:tr w:rsidR="00C605CC" w14:paraId="3FABF514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5C1A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Biodiesel – estry etylowe kwasów tłuszczowych (estry etylowe produkowane z olejów pochodzących z biomasy)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4775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3091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C605CC" w14:paraId="2EA7CC74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E844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Biogaz, który może być oczyszczony do poziomu odpowiadającego jakości gazu naturalnego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570B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E869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C605CC" w14:paraId="102EF0F6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3C7A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Hydrorafinowany (poddany termochemicznej obróbce wodorem) olej pochodzący z biomasy, służący jako zamiennik oleju napędowego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1952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2227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C605CC" w14:paraId="1D023620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C915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Hydrorafinowany (poddany termochemicznej obróbce wodorem) olej pochodzący z biomasy, służący jako zamiennik benzyny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21EA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EE71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C605CC" w14:paraId="5D74F4AA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31A1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Hydrorafinowany (poddany termochemicznej obróbce wodorem) olej pochodzący z biomasy, służący jako zamiennik paliwa do silników odrzut</w:t>
            </w:r>
            <w:r>
              <w:rPr>
                <w:noProof/>
              </w:rPr>
              <w:t>owych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DCAF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EE55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C605CC" w14:paraId="6853AB8B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0A07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Hydrorafinowany (poddany termochemicznej obróbce wodorem) olej pochodzący z biomasy, służący jako zamiennik gazu płynnego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9A70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AA1C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C605CC" w14:paraId="25829648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D640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Oleje współprzetwarzane (przetwarzane w rafinerii jednocześnie z paliwem kopalnym), pochodzące z biomasy lub bioma</w:t>
            </w:r>
            <w:r>
              <w:rPr>
                <w:noProof/>
              </w:rPr>
              <w:t>sy poddanej pirolizie, służące jako zamiennik oleju napędowego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3E86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7C76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</w:tr>
      <w:tr w:rsidR="00C605CC" w14:paraId="3E163437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12B6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Oleje współprzetwarzane (przetwarzane w rafinerii jednocześnie z paliwem kopalnym) pochodzące z biomasy lub biomasy poddanej pirolizie, służące jako zamiennik benzyny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9FB1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1F64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C605CC" w14:paraId="50349BC0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099A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Oleje </w:t>
            </w:r>
            <w:r>
              <w:rPr>
                <w:noProof/>
              </w:rPr>
              <w:t>współprzetwarzane (przetwarzane w rafinerii jednocześnie z paliwem kopalnym) pochodzące z biomasy lub biomasy poddanej pirolizie, służące jako zamiennik paliwa do silników odrzutowych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612B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6ACA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</w:tr>
      <w:tr w:rsidR="00C605CC" w14:paraId="7FEC734B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02D3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Oleje współprzetwarzane (przetwarzane w rafinerii jednocześnie z </w:t>
            </w:r>
            <w:r>
              <w:rPr>
                <w:noProof/>
              </w:rPr>
              <w:t>paliwem kopalnym) pochodzące z biomasy lub biomasy poddanej pirolizie, służące jako zamiennik gazu płynnego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059D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0AEA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23</w:t>
            </w:r>
          </w:p>
        </w:tc>
      </w:tr>
      <w:tr w:rsidR="00C605CC" w14:paraId="36C623EC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FE9B" w14:textId="77777777" w:rsidR="00C605CC" w:rsidRDefault="00D44079">
            <w:pPr>
              <w:pStyle w:val="NormalCentered"/>
              <w:rPr>
                <w:noProof/>
              </w:rPr>
            </w:pPr>
            <w:r>
              <w:rPr>
                <w:noProof/>
              </w:rPr>
              <w:t>PALIWA ODNAWIALNE, KTÓRE MOŻNA PRODUKOWAĆ Z RÓŻNYCH ŹRÓDEŁ ODNAWIALNYCH, M.IN Z BIOMASY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4B9C" w14:textId="77777777" w:rsidR="00C605CC" w:rsidRDefault="00C605CC">
            <w:pPr>
              <w:pStyle w:val="NormalCentered"/>
              <w:rPr>
                <w:noProof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8E92" w14:textId="77777777" w:rsidR="00C605CC" w:rsidRDefault="00C605CC">
            <w:pPr>
              <w:pStyle w:val="NormalCentered"/>
              <w:rPr>
                <w:noProof/>
              </w:rPr>
            </w:pPr>
          </w:p>
        </w:tc>
      </w:tr>
      <w:tr w:rsidR="00C605CC" w14:paraId="7CDF146C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E701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Metanol ze źródeł odnawialnych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1325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16A1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C605CC" w14:paraId="00A8BC8B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6FB1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Etanol ze źr</w:t>
            </w:r>
            <w:r>
              <w:rPr>
                <w:noProof/>
              </w:rPr>
              <w:t>ódeł odnawialnych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A7E6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1126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C605CC" w14:paraId="45E0FBCE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DCE3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Propanol ze źródeł odnawialnych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D9BD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14D5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C605CC" w14:paraId="184BC65E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F22A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Butanol ze źródeł odnawialnych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176A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1565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27</w:t>
            </w:r>
          </w:p>
        </w:tc>
      </w:tr>
      <w:tr w:rsidR="00C605CC" w14:paraId="33DC22D5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D599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Olej napędowy wytwarzany metodą Fischera-Tropscha (syntetyczny węglowodór lub mieszanka syntetycznych węglowodorów służący jako zamiennik oleju </w:t>
            </w:r>
            <w:r>
              <w:rPr>
                <w:noProof/>
              </w:rPr>
              <w:t>napędowego)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1311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4DC4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C605CC" w14:paraId="1C90CEC6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1BEC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Benzyna wytwarzana metodą Fischera-Tropscha (syntetyczny węglowodór lub mieszanka syntetycznych węglowodorów produkowanych z biomasy, służące jako zamiennik benzyny)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FEB5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34A8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</w:tr>
      <w:tr w:rsidR="00C605CC" w14:paraId="3EEE0C20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4F2D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Paliwo do silników odrzutowych wytwarzane metodą Fischera-Tropsc</w:t>
            </w:r>
            <w:r>
              <w:rPr>
                <w:noProof/>
              </w:rPr>
              <w:t>ha (syntetyczny węglowodór lub mieszanka syntetycznych węglowodorów produkowanych z biomasy, służące jako zamiennik paliwa do silników odrzutowych)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7BF7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8E11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</w:tr>
      <w:tr w:rsidR="00C605CC" w14:paraId="34998A4C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FB52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Gaz płynny wytwarzany metodą Fischera-Tropscha (syntetyczny węglowodór lub mieszanka syntetycznych wę</w:t>
            </w:r>
            <w:r>
              <w:rPr>
                <w:noProof/>
              </w:rPr>
              <w:t>glowodorów, służące jako zamiennik gazu płynnego)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4E82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A346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C605CC" w14:paraId="5DC2ACF9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6599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DME (eter dimetylowy)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45D9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5034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 w:rsidR="00C605CC" w14:paraId="08FD3AA0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B8FE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Wodór ze źródeł odnawialnych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B30E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DE33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C605CC" w14:paraId="0C006DC7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B568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ETBE (eter tert-butylowo-etylowy produkowany na bazie etanolu)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5A35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36 (z czego 37 % ze źródeł odnawialnych)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6DCE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27 (z czego 37 % ze </w:t>
            </w:r>
            <w:r>
              <w:rPr>
                <w:noProof/>
              </w:rPr>
              <w:t>źródeł odnawialnych)</w:t>
            </w:r>
          </w:p>
        </w:tc>
      </w:tr>
      <w:tr w:rsidR="00C605CC" w14:paraId="0DC7B3B8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1B2D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MTBE (eter tert-butylowo-metylowy produkowany na bazie metanolu)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4372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35 (z czego 22 % ze źródeł odnawialnych)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4BCC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26 (z czego 22 % ze źródeł odnawialnych)</w:t>
            </w:r>
          </w:p>
        </w:tc>
      </w:tr>
      <w:tr w:rsidR="00C605CC" w14:paraId="5D811241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4ED1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TAEE (eter tert-amylowo-etylowy produkowany na bazie etanolu)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91E0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38 (z czego 29 % ze źród</w:t>
            </w:r>
            <w:r>
              <w:rPr>
                <w:noProof/>
              </w:rPr>
              <w:t>eł odnawialnych)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1211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29 (z czego 29 % ze źródeł odnawialnych)</w:t>
            </w:r>
          </w:p>
        </w:tc>
      </w:tr>
      <w:tr w:rsidR="00C605CC" w14:paraId="0ECA55AC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4006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TAME (eter tert-amylowo-metylowy) produkowany na bazie metanolu)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FC0B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36 (z czego 18 % ze źródeł odnawialnych)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3858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28 (z czego 18 % ze źródeł odnawialnych)</w:t>
            </w:r>
          </w:p>
        </w:tc>
      </w:tr>
      <w:tr w:rsidR="00C605CC" w14:paraId="78803EEB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68D3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THxEE (eter </w:t>
            </w:r>
            <w:r>
              <w:rPr>
                <w:noProof/>
              </w:rPr>
              <w:t>etylo-tert-heksylowy produkowany na bazie etanolu)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291E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38 (z czego 25 % ze źródeł odnawialnych)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1BCB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30 (z czego 25 % ze źródeł odnawialnych)</w:t>
            </w:r>
          </w:p>
        </w:tc>
      </w:tr>
      <w:tr w:rsidR="00C605CC" w14:paraId="06321468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A718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THxME (eter metylo-tert-heksylowy produkowany na bazie metanolu)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28F3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38 (z czego 14 % ze źródeł odnawialnych)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B50B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30 (z czego 14 %</w:t>
            </w:r>
            <w:r>
              <w:rPr>
                <w:noProof/>
              </w:rPr>
              <w:t xml:space="preserve"> ze źródeł odnawialnych)</w:t>
            </w:r>
          </w:p>
        </w:tc>
      </w:tr>
      <w:tr w:rsidR="00C605CC" w14:paraId="229E7599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901B" w14:textId="77777777" w:rsidR="00C605CC" w:rsidRDefault="00D44079">
            <w:pPr>
              <w:pStyle w:val="NormalCentered"/>
              <w:rPr>
                <w:noProof/>
              </w:rPr>
            </w:pPr>
            <w:r>
              <w:rPr>
                <w:noProof/>
              </w:rPr>
              <w:t>PALIWA NIEODNAWIALNE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29BB" w14:textId="77777777" w:rsidR="00C605CC" w:rsidRDefault="00C605CC">
            <w:pPr>
              <w:pStyle w:val="NormalCentered"/>
              <w:rPr>
                <w:noProof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E78B" w14:textId="77777777" w:rsidR="00C605CC" w:rsidRDefault="00C605CC">
            <w:pPr>
              <w:pStyle w:val="NormalCentered"/>
              <w:rPr>
                <w:noProof/>
              </w:rPr>
            </w:pPr>
          </w:p>
        </w:tc>
      </w:tr>
      <w:tr w:rsidR="00C605CC" w14:paraId="3F8FCCE6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279B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Benzyna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218D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F990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C605CC" w14:paraId="58F795F2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6741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Olej napędowy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D7F8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1724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</w:tr>
      <w:tr w:rsidR="00C605CC" w14:paraId="3CF9EDFF" w14:textId="77777777">
        <w:tc>
          <w:tcPr>
            <w:tcW w:w="5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44E6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Wodór ze źródeł nieodnawialnych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F92F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3A72" w14:textId="77777777" w:rsidR="00C605CC" w:rsidRDefault="00D44079">
            <w:pPr>
              <w:pStyle w:val="NormalLeft"/>
              <w:rPr>
                <w:noProof/>
              </w:rPr>
            </w:pPr>
            <w:r>
              <w:rPr>
                <w:noProof/>
              </w:rPr>
              <w:t>—”</w:t>
            </w:r>
          </w:p>
        </w:tc>
      </w:tr>
    </w:tbl>
    <w:p w14:paraId="5B2C2D85" w14:textId="77777777" w:rsidR="00C605CC" w:rsidRDefault="00D44079">
      <w:pPr>
        <w:pStyle w:val="Point1"/>
        <w:rPr>
          <w:noProof/>
        </w:rPr>
      </w:pPr>
      <w:r>
        <w:rPr>
          <w:noProof/>
        </w:rPr>
        <w:t>4)</w:t>
      </w:r>
      <w:r>
        <w:rPr>
          <w:noProof/>
        </w:rPr>
        <w:tab/>
        <w:t xml:space="preserve">w załączniku IV wprowadza się następujące zmiany: </w:t>
      </w:r>
    </w:p>
    <w:p w14:paraId="48DB3802" w14:textId="77777777" w:rsidR="00C605CC" w:rsidRDefault="00D44079">
      <w:pPr>
        <w:pStyle w:val="Point2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tytuł otrzymuje brzmienie: </w:t>
      </w:r>
    </w:p>
    <w:p w14:paraId="1D0085C3" w14:textId="77777777" w:rsidR="00C605CC" w:rsidRDefault="00D44079">
      <w:pPr>
        <w:ind w:left="1984"/>
        <w:rPr>
          <w:b/>
          <w:noProof/>
          <w:sz w:val="18"/>
          <w:szCs w:val="24"/>
        </w:rPr>
      </w:pPr>
      <w:r>
        <w:rPr>
          <w:noProof/>
        </w:rPr>
        <w:t>„</w:t>
      </w:r>
      <w:r>
        <w:rPr>
          <w:b/>
          <w:noProof/>
          <w:sz w:val="18"/>
          <w:szCs w:val="24"/>
        </w:rPr>
        <w:t xml:space="preserve">SZKOLENIA I CERTYFIKACJA </w:t>
      </w:r>
      <w:r>
        <w:rPr>
          <w:b/>
          <w:noProof/>
          <w:sz w:val="18"/>
          <w:szCs w:val="24"/>
        </w:rPr>
        <w:t>INSTALATORÓW I PROJEKTANTÓW INSTALACJI WYKORZYSTUJĄCYCH ENERGIE ODNAWIALNE”</w:t>
      </w:r>
      <w:r>
        <w:rPr>
          <w:noProof/>
        </w:rPr>
        <w:t>;</w:t>
      </w:r>
    </w:p>
    <w:p w14:paraId="381845EF" w14:textId="77777777" w:rsidR="00C605CC" w:rsidRDefault="00D44079">
      <w:pPr>
        <w:pStyle w:val="Point2"/>
        <w:rPr>
          <w:noProof/>
        </w:rPr>
      </w:pPr>
      <w:r>
        <w:rPr>
          <w:noProof/>
        </w:rPr>
        <w:t>b)</w:t>
      </w:r>
      <w:r>
        <w:rPr>
          <w:noProof/>
        </w:rPr>
        <w:tab/>
        <w:t>zdanie wprowadzające i pierwszy punkt otrzymują brzmienie:</w:t>
      </w:r>
    </w:p>
    <w:p w14:paraId="163FAF3A" w14:textId="77777777" w:rsidR="00C605CC" w:rsidRDefault="00D44079">
      <w:pPr>
        <w:ind w:left="1777" w:hanging="76"/>
        <w:rPr>
          <w:noProof/>
          <w:szCs w:val="24"/>
        </w:rPr>
      </w:pPr>
      <w:r>
        <w:rPr>
          <w:noProof/>
        </w:rPr>
        <w:t>„Systemy certyfikacji i programy szkoleń, o których mowa w art. 18 ust. 3, są oparte na następujących kryteriach:</w:t>
      </w:r>
    </w:p>
    <w:p w14:paraId="24320FE6" w14:textId="77777777" w:rsidR="00C605CC" w:rsidRDefault="00D44079">
      <w:pPr>
        <w:ind w:left="1777"/>
        <w:rPr>
          <w:noProof/>
          <w:szCs w:val="24"/>
        </w:rPr>
      </w:pPr>
      <w:r>
        <w:rPr>
          <w:noProof/>
        </w:rPr>
        <w:t xml:space="preserve">1. </w:t>
      </w:r>
      <w:r>
        <w:rPr>
          <w:noProof/>
        </w:rPr>
        <w:t>Proces certyfikacji jest przejrzysty i jasno zdefiniowany przez państwo członkowskie lub wyznaczony przez nie organ administracyjny.”;</w:t>
      </w:r>
    </w:p>
    <w:p w14:paraId="2F98BD80" w14:textId="77777777" w:rsidR="00C605CC" w:rsidRDefault="00D44079">
      <w:pPr>
        <w:pStyle w:val="Point2"/>
        <w:rPr>
          <w:noProof/>
        </w:rPr>
      </w:pPr>
      <w:r>
        <w:rPr>
          <w:noProof/>
        </w:rPr>
        <w:t>c)</w:t>
      </w:r>
      <w:r>
        <w:rPr>
          <w:noProof/>
        </w:rPr>
        <w:tab/>
        <w:t>dodaje się punkty 1a i 1b w brzmieniu:</w:t>
      </w:r>
    </w:p>
    <w:p w14:paraId="11AAB444" w14:textId="77777777" w:rsidR="00C605CC" w:rsidRDefault="00D44079">
      <w:pPr>
        <w:ind w:left="1777"/>
        <w:rPr>
          <w:noProof/>
          <w:szCs w:val="24"/>
        </w:rPr>
      </w:pPr>
      <w:r>
        <w:rPr>
          <w:noProof/>
        </w:rPr>
        <w:t xml:space="preserve">„1a. Certyfikaty wydawane przez organy certyfikujące są jasno zdefiniowane i łatwe do rozpoznania przez pracowników i specjalistów chcących uzyskać certyfikat. </w:t>
      </w:r>
    </w:p>
    <w:p w14:paraId="5CD2433B" w14:textId="77777777" w:rsidR="00C605CC" w:rsidRDefault="00D44079">
      <w:pPr>
        <w:ind w:left="1777"/>
        <w:rPr>
          <w:noProof/>
          <w:szCs w:val="24"/>
        </w:rPr>
      </w:pPr>
      <w:r>
        <w:rPr>
          <w:noProof/>
        </w:rPr>
        <w:t>1b. Proces certyfikacji umożliwia budowę przez instalatorów wysokiej jakości niezawodnych insta</w:t>
      </w:r>
      <w:r>
        <w:rPr>
          <w:noProof/>
        </w:rPr>
        <w:t>lacji.”;</w:t>
      </w:r>
    </w:p>
    <w:p w14:paraId="096A26EC" w14:textId="77777777" w:rsidR="00C605CC" w:rsidRDefault="00D44079">
      <w:pPr>
        <w:pStyle w:val="Point2"/>
        <w:rPr>
          <w:noProof/>
        </w:rPr>
      </w:pPr>
      <w:r>
        <w:rPr>
          <w:noProof/>
        </w:rPr>
        <w:t>d)</w:t>
      </w:r>
      <w:r>
        <w:rPr>
          <w:noProof/>
        </w:rPr>
        <w:tab/>
        <w:t>pkt 2 i 3 otrzymują brzmienie:</w:t>
      </w:r>
    </w:p>
    <w:p w14:paraId="4863E235" w14:textId="77777777" w:rsidR="00C605CC" w:rsidRDefault="00D44079">
      <w:pPr>
        <w:ind w:left="1777"/>
        <w:rPr>
          <w:noProof/>
          <w:szCs w:val="24"/>
        </w:rPr>
      </w:pPr>
      <w:r>
        <w:rPr>
          <w:noProof/>
        </w:rPr>
        <w:t>„2. Instalatorzy w zakresie energii z biomasy, pomp ciepła, płytkiej energii geotermalnej, energii fotowoltaicznej i energii słonecznej termicznej są certyfikowani w ramach akredytowanego programu szkoleń lub prze</w:t>
      </w:r>
      <w:r>
        <w:rPr>
          <w:noProof/>
        </w:rPr>
        <w:t>z akredytowanego organizatora szkoleń.</w:t>
      </w:r>
    </w:p>
    <w:p w14:paraId="3AE9E71E" w14:textId="77777777" w:rsidR="00C605CC" w:rsidRDefault="00D44079">
      <w:pPr>
        <w:ind w:left="1777"/>
        <w:rPr>
          <w:noProof/>
          <w:szCs w:val="24"/>
        </w:rPr>
      </w:pPr>
      <w:r>
        <w:rPr>
          <w:noProof/>
        </w:rPr>
        <w:t>3. Akredytacji programu lub organizatora szkoleń dokonują państwa członkowskie lub wyznaczone przez nie organy administracji. Organ akredytujący zapewnia ciągłość i regionalny lub ogólnokrajowy zasięg programu szkoleń</w:t>
      </w:r>
      <w:r>
        <w:rPr>
          <w:noProof/>
        </w:rPr>
        <w:t xml:space="preserve"> oferowanego przez organizatora szkoleń. </w:t>
      </w:r>
    </w:p>
    <w:p w14:paraId="3A5437E6" w14:textId="77777777" w:rsidR="00C605CC" w:rsidRDefault="00D44079">
      <w:pPr>
        <w:ind w:left="1777"/>
        <w:rPr>
          <w:noProof/>
          <w:szCs w:val="24"/>
        </w:rPr>
      </w:pPr>
      <w:r>
        <w:rPr>
          <w:noProof/>
        </w:rPr>
        <w:t xml:space="preserve">Organizator szkoleń posiada odpowiednie urządzenia techniczne, aby przeprowadzić praktyczne szkolenie, w tym wystarczający sprzęt laboratoryjny lub inne odpowiednie urządzenia potrzebne do zajęć praktycznych. </w:t>
      </w:r>
    </w:p>
    <w:p w14:paraId="4BF14FC4" w14:textId="77777777" w:rsidR="00C605CC" w:rsidRDefault="00D44079">
      <w:pPr>
        <w:ind w:left="1777"/>
        <w:rPr>
          <w:noProof/>
          <w:szCs w:val="24"/>
        </w:rPr>
      </w:pPr>
      <w:r>
        <w:rPr>
          <w:noProof/>
        </w:rPr>
        <w:t>Opró</w:t>
      </w:r>
      <w:r>
        <w:rPr>
          <w:noProof/>
        </w:rPr>
        <w:t>cz podstawowych szkoleń ich organizator oferuje także krótsze szkolenia utrwalające i podnoszące kwalifikacje, organizowane w formie modułów szkoleniowych, w ramach których instalatorzy i projektanci mogą zdobywać nowe kompetencje oraz rozszerzać i wzbogac</w:t>
      </w:r>
      <w:r>
        <w:rPr>
          <w:noProof/>
        </w:rPr>
        <w:t xml:space="preserve">ać zakres posiadanych umiejętności z zakresu kilku technologii i ich kombinacji. </w:t>
      </w:r>
      <w:r>
        <w:rPr>
          <w:noProof/>
        </w:rPr>
        <w:lastRenderedPageBreak/>
        <w:t>Organizator szkoleń zapewnia, aby program szkoleń był dostosowany tak, aby uwzględniał nowe technologie energii odnawialnej w na potrzeby budynków, przemysłu i rolnictwa. Orga</w:t>
      </w:r>
      <w:r>
        <w:rPr>
          <w:noProof/>
        </w:rPr>
        <w:t xml:space="preserve">nizatorzy szkoleń uznają zdobyte odpowiednie umiejętności. </w:t>
      </w:r>
    </w:p>
    <w:p w14:paraId="038DEA8C" w14:textId="77777777" w:rsidR="00C605CC" w:rsidRDefault="00D44079">
      <w:pPr>
        <w:ind w:left="1777"/>
        <w:rPr>
          <w:noProof/>
          <w:szCs w:val="24"/>
        </w:rPr>
      </w:pPr>
      <w:r>
        <w:rPr>
          <w:noProof/>
        </w:rPr>
        <w:t>Programy szkoleń i moduły szkoleniowe opracowuje się z myślą o umożliwieniu uczenia się przez całe życie w dziedzinie instalacji wykorzystujących energie odnawialne oraz w taki sposób, aby takie p</w:t>
      </w:r>
      <w:r>
        <w:rPr>
          <w:noProof/>
        </w:rPr>
        <w:t xml:space="preserve">rogramy i moduły były spójne ze szkoleniem zawodowym osób poszukujących pracy po raz pierwszy i osób dorosłych, które chcą się przekwalifikować lub szukają nowej pracy. </w:t>
      </w:r>
    </w:p>
    <w:p w14:paraId="766BB640" w14:textId="77777777" w:rsidR="00C605CC" w:rsidRDefault="00D44079">
      <w:pPr>
        <w:ind w:left="1777"/>
        <w:rPr>
          <w:noProof/>
          <w:szCs w:val="24"/>
        </w:rPr>
      </w:pPr>
      <w:r>
        <w:rPr>
          <w:noProof/>
        </w:rPr>
        <w:t xml:space="preserve">Programy szkoleń opracowuje się z myślą o ułatwieniu nabywania </w:t>
      </w:r>
      <w:r>
        <w:rPr>
          <w:noProof/>
        </w:rPr>
        <w:t>kwalifikacji w zakresie różnych technologii i rozwiązań oraz o uniknięciu wąskich specjalizacji w zakresie konkretnej marki lub technologii. Organizator szkoleń może być producentem urządzeń lub systemu, instytucją lub stowarzyszeniem.”;</w:t>
      </w:r>
    </w:p>
    <w:p w14:paraId="1D3BBAB3" w14:textId="77777777" w:rsidR="00C605CC" w:rsidRDefault="00D44079">
      <w:pPr>
        <w:pStyle w:val="Point2"/>
        <w:rPr>
          <w:noProof/>
        </w:rPr>
      </w:pPr>
      <w:r>
        <w:rPr>
          <w:noProof/>
        </w:rPr>
        <w:t>e)</w:t>
      </w:r>
      <w:r>
        <w:rPr>
          <w:noProof/>
        </w:rPr>
        <w:tab/>
        <w:t xml:space="preserve"> w pkt 6 lit. c</w:t>
      </w:r>
      <w:r>
        <w:rPr>
          <w:noProof/>
        </w:rPr>
        <w:t>) dodaje się ppkt (iv) i (v) w brzmieniu:</w:t>
      </w:r>
    </w:p>
    <w:p w14:paraId="17762BD6" w14:textId="77777777" w:rsidR="00C605CC" w:rsidRDefault="00D44079">
      <w:pPr>
        <w:ind w:left="1984"/>
        <w:rPr>
          <w:noProof/>
          <w:szCs w:val="24"/>
        </w:rPr>
      </w:pPr>
      <w:r>
        <w:rPr>
          <w:noProof/>
        </w:rPr>
        <w:t>„(iv)</w:t>
      </w:r>
      <w:r>
        <w:rPr>
          <w:noProof/>
        </w:rPr>
        <w:tab/>
        <w:t>zrozumieniem studiów wykonalności i badań projektowych;</w:t>
      </w:r>
    </w:p>
    <w:p w14:paraId="2B7C7D2C" w14:textId="77777777" w:rsidR="00C605CC" w:rsidRDefault="00D44079">
      <w:pPr>
        <w:ind w:left="1984"/>
        <w:rPr>
          <w:noProof/>
          <w:szCs w:val="24"/>
        </w:rPr>
      </w:pPr>
      <w:r>
        <w:rPr>
          <w:noProof/>
        </w:rPr>
        <w:t>(v)</w:t>
      </w:r>
      <w:r>
        <w:rPr>
          <w:noProof/>
        </w:rPr>
        <w:tab/>
        <w:t>zrozumieniem procesu wiercenia w przypadku geotermalnych pomp ciepła.”;</w:t>
      </w:r>
    </w:p>
    <w:p w14:paraId="61DABEF3" w14:textId="77777777" w:rsidR="00C605CC" w:rsidRDefault="00D44079">
      <w:pPr>
        <w:pStyle w:val="Point1"/>
        <w:rPr>
          <w:noProof/>
        </w:rPr>
      </w:pPr>
      <w:r>
        <w:rPr>
          <w:noProof/>
        </w:rPr>
        <w:t>5)</w:t>
      </w:r>
      <w:r>
        <w:rPr>
          <w:noProof/>
        </w:rPr>
        <w:tab/>
        <w:t xml:space="preserve">w załączniku V część C wprowadza się następujące zmiany: </w:t>
      </w:r>
    </w:p>
    <w:p w14:paraId="1FDC5270" w14:textId="77777777" w:rsidR="00C605CC" w:rsidRDefault="00D44079">
      <w:pPr>
        <w:pStyle w:val="Point2"/>
        <w:rPr>
          <w:noProof/>
        </w:rPr>
      </w:pPr>
      <w:r>
        <w:rPr>
          <w:noProof/>
        </w:rPr>
        <w:t>a)</w:t>
      </w:r>
      <w:r>
        <w:rPr>
          <w:noProof/>
        </w:rPr>
        <w:tab/>
        <w:t>pkt 5 i 6 ot</w:t>
      </w:r>
      <w:r>
        <w:rPr>
          <w:noProof/>
        </w:rPr>
        <w:t>rzymują brzmienie:</w:t>
      </w:r>
    </w:p>
    <w:p w14:paraId="62534437" w14:textId="77777777" w:rsidR="00C605CC" w:rsidRDefault="00D44079">
      <w:pPr>
        <w:pStyle w:val="Akapitzlist"/>
        <w:ind w:left="1777"/>
        <w:rPr>
          <w:noProof/>
        </w:rPr>
      </w:pPr>
      <w:r>
        <w:rPr>
          <w:noProof/>
        </w:rPr>
        <w:t xml:space="preserve"> „5. Wartość emisji spowodowanych wydobyciem lub uprawą surowców (eec) obejmuje emisje spowodowane samym procesem wydobycia lub uprawy; gromadzeniem, suszeniem i składowaniem surowców; odpadami i wyciekami; oraz produkcją chemikaliów lub</w:t>
      </w:r>
      <w:r>
        <w:rPr>
          <w:noProof/>
        </w:rPr>
        <w:t xml:space="preserve"> produktów stosowanych w procesie wydobycia lub uprawy. Wyłącza się wychwytywanie CO</w:t>
      </w:r>
      <w:r>
        <w:rPr>
          <w:noProof/>
          <w:vertAlign w:val="subscript"/>
        </w:rPr>
        <w:t>2</w:t>
      </w:r>
      <w:r>
        <w:rPr>
          <w:noProof/>
        </w:rPr>
        <w:t xml:space="preserve"> w trakcie uprawy surowców. W obliczeniach stosuje się szczegółowe wartości standardowe dla emisji N2O z gleby określone w części D, jeżeli są dostępne. Dopuszcza się obli</w:t>
      </w:r>
      <w:r>
        <w:rPr>
          <w:noProof/>
        </w:rPr>
        <w:t>czanie średnich na podstawie lokalnych praktyk rolniczych z wykorzystaniem danych z grupy gospodarstw jako alternatywa dla do stosowania wartości rzeczywistych.”;</w:t>
      </w:r>
    </w:p>
    <w:p w14:paraId="2F6CCE4B" w14:textId="77777777" w:rsidR="00C605CC" w:rsidRDefault="00D44079">
      <w:pPr>
        <w:ind w:left="1777"/>
        <w:rPr>
          <w:noProof/>
        </w:rPr>
      </w:pPr>
      <w:r>
        <w:rPr>
          <w:noProof/>
        </w:rPr>
        <w:t>6. Do celów wyliczenia, o którym mowa w pkt 1 lit. a), ograniczenie emisji gazów cieplarniany</w:t>
      </w:r>
      <w:r>
        <w:rPr>
          <w:noProof/>
        </w:rPr>
        <w:t>ch dzięki lepszej gospodarce rolnej (esca), np. poprzez przejście na uprawę uproszczoną lub uprawę zerową, udoskonalony system płodozmianu, stosowanie uprawy okrywowej, w tym zarządzanie pozostałościami pożniwnymi oraz stosowanie organicznych polepszaczy g</w:t>
      </w:r>
      <w:r>
        <w:rPr>
          <w:noProof/>
        </w:rPr>
        <w:t>leby (np. kompostu, produktu fermentacji obornika), uwzględnia się tylko w przypadku, gdy nie wiąże się z tym ryzyko niekorzystnego wpływu na różnorodność biologiczną. Co więcej, należy przedstawić solidne i wiarygodne dowody, że nastąpił wzrost ilości pie</w:t>
      </w:r>
      <w:r>
        <w:rPr>
          <w:noProof/>
        </w:rPr>
        <w:t>rwiastka węgla w glebie lub że prawdopodobnie nastąpi on w okresie, w którym przedmiotowe surowce były uprawiane, przy uwzględnieniu emisji powstałych w sytuacji, gdy takie praktyki prowadzą do zwiększonego stosowania nawozów i herbicydów</w:t>
      </w:r>
      <w:r>
        <w:rPr>
          <w:rStyle w:val="Odwoanieprzypisudolnego"/>
          <w:noProof/>
        </w:rPr>
        <w:footnoteReference w:id="1"/>
      </w:r>
      <w:r>
        <w:rPr>
          <w:noProof/>
        </w:rPr>
        <w:t>.”;</w:t>
      </w:r>
    </w:p>
    <w:p w14:paraId="7C32E4B1" w14:textId="77777777" w:rsidR="00C605CC" w:rsidRDefault="00D44079">
      <w:pPr>
        <w:pStyle w:val="Point2"/>
        <w:rPr>
          <w:noProof/>
        </w:rPr>
      </w:pPr>
      <w:r>
        <w:rPr>
          <w:noProof/>
        </w:rPr>
        <w:lastRenderedPageBreak/>
        <w:t>b)</w:t>
      </w:r>
      <w:r>
        <w:rPr>
          <w:noProof/>
        </w:rPr>
        <w:tab/>
        <w:t>uchyla si</w:t>
      </w:r>
      <w:r>
        <w:rPr>
          <w:noProof/>
        </w:rPr>
        <w:t>ę pkt 15;</w:t>
      </w:r>
    </w:p>
    <w:p w14:paraId="477C4526" w14:textId="77777777" w:rsidR="00C605CC" w:rsidRDefault="00D44079">
      <w:pPr>
        <w:pStyle w:val="Point2"/>
        <w:rPr>
          <w:noProof/>
        </w:rPr>
      </w:pPr>
      <w:r>
        <w:rPr>
          <w:noProof/>
        </w:rPr>
        <w:t>c)</w:t>
      </w:r>
      <w:r>
        <w:rPr>
          <w:noProof/>
        </w:rPr>
        <w:tab/>
        <w:t>pkt 18 otrzymuje brzmienie:</w:t>
      </w:r>
    </w:p>
    <w:p w14:paraId="05759D8C" w14:textId="77777777" w:rsidR="00C605CC" w:rsidRDefault="00D44079">
      <w:pPr>
        <w:ind w:left="1777"/>
        <w:rPr>
          <w:noProof/>
          <w:szCs w:val="24"/>
        </w:rPr>
      </w:pPr>
      <w:r>
        <w:rPr>
          <w:noProof/>
        </w:rPr>
        <w:t>„18. W obliczeniach, o których mowa w pkt 17, emisje do podziału to, eec + el + esca + te części ep, etd, eccs, i eccr, które mają miejsce przed fazą produkcji, w której powstaje produkt uboczny i w jej trakcie. Jeś</w:t>
      </w:r>
      <w:r>
        <w:rPr>
          <w:noProof/>
        </w:rPr>
        <w:t>li w odniesieniu do tych produktów ubocznych jakiekolwiek emisje przypisano do wcześniejszych faz produkcji w cyklu życia, uwzględnia się jedynie tę część emisji, którą przypisano do pośredniego produktu paliwowego w ostatniej fazie produkcji, a nie całość</w:t>
      </w:r>
      <w:r>
        <w:rPr>
          <w:noProof/>
        </w:rPr>
        <w:t xml:space="preserve"> emisji. W przypadku biogazu i biometanu do celów powyższych obliczeń uwzględnia się wszystkie produkty uboczne, które nie wchodzą w zakres pkt 7. Odpadom i pozostałościom nie przypisuje się emisji. W obliczeniach produkty uboczne mające negatywną wartość </w:t>
      </w:r>
      <w:r>
        <w:rPr>
          <w:noProof/>
        </w:rPr>
        <w:t xml:space="preserve">energetyczną uznaje się za posiadające zerową wartość energetyczną. Odpady i pozostałości, w tym wszystkie odpady i pozostałości uwzględnione w załączniku IX, uznaje się za materiały o zerowej emisji gazów cieplarnianych w całym cyklu życia, aż do momentu </w:t>
      </w:r>
      <w:r>
        <w:rPr>
          <w:noProof/>
        </w:rPr>
        <w:t xml:space="preserve">ich zbiórki, bez względu na to, czy są przetwarzane na produkty pośrednie przed przekształceniem w produkt końcowy. Uznaje się, że w przypadku pozostałości </w:t>
      </w:r>
      <w:r>
        <w:rPr>
          <w:noProof/>
          <w:color w:val="212121"/>
          <w:szCs w:val="24"/>
        </w:rPr>
        <w:t>nieuwzględnionych w załączniku IX i </w:t>
      </w:r>
      <w:r>
        <w:rPr>
          <w:noProof/>
        </w:rPr>
        <w:t>nadających się do wykorzystania na rynku żywności lub pasz warto</w:t>
      </w:r>
      <w:r>
        <w:rPr>
          <w:noProof/>
        </w:rPr>
        <w:t>ść związanych z nimi emisji spowodowanych wydobyciem, zbiorem lub uprawą surowców (eec) odpowiada wartości takich emisji związanych z najbliższym ich zamiennikiem na rynku żywności i pasz, uwzględnionym w tabeli w części D. W przypadku paliw z biomasy prod</w:t>
      </w:r>
      <w:r>
        <w:rPr>
          <w:noProof/>
        </w:rPr>
        <w:t>ukowanych w rafineriach, innych niż zakłady przetwórcze w połączeniu z kotłami lub układami kogeneracyjnymi dostarczającymi ciepło lub energię elektryczną do zakładów przetwórczych, jednostką analityczną do celów obliczeń, o których mowa w pkt 17, jest raf</w:t>
      </w:r>
      <w:r>
        <w:rPr>
          <w:noProof/>
        </w:rPr>
        <w:t>ineria.”;</w:t>
      </w:r>
    </w:p>
    <w:p w14:paraId="0C29B611" w14:textId="77777777" w:rsidR="00C605CC" w:rsidRDefault="00D44079">
      <w:pPr>
        <w:pStyle w:val="Point1"/>
        <w:rPr>
          <w:noProof/>
        </w:rPr>
      </w:pPr>
      <w:r>
        <w:rPr>
          <w:noProof/>
        </w:rPr>
        <w:t>6)</w:t>
      </w:r>
      <w:r>
        <w:rPr>
          <w:noProof/>
        </w:rPr>
        <w:tab/>
        <w:t xml:space="preserve">w załączniku VI część B wprowadza się następujące zmiany: </w:t>
      </w:r>
    </w:p>
    <w:p w14:paraId="373A521D" w14:textId="77777777" w:rsidR="00C605CC" w:rsidRDefault="00D44079">
      <w:pPr>
        <w:pStyle w:val="Point2"/>
        <w:rPr>
          <w:noProof/>
        </w:rPr>
      </w:pPr>
      <w:r>
        <w:rPr>
          <w:noProof/>
        </w:rPr>
        <w:t>a)</w:t>
      </w:r>
      <w:r>
        <w:rPr>
          <w:noProof/>
        </w:rPr>
        <w:tab/>
        <w:t>pkt 5 i 6 otrzymują brzmienie:</w:t>
      </w:r>
    </w:p>
    <w:p w14:paraId="536CF541" w14:textId="77777777" w:rsidR="00C605CC" w:rsidRDefault="00D44079">
      <w:pPr>
        <w:ind w:left="1777"/>
        <w:rPr>
          <w:noProof/>
          <w:szCs w:val="24"/>
        </w:rPr>
      </w:pPr>
      <w:r>
        <w:rPr>
          <w:noProof/>
        </w:rPr>
        <w:t>„5. Wartość emisji spowodowanych wydobyciem lub uprawą surowców (eec) obejmuje emisje spowodowane samym procesem wydobycia lub uprawy; gromadzeniem, s</w:t>
      </w:r>
      <w:r>
        <w:rPr>
          <w:noProof/>
        </w:rPr>
        <w:t>uszeniem i składowaniem surowców; odpadami i wyciekami; oraz produkcją chemikaliów lub produktów stosowanych w procesie wydobycia lub uprawy. Wyłącza się wychwytywanie CO</w:t>
      </w:r>
      <w:r>
        <w:rPr>
          <w:noProof/>
          <w:vertAlign w:val="subscript"/>
        </w:rPr>
        <w:t>2</w:t>
      </w:r>
      <w:r>
        <w:rPr>
          <w:noProof/>
        </w:rPr>
        <w:t xml:space="preserve"> w trakcie uprawy surowców. W obliczeniach stosuje się szczegółowe wartości standardo</w:t>
      </w:r>
      <w:r>
        <w:rPr>
          <w:noProof/>
        </w:rPr>
        <w:t>we dla emisji N2O z gleby określone w części D, jeżeli są dostępne. Dopuszcza się obliczanie średnich na podstawie lokalnych praktyk rolniczych z wykorzystaniem danych z grupy gospodarstw, alternatywnie do stosowania wartości rzeczywistych.”;</w:t>
      </w:r>
    </w:p>
    <w:p w14:paraId="1609ACD6" w14:textId="77777777" w:rsidR="00C605CC" w:rsidRDefault="00D44079">
      <w:pPr>
        <w:ind w:left="1777"/>
        <w:rPr>
          <w:noProof/>
          <w:szCs w:val="24"/>
        </w:rPr>
      </w:pPr>
      <w:r>
        <w:rPr>
          <w:noProof/>
        </w:rPr>
        <w:t>6. Do celów w</w:t>
      </w:r>
      <w:r>
        <w:rPr>
          <w:noProof/>
        </w:rPr>
        <w:t>yliczenia, o którym mowa w pkt 1 lit. a), ograniczenie emisji gazów cieplarnianych dzięki lepszej gospodarce rolnej esca, np. redukcji upraw lub uprawie zerowej, poprawie płodozmianu, stosowaniu uprawy okrywowej, w tym zarządzania pozostałościami pożniwnym</w:t>
      </w:r>
      <w:r>
        <w:rPr>
          <w:noProof/>
        </w:rPr>
        <w:t xml:space="preserve">i oraz </w:t>
      </w:r>
      <w:r>
        <w:rPr>
          <w:noProof/>
        </w:rPr>
        <w:lastRenderedPageBreak/>
        <w:t>stosowania organicznych polepszaczy gleby (np. kompostu, produktu fermentacji obornika), uwzględnia się tylko w przypadku, gdy nie wiąże się z tym ryzyko niekorzystnego wpływu na bioróżnorodność. Co więcej, należy przedstawić solidne i wiarygodne do</w:t>
      </w:r>
      <w:r>
        <w:rPr>
          <w:noProof/>
        </w:rPr>
        <w:t>wody, że nastąpił wzrost ilości pierwiastka węgla w glebie lub że prawdopodobnie nastąpi on w okresie, w którym przedmiotowe surowce były uprawiane, przy uwzględnieniu emisji powstałych w sytuacji, gdy takie praktyki prowadzą do zwiększonego stosowania naw</w:t>
      </w:r>
      <w:r>
        <w:rPr>
          <w:noProof/>
        </w:rPr>
        <w:t>ozów i herbicydów</w:t>
      </w:r>
      <w:r>
        <w:rPr>
          <w:rStyle w:val="Odwoanieprzypisudolnego"/>
          <w:noProof/>
          <w:szCs w:val="24"/>
        </w:rPr>
        <w:footnoteReference w:id="2"/>
      </w:r>
      <w:r>
        <w:rPr>
          <w:noProof/>
        </w:rPr>
        <w:t>.”;</w:t>
      </w:r>
    </w:p>
    <w:p w14:paraId="0C3848A4" w14:textId="77777777" w:rsidR="00C605CC" w:rsidRDefault="00D44079">
      <w:pPr>
        <w:pStyle w:val="Point2"/>
        <w:rPr>
          <w:noProof/>
        </w:rPr>
      </w:pPr>
      <w:r>
        <w:rPr>
          <w:noProof/>
        </w:rPr>
        <w:t>b)</w:t>
      </w:r>
      <w:r>
        <w:rPr>
          <w:noProof/>
        </w:rPr>
        <w:tab/>
        <w:t>uchyla się pkt 15;</w:t>
      </w:r>
    </w:p>
    <w:p w14:paraId="66476636" w14:textId="77777777" w:rsidR="00C605CC" w:rsidRDefault="00D44079">
      <w:pPr>
        <w:pStyle w:val="Point2"/>
        <w:rPr>
          <w:noProof/>
        </w:rPr>
      </w:pPr>
      <w:r>
        <w:rPr>
          <w:noProof/>
        </w:rPr>
        <w:t>c)</w:t>
      </w:r>
      <w:r>
        <w:rPr>
          <w:noProof/>
        </w:rPr>
        <w:tab/>
        <w:t>pkt 18 otrzymuje brzmienie:</w:t>
      </w:r>
    </w:p>
    <w:p w14:paraId="5C290D04" w14:textId="77777777" w:rsidR="00C605CC" w:rsidRDefault="00D44079">
      <w:pPr>
        <w:ind w:left="1777"/>
        <w:rPr>
          <w:noProof/>
        </w:rPr>
      </w:pPr>
      <w:r>
        <w:rPr>
          <w:noProof/>
        </w:rPr>
        <w:t>„18. W obliczeniach, o których mowa w pkt 17, emisje do podziału to, e</w:t>
      </w:r>
      <w:r>
        <w:rPr>
          <w:noProof/>
          <w:vertAlign w:val="subscript"/>
        </w:rPr>
        <w:t>ec</w:t>
      </w:r>
      <w:r>
        <w:rPr>
          <w:noProof/>
        </w:rPr>
        <w:t xml:space="preserve"> + e </w:t>
      </w:r>
      <w:r>
        <w:rPr>
          <w:noProof/>
          <w:vertAlign w:val="subscript"/>
        </w:rPr>
        <w:t>l</w:t>
      </w:r>
      <w:r>
        <w:rPr>
          <w:noProof/>
        </w:rPr>
        <w:t xml:space="preserve"> + e</w:t>
      </w:r>
      <w:r>
        <w:rPr>
          <w:noProof/>
          <w:vertAlign w:val="subscript"/>
        </w:rPr>
        <w:t>sca</w:t>
      </w:r>
      <w:r>
        <w:rPr>
          <w:noProof/>
        </w:rPr>
        <w:t xml:space="preserve"> + te części e</w:t>
      </w:r>
      <w:r>
        <w:rPr>
          <w:noProof/>
          <w:vertAlign w:val="subscript"/>
        </w:rPr>
        <w:t>p</w:t>
      </w:r>
      <w:r>
        <w:rPr>
          <w:noProof/>
        </w:rPr>
        <w:t>, e</w:t>
      </w:r>
      <w:r>
        <w:rPr>
          <w:noProof/>
          <w:vertAlign w:val="subscript"/>
        </w:rPr>
        <w:t>td</w:t>
      </w:r>
      <w:r>
        <w:rPr>
          <w:noProof/>
        </w:rPr>
        <w:t>, e</w:t>
      </w:r>
      <w:r>
        <w:rPr>
          <w:noProof/>
          <w:vertAlign w:val="subscript"/>
        </w:rPr>
        <w:t>ccs</w:t>
      </w:r>
      <w:r>
        <w:rPr>
          <w:noProof/>
        </w:rPr>
        <w:t>, i e</w:t>
      </w:r>
      <w:r>
        <w:rPr>
          <w:noProof/>
          <w:vertAlign w:val="subscript"/>
        </w:rPr>
        <w:t>ccr</w:t>
      </w:r>
      <w:r>
        <w:rPr>
          <w:noProof/>
        </w:rPr>
        <w:t xml:space="preserve">, które mają miejsce przed fazą produkcji, w której powstaje </w:t>
      </w:r>
      <w:r>
        <w:rPr>
          <w:noProof/>
        </w:rPr>
        <w:t>produkt uboczny i w jej trakcie. Jeśli w odniesieniu do tych produktów ubocznych jakiekolwiek emisje przypisano do wcześniejszych faz produkcji w cyklu życia, uwzględnia się jedynie tę część emisji, którą przypisano do pośredniego produktu paliwowego w ost</w:t>
      </w:r>
      <w:r>
        <w:rPr>
          <w:noProof/>
        </w:rPr>
        <w:t xml:space="preserve">atniej fazie produkcji, a nie całość emisji. </w:t>
      </w:r>
    </w:p>
    <w:p w14:paraId="2DE545C5" w14:textId="77777777" w:rsidR="00C605CC" w:rsidRDefault="00D44079">
      <w:pPr>
        <w:ind w:left="1777"/>
        <w:rPr>
          <w:noProof/>
        </w:rPr>
      </w:pPr>
      <w:r>
        <w:rPr>
          <w:noProof/>
        </w:rPr>
        <w:t>W przypadku biogazu i biometanu do celów powyższych obliczeń uwzględnia się wszystkie produkty uboczne, które nie wchodzą w zakres pkt 7. Odpadom i pozostałościom nie przypisuje się emisji. W obliczeniach produ</w:t>
      </w:r>
      <w:r>
        <w:rPr>
          <w:noProof/>
        </w:rPr>
        <w:t xml:space="preserve">kty uboczne mające negatywną wartość energetyczną uznaje się za posiadające zerową wartość energetyczną. </w:t>
      </w:r>
    </w:p>
    <w:p w14:paraId="4FB25EF2" w14:textId="77777777" w:rsidR="00C605CC" w:rsidRDefault="00D44079">
      <w:pPr>
        <w:ind w:left="1777"/>
        <w:rPr>
          <w:noProof/>
        </w:rPr>
      </w:pPr>
      <w:r>
        <w:rPr>
          <w:noProof/>
        </w:rPr>
        <w:t>Odpady i pozostałości, w tym wszystkie odpady i pozostałości uwzględnione w załączniku IX, uznaje się za materiały o zerowej emisji gazów cieplarniany</w:t>
      </w:r>
      <w:r>
        <w:rPr>
          <w:noProof/>
        </w:rPr>
        <w:t xml:space="preserve">ch w całym cyklu życia, aż do momentu ich zbiórki, bez względu na to, czy są przetwarzane na produkty pośrednie przed przekształceniem w produkt końcowy. Uznaje się, że w przypadku pozostałości </w:t>
      </w:r>
      <w:r>
        <w:rPr>
          <w:noProof/>
          <w:color w:val="212121"/>
          <w:szCs w:val="24"/>
        </w:rPr>
        <w:t>nieuwzględnionych w załączniku IX i </w:t>
      </w:r>
      <w:r>
        <w:rPr>
          <w:noProof/>
        </w:rPr>
        <w:t xml:space="preserve">nadających się do </w:t>
      </w:r>
      <w:r>
        <w:rPr>
          <w:noProof/>
        </w:rPr>
        <w:t>wykorzystania na rynku żywności lub pasz wartość związanych z nimi emisji spowodowanych wydobyciem, zbiorem lub uprawą surowców (e</w:t>
      </w:r>
      <w:r>
        <w:rPr>
          <w:noProof/>
          <w:vertAlign w:val="subscript"/>
        </w:rPr>
        <w:t>ec</w:t>
      </w:r>
      <w:r>
        <w:rPr>
          <w:noProof/>
        </w:rPr>
        <w:t>) odpowiada wartości takich emisji związanych z najbliższym ich zamiennikiem na rynku żywności i pasz, uwzględnionym w tabel</w:t>
      </w:r>
      <w:r>
        <w:rPr>
          <w:noProof/>
        </w:rPr>
        <w:t xml:space="preserve">i w załączniku V część D. </w:t>
      </w:r>
    </w:p>
    <w:p w14:paraId="08F15597" w14:textId="77777777" w:rsidR="00C605CC" w:rsidRDefault="00D44079">
      <w:pPr>
        <w:ind w:left="1777"/>
        <w:rPr>
          <w:noProof/>
          <w:szCs w:val="24"/>
        </w:rPr>
      </w:pPr>
      <w:r>
        <w:rPr>
          <w:noProof/>
        </w:rPr>
        <w:t>W przypadku paliw z biomasy produkowanych w rafineriach, innych niż zakłady przetwórcze w połączeniu z kotłami lub układami kogeneracyjnymi dostarczającymi ciepło lub energię elektryczną do zakładów przetwórczych, jednostką anali</w:t>
      </w:r>
      <w:r>
        <w:rPr>
          <w:noProof/>
        </w:rPr>
        <w:t>tyczną do celów obliczeń, o których mowa w pkt 17, jest rafineria.”;</w:t>
      </w:r>
    </w:p>
    <w:p w14:paraId="2D6D3602" w14:textId="77777777" w:rsidR="00C605CC" w:rsidRDefault="00C605CC">
      <w:pPr>
        <w:ind w:left="1984"/>
        <w:rPr>
          <w:noProof/>
          <w:szCs w:val="24"/>
        </w:rPr>
      </w:pPr>
    </w:p>
    <w:p w14:paraId="51BDAE63" w14:textId="77777777" w:rsidR="00C605CC" w:rsidRDefault="00D44079">
      <w:pPr>
        <w:pStyle w:val="Point1"/>
        <w:rPr>
          <w:noProof/>
        </w:rPr>
      </w:pPr>
      <w:r>
        <w:rPr>
          <w:noProof/>
        </w:rPr>
        <w:t>7)</w:t>
      </w:r>
      <w:r>
        <w:rPr>
          <w:noProof/>
        </w:rPr>
        <w:tab/>
        <w:t>w załączniku VII w definicji „Q</w:t>
      </w:r>
      <w:r>
        <w:rPr>
          <w:noProof/>
          <w:vertAlign w:val="subscript"/>
        </w:rPr>
        <w:t>usable</w:t>
      </w:r>
      <w:r>
        <w:rPr>
          <w:noProof/>
        </w:rPr>
        <w:t>” odesłanie do art. 7 ust. 4 zastępuje się odesłaniem do art. 7 ust. 3;</w:t>
      </w:r>
    </w:p>
    <w:p w14:paraId="74D7E6A0" w14:textId="77777777" w:rsidR="00C605CC" w:rsidRDefault="00C605CC">
      <w:pPr>
        <w:rPr>
          <w:noProof/>
        </w:rPr>
      </w:pPr>
    </w:p>
    <w:p w14:paraId="19B78016" w14:textId="77777777" w:rsidR="00C605CC" w:rsidRDefault="00D44079">
      <w:pPr>
        <w:pStyle w:val="Point1"/>
        <w:rPr>
          <w:noProof/>
        </w:rPr>
      </w:pPr>
      <w:r>
        <w:rPr>
          <w:noProof/>
        </w:rPr>
        <w:t>8)</w:t>
      </w:r>
      <w:r>
        <w:rPr>
          <w:noProof/>
        </w:rPr>
        <w:tab/>
        <w:t>w załączniku IX wprowadza się następujące zmiany:</w:t>
      </w:r>
    </w:p>
    <w:p w14:paraId="2FB99E7D" w14:textId="77777777" w:rsidR="00C605CC" w:rsidRDefault="00D44079">
      <w:pPr>
        <w:pStyle w:val="Point2"/>
        <w:rPr>
          <w:noProof/>
        </w:rPr>
      </w:pPr>
      <w:r>
        <w:rPr>
          <w:noProof/>
        </w:rPr>
        <w:t>a)</w:t>
      </w:r>
      <w:r>
        <w:rPr>
          <w:noProof/>
        </w:rPr>
        <w:tab/>
      </w:r>
      <w:r>
        <w:rPr>
          <w:noProof/>
        </w:rPr>
        <w:t xml:space="preserve">w części A formuła wprowadzająca otrzymuje brzmienie: </w:t>
      </w:r>
    </w:p>
    <w:p w14:paraId="7F01FAB9" w14:textId="77777777" w:rsidR="00C605CC" w:rsidRDefault="00D44079">
      <w:pPr>
        <w:ind w:left="1417"/>
        <w:rPr>
          <w:noProof/>
        </w:rPr>
      </w:pPr>
      <w:r>
        <w:rPr>
          <w:noProof/>
        </w:rPr>
        <w:t>„Surowce do produkcji biogazu na potrzeby transportu i zaawansowanych biopaliw:”;</w:t>
      </w:r>
    </w:p>
    <w:p w14:paraId="09FC78D5" w14:textId="77777777" w:rsidR="00C605CC" w:rsidRDefault="00D44079">
      <w:pPr>
        <w:pStyle w:val="Point2"/>
        <w:rPr>
          <w:noProof/>
        </w:rPr>
      </w:pPr>
      <w:r>
        <w:rPr>
          <w:noProof/>
        </w:rPr>
        <w:t>b)</w:t>
      </w:r>
      <w:r>
        <w:rPr>
          <w:noProof/>
        </w:rPr>
        <w:tab/>
        <w:t>w części B formuła wprowadzająca otrzymuje brzmienie:</w:t>
      </w:r>
    </w:p>
    <w:p w14:paraId="35B42CF7" w14:textId="77777777" w:rsidR="00C605CC" w:rsidRDefault="00D44079">
      <w:pPr>
        <w:ind w:left="1417"/>
        <w:rPr>
          <w:noProof/>
        </w:rPr>
      </w:pPr>
      <w:r>
        <w:rPr>
          <w:noProof/>
        </w:rPr>
        <w:t>„Surowce do produkcji biopaliw i biogazu na potrzeby transport</w:t>
      </w:r>
      <w:r>
        <w:rPr>
          <w:noProof/>
        </w:rPr>
        <w:t>u, których wkład w osiągnięcie celu dotyczącego redukcji emisji gazów cieplarnianych, określonego w art. 25 ust. 1 akapit pierwszy lit. a), jest ograniczony:”.</w:t>
      </w:r>
    </w:p>
    <w:p w14:paraId="5C2DD24D" w14:textId="77777777" w:rsidR="00C605CC" w:rsidRDefault="00C605CC">
      <w:pPr>
        <w:rPr>
          <w:noProof/>
        </w:rPr>
        <w:sectPr w:rsidR="00C605CC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14:paraId="64E9B441" w14:textId="77777777" w:rsidR="00C605CC" w:rsidRDefault="00D44079">
      <w:pPr>
        <w:pStyle w:val="Annexetitre"/>
        <w:rPr>
          <w:noProof/>
        </w:rPr>
      </w:pPr>
      <w:r>
        <w:rPr>
          <w:noProof/>
        </w:rPr>
        <w:lastRenderedPageBreak/>
        <w:t>ZAŁĄCZNIK II</w:t>
      </w:r>
    </w:p>
    <w:p w14:paraId="74B50B1C" w14:textId="77777777" w:rsidR="00C605CC" w:rsidRDefault="00D44079">
      <w:pPr>
        <w:keepNext/>
        <w:tabs>
          <w:tab w:val="left" w:pos="4252"/>
        </w:tabs>
        <w:spacing w:before="720" w:after="0"/>
        <w:rPr>
          <w:noProof/>
        </w:rPr>
      </w:pPr>
      <w:r>
        <w:rPr>
          <w:noProof/>
        </w:rPr>
        <w:t>W załącznikach I, II, IV i V</w:t>
      </w:r>
      <w:r>
        <w:rPr>
          <w:noProof/>
        </w:rPr>
        <w:t xml:space="preserve"> do dyrektywy 98/70/WE wprowadza się następujące zmiany:</w:t>
      </w:r>
    </w:p>
    <w:p w14:paraId="607827C8" w14:textId="77777777" w:rsidR="00C605CC" w:rsidRDefault="00D44079">
      <w:pPr>
        <w:pStyle w:val="Point1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w załączniku I wprowadza się następujące zmiany: </w:t>
      </w:r>
    </w:p>
    <w:p w14:paraId="7C9B122C" w14:textId="77777777" w:rsidR="00C605CC" w:rsidRDefault="00D44079">
      <w:pPr>
        <w:pStyle w:val="Point2"/>
        <w:rPr>
          <w:noProof/>
        </w:rPr>
      </w:pPr>
      <w:r>
        <w:rPr>
          <w:noProof/>
        </w:rPr>
        <w:t>a)</w:t>
      </w:r>
      <w:r>
        <w:rPr>
          <w:noProof/>
        </w:rPr>
        <w:tab/>
        <w:t>przypis 1 otrzymuje brzmienie:</w:t>
      </w:r>
    </w:p>
    <w:p w14:paraId="64151F1D" w14:textId="77777777" w:rsidR="00C605CC" w:rsidRDefault="00D44079">
      <w:pPr>
        <w:ind w:left="1417"/>
        <w:rPr>
          <w:noProof/>
        </w:rPr>
      </w:pPr>
      <w:r>
        <w:rPr>
          <w:noProof/>
        </w:rPr>
        <w:t>„1) Metody testów określone w normie EN 228:2012+A1:2017. Państwa członkowskie mogą przyjąć metodę analityczną o</w:t>
      </w:r>
      <w:r>
        <w:rPr>
          <w:noProof/>
        </w:rPr>
        <w:t>kreśloną w normie zastępczej EN 228:2012+A1:2017, jeśli możliwe jest wykazanie, że metoda ta cechuje się co najmniej taką samą dokładnością i co najmniej takim samym stopniem precyzji co metoda analityczna, którą zastępuje.” ;</w:t>
      </w:r>
    </w:p>
    <w:p w14:paraId="19578290" w14:textId="77777777" w:rsidR="00C605CC" w:rsidRDefault="00D44079">
      <w:pPr>
        <w:pStyle w:val="Point2"/>
        <w:rPr>
          <w:noProof/>
        </w:rPr>
      </w:pPr>
      <w:r>
        <w:rPr>
          <w:noProof/>
        </w:rPr>
        <w:t>b)</w:t>
      </w:r>
      <w:r>
        <w:rPr>
          <w:noProof/>
        </w:rPr>
        <w:tab/>
        <w:t>przypis 2 otrzymuje brzmie</w:t>
      </w:r>
      <w:r>
        <w:rPr>
          <w:noProof/>
        </w:rPr>
        <w:t>nie:</w:t>
      </w:r>
    </w:p>
    <w:p w14:paraId="4D389EC9" w14:textId="77777777" w:rsidR="00C605CC" w:rsidRDefault="00D44079">
      <w:pPr>
        <w:ind w:left="1417"/>
        <w:rPr>
          <w:noProof/>
        </w:rPr>
      </w:pPr>
      <w:r>
        <w:rPr>
          <w:noProof/>
        </w:rPr>
        <w:tab/>
        <w:t>„2) Wartości podane w specyfikacji są »wartościami rzeczywistymi«. W celu ustalenia ich wartości dopuszczalnych zastosowano warunki normy EN ISO 4259-1:2017/A1:2021 „Przetwory naftowe i produkty podobne – Precyzja metod pomiaru i wyników – Część 1: W</w:t>
      </w:r>
      <w:r>
        <w:rPr>
          <w:noProof/>
        </w:rPr>
        <w:t>yznaczanie danych precyzji dotyczących metod badania”, a w celu określenia wartości minimalnej wzięto pod uwagę minimalną różnicę 2R powyżej zera (R = odtwarzalność). Wyniki indywidualnych pomiarów interpretuje się na podstawie kryteriów określonych w norm</w:t>
      </w:r>
      <w:r>
        <w:rPr>
          <w:noProof/>
        </w:rPr>
        <w:t>ie EN ISO 4259-2:2017/A1:2019.”;</w:t>
      </w:r>
    </w:p>
    <w:p w14:paraId="10306202" w14:textId="77777777" w:rsidR="00C605CC" w:rsidRDefault="00D44079">
      <w:pPr>
        <w:pStyle w:val="Point2"/>
        <w:rPr>
          <w:noProof/>
        </w:rPr>
      </w:pPr>
      <w:r>
        <w:rPr>
          <w:noProof/>
        </w:rPr>
        <w:t>c)</w:t>
      </w:r>
      <w:r>
        <w:rPr>
          <w:noProof/>
        </w:rPr>
        <w:tab/>
        <w:t>przypis 6 otrzymuje brzmienie:</w:t>
      </w:r>
    </w:p>
    <w:p w14:paraId="2B2CAA2A" w14:textId="77777777" w:rsidR="00C605CC" w:rsidRDefault="00D44079">
      <w:pPr>
        <w:ind w:left="1417"/>
        <w:rPr>
          <w:noProof/>
        </w:rPr>
      </w:pPr>
      <w:r>
        <w:rPr>
          <w:noProof/>
        </w:rPr>
        <w:t>(6) Inne monoalkohole i etery o końcowej temperaturze wrzenia nie wyższej niż temperatura wrzenia określona w normie EN 228:2012 +A1:2017.”;</w:t>
      </w:r>
    </w:p>
    <w:p w14:paraId="6B88D304" w14:textId="77777777" w:rsidR="00C605CC" w:rsidRDefault="00D44079">
      <w:pPr>
        <w:pStyle w:val="Point1"/>
        <w:rPr>
          <w:noProof/>
        </w:rPr>
      </w:pPr>
      <w:r>
        <w:rPr>
          <w:noProof/>
        </w:rPr>
        <w:t>2)</w:t>
      </w:r>
      <w:r>
        <w:rPr>
          <w:noProof/>
        </w:rPr>
        <w:tab/>
        <w:t>w załączniku II wprowadza się następujące zmi</w:t>
      </w:r>
      <w:r>
        <w:rPr>
          <w:noProof/>
        </w:rPr>
        <w:t>any:</w:t>
      </w:r>
    </w:p>
    <w:p w14:paraId="7B141E69" w14:textId="77777777" w:rsidR="00C605CC" w:rsidRDefault="00D44079">
      <w:pPr>
        <w:pStyle w:val="Point2"/>
        <w:rPr>
          <w:noProof/>
        </w:rPr>
      </w:pPr>
      <w:r>
        <w:rPr>
          <w:noProof/>
        </w:rPr>
        <w:t>a)</w:t>
      </w:r>
      <w:r>
        <w:rPr>
          <w:noProof/>
        </w:rPr>
        <w:tab/>
        <w:t>w ostatnim wierszu w tabeli „Zawartość FAME — EN 14078” wpis w ostatniej kolumnie „Limity” „Maksimum” wartość „7,0” zastępuje się wartością „10,0”;</w:t>
      </w:r>
    </w:p>
    <w:p w14:paraId="4DDF99F4" w14:textId="77777777" w:rsidR="00C605CC" w:rsidRDefault="00D44079">
      <w:pPr>
        <w:pStyle w:val="Point2"/>
        <w:rPr>
          <w:noProof/>
        </w:rPr>
      </w:pPr>
      <w:r>
        <w:rPr>
          <w:noProof/>
        </w:rPr>
        <w:t>b)</w:t>
      </w:r>
      <w:r>
        <w:rPr>
          <w:noProof/>
        </w:rPr>
        <w:tab/>
        <w:t>przypis 1 otrzymuje brzmienie:</w:t>
      </w:r>
    </w:p>
    <w:p w14:paraId="16221091" w14:textId="77777777" w:rsidR="00C605CC" w:rsidRDefault="00D44079">
      <w:pPr>
        <w:ind w:left="1417"/>
        <w:rPr>
          <w:noProof/>
        </w:rPr>
      </w:pPr>
      <w:r>
        <w:rPr>
          <w:noProof/>
        </w:rPr>
        <w:t xml:space="preserve">„1) Metody testów określone w normie EN 590:2013+A1:2017. Państwa </w:t>
      </w:r>
      <w:r>
        <w:rPr>
          <w:noProof/>
        </w:rPr>
        <w:t>członkowskie mogą przyjąć metodę analityczną określoną w normie zastępczej EN 590:2013+A1:2017, jeśli możliwe jest wykazanie, że metoda ta cechuje się co najmniej taką samą dokładnością i co najmniej takim samym stopniem precyzji co metoda analityczna, któ</w:t>
      </w:r>
      <w:r>
        <w:rPr>
          <w:noProof/>
        </w:rPr>
        <w:t>rą zastępuje.”;</w:t>
      </w:r>
    </w:p>
    <w:p w14:paraId="33E245DF" w14:textId="77777777" w:rsidR="00C605CC" w:rsidRDefault="00D44079">
      <w:pPr>
        <w:pStyle w:val="Point2"/>
        <w:rPr>
          <w:noProof/>
        </w:rPr>
      </w:pPr>
      <w:r>
        <w:rPr>
          <w:noProof/>
        </w:rPr>
        <w:t>c)</w:t>
      </w:r>
      <w:r>
        <w:rPr>
          <w:noProof/>
        </w:rPr>
        <w:tab/>
        <w:t>przypis 2 otrzymuje brzmienie:</w:t>
      </w:r>
    </w:p>
    <w:p w14:paraId="0A9F4286" w14:textId="77777777" w:rsidR="00C605CC" w:rsidRDefault="00D44079">
      <w:pPr>
        <w:ind w:left="1417"/>
        <w:rPr>
          <w:noProof/>
        </w:rPr>
      </w:pPr>
      <w:r>
        <w:rPr>
          <w:noProof/>
        </w:rPr>
        <w:t>„2) Wartości podane w specyfikacji są »wartościami rzeczywistymi«. W celu ustalenia ich wartości dopuszczalnych zastosowano warunki normy EN ISO 4259-1:2017/A1:2021 „Przetwory naftowe i produkty podobne – P</w:t>
      </w:r>
      <w:r>
        <w:rPr>
          <w:noProof/>
        </w:rPr>
        <w:t>recyzja metod pomiaru i wyników – Część 1: Wyznaczanie danych precyzji dotyczących metod badania”, a w celu określenia wartości minimalnej wzięto pod uwagę minimalną różnicę 2R powyżej zera (R = odtwarzalność). Wyniki indywidualnych pomiarów interpretuje s</w:t>
      </w:r>
      <w:r>
        <w:rPr>
          <w:noProof/>
        </w:rPr>
        <w:t>ię na podstawie kryteriów określonych w normie EN ISO 4259-2:2017/A1:2019.”;</w:t>
      </w:r>
    </w:p>
    <w:p w14:paraId="1AC7BF3C" w14:textId="77777777" w:rsidR="00C605CC" w:rsidRDefault="00D44079">
      <w:pPr>
        <w:pStyle w:val="Point1"/>
        <w:rPr>
          <w:noProof/>
        </w:rPr>
      </w:pPr>
      <w:r>
        <w:rPr>
          <w:noProof/>
        </w:rPr>
        <w:t>3)</w:t>
      </w:r>
      <w:r>
        <w:rPr>
          <w:noProof/>
        </w:rPr>
        <w:tab/>
        <w:t>uchyla się załączniki IV i V.</w:t>
      </w:r>
    </w:p>
    <w:sectPr w:rsidR="00C605CC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8AD8" w14:textId="77777777" w:rsidR="00D44079" w:rsidRDefault="00D44079">
      <w:pPr>
        <w:spacing w:before="0" w:after="0"/>
      </w:pPr>
      <w:r>
        <w:separator/>
      </w:r>
    </w:p>
  </w:endnote>
  <w:endnote w:type="continuationSeparator" w:id="0">
    <w:p w14:paraId="4C93545F" w14:textId="77777777" w:rsidR="00D44079" w:rsidRDefault="00D440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8C01" w14:textId="77777777" w:rsidR="00C605CC" w:rsidRDefault="00C60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4729" w14:textId="77777777" w:rsidR="00C605CC" w:rsidRDefault="00D44079">
    <w:pPr>
      <w:pStyle w:val="Stopka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826E" w14:textId="77777777" w:rsidR="00C605CC" w:rsidRDefault="00C605C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5AE4" w14:textId="77777777" w:rsidR="00C605CC" w:rsidRDefault="00D44079">
    <w:pPr>
      <w:pStyle w:val="Stopka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23F7" w14:textId="77777777" w:rsidR="00C605CC" w:rsidRDefault="00C60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126E" w14:textId="77777777" w:rsidR="00D44079" w:rsidRDefault="00D44079">
      <w:pPr>
        <w:spacing w:before="0" w:after="0"/>
      </w:pPr>
      <w:r>
        <w:separator/>
      </w:r>
    </w:p>
  </w:footnote>
  <w:footnote w:type="continuationSeparator" w:id="0">
    <w:p w14:paraId="79B5722F" w14:textId="77777777" w:rsidR="00D44079" w:rsidRDefault="00D44079">
      <w:pPr>
        <w:spacing w:before="0" w:after="0"/>
      </w:pPr>
      <w:r>
        <w:continuationSeparator/>
      </w:r>
    </w:p>
  </w:footnote>
  <w:footnote w:id="1">
    <w:p w14:paraId="5214DFAF" w14:textId="77777777" w:rsidR="00C605CC" w:rsidRDefault="00D44079">
      <w:pPr>
        <w:pStyle w:val="Tekstprzypisudolnego"/>
      </w:pPr>
      <w:r>
        <w:rPr>
          <w:rStyle w:val="Odwoanieprzypisudolnego"/>
        </w:rPr>
        <w:footnoteRef/>
      </w:r>
      <w:r>
        <w:tab/>
        <w:t xml:space="preserve">Dowodem takim mogą być pomiary ilości pierwiastka węgla w glebie, np. pierwszy pomiar przed uprawą i kolejne pomiary </w:t>
      </w:r>
      <w:r>
        <w:t>w regularnych odstępach co kilka lat. W takim przypadku, zanim dostępny będzie drugi pomiar, wzrost ilości pierwiastka węgla w glebie szacowany byłby na podstawie reprezentatywnych eksperymentów lub modeli gleby. Od drugiego pomiaru pomiary stanowiłyby pod</w:t>
      </w:r>
      <w:r>
        <w:t>stawę stwierdzenia faktu wzrostu ilości pierwiastka węgla w glebie i określenia wielkości tego wzrostu.</w:t>
      </w:r>
    </w:p>
  </w:footnote>
  <w:footnote w:id="2">
    <w:p w14:paraId="05D629AC" w14:textId="77777777" w:rsidR="00C605CC" w:rsidRDefault="00D44079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ab/>
        <w:t xml:space="preserve">Pomiary ilości pierwiastka węgla w glebie mogą stanowić taki dowód, np. przez pierwszy pomiar przed uprawą i kolejne pomiary </w:t>
      </w:r>
      <w:r>
        <w:t>w regularnych odstępach co kilka lat. W takim przypadku, zanim dostępny będzie drugi pomiar, wzrost ilości pierwiastka węgla w glebie szacowany byłby na podstawie reprezentatywnych eksperymentów lub modeli gleby. Od drugiego pomiaru pomiary stanowiłyby pod</w:t>
      </w:r>
      <w:r>
        <w:t>stawę stwierdzenia faktu wzrostu ilości pierwiastka węgla w glebie i określenia wielkości tego wzrostu.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875D" w14:textId="77777777" w:rsidR="00C605CC" w:rsidRDefault="00C605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1AB9" w14:textId="77777777" w:rsidR="00C605CC" w:rsidRDefault="00C605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67A" w14:textId="77777777" w:rsidR="00C605CC" w:rsidRDefault="00C605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7C08B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25AA5F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116D40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ABBCF2F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C7C6E9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4888FD1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8AE65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1FAC82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2"/>
  </w:num>
  <w:num w:numId="11">
    <w:abstractNumId w:val="21"/>
  </w:num>
  <w:num w:numId="12">
    <w:abstractNumId w:val="11"/>
  </w:num>
  <w:num w:numId="13">
    <w:abstractNumId w:val="13"/>
  </w:num>
  <w:num w:numId="14">
    <w:abstractNumId w:val="9"/>
  </w:num>
  <w:num w:numId="15">
    <w:abstractNumId w:val="20"/>
  </w:num>
  <w:num w:numId="16">
    <w:abstractNumId w:val="8"/>
  </w:num>
  <w:num w:numId="17">
    <w:abstractNumId w:val="15"/>
  </w:num>
  <w:num w:numId="18">
    <w:abstractNumId w:val="17"/>
  </w:num>
  <w:num w:numId="19">
    <w:abstractNumId w:val="18"/>
  </w:num>
  <w:num w:numId="20">
    <w:abstractNumId w:val="10"/>
  </w:num>
  <w:num w:numId="21">
    <w:abstractNumId w:val="16"/>
  </w:num>
  <w:num w:numId="22">
    <w:abstractNumId w:val="22"/>
  </w:num>
  <w:num w:numId="23">
    <w:abstractNumId w:val="19"/>
  </w:num>
  <w:num w:numId="24">
    <w:abstractNumId w:val="12"/>
  </w:num>
  <w:num w:numId="25">
    <w:abstractNumId w:val="21"/>
  </w:num>
  <w:num w:numId="26">
    <w:abstractNumId w:val="11"/>
  </w:num>
  <w:num w:numId="27">
    <w:abstractNumId w:val="13"/>
  </w:num>
  <w:num w:numId="28">
    <w:abstractNumId w:val="14"/>
  </w:num>
  <w:num w:numId="29">
    <w:abstractNumId w:val="9"/>
  </w:num>
  <w:num w:numId="30">
    <w:abstractNumId w:val="20"/>
  </w:num>
  <w:num w:numId="31">
    <w:abstractNumId w:val="8"/>
  </w:num>
  <w:num w:numId="32">
    <w:abstractNumId w:val="15"/>
  </w:num>
  <w:num w:numId="33">
    <w:abstractNumId w:val="17"/>
  </w:num>
  <w:num w:numId="34">
    <w:abstractNumId w:val="18"/>
  </w:num>
  <w:num w:numId="35">
    <w:abstractNumId w:val="10"/>
  </w:num>
  <w:num w:numId="36">
    <w:abstractNumId w:val="16"/>
  </w:num>
  <w:num w:numId="3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R_RefLast" w:val="0"/>
    <w:docVar w:name="DQCDateTime" w:val="2021-09-10 12:10:5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7067A4C0-6021-4E67-8247-58CFF85DB334"/>
    <w:docVar w:name="LW_COVERPAGE_TYPE" w:val="1"/>
    <w:docVar w:name="LW_CROSSREFERENCE" w:val="{SEC(2021) 657 final} - {SWD(2021) 620 final} - {SWD(2021) 621 final} - {SWD(2021) 622 final}"/>
    <w:docVar w:name="LW_DocType" w:val="ANNEX"/>
    <w:docVar w:name="LW_EMISSION" w:val="14.7.2021"/>
    <w:docVar w:name="LW_EMISSION_ISODATE" w:val="2021-07-14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DYREKTYWY PARLAMENTU EUROPEJSKIEGO I RADY_x000d__x000b_zmieniaj\u261?cej dyrektyw\u281? Parlamentu Europejskiego i Rady (UE) 2018/2001, rozporz\u261?dzenie Parlamentu Europejskiego i Rady (UE) 2018/1999 i dyrektyw\u281? 98/70/WE Parlamentu Europejskiego i Rady w odniesieniu do promowania energii ze \u378?róde\u322? odnawialnych oraz uchylaj\u261?cej dyrektyw\u281? Rady (UE) 2015/652"/>
    <w:docVar w:name="LW_OBJETACTEPRINCIPAL.CP" w:val="DYREKTYWY PARLAMENTU EUROPEJSKIEGO I RADY_x000d__x000b_zmieniaj\u261?cej dyrektyw\u281? Parlamentu Europejskiego i Rady (UE) 2018/2001, rozporz\u261?dzenie Parlamentu Europejskiego i Rady (UE) 2018/1999 i dyrektyw\u281? 98/70/WE Parlamentu Europejskiego i Rady w odniesieniu do promowania energii ze \u378?róde\u322? odnawialnych oraz uchylaj\u261?cej dyrektyw\u281? Rady (UE) 2015/652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1) 55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ZA\u321?\u260?CZNIKI"/>
    <w:docVar w:name="LW_TYPE.DOC.CP" w:val="ZA\u321?\u260?CZNIKI"/>
    <w:docVar w:name="LW_TYPEACTEPRINCIPAL" w:val="wniosku dotycz\u261?cego"/>
    <w:docVar w:name="LW_TYPEACTEPRINCIPAL.CP" w:val="wniosku dotycz\u261?cego"/>
    <w:docVar w:name="LwApiVersions" w:val="LW4CoDe 1.23.0.0; LW 8.0, Build 20210114"/>
  </w:docVars>
  <w:rsids>
    <w:rsidRoot w:val="00C605CC"/>
    <w:rsid w:val="007D341A"/>
    <w:rsid w:val="00C605CC"/>
    <w:rsid w:val="00D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8FFC7"/>
  <w15:docId w15:val="{6DDD5842-9DAE-44F6-8722-60D4FD35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Nagwek1">
    <w:name w:val="heading 1"/>
    <w:basedOn w:val="Normalny"/>
    <w:next w:val="Text1"/>
    <w:link w:val="Nagwek1Znak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paragraph" w:styleId="Nagwek5">
    <w:name w:val="heading 5"/>
    <w:basedOn w:val="Normalny"/>
    <w:next w:val="Text2"/>
    <w:link w:val="Nagwek5Znak"/>
    <w:uiPriority w:val="9"/>
    <w:semiHidden/>
    <w:unhideWhenUsed/>
    <w:qFormat/>
    <w:pPr>
      <w:keepNext/>
      <w:numPr>
        <w:ilvl w:val="4"/>
        <w:numId w:val="30"/>
      </w:numPr>
      <w:outlineLvl w:val="4"/>
    </w:pPr>
    <w:rPr>
      <w:rFonts w:eastAsiaTheme="majorEastAsia"/>
    </w:rPr>
  </w:style>
  <w:style w:type="paragraph" w:styleId="Nagwek6">
    <w:name w:val="heading 6"/>
    <w:basedOn w:val="Normalny"/>
    <w:next w:val="Text2"/>
    <w:link w:val="Nagwek6Znak"/>
    <w:uiPriority w:val="9"/>
    <w:semiHidden/>
    <w:unhideWhenUsed/>
    <w:qFormat/>
    <w:pPr>
      <w:keepNext/>
      <w:numPr>
        <w:ilvl w:val="5"/>
        <w:numId w:val="30"/>
      </w:numPr>
      <w:outlineLvl w:val="5"/>
    </w:pPr>
    <w:rPr>
      <w:rFonts w:eastAsiaTheme="majorEastAsia"/>
      <w:iCs/>
    </w:rPr>
  </w:style>
  <w:style w:type="paragraph" w:styleId="Nagwek7">
    <w:name w:val="heading 7"/>
    <w:basedOn w:val="Normalny"/>
    <w:next w:val="Text2"/>
    <w:link w:val="Nagwek7Znak"/>
    <w:uiPriority w:val="9"/>
    <w:semiHidden/>
    <w:unhideWhenUsed/>
    <w:qFormat/>
    <w:pPr>
      <w:keepNext/>
      <w:numPr>
        <w:ilvl w:val="6"/>
        <w:numId w:val="30"/>
      </w:numPr>
      <w:outlineLvl w:val="6"/>
    </w:pPr>
    <w:rPr>
      <w:rFonts w:eastAsiaTheme="majorEastAsia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semiHidden/>
    <w:unhideWhenUsed/>
    <w:pPr>
      <w:spacing w:after="0"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8"/>
      </w:numPr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lang w:val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="Times New Roman" w:eastAsiaTheme="majorEastAsia" w:hAnsi="Times New Roman" w:cs="Times New Roman"/>
      <w:sz w:val="24"/>
      <w:shd w:val="clear" w:color="auto" w:fill="auto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paragraph" w:styleId="Nagwekspisutreci">
    <w:name w:val="TOC Heading"/>
    <w:basedOn w:val="Normalny"/>
    <w:next w:val="Normalny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2">
    <w:name w:val="toc 2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3">
    <w:name w:val="toc 3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4">
    <w:name w:val="toc 4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5">
    <w:name w:val="toc 5"/>
    <w:basedOn w:val="Normalny"/>
    <w:next w:val="Normalny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Spistreci6">
    <w:name w:val="toc 6"/>
    <w:basedOn w:val="Normalny"/>
    <w:next w:val="Normalny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Spistreci7">
    <w:name w:val="toc 7"/>
    <w:basedOn w:val="Normalny"/>
    <w:next w:val="Normalny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Spistreci8">
    <w:name w:val="toc 8"/>
    <w:basedOn w:val="Normalny"/>
    <w:next w:val="Normalny"/>
    <w:uiPriority w:val="39"/>
    <w:semiHidden/>
    <w:unhideWhenUsed/>
    <w:pPr>
      <w:tabs>
        <w:tab w:val="right" w:leader="dot" w:pos="9071"/>
      </w:tabs>
      <w:jc w:val="left"/>
    </w:pPr>
  </w:style>
  <w:style w:type="paragraph" w:styleId="Spistreci9">
    <w:name w:val="toc 9"/>
    <w:basedOn w:val="Normalny"/>
    <w:next w:val="Normalny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ny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ny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ny"/>
    <w:pPr>
      <w:ind w:left="850"/>
    </w:pPr>
  </w:style>
  <w:style w:type="paragraph" w:customStyle="1" w:styleId="Text2">
    <w:name w:val="Text 2"/>
    <w:basedOn w:val="Normalny"/>
    <w:pPr>
      <w:ind w:left="1417"/>
    </w:pPr>
  </w:style>
  <w:style w:type="paragraph" w:customStyle="1" w:styleId="Text3">
    <w:name w:val="Text 3"/>
    <w:basedOn w:val="Normalny"/>
    <w:pPr>
      <w:ind w:left="1984"/>
    </w:pPr>
  </w:style>
  <w:style w:type="paragraph" w:customStyle="1" w:styleId="Text4">
    <w:name w:val="Text 4"/>
    <w:basedOn w:val="Normalny"/>
    <w:pPr>
      <w:ind w:left="2551"/>
    </w:pPr>
  </w:style>
  <w:style w:type="paragraph" w:customStyle="1" w:styleId="Text5">
    <w:name w:val="Text 5"/>
    <w:basedOn w:val="Normalny"/>
    <w:pPr>
      <w:ind w:left="3118"/>
    </w:pPr>
  </w:style>
  <w:style w:type="paragraph" w:customStyle="1" w:styleId="Text6">
    <w:name w:val="Text 6"/>
    <w:basedOn w:val="Normalny"/>
    <w:pPr>
      <w:ind w:left="3685"/>
    </w:pPr>
  </w:style>
  <w:style w:type="paragraph" w:customStyle="1" w:styleId="NormalCentered">
    <w:name w:val="Normal Centered"/>
    <w:basedOn w:val="Normalny"/>
    <w:pPr>
      <w:jc w:val="center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NormalRight">
    <w:name w:val="Normal Right"/>
    <w:basedOn w:val="Normalny"/>
    <w:pPr>
      <w:jc w:val="right"/>
    </w:pPr>
  </w:style>
  <w:style w:type="paragraph" w:customStyle="1" w:styleId="QuotedText">
    <w:name w:val="Quoted Text"/>
    <w:basedOn w:val="Normalny"/>
    <w:pPr>
      <w:ind w:left="1417"/>
    </w:pPr>
  </w:style>
  <w:style w:type="paragraph" w:customStyle="1" w:styleId="Point0">
    <w:name w:val="Point 0"/>
    <w:basedOn w:val="Normalny"/>
    <w:pPr>
      <w:ind w:left="850" w:hanging="850"/>
    </w:pPr>
  </w:style>
  <w:style w:type="paragraph" w:customStyle="1" w:styleId="Point1">
    <w:name w:val="Point 1"/>
    <w:basedOn w:val="Normalny"/>
    <w:pPr>
      <w:ind w:left="1417" w:hanging="567"/>
    </w:pPr>
  </w:style>
  <w:style w:type="paragraph" w:customStyle="1" w:styleId="Point2">
    <w:name w:val="Point 2"/>
    <w:basedOn w:val="Normalny"/>
    <w:pPr>
      <w:ind w:left="1984" w:hanging="567"/>
    </w:pPr>
  </w:style>
  <w:style w:type="paragraph" w:customStyle="1" w:styleId="Point3">
    <w:name w:val="Point 3"/>
    <w:basedOn w:val="Normalny"/>
    <w:pPr>
      <w:ind w:left="2551" w:hanging="567"/>
    </w:pPr>
  </w:style>
  <w:style w:type="paragraph" w:customStyle="1" w:styleId="Point4">
    <w:name w:val="Point 4"/>
    <w:basedOn w:val="Normalny"/>
    <w:pPr>
      <w:ind w:left="3118" w:hanging="567"/>
    </w:pPr>
  </w:style>
  <w:style w:type="paragraph" w:customStyle="1" w:styleId="Point5">
    <w:name w:val="Point 5"/>
    <w:basedOn w:val="Normalny"/>
    <w:pPr>
      <w:ind w:left="3685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Tiret5">
    <w:name w:val="Tiret 5"/>
    <w:basedOn w:val="Point5"/>
    <w:pPr>
      <w:numPr>
        <w:numId w:val="28"/>
      </w:numPr>
    </w:pPr>
  </w:style>
  <w:style w:type="paragraph" w:customStyle="1" w:styleId="PointDouble0">
    <w:name w:val="PointDouble 0"/>
    <w:basedOn w:val="Normalny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ny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ny"/>
    <w:next w:val="Text1"/>
    <w:pPr>
      <w:numPr>
        <w:numId w:val="29"/>
      </w:numPr>
    </w:pPr>
  </w:style>
  <w:style w:type="paragraph" w:customStyle="1" w:styleId="NumPar2">
    <w:name w:val="NumPar 2"/>
    <w:basedOn w:val="Normalny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ny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ny"/>
    <w:next w:val="Text1"/>
    <w:pPr>
      <w:numPr>
        <w:ilvl w:val="3"/>
        <w:numId w:val="29"/>
      </w:numPr>
    </w:pPr>
  </w:style>
  <w:style w:type="paragraph" w:customStyle="1" w:styleId="NumPar5">
    <w:name w:val="NumPar 5"/>
    <w:basedOn w:val="Normalny"/>
    <w:next w:val="Text2"/>
    <w:pPr>
      <w:numPr>
        <w:ilvl w:val="4"/>
        <w:numId w:val="29"/>
      </w:numPr>
    </w:pPr>
  </w:style>
  <w:style w:type="paragraph" w:customStyle="1" w:styleId="NumPar6">
    <w:name w:val="NumPar 6"/>
    <w:basedOn w:val="Normalny"/>
    <w:next w:val="Text2"/>
    <w:pPr>
      <w:numPr>
        <w:ilvl w:val="5"/>
        <w:numId w:val="29"/>
      </w:numPr>
    </w:pPr>
  </w:style>
  <w:style w:type="paragraph" w:customStyle="1" w:styleId="NumPar7">
    <w:name w:val="NumPar 7"/>
    <w:basedOn w:val="Normalny"/>
    <w:next w:val="Text2"/>
    <w:pPr>
      <w:numPr>
        <w:ilvl w:val="6"/>
        <w:numId w:val="29"/>
      </w:numPr>
    </w:pPr>
  </w:style>
  <w:style w:type="paragraph" w:customStyle="1" w:styleId="ManualNumPar1">
    <w:name w:val="Manual NumPar 1"/>
    <w:basedOn w:val="Normalny"/>
    <w:next w:val="Text1"/>
    <w:pPr>
      <w:ind w:left="850" w:hanging="850"/>
    </w:pPr>
  </w:style>
  <w:style w:type="paragraph" w:customStyle="1" w:styleId="ManualNumPar2">
    <w:name w:val="Manual NumPar 2"/>
    <w:basedOn w:val="Normalny"/>
    <w:next w:val="Text1"/>
    <w:pPr>
      <w:ind w:left="850" w:hanging="850"/>
    </w:pPr>
  </w:style>
  <w:style w:type="paragraph" w:customStyle="1" w:styleId="ManualNumPar3">
    <w:name w:val="Manual NumPar 3"/>
    <w:basedOn w:val="Normalny"/>
    <w:next w:val="Text1"/>
    <w:pPr>
      <w:ind w:left="850" w:hanging="850"/>
    </w:pPr>
  </w:style>
  <w:style w:type="paragraph" w:customStyle="1" w:styleId="ManualNumPar4">
    <w:name w:val="Manual NumPar 4"/>
    <w:basedOn w:val="Normalny"/>
    <w:next w:val="Text1"/>
    <w:pPr>
      <w:ind w:left="850" w:hanging="850"/>
    </w:pPr>
  </w:style>
  <w:style w:type="paragraph" w:customStyle="1" w:styleId="ManualNumPar5">
    <w:name w:val="Manual NumPar 5"/>
    <w:basedOn w:val="Normalny"/>
    <w:next w:val="Text2"/>
    <w:pPr>
      <w:ind w:left="1417" w:hanging="1417"/>
    </w:pPr>
  </w:style>
  <w:style w:type="paragraph" w:customStyle="1" w:styleId="ManualNumPar6">
    <w:name w:val="Manual NumPar 6"/>
    <w:basedOn w:val="Normalny"/>
    <w:next w:val="Text2"/>
    <w:pPr>
      <w:ind w:left="1417" w:hanging="1417"/>
    </w:pPr>
  </w:style>
  <w:style w:type="paragraph" w:customStyle="1" w:styleId="ManualNumPar7">
    <w:name w:val="Manual NumPar 7"/>
    <w:basedOn w:val="Normalny"/>
    <w:next w:val="Text2"/>
    <w:pPr>
      <w:ind w:left="1417" w:hanging="1417"/>
    </w:pPr>
  </w:style>
  <w:style w:type="paragraph" w:customStyle="1" w:styleId="QuotedNumPar">
    <w:name w:val="Quoted NumPar"/>
    <w:basedOn w:val="Normalny"/>
    <w:pPr>
      <w:ind w:left="1417" w:hanging="567"/>
    </w:pPr>
  </w:style>
  <w:style w:type="paragraph" w:customStyle="1" w:styleId="ManualHeading1">
    <w:name w:val="Manual Heading 1"/>
    <w:basedOn w:val="Normalny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ormalny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ny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ny"/>
    <w:next w:val="Text2"/>
    <w:pPr>
      <w:keepNext/>
      <w:tabs>
        <w:tab w:val="left" w:pos="1417"/>
      </w:tabs>
      <w:ind w:left="1417" w:hanging="1417"/>
      <w:outlineLvl w:val="6"/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pPr>
      <w:jc w:val="center"/>
    </w:pPr>
    <w:rPr>
      <w:b/>
    </w:rPr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character" w:customStyle="1" w:styleId="Marker1">
    <w:name w:val="Marker1"/>
    <w:basedOn w:val="Domylnaczcionkaakapitu"/>
    <w:rPr>
      <w:color w:val="008000"/>
      <w:shd w:val="clear" w:color="auto" w:fill="auto"/>
    </w:rPr>
  </w:style>
  <w:style w:type="character" w:customStyle="1" w:styleId="Marker2">
    <w:name w:val="Marker2"/>
    <w:basedOn w:val="Domylnaczcionkaakapitu"/>
    <w:rPr>
      <w:color w:val="FF0000"/>
      <w:shd w:val="clear" w:color="auto" w:fill="auto"/>
    </w:rPr>
  </w:style>
  <w:style w:type="paragraph" w:customStyle="1" w:styleId="Point0number">
    <w:name w:val="Point 0 (number)"/>
    <w:basedOn w:val="Normalny"/>
    <w:pPr>
      <w:numPr>
        <w:numId w:val="31"/>
      </w:numPr>
    </w:pPr>
  </w:style>
  <w:style w:type="paragraph" w:customStyle="1" w:styleId="Point1number">
    <w:name w:val="Point 1 (number)"/>
    <w:basedOn w:val="Normalny"/>
    <w:pPr>
      <w:numPr>
        <w:ilvl w:val="2"/>
        <w:numId w:val="31"/>
      </w:numPr>
    </w:pPr>
  </w:style>
  <w:style w:type="paragraph" w:customStyle="1" w:styleId="Point2number">
    <w:name w:val="Point 2 (number)"/>
    <w:basedOn w:val="Normalny"/>
    <w:pPr>
      <w:numPr>
        <w:ilvl w:val="4"/>
        <w:numId w:val="31"/>
      </w:numPr>
    </w:pPr>
  </w:style>
  <w:style w:type="paragraph" w:customStyle="1" w:styleId="Point3number">
    <w:name w:val="Point 3 (number)"/>
    <w:basedOn w:val="Normalny"/>
    <w:pPr>
      <w:numPr>
        <w:ilvl w:val="6"/>
        <w:numId w:val="31"/>
      </w:numPr>
    </w:pPr>
  </w:style>
  <w:style w:type="paragraph" w:customStyle="1" w:styleId="Point0letter">
    <w:name w:val="Point 0 (letter)"/>
    <w:basedOn w:val="Normalny"/>
    <w:pPr>
      <w:numPr>
        <w:ilvl w:val="1"/>
        <w:numId w:val="31"/>
      </w:numPr>
    </w:pPr>
  </w:style>
  <w:style w:type="paragraph" w:customStyle="1" w:styleId="Point1letter">
    <w:name w:val="Point 1 (letter)"/>
    <w:basedOn w:val="Normalny"/>
    <w:pPr>
      <w:numPr>
        <w:ilvl w:val="3"/>
        <w:numId w:val="31"/>
      </w:numPr>
    </w:pPr>
  </w:style>
  <w:style w:type="paragraph" w:customStyle="1" w:styleId="Point2letter">
    <w:name w:val="Point 2 (letter)"/>
    <w:basedOn w:val="Normalny"/>
    <w:pPr>
      <w:numPr>
        <w:ilvl w:val="5"/>
        <w:numId w:val="31"/>
      </w:numPr>
    </w:pPr>
  </w:style>
  <w:style w:type="paragraph" w:customStyle="1" w:styleId="Point3letter">
    <w:name w:val="Point 3 (letter)"/>
    <w:basedOn w:val="Normalny"/>
    <w:pPr>
      <w:numPr>
        <w:ilvl w:val="7"/>
        <w:numId w:val="31"/>
      </w:numPr>
    </w:pPr>
  </w:style>
  <w:style w:type="paragraph" w:customStyle="1" w:styleId="Point4letter">
    <w:name w:val="Point 4 (letter)"/>
    <w:basedOn w:val="Normalny"/>
    <w:pPr>
      <w:numPr>
        <w:ilvl w:val="8"/>
        <w:numId w:val="31"/>
      </w:numPr>
    </w:pPr>
  </w:style>
  <w:style w:type="paragraph" w:customStyle="1" w:styleId="Bullet0">
    <w:name w:val="Bullet 0"/>
    <w:basedOn w:val="Normalny"/>
    <w:pPr>
      <w:numPr>
        <w:numId w:val="32"/>
      </w:numPr>
    </w:pPr>
  </w:style>
  <w:style w:type="paragraph" w:customStyle="1" w:styleId="Bullet1">
    <w:name w:val="Bullet 1"/>
    <w:basedOn w:val="Normalny"/>
    <w:pPr>
      <w:numPr>
        <w:numId w:val="33"/>
      </w:numPr>
    </w:pPr>
  </w:style>
  <w:style w:type="paragraph" w:customStyle="1" w:styleId="Bullet2">
    <w:name w:val="Bullet 2"/>
    <w:basedOn w:val="Normalny"/>
    <w:pPr>
      <w:numPr>
        <w:numId w:val="34"/>
      </w:numPr>
    </w:pPr>
  </w:style>
  <w:style w:type="paragraph" w:customStyle="1" w:styleId="Bullet3">
    <w:name w:val="Bullet 3"/>
    <w:basedOn w:val="Normalny"/>
    <w:pPr>
      <w:numPr>
        <w:numId w:val="35"/>
      </w:numPr>
    </w:pPr>
  </w:style>
  <w:style w:type="paragraph" w:customStyle="1" w:styleId="Bullet4">
    <w:name w:val="Bullet 4"/>
    <w:basedOn w:val="Normalny"/>
    <w:pPr>
      <w:numPr>
        <w:numId w:val="36"/>
      </w:numPr>
    </w:pPr>
  </w:style>
  <w:style w:type="paragraph" w:customStyle="1" w:styleId="Langue">
    <w:name w:val="Langue"/>
    <w:basedOn w:val="Normalny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ny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ny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ny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ny"/>
    <w:next w:val="Normalny"/>
    <w:pPr>
      <w:spacing w:before="0" w:after="0"/>
    </w:pPr>
  </w:style>
  <w:style w:type="paragraph" w:customStyle="1" w:styleId="Declassification">
    <w:name w:val="Declassification"/>
    <w:basedOn w:val="Normalny"/>
    <w:next w:val="Normalny"/>
    <w:pPr>
      <w:spacing w:before="0" w:after="0"/>
    </w:pPr>
  </w:style>
  <w:style w:type="paragraph" w:customStyle="1" w:styleId="Disclaimer">
    <w:name w:val="Disclaimer"/>
    <w:basedOn w:val="Normalny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ny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ny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ny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ny"/>
    <w:next w:val="Normalny"/>
    <w:pPr>
      <w:jc w:val="center"/>
    </w:pPr>
    <w:rPr>
      <w:b/>
      <w:u w:val="single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ny"/>
    <w:next w:val="Normalny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pPr>
      <w:spacing w:before="480"/>
    </w:pPr>
  </w:style>
  <w:style w:type="paragraph" w:customStyle="1" w:styleId="Avertissementtitre">
    <w:name w:val="Avertissement titre"/>
    <w:basedOn w:val="Normalny"/>
    <w:next w:val="Normalny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ny"/>
    <w:next w:val="Normalny"/>
    <w:pPr>
      <w:spacing w:before="360"/>
      <w:jc w:val="center"/>
    </w:pPr>
  </w:style>
  <w:style w:type="paragraph" w:customStyle="1" w:styleId="Confidentialit">
    <w:name w:val="Confidentialité"/>
    <w:basedOn w:val="Normalny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ny"/>
    <w:pPr>
      <w:numPr>
        <w:numId w:val="37"/>
      </w:numPr>
    </w:pPr>
  </w:style>
  <w:style w:type="paragraph" w:customStyle="1" w:styleId="Corrigendum">
    <w:name w:val="Corrigendum"/>
    <w:basedOn w:val="Normalny"/>
    <w:next w:val="Normalny"/>
    <w:pPr>
      <w:spacing w:before="0" w:after="240"/>
      <w:jc w:val="left"/>
    </w:pPr>
  </w:style>
  <w:style w:type="paragraph" w:customStyle="1" w:styleId="Datedadoption">
    <w:name w:val="Date d'adoption"/>
    <w:basedOn w:val="Normalny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ny"/>
    <w:next w:val="Normalny"/>
    <w:pPr>
      <w:jc w:val="center"/>
    </w:pPr>
    <w:rPr>
      <w:b/>
      <w:u w:val="single"/>
    </w:rPr>
  </w:style>
  <w:style w:type="paragraph" w:customStyle="1" w:styleId="Fait">
    <w:name w:val="Fait à"/>
    <w:basedOn w:val="Normalny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pPr>
      <w:keepNext/>
    </w:pPr>
  </w:style>
  <w:style w:type="paragraph" w:customStyle="1" w:styleId="Institutionquiagit">
    <w:name w:val="Institution qui agit"/>
    <w:basedOn w:val="Normalny"/>
    <w:next w:val="Normalny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ny"/>
    <w:pPr>
      <w:ind w:left="709" w:hanging="709"/>
    </w:pPr>
  </w:style>
  <w:style w:type="paragraph" w:customStyle="1" w:styleId="Personnequisigne">
    <w:name w:val="Personne qui signe"/>
    <w:basedOn w:val="Normalny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ny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ny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ny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ny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omylnaczcionkaakapitu"/>
    <w:rPr>
      <w:b/>
      <w:u w:val="single"/>
      <w:shd w:val="clear" w:color="auto" w:fill="auto"/>
    </w:rPr>
  </w:style>
  <w:style w:type="character" w:customStyle="1" w:styleId="Deleted">
    <w:name w:val="Deleted"/>
    <w:basedOn w:val="Domylnaczcionkaakapitu"/>
    <w:rPr>
      <w:strike/>
      <w:dstrike w:val="0"/>
      <w:shd w:val="clear" w:color="auto" w:fill="auto"/>
    </w:rPr>
  </w:style>
  <w:style w:type="paragraph" w:customStyle="1" w:styleId="Address">
    <w:name w:val="Address"/>
    <w:basedOn w:val="Normalny"/>
    <w:next w:val="Normalny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ny"/>
    <w:next w:val="Normalny"/>
    <w:rPr>
      <w:i/>
      <w:caps/>
    </w:rPr>
  </w:style>
  <w:style w:type="paragraph" w:customStyle="1" w:styleId="Supertitre">
    <w:name w:val="Supertitre"/>
    <w:basedOn w:val="Normalny"/>
    <w:next w:val="Normalny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ny"/>
    <w:next w:val="Normalny"/>
    <w:pPr>
      <w:spacing w:before="360" w:after="0"/>
      <w:jc w:val="center"/>
    </w:pPr>
  </w:style>
  <w:style w:type="paragraph" w:customStyle="1" w:styleId="Rfrencecroise">
    <w:name w:val="Référence croisée"/>
    <w:basedOn w:val="Normalny"/>
    <w:pPr>
      <w:spacing w:before="0" w:after="0"/>
      <w:jc w:val="center"/>
    </w:pPr>
  </w:style>
  <w:style w:type="paragraph" w:customStyle="1" w:styleId="Fichefinanciretitre">
    <w:name w:val="Fiche financière titre"/>
    <w:basedOn w:val="Normalny"/>
    <w:next w:val="Normalny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ny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ny"/>
    <w:pPr>
      <w:spacing w:after="240"/>
    </w:pPr>
  </w:style>
  <w:style w:type="paragraph" w:customStyle="1" w:styleId="Accompagnant">
    <w:name w:val="Accompagnant"/>
    <w:basedOn w:val="Normalny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ny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ny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ny"/>
    <w:next w:val="Normalny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A51851E-E50C-4BB7-A944-87895C65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1</TotalTime>
  <Pages>11</Pages>
  <Words>2592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</dc:creator>
  <cp:keywords/>
  <dc:description/>
  <cp:lastModifiedBy>BANASZAK Leszek</cp:lastModifiedBy>
  <cp:revision>2</cp:revision>
  <dcterms:created xsi:type="dcterms:W3CDTF">2021-09-17T10:57:00Z</dcterms:created>
  <dcterms:modified xsi:type="dcterms:W3CDTF">2021-09-17T10:57:00Z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20200226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