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269"/>
        <w:gridCol w:w="300"/>
        <w:gridCol w:w="353"/>
        <w:gridCol w:w="332"/>
        <w:gridCol w:w="455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B71E1D" w:rsidRPr="008B4FE6" w14:paraId="33AD9D7A" w14:textId="77777777" w:rsidTr="00CF54AA">
        <w:trPr>
          <w:gridAfter w:val="1"/>
          <w:wAfter w:w="10" w:type="dxa"/>
          <w:trHeight w:val="1611"/>
        </w:trPr>
        <w:tc>
          <w:tcPr>
            <w:tcW w:w="6631" w:type="dxa"/>
            <w:gridSpan w:val="16"/>
          </w:tcPr>
          <w:p w14:paraId="73A352DB" w14:textId="77777777" w:rsidR="00B71E1D" w:rsidRPr="00CB116B" w:rsidRDefault="00113267" w:rsidP="00CF54AA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71E1D"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</w:t>
            </w:r>
          </w:p>
          <w:p w14:paraId="5BAE9C0F" w14:textId="77777777" w:rsidR="00B71E1D" w:rsidRPr="00CB116B" w:rsidRDefault="004B6898" w:rsidP="001132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>Rozporządzenie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Rady Ministrów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zmieniające rozporządzenie w sprawie warunków udzielania zwolnień z</w:t>
            </w:r>
            <w:r w:rsidR="00113267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podatku od nieruchomości oraz podatku od środków transportowych,</w:t>
            </w:r>
            <w:r w:rsidR="00113267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stanowiących regionalną pomoc inwestycyjną, pomoc na kulturę i</w:t>
            </w:r>
            <w:r w:rsidR="00113267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zachowanie dziedzictwa kulturowego, pomoc na infrastrukturę sportową</w:t>
            </w:r>
            <w:r w:rsidR="00113267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i wielofunkcyjną infrastrukturę rekreacyjną</w:t>
            </w:r>
            <w:r w:rsidR="006C3EF5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pomoc na</w:t>
            </w:r>
            <w:r w:rsidR="00113267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F289E" w:rsidRPr="00CB116B">
              <w:rPr>
                <w:rFonts w:ascii="Times New Roman" w:eastAsiaTheme="minorHAnsi" w:hAnsi="Times New Roman"/>
                <w:sz w:val="24"/>
                <w:szCs w:val="24"/>
              </w:rPr>
              <w:t>infrastrukturę lokalną</w:t>
            </w:r>
            <w:r w:rsidR="006C3EF5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6C3EF5" w:rsidRPr="00CB116B">
              <w:rPr>
                <w:rFonts w:ascii="Times New Roman" w:hAnsi="Times New Roman"/>
                <w:sz w:val="24"/>
                <w:szCs w:val="24"/>
              </w:rPr>
              <w:t>pomoc na rzecz regionalnych portów lotniczych oraz pomoc na rzecz portów</w:t>
            </w:r>
          </w:p>
          <w:p w14:paraId="54A5D912" w14:textId="77777777" w:rsidR="00B71E1D" w:rsidRPr="00CB116B" w:rsidRDefault="00B71E1D" w:rsidP="00CF54AA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14:paraId="79855769" w14:textId="77777777" w:rsidR="00B71E1D" w:rsidRPr="00CB116B" w:rsidRDefault="00113267" w:rsidP="00CF54AA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color w:val="000000"/>
                <w:sz w:val="24"/>
                <w:szCs w:val="24"/>
              </w:rPr>
              <w:t>Ministerstwo Finansów</w:t>
            </w:r>
          </w:p>
          <w:p w14:paraId="0B77491D" w14:textId="77777777" w:rsidR="00113267" w:rsidRPr="00CB116B" w:rsidRDefault="00113267" w:rsidP="00CF54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C9BA6" w14:textId="77777777" w:rsidR="00B71E1D" w:rsidRPr="00CB116B" w:rsidRDefault="00B71E1D" w:rsidP="00CF54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14:paraId="022C1F67" w14:textId="77777777" w:rsidR="006C3EF5" w:rsidRPr="00CB116B" w:rsidRDefault="006C3EF5" w:rsidP="00CF54AA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color w:val="000000"/>
                <w:sz w:val="24"/>
                <w:szCs w:val="24"/>
              </w:rPr>
              <w:t>Jan Sarnowski, Podsekretarz Stanu w Ministerstwie Finansów</w:t>
            </w:r>
          </w:p>
          <w:p w14:paraId="71BD5BB3" w14:textId="77777777" w:rsidR="00B71E1D" w:rsidRPr="00CB116B" w:rsidRDefault="00B71E1D" w:rsidP="00CF54AA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6136749F" w14:textId="0090F74D" w:rsidR="00113267" w:rsidRPr="00CB116B" w:rsidRDefault="000F64F1" w:rsidP="001132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2" w:name="t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Iwona Podedworna</w:t>
            </w:r>
            <w:r w:rsidR="00C71D22" w:rsidRPr="002A0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Naczelnik Wydziału Podatków Samorządowych w</w:t>
            </w:r>
            <w:r w:rsidR="00C71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Departamencie</w:t>
            </w:r>
            <w:r w:rsidR="00113267" w:rsidRPr="00CB116B">
              <w:rPr>
                <w:rFonts w:ascii="Times New Roman" w:eastAsiaTheme="minorHAnsi" w:hAnsi="Times New Roman"/>
                <w:sz w:val="24"/>
                <w:szCs w:val="24"/>
              </w:rPr>
              <w:t xml:space="preserve"> Podatków</w:t>
            </w:r>
            <w:r w:rsidR="002210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13267" w:rsidRPr="00CB116B">
              <w:rPr>
                <w:rFonts w:ascii="Times New Roman" w:eastAsiaTheme="minorHAnsi" w:hAnsi="Times New Roman"/>
                <w:sz w:val="24"/>
                <w:szCs w:val="24"/>
              </w:rPr>
              <w:t>Sektorowych, Lokalnych oraz Podatku od Gier w Ministerstwie</w:t>
            </w:r>
          </w:p>
          <w:p w14:paraId="0124DDAB" w14:textId="77777777" w:rsidR="00113267" w:rsidRPr="00CB116B" w:rsidRDefault="00113267" w:rsidP="001132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116B">
              <w:rPr>
                <w:rFonts w:ascii="Times New Roman" w:eastAsiaTheme="minorHAnsi" w:hAnsi="Times New Roman"/>
                <w:sz w:val="24"/>
                <w:szCs w:val="24"/>
              </w:rPr>
              <w:t>Finansów</w:t>
            </w:r>
          </w:p>
          <w:p w14:paraId="7E589DCB" w14:textId="77777777" w:rsidR="00B71E1D" w:rsidRPr="000F64F1" w:rsidRDefault="00113267" w:rsidP="00113267">
            <w:pPr>
              <w:spacing w:line="240" w:lineRule="auto"/>
              <w:ind w:hanging="34"/>
              <w:rPr>
                <w:rStyle w:val="Hipercze"/>
                <w:rFonts w:ascii="Times New Roman" w:eastAsiaTheme="minorHAnsi" w:hAnsi="Times New Roman"/>
                <w:sz w:val="24"/>
                <w:szCs w:val="24"/>
              </w:rPr>
            </w:pPr>
            <w:r w:rsidRPr="000F64F1">
              <w:rPr>
                <w:rFonts w:ascii="Times New Roman" w:eastAsiaTheme="minorHAnsi" w:hAnsi="Times New Roman"/>
                <w:sz w:val="24"/>
                <w:szCs w:val="24"/>
              </w:rPr>
              <w:t xml:space="preserve">tel. (22) 694-58-04, e-mail: </w:t>
            </w:r>
            <w:hyperlink r:id="rId7" w:history="1">
              <w:r w:rsidR="006C3EF5" w:rsidRPr="000F64F1">
                <w:rPr>
                  <w:rStyle w:val="Hipercze"/>
                  <w:rFonts w:ascii="Times New Roman" w:eastAsiaTheme="minorHAnsi" w:hAnsi="Times New Roman"/>
                  <w:sz w:val="24"/>
                  <w:szCs w:val="24"/>
                </w:rPr>
                <w:t>sekretariat.ps@mf.gov.pl</w:t>
              </w:r>
            </w:hyperlink>
            <w:bookmarkEnd w:id="2"/>
          </w:p>
          <w:p w14:paraId="28AA6930" w14:textId="77777777" w:rsidR="006C3EF5" w:rsidRPr="000F64F1" w:rsidRDefault="006C3EF5" w:rsidP="0011326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2C921FCB" w14:textId="77777777" w:rsidR="00B71E1D" w:rsidRDefault="00B71E1D" w:rsidP="00CF5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CB116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A5D3A">
              <w:rPr>
                <w:rFonts w:ascii="Times New Roman" w:hAnsi="Times New Roman"/>
                <w:sz w:val="24"/>
                <w:szCs w:val="24"/>
              </w:rPr>
              <w:t>3</w:t>
            </w:r>
            <w:r w:rsidR="00531EEE">
              <w:rPr>
                <w:rFonts w:ascii="Times New Roman" w:hAnsi="Times New Roman"/>
                <w:sz w:val="24"/>
                <w:szCs w:val="24"/>
              </w:rPr>
              <w:t>1</w:t>
            </w:r>
            <w:r w:rsidR="004A5D3A">
              <w:rPr>
                <w:rFonts w:ascii="Times New Roman" w:hAnsi="Times New Roman"/>
                <w:sz w:val="24"/>
                <w:szCs w:val="24"/>
              </w:rPr>
              <w:t>.08</w:t>
            </w:r>
            <w:r w:rsidR="00113267" w:rsidRPr="00CB116B">
              <w:rPr>
                <w:rFonts w:ascii="Times New Roman" w:hAnsi="Times New Roman"/>
                <w:sz w:val="24"/>
                <w:szCs w:val="24"/>
              </w:rPr>
              <w:t>.20</w:t>
            </w:r>
            <w:r w:rsidR="006C3EF5" w:rsidRPr="00CB116B">
              <w:rPr>
                <w:rFonts w:ascii="Times New Roman" w:hAnsi="Times New Roman"/>
                <w:sz w:val="24"/>
                <w:szCs w:val="24"/>
              </w:rPr>
              <w:t>2</w:t>
            </w:r>
            <w:r w:rsidR="004A5D3A">
              <w:rPr>
                <w:rFonts w:ascii="Times New Roman" w:hAnsi="Times New Roman"/>
                <w:sz w:val="24"/>
                <w:szCs w:val="24"/>
              </w:rPr>
              <w:t>1</w:t>
            </w:r>
            <w:r w:rsidR="00113267" w:rsidRPr="00CB116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14:paraId="7CDA81EA" w14:textId="77777777" w:rsidR="00B71E1D" w:rsidRDefault="00B71E1D" w:rsidP="00CF54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B6DFAC" w14:textId="77777777" w:rsidR="00B71E1D" w:rsidRPr="00CB116B" w:rsidRDefault="00B71E1D" w:rsidP="00CF54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3" w:name="Lista1"/>
          </w:p>
          <w:bookmarkEnd w:id="3"/>
          <w:p w14:paraId="33AFB874" w14:textId="77777777" w:rsidR="00B71E1D" w:rsidRPr="00CB116B" w:rsidRDefault="000A1F34" w:rsidP="00CF5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sz w:val="24"/>
                <w:szCs w:val="24"/>
              </w:rPr>
              <w:t xml:space="preserve">Inicjatywa własna </w:t>
            </w:r>
          </w:p>
          <w:p w14:paraId="7744145A" w14:textId="77777777" w:rsidR="00B71E1D" w:rsidRPr="00CB116B" w:rsidRDefault="00B71E1D" w:rsidP="00CF5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DB536" w14:textId="445F180F" w:rsidR="00B71E1D" w:rsidRPr="00CB116B" w:rsidRDefault="00B71E1D" w:rsidP="004A5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 w wykazie prac</w:t>
            </w:r>
            <w:r w:rsidR="00113267" w:rsidRPr="00CB11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113267" w:rsidRPr="00C92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0942" w:rsidRPr="00C92388">
              <w:rPr>
                <w:rFonts w:ascii="Times New Roman" w:hAnsi="Times New Roman"/>
                <w:b/>
                <w:sz w:val="24"/>
                <w:szCs w:val="24"/>
              </w:rPr>
              <w:t>RD434</w:t>
            </w:r>
          </w:p>
        </w:tc>
      </w:tr>
      <w:tr w:rsidR="00B71E1D" w:rsidRPr="0022687A" w14:paraId="773D3A59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267F2864" w14:textId="77777777" w:rsidR="00B71E1D" w:rsidRPr="00627221" w:rsidRDefault="00B71E1D" w:rsidP="00CF54AA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B71E1D" w:rsidRPr="008B4FE6" w14:paraId="752483E5" w14:textId="77777777" w:rsidTr="00CF54AA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02F4671D" w14:textId="77777777"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B71E1D" w:rsidRPr="00CF7D35" w14:paraId="0ED0BA1D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14E4E986" w14:textId="274095F1" w:rsidR="00B11560" w:rsidRPr="0001062E" w:rsidRDefault="00B11560" w:rsidP="0099239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kwietniu 2021 </w:t>
            </w:r>
            <w:r w:rsidR="009923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r w:rsidRPr="00010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487172" w:rsidRPr="00010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omisja </w:t>
            </w:r>
            <w:r w:rsidRPr="00010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00487172" w:rsidRPr="00010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uropejska</w:t>
            </w:r>
            <w:r w:rsidRPr="00010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opublikowała Komunikat </w:t>
            </w:r>
            <w:r w:rsidR="009923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Komisji </w:t>
            </w:r>
            <w:r w:rsidR="00D74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Pr="00010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Wytyczne w sprawie regionalnej pomocy państwa (2021/C 153/01), które zawierają nowe zasady udzielania pomocy regionalnej na lata 2022-2027 (dalej: </w:t>
            </w:r>
            <w:r w:rsidR="00D74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r w:rsidRPr="00010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nowe wytyczne</w:t>
            </w:r>
            <w:r w:rsidR="00D74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</w:t>
            </w:r>
            <w:r w:rsidRPr="00010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). </w:t>
            </w:r>
            <w:r w:rsidRPr="0001062E">
              <w:rPr>
                <w:rFonts w:ascii="Times New Roman" w:hAnsi="Times New Roman"/>
                <w:bCs/>
                <w:sz w:val="24"/>
                <w:szCs w:val="24"/>
              </w:rPr>
              <w:t xml:space="preserve">Państwa członkowskie </w:t>
            </w:r>
            <w:r w:rsidR="00D74053">
              <w:rPr>
                <w:rFonts w:ascii="Times New Roman" w:hAnsi="Times New Roman"/>
                <w:bCs/>
                <w:sz w:val="24"/>
                <w:szCs w:val="24"/>
              </w:rPr>
              <w:t xml:space="preserve">są </w:t>
            </w:r>
            <w:r w:rsidRPr="0001062E">
              <w:rPr>
                <w:rFonts w:ascii="Times New Roman" w:hAnsi="Times New Roman"/>
                <w:bCs/>
                <w:sz w:val="24"/>
                <w:szCs w:val="24"/>
              </w:rPr>
              <w:t xml:space="preserve">zobowiązane do określenia nowych map pomocy regionalnej, czyli regulacji wewnętrznych określających obszary, na których dopuszczalne będzie udzielanie pomocy regionalnej, oraz </w:t>
            </w:r>
            <w:r w:rsidR="00B66A25">
              <w:rPr>
                <w:rFonts w:ascii="Times New Roman" w:hAnsi="Times New Roman"/>
                <w:bCs/>
                <w:sz w:val="24"/>
                <w:szCs w:val="24"/>
              </w:rPr>
              <w:t>intensywności</w:t>
            </w:r>
            <w:r w:rsidRPr="0001062E">
              <w:rPr>
                <w:rFonts w:ascii="Times New Roman" w:hAnsi="Times New Roman"/>
                <w:bCs/>
                <w:sz w:val="24"/>
                <w:szCs w:val="24"/>
              </w:rPr>
              <w:t xml:space="preserve"> pomocy w poszczególnych regionach. </w:t>
            </w:r>
            <w:r w:rsidRPr="000106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Na podstawie </w:t>
            </w:r>
            <w:r w:rsidRPr="0001062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projektu rozporządzenia R</w:t>
            </w:r>
            <w:r w:rsidR="0001062E" w:rsidRPr="0001062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ady </w:t>
            </w:r>
            <w:r w:rsidRPr="0001062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01062E" w:rsidRPr="0001062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inistrów</w:t>
            </w:r>
            <w:r w:rsidRPr="0001062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w sprawie ustalenia mapy pomocy regionalnej na lata 2022</w:t>
            </w:r>
            <w:r w:rsidR="00D740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01062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2027</w:t>
            </w:r>
            <w:r w:rsidR="00D7405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74053" w:rsidRPr="0095723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(RD375)</w:t>
            </w:r>
            <w:r w:rsidRPr="00D740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106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062E">
              <w:rPr>
                <w:rFonts w:ascii="Times New Roman" w:hAnsi="Times New Roman"/>
                <w:bCs/>
                <w:sz w:val="24"/>
                <w:szCs w:val="24"/>
              </w:rPr>
              <w:t>intensywności pomocy określone według nowych wytycznych, ule</w:t>
            </w:r>
            <w:r w:rsidR="007D517A" w:rsidRPr="0001062E">
              <w:rPr>
                <w:rFonts w:ascii="Times New Roman" w:hAnsi="Times New Roman"/>
                <w:bCs/>
                <w:sz w:val="24"/>
                <w:szCs w:val="24"/>
              </w:rPr>
              <w:t>gną</w:t>
            </w:r>
            <w:r w:rsidRPr="0001062E">
              <w:rPr>
                <w:rFonts w:ascii="Times New Roman" w:hAnsi="Times New Roman"/>
                <w:bCs/>
                <w:sz w:val="24"/>
                <w:szCs w:val="24"/>
              </w:rPr>
              <w:t xml:space="preserve"> zmianie i</w:t>
            </w:r>
            <w:r w:rsidR="007D517A" w:rsidRPr="0001062E">
              <w:rPr>
                <w:rFonts w:ascii="Times New Roman" w:hAnsi="Times New Roman"/>
                <w:bCs/>
                <w:sz w:val="24"/>
                <w:szCs w:val="24"/>
              </w:rPr>
              <w:t xml:space="preserve"> będą</w:t>
            </w:r>
            <w:r w:rsidRPr="0001062E">
              <w:rPr>
                <w:rFonts w:ascii="Times New Roman" w:hAnsi="Times New Roman"/>
                <w:bCs/>
                <w:sz w:val="24"/>
                <w:szCs w:val="24"/>
              </w:rPr>
              <w:t xml:space="preserve"> wynosić w zależności od regionu: 50%- 40%- 30%- 25%- 20%- 15%, z wyjątkiem m</w:t>
            </w:r>
            <w:r w:rsidRPr="00010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aksymalnej wartości pomocy regionalnej udzielanej na realizację dużego projektu inwestycyjnego, którą określa wzór.</w:t>
            </w:r>
            <w:r w:rsidRPr="000106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CDF7181" w14:textId="39DE4BD5" w:rsidR="007D517A" w:rsidRPr="0001062E" w:rsidRDefault="007D517A" w:rsidP="0099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2E">
              <w:rPr>
                <w:rFonts w:ascii="Times New Roman" w:hAnsi="Times New Roman"/>
                <w:bCs/>
                <w:sz w:val="24"/>
                <w:szCs w:val="24"/>
              </w:rPr>
              <w:t xml:space="preserve">Nowe wytyczne, a także ostatnia nowelizacja </w:t>
            </w:r>
            <w:r w:rsidRPr="000106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rozporządzenia (UE) nr 651/2014 </w:t>
            </w:r>
            <w:r w:rsidRPr="0001062E">
              <w:rPr>
                <w:rFonts w:ascii="Times New Roman" w:hAnsi="Times New Roman"/>
                <w:i/>
                <w:sz w:val="24"/>
                <w:szCs w:val="24"/>
              </w:rPr>
              <w:t>z dnia 17 czerwca 2014 r. uznające</w:t>
            </w:r>
            <w:r w:rsidR="00C71D22">
              <w:rPr>
                <w:rFonts w:ascii="Times New Roman" w:hAnsi="Times New Roman"/>
                <w:i/>
                <w:sz w:val="24"/>
                <w:szCs w:val="24"/>
              </w:rPr>
              <w:t>go</w:t>
            </w:r>
            <w:r w:rsidRPr="0001062E">
              <w:rPr>
                <w:rFonts w:ascii="Times New Roman" w:hAnsi="Times New Roman"/>
                <w:i/>
                <w:sz w:val="24"/>
                <w:szCs w:val="24"/>
              </w:rPr>
              <w:t xml:space="preserve"> niektóre rodzaje pomocy za zgodne z rynkiem wewnętrznym w zastosowaniu art. 107 i 108 Traktatu</w:t>
            </w:r>
            <w:r w:rsidRPr="00010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2E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(Dz. Urz. UE L 187/1 z 26.6.2014 r.</w:t>
            </w:r>
            <w:r w:rsidR="00D74053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,</w:t>
            </w:r>
            <w:r w:rsidRPr="0001062E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01062E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01062E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. zm.) (dalej: </w:t>
            </w:r>
            <w:r w:rsidR="00D74053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„</w:t>
            </w:r>
            <w:r w:rsidRPr="0001062E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GBER</w:t>
            </w:r>
            <w:r w:rsidR="00D74053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”</w:t>
            </w:r>
            <w:r w:rsidRPr="0001062E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) </w:t>
            </w:r>
            <w:r w:rsidRPr="0001062E">
              <w:rPr>
                <w:rFonts w:ascii="Times New Roman" w:hAnsi="Times New Roman"/>
                <w:bCs/>
                <w:sz w:val="24"/>
                <w:szCs w:val="24"/>
              </w:rPr>
              <w:t xml:space="preserve">dokonana rozporządzeniem Komisji (UE) 2021/1237 z dnia 23 lipca 2021 r. </w:t>
            </w:r>
            <w:r w:rsidRPr="0001062E">
              <w:rPr>
                <w:rFonts w:ascii="Times New Roman" w:hAnsi="Times New Roman"/>
                <w:sz w:val="24"/>
                <w:szCs w:val="24"/>
              </w:rPr>
              <w:t>zawiera</w:t>
            </w:r>
            <w:r w:rsidR="0001062E" w:rsidRPr="0001062E">
              <w:rPr>
                <w:rFonts w:ascii="Times New Roman" w:hAnsi="Times New Roman"/>
                <w:sz w:val="24"/>
                <w:szCs w:val="24"/>
              </w:rPr>
              <w:t>ją</w:t>
            </w:r>
            <w:r w:rsidRPr="0001062E">
              <w:rPr>
                <w:rFonts w:ascii="Times New Roman" w:hAnsi="Times New Roman"/>
                <w:sz w:val="24"/>
                <w:szCs w:val="24"/>
              </w:rPr>
              <w:t xml:space="preserve"> również zmiany polegające na czasowym złagodzeniu warunków udzielania pomocy regionalnej w związku ze skutkami gospodarczymi pandemii COVID-19.</w:t>
            </w:r>
          </w:p>
          <w:p w14:paraId="131221B5" w14:textId="696C61D5" w:rsidR="007D517A" w:rsidRPr="0001062E" w:rsidRDefault="007D517A" w:rsidP="0099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2E">
              <w:rPr>
                <w:rFonts w:ascii="Times New Roman" w:hAnsi="Times New Roman"/>
                <w:bCs/>
                <w:sz w:val="24"/>
                <w:szCs w:val="24"/>
              </w:rPr>
              <w:t xml:space="preserve">Powyższe powoduje zmiany w zakresie dopuszczalnych intensywności pomocy w poszczególnych regionach i podregionach Polski oraz </w:t>
            </w:r>
            <w:r w:rsidRPr="0001062E">
              <w:rPr>
                <w:rFonts w:ascii="Times New Roman" w:hAnsi="Times New Roman"/>
                <w:sz w:val="24"/>
                <w:szCs w:val="24"/>
              </w:rPr>
              <w:t>łagodzi wymogi udzielania regionalnej pomocy inwestycyjnej dotyczące obowiązku utrzymania utworzonych w wyniku realizacji nowej inwestycji miejsc pracy przez okres 5 lat</w:t>
            </w:r>
            <w:r w:rsidR="00D7405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062E">
              <w:rPr>
                <w:rFonts w:ascii="Times New Roman" w:hAnsi="Times New Roman"/>
                <w:sz w:val="24"/>
                <w:szCs w:val="24"/>
              </w:rPr>
              <w:t xml:space="preserve">3 lat w przypadku </w:t>
            </w:r>
            <w:r w:rsidR="00D74053">
              <w:rPr>
                <w:rFonts w:ascii="Times New Roman" w:hAnsi="Times New Roman"/>
                <w:sz w:val="24"/>
                <w:szCs w:val="24"/>
              </w:rPr>
              <w:t>MŚP)</w:t>
            </w:r>
            <w:r w:rsidR="00673C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A3C6F0" w14:textId="1EDE9F74" w:rsidR="007D517A" w:rsidRPr="00272BF1" w:rsidRDefault="007D517A" w:rsidP="0099239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BF1">
              <w:rPr>
                <w:rFonts w:ascii="Times New Roman" w:hAnsi="Times New Roman"/>
                <w:bCs/>
                <w:sz w:val="24"/>
                <w:szCs w:val="24"/>
              </w:rPr>
              <w:t>Ponadto w lipcu 2020 r. K</w:t>
            </w:r>
            <w:r w:rsidR="00D74053">
              <w:rPr>
                <w:rFonts w:ascii="Times New Roman" w:hAnsi="Times New Roman"/>
                <w:bCs/>
                <w:sz w:val="24"/>
                <w:szCs w:val="24"/>
              </w:rPr>
              <w:t xml:space="preserve">omisja </w:t>
            </w:r>
            <w:r w:rsidRPr="00272BF1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74053">
              <w:rPr>
                <w:rFonts w:ascii="Times New Roman" w:hAnsi="Times New Roman"/>
                <w:bCs/>
                <w:sz w:val="24"/>
                <w:szCs w:val="24"/>
              </w:rPr>
              <w:t>uropejska</w:t>
            </w:r>
            <w:r w:rsidRPr="00272BF1">
              <w:rPr>
                <w:rFonts w:ascii="Times New Roman" w:hAnsi="Times New Roman"/>
                <w:bCs/>
                <w:sz w:val="24"/>
                <w:szCs w:val="24"/>
              </w:rPr>
              <w:t xml:space="preserve"> przedłużyła ważność niektórych przepisów dotyczących pomocy publicznej, które w przeciwnym razie wygasłyby z końcem 2020 r. W ramach tych działań K</w:t>
            </w:r>
            <w:r w:rsidR="00D74053">
              <w:rPr>
                <w:rFonts w:ascii="Times New Roman" w:hAnsi="Times New Roman"/>
                <w:bCs/>
                <w:sz w:val="24"/>
                <w:szCs w:val="24"/>
              </w:rPr>
              <w:t xml:space="preserve">omisja </w:t>
            </w:r>
            <w:r w:rsidRPr="00272BF1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74053">
              <w:rPr>
                <w:rFonts w:ascii="Times New Roman" w:hAnsi="Times New Roman"/>
                <w:bCs/>
                <w:sz w:val="24"/>
                <w:szCs w:val="24"/>
              </w:rPr>
              <w:t>uropejska</w:t>
            </w:r>
            <w:r w:rsidRPr="00272BF1">
              <w:rPr>
                <w:rFonts w:ascii="Times New Roman" w:hAnsi="Times New Roman"/>
                <w:bCs/>
                <w:sz w:val="24"/>
                <w:szCs w:val="24"/>
              </w:rPr>
              <w:t xml:space="preserve"> podjęła decyzję o przedłużeniu GBER do końca 2023 r., co umożliwiło przedłużenie programów pomocowych podjętych w oparciu o GBER. </w:t>
            </w:r>
          </w:p>
          <w:p w14:paraId="6A0B83B2" w14:textId="77777777" w:rsidR="000F64F1" w:rsidRDefault="000F64F1" w:rsidP="0099239D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  <w:p w14:paraId="21184FC2" w14:textId="27A57CD2" w:rsidR="007D517A" w:rsidRDefault="007D517A" w:rsidP="0099239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062E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Takim programem pomocowym jest </w:t>
            </w:r>
            <w:r w:rsidRPr="00010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Pr="0001062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ozporządzenie Rady Ministrów z dnia 9 stycznia 2015 r</w:t>
            </w:r>
            <w:r w:rsidRPr="0001062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. w sprawie warunków udzielania zwolnień z podatku od nieruchomości oraz podatku od środków transportowych, stanowiących regionalną pomoc inwestycyjną, pomoc na kulturę i zachowanie dziedzictwa kulturowego, pomoc na infrastrukturę sportową i wielofunkcyjną infrastrukturę rekreacyjną, pomoc na infrastrukturę lokalną, </w:t>
            </w:r>
            <w:r w:rsidRPr="0001062E">
              <w:rPr>
                <w:rFonts w:ascii="Times New Roman" w:hAnsi="Times New Roman"/>
                <w:i/>
                <w:sz w:val="24"/>
                <w:szCs w:val="24"/>
              </w:rPr>
              <w:t>pomoc na rzecz regionalnych portów lotniczych oraz pomoc na rzecz portów</w:t>
            </w:r>
            <w:r w:rsidRPr="0001062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(Dz. U. z 2019 r. poz. 297</w:t>
            </w:r>
            <w:r w:rsidR="00D74053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,</w:t>
            </w:r>
            <w:r w:rsidRPr="0001062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01062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01062E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. zm.)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8748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Nowelizacja tego rozporządzenia z dnia </w:t>
            </w:r>
            <w:r w:rsidRPr="00C30A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11 grudnia 2020 r.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przedłużyła obowiązywanie rozporządzenia o 1 rok</w:t>
            </w:r>
            <w:r w:rsidRPr="007B1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oraz dokonała niezbędnych dostosowań do zmian</w:t>
            </w:r>
            <w:r w:rsidRPr="001168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wprowadzon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ych w GBER. Obecnie,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po uchwaleniu nowych wytycznych, możliwe jest </w:t>
            </w:r>
            <w:r w:rsidRPr="00CF7D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przedłużenie obowiązywania rozporządzenia do końca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010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celu dalszego udzielania pomocy w formie zwolnień z podatków lokalnych przez gminne organy podatkowe w zakresie objętych programem przeznaczeń bez konieczności ich notyfikacji K</w:t>
            </w:r>
            <w:r w:rsidR="00D74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omisji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00D740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uropejskiej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3CB88B9C" w14:textId="77777777" w:rsidR="00B11560" w:rsidRPr="0001062E" w:rsidRDefault="007D517A" w:rsidP="0099239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Wobec powyższego niezbędne jest </w:t>
            </w:r>
            <w:r w:rsidR="009923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ponowne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dokonanie zmian w krajowym programie pomocowym.</w:t>
            </w:r>
          </w:p>
        </w:tc>
      </w:tr>
      <w:tr w:rsidR="00B71E1D" w:rsidRPr="008B4FE6" w14:paraId="7A9C3ADA" w14:textId="77777777" w:rsidTr="00B56C85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880A739" w14:textId="77777777"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B71E1D" w:rsidRPr="008B4FE6" w14:paraId="00691882" w14:textId="77777777" w:rsidTr="00B56C85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tcBorders>
              <w:bottom w:val="nil"/>
            </w:tcBorders>
            <w:shd w:val="clear" w:color="auto" w:fill="auto"/>
          </w:tcPr>
          <w:p w14:paraId="568AB4DB" w14:textId="18DDF51C" w:rsidR="00272BF1" w:rsidRDefault="00272BF1" w:rsidP="009923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</w:t>
            </w:r>
            <w:r w:rsidR="009923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zakłada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923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nowelizację </w:t>
            </w:r>
            <w:r w:rsidRPr="00A7588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pkt 5 rozporządzenia zmienianego, </w:t>
            </w:r>
            <w:r w:rsidR="00250C9A">
              <w:rPr>
                <w:rFonts w:ascii="Times New Roman" w:hAnsi="Times New Roman"/>
                <w:sz w:val="24"/>
                <w:szCs w:val="24"/>
              </w:rPr>
              <w:t xml:space="preserve">który </w:t>
            </w:r>
            <w:r>
              <w:rPr>
                <w:rFonts w:ascii="Times New Roman" w:hAnsi="Times New Roman"/>
                <w:sz w:val="24"/>
                <w:szCs w:val="24"/>
              </w:rPr>
              <w:t>defini</w:t>
            </w:r>
            <w:r w:rsidR="00250C9A">
              <w:rPr>
                <w:rFonts w:ascii="Times New Roman" w:hAnsi="Times New Roman"/>
                <w:sz w:val="24"/>
                <w:szCs w:val="24"/>
              </w:rPr>
              <w:t xml:space="preserve">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obszary objęte pomocą. Struktura tych obszarów zmieni się od </w:t>
            </w:r>
            <w:r w:rsidR="00D74053">
              <w:rPr>
                <w:rFonts w:ascii="Times New Roman" w:hAnsi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stycznia 2022 r., kiedy to przestanie obowiązywać dotychczasowe rozporządzenie </w:t>
            </w:r>
            <w:r w:rsidRPr="00B07365">
              <w:rPr>
                <w:rFonts w:ascii="Times New Roman" w:hAnsi="Times New Roman"/>
                <w:bCs/>
                <w:i/>
                <w:sz w:val="24"/>
                <w:szCs w:val="24"/>
              </w:rPr>
              <w:t>w sprawie ustalenia mapy pomocy regionalnej na lata 2014</w:t>
            </w:r>
            <w:r w:rsidR="00D74053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B07365">
              <w:rPr>
                <w:rFonts w:ascii="Times New Roman" w:hAnsi="Times New Roman"/>
                <w:bCs/>
                <w:i/>
                <w:sz w:val="24"/>
                <w:szCs w:val="24"/>
              </w:rPr>
              <w:t>2021</w:t>
            </w:r>
            <w:r w:rsidRPr="00BF40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wejdz</w:t>
            </w:r>
            <w:r w:rsidR="0099239D">
              <w:rPr>
                <w:rFonts w:ascii="Times New Roman" w:hAnsi="Times New Roman"/>
                <w:sz w:val="24"/>
                <w:szCs w:val="24"/>
              </w:rPr>
              <w:t xml:space="preserve">ie w życie nowe rozporządzenie </w:t>
            </w:r>
            <w:r>
              <w:rPr>
                <w:rFonts w:ascii="Times New Roman" w:hAnsi="Times New Roman"/>
                <w:sz w:val="24"/>
                <w:szCs w:val="24"/>
              </w:rPr>
              <w:t>w sprawie ustalenia mapy pomocy regionalnej na lata 2022</w:t>
            </w:r>
            <w:r w:rsidR="00D7405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2027. </w:t>
            </w:r>
          </w:p>
          <w:p w14:paraId="2249128C" w14:textId="3442A1C6" w:rsidR="00272BF1" w:rsidRDefault="00C71D22" w:rsidP="007D18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272B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roponuje się </w:t>
            </w:r>
            <w:r w:rsidR="00272BF1" w:rsidRPr="00A758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zmian</w:t>
            </w:r>
            <w:r w:rsidR="00272B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="00272BF1" w:rsidRPr="00A758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</w:t>
            </w:r>
            <w:r w:rsidR="00272BF1" w:rsidRPr="00A7588C">
              <w:rPr>
                <w:rFonts w:ascii="Times New Roman" w:hAnsi="Times New Roman"/>
                <w:sz w:val="24"/>
                <w:szCs w:val="24"/>
              </w:rPr>
              <w:t>§</w:t>
            </w:r>
            <w:r w:rsidR="00272BF1">
              <w:rPr>
                <w:rFonts w:ascii="Times New Roman" w:hAnsi="Times New Roman"/>
                <w:sz w:val="24"/>
                <w:szCs w:val="24"/>
              </w:rPr>
              <w:t xml:space="preserve"> 4 ust. 1 pkt 1</w:t>
            </w:r>
            <w:r w:rsidR="00C75259">
              <w:rPr>
                <w:rFonts w:ascii="Times New Roman" w:hAnsi="Times New Roman"/>
                <w:sz w:val="24"/>
                <w:szCs w:val="24"/>
              </w:rPr>
              <w:t>.</w:t>
            </w:r>
            <w:r w:rsidR="00272BF1">
              <w:rPr>
                <w:rFonts w:ascii="Times New Roman" w:hAnsi="Times New Roman"/>
                <w:sz w:val="24"/>
                <w:szCs w:val="24"/>
              </w:rPr>
              <w:t xml:space="preserve"> Przepisy te określają progi pomocy regionalnej, których przekroczenie powoduje obowiązek zgłoszenia, czyli maksymalne kwoty pomocy odpowiadające określonym intensywnościom pomocy, do których można udzielać pomocy na podstawie rozporządzenia, a których przekroczenie powoduje konieczność notyfikacji pomocy. W </w:t>
            </w:r>
            <w:r w:rsidR="00C75259">
              <w:rPr>
                <w:rFonts w:ascii="Times New Roman" w:hAnsi="Times New Roman"/>
                <w:sz w:val="24"/>
                <w:szCs w:val="24"/>
              </w:rPr>
              <w:t>zmienianym</w:t>
            </w:r>
            <w:r w:rsidR="00D7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59">
              <w:rPr>
                <w:rFonts w:ascii="Times New Roman" w:hAnsi="Times New Roman"/>
                <w:sz w:val="24"/>
                <w:szCs w:val="24"/>
              </w:rPr>
              <w:t>pkt 1</w:t>
            </w:r>
            <w:r w:rsidR="00272BF1">
              <w:rPr>
                <w:rFonts w:ascii="Times New Roman" w:hAnsi="Times New Roman"/>
                <w:sz w:val="24"/>
                <w:szCs w:val="24"/>
              </w:rPr>
              <w:t xml:space="preserve"> określa się progi pomocy obowiązujące od 2022 r. odpowiadające intensywnościom pomocy określonym przez nową mapę pomocy regionalnej.</w:t>
            </w:r>
          </w:p>
          <w:p w14:paraId="4437515E" w14:textId="046BF79C" w:rsidR="00272BF1" w:rsidRDefault="00272BF1" w:rsidP="007D18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8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Pr="00A7588C">
              <w:rPr>
                <w:rFonts w:ascii="Times New Roman" w:hAnsi="Times New Roman"/>
                <w:sz w:val="24"/>
                <w:szCs w:val="24"/>
              </w:rPr>
              <w:t>§</w:t>
            </w:r>
            <w:r w:rsidR="00C75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rozporządzenia </w:t>
            </w:r>
            <w:r w:rsidR="0099239D">
              <w:rPr>
                <w:rFonts w:ascii="Times New Roman" w:hAnsi="Times New Roman"/>
                <w:sz w:val="24"/>
                <w:szCs w:val="24"/>
              </w:rPr>
              <w:t>zaproponowano zmiany łagodzące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warun</w:t>
            </w:r>
            <w:r w:rsidR="0099239D">
              <w:rPr>
                <w:rFonts w:ascii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utrzymania miejsc pracy powstałych w wyniku inwestycji, na którą została udzielona pomoc </w:t>
            </w:r>
            <w:r w:rsidR="00D74053" w:rsidRPr="00D7405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przez 5 lat, a w przypadku </w:t>
            </w:r>
            <w:r w:rsidR="00D74053">
              <w:rPr>
                <w:rFonts w:ascii="Times New Roman" w:hAnsi="Times New Roman"/>
                <w:sz w:val="24"/>
                <w:szCs w:val="24"/>
              </w:rPr>
              <w:t xml:space="preserve">MŚP </w:t>
            </w:r>
            <w:r w:rsidR="00D74053" w:rsidRPr="00D74053">
              <w:rPr>
                <w:rFonts w:ascii="Times New Roman" w:hAnsi="Times New Roman"/>
                <w:sz w:val="24"/>
                <w:szCs w:val="24"/>
              </w:rPr>
              <w:t>–</w:t>
            </w:r>
            <w:r w:rsidR="00D74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lat. Warunek ten </w:t>
            </w:r>
            <w:r w:rsidR="00EF46AF">
              <w:rPr>
                <w:rFonts w:ascii="Times New Roman" w:hAnsi="Times New Roman"/>
                <w:sz w:val="24"/>
                <w:szCs w:val="24"/>
              </w:rPr>
              <w:t xml:space="preserve">nadal </w:t>
            </w:r>
            <w:r>
              <w:rPr>
                <w:rFonts w:ascii="Times New Roman" w:hAnsi="Times New Roman"/>
                <w:sz w:val="24"/>
                <w:szCs w:val="24"/>
              </w:rPr>
              <w:t>uważa</w:t>
            </w:r>
            <w:r w:rsidR="0099239D"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się </w:t>
            </w:r>
            <w:r w:rsidR="0099239D">
              <w:rPr>
                <w:rFonts w:ascii="Times New Roman" w:hAnsi="Times New Roman"/>
                <w:sz w:val="24"/>
                <w:szCs w:val="24"/>
              </w:rPr>
              <w:t xml:space="preserve">będzie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spełniony, gdy likwidacja miejsc pracy miała miejsce między </w:t>
            </w:r>
            <w:r w:rsidR="00D74053">
              <w:rPr>
                <w:rFonts w:ascii="Times New Roman" w:hAnsi="Times New Roman"/>
                <w:sz w:val="24"/>
                <w:szCs w:val="24"/>
              </w:rPr>
              <w:t xml:space="preserve">dniem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stycznia 2020 r. a </w:t>
            </w:r>
            <w:r w:rsidR="00D74053">
              <w:rPr>
                <w:rFonts w:ascii="Times New Roman" w:hAnsi="Times New Roman"/>
                <w:sz w:val="24"/>
                <w:szCs w:val="24"/>
              </w:rPr>
              <w:t xml:space="preserve">dniem </w:t>
            </w:r>
            <w:r>
              <w:rPr>
                <w:rFonts w:ascii="Times New Roman" w:hAnsi="Times New Roman"/>
                <w:sz w:val="24"/>
                <w:szCs w:val="24"/>
              </w:rPr>
              <w:t>30 czerwca 2021 r., czyli w okresie kryzysu wywołanego pandemią</w:t>
            </w:r>
            <w:r w:rsidR="007D181E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sz w:val="24"/>
                <w:szCs w:val="24"/>
              </w:rPr>
              <w:t>ovid-19.</w:t>
            </w:r>
          </w:p>
          <w:p w14:paraId="1939611C" w14:textId="3D06BB84" w:rsidR="00B71E1D" w:rsidRDefault="007D181E" w:rsidP="000911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Jednocześnie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proponuje się </w:t>
            </w:r>
            <w:r w:rsidR="00272BF1">
              <w:rPr>
                <w:rFonts w:ascii="Times New Roman" w:hAnsi="Times New Roman"/>
                <w:sz w:val="24"/>
                <w:szCs w:val="24"/>
              </w:rPr>
              <w:t>przedłuż</w:t>
            </w:r>
            <w:r>
              <w:rPr>
                <w:rFonts w:ascii="Times New Roman" w:hAnsi="Times New Roman"/>
                <w:sz w:val="24"/>
                <w:szCs w:val="24"/>
              </w:rPr>
              <w:t>enie</w:t>
            </w:r>
            <w:r w:rsidR="00272BF1">
              <w:rPr>
                <w:rFonts w:ascii="Times New Roman" w:hAnsi="Times New Roman"/>
                <w:sz w:val="24"/>
                <w:szCs w:val="24"/>
              </w:rPr>
              <w:t xml:space="preserve"> obowiązywani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72BF1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EF46AF">
              <w:rPr>
                <w:rFonts w:ascii="Times New Roman" w:hAnsi="Times New Roman"/>
                <w:sz w:val="24"/>
                <w:szCs w:val="24"/>
              </w:rPr>
              <w:t xml:space="preserve">ozporządzenia do końca 2023 r. </w:t>
            </w:r>
            <w:r w:rsidR="00272BF1">
              <w:rPr>
                <w:rFonts w:ascii="Times New Roman" w:hAnsi="Times New Roman"/>
                <w:sz w:val="24"/>
                <w:szCs w:val="24"/>
              </w:rPr>
              <w:t>stosownie do przedłużonego terminu obowiązywania GBER.</w:t>
            </w:r>
          </w:p>
          <w:p w14:paraId="494F4078" w14:textId="77777777" w:rsidR="00EF46AF" w:rsidRPr="00EF46AF" w:rsidRDefault="00EF46AF" w:rsidP="00EF46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efekcie powyższych zmian możliwa będzie odpowiednia modyfikacja, w tym przedłużenie gminnych programów pomocy w postaci zwolnień z podatku od nieruchomości oraz podatku od środków transportowych.</w:t>
            </w:r>
          </w:p>
        </w:tc>
      </w:tr>
      <w:tr w:rsidR="00B71E1D" w:rsidRPr="008B4FE6" w14:paraId="0F41498C" w14:textId="77777777" w:rsidTr="00B56C85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tcBorders>
              <w:top w:val="nil"/>
            </w:tcBorders>
            <w:shd w:val="clear" w:color="auto" w:fill="99CCFF"/>
            <w:vAlign w:val="center"/>
          </w:tcPr>
          <w:p w14:paraId="5ADDEFB1" w14:textId="77777777"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B71E1D" w:rsidRPr="008B4FE6" w14:paraId="1D08DC9F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56AF4577" w14:textId="7FF2973D" w:rsidR="000120AB" w:rsidRPr="00B37C80" w:rsidRDefault="00B77780" w:rsidP="007D181E">
            <w:pPr>
              <w:pStyle w:val="Default"/>
              <w:jc w:val="both"/>
              <w:rPr>
                <w:spacing w:val="-2"/>
              </w:rPr>
            </w:pPr>
            <w:r w:rsidRPr="00CF7D35">
              <w:t>W celu kontynuacji programów pomocowych podjętych w oparciu o wskazane regulacje unijne, które ulegają</w:t>
            </w:r>
            <w:r w:rsidR="00C71D22">
              <w:t xml:space="preserve"> zmianie lub</w:t>
            </w:r>
            <w:r w:rsidRPr="00CF7D35">
              <w:t xml:space="preserve"> przedłużeniu </w:t>
            </w:r>
            <w:r w:rsidR="001A1618" w:rsidRPr="00CF7D35">
              <w:t>państwa</w:t>
            </w:r>
            <w:r w:rsidR="00725BDF" w:rsidRPr="00CF7D35">
              <w:t xml:space="preserve"> członkowskie</w:t>
            </w:r>
            <w:r w:rsidRPr="00CF7D35">
              <w:t xml:space="preserve"> </w:t>
            </w:r>
            <w:r w:rsidR="006028FE" w:rsidRPr="00CF7D35">
              <w:t>mogą</w:t>
            </w:r>
            <w:r w:rsidRPr="00CF7D35">
              <w:t xml:space="preserve"> podjąć analogiczne do proponowanych </w:t>
            </w:r>
            <w:r w:rsidR="001A1618" w:rsidRPr="00CF7D35">
              <w:t xml:space="preserve">w niniejszym projekcie </w:t>
            </w:r>
            <w:r w:rsidRPr="00CF7D35">
              <w:t>działania legislacyjne</w:t>
            </w:r>
            <w:r w:rsidR="001A1618" w:rsidRPr="00CF7D35">
              <w:t xml:space="preserve"> zgodnie z procedurami krajowymi,</w:t>
            </w:r>
            <w:r w:rsidRPr="00CF7D35">
              <w:t xml:space="preserve"> mające na celu przedłużenie obowiązywania wewnętrznych aktów prawnych stanowiących krajowe programy pomocowe</w:t>
            </w:r>
            <w:r w:rsidR="00725BDF" w:rsidRPr="00CF7D35">
              <w:t xml:space="preserve">. </w:t>
            </w:r>
          </w:p>
        </w:tc>
      </w:tr>
      <w:tr w:rsidR="00B71E1D" w:rsidRPr="008B4FE6" w14:paraId="5DBA3D59" w14:textId="77777777" w:rsidTr="00CF54AA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80472EF" w14:textId="77777777"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B71E1D" w:rsidRPr="008B4FE6" w14:paraId="1D866732" w14:textId="77777777" w:rsidTr="0022104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CD0695B" w14:textId="77777777" w:rsidR="00B71E1D" w:rsidRPr="008B4FE6" w:rsidRDefault="00B71E1D" w:rsidP="00CF54A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428" w:type="dxa"/>
            <w:gridSpan w:val="11"/>
            <w:shd w:val="clear" w:color="auto" w:fill="auto"/>
          </w:tcPr>
          <w:p w14:paraId="7266A2B8" w14:textId="77777777" w:rsidR="00B71E1D" w:rsidRPr="008B4FE6" w:rsidRDefault="00B71E1D" w:rsidP="00CF54A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60" w:type="dxa"/>
            <w:gridSpan w:val="8"/>
            <w:shd w:val="clear" w:color="auto" w:fill="auto"/>
          </w:tcPr>
          <w:p w14:paraId="667D64CD" w14:textId="77777777" w:rsidR="00B71E1D" w:rsidRPr="008B4FE6" w:rsidRDefault="00B71E1D" w:rsidP="00CF54A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3910554" w14:textId="77777777" w:rsidR="00B71E1D" w:rsidRPr="008B4FE6" w:rsidRDefault="00B71E1D" w:rsidP="00CF54A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71E1D" w:rsidRPr="008B4FE6" w14:paraId="673F6822" w14:textId="77777777" w:rsidTr="0022104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831B06C" w14:textId="77777777" w:rsidR="00B71E1D" w:rsidRPr="00554732" w:rsidRDefault="00725BDF" w:rsidP="00725BD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>Przedsiębiorcy</w:t>
            </w:r>
            <w:r w:rsidR="00B11D28"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podatnicy </w:t>
            </w:r>
            <w:r w:rsidR="00B11D28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podatku od nieruchomości oraz podatku od środków transportowych</w:t>
            </w:r>
          </w:p>
        </w:tc>
        <w:tc>
          <w:tcPr>
            <w:tcW w:w="3428" w:type="dxa"/>
            <w:gridSpan w:val="11"/>
            <w:shd w:val="clear" w:color="auto" w:fill="auto"/>
          </w:tcPr>
          <w:p w14:paraId="7066D0C6" w14:textId="546BF261" w:rsidR="00B71E1D" w:rsidRPr="00554732" w:rsidRDefault="00B11D28" w:rsidP="0022104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Przedsiębiorcy, którzy skorzystają z gminnych programów pomocy</w:t>
            </w:r>
          </w:p>
        </w:tc>
        <w:tc>
          <w:tcPr>
            <w:tcW w:w="1860" w:type="dxa"/>
            <w:gridSpan w:val="8"/>
            <w:shd w:val="clear" w:color="auto" w:fill="auto"/>
          </w:tcPr>
          <w:p w14:paraId="33642056" w14:textId="77777777" w:rsidR="00B71E1D" w:rsidRPr="00554732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23394601" w14:textId="4D515456" w:rsidR="00B71E1D" w:rsidRPr="00554732" w:rsidRDefault="00904A4C" w:rsidP="0022104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Korzystanie z</w:t>
            </w:r>
            <w:r w:rsidR="00B11D28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D4B17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pomocy w ramach przeznaczeń objętych rozporządzeniem </w:t>
            </w:r>
            <w:r w:rsidR="00C939B7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lata</w:t>
            </w:r>
            <w:r w:rsidR="00ED4B17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dłużej niż przewiduje jego obecne brzmienie</w:t>
            </w:r>
            <w:r w:rsidR="006028FE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B71E1D" w:rsidRPr="008B4FE6" w14:paraId="0A023ED1" w14:textId="77777777" w:rsidTr="0022104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68ABD0B" w14:textId="30C804C9" w:rsidR="00B71E1D" w:rsidRPr="00554732" w:rsidRDefault="00725BDF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Organy udzielające pomocy </w:t>
            </w:r>
            <w:r w:rsidR="0022104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11D28"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gminy</w:t>
            </w:r>
          </w:p>
        </w:tc>
        <w:tc>
          <w:tcPr>
            <w:tcW w:w="3428" w:type="dxa"/>
            <w:gridSpan w:val="11"/>
            <w:shd w:val="clear" w:color="auto" w:fill="auto"/>
          </w:tcPr>
          <w:p w14:paraId="1382F690" w14:textId="12A8C5F9" w:rsidR="00B71E1D" w:rsidRPr="00554732" w:rsidRDefault="00B11D28" w:rsidP="0022104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Gminy, w których rady gmin podejmą uchwałę o </w:t>
            </w:r>
            <w:r w:rsidR="00ED4B17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przedłużeniu gminnych programów pomocowych podjętych w oparciu o rozporządzenie</w:t>
            </w:r>
          </w:p>
        </w:tc>
        <w:tc>
          <w:tcPr>
            <w:tcW w:w="1860" w:type="dxa"/>
            <w:gridSpan w:val="8"/>
            <w:shd w:val="clear" w:color="auto" w:fill="auto"/>
          </w:tcPr>
          <w:p w14:paraId="2239A232" w14:textId="77777777" w:rsidR="00B71E1D" w:rsidRPr="00554732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3AFFFFB9" w14:textId="046C6452" w:rsidR="00B71E1D" w:rsidRPr="00554732" w:rsidRDefault="00ED4B17" w:rsidP="0022104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Udzielanie pomocy w ramach przeznaczeń objętych rozporządzeniem </w:t>
            </w:r>
            <w:r w:rsidR="00FE54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="00C939B7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  <w:r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939B7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lata</w:t>
            </w:r>
            <w:r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dłużej niż przewiduje jego obecne brzmienie</w:t>
            </w:r>
            <w:r w:rsidR="006028FE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B71E1D" w:rsidRPr="008B4FE6" w14:paraId="489A3D81" w14:textId="77777777" w:rsidTr="00CF54AA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3308CE7" w14:textId="77777777"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B71E1D" w:rsidRPr="008B4FE6" w14:paraId="0976BD11" w14:textId="77777777" w:rsidTr="00CF54AA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14:paraId="6036518E" w14:textId="77777777" w:rsidR="00554732" w:rsidRPr="00554732" w:rsidRDefault="00554732" w:rsidP="00554732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554732">
              <w:rPr>
                <w:rFonts w:eastAsia="Times New Roman"/>
                <w:color w:val="auto"/>
                <w:lang w:eastAsia="pl-PL"/>
              </w:rPr>
              <w:t xml:space="preserve">W odniesieniu do projektu nie były prowadzone konsultacje poprzedzające jego przygotowanie tzw. </w:t>
            </w:r>
            <w:proofErr w:type="spellStart"/>
            <w:r w:rsidRPr="00554732">
              <w:rPr>
                <w:rFonts w:eastAsia="Times New Roman"/>
                <w:color w:val="auto"/>
                <w:lang w:eastAsia="pl-PL"/>
              </w:rPr>
              <w:t>pre</w:t>
            </w:r>
            <w:proofErr w:type="spellEnd"/>
            <w:r w:rsidRPr="00554732">
              <w:rPr>
                <w:rFonts w:eastAsia="Times New Roman"/>
                <w:color w:val="auto"/>
                <w:lang w:eastAsia="pl-PL"/>
              </w:rPr>
              <w:t xml:space="preserve">-konsultacje publiczne. </w:t>
            </w:r>
          </w:p>
          <w:p w14:paraId="1FFD622B" w14:textId="54CED8AE" w:rsidR="00DA6892" w:rsidRPr="00554732" w:rsidRDefault="00554732" w:rsidP="00554732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554732">
              <w:rPr>
                <w:rFonts w:eastAsia="Times New Roman"/>
                <w:color w:val="auto"/>
                <w:lang w:eastAsia="pl-PL"/>
              </w:rPr>
              <w:t>W ramach konsultacji publicznych i opiniowania projekt zostanie przedstawiony do zaopiniowania</w:t>
            </w:r>
            <w:r w:rsidR="0022104B">
              <w:rPr>
                <w:rFonts w:eastAsia="Times New Roman"/>
                <w:color w:val="auto"/>
                <w:lang w:eastAsia="pl-PL"/>
              </w:rPr>
              <w:t>:</w:t>
            </w:r>
          </w:p>
          <w:p w14:paraId="56ABE17D" w14:textId="77777777" w:rsidR="00DA6892" w:rsidRPr="00554732" w:rsidRDefault="00DA6892" w:rsidP="00554732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554732">
              <w:rPr>
                <w:rFonts w:eastAsia="Times New Roman"/>
                <w:color w:val="auto"/>
                <w:lang w:eastAsia="pl-PL"/>
              </w:rPr>
              <w:t>-</w:t>
            </w:r>
            <w:r w:rsidR="00FB30D6" w:rsidRPr="00554732">
              <w:rPr>
                <w:rFonts w:eastAsia="Times New Roman"/>
                <w:color w:val="auto"/>
                <w:lang w:eastAsia="pl-PL"/>
              </w:rPr>
              <w:t xml:space="preserve"> 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>Związk</w:t>
            </w:r>
            <w:r w:rsidR="00DA3294" w:rsidRPr="00554732">
              <w:rPr>
                <w:rFonts w:eastAsia="Times New Roman"/>
                <w:color w:val="auto"/>
                <w:lang w:eastAsia="pl-PL"/>
              </w:rPr>
              <w:t>owi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 xml:space="preserve"> Miast Polskich, </w:t>
            </w:r>
          </w:p>
          <w:p w14:paraId="1AF65865" w14:textId="77777777" w:rsidR="00DA6892" w:rsidRPr="00554732" w:rsidRDefault="00DA6892" w:rsidP="00554732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554732">
              <w:rPr>
                <w:rFonts w:eastAsia="Times New Roman"/>
                <w:color w:val="auto"/>
                <w:lang w:eastAsia="pl-PL"/>
              </w:rPr>
              <w:t>-</w:t>
            </w:r>
            <w:r w:rsidR="00FB30D6" w:rsidRPr="00554732">
              <w:rPr>
                <w:rFonts w:eastAsia="Times New Roman"/>
                <w:color w:val="auto"/>
                <w:lang w:eastAsia="pl-PL"/>
              </w:rPr>
              <w:t xml:space="preserve"> 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 xml:space="preserve">Unii Metropolii Polskich, </w:t>
            </w:r>
          </w:p>
          <w:p w14:paraId="77A9E850" w14:textId="77777777" w:rsidR="00DA6892" w:rsidRPr="00554732" w:rsidRDefault="00DA6892" w:rsidP="00554732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554732">
              <w:rPr>
                <w:rFonts w:eastAsia="Times New Roman"/>
                <w:color w:val="auto"/>
                <w:lang w:eastAsia="pl-PL"/>
              </w:rPr>
              <w:t>-</w:t>
            </w:r>
            <w:r w:rsidR="00FB30D6" w:rsidRPr="00554732">
              <w:rPr>
                <w:rFonts w:eastAsia="Times New Roman"/>
                <w:color w:val="auto"/>
                <w:lang w:eastAsia="pl-PL"/>
              </w:rPr>
              <w:t xml:space="preserve"> 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>Związk</w:t>
            </w:r>
            <w:r w:rsidR="00DA3294" w:rsidRPr="00554732">
              <w:rPr>
                <w:rFonts w:eastAsia="Times New Roman"/>
                <w:color w:val="auto"/>
                <w:lang w:eastAsia="pl-PL"/>
              </w:rPr>
              <w:t>owi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 xml:space="preserve"> Gmin Wiejskich, </w:t>
            </w:r>
          </w:p>
          <w:p w14:paraId="4C424C28" w14:textId="77777777" w:rsidR="00DA6892" w:rsidRPr="00554732" w:rsidRDefault="00DA6892" w:rsidP="00554732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554732">
              <w:rPr>
                <w:rFonts w:eastAsia="Times New Roman"/>
                <w:color w:val="auto"/>
                <w:lang w:eastAsia="pl-PL"/>
              </w:rPr>
              <w:t>-</w:t>
            </w:r>
            <w:r w:rsidR="00FB30D6" w:rsidRPr="00554732">
              <w:rPr>
                <w:rFonts w:eastAsia="Times New Roman"/>
                <w:color w:val="auto"/>
                <w:lang w:eastAsia="pl-PL"/>
              </w:rPr>
              <w:t xml:space="preserve"> 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 xml:space="preserve">Unii Miasteczek Polskich, </w:t>
            </w:r>
          </w:p>
          <w:p w14:paraId="2670878E" w14:textId="77777777" w:rsidR="00DA6892" w:rsidRPr="00554732" w:rsidRDefault="00DA6892" w:rsidP="00554732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554732">
              <w:rPr>
                <w:rFonts w:eastAsia="Times New Roman"/>
                <w:color w:val="auto"/>
                <w:lang w:eastAsia="pl-PL"/>
              </w:rPr>
              <w:t>-</w:t>
            </w:r>
            <w:r w:rsidR="00FB30D6" w:rsidRPr="00554732">
              <w:rPr>
                <w:rFonts w:eastAsia="Times New Roman"/>
                <w:color w:val="auto"/>
                <w:lang w:eastAsia="pl-PL"/>
              </w:rPr>
              <w:t xml:space="preserve"> 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>Krajowej Izb</w:t>
            </w:r>
            <w:r w:rsidR="00DA3294" w:rsidRPr="00554732">
              <w:rPr>
                <w:rFonts w:eastAsia="Times New Roman"/>
                <w:color w:val="auto"/>
                <w:lang w:eastAsia="pl-PL"/>
              </w:rPr>
              <w:t>ie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 xml:space="preserve"> Gospodarczej, </w:t>
            </w:r>
          </w:p>
          <w:p w14:paraId="460D1113" w14:textId="77777777" w:rsidR="00DA6892" w:rsidRPr="00554732" w:rsidRDefault="00DA6892" w:rsidP="00554732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554732">
              <w:rPr>
                <w:rFonts w:eastAsia="Times New Roman"/>
                <w:color w:val="auto"/>
                <w:lang w:eastAsia="pl-PL"/>
              </w:rPr>
              <w:t>-</w:t>
            </w:r>
            <w:r w:rsidR="00FB30D6" w:rsidRPr="00554732">
              <w:rPr>
                <w:rFonts w:eastAsia="Times New Roman"/>
                <w:color w:val="auto"/>
                <w:lang w:eastAsia="pl-PL"/>
              </w:rPr>
              <w:t xml:space="preserve"> 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 xml:space="preserve">Konfederacji Pracodawców Polskich, </w:t>
            </w:r>
          </w:p>
          <w:p w14:paraId="7E54F278" w14:textId="77777777" w:rsidR="00DA6892" w:rsidRPr="00554732" w:rsidRDefault="00DA6892" w:rsidP="00554732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554732">
              <w:rPr>
                <w:rFonts w:eastAsia="Times New Roman"/>
                <w:color w:val="auto"/>
                <w:lang w:eastAsia="pl-PL"/>
              </w:rPr>
              <w:t>-</w:t>
            </w:r>
            <w:r w:rsidR="00FB30D6" w:rsidRPr="00554732">
              <w:rPr>
                <w:rFonts w:eastAsia="Times New Roman"/>
                <w:color w:val="auto"/>
                <w:lang w:eastAsia="pl-PL"/>
              </w:rPr>
              <w:t xml:space="preserve"> 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 xml:space="preserve">Polskiej Konfederacji Pracodawców Prywatnych, </w:t>
            </w:r>
          </w:p>
          <w:p w14:paraId="1BE6ED5E" w14:textId="73403FCD" w:rsidR="00DA6892" w:rsidRPr="00554732" w:rsidRDefault="00DA6892" w:rsidP="00554732">
            <w:pPr>
              <w:pStyle w:val="Default"/>
              <w:jc w:val="both"/>
              <w:rPr>
                <w:rFonts w:eastAsia="Times New Roman"/>
                <w:color w:val="auto"/>
                <w:lang w:eastAsia="pl-PL"/>
              </w:rPr>
            </w:pPr>
            <w:r w:rsidRPr="00554732">
              <w:rPr>
                <w:rFonts w:eastAsia="Times New Roman"/>
                <w:color w:val="auto"/>
                <w:lang w:eastAsia="pl-PL"/>
              </w:rPr>
              <w:t>-</w:t>
            </w:r>
            <w:r w:rsidR="00FB30D6" w:rsidRPr="00554732">
              <w:rPr>
                <w:rFonts w:eastAsia="Times New Roman"/>
                <w:color w:val="auto"/>
                <w:lang w:eastAsia="pl-PL"/>
              </w:rPr>
              <w:t xml:space="preserve"> 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>Business Centre Club</w:t>
            </w:r>
            <w:r w:rsidR="00D74053">
              <w:rPr>
                <w:rFonts w:eastAsia="Times New Roman"/>
                <w:color w:val="auto"/>
                <w:lang w:eastAsia="pl-PL"/>
              </w:rPr>
              <w:t>,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 xml:space="preserve"> </w:t>
            </w:r>
          </w:p>
          <w:p w14:paraId="052CE7B9" w14:textId="02DC978F" w:rsidR="00DA6892" w:rsidRPr="00554732" w:rsidRDefault="00DA6892" w:rsidP="00554732">
            <w:pPr>
              <w:pStyle w:val="Default"/>
              <w:jc w:val="both"/>
              <w:rPr>
                <w:spacing w:val="-2"/>
              </w:rPr>
            </w:pPr>
            <w:r w:rsidRPr="00554732">
              <w:rPr>
                <w:rFonts w:eastAsia="Times New Roman"/>
                <w:color w:val="auto"/>
                <w:lang w:eastAsia="pl-PL"/>
              </w:rPr>
              <w:t>-</w:t>
            </w:r>
            <w:r w:rsidR="00FB30D6" w:rsidRPr="00554732">
              <w:rPr>
                <w:rFonts w:eastAsia="Times New Roman"/>
                <w:color w:val="auto"/>
                <w:lang w:eastAsia="pl-PL"/>
              </w:rPr>
              <w:t xml:space="preserve"> </w:t>
            </w:r>
            <w:r w:rsidR="00B11D28" w:rsidRPr="00554732">
              <w:rPr>
                <w:rFonts w:eastAsia="Times New Roman"/>
                <w:color w:val="auto"/>
                <w:lang w:eastAsia="pl-PL"/>
              </w:rPr>
              <w:t>Krajowej Izb</w:t>
            </w:r>
            <w:r w:rsidR="00DA3294" w:rsidRPr="00554732">
              <w:rPr>
                <w:rFonts w:eastAsia="Times New Roman"/>
                <w:color w:val="auto"/>
                <w:lang w:eastAsia="pl-PL"/>
              </w:rPr>
              <w:t>ie</w:t>
            </w:r>
            <w:r w:rsidR="00FC7EBB" w:rsidRPr="00554732">
              <w:rPr>
                <w:rFonts w:eastAsia="Times New Roman"/>
                <w:color w:val="auto"/>
                <w:lang w:eastAsia="pl-PL"/>
              </w:rPr>
              <w:t xml:space="preserve"> Doradców Podatkowych</w:t>
            </w:r>
            <w:r w:rsidR="00D74053">
              <w:rPr>
                <w:rFonts w:eastAsia="Times New Roman"/>
                <w:color w:val="auto"/>
                <w:lang w:eastAsia="pl-PL"/>
              </w:rPr>
              <w:t>,</w:t>
            </w:r>
            <w:r w:rsidR="00B11D28" w:rsidRPr="00554732">
              <w:rPr>
                <w:spacing w:val="-2"/>
              </w:rPr>
              <w:t xml:space="preserve"> </w:t>
            </w:r>
          </w:p>
          <w:p w14:paraId="26C25D01" w14:textId="77777777" w:rsidR="005D2EBF" w:rsidRPr="00554732" w:rsidRDefault="00DA6892" w:rsidP="005547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-</w:t>
            </w:r>
            <w:r w:rsidR="00FB30D6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11D28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Komisji Wspólnej Rządu i Samorządu Terytorialnego</w:t>
            </w:r>
            <w:r w:rsidR="00554732" w:rsidRPr="005547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B11D28" w:rsidRPr="000977A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B71E1D" w:rsidRPr="008B4FE6" w14:paraId="4FE0E86A" w14:textId="77777777" w:rsidTr="00CF54AA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2B3FF684" w14:textId="77777777"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71E1D" w:rsidRPr="008B4FE6" w14:paraId="00B8134F" w14:textId="77777777" w:rsidTr="00CF54AA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24108C6" w14:textId="77777777" w:rsidR="00B71E1D" w:rsidRPr="00C53F26" w:rsidRDefault="00B71E1D" w:rsidP="00CF54AA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4"/>
            <w:shd w:val="clear" w:color="auto" w:fill="FFFFFF"/>
          </w:tcPr>
          <w:p w14:paraId="13FA3460" w14:textId="77777777" w:rsidR="00B71E1D" w:rsidRPr="00C53F26" w:rsidRDefault="00B71E1D" w:rsidP="00CF54A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71E1D" w:rsidRPr="008B4FE6" w14:paraId="3E0825A2" w14:textId="77777777" w:rsidTr="0022104B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0C96C4E" w14:textId="77777777" w:rsidR="00B71E1D" w:rsidRPr="00C53F26" w:rsidRDefault="00B71E1D" w:rsidP="00CF54A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A4CC56D" w14:textId="77777777"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3ECAD1" w14:textId="77777777"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F77869" w14:textId="77777777"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D32EBB" w14:textId="77777777"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85" w:type="dxa"/>
            <w:gridSpan w:val="2"/>
            <w:shd w:val="clear" w:color="auto" w:fill="FFFFFF"/>
          </w:tcPr>
          <w:p w14:paraId="71B4ACEC" w14:textId="77777777"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55" w:type="dxa"/>
            <w:shd w:val="clear" w:color="auto" w:fill="FFFFFF"/>
          </w:tcPr>
          <w:p w14:paraId="3B5AD6A4" w14:textId="77777777"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E923A0" w14:textId="77777777"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0886FE" w14:textId="77777777"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2F9E42" w14:textId="77777777"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D7179A" w14:textId="77777777"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EB14FAE" w14:textId="77777777" w:rsidR="00B71E1D" w:rsidRPr="00C53F26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34A8CCB" w14:textId="77777777" w:rsidR="00B71E1D" w:rsidRPr="00C53F26" w:rsidRDefault="00B71E1D" w:rsidP="00CF54A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71E1D" w:rsidRPr="008B4FE6" w14:paraId="52295197" w14:textId="77777777" w:rsidTr="0022104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98822E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C6FFBE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4DFE7B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288215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31351D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14:paraId="4736B83C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/>
          </w:tcPr>
          <w:p w14:paraId="1946B2A3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83FCCB7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9D567B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0B89E4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B5EE8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8CB73D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5E8536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14:paraId="175FD0C1" w14:textId="77777777" w:rsidTr="0022104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2BFA21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278986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D3A2BB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16E3F6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23409F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14:paraId="616E3785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/>
          </w:tcPr>
          <w:p w14:paraId="5C54C26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B2E87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8E2C5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49295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C450D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5D23C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032C942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14:paraId="6375EB62" w14:textId="77777777" w:rsidTr="0022104B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D8458B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F0BFA2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F49765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60ED1C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97528D4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14:paraId="4EAC4F2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/>
          </w:tcPr>
          <w:p w14:paraId="4365EBA7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0E4700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C6A2F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66C102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075D6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9796BC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7E5B00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14:paraId="2B2B6823" w14:textId="77777777" w:rsidTr="0022104B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D40D61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1228F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BA66B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0281C5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F394ADD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14:paraId="53F9FA7E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/>
          </w:tcPr>
          <w:p w14:paraId="380B978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FC000A3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E53FB5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CA026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CC2395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7DDB0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4780F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14:paraId="3FD7300A" w14:textId="77777777" w:rsidTr="0022104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46C97A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AC211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7E4C0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380FEC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8C7A6F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14:paraId="5E5DA14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/>
          </w:tcPr>
          <w:p w14:paraId="4901268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C305EBD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6AF53F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364796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651957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89DBE5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0C5D05D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14:paraId="10E3FA3C" w14:textId="77777777" w:rsidTr="0022104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5AC893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CD85A5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8CE76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9639CD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B345014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14:paraId="10F0EA9B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/>
          </w:tcPr>
          <w:p w14:paraId="0564FFE6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B9C7E4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362530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3D4E1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EAD12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65BEF9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35C242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14:paraId="25A360A3" w14:textId="77777777" w:rsidTr="0022104B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039243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0ECC3D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BE06F7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1E2486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B6BE6A4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14:paraId="757C2A1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/>
          </w:tcPr>
          <w:p w14:paraId="3767D920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6016496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7C9EAB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DFC73C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EB1CB7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B9831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1E76892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14:paraId="32E6690D" w14:textId="77777777" w:rsidTr="0022104B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BF1E85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027B8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48DDA0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6B3430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5BE1950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14:paraId="38DDDFE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/>
          </w:tcPr>
          <w:p w14:paraId="32E3E34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9321BD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822EAC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453C3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252CD5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35A917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A4BCA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14:paraId="431B7675" w14:textId="77777777" w:rsidTr="0022104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58E067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A5B09B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74CDF9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0EB4FB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41CDC3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14:paraId="597F7DBE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/>
          </w:tcPr>
          <w:p w14:paraId="0B07BBF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C1BED4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C2A049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8BDF1E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FB707E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176F82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91DB0FC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14:paraId="46B97185" w14:textId="77777777" w:rsidTr="0022104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9C4837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8B140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8D787C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422C3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BC65406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14:paraId="32926B6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/>
          </w:tcPr>
          <w:p w14:paraId="3630418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4F182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5EAC3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02AE26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DFC9A9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483AC6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B03AAB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14:paraId="1DCC65C8" w14:textId="77777777" w:rsidTr="0022104B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44CDE3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9B5DC0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6851E4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1A41B7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357D190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14:paraId="1B0F511D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/>
          </w:tcPr>
          <w:p w14:paraId="35A78A2C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6C7C25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E38032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B9AF3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84B664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55DE24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37CD50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14:paraId="5FEA64CE" w14:textId="77777777" w:rsidTr="0022104B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697CD4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E69C5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07BE5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1D2309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8D5E29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14:paraId="106392C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55" w:type="dxa"/>
            <w:shd w:val="clear" w:color="auto" w:fill="FFFFFF"/>
          </w:tcPr>
          <w:p w14:paraId="5702ABC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C8559D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D592A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681E49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5E9589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9B7964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8CDC40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71E1D" w:rsidRPr="008B4FE6" w14:paraId="6A453677" w14:textId="77777777" w:rsidTr="00CF54AA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B35368F" w14:textId="6971FE37" w:rsidR="0013489A" w:rsidRPr="00C53F26" w:rsidRDefault="00B71E1D" w:rsidP="0022104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19EE692A" w14:textId="553285D5" w:rsidR="00B71E1D" w:rsidRPr="00B37C80" w:rsidRDefault="00100908" w:rsidP="002210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2513">
              <w:rPr>
                <w:rFonts w:ascii="Times New Roman" w:hAnsi="Times New Roman"/>
                <w:color w:val="000000"/>
              </w:rPr>
              <w:t>Budżety jednostek samorządu terytorialnego (gminy)</w:t>
            </w:r>
          </w:p>
        </w:tc>
      </w:tr>
      <w:tr w:rsidR="00B71E1D" w:rsidRPr="008B4FE6" w14:paraId="3592D5F9" w14:textId="77777777" w:rsidTr="00554732">
        <w:trPr>
          <w:gridAfter w:val="1"/>
          <w:wAfter w:w="10" w:type="dxa"/>
          <w:trHeight w:val="1408"/>
        </w:trPr>
        <w:tc>
          <w:tcPr>
            <w:tcW w:w="2243" w:type="dxa"/>
            <w:gridSpan w:val="2"/>
            <w:shd w:val="clear" w:color="auto" w:fill="FFFFFF"/>
          </w:tcPr>
          <w:p w14:paraId="7C4754A2" w14:textId="77777777" w:rsidR="00B71E1D" w:rsidRPr="00C53F2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5786D026" w14:textId="45E05E2F" w:rsidR="00100908" w:rsidRPr="00554732" w:rsidRDefault="00100908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>Projekt</w:t>
            </w:r>
            <w:r w:rsidR="005829C3"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>owane rozporządzenie</w:t>
            </w:r>
            <w:r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spowoduje skutków finansowych dla organów udzielających pomocy.</w:t>
            </w:r>
          </w:p>
          <w:p w14:paraId="69EC2109" w14:textId="67C58013" w:rsidR="00732652" w:rsidRPr="00554732" w:rsidRDefault="006028FE" w:rsidP="00CF54A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>Przedłużenie</w:t>
            </w:r>
            <w:r w:rsidR="005829C3"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istniejących programów, w tym ich </w:t>
            </w:r>
            <w:r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korekta </w:t>
            </w:r>
            <w:r w:rsidR="00100908"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>nie jest obowiązkowe.</w:t>
            </w:r>
            <w:r w:rsidR="001D5A63"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473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100908"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związku z tym, że rozporządzenie w tym zakresie określa wyłącznie warunki udzielania pomocy w formie zwolnień podatkowych, bezpośrednio nie spowoduje zmniejszenia dochodów podmiotów sektora finansów publicznych, w tym budżetu państwa i budżetów jednostek samorządu terytorialnego, jak również zwiększenia wydatków jednostek sektora finansów publicznych w stosunku do wielkości wynikających z obowiązujących przepisów. Bezpośredni skutek w postaci zmniejszenia dochodów danej gminy </w:t>
            </w:r>
            <w:r w:rsidR="00100908" w:rsidRPr="00554732">
              <w:rPr>
                <w:rFonts w:ascii="Times New Roman" w:hAnsi="Times New Roman"/>
                <w:bCs/>
                <w:sz w:val="24"/>
                <w:szCs w:val="24"/>
              </w:rPr>
              <w:t>wystąpi dopiero w wyniku podjęcia uchwały przez radę gminy o udzieleniu pomocy. Należy podkreślić, że podjęcie takiej uchwały jest całkowicie dobrowolne i zależne od decyzji konkretnej gminy. Skutki finansowe, które nastąpią  jako konsekwencja podjęcia uchwały są zaakceptowane przez gminę, której będą dotyczyć, nie są więc skutkami narzuconymi, na które</w:t>
            </w:r>
            <w:r w:rsidR="00E90C60" w:rsidRPr="00554732">
              <w:rPr>
                <w:rFonts w:ascii="Times New Roman" w:hAnsi="Times New Roman"/>
                <w:bCs/>
                <w:sz w:val="24"/>
                <w:szCs w:val="24"/>
              </w:rPr>
              <w:t xml:space="preserve"> gmina nie ma wpływu. </w:t>
            </w:r>
          </w:p>
          <w:p w14:paraId="22BC514E" w14:textId="77777777" w:rsidR="00732652" w:rsidRPr="00554732" w:rsidRDefault="00732652" w:rsidP="00363C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>O przedłużeniu programu pomocy decyduje sama gmina, która korzystając z uprawnień konstytucyjnych prowadzi samodzielną politykę finansową i dokonuje analizy, czy uszczuplenia w dochodach wynikające z programu zostaną zrównoważone większymi wpływami z innych podatków, większą ilością miejsc pracy w regionie itd.</w:t>
            </w:r>
          </w:p>
          <w:p w14:paraId="2D87DA8E" w14:textId="77777777" w:rsidR="00363C29" w:rsidRPr="00554732" w:rsidRDefault="00100908" w:rsidP="00363C2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54732">
              <w:rPr>
                <w:rFonts w:ascii="Times New Roman" w:hAnsi="Times New Roman"/>
                <w:bCs/>
                <w:sz w:val="24"/>
                <w:szCs w:val="24"/>
              </w:rPr>
              <w:t xml:space="preserve">Z danych UOKiK wynika, </w:t>
            </w:r>
            <w:r w:rsidRPr="00554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że w ramach poprzedniego ogólnopolskiego programu pomocy </w:t>
            </w:r>
            <w:r w:rsidRPr="00554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regionalnej funkcjonującego w latach 2008-2014 uchwały o pomocy publicznej podjęły 159 rady gmin (5,8% wszystkich), natomiast pomocy publicznej faktycznie udzieliło 69 gmin (2,5% wszystkich gmin) na kwotę 72 mln zł.</w:t>
            </w:r>
            <w:r w:rsidR="0058278B" w:rsidRPr="00554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4FD83C6C" w14:textId="6B097EBC" w:rsidR="00554732" w:rsidRPr="00554732" w:rsidRDefault="00C25752" w:rsidP="004E604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554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Według </w:t>
            </w:r>
            <w:r w:rsidR="004629AE" w:rsidRPr="00554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danych UOKiK</w:t>
            </w:r>
            <w:r w:rsidRPr="00554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54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58278B" w:rsidRPr="00554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ramach obecnego rozszerzonego o nowy zakres programu, od początku jego obowiązywania</w:t>
            </w:r>
            <w:r w:rsidR="004E60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tj. od 16 lutego 2015 r. do 31</w:t>
            </w:r>
            <w:r w:rsidR="0058278B" w:rsidRPr="00554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E60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sierpnia</w:t>
            </w:r>
            <w:r w:rsidR="0058278B" w:rsidRPr="00554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20</w:t>
            </w:r>
            <w:r w:rsidR="00E90C60" w:rsidRPr="00554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4E60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58278B" w:rsidRPr="00554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  <w:r w:rsidRPr="00554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58278B" w:rsidRPr="00554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z programu skorzystał</w:t>
            </w:r>
            <w:r w:rsidR="004E60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58278B" w:rsidRPr="00554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E60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281</w:t>
            </w:r>
            <w:r w:rsidR="0058278B" w:rsidRPr="00554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gmin.</w:t>
            </w:r>
            <w:r w:rsidR="0058278B" w:rsidRPr="00C2575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B71E1D" w:rsidRPr="008B4FE6" w14:paraId="50E6D67B" w14:textId="77777777" w:rsidTr="00CF54AA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5D278A05" w14:textId="77777777" w:rsidR="00B71E1D" w:rsidRPr="008B4FE6" w:rsidRDefault="00B71E1D" w:rsidP="00B71E1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B71E1D" w:rsidRPr="008B4FE6" w14:paraId="345900A3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42BEFF68" w14:textId="77777777"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B71E1D" w:rsidRPr="008B4FE6" w14:paraId="2DB02237" w14:textId="77777777" w:rsidTr="00CF54AA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57A4E79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02148F4" w14:textId="77777777"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7F8A00B" w14:textId="77777777"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2092F4" w14:textId="77777777"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4B23CA8" w14:textId="77777777"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4CDE4B5" w14:textId="77777777"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9CBA7E8" w14:textId="77777777" w:rsidR="00B71E1D" w:rsidRPr="00301959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4F532F1" w14:textId="77777777" w:rsidR="00B71E1D" w:rsidRPr="001B3460" w:rsidRDefault="00B71E1D" w:rsidP="00CF54A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B71E1D" w:rsidRPr="008B4FE6" w14:paraId="21E14BCE" w14:textId="77777777" w:rsidTr="00CF54AA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91D6994" w14:textId="77777777" w:rsidR="00B71E1D" w:rsidRDefault="00B71E1D" w:rsidP="00CF54A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8682530" w14:textId="77777777" w:rsidR="00B71E1D" w:rsidRDefault="00B71E1D" w:rsidP="00CF54AA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E6774C9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1F80E66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44D2E8E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FFFCCB7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5D34C3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9BE041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AFCBBB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827BBEB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761114B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14:paraId="0174D933" w14:textId="77777777" w:rsidTr="00CF54A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B25E458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B5DAE2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69B04E9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1865AB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70110E3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EF19E0B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648F412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7C83BE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7AF76FE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14:paraId="133F1637" w14:textId="77777777" w:rsidTr="00CF54A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ABD34B8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5AA4603" w14:textId="66BA6CFA" w:rsidR="00F52950" w:rsidRPr="00301959" w:rsidRDefault="00B71E1D" w:rsidP="0022104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04CB577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DA3794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92D5B9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31E01D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38724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D853FAC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BE88B91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14:paraId="4FF73303" w14:textId="77777777" w:rsidTr="00CF54A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643FBF7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9263794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A2F048E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8CE829E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575C8BA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2A285E6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FF7ABD5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B87FE25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B2D9D44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14:paraId="73F5D75B" w14:textId="77777777" w:rsidTr="00CF54AA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96CD6ED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F7E1DF6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6450345E" w14:textId="77777777" w:rsidR="00B71E1D" w:rsidRPr="00531EEE" w:rsidRDefault="0058278B" w:rsidP="00E90C6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31EE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ograniczonym zakresie, </w:t>
            </w:r>
            <w:r w:rsidRPr="00531EEE">
              <w:rPr>
                <w:rFonts w:ascii="Times New Roman" w:hAnsi="Times New Roman"/>
                <w:sz w:val="24"/>
                <w:szCs w:val="24"/>
              </w:rPr>
              <w:t>ze względu na mniej korzystne reguły udzielania po</w:t>
            </w:r>
            <w:r w:rsidR="004629AE" w:rsidRPr="00531EEE">
              <w:rPr>
                <w:rFonts w:ascii="Times New Roman" w:hAnsi="Times New Roman"/>
                <w:sz w:val="24"/>
                <w:szCs w:val="24"/>
              </w:rPr>
              <w:t>mocy dla dużych przedsiębiorstw;</w:t>
            </w:r>
            <w:r w:rsidRPr="0053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E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</w:t>
            </w:r>
            <w:r w:rsidRPr="00531EEE">
              <w:rPr>
                <w:rFonts w:ascii="Times New Roman" w:hAnsi="Times New Roman"/>
                <w:sz w:val="24"/>
                <w:szCs w:val="24"/>
              </w:rPr>
              <w:t xml:space="preserve">rojektowane rozporządzenie może wpływać na </w:t>
            </w:r>
            <w:r w:rsidR="00E90C60" w:rsidRPr="00531EEE">
              <w:rPr>
                <w:rFonts w:ascii="Times New Roman" w:hAnsi="Times New Roman"/>
                <w:sz w:val="24"/>
                <w:szCs w:val="24"/>
              </w:rPr>
              <w:t>wydłużenie okresu korzystania z pomocy na podstawie programu.</w:t>
            </w:r>
          </w:p>
        </w:tc>
      </w:tr>
      <w:tr w:rsidR="00B71E1D" w:rsidRPr="008B4FE6" w14:paraId="02FD70C0" w14:textId="77777777" w:rsidTr="00CF54A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953BCC3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C7D64AC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518C0089" w14:textId="0A332260" w:rsidR="00B71E1D" w:rsidRPr="00531EEE" w:rsidRDefault="007B37C1" w:rsidP="0022104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31EEE">
              <w:rPr>
                <w:rFonts w:ascii="Times New Roman" w:hAnsi="Times New Roman"/>
                <w:sz w:val="24"/>
                <w:szCs w:val="24"/>
              </w:rPr>
              <w:t>Projektowane rozporządzenie jako przedłużające okres udzielania pomocy publicznej w ramach obowiązującego programu pomocy i skierowane głównie do MŚP może wpływać na pobudzenie przedsiębiorczości i ograniczenie bezrobocia na rynku lokalnym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B37C1">
              <w:rPr>
                <w:rFonts w:ascii="Times New Roman" w:hAnsi="Times New Roman"/>
                <w:sz w:val="24"/>
                <w:szCs w:val="24"/>
              </w:rPr>
              <w:t>w szczególności ze względu no złagodzenie wymogów udzielania regionalnej pomocy inwestycyjnej w zakresie obowiązku utrzymania utworzonych w wyniku realizacji nowej inwestycji miejsc pracy przez okres 5 lat/3</w:t>
            </w:r>
            <w:r w:rsidR="00390A81">
              <w:rPr>
                <w:rFonts w:ascii="Times New Roman" w:hAnsi="Times New Roman"/>
                <w:sz w:val="24"/>
                <w:szCs w:val="24"/>
              </w:rPr>
              <w:t xml:space="preserve"> lat</w:t>
            </w:r>
            <w:r w:rsidRPr="007B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1E1D" w:rsidRPr="008B4FE6" w14:paraId="08C7A9F7" w14:textId="77777777" w:rsidTr="00CF54AA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4FDB1538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2D639C" w14:textId="0E450DE7" w:rsidR="00B71E1D" w:rsidRPr="00301959" w:rsidRDefault="00B71E1D" w:rsidP="0022104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63532BE4" w14:textId="77777777" w:rsidR="00B71E1D" w:rsidRPr="00531EEE" w:rsidRDefault="00E90C60" w:rsidP="00FE18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31EE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wpływu</w:t>
            </w:r>
            <w:r w:rsidR="004629AE" w:rsidRPr="00531EE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B71E1D" w:rsidRPr="008B4FE6" w14:paraId="1DD4452C" w14:textId="77777777" w:rsidTr="00CF54AA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ED01DED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1190BF4" w14:textId="77777777" w:rsidR="00B71E1D" w:rsidRPr="00301959" w:rsidRDefault="00B71E1D" w:rsidP="00CF54AA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78EC570B" w14:textId="77777777" w:rsidR="00B71E1D" w:rsidRPr="00B37C80" w:rsidRDefault="00B71E1D" w:rsidP="00CF54AA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14:paraId="480B64B5" w14:textId="77777777" w:rsidTr="00CF54AA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36E6C58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E3F511F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0E17F47F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14:paraId="41F19DE9" w14:textId="77777777" w:rsidTr="00CF54A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2352E9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30A8B4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2BC50F88" w14:textId="77777777" w:rsidR="00B71E1D" w:rsidRPr="00B37C80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71E1D" w:rsidRPr="008B4FE6" w14:paraId="685BEAED" w14:textId="77777777" w:rsidTr="00CF54AA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6D43D4C0" w14:textId="77777777" w:rsidR="00B71E1D" w:rsidRPr="00301959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0334B1CB" w14:textId="77777777" w:rsidR="007B37C1" w:rsidRPr="00531EEE" w:rsidRDefault="007B37C1" w:rsidP="007B37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C1">
              <w:rPr>
                <w:rFonts w:ascii="Times New Roman" w:hAnsi="Times New Roman"/>
                <w:sz w:val="24"/>
                <w:szCs w:val="24"/>
              </w:rPr>
              <w:t>Wejście w życie projektowanego rozporządzenia nie wpłynie w istotny sposób na konkurencyjność gospodarki w tym na funkcjonowanie przedsiębiorców, oraz nie będzie mieć wpływu na rodzinę, obywateli gospodarstwa domowe, osoby starsze i niepełnosprawne.</w:t>
            </w:r>
          </w:p>
          <w:p w14:paraId="1B13F99E" w14:textId="3528A51F" w:rsidR="00B71E1D" w:rsidRPr="00301959" w:rsidRDefault="007B37C1" w:rsidP="002210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2F50">
              <w:rPr>
                <w:rFonts w:ascii="Times New Roman" w:eastAsiaTheme="minorHAnsi" w:hAnsi="Times New Roman"/>
                <w:sz w:val="24"/>
                <w:szCs w:val="24"/>
              </w:rPr>
              <w:t xml:space="preserve">Regulacja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może mieć</w:t>
            </w:r>
            <w:r w:rsidRPr="00152F50">
              <w:rPr>
                <w:rFonts w:ascii="Times New Roman" w:eastAsiaTheme="minorHAnsi" w:hAnsi="Times New Roman"/>
                <w:sz w:val="24"/>
                <w:szCs w:val="24"/>
              </w:rPr>
              <w:t xml:space="preserve"> wpływ na zwiększenie konkurencyjności przedsiębiorstw, które</w:t>
            </w:r>
            <w:r w:rsidR="002210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52F50">
              <w:rPr>
                <w:rFonts w:ascii="Times New Roman" w:eastAsiaTheme="minorHAnsi" w:hAnsi="Times New Roman"/>
                <w:sz w:val="24"/>
                <w:szCs w:val="24"/>
              </w:rPr>
              <w:t>poniosły negatyw</w:t>
            </w:r>
            <w:r w:rsidR="008E1C5B">
              <w:rPr>
                <w:rFonts w:ascii="Times New Roman" w:eastAsiaTheme="minorHAnsi" w:hAnsi="Times New Roman"/>
                <w:sz w:val="24"/>
                <w:szCs w:val="24"/>
              </w:rPr>
              <w:t>ne skutki ekonomiczne pandemii C</w:t>
            </w:r>
            <w:r w:rsidRPr="00152F50">
              <w:rPr>
                <w:rFonts w:ascii="Times New Roman" w:eastAsiaTheme="minorHAnsi" w:hAnsi="Times New Roman"/>
                <w:sz w:val="24"/>
                <w:szCs w:val="24"/>
              </w:rPr>
              <w:t>ovid-19, w gminach, które wprowadziły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52F50">
              <w:rPr>
                <w:rFonts w:ascii="Times New Roman" w:eastAsiaTheme="minorHAnsi" w:hAnsi="Times New Roman"/>
                <w:sz w:val="24"/>
                <w:szCs w:val="24"/>
              </w:rPr>
              <w:t>na swoim terenie programy pomocowe podjęte w oparciu ogólnopolski program pomocowy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52F50">
              <w:rPr>
                <w:rFonts w:ascii="Times New Roman" w:eastAsiaTheme="minorHAnsi" w:hAnsi="Times New Roman"/>
                <w:sz w:val="24"/>
                <w:szCs w:val="24"/>
              </w:rPr>
              <w:t>i zdecydują się złagodzić ten warunek sto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sownie do zaproponowanych zmian.</w:t>
            </w:r>
          </w:p>
        </w:tc>
      </w:tr>
      <w:tr w:rsidR="00B71E1D" w:rsidRPr="008B4FE6" w14:paraId="10401507" w14:textId="77777777" w:rsidTr="00CF54AA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29507FB5" w14:textId="77777777"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71E1D" w:rsidRPr="008B4FE6" w14:paraId="38E77143" w14:textId="77777777" w:rsidTr="00CF54AA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14:paraId="057371F5" w14:textId="77777777" w:rsidR="00B71E1D" w:rsidRPr="008B4FE6" w:rsidRDefault="0058278B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C29">
              <w:rPr>
                <w:rFonts w:ascii="Times New Roman" w:hAnsi="Times New Roman"/>
                <w:b/>
                <w:color w:val="000000"/>
              </w:rPr>
              <w:t>x</w:t>
            </w:r>
            <w:r w:rsidR="00B71E1D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B71E1D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71E1D" w:rsidRPr="008B4FE6" w14:paraId="7ED634A3" w14:textId="77777777" w:rsidTr="0022104B">
        <w:trPr>
          <w:gridAfter w:val="1"/>
          <w:wAfter w:w="10" w:type="dxa"/>
          <w:trHeight w:val="840"/>
        </w:trPr>
        <w:tc>
          <w:tcPr>
            <w:tcW w:w="5111" w:type="dxa"/>
            <w:gridSpan w:val="11"/>
            <w:shd w:val="clear" w:color="auto" w:fill="FFFFFF"/>
          </w:tcPr>
          <w:p w14:paraId="21F0E617" w14:textId="77777777" w:rsidR="00B71E1D" w:rsidRDefault="00B71E1D" w:rsidP="0022104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1B7D686" w14:textId="77777777"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4ADA82C" w14:textId="77777777"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519837D" w14:textId="77777777" w:rsidR="00B71E1D" w:rsidRDefault="00B71E1D" w:rsidP="00CF54AA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71E1D" w:rsidRPr="008B4FE6" w14:paraId="45030455" w14:textId="77777777" w:rsidTr="0022104B">
        <w:trPr>
          <w:gridAfter w:val="1"/>
          <w:wAfter w:w="10" w:type="dxa"/>
          <w:trHeight w:val="1023"/>
        </w:trPr>
        <w:tc>
          <w:tcPr>
            <w:tcW w:w="5111" w:type="dxa"/>
            <w:gridSpan w:val="11"/>
            <w:shd w:val="clear" w:color="auto" w:fill="FFFFFF"/>
          </w:tcPr>
          <w:p w14:paraId="7AAE566F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D36DF08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16EF61" w14:textId="77777777"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3EA1BED" w14:textId="77777777" w:rsidR="00B71E1D" w:rsidRPr="008B4FE6" w:rsidRDefault="00B71E1D" w:rsidP="00CF54A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73E3C13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9936ABB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772933A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F185F0B" w14:textId="73536203" w:rsidR="00B71E1D" w:rsidRPr="008B4FE6" w:rsidRDefault="00B71E1D" w:rsidP="002210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71E1D" w:rsidRPr="008B4FE6" w14:paraId="62ABF740" w14:textId="77777777" w:rsidTr="00CF54AA">
        <w:trPr>
          <w:gridAfter w:val="1"/>
          <w:wAfter w:w="10" w:type="dxa"/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1FCA1AD4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7740AB6" w14:textId="77777777"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CBBDD6" w14:textId="77777777"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83E8CCB" w14:textId="77777777" w:rsidR="00B71E1D" w:rsidRPr="008B4FE6" w:rsidRDefault="00B71E1D" w:rsidP="0029784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71E1D" w:rsidRPr="008B4FE6" w14:paraId="7F48F56B" w14:textId="77777777" w:rsidTr="00CF54AA">
        <w:trPr>
          <w:gridAfter w:val="1"/>
          <w:wAfter w:w="10" w:type="dxa"/>
          <w:trHeight w:val="630"/>
        </w:trPr>
        <w:tc>
          <w:tcPr>
            <w:tcW w:w="10937" w:type="dxa"/>
            <w:gridSpan w:val="28"/>
            <w:shd w:val="clear" w:color="auto" w:fill="FFFFFF"/>
          </w:tcPr>
          <w:p w14:paraId="625653F4" w14:textId="77777777" w:rsidR="00152F50" w:rsidRDefault="00B71E1D" w:rsidP="00152F50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EE2F53">
              <w:rPr>
                <w:rFonts w:ascii="Times New Roman" w:hAnsi="Times New Roman"/>
                <w:color w:val="000000"/>
              </w:rPr>
              <w:t xml:space="preserve"> </w:t>
            </w:r>
            <w:r w:rsidR="00FE18AD" w:rsidRPr="00531EEE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EE2F53" w:rsidRPr="00531EEE">
              <w:rPr>
                <w:rFonts w:ascii="Times New Roman" w:hAnsi="Times New Roman"/>
                <w:color w:val="000000"/>
                <w:sz w:val="24"/>
                <w:szCs w:val="24"/>
              </w:rPr>
              <w:t>ozporządzenie nie wprowadza dodatkowych obciążeń regulacyjnych</w:t>
            </w:r>
            <w:r w:rsidR="00EE2F53">
              <w:rPr>
                <w:rFonts w:ascii="Times New Roman" w:hAnsi="Times New Roman"/>
                <w:color w:val="000000"/>
              </w:rPr>
              <w:t>.</w:t>
            </w:r>
            <w:r w:rsidR="00152F50">
              <w:rPr>
                <w:rFonts w:eastAsiaTheme="minorHAnsi" w:cs="Calibri"/>
                <w:sz w:val="24"/>
                <w:szCs w:val="24"/>
              </w:rPr>
              <w:t xml:space="preserve"> </w:t>
            </w:r>
          </w:p>
          <w:p w14:paraId="7A39323B" w14:textId="34CD705D" w:rsidR="00B71E1D" w:rsidRPr="008B4FE6" w:rsidRDefault="00152F50" w:rsidP="00152F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2F50">
              <w:rPr>
                <w:rFonts w:ascii="Times New Roman" w:eastAsiaTheme="minorHAnsi" w:hAnsi="Times New Roman"/>
                <w:sz w:val="24"/>
                <w:szCs w:val="24"/>
              </w:rPr>
              <w:t>Jednocześnie z uwagi na wskazane wyżej złagodzenie wymogów udzielania regionalnej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52F50">
              <w:rPr>
                <w:rFonts w:ascii="Times New Roman" w:eastAsiaTheme="minorHAnsi" w:hAnsi="Times New Roman"/>
                <w:sz w:val="24"/>
                <w:szCs w:val="24"/>
              </w:rPr>
              <w:t>pomocy inwestycyjnej powyższa zmiana może mieć wpływ na liczbę dokumentów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52F50">
              <w:rPr>
                <w:rFonts w:ascii="Times New Roman" w:eastAsiaTheme="minorHAnsi" w:hAnsi="Times New Roman"/>
                <w:sz w:val="24"/>
                <w:szCs w:val="24"/>
              </w:rPr>
              <w:t>i procedur – rodzaj wpływu (zmniejszenie lub zwiększenie) będzie jednak zależał od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52F50">
              <w:rPr>
                <w:rFonts w:ascii="Times New Roman" w:eastAsiaTheme="minorHAnsi" w:hAnsi="Times New Roman"/>
                <w:sz w:val="24"/>
                <w:szCs w:val="24"/>
              </w:rPr>
              <w:t>przyjętych w tym zakresie rozwiązań w poszczególnych gminach.</w:t>
            </w:r>
          </w:p>
        </w:tc>
      </w:tr>
      <w:tr w:rsidR="00B71E1D" w:rsidRPr="008B4FE6" w14:paraId="5D23C0C0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2CFC10F8" w14:textId="77777777"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71E1D" w:rsidRPr="008B4FE6" w14:paraId="6E548284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3FA66A9B" w14:textId="77777777" w:rsidR="0013489A" w:rsidRPr="00531EEE" w:rsidRDefault="00EE2F53" w:rsidP="002978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EEE">
              <w:rPr>
                <w:rFonts w:ascii="Times New Roman" w:hAnsi="Times New Roman"/>
                <w:color w:val="000000"/>
                <w:sz w:val="24"/>
                <w:szCs w:val="24"/>
              </w:rPr>
              <w:t>Rozporządzenie może mieć pozytywny wpływ na rynek pracy, ze względu na preferencje dla przedsiębiorców tworzących miejsca pracy.</w:t>
            </w:r>
          </w:p>
        </w:tc>
      </w:tr>
      <w:tr w:rsidR="00B71E1D" w:rsidRPr="008B4FE6" w14:paraId="51621F5B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3B1FE35C" w14:textId="77777777"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71E1D" w:rsidRPr="008B4FE6" w14:paraId="507AFC79" w14:textId="77777777" w:rsidTr="00CF54AA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C59C538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AEFC30B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B1A64B3" w14:textId="77777777" w:rsidR="00B71E1D" w:rsidRPr="008B4FE6" w:rsidRDefault="00EE2F53" w:rsidP="0029784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63C29">
              <w:rPr>
                <w:rFonts w:ascii="Times New Roman" w:hAnsi="Times New Roman"/>
                <w:b/>
                <w:color w:val="000000"/>
              </w:rPr>
              <w:t>x</w:t>
            </w:r>
            <w:r w:rsidR="00B71E1D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71E1D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7E95E97C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82B3EAB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E101372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9C6B06B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66AAE97" w14:textId="77777777" w:rsidR="00B71E1D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5B8E01F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B6D96">
              <w:rPr>
                <w:rFonts w:ascii="Times New Roman" w:hAnsi="Times New Roman"/>
                <w:color w:val="000000"/>
              </w:rPr>
            </w:r>
            <w:r w:rsidR="003B6D9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71E1D" w:rsidRPr="008B4FE6" w14:paraId="3DC6713D" w14:textId="77777777" w:rsidTr="00297843">
        <w:trPr>
          <w:gridAfter w:val="1"/>
          <w:wAfter w:w="10" w:type="dxa"/>
          <w:trHeight w:val="667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9348780" w14:textId="77777777" w:rsidR="00B71E1D" w:rsidRPr="008B4FE6" w:rsidRDefault="00B71E1D" w:rsidP="00CF54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3BD6E2C5" w14:textId="6AE59749" w:rsidR="00B71E1D" w:rsidRPr="008B4FE6" w:rsidRDefault="00C71D22" w:rsidP="00CF54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Przedłużenie gminnych programów pomocowych uchwalonych na podstawie rozporządzenia lub podjęcie nowych uchwał w oparciu o zmienione zasady może mieć wpływ na rozwój regionów, w których intensywność </w:t>
            </w:r>
            <w:r w:rsidR="00FA2D8E">
              <w:rPr>
                <w:rFonts w:ascii="Times New Roman" w:hAnsi="Times New Roman"/>
                <w:color w:val="000000"/>
                <w:spacing w:val="-2"/>
              </w:rPr>
              <w:t xml:space="preserve">według nowych zasad będzie największa, a tym samym przyczynić się do niwelowania różnic w rozwoju regionów. 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B71E1D" w:rsidRPr="008B4FE6" w14:paraId="06E89174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00F30A8E" w14:textId="77777777" w:rsidR="00B71E1D" w:rsidRPr="00627221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71E1D" w:rsidRPr="008B4FE6" w14:paraId="38BA9CE3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2320B488" w14:textId="2CD1E732" w:rsidR="0099783C" w:rsidRPr="00531EEE" w:rsidRDefault="0099783C" w:rsidP="009978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78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Z dniem następującym po dniu ogłoszenia, z wyjątkiem </w:t>
            </w:r>
            <w:r w:rsidRPr="009978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§ 1 pkt 2, który wejdzie w życie z dniem 1 stycznia 2022 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978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jest </w:t>
            </w:r>
            <w:r w:rsidRPr="009978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skorelowa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ny</w:t>
            </w:r>
            <w:r w:rsidRPr="009978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terminem przewidzianym na dokonanie zmian w programach pomocy podjętych w oparciu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GBER (przed końcem 2021 r.) i </w:t>
            </w:r>
            <w:r w:rsidRPr="009978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umożliwi wprowadzeni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Pr="009978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zmian w gminnych programach pomocowych opartyc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 na krajowym programie pomocy.</w:t>
            </w:r>
          </w:p>
        </w:tc>
      </w:tr>
      <w:tr w:rsidR="00B71E1D" w:rsidRPr="008B4FE6" w14:paraId="214410D3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6A2179A1" w14:textId="77777777"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71E1D" w:rsidRPr="008B4FE6" w14:paraId="256D8C38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03F692E2" w14:textId="0303F692" w:rsidR="00B71E1D" w:rsidRPr="00B37C80" w:rsidRDefault="00EE2F53" w:rsidP="002210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31EEE">
              <w:rPr>
                <w:rFonts w:ascii="Times New Roman" w:hAnsi="Times New Roman"/>
                <w:spacing w:val="-2"/>
                <w:sz w:val="24"/>
                <w:szCs w:val="24"/>
              </w:rPr>
              <w:t>Ewaluacja efektów projektu zostanie dokonana w ramach monitoringu pomocy publicznej dokonywanego przez UOKiK.</w:t>
            </w:r>
          </w:p>
        </w:tc>
      </w:tr>
      <w:tr w:rsidR="00B71E1D" w:rsidRPr="008B4FE6" w14:paraId="4DC92C7E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6A908F2" w14:textId="77777777" w:rsidR="00B71E1D" w:rsidRPr="008B4FE6" w:rsidRDefault="00B71E1D" w:rsidP="00B71E1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71E1D" w:rsidRPr="008B4FE6" w14:paraId="5ACA1933" w14:textId="77777777" w:rsidTr="00CF54AA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161C67E2" w14:textId="4A16FB6E" w:rsidR="00B71E1D" w:rsidRPr="000120AB" w:rsidRDefault="00C1122A" w:rsidP="002210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31EE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  <w:r w:rsidR="00531EE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14:paraId="16359A0A" w14:textId="77777777" w:rsidR="009D68AB" w:rsidRDefault="009D68AB" w:rsidP="004F271D"/>
    <w:sectPr w:rsidR="009D68AB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35D54"/>
    <w:multiLevelType w:val="hybridMultilevel"/>
    <w:tmpl w:val="DAFC9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534E"/>
    <w:multiLevelType w:val="hybridMultilevel"/>
    <w:tmpl w:val="063A3F94"/>
    <w:lvl w:ilvl="0" w:tplc="51FA50D2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F63C0"/>
    <w:multiLevelType w:val="hybridMultilevel"/>
    <w:tmpl w:val="04FC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46C11"/>
    <w:multiLevelType w:val="hybridMultilevel"/>
    <w:tmpl w:val="EFD0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1D"/>
    <w:rsid w:val="0001062E"/>
    <w:rsid w:val="000120AB"/>
    <w:rsid w:val="00041C20"/>
    <w:rsid w:val="00060DCE"/>
    <w:rsid w:val="000634CF"/>
    <w:rsid w:val="000734C6"/>
    <w:rsid w:val="000834D2"/>
    <w:rsid w:val="0009113C"/>
    <w:rsid w:val="000977A4"/>
    <w:rsid w:val="000A1F34"/>
    <w:rsid w:val="000D0506"/>
    <w:rsid w:val="000D5902"/>
    <w:rsid w:val="000D7D0D"/>
    <w:rsid w:val="000F64F1"/>
    <w:rsid w:val="00100908"/>
    <w:rsid w:val="00105EC2"/>
    <w:rsid w:val="00113267"/>
    <w:rsid w:val="00116811"/>
    <w:rsid w:val="0013489A"/>
    <w:rsid w:val="00152F50"/>
    <w:rsid w:val="00175316"/>
    <w:rsid w:val="00196CF6"/>
    <w:rsid w:val="001A1618"/>
    <w:rsid w:val="001D05C4"/>
    <w:rsid w:val="001D5A63"/>
    <w:rsid w:val="0022104B"/>
    <w:rsid w:val="00232513"/>
    <w:rsid w:val="00250C9A"/>
    <w:rsid w:val="002639A4"/>
    <w:rsid w:val="00272BF1"/>
    <w:rsid w:val="00293C6F"/>
    <w:rsid w:val="00297843"/>
    <w:rsid w:val="002A3D9D"/>
    <w:rsid w:val="002A66A2"/>
    <w:rsid w:val="00304D9D"/>
    <w:rsid w:val="00345FDF"/>
    <w:rsid w:val="00363C29"/>
    <w:rsid w:val="00386AB7"/>
    <w:rsid w:val="00390A81"/>
    <w:rsid w:val="003B6D96"/>
    <w:rsid w:val="00416248"/>
    <w:rsid w:val="004629AE"/>
    <w:rsid w:val="00487172"/>
    <w:rsid w:val="004A1F82"/>
    <w:rsid w:val="004A5D3A"/>
    <w:rsid w:val="004B6898"/>
    <w:rsid w:val="004C5415"/>
    <w:rsid w:val="004E6044"/>
    <w:rsid w:val="004F271D"/>
    <w:rsid w:val="004F5A1F"/>
    <w:rsid w:val="004F742F"/>
    <w:rsid w:val="00520942"/>
    <w:rsid w:val="00531EEE"/>
    <w:rsid w:val="00540CCB"/>
    <w:rsid w:val="00554732"/>
    <w:rsid w:val="0058278B"/>
    <w:rsid w:val="005829C3"/>
    <w:rsid w:val="0058503F"/>
    <w:rsid w:val="005D2EBF"/>
    <w:rsid w:val="005F35B6"/>
    <w:rsid w:val="006028FE"/>
    <w:rsid w:val="0064667A"/>
    <w:rsid w:val="006620BB"/>
    <w:rsid w:val="00673CFD"/>
    <w:rsid w:val="006C3EF5"/>
    <w:rsid w:val="006C59C8"/>
    <w:rsid w:val="00725BDF"/>
    <w:rsid w:val="00726331"/>
    <w:rsid w:val="00732652"/>
    <w:rsid w:val="007B37C1"/>
    <w:rsid w:val="007D181E"/>
    <w:rsid w:val="007D33D8"/>
    <w:rsid w:val="007D517A"/>
    <w:rsid w:val="007E1388"/>
    <w:rsid w:val="007F289E"/>
    <w:rsid w:val="007F3C34"/>
    <w:rsid w:val="0080105E"/>
    <w:rsid w:val="0080309F"/>
    <w:rsid w:val="00811416"/>
    <w:rsid w:val="00837E1F"/>
    <w:rsid w:val="008626A6"/>
    <w:rsid w:val="00896639"/>
    <w:rsid w:val="008D4400"/>
    <w:rsid w:val="008E1C5B"/>
    <w:rsid w:val="00903A3A"/>
    <w:rsid w:val="00904A4C"/>
    <w:rsid w:val="00913129"/>
    <w:rsid w:val="0095723B"/>
    <w:rsid w:val="0099239D"/>
    <w:rsid w:val="0099783C"/>
    <w:rsid w:val="009B21FA"/>
    <w:rsid w:val="009D68AB"/>
    <w:rsid w:val="00B11560"/>
    <w:rsid w:val="00B11D28"/>
    <w:rsid w:val="00B40806"/>
    <w:rsid w:val="00B56C85"/>
    <w:rsid w:val="00B6355A"/>
    <w:rsid w:val="00B66A25"/>
    <w:rsid w:val="00B71E1D"/>
    <w:rsid w:val="00B77780"/>
    <w:rsid w:val="00B77AB6"/>
    <w:rsid w:val="00BA7BD3"/>
    <w:rsid w:val="00BB52B4"/>
    <w:rsid w:val="00C1122A"/>
    <w:rsid w:val="00C25752"/>
    <w:rsid w:val="00C37581"/>
    <w:rsid w:val="00C71D22"/>
    <w:rsid w:val="00C75259"/>
    <w:rsid w:val="00C92388"/>
    <w:rsid w:val="00C939B7"/>
    <w:rsid w:val="00CB116B"/>
    <w:rsid w:val="00CB39B4"/>
    <w:rsid w:val="00CF7D35"/>
    <w:rsid w:val="00D67C22"/>
    <w:rsid w:val="00D74053"/>
    <w:rsid w:val="00DA3294"/>
    <w:rsid w:val="00DA6892"/>
    <w:rsid w:val="00E90C60"/>
    <w:rsid w:val="00E913C3"/>
    <w:rsid w:val="00EA722F"/>
    <w:rsid w:val="00EC3198"/>
    <w:rsid w:val="00ED4B17"/>
    <w:rsid w:val="00EE2F53"/>
    <w:rsid w:val="00EF46AF"/>
    <w:rsid w:val="00F52950"/>
    <w:rsid w:val="00F879E1"/>
    <w:rsid w:val="00FA2D8E"/>
    <w:rsid w:val="00FB30D6"/>
    <w:rsid w:val="00FC76A6"/>
    <w:rsid w:val="00FC78B0"/>
    <w:rsid w:val="00FC7EBB"/>
    <w:rsid w:val="00FE18AD"/>
    <w:rsid w:val="00FE547B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5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E1D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1E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E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B71E1D"/>
    <w:rPr>
      <w:color w:val="0000FF"/>
      <w:u w:val="single"/>
    </w:rPr>
  </w:style>
  <w:style w:type="paragraph" w:customStyle="1" w:styleId="Default">
    <w:name w:val="Default"/>
    <w:rsid w:val="007F2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1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38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EE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E1D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1E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E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B71E1D"/>
    <w:rPr>
      <w:color w:val="0000FF"/>
      <w:u w:val="single"/>
    </w:rPr>
  </w:style>
  <w:style w:type="paragraph" w:customStyle="1" w:styleId="Default">
    <w:name w:val="Default"/>
    <w:rsid w:val="007F2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1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38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E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.ps@mf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8D3F-C9F0-45BC-A076-EDF3A036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Anna</dc:creator>
  <cp:lastModifiedBy>Podedworna Iwona</cp:lastModifiedBy>
  <cp:revision>2</cp:revision>
  <cp:lastPrinted>2021-10-21T10:55:00Z</cp:lastPrinted>
  <dcterms:created xsi:type="dcterms:W3CDTF">2021-11-02T13:56:00Z</dcterms:created>
  <dcterms:modified xsi:type="dcterms:W3CDTF">2021-11-02T13:56:00Z</dcterms:modified>
</cp:coreProperties>
</file>