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642"/>
        <w:gridCol w:w="422"/>
        <w:gridCol w:w="462"/>
        <w:gridCol w:w="412"/>
        <w:gridCol w:w="154"/>
        <w:gridCol w:w="186"/>
        <w:gridCol w:w="381"/>
        <w:gridCol w:w="551"/>
        <w:gridCol w:w="16"/>
        <w:gridCol w:w="118"/>
        <w:gridCol w:w="150"/>
        <w:gridCol w:w="298"/>
        <w:gridCol w:w="352"/>
        <w:gridCol w:w="216"/>
        <w:gridCol w:w="567"/>
        <w:gridCol w:w="80"/>
        <w:gridCol w:w="71"/>
        <w:gridCol w:w="417"/>
        <w:gridCol w:w="113"/>
        <w:gridCol w:w="403"/>
        <w:gridCol w:w="51"/>
        <w:gridCol w:w="265"/>
        <w:gridCol w:w="302"/>
        <w:gridCol w:w="316"/>
        <w:gridCol w:w="252"/>
        <w:gridCol w:w="567"/>
        <w:gridCol w:w="114"/>
        <w:gridCol w:w="1412"/>
        <w:gridCol w:w="63"/>
      </w:tblGrid>
      <w:tr w:rsidR="009004F8" w:rsidRPr="008B4FE6" w14:paraId="5305B265" w14:textId="77777777" w:rsidTr="00F43ADF">
        <w:trPr>
          <w:gridAfter w:val="1"/>
          <w:wAfter w:w="63" w:type="dxa"/>
          <w:trHeight w:val="3114"/>
        </w:trPr>
        <w:tc>
          <w:tcPr>
            <w:tcW w:w="6631" w:type="dxa"/>
            <w:gridSpan w:val="17"/>
          </w:tcPr>
          <w:p w14:paraId="74DD4CD6" w14:textId="77777777" w:rsidR="009004F8" w:rsidRPr="00AE470B" w:rsidRDefault="009004F8" w:rsidP="00191BC1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AE470B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68D9A134" w14:textId="2C201BA3" w:rsidR="009004F8" w:rsidRDefault="009004F8" w:rsidP="00191BC1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1" w:name="t2"/>
            <w:r w:rsidRPr="00AE470B">
              <w:rPr>
                <w:rFonts w:ascii="Times New Roman" w:hAnsi="Times New Roman"/>
                <w:color w:val="000000"/>
              </w:rPr>
              <w:t>Projekt rozporządzenia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470B">
              <w:rPr>
                <w:rFonts w:ascii="Times New Roman" w:hAnsi="Times New Roman"/>
                <w:color w:val="000000"/>
              </w:rPr>
              <w:t>Ministra Finansów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bookmarkEnd w:id="1"/>
            <w:r w:rsidRPr="002F267B">
              <w:rPr>
                <w:rFonts w:ascii="Times New Roman" w:hAnsi="Times New Roman"/>
                <w:color w:val="000000"/>
              </w:rPr>
              <w:t>zmieniając</w:t>
            </w:r>
            <w:r>
              <w:rPr>
                <w:rFonts w:ascii="Times New Roman" w:hAnsi="Times New Roman"/>
                <w:color w:val="000000"/>
              </w:rPr>
              <w:t>ego</w:t>
            </w:r>
            <w:r w:rsidRPr="002F267B">
              <w:rPr>
                <w:rFonts w:ascii="Times New Roman" w:hAnsi="Times New Roman"/>
                <w:color w:val="000000"/>
              </w:rPr>
              <w:t xml:space="preserve"> rozporządzenie </w:t>
            </w:r>
            <w:r>
              <w:rPr>
                <w:rFonts w:ascii="Times New Roman" w:hAnsi="Times New Roman"/>
                <w:color w:val="000000"/>
              </w:rPr>
              <w:t>w sprawie opłat n</w:t>
            </w:r>
            <w:r w:rsidRPr="002F267B">
              <w:rPr>
                <w:rFonts w:ascii="Times New Roman" w:hAnsi="Times New Roman"/>
                <w:color w:val="000000"/>
              </w:rPr>
              <w:t>a pokrycie kosztów nadzoru nad rynkiem kapitałowym</w:t>
            </w:r>
          </w:p>
          <w:p w14:paraId="000A44A7" w14:textId="77777777" w:rsidR="009004F8" w:rsidRPr="00AE470B" w:rsidRDefault="009004F8" w:rsidP="00191BC1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E470B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4F85857" w14:textId="77777777" w:rsidR="009004F8" w:rsidRPr="00AE470B" w:rsidRDefault="009004F8" w:rsidP="00191BC1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AE470B">
              <w:rPr>
                <w:rFonts w:ascii="Times New Roman" w:hAnsi="Times New Roman"/>
                <w:color w:val="000000"/>
              </w:rPr>
              <w:t xml:space="preserve">Ministerstwo Finansów </w:t>
            </w:r>
          </w:p>
          <w:p w14:paraId="6661D8BF" w14:textId="77777777" w:rsidR="009004F8" w:rsidRPr="00AE470B" w:rsidRDefault="009004F8" w:rsidP="00191BC1">
            <w:pPr>
              <w:spacing w:line="240" w:lineRule="auto"/>
              <w:ind w:left="-45"/>
              <w:jc w:val="both"/>
              <w:rPr>
                <w:rFonts w:ascii="Times New Roman" w:hAnsi="Times New Roman"/>
                <w:color w:val="000000"/>
              </w:rPr>
            </w:pPr>
            <w:r w:rsidRPr="00AE470B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52C50861" w14:textId="77777777" w:rsidR="009004F8" w:rsidRDefault="009004F8" w:rsidP="00191BC1">
            <w:pPr>
              <w:spacing w:line="240" w:lineRule="auto"/>
              <w:ind w:hanging="45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Piotr Patkowski, Podsekretarz Stanu w Ministerstwie Finansów</w:t>
            </w:r>
          </w:p>
          <w:p w14:paraId="6BDF47C7" w14:textId="77777777" w:rsidR="009004F8" w:rsidRPr="00AE470B" w:rsidRDefault="009004F8" w:rsidP="00191BC1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E470B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FD195A0" w14:textId="77777777" w:rsidR="009004F8" w:rsidRPr="009E1C69" w:rsidRDefault="009004F8" w:rsidP="009E1C69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Anna Wierzchowska</w:t>
            </w:r>
            <w:r w:rsidRPr="009E1C69">
              <w:rPr>
                <w:rFonts w:ascii="Times New Roman" w:hAnsi="Times New Roman"/>
                <w:color w:val="000000"/>
              </w:rPr>
              <w:t xml:space="preserve">, tel. 22 694 </w:t>
            </w:r>
            <w:r>
              <w:rPr>
                <w:rFonts w:ascii="Times New Roman" w:hAnsi="Times New Roman"/>
                <w:color w:val="000000"/>
              </w:rPr>
              <w:t>35</w:t>
            </w:r>
            <w:r w:rsidRPr="009E1C6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45</w:t>
            </w:r>
          </w:p>
          <w:p w14:paraId="56661089" w14:textId="77777777" w:rsidR="009004F8" w:rsidRPr="009E1C69" w:rsidRDefault="009004F8" w:rsidP="009E1C69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9E1C69">
              <w:rPr>
                <w:rFonts w:ascii="Times New Roman" w:hAnsi="Times New Roman"/>
                <w:color w:val="000000"/>
                <w:lang w:val="en-GB"/>
              </w:rPr>
              <w:t xml:space="preserve">e-mail: </w:t>
            </w:r>
            <w:hyperlink r:id="rId8" w:history="1">
              <w:r w:rsidRPr="00892591">
                <w:rPr>
                  <w:rStyle w:val="Hipercze"/>
                  <w:rFonts w:ascii="Times New Roman" w:hAnsi="Times New Roman"/>
                  <w:lang w:val="en-GB"/>
                </w:rPr>
                <w:t>anna.wierzchowska@mf.gov.pl</w:t>
              </w:r>
            </w:hyperlink>
            <w:r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49549E3" w14:textId="77777777" w:rsidR="009004F8" w:rsidRPr="003D7C5B" w:rsidRDefault="009004F8" w:rsidP="00191BC1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D7C5B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0E405572" w14:textId="5C6B2E02" w:rsidR="009004F8" w:rsidRDefault="007C16D3" w:rsidP="00191B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40241">
              <w:rPr>
                <w:rFonts w:ascii="Times New Roman" w:hAnsi="Times New Roman"/>
              </w:rPr>
              <w:t>3</w:t>
            </w:r>
            <w:r w:rsidR="009004F8">
              <w:rPr>
                <w:rFonts w:ascii="Times New Roman" w:hAnsi="Times New Roman"/>
              </w:rPr>
              <w:t xml:space="preserve"> listopada 2021 r. </w:t>
            </w:r>
          </w:p>
          <w:p w14:paraId="551AB0EF" w14:textId="77777777" w:rsidR="009004F8" w:rsidRPr="003D7C5B" w:rsidRDefault="009004F8" w:rsidP="00191BC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D7C5B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7C029557" w14:textId="16D0DA05" w:rsidR="009004F8" w:rsidRPr="00AC0374" w:rsidRDefault="009004F8" w:rsidP="00E4241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C0374">
              <w:rPr>
                <w:rFonts w:ascii="Times New Roman" w:hAnsi="Times New Roman"/>
                <w:color w:val="000000"/>
              </w:rPr>
              <w:t xml:space="preserve">Art. 17 ust. 14 ustawy z dnia 29 lipca 2005 r. o nadzorze nad rynkiem kapitałowym (Dz. U. z 2020 r. poz. 1400 i 2320 oraz z 2021 r. poz. 355) </w:t>
            </w:r>
          </w:p>
          <w:p w14:paraId="0A28269E" w14:textId="5C75F70B" w:rsidR="009004F8" w:rsidRDefault="009004F8" w:rsidP="000E3ED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D7C5B">
              <w:rPr>
                <w:rFonts w:ascii="Times New Roman" w:hAnsi="Times New Roman"/>
                <w:b/>
                <w:color w:val="000000"/>
              </w:rPr>
              <w:t>Nr w wykazie prac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  <w:r w:rsidR="005E3FAF">
              <w:rPr>
                <w:rFonts w:ascii="Times New Roman" w:hAnsi="Times New Roman"/>
                <w:b/>
                <w:color w:val="000000"/>
              </w:rPr>
              <w:t xml:space="preserve"> 459</w:t>
            </w:r>
          </w:p>
          <w:p w14:paraId="415E2030" w14:textId="6D7356E1" w:rsidR="009004F8" w:rsidRPr="000E3ED7" w:rsidRDefault="009004F8" w:rsidP="000E3E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004F8" w:rsidRPr="0022687A" w14:paraId="4DD5BE3B" w14:textId="77777777" w:rsidTr="00F43ADF">
        <w:trPr>
          <w:gridAfter w:val="1"/>
          <w:wAfter w:w="63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C99A82E" w14:textId="77777777" w:rsidR="009004F8" w:rsidRPr="00627221" w:rsidRDefault="009004F8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9004F8" w:rsidRPr="008B4FE6" w14:paraId="59EEA0B7" w14:textId="77777777" w:rsidTr="00F43ADF">
        <w:trPr>
          <w:gridAfter w:val="1"/>
          <w:wAfter w:w="63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BEFCF41" w14:textId="77777777" w:rsidR="009004F8" w:rsidRPr="008B4FE6" w:rsidRDefault="009004F8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9004F8" w:rsidRPr="00F4040E" w14:paraId="3FE7C7FE" w14:textId="77777777" w:rsidTr="005E3FAF">
        <w:trPr>
          <w:gridAfter w:val="1"/>
          <w:wAfter w:w="63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89C19DC" w14:textId="10C912F0" w:rsidR="009004F8" w:rsidRPr="00F43ADF" w:rsidRDefault="009004F8" w:rsidP="002F6037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01502">
              <w:rPr>
                <w:rFonts w:ascii="Times New Roman" w:hAnsi="Times New Roman"/>
                <w:color w:val="000000" w:themeColor="text1"/>
              </w:rPr>
              <w:t>Celem</w:t>
            </w:r>
            <w:r>
              <w:rPr>
                <w:rFonts w:ascii="Times New Roman" w:hAnsi="Times New Roman"/>
                <w:color w:val="000000" w:themeColor="text1"/>
              </w:rPr>
              <w:t xml:space="preserve"> projektu jest dokonanie nowelizacji</w:t>
            </w:r>
            <w:r w:rsidRPr="0030150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rozporządzenia </w:t>
            </w:r>
            <w:r w:rsidRPr="00FA6BC0">
              <w:rPr>
                <w:rFonts w:ascii="Times New Roman" w:hAnsi="Times New Roman"/>
                <w:color w:val="000000" w:themeColor="text1"/>
              </w:rPr>
              <w:t>Ministra Finansów z dnia 17 grudnia 2019 r. w sprawie opłat na pokry</w:t>
            </w:r>
            <w:r>
              <w:rPr>
                <w:rFonts w:ascii="Times New Roman" w:hAnsi="Times New Roman"/>
                <w:color w:val="000000" w:themeColor="text1"/>
              </w:rPr>
              <w:t xml:space="preserve">cie kosztów nadzoru nad rynkiem </w:t>
            </w:r>
            <w:r w:rsidRPr="00FA6BC0">
              <w:rPr>
                <w:rFonts w:ascii="Times New Roman" w:hAnsi="Times New Roman"/>
                <w:color w:val="000000" w:themeColor="text1"/>
              </w:rPr>
              <w:t>kapitałowym (Dz. U. poz. 2486), zwanego dalej „</w:t>
            </w:r>
            <w:r w:rsidR="00AC0374">
              <w:rPr>
                <w:rFonts w:ascii="Times New Roman" w:hAnsi="Times New Roman"/>
                <w:color w:val="000000" w:themeColor="text1"/>
              </w:rPr>
              <w:t>r</w:t>
            </w:r>
            <w:r w:rsidRPr="00FA6BC0">
              <w:rPr>
                <w:rFonts w:ascii="Times New Roman" w:hAnsi="Times New Roman"/>
                <w:color w:val="000000" w:themeColor="text1"/>
              </w:rPr>
              <w:t>ozporządzeniem”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2987DD9" w14:textId="6548BCBE" w:rsidR="009004F8" w:rsidRDefault="009004F8" w:rsidP="002F603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6C76">
              <w:rPr>
                <w:rFonts w:ascii="Times New Roman" w:hAnsi="Times New Roman"/>
                <w:color w:val="000000"/>
              </w:rPr>
              <w:t xml:space="preserve">Projekt rozporządzenia stanowi wykonanie </w:t>
            </w:r>
            <w:r w:rsidR="007C16D3">
              <w:rPr>
                <w:rFonts w:ascii="Times New Roman" w:hAnsi="Times New Roman"/>
                <w:color w:val="000000"/>
              </w:rPr>
              <w:t xml:space="preserve">upoważnienia ustawowego </w:t>
            </w:r>
            <w:r w:rsidRPr="00266C76">
              <w:rPr>
                <w:rFonts w:ascii="Times New Roman" w:hAnsi="Times New Roman"/>
                <w:color w:val="000000"/>
              </w:rPr>
              <w:t xml:space="preserve">zawartego w </w:t>
            </w:r>
            <w:r>
              <w:rPr>
                <w:rFonts w:ascii="Times New Roman" w:hAnsi="Times New Roman"/>
                <w:color w:val="000000"/>
              </w:rPr>
              <w:t xml:space="preserve">art. </w:t>
            </w:r>
            <w:r w:rsidRPr="003B60A7">
              <w:rPr>
                <w:rFonts w:ascii="Times New Roman" w:hAnsi="Times New Roman"/>
                <w:color w:val="000000"/>
              </w:rPr>
              <w:t>17 ust. 14 ustawy z dnia 29 lipca 2005 r. o nadzorze nad rynkiem kapitałowym (Dz. U. z 2020 r. poz. 1400 i</w:t>
            </w:r>
            <w:r>
              <w:rPr>
                <w:rFonts w:ascii="Times New Roman" w:hAnsi="Times New Roman"/>
                <w:color w:val="000000"/>
              </w:rPr>
              <w:t xml:space="preserve"> 2320 oraz z 2021 r. poz. 355)</w:t>
            </w:r>
            <w:r w:rsidR="00D26F6A">
              <w:rPr>
                <w:rFonts w:ascii="Times New Roman" w:hAnsi="Times New Roman"/>
                <w:color w:val="000000"/>
              </w:rPr>
              <w:t>.</w:t>
            </w:r>
          </w:p>
          <w:p w14:paraId="46934EED" w14:textId="1DFFC7D2" w:rsidR="009004F8" w:rsidRDefault="009004F8" w:rsidP="00FA6BC0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A6BC0">
              <w:rPr>
                <w:rFonts w:ascii="Times New Roman" w:hAnsi="Times New Roman"/>
                <w:color w:val="000000" w:themeColor="text1"/>
              </w:rPr>
              <w:t xml:space="preserve">Proponowane zmiany </w:t>
            </w:r>
            <w:r w:rsidR="00AC0374">
              <w:rPr>
                <w:rFonts w:ascii="Times New Roman" w:hAnsi="Times New Roman"/>
                <w:color w:val="000000" w:themeColor="text1"/>
              </w:rPr>
              <w:t>r</w:t>
            </w:r>
            <w:r w:rsidRPr="00FA6BC0">
              <w:rPr>
                <w:rFonts w:ascii="Times New Roman" w:hAnsi="Times New Roman"/>
                <w:color w:val="000000" w:themeColor="text1"/>
              </w:rPr>
              <w:t>ozporządzenia są przede wszystkim konsekw</w:t>
            </w:r>
            <w:r>
              <w:rPr>
                <w:rFonts w:ascii="Times New Roman" w:hAnsi="Times New Roman"/>
                <w:color w:val="000000" w:themeColor="text1"/>
              </w:rPr>
              <w:t xml:space="preserve">encją wprowadzenia nowych opłat </w:t>
            </w:r>
            <w:r w:rsidRPr="00FA6BC0">
              <w:rPr>
                <w:rFonts w:ascii="Times New Roman" w:hAnsi="Times New Roman"/>
                <w:color w:val="000000" w:themeColor="text1"/>
              </w:rPr>
              <w:t>powiązanych z działalnością transgraniczną instytucji zbiorowe</w:t>
            </w:r>
            <w:r>
              <w:rPr>
                <w:rFonts w:ascii="Times New Roman" w:hAnsi="Times New Roman"/>
                <w:color w:val="000000" w:themeColor="text1"/>
              </w:rPr>
              <w:t xml:space="preserve">go inwestowania, wynikających z </w:t>
            </w:r>
            <w:r w:rsidRPr="00FA6BC0">
              <w:rPr>
                <w:rFonts w:ascii="Times New Roman" w:hAnsi="Times New Roman"/>
                <w:color w:val="000000" w:themeColor="text1"/>
              </w:rPr>
              <w:t>ustawy z dnia 23 lipca 2021 r. o zmianie ustawy o funduszach inwestycyjnyc</w:t>
            </w:r>
            <w:r>
              <w:rPr>
                <w:rFonts w:ascii="Times New Roman" w:hAnsi="Times New Roman"/>
                <w:color w:val="000000" w:themeColor="text1"/>
              </w:rPr>
              <w:t xml:space="preserve">h i zarządzaniu </w:t>
            </w:r>
            <w:r w:rsidRPr="00FA6BC0">
              <w:rPr>
                <w:rFonts w:ascii="Times New Roman" w:hAnsi="Times New Roman"/>
                <w:color w:val="000000" w:themeColor="text1"/>
              </w:rPr>
              <w:t>alternatywnymi funduszami inwestycyjnymi oraz niektórych i</w:t>
            </w:r>
            <w:r>
              <w:rPr>
                <w:rFonts w:ascii="Times New Roman" w:hAnsi="Times New Roman"/>
                <w:color w:val="000000" w:themeColor="text1"/>
              </w:rPr>
              <w:t xml:space="preserve">nnych ustaw (Dz. U. poz. 1595). </w:t>
            </w:r>
            <w:r w:rsidR="007C16D3">
              <w:rPr>
                <w:rFonts w:ascii="Times New Roman" w:hAnsi="Times New Roman"/>
                <w:color w:val="000000" w:themeColor="text1"/>
              </w:rPr>
              <w:t xml:space="preserve">Dodatkowo konieczne jest </w:t>
            </w:r>
            <w:r w:rsidRPr="00FA6BC0">
              <w:rPr>
                <w:rFonts w:ascii="Times New Roman" w:hAnsi="Times New Roman"/>
                <w:color w:val="000000" w:themeColor="text1"/>
              </w:rPr>
              <w:t>uzupełnieni</w:t>
            </w:r>
            <w:r w:rsidR="007C16D3">
              <w:rPr>
                <w:rFonts w:ascii="Times New Roman" w:hAnsi="Times New Roman"/>
                <w:color w:val="000000" w:themeColor="text1"/>
              </w:rPr>
              <w:t>e</w:t>
            </w:r>
            <w:r w:rsidRPr="00FA6BC0">
              <w:rPr>
                <w:rFonts w:ascii="Times New Roman" w:hAnsi="Times New Roman"/>
                <w:color w:val="000000" w:themeColor="text1"/>
              </w:rPr>
              <w:t xml:space="preserve"> przepis</w:t>
            </w:r>
            <w:r>
              <w:rPr>
                <w:rFonts w:ascii="Times New Roman" w:hAnsi="Times New Roman"/>
                <w:color w:val="000000" w:themeColor="text1"/>
              </w:rPr>
              <w:t xml:space="preserve">ów </w:t>
            </w:r>
            <w:r w:rsidR="00AC0374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 xml:space="preserve">ozporządzenia w odniesieniu </w:t>
            </w:r>
            <w:r w:rsidRPr="00FA6BC0">
              <w:rPr>
                <w:rFonts w:ascii="Times New Roman" w:hAnsi="Times New Roman"/>
                <w:color w:val="000000" w:themeColor="text1"/>
              </w:rPr>
              <w:t>do określenia wysokości opłat, w zakresie nieobjętym przez pr</w:t>
            </w:r>
            <w:r>
              <w:rPr>
                <w:rFonts w:ascii="Times New Roman" w:hAnsi="Times New Roman"/>
                <w:color w:val="000000" w:themeColor="text1"/>
              </w:rPr>
              <w:t xml:space="preserve">zepisy </w:t>
            </w:r>
            <w:r w:rsidR="00AC0374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 xml:space="preserve">ozporządzenia w obecnym </w:t>
            </w:r>
            <w:r w:rsidRPr="00FA6BC0">
              <w:rPr>
                <w:rFonts w:ascii="Times New Roman" w:hAnsi="Times New Roman"/>
                <w:color w:val="000000" w:themeColor="text1"/>
              </w:rPr>
              <w:t>brzmieniu.</w:t>
            </w:r>
          </w:p>
          <w:p w14:paraId="1C47AADF" w14:textId="65A0CB83" w:rsidR="009004F8" w:rsidRDefault="009004F8" w:rsidP="00FA6BC0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A6BC0">
              <w:rPr>
                <w:rFonts w:ascii="Times New Roman" w:hAnsi="Times New Roman"/>
                <w:color w:val="000000" w:themeColor="text1"/>
              </w:rPr>
              <w:t>Ustawą z dnia 23 lipca 2021 r. o zmianie ustawy o fundusza</w:t>
            </w:r>
            <w:r>
              <w:rPr>
                <w:rFonts w:ascii="Times New Roman" w:hAnsi="Times New Roman"/>
                <w:color w:val="000000" w:themeColor="text1"/>
              </w:rPr>
              <w:t xml:space="preserve">ch inwestycyjnych i zarządzaniu </w:t>
            </w:r>
            <w:r w:rsidRPr="00FA6BC0">
              <w:rPr>
                <w:rFonts w:ascii="Times New Roman" w:hAnsi="Times New Roman"/>
                <w:color w:val="000000" w:themeColor="text1"/>
              </w:rPr>
              <w:t>alternatywnymi funduszami inwestycyjnymi oraz niektórych innych us</w:t>
            </w:r>
            <w:r>
              <w:rPr>
                <w:rFonts w:ascii="Times New Roman" w:hAnsi="Times New Roman"/>
                <w:color w:val="000000" w:themeColor="text1"/>
              </w:rPr>
              <w:t xml:space="preserve">taw znowelizowany został m.in. </w:t>
            </w:r>
            <w:r w:rsidRPr="00FA6BC0">
              <w:rPr>
                <w:rFonts w:ascii="Times New Roman" w:hAnsi="Times New Roman"/>
                <w:color w:val="000000" w:themeColor="text1"/>
              </w:rPr>
              <w:t>art. 236 ustawy z dnia 27 maja 2004 r. o funduszach inwestycyjnych i zarządzaniu alternatywnym</w:t>
            </w:r>
            <w:r>
              <w:rPr>
                <w:rFonts w:ascii="Times New Roman" w:hAnsi="Times New Roman"/>
                <w:color w:val="000000" w:themeColor="text1"/>
              </w:rPr>
              <w:t xml:space="preserve">i </w:t>
            </w:r>
            <w:r w:rsidRPr="00FA6BC0">
              <w:rPr>
                <w:rFonts w:ascii="Times New Roman" w:hAnsi="Times New Roman"/>
                <w:color w:val="000000" w:themeColor="text1"/>
              </w:rPr>
              <w:t>funduszami inwestycyjnymi (Dz. U. z 2021 r. poz. 605</w:t>
            </w:r>
            <w:r>
              <w:rPr>
                <w:rFonts w:ascii="Times New Roman" w:hAnsi="Times New Roman"/>
                <w:color w:val="000000" w:themeColor="text1"/>
              </w:rPr>
              <w:t xml:space="preserve"> i 1595</w:t>
            </w:r>
            <w:r w:rsidRPr="00FA6BC0">
              <w:rPr>
                <w:rFonts w:ascii="Times New Roman" w:hAnsi="Times New Roman"/>
                <w:color w:val="000000" w:themeColor="text1"/>
              </w:rPr>
              <w:t>), zwan</w:t>
            </w:r>
            <w:r w:rsidR="00AC0374">
              <w:rPr>
                <w:rFonts w:ascii="Times New Roman" w:hAnsi="Times New Roman"/>
                <w:color w:val="000000" w:themeColor="text1"/>
              </w:rPr>
              <w:t>ej dalej „u</w:t>
            </w:r>
            <w:r>
              <w:rPr>
                <w:rFonts w:ascii="Times New Roman" w:hAnsi="Times New Roman"/>
                <w:color w:val="000000" w:themeColor="text1"/>
              </w:rPr>
              <w:t xml:space="preserve">stawą o funduszach”, </w:t>
            </w:r>
            <w:r w:rsidRPr="00FA6BC0">
              <w:rPr>
                <w:rFonts w:ascii="Times New Roman" w:hAnsi="Times New Roman"/>
                <w:color w:val="000000" w:themeColor="text1"/>
              </w:rPr>
              <w:t>określający przypadki, w których podmioty nadzorowane ponos</w:t>
            </w:r>
            <w:r>
              <w:rPr>
                <w:rFonts w:ascii="Times New Roman" w:hAnsi="Times New Roman"/>
                <w:color w:val="000000" w:themeColor="text1"/>
              </w:rPr>
              <w:t xml:space="preserve">zą opłaty na koszty nadzoru nad </w:t>
            </w:r>
            <w:r w:rsidRPr="00FA6BC0">
              <w:rPr>
                <w:rFonts w:ascii="Times New Roman" w:hAnsi="Times New Roman"/>
                <w:color w:val="000000" w:themeColor="text1"/>
              </w:rPr>
              <w:t>rynkiem kapitałowym.</w:t>
            </w:r>
          </w:p>
          <w:p w14:paraId="0472FF83" w14:textId="3F69D2B3" w:rsidR="009004F8" w:rsidRPr="00FA6BC0" w:rsidRDefault="009004F8" w:rsidP="00FA6BC0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A6BC0">
              <w:rPr>
                <w:rFonts w:ascii="Times New Roman" w:hAnsi="Times New Roman"/>
                <w:color w:val="000000" w:themeColor="text1"/>
              </w:rPr>
              <w:t xml:space="preserve">Dotychczas, w zakresie działalności transgranicznej instytucji </w:t>
            </w:r>
            <w:r w:rsidR="00AC0374">
              <w:rPr>
                <w:rFonts w:ascii="Times New Roman" w:hAnsi="Times New Roman"/>
                <w:color w:val="000000" w:themeColor="text1"/>
              </w:rPr>
              <w:t>zbiorowego inwestowania, u</w:t>
            </w:r>
            <w:r>
              <w:rPr>
                <w:rFonts w:ascii="Times New Roman" w:hAnsi="Times New Roman"/>
                <w:color w:val="000000" w:themeColor="text1"/>
              </w:rPr>
              <w:t xml:space="preserve">stawa </w:t>
            </w:r>
            <w:r w:rsidRPr="00FA6BC0">
              <w:rPr>
                <w:rFonts w:ascii="Times New Roman" w:hAnsi="Times New Roman"/>
                <w:color w:val="000000" w:themeColor="text1"/>
              </w:rPr>
              <w:t>o funduszach przewidywała jedynie opłaty za wpis do rejestru prowadzonego przez Komisję Nad</w:t>
            </w:r>
            <w:r>
              <w:rPr>
                <w:rFonts w:ascii="Times New Roman" w:hAnsi="Times New Roman"/>
                <w:color w:val="000000" w:themeColor="text1"/>
              </w:rPr>
              <w:t xml:space="preserve">zoru </w:t>
            </w:r>
            <w:r w:rsidRPr="00FA6BC0">
              <w:rPr>
                <w:rFonts w:ascii="Times New Roman" w:hAnsi="Times New Roman"/>
                <w:color w:val="000000" w:themeColor="text1"/>
              </w:rPr>
              <w:t xml:space="preserve">Finansowego (KNF) zagranicznych funduszy typu </w:t>
            </w:r>
            <w:r w:rsidR="007C2C07" w:rsidRPr="007C2C07">
              <w:rPr>
                <w:rFonts w:ascii="Times New Roman" w:hAnsi="Times New Roman"/>
                <w:color w:val="000000" w:themeColor="text1"/>
              </w:rPr>
              <w:t xml:space="preserve">przedsiębiorstwo zbiorowego inwestowania w zbywalne papiery wartościowe </w:t>
            </w:r>
            <w:r w:rsidR="007C2C07">
              <w:rPr>
                <w:rFonts w:ascii="Times New Roman" w:hAnsi="Times New Roman"/>
                <w:color w:val="000000" w:themeColor="text1"/>
              </w:rPr>
              <w:t>(</w:t>
            </w:r>
            <w:r w:rsidRPr="00FA6BC0">
              <w:rPr>
                <w:rFonts w:ascii="Times New Roman" w:hAnsi="Times New Roman"/>
                <w:color w:val="000000" w:themeColor="text1"/>
              </w:rPr>
              <w:t>UCITS</w:t>
            </w:r>
            <w:r w:rsidR="007C2C07">
              <w:rPr>
                <w:rFonts w:ascii="Times New Roman" w:hAnsi="Times New Roman"/>
                <w:color w:val="000000" w:themeColor="text1"/>
              </w:rPr>
              <w:t>)</w:t>
            </w:r>
            <w:r w:rsidRPr="00FA6BC0">
              <w:rPr>
                <w:rFonts w:ascii="Times New Roman" w:hAnsi="Times New Roman"/>
                <w:color w:val="000000" w:themeColor="text1"/>
              </w:rPr>
              <w:t>, których zamiar dystrybuowania na</w:t>
            </w:r>
            <w:r>
              <w:t xml:space="preserve"> </w:t>
            </w:r>
            <w:r w:rsidRPr="00FA6BC0">
              <w:rPr>
                <w:rFonts w:ascii="Times New Roman" w:hAnsi="Times New Roman"/>
                <w:color w:val="000000" w:themeColor="text1"/>
              </w:rPr>
              <w:t xml:space="preserve">terytorium Polski został odpowiednio notyfikowany KNF. </w:t>
            </w:r>
            <w:r>
              <w:rPr>
                <w:rFonts w:ascii="Times New Roman" w:hAnsi="Times New Roman"/>
                <w:color w:val="000000" w:themeColor="text1"/>
              </w:rPr>
              <w:t xml:space="preserve">Zgodnie ze znowelizowaną ustawą </w:t>
            </w:r>
            <w:r w:rsidRPr="00FA6BC0">
              <w:rPr>
                <w:rFonts w:ascii="Times New Roman" w:hAnsi="Times New Roman"/>
                <w:color w:val="000000" w:themeColor="text1"/>
              </w:rPr>
              <w:t>analogiczną opłatą objęte zostaną również zagraniczne alternatyw</w:t>
            </w:r>
            <w:r>
              <w:rPr>
                <w:rFonts w:ascii="Times New Roman" w:hAnsi="Times New Roman"/>
                <w:color w:val="000000" w:themeColor="text1"/>
              </w:rPr>
              <w:t xml:space="preserve">ne fundusze inwestycyjne (AFI). </w:t>
            </w:r>
            <w:r w:rsidRPr="00FA6BC0">
              <w:rPr>
                <w:rFonts w:ascii="Times New Roman" w:hAnsi="Times New Roman"/>
                <w:color w:val="000000" w:themeColor="text1"/>
              </w:rPr>
              <w:t>Ponadto, zarówno w przypadku UCITS oraz AFI, wprowadzone zostały:</w:t>
            </w:r>
          </w:p>
          <w:p w14:paraId="4AC0F78A" w14:textId="77777777" w:rsidR="009004F8" w:rsidRPr="00FA6BC0" w:rsidRDefault="009004F8" w:rsidP="00FA6BC0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A6BC0">
              <w:rPr>
                <w:rFonts w:ascii="Times New Roman" w:hAnsi="Times New Roman"/>
                <w:color w:val="000000" w:themeColor="text1"/>
              </w:rPr>
              <w:t>- opłaty za wpis do rejestru prowadzonego przez KNF kolejnych</w:t>
            </w:r>
            <w:r>
              <w:rPr>
                <w:rFonts w:ascii="Times New Roman" w:hAnsi="Times New Roman"/>
                <w:color w:val="000000" w:themeColor="text1"/>
              </w:rPr>
              <w:t xml:space="preserve"> subfunduszy, objętych zamiarem </w:t>
            </w:r>
            <w:r w:rsidRPr="00FA6BC0">
              <w:rPr>
                <w:rFonts w:ascii="Times New Roman" w:hAnsi="Times New Roman"/>
                <w:color w:val="000000" w:themeColor="text1"/>
              </w:rPr>
              <w:t>dystrybuowania w Polsce, wydzielonych w już uprzednio notyfikowanych funduszach,</w:t>
            </w:r>
          </w:p>
          <w:p w14:paraId="67E556C0" w14:textId="77777777" w:rsidR="009004F8" w:rsidRDefault="009004F8" w:rsidP="00FA6BC0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A6BC0">
              <w:rPr>
                <w:rFonts w:ascii="Times New Roman" w:hAnsi="Times New Roman"/>
                <w:color w:val="000000" w:themeColor="text1"/>
              </w:rPr>
              <w:t>- opłaty roczne w przypadku funduszy i subfunduszy wpisanych do r</w:t>
            </w:r>
            <w:r>
              <w:rPr>
                <w:rFonts w:ascii="Times New Roman" w:hAnsi="Times New Roman"/>
                <w:color w:val="000000" w:themeColor="text1"/>
              </w:rPr>
              <w:t xml:space="preserve">ejestru prowadzonego przez KNF, </w:t>
            </w:r>
            <w:r w:rsidRPr="00FA6BC0">
              <w:rPr>
                <w:rFonts w:ascii="Times New Roman" w:hAnsi="Times New Roman"/>
                <w:color w:val="000000" w:themeColor="text1"/>
              </w:rPr>
              <w:t>w związku z notyfikowaniem zamiaru ich dystrybucji na terytorium Rzeczypospolitej Polskiej.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643DF9FC" w14:textId="368E0CFE" w:rsidR="009004F8" w:rsidRDefault="007C2C07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</w:t>
            </w:r>
            <w:r w:rsidR="009004F8">
              <w:rPr>
                <w:rFonts w:ascii="Times New Roman" w:hAnsi="Times New Roman"/>
                <w:color w:val="000000" w:themeColor="text1"/>
              </w:rPr>
              <w:t>rojekt rozporządzenia uzupełnia</w:t>
            </w:r>
            <w:r w:rsidR="009004F8" w:rsidRPr="00FE104C">
              <w:rPr>
                <w:rFonts w:ascii="Times New Roman" w:hAnsi="Times New Roman"/>
                <w:color w:val="000000" w:themeColor="text1"/>
              </w:rPr>
              <w:t xml:space="preserve"> przepi</w:t>
            </w:r>
            <w:r w:rsidR="009004F8">
              <w:rPr>
                <w:rFonts w:ascii="Times New Roman" w:hAnsi="Times New Roman"/>
                <w:color w:val="000000" w:themeColor="text1"/>
              </w:rPr>
              <w:t>sy w zakresie określenia</w:t>
            </w:r>
            <w:r w:rsidR="009004F8" w:rsidRPr="00FE104C">
              <w:rPr>
                <w:rFonts w:ascii="Times New Roman" w:hAnsi="Times New Roman"/>
                <w:color w:val="000000" w:themeColor="text1"/>
              </w:rPr>
              <w:t xml:space="preserve"> o</w:t>
            </w:r>
            <w:r w:rsidR="009004F8">
              <w:rPr>
                <w:rFonts w:ascii="Times New Roman" w:hAnsi="Times New Roman"/>
                <w:color w:val="000000" w:themeColor="text1"/>
              </w:rPr>
              <w:t>płaty za udzielenie zezwolenia n</w:t>
            </w:r>
            <w:r w:rsidR="009004F8" w:rsidRPr="00FE104C">
              <w:rPr>
                <w:rFonts w:ascii="Times New Roman" w:hAnsi="Times New Roman"/>
                <w:color w:val="000000" w:themeColor="text1"/>
              </w:rPr>
              <w:t>a</w:t>
            </w:r>
            <w:r w:rsidR="00B07E52">
              <w:rPr>
                <w:rFonts w:ascii="Times New Roman" w:hAnsi="Times New Roman"/>
                <w:color w:val="000000" w:themeColor="text1"/>
              </w:rPr>
              <w:t xml:space="preserve"> wycofanie akcji z obrotu na rynku regulowanym lub w alternatywnym systemie obrotu</w:t>
            </w:r>
            <w:r w:rsidR="00BD1A7F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BD1A7F" w:rsidRPr="00BD1A7F">
              <w:rPr>
                <w:rFonts w:ascii="Times New Roman" w:hAnsi="Times New Roman"/>
                <w:color w:val="000000" w:themeColor="text1"/>
              </w:rPr>
              <w:t>zgodnie z art. 91 ust. 1 ustawy z dnia 29 lipca 2005 r. o ofercie publicznej i warunkach wprowadzania instrumentów finansowych do zorganizowanego systemu obrotu oraz o spółkach publicznych (Dz. U. z 2021 r. poz. 1983)</w:t>
            </w:r>
            <w:r w:rsidR="00C90F50">
              <w:rPr>
                <w:rFonts w:ascii="Times New Roman" w:hAnsi="Times New Roman"/>
                <w:color w:val="000000" w:themeColor="text1"/>
              </w:rPr>
              <w:t>, zwanej dalej „ustawą o ofercie”</w:t>
            </w:r>
            <w:r w:rsidR="009004F8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C90F50">
              <w:rPr>
                <w:rFonts w:ascii="Times New Roman" w:hAnsi="Times New Roman"/>
                <w:color w:val="000000" w:themeColor="text1"/>
              </w:rPr>
              <w:t xml:space="preserve">Wydanie przedmiotowego zezwolenia </w:t>
            </w:r>
            <w:r w:rsidR="00C90F50" w:rsidRPr="00C90F50">
              <w:rPr>
                <w:rFonts w:ascii="Times New Roman" w:hAnsi="Times New Roman"/>
                <w:color w:val="000000" w:themeColor="text1"/>
              </w:rPr>
              <w:t>będzie wiązało się z koniecznością uiszczenia opłaty w wysokości równowartości w złotych 4500 euro</w:t>
            </w:r>
            <w:r w:rsidR="00C90F50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C90F50" w:rsidRPr="00C90F50">
              <w:rPr>
                <w:rFonts w:ascii="Times New Roman" w:hAnsi="Times New Roman"/>
                <w:color w:val="000000" w:themeColor="text1"/>
              </w:rPr>
              <w:t>Wysokość opłaty koreluje ze stopniem skomplikowania spraw i nakładem pracy KNF. Wycofanie z obrotu akcji, notowanych odpowiednio na rynku regulowanym lub w alternatywnym systemie obrotu, wymaga zezwolenia wydawanego w formie decyzji administracyjnej przez KNF na podstawie ustawy o ofercie. Postępowanie administracyjne prowadzone przez KNF w powyższym przedmiocie wymaga kompleksowej weryfikacji spełnienia przez wnioskodawcę ustawowych przesłanek udzielenia zezwolenia.</w:t>
            </w:r>
            <w:r w:rsidR="00C90F5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004F8" w:rsidRPr="00D66502">
              <w:rPr>
                <w:rFonts w:ascii="Times New Roman" w:hAnsi="Times New Roman"/>
                <w:color w:val="000000" w:themeColor="text1"/>
              </w:rPr>
              <w:t xml:space="preserve">Obecnie </w:t>
            </w:r>
            <w:r w:rsidR="009004F8">
              <w:rPr>
                <w:rFonts w:ascii="Times New Roman" w:hAnsi="Times New Roman"/>
                <w:color w:val="000000" w:themeColor="text1"/>
              </w:rPr>
              <w:t xml:space="preserve">KNF pobiera </w:t>
            </w:r>
            <w:r w:rsidR="009004F8" w:rsidRPr="00D66502">
              <w:rPr>
                <w:rFonts w:ascii="Times New Roman" w:hAnsi="Times New Roman"/>
                <w:color w:val="000000" w:themeColor="text1"/>
              </w:rPr>
              <w:t>opłat</w:t>
            </w:r>
            <w:r w:rsidR="009004F8">
              <w:rPr>
                <w:rFonts w:ascii="Times New Roman" w:hAnsi="Times New Roman"/>
                <w:color w:val="000000" w:themeColor="text1"/>
              </w:rPr>
              <w:t xml:space="preserve">ę </w:t>
            </w:r>
            <w:r w:rsidR="009004F8" w:rsidRPr="00D66502">
              <w:rPr>
                <w:rFonts w:ascii="Times New Roman" w:hAnsi="Times New Roman"/>
                <w:color w:val="000000" w:themeColor="text1"/>
              </w:rPr>
              <w:t xml:space="preserve">z tytułu wydania ww. zezwolenia w wysokości </w:t>
            </w:r>
            <w:r>
              <w:rPr>
                <w:rFonts w:ascii="Times New Roman" w:hAnsi="Times New Roman"/>
                <w:color w:val="000000" w:themeColor="text1"/>
              </w:rPr>
              <w:t xml:space="preserve">równowartości w złotych </w:t>
            </w:r>
            <w:r w:rsidR="009004F8" w:rsidRPr="00D66502">
              <w:rPr>
                <w:rFonts w:ascii="Times New Roman" w:hAnsi="Times New Roman"/>
                <w:color w:val="000000" w:themeColor="text1"/>
              </w:rPr>
              <w:t>4500 euro</w:t>
            </w:r>
            <w:r w:rsidR="009004F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004F8" w:rsidRPr="00D66502">
              <w:rPr>
                <w:rFonts w:ascii="Times New Roman" w:hAnsi="Times New Roman"/>
                <w:color w:val="000000" w:themeColor="text1"/>
              </w:rPr>
              <w:t xml:space="preserve">na podstawie art. 93 ustawy </w:t>
            </w:r>
            <w:r w:rsidR="009004F8">
              <w:rPr>
                <w:rFonts w:ascii="Times New Roman" w:hAnsi="Times New Roman"/>
                <w:color w:val="000000" w:themeColor="text1"/>
              </w:rPr>
              <w:t>o ofercie.</w:t>
            </w:r>
          </w:p>
          <w:p w14:paraId="38AC2A83" w14:textId="653DE34E" w:rsidR="00AF0099" w:rsidRPr="00FA6BC0" w:rsidRDefault="009004F8" w:rsidP="007C2C07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Dodatkowo treść projektu dookreśla sposób</w:t>
            </w:r>
            <w:r w:rsidRPr="00F05DA3">
              <w:rPr>
                <w:rFonts w:ascii="Times New Roman" w:hAnsi="Times New Roman"/>
                <w:color w:val="000000" w:themeColor="text1"/>
              </w:rPr>
              <w:t xml:space="preserve"> uwzględniania </w:t>
            </w:r>
            <w:r>
              <w:rPr>
                <w:rFonts w:ascii="Times New Roman" w:hAnsi="Times New Roman"/>
                <w:color w:val="000000" w:themeColor="text1"/>
              </w:rPr>
              <w:t xml:space="preserve">opłat jednorazowych wniesionych </w:t>
            </w:r>
            <w:r w:rsidRPr="00F05DA3">
              <w:rPr>
                <w:rFonts w:ascii="Times New Roman" w:hAnsi="Times New Roman"/>
                <w:color w:val="000000" w:themeColor="text1"/>
              </w:rPr>
              <w:t>w poprzednim roku kalendarzo</w:t>
            </w:r>
            <w:r>
              <w:rPr>
                <w:rFonts w:ascii="Times New Roman" w:hAnsi="Times New Roman"/>
                <w:color w:val="000000" w:themeColor="text1"/>
              </w:rPr>
              <w:t xml:space="preserve">wym przez podmioty nadzorowane w zakresie obliczania kosztów </w:t>
            </w:r>
            <w:r w:rsidRPr="00F05DA3">
              <w:rPr>
                <w:rFonts w:ascii="Times New Roman" w:hAnsi="Times New Roman"/>
                <w:color w:val="000000" w:themeColor="text1"/>
              </w:rPr>
              <w:t xml:space="preserve">nadzoru netto do pokrycia w podziale </w:t>
            </w:r>
            <w:r>
              <w:rPr>
                <w:rFonts w:ascii="Times New Roman" w:hAnsi="Times New Roman"/>
                <w:color w:val="000000" w:themeColor="text1"/>
              </w:rPr>
              <w:t xml:space="preserve">na poszczególne grupy podmiotów. 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>Obecny stan prawny wywołuje pewne wątpliwości interpretacyjne co do sposobu uwzględniania opłat jednorazowych i ryczałtowych wniesionych w poprzednim roku kalendarzowym przez podmioty nadzorowane przy obliczaniu kosztów nadzoru netto. Opłaty wymienione w</w:t>
            </w:r>
            <w:r w:rsidR="007C2C07">
              <w:rPr>
                <w:rFonts w:ascii="Times New Roman" w:hAnsi="Times New Roman"/>
                <w:color w:val="000000" w:themeColor="text1"/>
              </w:rPr>
              <w:t xml:space="preserve"> tym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 xml:space="preserve"> katalogu nie są wnoszone jedynie przez podmioty będące w danej grupie, </w:t>
            </w:r>
            <w:r w:rsidR="007C2C07">
              <w:rPr>
                <w:rFonts w:ascii="Times New Roman" w:hAnsi="Times New Roman"/>
                <w:color w:val="000000" w:themeColor="text1"/>
              </w:rPr>
              <w:t xml:space="preserve">ponieważ 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 xml:space="preserve">część podmiotów może występować jako podmioty z kilku grup lub rozliczać się ryczałtowo. </w:t>
            </w:r>
            <w:r w:rsidR="007C2C07" w:rsidRPr="007C2C07">
              <w:rPr>
                <w:rFonts w:ascii="Times New Roman" w:hAnsi="Times New Roman"/>
                <w:color w:val="000000" w:themeColor="text1"/>
              </w:rPr>
              <w:t xml:space="preserve">Zaproponowany sposób uwzględnienia opłat przy ustalaniu kosztów nadzoru netto w części przypadającej </w:t>
            </w:r>
            <w:r w:rsidR="007C2C07" w:rsidRPr="007C2C07">
              <w:rPr>
                <w:rFonts w:ascii="Times New Roman" w:hAnsi="Times New Roman"/>
                <w:color w:val="000000" w:themeColor="text1"/>
              </w:rPr>
              <w:lastRenderedPageBreak/>
              <w:t>na daną grupę, ustalonej z wykorzystaniem procentowego udziału danej grupy w planowanych kosztach nadzoru netto w danym roku kalendarzowym, obliczanego zgodnie z § 18 ust. 3 Rozporządzenia, wyeliminuje – w ocenie projektodawcy – wskazane</w:t>
            </w:r>
            <w:r w:rsidR="007C2C0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>wyżej wątpliwości i utrudnienia.</w:t>
            </w:r>
          </w:p>
        </w:tc>
      </w:tr>
      <w:tr w:rsidR="009004F8" w:rsidRPr="008B4FE6" w14:paraId="517CD0D3" w14:textId="77777777" w:rsidTr="00F43ADF">
        <w:trPr>
          <w:gridAfter w:val="1"/>
          <w:wAfter w:w="63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9F04466" w14:textId="77777777" w:rsidR="009004F8" w:rsidRPr="008B4FE6" w:rsidRDefault="009004F8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9004F8" w:rsidRPr="008B4FE6" w14:paraId="4809E796" w14:textId="77777777" w:rsidTr="00FA4030">
        <w:trPr>
          <w:gridAfter w:val="1"/>
          <w:wAfter w:w="63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C640B57" w14:textId="75A9A406" w:rsidR="009004F8" w:rsidRDefault="009004F8" w:rsidP="002E4033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01502">
              <w:rPr>
                <w:rFonts w:ascii="Times New Roman" w:hAnsi="Times New Roman"/>
                <w:color w:val="000000" w:themeColor="text1"/>
              </w:rPr>
              <w:t>Celem</w:t>
            </w:r>
            <w:r>
              <w:rPr>
                <w:rFonts w:ascii="Times New Roman" w:hAnsi="Times New Roman"/>
                <w:color w:val="000000" w:themeColor="text1"/>
              </w:rPr>
              <w:t xml:space="preserve"> projektu jest wprowadzenie zmian w </w:t>
            </w:r>
            <w:r w:rsidR="00AC0374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>ozporządzeniu w zakresie:</w:t>
            </w:r>
          </w:p>
          <w:p w14:paraId="6513D687" w14:textId="786CF78E" w:rsidR="009004F8" w:rsidRDefault="009004F8" w:rsidP="002F3CC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1) </w:t>
            </w:r>
            <w:r w:rsidRPr="00F9368F">
              <w:rPr>
                <w:rFonts w:ascii="Times New Roman" w:hAnsi="Times New Roman"/>
                <w:color w:val="000000"/>
              </w:rPr>
              <w:t>uzupełnienia przepis</w:t>
            </w:r>
            <w:r>
              <w:rPr>
                <w:rFonts w:ascii="Times New Roman" w:hAnsi="Times New Roman"/>
                <w:color w:val="000000"/>
              </w:rPr>
              <w:t xml:space="preserve">ów </w:t>
            </w:r>
            <w:r w:rsidR="00AC0374">
              <w:rPr>
                <w:rFonts w:ascii="Times New Roman" w:hAnsi="Times New Roman"/>
                <w:color w:val="000000"/>
              </w:rPr>
              <w:t>r</w:t>
            </w:r>
            <w:r>
              <w:rPr>
                <w:rFonts w:ascii="Times New Roman" w:hAnsi="Times New Roman"/>
                <w:color w:val="000000"/>
              </w:rPr>
              <w:t>ozporządzenia o</w:t>
            </w:r>
            <w:r w:rsidRPr="00F9368F">
              <w:rPr>
                <w:rFonts w:ascii="Times New Roman" w:hAnsi="Times New Roman"/>
                <w:color w:val="000000"/>
              </w:rPr>
              <w:t xml:space="preserve"> określeni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 w:rsidRPr="00FA25E8">
              <w:rPr>
                <w:rFonts w:ascii="Times New Roman" w:hAnsi="Times New Roman"/>
                <w:color w:val="000000"/>
              </w:rPr>
              <w:t>wysokości opłat</w:t>
            </w:r>
            <w:r>
              <w:rPr>
                <w:rFonts w:ascii="Times New Roman" w:hAnsi="Times New Roman"/>
                <w:color w:val="000000"/>
              </w:rPr>
              <w:t xml:space="preserve"> za wpis do odpowiedniego rejestru oraz opłat rocznych, </w:t>
            </w:r>
            <w:r w:rsidRPr="00F9368F">
              <w:rPr>
                <w:rFonts w:ascii="Times New Roman" w:hAnsi="Times New Roman"/>
                <w:color w:val="000000"/>
              </w:rPr>
              <w:t>powiązanych z działalnością transgraniczną instytucji zbiorowe</w:t>
            </w:r>
            <w:r>
              <w:rPr>
                <w:rFonts w:ascii="Times New Roman" w:hAnsi="Times New Roman"/>
                <w:color w:val="000000"/>
              </w:rPr>
              <w:t xml:space="preserve">go inwestowania, wynikających ze znowelizowanego </w:t>
            </w:r>
            <w:r w:rsidRPr="002E4033">
              <w:rPr>
                <w:rFonts w:ascii="Times New Roman" w:hAnsi="Times New Roman"/>
                <w:color w:val="000000"/>
              </w:rPr>
              <w:t>art. 236 ustawy z dnia 27 maja 2004 r.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9368F">
              <w:rPr>
                <w:rFonts w:ascii="Times New Roman" w:hAnsi="Times New Roman"/>
                <w:color w:val="000000"/>
              </w:rPr>
              <w:t>o funduszach inwestycyjnych i za</w:t>
            </w:r>
            <w:r>
              <w:rPr>
                <w:rFonts w:ascii="Times New Roman" w:hAnsi="Times New Roman"/>
                <w:color w:val="000000"/>
              </w:rPr>
              <w:t xml:space="preserve">rządzaniu </w:t>
            </w:r>
            <w:r w:rsidRPr="00F9368F">
              <w:rPr>
                <w:rFonts w:ascii="Times New Roman" w:hAnsi="Times New Roman"/>
                <w:color w:val="000000"/>
              </w:rPr>
              <w:t>alternatywnymi funduszami inwestycyjnymi</w:t>
            </w:r>
            <w:r>
              <w:rPr>
                <w:rFonts w:ascii="Times New Roman" w:hAnsi="Times New Roman"/>
                <w:color w:val="000000"/>
              </w:rPr>
              <w:t>, w brzmieniu obowiązującym od dnia 1 stycznia 2022 r. Opłaty</w:t>
            </w:r>
            <w:r w:rsidRPr="002F3CC2">
              <w:rPr>
                <w:rFonts w:ascii="Times New Roman" w:hAnsi="Times New Roman"/>
                <w:color w:val="000000"/>
              </w:rPr>
              <w:t xml:space="preserve"> z tytułu wpisu do rejestr</w:t>
            </w:r>
            <w:r>
              <w:rPr>
                <w:rFonts w:ascii="Times New Roman" w:hAnsi="Times New Roman"/>
                <w:color w:val="000000"/>
              </w:rPr>
              <w:t xml:space="preserve">u prowadzonego przez KNF będą służyły pokryciu </w:t>
            </w:r>
            <w:r w:rsidRPr="002F3CC2">
              <w:rPr>
                <w:rFonts w:ascii="Times New Roman" w:hAnsi="Times New Roman"/>
                <w:color w:val="000000"/>
              </w:rPr>
              <w:t>kosztów nadzoru związanych z czynnościami weryfikacyjnymi pod</w:t>
            </w:r>
            <w:r>
              <w:rPr>
                <w:rFonts w:ascii="Times New Roman" w:hAnsi="Times New Roman"/>
                <w:color w:val="000000"/>
              </w:rPr>
              <w:t xml:space="preserve">ejmowanymi względem notyfikacji </w:t>
            </w:r>
            <w:r w:rsidRPr="002F3CC2">
              <w:rPr>
                <w:rFonts w:ascii="Times New Roman" w:hAnsi="Times New Roman"/>
                <w:color w:val="000000"/>
              </w:rPr>
              <w:t xml:space="preserve">o zamiarze </w:t>
            </w:r>
            <w:r>
              <w:rPr>
                <w:rFonts w:ascii="Times New Roman" w:hAnsi="Times New Roman"/>
                <w:color w:val="000000"/>
              </w:rPr>
              <w:t>dystrybuowania</w:t>
            </w:r>
            <w:r w:rsidRPr="002F3CC2">
              <w:rPr>
                <w:rFonts w:ascii="Times New Roman" w:hAnsi="Times New Roman"/>
                <w:color w:val="000000"/>
              </w:rPr>
              <w:t xml:space="preserve"> danego funduszu lub subfunduszu na teryto</w:t>
            </w:r>
            <w:r>
              <w:rPr>
                <w:rFonts w:ascii="Times New Roman" w:hAnsi="Times New Roman"/>
                <w:color w:val="000000"/>
              </w:rPr>
              <w:t xml:space="preserve">rium Rzeczypospolitej Polskiej. </w:t>
            </w:r>
            <w:r w:rsidRPr="002F3CC2">
              <w:rPr>
                <w:rFonts w:ascii="Times New Roman" w:hAnsi="Times New Roman"/>
                <w:color w:val="000000"/>
              </w:rPr>
              <w:t xml:space="preserve">Ponadto będą </w:t>
            </w:r>
            <w:r>
              <w:rPr>
                <w:rFonts w:ascii="Times New Roman" w:hAnsi="Times New Roman"/>
                <w:color w:val="000000"/>
              </w:rPr>
              <w:t xml:space="preserve">one </w:t>
            </w:r>
            <w:r w:rsidRPr="002F3CC2">
              <w:rPr>
                <w:rFonts w:ascii="Times New Roman" w:hAnsi="Times New Roman"/>
                <w:color w:val="000000"/>
              </w:rPr>
              <w:t>służyć pokryciu kosztów nadzoru nad przestrzeganiem obowiązkó</w:t>
            </w:r>
            <w:r>
              <w:rPr>
                <w:rFonts w:ascii="Times New Roman" w:hAnsi="Times New Roman"/>
                <w:color w:val="000000"/>
              </w:rPr>
              <w:t xml:space="preserve">w nałożonych na </w:t>
            </w:r>
            <w:r w:rsidRPr="002F3CC2">
              <w:rPr>
                <w:rFonts w:ascii="Times New Roman" w:hAnsi="Times New Roman"/>
                <w:color w:val="000000"/>
              </w:rPr>
              <w:t>fundusze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F3CC2">
              <w:rPr>
                <w:rFonts w:ascii="Times New Roman" w:hAnsi="Times New Roman"/>
                <w:color w:val="000000"/>
              </w:rPr>
              <w:t xml:space="preserve"> czy inne podmioty, </w:t>
            </w:r>
            <w:r>
              <w:rPr>
                <w:rFonts w:ascii="Times New Roman" w:hAnsi="Times New Roman"/>
                <w:color w:val="000000"/>
              </w:rPr>
              <w:t xml:space="preserve">które są </w:t>
            </w:r>
            <w:r w:rsidRPr="002F3CC2">
              <w:rPr>
                <w:rFonts w:ascii="Times New Roman" w:hAnsi="Times New Roman"/>
                <w:color w:val="000000"/>
              </w:rPr>
              <w:t>związan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2F3CC2">
              <w:rPr>
                <w:rFonts w:ascii="Times New Roman" w:hAnsi="Times New Roman"/>
                <w:color w:val="000000"/>
              </w:rPr>
              <w:t xml:space="preserve"> z dystrybucją tych funduszy</w:t>
            </w:r>
            <w:r>
              <w:rPr>
                <w:rFonts w:ascii="Times New Roman" w:hAnsi="Times New Roman"/>
                <w:color w:val="000000"/>
              </w:rPr>
              <w:t xml:space="preserve"> na terytorium Rzeczypospolitej </w:t>
            </w:r>
            <w:r w:rsidRPr="002F3CC2">
              <w:rPr>
                <w:rFonts w:ascii="Times New Roman" w:hAnsi="Times New Roman"/>
                <w:color w:val="000000"/>
              </w:rPr>
              <w:t>Polskiej, w pierwszym roku kalendarzowym dystrybucji danego fu</w:t>
            </w:r>
            <w:r>
              <w:rPr>
                <w:rFonts w:ascii="Times New Roman" w:hAnsi="Times New Roman"/>
                <w:color w:val="000000"/>
              </w:rPr>
              <w:t xml:space="preserve">nduszu (subfunduszu). Natomiast </w:t>
            </w:r>
            <w:r w:rsidRPr="002F3CC2">
              <w:rPr>
                <w:rFonts w:ascii="Times New Roman" w:hAnsi="Times New Roman"/>
                <w:color w:val="000000"/>
              </w:rPr>
              <w:t xml:space="preserve">koszty nadzoru nad dystrybucją funduszy zagranicznych </w:t>
            </w:r>
            <w:r>
              <w:rPr>
                <w:rFonts w:ascii="Times New Roman" w:hAnsi="Times New Roman"/>
                <w:color w:val="000000"/>
              </w:rPr>
              <w:t xml:space="preserve">i ich subfunduszy </w:t>
            </w:r>
            <w:r w:rsidRPr="002F3CC2">
              <w:rPr>
                <w:rFonts w:ascii="Times New Roman" w:hAnsi="Times New Roman"/>
                <w:color w:val="000000"/>
              </w:rPr>
              <w:t>w kole</w:t>
            </w:r>
            <w:r>
              <w:rPr>
                <w:rFonts w:ascii="Times New Roman" w:hAnsi="Times New Roman"/>
                <w:color w:val="000000"/>
              </w:rPr>
              <w:t xml:space="preserve">jnych latach będą pokrywane już </w:t>
            </w:r>
            <w:r w:rsidRPr="002F3CC2">
              <w:rPr>
                <w:rFonts w:ascii="Times New Roman" w:hAnsi="Times New Roman"/>
                <w:color w:val="000000"/>
              </w:rPr>
              <w:t>w ramach opłaty rocznej.</w:t>
            </w:r>
            <w:r>
              <w:rPr>
                <w:rFonts w:ascii="Times New Roman" w:hAnsi="Times New Roman"/>
                <w:color w:val="000000"/>
              </w:rPr>
              <w:t xml:space="preserve"> Wysokość opłaty rocznej w przypadku f</w:t>
            </w:r>
            <w:r w:rsidRPr="0095600B">
              <w:rPr>
                <w:rFonts w:ascii="Times New Roman" w:hAnsi="Times New Roman"/>
                <w:color w:val="000000"/>
              </w:rPr>
              <w:t>undusz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95600B">
              <w:rPr>
                <w:rFonts w:ascii="Times New Roman" w:hAnsi="Times New Roman"/>
                <w:color w:val="000000"/>
              </w:rPr>
              <w:t xml:space="preserve"> zagraniczn</w:t>
            </w:r>
            <w:r>
              <w:rPr>
                <w:rFonts w:ascii="Times New Roman" w:hAnsi="Times New Roman"/>
                <w:color w:val="000000"/>
              </w:rPr>
              <w:t>ego</w:t>
            </w:r>
            <w:r w:rsidRPr="0095600B">
              <w:rPr>
                <w:rFonts w:ascii="Times New Roman" w:hAnsi="Times New Roman"/>
                <w:color w:val="000000"/>
              </w:rPr>
              <w:t xml:space="preserve"> oraz fundusz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95600B">
              <w:rPr>
                <w:rFonts w:ascii="Times New Roman" w:hAnsi="Times New Roman"/>
                <w:color w:val="000000"/>
              </w:rPr>
              <w:t xml:space="preserve"> inwestycy</w:t>
            </w:r>
            <w:r>
              <w:rPr>
                <w:rFonts w:ascii="Times New Roman" w:hAnsi="Times New Roman"/>
                <w:color w:val="000000"/>
              </w:rPr>
              <w:t>jnego</w:t>
            </w:r>
            <w:r w:rsidRPr="0095600B">
              <w:rPr>
                <w:rFonts w:ascii="Times New Roman" w:hAnsi="Times New Roman"/>
                <w:color w:val="000000"/>
              </w:rPr>
              <w:t xml:space="preserve"> otwart</w:t>
            </w:r>
            <w:r>
              <w:rPr>
                <w:rFonts w:ascii="Times New Roman" w:hAnsi="Times New Roman"/>
                <w:color w:val="000000"/>
              </w:rPr>
              <w:t>ego</w:t>
            </w:r>
            <w:r w:rsidRPr="0095600B">
              <w:rPr>
                <w:rFonts w:ascii="Times New Roman" w:hAnsi="Times New Roman"/>
                <w:color w:val="000000"/>
              </w:rPr>
              <w:t xml:space="preserve"> z siedzibą w państwie należącym do EEA</w:t>
            </w:r>
            <w:r>
              <w:rPr>
                <w:rFonts w:ascii="Times New Roman" w:hAnsi="Times New Roman"/>
                <w:color w:val="000000"/>
              </w:rPr>
              <w:t xml:space="preserve"> wyniesie równowartość w złotych 1000 euro, przy czym za każdy wydzielony subfundusz opłata będzie podwyższana dodatkowo o równowartość w złotych 200 euro. Zaś w przypadku funduszy wymienionych w projektowanym brzmieniu § 15a ust. 3 Rozporządzenia, opłata roczna będzie zawierać się w przedziale 300-1000 euro, w zależności od funduszu. Z</w:t>
            </w:r>
            <w:r w:rsidRPr="00331007">
              <w:rPr>
                <w:rFonts w:ascii="Times New Roman" w:hAnsi="Times New Roman"/>
                <w:color w:val="000000"/>
              </w:rPr>
              <w:t xml:space="preserve">a każdy wydzielony subfundusz opłata będzie podwyższana dodatkowo o równowartość w złotych </w:t>
            </w:r>
            <w:r>
              <w:rPr>
                <w:rFonts w:ascii="Times New Roman" w:hAnsi="Times New Roman"/>
                <w:color w:val="000000"/>
              </w:rPr>
              <w:t xml:space="preserve">200 lub 500 euro, w zależności od funduszu. Opłata </w:t>
            </w:r>
            <w:bookmarkStart w:id="4" w:name="_GoBack"/>
            <w:bookmarkEnd w:id="4"/>
            <w:r>
              <w:rPr>
                <w:rFonts w:ascii="Times New Roman" w:hAnsi="Times New Roman"/>
                <w:color w:val="000000"/>
              </w:rPr>
              <w:t xml:space="preserve">za wpis unijnego AFI oraz </w:t>
            </w:r>
            <w:r w:rsidRPr="00504B2D">
              <w:rPr>
                <w:rFonts w:ascii="Times New Roman" w:hAnsi="Times New Roman"/>
                <w:color w:val="000000"/>
              </w:rPr>
              <w:t>drugiego i każdego następnego subfunduszu</w:t>
            </w:r>
            <w:r>
              <w:rPr>
                <w:rFonts w:ascii="Times New Roman" w:hAnsi="Times New Roman"/>
                <w:color w:val="000000"/>
              </w:rPr>
              <w:t xml:space="preserve"> do rejestru, o którym mowa w </w:t>
            </w:r>
            <w:r w:rsidRPr="00504B2D">
              <w:rPr>
                <w:rFonts w:ascii="Times New Roman" w:hAnsi="Times New Roman"/>
                <w:color w:val="000000"/>
              </w:rPr>
              <w:t>art. 263r ustawy o funduszach</w:t>
            </w:r>
            <w:r>
              <w:rPr>
                <w:rFonts w:ascii="Times New Roman" w:hAnsi="Times New Roman"/>
                <w:color w:val="000000"/>
              </w:rPr>
              <w:t>, będzie wynosiła, w zależności od przypadku, 300 euro lub 1200 euro;</w:t>
            </w:r>
          </w:p>
          <w:p w14:paraId="4519F5A6" w14:textId="512BB714" w:rsidR="009004F8" w:rsidRDefault="009004F8" w:rsidP="002E4033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2) </w:t>
            </w:r>
            <w:r>
              <w:rPr>
                <w:rFonts w:ascii="Times New Roman" w:hAnsi="Times New Roman"/>
                <w:color w:val="000000" w:themeColor="text1"/>
              </w:rPr>
              <w:t xml:space="preserve">określenia </w:t>
            </w:r>
            <w:r w:rsidRPr="00FE104C">
              <w:rPr>
                <w:rFonts w:ascii="Times New Roman" w:hAnsi="Times New Roman"/>
                <w:color w:val="000000" w:themeColor="text1"/>
              </w:rPr>
              <w:t>wysokości o</w:t>
            </w:r>
            <w:r>
              <w:rPr>
                <w:rFonts w:ascii="Times New Roman" w:hAnsi="Times New Roman"/>
                <w:color w:val="000000" w:themeColor="text1"/>
              </w:rPr>
              <w:t xml:space="preserve">płaty za udzielenie przez </w:t>
            </w:r>
            <w:r w:rsidR="003F4084">
              <w:rPr>
                <w:rFonts w:ascii="Times New Roman" w:hAnsi="Times New Roman"/>
                <w:color w:val="000000" w:themeColor="text1"/>
              </w:rPr>
              <w:t>KNF</w:t>
            </w:r>
            <w:r>
              <w:rPr>
                <w:rFonts w:ascii="Times New Roman" w:hAnsi="Times New Roman"/>
                <w:color w:val="000000" w:themeColor="text1"/>
              </w:rPr>
              <w:t xml:space="preserve"> zezwolenia</w:t>
            </w:r>
            <w:r w:rsidR="007F6F4C">
              <w:rPr>
                <w:rFonts w:ascii="Times New Roman" w:hAnsi="Times New Roman"/>
                <w:color w:val="000000" w:themeColor="text1"/>
              </w:rPr>
              <w:t xml:space="preserve"> n</w:t>
            </w:r>
            <w:r w:rsidR="007F6F4C" w:rsidRPr="00FE104C">
              <w:rPr>
                <w:rFonts w:ascii="Times New Roman" w:hAnsi="Times New Roman"/>
                <w:color w:val="000000" w:themeColor="text1"/>
              </w:rPr>
              <w:t>a</w:t>
            </w:r>
            <w:r w:rsidR="007F6F4C">
              <w:rPr>
                <w:rFonts w:ascii="Times New Roman" w:hAnsi="Times New Roman"/>
                <w:color w:val="000000" w:themeColor="text1"/>
              </w:rPr>
              <w:t xml:space="preserve"> wycofanie akcji z obrotu na rynku regulowanym lub w alternatywnym systemie obrotu</w:t>
            </w:r>
            <w:r>
              <w:rPr>
                <w:rFonts w:ascii="Times New Roman" w:hAnsi="Times New Roman"/>
                <w:color w:val="000000" w:themeColor="text1"/>
              </w:rPr>
              <w:t xml:space="preserve">. Wysokość ustalonej w </w:t>
            </w:r>
            <w:r w:rsidR="00AC0374">
              <w:rPr>
                <w:rFonts w:ascii="Times New Roman" w:hAnsi="Times New Roman"/>
                <w:color w:val="000000" w:themeColor="text1"/>
              </w:rPr>
              <w:t>projektowanym brzmieniu r</w:t>
            </w:r>
            <w:r>
              <w:rPr>
                <w:rFonts w:ascii="Times New Roman" w:hAnsi="Times New Roman"/>
                <w:color w:val="000000" w:themeColor="text1"/>
              </w:rPr>
              <w:t xml:space="preserve">ozporządzeniu opłaty jest spójna z wysokością opłat za pozostałe zezwolenia wydawane przez KNF, o których mowa w przedmiotowym projekcie </w:t>
            </w:r>
            <w:r w:rsidR="00AC0374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>ozporządzenia. U</w:t>
            </w:r>
            <w:r w:rsidRPr="00EA0217">
              <w:rPr>
                <w:rFonts w:ascii="Times New Roman" w:hAnsi="Times New Roman"/>
                <w:color w:val="000000" w:themeColor="text1"/>
              </w:rPr>
              <w:t>dzielenie zezwolenia na wycofanie akcji z obrotu na rynku regulowanym lub w alternatywnym systemie obrotu, zgodnie z art. 91 ust. 1 ustawy o ofercie, będzie wiązało się z koniecznością uiszczenia opłaty w wysokości równowartości w złotych 4500 euro.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A0217">
              <w:rPr>
                <w:rFonts w:ascii="Times New Roman" w:hAnsi="Times New Roman"/>
                <w:color w:val="000000" w:themeColor="text1"/>
              </w:rPr>
              <w:t xml:space="preserve">Wysokość opłaty koreluje ze stopniem skomplikowania spraw i nakładem pracy </w:t>
            </w:r>
            <w:r>
              <w:rPr>
                <w:rFonts w:ascii="Times New Roman" w:hAnsi="Times New Roman"/>
                <w:color w:val="000000" w:themeColor="text1"/>
              </w:rPr>
              <w:t>KNF</w:t>
            </w:r>
            <w:r w:rsidRPr="00EA0217">
              <w:rPr>
                <w:rFonts w:ascii="Times New Roman" w:hAnsi="Times New Roman"/>
                <w:color w:val="000000" w:themeColor="text1"/>
              </w:rPr>
              <w:t xml:space="preserve">. Wycofanie z obrotu akcji, notowanych odpowiednio na rynku regulowanym lub w alternatywnym systemie obrotu, wymaga zezwolenia wydawanego w formie decyzji administracyjnej przez </w:t>
            </w:r>
            <w:r w:rsidR="00D8640C">
              <w:rPr>
                <w:rFonts w:ascii="Times New Roman" w:hAnsi="Times New Roman"/>
                <w:color w:val="000000" w:themeColor="text1"/>
              </w:rPr>
              <w:t>KNF</w:t>
            </w:r>
            <w:r w:rsidRPr="00EA0217">
              <w:rPr>
                <w:rFonts w:ascii="Times New Roman" w:hAnsi="Times New Roman"/>
                <w:color w:val="000000" w:themeColor="text1"/>
              </w:rPr>
              <w:t xml:space="preserve"> na podstawie ustawy o ofercie. Postępowanie administracyjne prowadzone przez KNF w powyższym przedmiocie wymaga kompleksowej weryfikacji spełnienia przez wnioskodawcę ustawowych przesłanek udzielenia zezwolenia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0FF1BDC5" w14:textId="546DC1DE" w:rsidR="009004F8" w:rsidRPr="002E4033" w:rsidRDefault="009004F8" w:rsidP="00D8640C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3)</w:t>
            </w:r>
            <w:r w:rsidR="007F6F4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A4030">
              <w:rPr>
                <w:rFonts w:ascii="Times New Roman" w:hAnsi="Times New Roman"/>
                <w:color w:val="000000" w:themeColor="text1"/>
              </w:rPr>
              <w:t>dookreślono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A4030">
              <w:rPr>
                <w:rFonts w:ascii="Times New Roman" w:hAnsi="Times New Roman"/>
                <w:color w:val="000000" w:themeColor="text1"/>
              </w:rPr>
              <w:t>sposób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 xml:space="preserve"> przypisywania poszczególnych opłat do odpowiedniej grupy</w:t>
            </w:r>
            <w:r w:rsidR="00FA4030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D8640C">
              <w:rPr>
                <w:rFonts w:ascii="Times New Roman" w:hAnsi="Times New Roman"/>
                <w:color w:val="000000" w:themeColor="text1"/>
              </w:rPr>
              <w:t xml:space="preserve">ponieważ </w:t>
            </w:r>
            <w:r w:rsidR="00FA4030">
              <w:rPr>
                <w:rFonts w:ascii="Times New Roman" w:hAnsi="Times New Roman"/>
                <w:color w:val="000000" w:themeColor="text1"/>
              </w:rPr>
              <w:t>o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 xml:space="preserve">becny stan prawny </w:t>
            </w:r>
            <w:r w:rsidR="00D8640C">
              <w:rPr>
                <w:rFonts w:ascii="Times New Roman" w:hAnsi="Times New Roman"/>
                <w:color w:val="000000" w:themeColor="text1"/>
              </w:rPr>
              <w:t>wywołuje pewne</w:t>
            </w:r>
            <w:r w:rsidR="00D8640C" w:rsidRPr="00FA403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>wątpliwości interpretacyjne</w:t>
            </w:r>
            <w:r w:rsidR="00FA4030">
              <w:rPr>
                <w:rFonts w:ascii="Times New Roman" w:hAnsi="Times New Roman"/>
                <w:color w:val="000000" w:themeColor="text1"/>
              </w:rPr>
              <w:t>.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 xml:space="preserve"> Opłaty </w:t>
            </w:r>
            <w:r w:rsidR="00C2021A" w:rsidRPr="00FA4030">
              <w:rPr>
                <w:rFonts w:ascii="Times New Roman" w:hAnsi="Times New Roman"/>
                <w:color w:val="000000" w:themeColor="text1"/>
              </w:rPr>
              <w:t>jednorazow</w:t>
            </w:r>
            <w:r w:rsidR="00C2021A">
              <w:rPr>
                <w:rFonts w:ascii="Times New Roman" w:hAnsi="Times New Roman"/>
                <w:color w:val="000000" w:themeColor="text1"/>
              </w:rPr>
              <w:t>e</w:t>
            </w:r>
            <w:r w:rsidR="00C2021A" w:rsidRPr="00FA4030">
              <w:rPr>
                <w:rFonts w:ascii="Times New Roman" w:hAnsi="Times New Roman"/>
                <w:color w:val="000000" w:themeColor="text1"/>
              </w:rPr>
              <w:t xml:space="preserve"> i ryczałtow</w:t>
            </w:r>
            <w:r w:rsidR="00C2021A">
              <w:rPr>
                <w:rFonts w:ascii="Times New Roman" w:hAnsi="Times New Roman"/>
                <w:color w:val="000000" w:themeColor="text1"/>
              </w:rPr>
              <w:t>e</w:t>
            </w:r>
            <w:r w:rsidR="00C2021A" w:rsidRPr="00FA4030">
              <w:rPr>
                <w:rFonts w:ascii="Times New Roman" w:hAnsi="Times New Roman"/>
                <w:color w:val="000000" w:themeColor="text1"/>
              </w:rPr>
              <w:t xml:space="preserve"> wniesion</w:t>
            </w:r>
            <w:r w:rsidR="00C2021A">
              <w:rPr>
                <w:rFonts w:ascii="Times New Roman" w:hAnsi="Times New Roman"/>
                <w:color w:val="000000" w:themeColor="text1"/>
              </w:rPr>
              <w:t>e</w:t>
            </w:r>
            <w:r w:rsidR="00C2021A" w:rsidRPr="00FA4030">
              <w:rPr>
                <w:rFonts w:ascii="Times New Roman" w:hAnsi="Times New Roman"/>
                <w:color w:val="000000" w:themeColor="text1"/>
              </w:rPr>
              <w:t xml:space="preserve"> w poprzednim roku kalendarzowym przez podmioty nadzorowane 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 xml:space="preserve">nie są </w:t>
            </w:r>
            <w:r w:rsidR="00D8640C">
              <w:rPr>
                <w:rFonts w:ascii="Times New Roman" w:hAnsi="Times New Roman"/>
                <w:color w:val="000000" w:themeColor="text1"/>
              </w:rPr>
              <w:t xml:space="preserve">bowiem 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>wnoszone jedynie przez</w:t>
            </w:r>
            <w:r w:rsidR="00C2021A">
              <w:rPr>
                <w:rFonts w:ascii="Times New Roman" w:hAnsi="Times New Roman"/>
                <w:color w:val="000000" w:themeColor="text1"/>
              </w:rPr>
              <w:t xml:space="preserve"> podmioty będące w danej grupie.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2021A">
              <w:rPr>
                <w:rFonts w:ascii="Times New Roman" w:hAnsi="Times New Roman"/>
                <w:color w:val="000000" w:themeColor="text1"/>
              </w:rPr>
              <w:t>C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 xml:space="preserve">zęść podmiotów może występować jako podmioty z kilku grup lub rozliczać się ryczałtowo. </w:t>
            </w:r>
            <w:r w:rsidR="00D8640C" w:rsidRPr="00D8640C">
              <w:rPr>
                <w:rFonts w:ascii="Times New Roman" w:hAnsi="Times New Roman"/>
                <w:color w:val="000000" w:themeColor="text1"/>
              </w:rPr>
              <w:t>Zaproponowany sposób uwzględnienia opłat przy ustalaniu kosztów nadzoru netto w części przypadającej na daną grupę, ustalonej z wykorzystaniem procentowego udziału danej grupy w planowanych kosztach nadzoru netto w danym roku kalendarzowym, obl</w:t>
            </w:r>
            <w:r w:rsidR="00AC0374">
              <w:rPr>
                <w:rFonts w:ascii="Times New Roman" w:hAnsi="Times New Roman"/>
                <w:color w:val="000000" w:themeColor="text1"/>
              </w:rPr>
              <w:t>iczanego zgodnie z § 18 ust. 3 r</w:t>
            </w:r>
            <w:r w:rsidR="00D8640C" w:rsidRPr="00D8640C">
              <w:rPr>
                <w:rFonts w:ascii="Times New Roman" w:hAnsi="Times New Roman"/>
                <w:color w:val="000000" w:themeColor="text1"/>
              </w:rPr>
              <w:t xml:space="preserve">ozporządzenia, wyeliminuje – w ocenie projektodawcy – wskazane </w:t>
            </w:r>
            <w:r w:rsidR="00FA4030" w:rsidRPr="00FA4030">
              <w:rPr>
                <w:rFonts w:ascii="Times New Roman" w:hAnsi="Times New Roman"/>
                <w:color w:val="000000" w:themeColor="text1"/>
              </w:rPr>
              <w:t>wyżej wątpliwości i utrudnienia.</w:t>
            </w:r>
          </w:p>
        </w:tc>
      </w:tr>
      <w:tr w:rsidR="009004F8" w:rsidRPr="008B4FE6" w14:paraId="6F08C26B" w14:textId="77777777" w:rsidTr="00F43ADF">
        <w:trPr>
          <w:gridAfter w:val="1"/>
          <w:wAfter w:w="63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064819" w14:textId="77777777" w:rsidR="009004F8" w:rsidRPr="008B4FE6" w:rsidRDefault="009004F8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004F8" w:rsidRPr="008B4FE6" w14:paraId="2C916402" w14:textId="77777777" w:rsidTr="00F43ADF">
        <w:trPr>
          <w:gridAfter w:val="1"/>
          <w:wAfter w:w="63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E176CD2" w14:textId="77777777" w:rsidR="009004F8" w:rsidRDefault="009004F8" w:rsidP="00424E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A02DEB">
              <w:rPr>
                <w:rFonts w:ascii="Times New Roman" w:hAnsi="Times New Roman"/>
                <w:lang w:eastAsia="pl-PL"/>
              </w:rPr>
              <w:t xml:space="preserve">Z przeprowadzonych analiz wynika, iż zdecydowana większość organów nadzoru </w:t>
            </w:r>
            <w:r>
              <w:rPr>
                <w:rFonts w:ascii="Times New Roman" w:hAnsi="Times New Roman"/>
                <w:lang w:eastAsia="pl-PL"/>
              </w:rPr>
              <w:t xml:space="preserve">pobiera opłaty od </w:t>
            </w:r>
            <w:r w:rsidRPr="00A02DEB">
              <w:rPr>
                <w:rFonts w:ascii="Times New Roman" w:hAnsi="Times New Roman"/>
                <w:lang w:eastAsia="pl-PL"/>
              </w:rPr>
              <w:t>funduszy dystrybuowanych w ich jurysdykcji. Opłaty te są nieco</w:t>
            </w:r>
            <w:r>
              <w:rPr>
                <w:rFonts w:ascii="Times New Roman" w:hAnsi="Times New Roman"/>
                <w:lang w:eastAsia="pl-PL"/>
              </w:rPr>
              <w:t xml:space="preserve"> rzadziej stosowane w przypadku </w:t>
            </w:r>
            <w:r w:rsidRPr="00A02DEB">
              <w:rPr>
                <w:rFonts w:ascii="Times New Roman" w:hAnsi="Times New Roman"/>
                <w:lang w:eastAsia="pl-PL"/>
              </w:rPr>
              <w:t>funduszy typu AFI niż funduszy typu UCITS, niemniej można z</w:t>
            </w:r>
            <w:r>
              <w:rPr>
                <w:rFonts w:ascii="Times New Roman" w:hAnsi="Times New Roman"/>
                <w:lang w:eastAsia="pl-PL"/>
              </w:rPr>
              <w:t xml:space="preserve">auważyć (porównując obecny stan </w:t>
            </w:r>
            <w:r w:rsidRPr="00A02DEB">
              <w:rPr>
                <w:rFonts w:ascii="Times New Roman" w:hAnsi="Times New Roman"/>
                <w:lang w:eastAsia="pl-PL"/>
              </w:rPr>
              <w:t xml:space="preserve">z informacjami zawartymi w uzasadnieniu do projektu rozporządzenia </w:t>
            </w:r>
            <w:r>
              <w:rPr>
                <w:rFonts w:ascii="Times New Roman" w:hAnsi="Times New Roman"/>
                <w:lang w:eastAsia="pl-PL"/>
              </w:rPr>
              <w:t xml:space="preserve">2019/1156), że niektóre państwa </w:t>
            </w:r>
            <w:r w:rsidRPr="00A02DEB">
              <w:rPr>
                <w:rFonts w:ascii="Times New Roman" w:hAnsi="Times New Roman"/>
                <w:lang w:eastAsia="pl-PL"/>
              </w:rPr>
              <w:t>w ostatnim czasie wprowadziły i w tym zakresie opłaty (Szwecja), isto</w:t>
            </w:r>
            <w:r>
              <w:rPr>
                <w:rFonts w:ascii="Times New Roman" w:hAnsi="Times New Roman"/>
                <w:lang w:eastAsia="pl-PL"/>
              </w:rPr>
              <w:t xml:space="preserve">tnie podwyższyły (Cypr – opłaty </w:t>
            </w:r>
            <w:r w:rsidRPr="00A02DEB">
              <w:rPr>
                <w:rFonts w:ascii="Times New Roman" w:hAnsi="Times New Roman"/>
                <w:lang w:eastAsia="pl-PL"/>
              </w:rPr>
              <w:t>notyfikacyjne) lub podjęły prace nad ich wprowadzeniem (Norwegia). P</w:t>
            </w:r>
            <w:r>
              <w:rPr>
                <w:rFonts w:ascii="Times New Roman" w:hAnsi="Times New Roman"/>
                <w:lang w:eastAsia="pl-PL"/>
              </w:rPr>
              <w:t xml:space="preserve">onadto, system opłat w znacznej </w:t>
            </w:r>
            <w:r w:rsidRPr="00A02DEB">
              <w:rPr>
                <w:rFonts w:ascii="Times New Roman" w:hAnsi="Times New Roman"/>
                <w:lang w:eastAsia="pl-PL"/>
              </w:rPr>
              <w:t>części jurysdykcji przewiduje waloryzację stawek opłat (automatyczną lub na podstawie decyzji prawodawcy/organu nadzoru), której skutkiem było pewne</w:t>
            </w:r>
            <w:r>
              <w:rPr>
                <w:rFonts w:ascii="Times New Roman" w:hAnsi="Times New Roman"/>
                <w:lang w:eastAsia="pl-PL"/>
              </w:rPr>
              <w:t xml:space="preserve"> podwyższenie stawek wykazanych </w:t>
            </w:r>
            <w:r w:rsidRPr="00A02DEB">
              <w:rPr>
                <w:rFonts w:ascii="Times New Roman" w:hAnsi="Times New Roman"/>
                <w:lang w:eastAsia="pl-PL"/>
              </w:rPr>
              <w:t>w przywołanym wyżej uzasadnieniu do projektu rozporządzenia 2019/1156.</w:t>
            </w:r>
            <w:r>
              <w:rPr>
                <w:rFonts w:ascii="Times New Roman" w:hAnsi="Times New Roman"/>
                <w:lang w:eastAsia="pl-PL"/>
              </w:rPr>
              <w:t xml:space="preserve"> (Źródło: UKNF)</w:t>
            </w:r>
          </w:p>
          <w:p w14:paraId="23B68823" w14:textId="77777777" w:rsidR="009004F8" w:rsidRPr="00A02DEB" w:rsidRDefault="009004F8" w:rsidP="00A02D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004F8" w:rsidRPr="008B4FE6" w14:paraId="5121BA06" w14:textId="77777777" w:rsidTr="00F43ADF">
        <w:trPr>
          <w:gridAfter w:val="1"/>
          <w:wAfter w:w="63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0B66A87" w14:textId="77777777" w:rsidR="009004F8" w:rsidRPr="008B4FE6" w:rsidRDefault="009004F8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004F8" w:rsidRPr="008B4FE6" w14:paraId="37372F5A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5EA511F" w14:textId="77777777" w:rsidR="009004F8" w:rsidRPr="008B4FE6" w:rsidRDefault="009004F8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936DD0A" w14:textId="77777777" w:rsidR="009004F8" w:rsidRPr="008B4FE6" w:rsidRDefault="009004F8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8CAAD1D" w14:textId="77777777" w:rsidR="009004F8" w:rsidRPr="008B4FE6" w:rsidRDefault="009004F8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25FFB45" w14:textId="77777777" w:rsidR="009004F8" w:rsidRPr="008B4FE6" w:rsidRDefault="009004F8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004F8" w:rsidRPr="008B4FE6" w14:paraId="6F68F1A9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B206CC2" w14:textId="77777777" w:rsidR="009004F8" w:rsidRPr="00B237F2" w:rsidRDefault="009004F8" w:rsidP="0065714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 xml:space="preserve">I. </w:t>
            </w:r>
            <w:r w:rsidRPr="00B237F2">
              <w:rPr>
                <w:rFonts w:ascii="Times New Roman" w:hAnsi="Times New Roman"/>
                <w:noProof/>
                <w:color w:val="000000"/>
              </w:rPr>
              <w:t>Komisja Nadzoru Finansowego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05F92FE3" w14:textId="77777777" w:rsidR="009004F8" w:rsidRPr="00B37C80" w:rsidRDefault="009004F8" w:rsidP="0042007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3AED009" w14:textId="77777777" w:rsidR="009004F8" w:rsidRPr="007560C7" w:rsidRDefault="009004F8" w:rsidP="007560C7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8F7757">
              <w:rPr>
                <w:rFonts w:ascii="Times New Roman" w:hAnsi="Times New Roman"/>
                <w:noProof/>
                <w:color w:val="000000"/>
              </w:rPr>
              <w:t>Ustawa z dnia 21 lipca 2006 r. o nadzor</w:t>
            </w:r>
            <w:r>
              <w:rPr>
                <w:rFonts w:ascii="Times New Roman" w:hAnsi="Times New Roman"/>
                <w:noProof/>
                <w:color w:val="000000"/>
              </w:rPr>
              <w:t>ze nad rynkiem finansowym (</w:t>
            </w:r>
            <w:r w:rsidRPr="008F7757">
              <w:rPr>
                <w:rFonts w:ascii="Times New Roman" w:hAnsi="Times New Roman"/>
                <w:noProof/>
                <w:color w:val="000000"/>
              </w:rPr>
              <w:t>Dz. U. z 2020 r. poz. 2059</w:t>
            </w:r>
            <w:r>
              <w:rPr>
                <w:rFonts w:ascii="Times New Roman" w:hAnsi="Times New Roman"/>
                <w:noProof/>
                <w:color w:val="000000"/>
              </w:rPr>
              <w:t>,</w:t>
            </w:r>
            <w:r w:rsidRPr="008F7757">
              <w:rPr>
                <w:rFonts w:ascii="Times New Roman" w:hAnsi="Times New Roman"/>
                <w:noProof/>
                <w:color w:val="000000"/>
              </w:rPr>
              <w:t xml:space="preserve"> z późn. zm.).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46FC86E" w14:textId="5128D7A7" w:rsidR="009004F8" w:rsidRPr="00B37C80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004F8" w:rsidRPr="008B4FE6" w14:paraId="2FA9C83F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80BC819" w14:textId="77777777" w:rsidR="009004F8" w:rsidRPr="00B237F2" w:rsidRDefault="009004F8" w:rsidP="001F6CCC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II. Podmioty rynku kapitałowego: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6708298B" w14:textId="764A567B" w:rsidR="009004F8" w:rsidRPr="001B7CE7" w:rsidRDefault="0046512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2 962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F2E97C2" w14:textId="4342064B" w:rsidR="009004F8" w:rsidRPr="007560C7" w:rsidRDefault="009004F8" w:rsidP="007560C7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980B448" w14:textId="26E5FC68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99120F2" w14:textId="6010FA58" w:rsidR="009004F8" w:rsidRPr="007560C7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D8640C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36F4F395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F73D4AF" w14:textId="4E823094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 xml:space="preserve">1. </w:t>
            </w:r>
            <w:r w:rsidRPr="004A34A7">
              <w:rPr>
                <w:rFonts w:ascii="Times New Roman" w:hAnsi="Times New Roman"/>
              </w:rPr>
              <w:tab/>
              <w:t>towarzystwa funduszy inwestycyjnych (TFI),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39B2EF1A" w14:textId="738E7F2B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</w:rPr>
              <w:t>57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08B94C2" w14:textId="2C397FDD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8E6F7A0" w14:textId="0660F6A3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5D6A7ED" w14:textId="50E27792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D8640C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1A0FDEBB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E3175B7" w14:textId="0B462DFB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2.</w:t>
            </w:r>
            <w:r w:rsidRPr="004A34A7">
              <w:rPr>
                <w:rFonts w:ascii="Times New Roman" w:hAnsi="Times New Roman"/>
              </w:rPr>
              <w:tab/>
              <w:t>zarządzający ASI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7A7DDE78" w14:textId="1E5EB367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258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9CC9E80" w14:textId="34EB1129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DF2B94D" w14:textId="1B120A43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9E9668C" w14:textId="1E20673C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D8640C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340A6EAE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DE0658D" w14:textId="73424D59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 xml:space="preserve">3. </w:t>
            </w:r>
            <w:r w:rsidRPr="004A34A7">
              <w:rPr>
                <w:rFonts w:ascii="Times New Roman" w:hAnsi="Times New Roman"/>
              </w:rPr>
              <w:tab/>
              <w:t>zarządzający ASI (ZASI) działający na podstawie zezwolenia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54A4C636" w14:textId="519E4E43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054E659" w14:textId="38FE1D7F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59E9822" w14:textId="5C2539CB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415D147" w14:textId="1B270826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D8640C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12FDC1EF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F44D38B" w14:textId="7D68DC09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4.</w:t>
            </w:r>
            <w:r w:rsidRPr="004A34A7">
              <w:rPr>
                <w:rFonts w:ascii="Times New Roman" w:hAnsi="Times New Roman"/>
              </w:rPr>
              <w:tab/>
              <w:t>podmioty prowadzące rejestr uczestników funduszu inwestycyjnego (tzw. agenci transferowi funduszy inwestycyjnych),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5E74362A" w14:textId="3ACE519C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B4ECBB7" w14:textId="7B33646B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26981CF" w14:textId="437066C2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8E9F8E3" w14:textId="4A22E8DB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D8640C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7B28737B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C059A68" w14:textId="181DAFC1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  <w:spacing w:val="-2"/>
              </w:rPr>
              <w:t>5.</w:t>
            </w:r>
            <w:r w:rsidRPr="004A34A7">
              <w:rPr>
                <w:rFonts w:ascii="Times New Roman" w:hAnsi="Times New Roman"/>
                <w:spacing w:val="-2"/>
              </w:rPr>
              <w:tab/>
              <w:t>podmioty pośredniczące w zbywaniu i odkupywaniu jednostek uczestnictwa funduszy inwestycyjnych, które uzyskały zezwolenie na podstawie art. 32 ust. 2 ustawy o funduszach inwestycyjnych,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6E01648A" w14:textId="45EC5009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69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67AFD64" w14:textId="7DA05068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14EDA06" w14:textId="384C053B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757B785" w14:textId="577182F2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D8640C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2D1C23A3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9E333C9" w14:textId="19634F77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6.</w:t>
            </w:r>
            <w:r w:rsidRPr="004A34A7">
              <w:rPr>
                <w:rFonts w:ascii="Times New Roman" w:hAnsi="Times New Roman"/>
              </w:rPr>
              <w:tab/>
              <w:t>podmioty zarządzające sekurytyzowanymi wierzytelnościami funduszu sekurytyzacyjnego,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7C469AD4" w14:textId="11EC503D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43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BAEBE09" w14:textId="0A39A995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D80998A" w14:textId="38B967F0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9BD4566" w14:textId="3BD53CDA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7B70F4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628B7575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B8FE5EE" w14:textId="31CEFCFE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7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spółki prowadzące giełdę papierów wartościowych,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4A749A67" w14:textId="6CCC6507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6542B12" w14:textId="6A87482C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35EF6FD" w14:textId="7E8C48CA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6054096" w14:textId="66D1662A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7B70F4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7BB5063D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2607D6" w14:textId="784CA5B1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8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spółki prowadzące rynek pozagiełdowy,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1D0759A9" w14:textId="2F7D63B9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E0775B9" w14:textId="62E8BB8A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EDBF2BD" w14:textId="0A4951F9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F3BFF11" w14:textId="39DA6279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7B70F4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07D0E260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ABD54E8" w14:textId="36364AE5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9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Krajowy Depozyt Papierów Wartościowych,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7C6F4722" w14:textId="5BE40DA1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408D10C" w14:textId="156F8B21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BF3F6FD" w14:textId="0A008B76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1489033" w14:textId="51F2D6A1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7B70F4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7F953482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3893B70" w14:textId="56EBBC8B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10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spółki prowadzące izbę rozliczeniową oraz spółki, którym Krajowy Depozyt Papierów Wartościowych przekazał wykonywanie czynności z zakresu rozliczania transakcji,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72BA2B39" w14:textId="2CACFF48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B192D81" w14:textId="5969EA68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07C3FE8" w14:textId="6C20B122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FF39B2F" w14:textId="3D384C9A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7B70F4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0973944C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A0C68A6" w14:textId="03CA3E62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spółki prowadzące izbę rozliczeniową i rozrachunkową, która wykonuje funkcję giełdowej izby rozrachunkowej,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691760E0" w14:textId="00C7E52F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0EC5089" w14:textId="4F527A16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9A8D685" w14:textId="33DF9579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4DA6578" w14:textId="23762185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7B70F4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54614775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20CEA12" w14:textId="0FAFFCAA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domy maklerskie,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347C92CD" w14:textId="6D7CCF43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36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A188948" w14:textId="2A2283D2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0874E5" w14:textId="05F0A7A3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A575B96" w14:textId="7C5BD427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7B70F4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64A41D80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2FF35A9" w14:textId="67DE2106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agenci firm inwestycyjnych,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03BA6C4A" w14:textId="4FA5C389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263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1D908D5" w14:textId="352EE4C3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18FA8FB" w14:textId="69E6E85B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E34A4D4" w14:textId="5A6CE591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7B70F4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30B9616B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70C9218" w14:textId="552BA349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zagraniczne firmy inwestycyjne prowadzące działalność maklerską na terytorium Rzeczypospolitej Polskiej w formie oddziału oraz zagraniczne osoby prawne prowadzące taką działalność na terytorium Rzeczypospolitej Polskiej,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084D46FD" w14:textId="06241658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7A90818" w14:textId="630AD0A6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B02594D" w14:textId="1EAFC4D8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AA82C54" w14:textId="581F4BCA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7B70F4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1B1FF0EA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2DB039C" w14:textId="3179D3E2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zagraniczne firmy inwestycyjne nieprowadzące działalności maklerskiej na terytorium Rzeczypospolitej Polskiej, a będące stronami transakcji zawieranych na rynku giełdowym (tzw. zdalni członkowi giełdy),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37266B49" w14:textId="29C25B7F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25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7EEB3C6" w14:textId="30F358E8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791E8E5" w14:textId="43AB5C80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B738E1D" w14:textId="2008655B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7B70F4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624A7144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369F695" w14:textId="203CDB2D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spółki prowadzące giełdę towarową,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0325871A" w14:textId="59B0FE20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1BCA32C" w14:textId="167530B9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97BB8D8" w14:textId="7D251924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CCCA7B4" w14:textId="1342660E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7B70F4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6B04EECF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CE8257A" w14:textId="7611F4FA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spółki prowadzące giełdowe izby rozrachunkowe na podstawie ustawy o giełdach towarowych,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50F2A91D" w14:textId="29F0157B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84E97AD" w14:textId="28DAED8B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F7013C9" w14:textId="7551D0D1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A1D8F07" w14:textId="5EC4E8CC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7B70F4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0557EBFA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74A7149" w14:textId="7A74D07E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towarowe domy maklerskie,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3DE8E18D" w14:textId="6E6F768B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A21A482" w14:textId="71D7BA25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900DA3B" w14:textId="4323B226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7B0D13C" w14:textId="4B76460D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0D4163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4785E9CA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9048EFE" w14:textId="4523AD9A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podmioty posiadające zezwolenie na prowadzenie rachunków i rejestrów towarów giełdowych,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5EEE7073" w14:textId="04C7D792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60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C5CE53C" w14:textId="25D34367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47113DE" w14:textId="136A504B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2D3197F" w14:textId="7097127A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0D4163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75A59CCE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766BD40" w14:textId="4F05AD33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20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zagraniczne osoby prawne, o których mowa w art. 50 ust. 1 ustawy o giełdach towarowych, prowadzące działalność na terytorium Rzeczypospolitej Polskiej w formie oddziału,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3B773C68" w14:textId="27D252F3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8553ADE" w14:textId="34CD8C2D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73A888F" w14:textId="6EACCC3A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8C055BB" w14:textId="7623BB49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0D4163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03168285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D7D7BAD" w14:textId="4AC4F5EA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krajowe spółki publiczne, których akcje dopuszczone są do obrotu na rynku regulowanym lub których akcje wprowadzone są do alternatywnego systemu obrotu,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01FE8AF8" w14:textId="011AF059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759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D260DF5" w14:textId="4C87784F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6BC9E9F" w14:textId="53D4E737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7F23CE2" w14:textId="29B70106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0D4163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7FC11C53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199E8AF" w14:textId="207EC0B2" w:rsidR="009004F8" w:rsidRPr="00B237F2" w:rsidDel="009B6CB1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lang w:eastAsia="pl-PL"/>
              </w:rPr>
            </w:pPr>
            <w:r w:rsidRPr="004A34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krajowi emitenci papierów wartościowych, innych niż akcje, dopuszczonych do obrotu na rynku regulowanym,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5880362D" w14:textId="39B33681" w:rsidR="009004F8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106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9AB3A75" w14:textId="41D9A96E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087AA4E" w14:textId="6CAF0710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8EE79BD" w14:textId="11AEE062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0D4163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70DBAA44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06DC4F0" w14:textId="1402B8EE" w:rsidR="009004F8" w:rsidRPr="002D69A3" w:rsidDel="009004F8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4A34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4A34A7">
              <w:rPr>
                <w:rFonts w:ascii="Times New Roman" w:hAnsi="Times New Roman"/>
              </w:rPr>
              <w:t>.</w:t>
            </w:r>
            <w:r w:rsidRPr="004A34A7">
              <w:rPr>
                <w:rFonts w:ascii="Times New Roman" w:hAnsi="Times New Roman"/>
              </w:rPr>
              <w:tab/>
              <w:t>podmioty o statusie agencji informacyjnej.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6E2921B9" w14:textId="477D4393" w:rsidR="009004F8" w:rsidRPr="002D69A3" w:rsidDel="006B5A85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AFF9DAF" w14:textId="5645AC1D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98CA106" w14:textId="7CE2D4E8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B511691" w14:textId="250EC929" w:rsidR="009004F8" w:rsidRPr="001F6CCC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0D4163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7E07A491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BE6727E" w14:textId="2B963253" w:rsidR="009004F8" w:rsidRPr="002D69A3" w:rsidDel="009004F8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4A34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4A34A7">
              <w:rPr>
                <w:rFonts w:ascii="Times New Roman" w:hAnsi="Times New Roman"/>
              </w:rPr>
              <w:t>. fundusze zagraniczne oraz fundusze inwestycyjne otwarte z siedzibą w państwie należącym do EEA w przypadku których KNF otrzymała zawiadomienie o zamiarze zbywania tytułów uczestnictwa na terytorium Rzeczypospolitej Polskiej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32C33340" w14:textId="3C155E6A" w:rsidR="009004F8" w:rsidRPr="002D69A3" w:rsidDel="006B5A85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33 fundusze, 709 subfunduszy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591F22C" w14:textId="49E8B57E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7CB9D67" w14:textId="4347ED8E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B04463E" w14:textId="39713B40" w:rsidR="009004F8" w:rsidRPr="001F6CCC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0D4163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4508D2D4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E6E9391" w14:textId="1AD3CE32" w:rsidR="009004F8" w:rsidRPr="002D69A3" w:rsidDel="009004F8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4A34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4A34A7">
              <w:rPr>
                <w:rFonts w:ascii="Times New Roman" w:hAnsi="Times New Roman"/>
              </w:rPr>
              <w:t>. unijne AFI oraz alternatywne fundusze inwestycyjne z siedzibą w państwie należącym do EEA, w przypadku których KNF otrzymała zawiadomienie o zamiarze wprowadzania ich do obrotu na terytorium Rzeczypospolitej Polskiej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23202062" w14:textId="1288281D" w:rsidR="009004F8" w:rsidRPr="002D69A3" w:rsidDel="006B5A85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34A7">
              <w:rPr>
                <w:rFonts w:ascii="Times New Roman" w:hAnsi="Times New Roman"/>
                <w:spacing w:val="-2"/>
              </w:rPr>
              <w:t>433 fundusze, 82 subfundusz</w:t>
            </w:r>
            <w:r w:rsidR="000D4163">
              <w:rPr>
                <w:rFonts w:ascii="Times New Roman" w:hAnsi="Times New Roman"/>
                <w:spacing w:val="-2"/>
              </w:rPr>
              <w:t>y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2870913" w14:textId="35CD754A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1AEBE07" w14:textId="47FAD7D9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173DD98" w14:textId="7D377240" w:rsidR="009004F8" w:rsidRPr="001F6CCC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0D4163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12A8CC21" w14:textId="77777777" w:rsidTr="00F43ADF">
        <w:trPr>
          <w:gridAfter w:val="1"/>
          <w:wAfter w:w="6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A23193F" w14:textId="11B6B52B" w:rsidR="009004F8" w:rsidRPr="002D69A3" w:rsidDel="009004F8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4A34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4A34A7">
              <w:rPr>
                <w:rFonts w:ascii="Times New Roman" w:hAnsi="Times New Roman"/>
              </w:rPr>
              <w:t>.        podmioty, o których mowa w art. 163 ust. 12-16 ustawy z dnia 29 lipca 2005 r. o obrocie instrumentami finansowymi.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14:paraId="2F8C803F" w14:textId="2950E8CC" w:rsidR="009004F8" w:rsidRPr="002D69A3" w:rsidDel="006B5A85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C20BC31" w14:textId="26196356" w:rsidR="009004F8" w:rsidRPr="007560C7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Urząd Komisji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E342FF3" w14:textId="5326F9F5" w:rsidR="009004F8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 w:rsidRPr="001F6CCC">
              <w:rPr>
                <w:rFonts w:ascii="Times New Roman" w:hAnsi="Times New Roman"/>
                <w:color w:val="000000"/>
                <w:spacing w:val="-2"/>
              </w:rPr>
              <w:t>Dostosowanie do nowego systemu naliczania opłat dla podmiotów rynku kapitałowego</w:t>
            </w:r>
            <w:r w:rsidR="00424E5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EE06C55" w14:textId="19501DD3" w:rsidR="009004F8" w:rsidRPr="001F6CCC" w:rsidRDefault="009004F8" w:rsidP="00424E5D">
            <w:pPr>
              <w:spacing w:before="120" w:after="120" w:line="240" w:lineRule="auto"/>
              <w:ind w:hanging="3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Dodatkowe opłaty</w:t>
            </w:r>
            <w:r>
              <w:rPr>
                <w:rFonts w:ascii="Times New Roman" w:hAnsi="Times New Roman"/>
                <w:color w:val="000000"/>
              </w:rPr>
              <w:t xml:space="preserve"> za wpis do rejestru oraz opłaty </w:t>
            </w:r>
            <w:r w:rsidR="000D4163">
              <w:rPr>
                <w:rFonts w:ascii="Times New Roman" w:hAnsi="Times New Roman"/>
                <w:color w:val="000000"/>
              </w:rPr>
              <w:t xml:space="preserve">roczne </w:t>
            </w:r>
            <w:r>
              <w:rPr>
                <w:rFonts w:ascii="Times New Roman" w:hAnsi="Times New Roman"/>
                <w:color w:val="000000"/>
              </w:rPr>
              <w:t>z tytułu działalności transgranicznej</w:t>
            </w:r>
            <w:r w:rsidRPr="00F936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związanej ze zbiorowym inwestowaniem</w:t>
            </w:r>
            <w:r w:rsidR="00424E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4F8" w:rsidRPr="008B4FE6" w14:paraId="7FB8CFFD" w14:textId="3704B0B6" w:rsidTr="00F43ADF">
        <w:trPr>
          <w:gridAfter w:val="1"/>
          <w:wAfter w:w="63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E68A619" w14:textId="77777777" w:rsidR="009004F8" w:rsidRPr="008B4FE6" w:rsidRDefault="009004F8" w:rsidP="009004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9004F8" w:rsidRPr="008B4FE6" w14:paraId="52733A54" w14:textId="4D4BED80" w:rsidTr="00C2021A">
        <w:trPr>
          <w:gridAfter w:val="1"/>
          <w:wAfter w:w="63" w:type="dxa"/>
          <w:trHeight w:val="342"/>
        </w:trPr>
        <w:tc>
          <w:tcPr>
            <w:tcW w:w="10937" w:type="dxa"/>
            <w:gridSpan w:val="29"/>
            <w:shd w:val="clear" w:color="auto" w:fill="auto"/>
          </w:tcPr>
          <w:p w14:paraId="701024FA" w14:textId="2B3EC925" w:rsidR="009004F8" w:rsidRDefault="009004F8" w:rsidP="009004F8">
            <w:pPr>
              <w:spacing w:before="120" w:line="240" w:lineRule="auto"/>
              <w:ind w:left="-34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2837B5">
              <w:rPr>
                <w:rFonts w:ascii="Times New Roman" w:hAnsi="Times New Roman"/>
                <w:noProof/>
                <w:color w:val="000000"/>
              </w:rPr>
              <w:t>Nie prowadzono konsultacji poprzedzających przygot</w:t>
            </w:r>
            <w:r>
              <w:rPr>
                <w:rFonts w:ascii="Times New Roman" w:hAnsi="Times New Roman"/>
                <w:noProof/>
                <w:color w:val="000000"/>
              </w:rPr>
              <w:t>owanie projektu Rozporządzenia.</w:t>
            </w:r>
          </w:p>
          <w:p w14:paraId="366785A1" w14:textId="3625F87B" w:rsidR="009004F8" w:rsidRDefault="009004F8" w:rsidP="009004F8">
            <w:pPr>
              <w:spacing w:before="120" w:line="240" w:lineRule="auto"/>
              <w:ind w:left="-34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3256DF">
              <w:rPr>
                <w:rFonts w:ascii="Times New Roman" w:hAnsi="Times New Roman"/>
                <w:noProof/>
                <w:color w:val="000000"/>
              </w:rPr>
              <w:t xml:space="preserve">Projekt rozporządzenia </w:t>
            </w:r>
            <w:r>
              <w:rPr>
                <w:rFonts w:ascii="Times New Roman" w:hAnsi="Times New Roman"/>
                <w:noProof/>
                <w:color w:val="000000"/>
              </w:rPr>
              <w:t>będzie</w:t>
            </w:r>
            <w:r w:rsidRPr="003256DF">
              <w:rPr>
                <w:rFonts w:ascii="Times New Roman" w:hAnsi="Times New Roman"/>
                <w:noProof/>
                <w:color w:val="000000"/>
              </w:rPr>
              <w:t xml:space="preserve"> przedmiotem konsultacji publicznych i opiniowania</w:t>
            </w:r>
            <w:r>
              <w:rPr>
                <w:rFonts w:ascii="Times New Roman" w:hAnsi="Times New Roman"/>
                <w:noProof/>
                <w:color w:val="000000"/>
              </w:rPr>
              <w:t>,</w:t>
            </w:r>
            <w:r w:rsidRPr="003256DF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w ramach których </w:t>
            </w:r>
            <w:r w:rsidR="000D4163">
              <w:rPr>
                <w:rFonts w:ascii="Times New Roman" w:hAnsi="Times New Roman"/>
                <w:noProof/>
                <w:color w:val="000000"/>
              </w:rPr>
              <w:t xml:space="preserve">projekt 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zostanie przedstawiony m.in. </w:t>
            </w:r>
            <w:r w:rsidRPr="007B30D2">
              <w:rPr>
                <w:rFonts w:ascii="Times New Roman" w:hAnsi="Times New Roman"/>
                <w:noProof/>
                <w:color w:val="000000"/>
              </w:rPr>
              <w:t>Komisj</w:t>
            </w:r>
            <w:r>
              <w:rPr>
                <w:rFonts w:ascii="Times New Roman" w:hAnsi="Times New Roman"/>
                <w:noProof/>
                <w:color w:val="000000"/>
              </w:rPr>
              <w:t>i</w:t>
            </w:r>
            <w:r w:rsidRPr="007B30D2">
              <w:rPr>
                <w:rFonts w:ascii="Times New Roman" w:hAnsi="Times New Roman"/>
                <w:noProof/>
                <w:color w:val="000000"/>
              </w:rPr>
              <w:t xml:space="preserve"> Nadzoru Finansowego, Narodow</w:t>
            </w:r>
            <w:r>
              <w:rPr>
                <w:rFonts w:ascii="Times New Roman" w:hAnsi="Times New Roman"/>
                <w:noProof/>
                <w:color w:val="000000"/>
              </w:rPr>
              <w:t>emu</w:t>
            </w:r>
            <w:r w:rsidRPr="007B30D2">
              <w:rPr>
                <w:rFonts w:ascii="Times New Roman" w:hAnsi="Times New Roman"/>
                <w:noProof/>
                <w:color w:val="000000"/>
              </w:rPr>
              <w:t xml:space="preserve"> Ban</w:t>
            </w:r>
            <w:r>
              <w:rPr>
                <w:rFonts w:ascii="Times New Roman" w:hAnsi="Times New Roman"/>
                <w:noProof/>
                <w:color w:val="000000"/>
              </w:rPr>
              <w:t>kowi</w:t>
            </w:r>
            <w:r w:rsidRPr="007B30D2">
              <w:rPr>
                <w:rFonts w:ascii="Times New Roman" w:hAnsi="Times New Roman"/>
                <w:noProof/>
                <w:color w:val="000000"/>
              </w:rPr>
              <w:t xml:space="preserve"> Polski</w:t>
            </w:r>
            <w:r>
              <w:rPr>
                <w:rFonts w:ascii="Times New Roman" w:hAnsi="Times New Roman"/>
                <w:noProof/>
                <w:color w:val="000000"/>
              </w:rPr>
              <w:t>emu</w:t>
            </w:r>
            <w:r w:rsidRPr="007B30D2">
              <w:rPr>
                <w:rFonts w:ascii="Times New Roman" w:hAnsi="Times New Roman"/>
                <w:noProof/>
                <w:color w:val="000000"/>
              </w:rPr>
              <w:t>,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Bankowemu Funduszowi Gwarancyjnemu,</w:t>
            </w:r>
            <w:r w:rsidRPr="007B30D2">
              <w:rPr>
                <w:rFonts w:ascii="Times New Roman" w:hAnsi="Times New Roman"/>
                <w:noProof/>
                <w:color w:val="000000"/>
              </w:rPr>
              <w:t xml:space="preserve"> Urz</w:t>
            </w:r>
            <w:r>
              <w:rPr>
                <w:rFonts w:ascii="Times New Roman" w:hAnsi="Times New Roman"/>
                <w:noProof/>
                <w:color w:val="000000"/>
              </w:rPr>
              <w:t>ą</w:t>
            </w:r>
            <w:r w:rsidRPr="007B30D2">
              <w:rPr>
                <w:rFonts w:ascii="Times New Roman" w:hAnsi="Times New Roman"/>
                <w:noProof/>
                <w:color w:val="000000"/>
              </w:rPr>
              <w:t>d</w:t>
            </w:r>
            <w:r>
              <w:rPr>
                <w:rFonts w:ascii="Times New Roman" w:hAnsi="Times New Roman"/>
                <w:noProof/>
                <w:color w:val="000000"/>
              </w:rPr>
              <w:t>owi</w:t>
            </w:r>
            <w:r w:rsidRPr="007B30D2">
              <w:rPr>
                <w:rFonts w:ascii="Times New Roman" w:hAnsi="Times New Roman"/>
                <w:noProof/>
                <w:color w:val="000000"/>
              </w:rPr>
              <w:t xml:space="preserve"> Ochrony Konkurencji i Konsumentów, </w:t>
            </w:r>
            <w:r w:rsidRPr="00321212">
              <w:rPr>
                <w:rFonts w:ascii="Times New Roman" w:hAnsi="Times New Roman"/>
                <w:noProof/>
                <w:color w:val="000000"/>
              </w:rPr>
              <w:t>Najwyższej  Izb</w:t>
            </w:r>
            <w:r>
              <w:rPr>
                <w:rFonts w:ascii="Times New Roman" w:hAnsi="Times New Roman"/>
                <w:noProof/>
                <w:color w:val="000000"/>
              </w:rPr>
              <w:t>ie</w:t>
            </w:r>
            <w:r w:rsidRPr="00321212">
              <w:rPr>
                <w:rFonts w:ascii="Times New Roman" w:hAnsi="Times New Roman"/>
                <w:noProof/>
                <w:color w:val="000000"/>
              </w:rPr>
              <w:t xml:space="preserve">  Kontroli,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321212">
              <w:rPr>
                <w:rFonts w:ascii="Times New Roman" w:hAnsi="Times New Roman"/>
                <w:noProof/>
                <w:color w:val="000000"/>
              </w:rPr>
              <w:t>Rzecznikowi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321212">
              <w:rPr>
                <w:rFonts w:ascii="Times New Roman" w:hAnsi="Times New Roman"/>
                <w:noProof/>
                <w:color w:val="000000"/>
              </w:rPr>
              <w:t>Praw Obywatelskich,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321212">
              <w:rPr>
                <w:rFonts w:ascii="Times New Roman" w:hAnsi="Times New Roman"/>
                <w:noProof/>
                <w:color w:val="000000"/>
              </w:rPr>
              <w:t>Głównemu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321212">
              <w:rPr>
                <w:rFonts w:ascii="Times New Roman" w:hAnsi="Times New Roman"/>
                <w:noProof/>
                <w:color w:val="000000"/>
              </w:rPr>
              <w:t>Urzędowi Statystycznemu,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321212">
              <w:rPr>
                <w:rFonts w:ascii="Times New Roman" w:hAnsi="Times New Roman"/>
                <w:noProof/>
                <w:color w:val="000000"/>
              </w:rPr>
              <w:t>Prok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uratorii </w:t>
            </w:r>
            <w:r w:rsidRPr="00321212">
              <w:rPr>
                <w:rFonts w:ascii="Times New Roman" w:hAnsi="Times New Roman"/>
                <w:noProof/>
                <w:color w:val="000000"/>
              </w:rPr>
              <w:t xml:space="preserve">Generalnej </w:t>
            </w:r>
            <w:r>
              <w:rPr>
                <w:rFonts w:ascii="Times New Roman" w:hAnsi="Times New Roman"/>
                <w:noProof/>
                <w:color w:val="000000"/>
              </w:rPr>
              <w:t>Rzeczypospolitej Polskiej</w:t>
            </w:r>
            <w:r w:rsidRPr="00321212">
              <w:rPr>
                <w:rFonts w:ascii="Times New Roman" w:hAnsi="Times New Roman"/>
                <w:noProof/>
                <w:color w:val="000000"/>
              </w:rPr>
              <w:t xml:space="preserve">, 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Prezesowi Urzędu </w:t>
            </w:r>
            <w:r w:rsidRPr="00321212">
              <w:rPr>
                <w:rFonts w:ascii="Times New Roman" w:hAnsi="Times New Roman"/>
                <w:noProof/>
                <w:color w:val="000000"/>
              </w:rPr>
              <w:t>Ochrony Danych Osobowych, Związkowi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321212">
              <w:rPr>
                <w:rFonts w:ascii="Times New Roman" w:hAnsi="Times New Roman"/>
                <w:noProof/>
                <w:color w:val="000000"/>
              </w:rPr>
              <w:t>Banków Polskich, Krajowemu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321212">
              <w:rPr>
                <w:rFonts w:ascii="Times New Roman" w:hAnsi="Times New Roman"/>
                <w:noProof/>
                <w:color w:val="000000"/>
              </w:rPr>
              <w:t>Związkowi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321212">
              <w:rPr>
                <w:rFonts w:ascii="Times New Roman" w:hAnsi="Times New Roman"/>
                <w:noProof/>
                <w:color w:val="000000"/>
              </w:rPr>
              <w:t>Banków Spółdzielczych,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7B30D2">
              <w:rPr>
                <w:rFonts w:ascii="Times New Roman" w:hAnsi="Times New Roman"/>
                <w:noProof/>
                <w:color w:val="000000"/>
              </w:rPr>
              <w:t>Rzeczni</w:t>
            </w:r>
            <w:r>
              <w:rPr>
                <w:rFonts w:ascii="Times New Roman" w:hAnsi="Times New Roman"/>
                <w:noProof/>
                <w:color w:val="000000"/>
              </w:rPr>
              <w:t>kowi</w:t>
            </w:r>
            <w:r w:rsidRPr="007B30D2">
              <w:rPr>
                <w:rFonts w:ascii="Times New Roman" w:hAnsi="Times New Roman"/>
                <w:noProof/>
                <w:color w:val="000000"/>
              </w:rPr>
              <w:t xml:space="preserve"> Finansowe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mu, 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Giełdzie Papierów Wartościowych SA, BondSpot S</w:t>
            </w:r>
            <w:r w:rsidR="000D4163">
              <w:rPr>
                <w:rFonts w:ascii="Times New Roman" w:hAnsi="Times New Roman"/>
                <w:noProof/>
                <w:color w:val="000000"/>
              </w:rPr>
              <w:t>.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A</w:t>
            </w:r>
            <w:r w:rsidR="00424E5D">
              <w:rPr>
                <w:rFonts w:ascii="Times New Roman" w:hAnsi="Times New Roman"/>
                <w:noProof/>
                <w:color w:val="000000"/>
              </w:rPr>
              <w:t>.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, Krajowemu Depozytowi Papierów Wartościowych S</w:t>
            </w:r>
            <w:r w:rsidR="000D4163">
              <w:rPr>
                <w:rFonts w:ascii="Times New Roman" w:hAnsi="Times New Roman"/>
                <w:noProof/>
                <w:color w:val="000000"/>
              </w:rPr>
              <w:t>.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A</w:t>
            </w:r>
            <w:r w:rsidR="000D4163">
              <w:rPr>
                <w:rFonts w:ascii="Times New Roman" w:hAnsi="Times New Roman"/>
                <w:noProof/>
                <w:color w:val="000000"/>
              </w:rPr>
              <w:t>.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, Izbie Domów Maklerskich, Izbie Zarządzających Funduszami i Aktywami, Związkowi Banków Polskich, Radzie Banków Depozytariuszy, Stowarzyszeniu Emitentów Giełdowych,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2837B5">
              <w:rPr>
                <w:rFonts w:ascii="Times New Roman" w:hAnsi="Times New Roman"/>
                <w:noProof/>
                <w:color w:val="000000"/>
              </w:rPr>
              <w:t xml:space="preserve">Izbie Rozliczeniowej Giełd Towarowych, Stowarzyszeniu Inwestorów Indywidualnych, Związkowi Maklerów i Doradców, Polskiemu Stowarzyszeniu Inwestorów Kapitałowych, </w:t>
            </w:r>
            <w:r>
              <w:rPr>
                <w:rFonts w:ascii="Times New Roman" w:hAnsi="Times New Roman"/>
                <w:noProof/>
                <w:color w:val="000000"/>
              </w:rPr>
              <w:t>CFA Society Poland</w:t>
            </w:r>
            <w:r w:rsidRPr="002837B5">
              <w:rPr>
                <w:rFonts w:ascii="Times New Roman" w:hAnsi="Times New Roman"/>
                <w:noProof/>
                <w:color w:val="000000"/>
              </w:rPr>
              <w:t>, Fede</w:t>
            </w:r>
            <w:r>
              <w:rPr>
                <w:rFonts w:ascii="Times New Roman" w:hAnsi="Times New Roman"/>
                <w:noProof/>
                <w:color w:val="000000"/>
              </w:rPr>
              <w:t>racji Przedsiębiorców Polskich, Związkowi Przedsiębiorców Finansowych w Polsce oraz Stowarzyszeniu Rynków Finansowych ACI Polska.</w:t>
            </w:r>
          </w:p>
          <w:p w14:paraId="7443A9DB" w14:textId="06F7BBAD" w:rsidR="00C2021A" w:rsidRDefault="009004F8" w:rsidP="00C2021A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Przewiduje się </w:t>
            </w:r>
            <w:r w:rsidR="00C2021A">
              <w:rPr>
                <w:rFonts w:ascii="Times New Roman" w:hAnsi="Times New Roman"/>
                <w:color w:val="000000"/>
                <w:spacing w:val="-2"/>
              </w:rPr>
              <w:t>7</w:t>
            </w:r>
            <w:r>
              <w:rPr>
                <w:rFonts w:ascii="Times New Roman" w:hAnsi="Times New Roman"/>
                <w:color w:val="000000"/>
                <w:spacing w:val="-2"/>
              </w:rPr>
              <w:t>–dniowy termin na zgłaszanie uwag</w:t>
            </w:r>
            <w:r w:rsidR="00C2021A">
              <w:rPr>
                <w:rFonts w:ascii="Times New Roman" w:hAnsi="Times New Roman"/>
                <w:color w:val="000000"/>
                <w:spacing w:val="-2"/>
              </w:rPr>
              <w:t xml:space="preserve"> z uwagi na pilną konieczność wejścia w życie przedmiotowej regulacji z dniem 1 stycznia 2021 r.</w:t>
            </w:r>
          </w:p>
          <w:p w14:paraId="3C7E403D" w14:textId="68E791A5" w:rsidR="009004F8" w:rsidRPr="00A25BBB" w:rsidRDefault="009004F8" w:rsidP="00C2021A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004F8" w:rsidRPr="008B4FE6" w14:paraId="4D9BF63B" w14:textId="5A65B8C7" w:rsidTr="00F43ADF">
        <w:trPr>
          <w:gridAfter w:val="1"/>
          <w:wAfter w:w="63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9917E03" w14:textId="77777777" w:rsidR="009004F8" w:rsidRPr="008B4FE6" w:rsidRDefault="009004F8" w:rsidP="009004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9004F8" w:rsidRPr="008B4FE6" w14:paraId="1C018CBE" w14:textId="77777777" w:rsidTr="00F43ADF">
        <w:trPr>
          <w:gridAfter w:val="1"/>
          <w:wAfter w:w="63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auto"/>
          </w:tcPr>
          <w:p w14:paraId="734217A9" w14:textId="77777777" w:rsidR="009004F8" w:rsidRPr="00C53F26" w:rsidRDefault="009004F8" w:rsidP="009004F8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auto"/>
          </w:tcPr>
          <w:p w14:paraId="4992B39E" w14:textId="5E710A0D" w:rsidR="009004F8" w:rsidRPr="00C53F26" w:rsidRDefault="009004F8" w:rsidP="009004F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9004F8" w:rsidRPr="008B4FE6" w14:paraId="4B866D29" w14:textId="77777777" w:rsidTr="00F43ADF">
        <w:trPr>
          <w:gridAfter w:val="1"/>
          <w:wAfter w:w="63" w:type="dxa"/>
          <w:trHeight w:val="142"/>
        </w:trPr>
        <w:tc>
          <w:tcPr>
            <w:tcW w:w="3133" w:type="dxa"/>
            <w:gridSpan w:val="4"/>
            <w:vMerge/>
            <w:shd w:val="clear" w:color="auto" w:fill="auto"/>
          </w:tcPr>
          <w:p w14:paraId="02810E6C" w14:textId="77777777" w:rsidR="009004F8" w:rsidRPr="00C53F26" w:rsidRDefault="009004F8" w:rsidP="009004F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14:paraId="2C12FDF5" w14:textId="77777777" w:rsidR="009004F8" w:rsidRPr="00C53F26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FA566BC" w14:textId="77777777" w:rsidR="009004F8" w:rsidRPr="00C53F26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7633D1F" w14:textId="77777777" w:rsidR="009004F8" w:rsidRPr="00C53F26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52CADCB" w14:textId="77777777" w:rsidR="009004F8" w:rsidRPr="00C53F26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E14354A" w14:textId="77777777" w:rsidR="009004F8" w:rsidRPr="00C53F26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784D2B20" w14:textId="77777777" w:rsidR="009004F8" w:rsidRPr="00C53F26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437C6342" w14:textId="77777777" w:rsidR="009004F8" w:rsidRPr="00C53F26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15F8C5E7" w14:textId="77777777" w:rsidR="009004F8" w:rsidRPr="00C53F26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3CCEA1E" w14:textId="77777777" w:rsidR="009004F8" w:rsidRPr="00C53F26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73E210A" w14:textId="77777777" w:rsidR="009004F8" w:rsidRPr="00C53F26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14:paraId="558679E9" w14:textId="77777777" w:rsidR="009004F8" w:rsidRPr="00C53F26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auto"/>
          </w:tcPr>
          <w:p w14:paraId="22FFD476" w14:textId="77777777" w:rsidR="009004F8" w:rsidRPr="00C53F26" w:rsidRDefault="009004F8" w:rsidP="009004F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9004F8" w:rsidRPr="008B4FE6" w14:paraId="47447C10" w14:textId="77777777" w:rsidTr="00F43ADF">
        <w:trPr>
          <w:gridAfter w:val="3"/>
          <w:wAfter w:w="1589" w:type="dxa"/>
          <w:trHeight w:val="321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7F16A3DE" w14:textId="77777777" w:rsidR="009004F8" w:rsidRPr="00C53F2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2998405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66A7DC5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E67D31E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201B1D1D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B3894B6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54ADE647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2E681BAB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6AFA3BD8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CD6CDAC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79D113A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5FAAE4CA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004F8" w:rsidRPr="008B4FE6" w14:paraId="220B0CD5" w14:textId="77777777" w:rsidTr="00F43ADF">
        <w:trPr>
          <w:gridAfter w:val="3"/>
          <w:wAfter w:w="1589" w:type="dxa"/>
          <w:trHeight w:val="321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29585864" w14:textId="77777777" w:rsidR="009004F8" w:rsidRPr="00C53F2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D43C15B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B5D8F68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F537054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3F0947EB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218D085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6D046976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5D4ECA54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32B4D919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EF97317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2C11F7C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65E1A1A0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004F8" w:rsidRPr="008B4FE6" w14:paraId="49576DC9" w14:textId="77777777" w:rsidTr="00F43ADF">
        <w:trPr>
          <w:gridAfter w:val="3"/>
          <w:wAfter w:w="1589" w:type="dxa"/>
          <w:trHeight w:val="344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1CF81109" w14:textId="77777777" w:rsidR="009004F8" w:rsidRPr="00C53F2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73B24EF2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A8BA176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9BDF5F8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07921D97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B85CBF4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26EDF58E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11F21EFB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109B4739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008067D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EEDA667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3E1591B6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004F8" w:rsidRPr="008B4FE6" w14:paraId="31495990" w14:textId="77777777" w:rsidTr="00F43ADF">
        <w:trPr>
          <w:gridAfter w:val="3"/>
          <w:wAfter w:w="1589" w:type="dxa"/>
          <w:trHeight w:val="344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3A1B90E3" w14:textId="77777777" w:rsidR="009004F8" w:rsidRPr="00C53F2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4E921846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5BA1E07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01EE242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1BDAF783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A5627E5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164544BA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7A6A4073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59377469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F79CB11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E702CBC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7070EECD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004F8" w:rsidRPr="008B4FE6" w14:paraId="12F39DA1" w14:textId="77777777" w:rsidTr="00F43ADF">
        <w:trPr>
          <w:gridAfter w:val="3"/>
          <w:wAfter w:w="1589" w:type="dxa"/>
          <w:trHeight w:val="330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65FDC9F8" w14:textId="77777777" w:rsidR="009004F8" w:rsidRPr="00C53F2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543A1512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347358B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DDE05D0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991E11D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C760CBE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07D3D4EE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649C6455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5EC201B8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3C8DED0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C18ABC6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3982BF72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004F8" w:rsidRPr="008B4FE6" w14:paraId="62B4968C" w14:textId="77777777" w:rsidTr="00F43ADF">
        <w:trPr>
          <w:gridAfter w:val="3"/>
          <w:wAfter w:w="1589" w:type="dxa"/>
          <w:trHeight w:val="330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26F2E3A2" w14:textId="77777777" w:rsidR="009004F8" w:rsidRPr="00C53F2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4F1395E4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D6A3614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EA96679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33CCF531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8E72C58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379D1A1D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20FFA4D3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0A6307C6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42DF799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28052B1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4FF12D49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004F8" w:rsidRPr="008B4FE6" w14:paraId="4148060C" w14:textId="77777777" w:rsidTr="00F43ADF">
        <w:trPr>
          <w:gridAfter w:val="3"/>
          <w:wAfter w:w="1589" w:type="dxa"/>
          <w:trHeight w:val="351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450056E5" w14:textId="77777777" w:rsidR="009004F8" w:rsidRPr="00C53F2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9126775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217CC4C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6053C74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01ECF481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A6C9B7A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33959461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0C6A1DCA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5E058BF9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5D7B523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F4CC5DA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0F4EF046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004F8" w:rsidRPr="008B4FE6" w14:paraId="546E46B0" w14:textId="77777777" w:rsidTr="00F43ADF">
        <w:trPr>
          <w:gridAfter w:val="3"/>
          <w:wAfter w:w="1589" w:type="dxa"/>
          <w:trHeight w:val="351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031CCB96" w14:textId="77777777" w:rsidR="009004F8" w:rsidRPr="00C53F2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02BAE913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78C3E7E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A464847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354F9C31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A27D9D1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75DC14D8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17188E38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2414B59D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9881583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4AE1564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257745CB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004F8" w:rsidRPr="008B4FE6" w14:paraId="7D9E6BC1" w14:textId="77777777" w:rsidTr="00F43ADF">
        <w:trPr>
          <w:gridAfter w:val="3"/>
          <w:wAfter w:w="1589" w:type="dxa"/>
          <w:trHeight w:val="360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259AB1F8" w14:textId="77777777" w:rsidR="009004F8" w:rsidRPr="00C53F2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AAA3D61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0017440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2D59610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16EAC359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754F783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21A82FB0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4C3A3746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0674514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4D20980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8C34971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06E55B02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004F8" w:rsidRPr="008B4FE6" w14:paraId="13F3A7F4" w14:textId="77777777" w:rsidTr="00F43ADF">
        <w:trPr>
          <w:gridAfter w:val="3"/>
          <w:wAfter w:w="1589" w:type="dxa"/>
          <w:trHeight w:val="360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4198B48A" w14:textId="77777777" w:rsidR="009004F8" w:rsidRPr="00C53F2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1A52DB7E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7BB1D94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06AA86E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6CC72ED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C61EEAD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740E30FF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5F7A91C8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C379C44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C72CB25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AE840C0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1B08FEC3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004F8" w:rsidRPr="008B4FE6" w14:paraId="489C4AF8" w14:textId="77777777" w:rsidTr="00F43ADF">
        <w:trPr>
          <w:gridAfter w:val="3"/>
          <w:wAfter w:w="1589" w:type="dxa"/>
          <w:trHeight w:val="357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057EE5E7" w14:textId="77777777" w:rsidR="009004F8" w:rsidRPr="00C53F2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7046937A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E9490E0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486CE66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42A8DD8C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3480A11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5DB70F95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52DDA610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1C3892F9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16B2828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6F06E3B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10C1B643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004F8" w:rsidRPr="008B4FE6" w14:paraId="01F933C2" w14:textId="77777777" w:rsidTr="00F43ADF">
        <w:trPr>
          <w:gridAfter w:val="3"/>
          <w:wAfter w:w="1589" w:type="dxa"/>
          <w:trHeight w:val="357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2EF4D899" w14:textId="77777777" w:rsidR="009004F8" w:rsidRPr="00C53F2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02262A85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D39E7FE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185AD2F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00518723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2B9EE3C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41F54BCA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7A695AEC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36D20812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28C6997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FBB9188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69CAF9C7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004F8" w:rsidRPr="008B4FE6" w14:paraId="580E7A70" w14:textId="77777777" w:rsidTr="00C2021A">
        <w:trPr>
          <w:gridAfter w:val="1"/>
          <w:wAfter w:w="63" w:type="dxa"/>
          <w:trHeight w:val="348"/>
        </w:trPr>
        <w:tc>
          <w:tcPr>
            <w:tcW w:w="2243" w:type="dxa"/>
            <w:gridSpan w:val="2"/>
            <w:shd w:val="clear" w:color="auto" w:fill="auto"/>
            <w:vAlign w:val="center"/>
          </w:tcPr>
          <w:p w14:paraId="50434C47" w14:textId="77777777" w:rsidR="009004F8" w:rsidRPr="00C53F2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auto"/>
            <w:vAlign w:val="center"/>
          </w:tcPr>
          <w:p w14:paraId="40D21F7B" w14:textId="319B83FE" w:rsidR="009004F8" w:rsidRPr="007273AF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67DDF">
              <w:rPr>
                <w:rFonts w:ascii="Times New Roman" w:hAnsi="Times New Roman"/>
                <w:color w:val="000000"/>
              </w:rPr>
              <w:t>Wejście w życie rozporządzenia nie będzie miało wpływu na dochody i wydatki sektora finansów publicznych.</w:t>
            </w:r>
          </w:p>
        </w:tc>
      </w:tr>
      <w:tr w:rsidR="009004F8" w:rsidRPr="008B4FE6" w14:paraId="6F39F701" w14:textId="77777777" w:rsidTr="00F43ADF">
        <w:trPr>
          <w:gridAfter w:val="1"/>
          <w:wAfter w:w="63" w:type="dxa"/>
          <w:trHeight w:val="1314"/>
        </w:trPr>
        <w:tc>
          <w:tcPr>
            <w:tcW w:w="2243" w:type="dxa"/>
            <w:gridSpan w:val="2"/>
            <w:shd w:val="clear" w:color="auto" w:fill="auto"/>
          </w:tcPr>
          <w:p w14:paraId="3E7C02D7" w14:textId="77777777" w:rsidR="009004F8" w:rsidRPr="00C53F26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auto"/>
          </w:tcPr>
          <w:p w14:paraId="3685B804" w14:textId="77777777" w:rsidR="009004F8" w:rsidRDefault="009004F8" w:rsidP="009004F8">
            <w:pPr>
              <w:spacing w:before="120" w:after="120" w:line="240" w:lineRule="auto"/>
              <w:ind w:left="-3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2F136FD" w14:textId="77777777" w:rsidR="009004F8" w:rsidRDefault="009004F8" w:rsidP="009004F8">
            <w:pPr>
              <w:spacing w:before="120" w:after="120" w:line="240" w:lineRule="auto"/>
              <w:ind w:left="-3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AD750F7" w14:textId="77777777" w:rsidR="009004F8" w:rsidRDefault="009004F8" w:rsidP="009004F8">
            <w:pPr>
              <w:spacing w:before="120" w:after="120" w:line="240" w:lineRule="auto"/>
              <w:ind w:left="-3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149F163" w14:textId="77777777" w:rsidR="009004F8" w:rsidRDefault="009004F8" w:rsidP="009004F8">
            <w:pPr>
              <w:spacing w:before="120" w:after="120" w:line="240" w:lineRule="auto"/>
              <w:ind w:left="-3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CBE651E" w14:textId="77777777" w:rsidR="009004F8" w:rsidRPr="00C53F26" w:rsidRDefault="009004F8" w:rsidP="009004F8">
            <w:pPr>
              <w:spacing w:before="120" w:after="120" w:line="240" w:lineRule="auto"/>
              <w:ind w:left="-3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004F8" w:rsidRPr="008B4FE6" w14:paraId="47D6529A" w14:textId="77777777" w:rsidTr="00F43ADF">
        <w:trPr>
          <w:gridAfter w:val="1"/>
          <w:wAfter w:w="63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DC5C9AA" w14:textId="77777777" w:rsidR="009004F8" w:rsidRPr="008B4FE6" w:rsidRDefault="009004F8" w:rsidP="009004F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9004F8" w:rsidRPr="008B4FE6" w14:paraId="1DAEFAC1" w14:textId="77777777" w:rsidTr="00F43ADF">
        <w:trPr>
          <w:gridAfter w:val="1"/>
          <w:wAfter w:w="63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42BC19B" w14:textId="77777777" w:rsidR="009004F8" w:rsidRPr="00301959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9004F8" w:rsidRPr="008B4FE6" w14:paraId="6FA40314" w14:textId="77777777" w:rsidTr="00F43ADF">
        <w:trPr>
          <w:gridAfter w:val="1"/>
          <w:wAfter w:w="63" w:type="dxa"/>
          <w:trHeight w:val="142"/>
        </w:trPr>
        <w:tc>
          <w:tcPr>
            <w:tcW w:w="3889" w:type="dxa"/>
            <w:gridSpan w:val="7"/>
            <w:shd w:val="clear" w:color="auto" w:fill="auto"/>
          </w:tcPr>
          <w:p w14:paraId="5CD66E5E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2954E517" w14:textId="77777777" w:rsidR="009004F8" w:rsidRPr="00301959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auto"/>
          </w:tcPr>
          <w:p w14:paraId="38E56E22" w14:textId="77777777" w:rsidR="009004F8" w:rsidRPr="00301959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auto"/>
          </w:tcPr>
          <w:p w14:paraId="54BEF2D4" w14:textId="77777777" w:rsidR="009004F8" w:rsidRPr="00301959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auto"/>
          </w:tcPr>
          <w:p w14:paraId="3C769F1C" w14:textId="77777777" w:rsidR="009004F8" w:rsidRPr="00301959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auto"/>
          </w:tcPr>
          <w:p w14:paraId="2DC2C4D2" w14:textId="77777777" w:rsidR="009004F8" w:rsidRPr="00301959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2405895A" w14:textId="77777777" w:rsidR="009004F8" w:rsidRPr="00301959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auto"/>
          </w:tcPr>
          <w:p w14:paraId="03730C1A" w14:textId="77777777" w:rsidR="009004F8" w:rsidRPr="001B3460" w:rsidRDefault="009004F8" w:rsidP="009004F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9004F8" w:rsidRPr="008B4FE6" w14:paraId="34D9FC7C" w14:textId="77777777" w:rsidTr="00F43ADF">
        <w:trPr>
          <w:gridAfter w:val="1"/>
          <w:wAfter w:w="63" w:type="dxa"/>
          <w:trHeight w:val="142"/>
        </w:trPr>
        <w:tc>
          <w:tcPr>
            <w:tcW w:w="1596" w:type="dxa"/>
            <w:vMerge w:val="restart"/>
            <w:shd w:val="clear" w:color="auto" w:fill="auto"/>
          </w:tcPr>
          <w:p w14:paraId="02171AF8" w14:textId="77777777" w:rsidR="009004F8" w:rsidRDefault="009004F8" w:rsidP="009004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B724395" w14:textId="77777777" w:rsidR="009004F8" w:rsidRDefault="009004F8" w:rsidP="009004F8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9977A67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433FB901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7EA9314D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auto"/>
          </w:tcPr>
          <w:p w14:paraId="3BD5644A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auto"/>
          </w:tcPr>
          <w:p w14:paraId="0475348B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auto"/>
          </w:tcPr>
          <w:p w14:paraId="1F6D5AD1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auto"/>
          </w:tcPr>
          <w:p w14:paraId="4141BEBF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123F6F6B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14:paraId="26A22108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004F8" w:rsidRPr="008B4FE6" w14:paraId="39390D17" w14:textId="77777777" w:rsidTr="00F43ADF">
        <w:trPr>
          <w:gridAfter w:val="1"/>
          <w:wAfter w:w="63" w:type="dxa"/>
          <w:trHeight w:val="142"/>
        </w:trPr>
        <w:tc>
          <w:tcPr>
            <w:tcW w:w="1596" w:type="dxa"/>
            <w:vMerge/>
            <w:shd w:val="clear" w:color="auto" w:fill="auto"/>
          </w:tcPr>
          <w:p w14:paraId="29B7ECF3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100A0032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6AB63070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auto"/>
          </w:tcPr>
          <w:p w14:paraId="6A6D3451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auto"/>
          </w:tcPr>
          <w:p w14:paraId="7A7CFC63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auto"/>
          </w:tcPr>
          <w:p w14:paraId="27EB5090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auto"/>
          </w:tcPr>
          <w:p w14:paraId="097E5BB0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4F902B54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14:paraId="68DB1ECA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004F8" w:rsidRPr="008B4FE6" w14:paraId="687BAC44" w14:textId="77777777" w:rsidTr="00F43ADF">
        <w:trPr>
          <w:gridAfter w:val="1"/>
          <w:wAfter w:w="63" w:type="dxa"/>
          <w:trHeight w:val="142"/>
        </w:trPr>
        <w:tc>
          <w:tcPr>
            <w:tcW w:w="1596" w:type="dxa"/>
            <w:vMerge/>
            <w:shd w:val="clear" w:color="auto" w:fill="auto"/>
          </w:tcPr>
          <w:p w14:paraId="5CB7FFCC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19DD2A26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54A6C301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auto"/>
          </w:tcPr>
          <w:p w14:paraId="1C93D6FB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auto"/>
          </w:tcPr>
          <w:p w14:paraId="6EAB17F3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auto"/>
          </w:tcPr>
          <w:p w14:paraId="34C2AB08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auto"/>
          </w:tcPr>
          <w:p w14:paraId="2B281F29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D4025C9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14:paraId="60F66B35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004F8" w:rsidRPr="008B4FE6" w14:paraId="7DF7F9BB" w14:textId="77777777" w:rsidTr="00F43ADF">
        <w:trPr>
          <w:gridAfter w:val="1"/>
          <w:wAfter w:w="63" w:type="dxa"/>
          <w:trHeight w:val="142"/>
        </w:trPr>
        <w:tc>
          <w:tcPr>
            <w:tcW w:w="1596" w:type="dxa"/>
            <w:vMerge w:val="restart"/>
            <w:shd w:val="clear" w:color="auto" w:fill="auto"/>
          </w:tcPr>
          <w:p w14:paraId="6B8C88A3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0962D08D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auto"/>
          </w:tcPr>
          <w:p w14:paraId="2EE7641A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</w:p>
        </w:tc>
      </w:tr>
      <w:tr w:rsidR="009004F8" w:rsidRPr="008B4FE6" w14:paraId="4745F55C" w14:textId="77777777" w:rsidTr="00F43ADF">
        <w:trPr>
          <w:gridAfter w:val="1"/>
          <w:wAfter w:w="63" w:type="dxa"/>
          <w:trHeight w:val="142"/>
        </w:trPr>
        <w:tc>
          <w:tcPr>
            <w:tcW w:w="1596" w:type="dxa"/>
            <w:vMerge/>
            <w:shd w:val="clear" w:color="auto" w:fill="auto"/>
          </w:tcPr>
          <w:p w14:paraId="2D34754B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5084898C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auto"/>
          </w:tcPr>
          <w:p w14:paraId="079DAEC2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</w:p>
        </w:tc>
      </w:tr>
      <w:tr w:rsidR="009004F8" w:rsidRPr="008B4FE6" w14:paraId="0A0C246F" w14:textId="77777777" w:rsidTr="00F43ADF">
        <w:trPr>
          <w:gridAfter w:val="1"/>
          <w:wAfter w:w="63" w:type="dxa"/>
          <w:trHeight w:val="596"/>
        </w:trPr>
        <w:tc>
          <w:tcPr>
            <w:tcW w:w="1596" w:type="dxa"/>
            <w:vMerge/>
            <w:shd w:val="clear" w:color="auto" w:fill="auto"/>
          </w:tcPr>
          <w:p w14:paraId="61E29CB1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4DA21D13" w14:textId="77777777" w:rsidR="009004F8" w:rsidRPr="00301959" w:rsidRDefault="009004F8" w:rsidP="009004F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auto"/>
          </w:tcPr>
          <w:p w14:paraId="5F423585" w14:textId="77777777" w:rsidR="009004F8" w:rsidRPr="00B37C80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</w:p>
        </w:tc>
      </w:tr>
      <w:tr w:rsidR="009004F8" w:rsidRPr="008B4FE6" w14:paraId="11891AAC" w14:textId="77777777" w:rsidTr="00F43ADF">
        <w:trPr>
          <w:gridAfter w:val="1"/>
          <w:wAfter w:w="63" w:type="dxa"/>
          <w:trHeight w:val="142"/>
        </w:trPr>
        <w:tc>
          <w:tcPr>
            <w:tcW w:w="1596" w:type="dxa"/>
            <w:vMerge w:val="restart"/>
            <w:shd w:val="clear" w:color="auto" w:fill="auto"/>
          </w:tcPr>
          <w:p w14:paraId="0EDE6622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0500D57C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7048" w:type="dxa"/>
            <w:gridSpan w:val="22"/>
            <w:shd w:val="clear" w:color="auto" w:fill="auto"/>
          </w:tcPr>
          <w:p w14:paraId="0C0AB331" w14:textId="77777777" w:rsidR="009004F8" w:rsidRPr="00884760" w:rsidRDefault="009004F8" w:rsidP="009004F8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Brak</w:t>
            </w:r>
          </w:p>
        </w:tc>
      </w:tr>
      <w:tr w:rsidR="009004F8" w:rsidRPr="008B4FE6" w14:paraId="125504FE" w14:textId="77777777" w:rsidTr="00F43ADF">
        <w:trPr>
          <w:gridAfter w:val="1"/>
          <w:wAfter w:w="63" w:type="dxa"/>
          <w:trHeight w:val="142"/>
        </w:trPr>
        <w:tc>
          <w:tcPr>
            <w:tcW w:w="1596" w:type="dxa"/>
            <w:vMerge/>
            <w:shd w:val="clear" w:color="auto" w:fill="auto"/>
          </w:tcPr>
          <w:p w14:paraId="53D0F0FB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11B9A561" w14:textId="77777777" w:rsidR="009004F8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gospodarka </w:t>
            </w:r>
          </w:p>
        </w:tc>
        <w:tc>
          <w:tcPr>
            <w:tcW w:w="7048" w:type="dxa"/>
            <w:gridSpan w:val="22"/>
            <w:shd w:val="clear" w:color="auto" w:fill="auto"/>
          </w:tcPr>
          <w:p w14:paraId="1A0A25B3" w14:textId="77777777" w:rsidR="009004F8" w:rsidRDefault="009004F8" w:rsidP="009004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Brak </w:t>
            </w:r>
          </w:p>
        </w:tc>
      </w:tr>
      <w:tr w:rsidR="009004F8" w:rsidRPr="008B4FE6" w14:paraId="38FEB46F" w14:textId="77777777" w:rsidTr="00F43ADF">
        <w:trPr>
          <w:gridAfter w:val="1"/>
          <w:wAfter w:w="63" w:type="dxa"/>
          <w:trHeight w:val="142"/>
        </w:trPr>
        <w:tc>
          <w:tcPr>
            <w:tcW w:w="1596" w:type="dxa"/>
            <w:vMerge/>
            <w:shd w:val="clear" w:color="auto" w:fill="auto"/>
          </w:tcPr>
          <w:p w14:paraId="62AD4A41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2D06927B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auto"/>
          </w:tcPr>
          <w:p w14:paraId="702E3D9D" w14:textId="77777777" w:rsidR="009004F8" w:rsidRPr="00281CFC" w:rsidRDefault="009004F8" w:rsidP="009004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004F8" w:rsidRPr="008B4FE6" w14:paraId="32154A0A" w14:textId="77777777" w:rsidTr="00C2021A">
        <w:trPr>
          <w:gridAfter w:val="1"/>
          <w:wAfter w:w="63" w:type="dxa"/>
          <w:trHeight w:val="1251"/>
        </w:trPr>
        <w:tc>
          <w:tcPr>
            <w:tcW w:w="2243" w:type="dxa"/>
            <w:gridSpan w:val="2"/>
            <w:shd w:val="clear" w:color="auto" w:fill="auto"/>
          </w:tcPr>
          <w:p w14:paraId="1E5CDEAB" w14:textId="77777777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auto"/>
          </w:tcPr>
          <w:p w14:paraId="6BD6FF84" w14:textId="5B626711" w:rsidR="009004F8" w:rsidRPr="00301959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Rozwiązania przyjęte w projektowanym rozporządzeniu nie będą mieć wpływu na sytuację ekonomiczną i społeczną rodziny, osób niepełnosprawnych i osób starszych.</w:t>
            </w:r>
          </w:p>
        </w:tc>
      </w:tr>
      <w:tr w:rsidR="009004F8" w:rsidRPr="008B4FE6" w14:paraId="4E0A437A" w14:textId="77777777" w:rsidTr="00F43ADF">
        <w:trPr>
          <w:gridAfter w:val="1"/>
          <w:wAfter w:w="63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5C62870" w14:textId="77777777" w:rsidR="009004F8" w:rsidRPr="008B4FE6" w:rsidRDefault="009004F8" w:rsidP="009004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9004F8" w:rsidRPr="008B4FE6" w14:paraId="6C865975" w14:textId="77777777" w:rsidTr="00F43ADF">
        <w:trPr>
          <w:gridAfter w:val="1"/>
          <w:wAfter w:w="63" w:type="dxa"/>
          <w:trHeight w:val="151"/>
        </w:trPr>
        <w:tc>
          <w:tcPr>
            <w:tcW w:w="10937" w:type="dxa"/>
            <w:gridSpan w:val="29"/>
            <w:shd w:val="clear" w:color="auto" w:fill="auto"/>
          </w:tcPr>
          <w:p w14:paraId="7ACB83A5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004F8" w:rsidRPr="008B4FE6" w14:paraId="689DABB4" w14:textId="77777777" w:rsidTr="00F43ADF">
        <w:trPr>
          <w:gridAfter w:val="1"/>
          <w:wAfter w:w="63" w:type="dxa"/>
          <w:trHeight w:val="946"/>
        </w:trPr>
        <w:tc>
          <w:tcPr>
            <w:tcW w:w="5111" w:type="dxa"/>
            <w:gridSpan w:val="12"/>
            <w:shd w:val="clear" w:color="auto" w:fill="auto"/>
          </w:tcPr>
          <w:p w14:paraId="7922DBE8" w14:textId="77777777" w:rsidR="009004F8" w:rsidRDefault="009004F8" w:rsidP="009004F8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auto"/>
          </w:tcPr>
          <w:p w14:paraId="495B3D9B" w14:textId="77777777" w:rsidR="009004F8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C57338E" w14:textId="77777777" w:rsidR="009004F8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861BD08" w14:textId="77777777" w:rsidR="009004F8" w:rsidRDefault="009004F8" w:rsidP="009004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004F8" w:rsidRPr="008B4FE6" w14:paraId="665E8C5A" w14:textId="77777777" w:rsidTr="00F43ADF">
        <w:trPr>
          <w:gridAfter w:val="1"/>
          <w:wAfter w:w="63" w:type="dxa"/>
          <w:trHeight w:val="1245"/>
        </w:trPr>
        <w:tc>
          <w:tcPr>
            <w:tcW w:w="5111" w:type="dxa"/>
            <w:gridSpan w:val="12"/>
            <w:shd w:val="clear" w:color="auto" w:fill="auto"/>
          </w:tcPr>
          <w:p w14:paraId="03D10364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47BD57E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DBA052A" w14:textId="77777777" w:rsidR="009004F8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464CD31" w14:textId="77777777" w:rsidR="009004F8" w:rsidRPr="008B4FE6" w:rsidRDefault="009004F8" w:rsidP="009004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auto"/>
          </w:tcPr>
          <w:p w14:paraId="2A20755E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A436334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6418361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A59F0A3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771733B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04F8" w:rsidRPr="008B4FE6" w14:paraId="0C95F5AA" w14:textId="77777777" w:rsidTr="00F43ADF">
        <w:trPr>
          <w:gridAfter w:val="1"/>
          <w:wAfter w:w="63" w:type="dxa"/>
          <w:trHeight w:val="870"/>
        </w:trPr>
        <w:tc>
          <w:tcPr>
            <w:tcW w:w="5111" w:type="dxa"/>
            <w:gridSpan w:val="12"/>
            <w:shd w:val="clear" w:color="auto" w:fill="auto"/>
          </w:tcPr>
          <w:p w14:paraId="543B4471" w14:textId="77777777" w:rsidR="009004F8" w:rsidRPr="008B4FE6" w:rsidRDefault="009004F8" w:rsidP="009004F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auto"/>
          </w:tcPr>
          <w:p w14:paraId="00BD8489" w14:textId="77777777" w:rsidR="009004F8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1923B50" w14:textId="77777777" w:rsidR="009004F8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1FA20BD" w14:textId="77777777" w:rsidR="009004F8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3C6CC3C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04F8" w:rsidRPr="008B4FE6" w14:paraId="037A59E8" w14:textId="77777777" w:rsidTr="00F43ADF">
        <w:trPr>
          <w:gridAfter w:val="1"/>
          <w:wAfter w:w="63" w:type="dxa"/>
          <w:trHeight w:val="630"/>
        </w:trPr>
        <w:tc>
          <w:tcPr>
            <w:tcW w:w="10937" w:type="dxa"/>
            <w:gridSpan w:val="29"/>
            <w:shd w:val="clear" w:color="auto" w:fill="auto"/>
          </w:tcPr>
          <w:p w14:paraId="6FFE2264" w14:textId="77777777" w:rsidR="009004F8" w:rsidRPr="008B4FE6" w:rsidRDefault="009004F8" w:rsidP="009004F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004F8" w:rsidRPr="008B4FE6" w14:paraId="7C9D82BB" w14:textId="77777777" w:rsidTr="00F43ADF">
        <w:trPr>
          <w:gridAfter w:val="1"/>
          <w:wAfter w:w="63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7D7CB43" w14:textId="77777777" w:rsidR="009004F8" w:rsidRPr="008B4FE6" w:rsidRDefault="009004F8" w:rsidP="009004F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004F8" w:rsidRPr="008B4FE6" w14:paraId="2F4B8769" w14:textId="77777777" w:rsidTr="00F43ADF">
        <w:trPr>
          <w:gridAfter w:val="1"/>
          <w:wAfter w:w="63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1AD4562" w14:textId="16CB50D1" w:rsidR="009004F8" w:rsidRPr="008B4FE6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</w:t>
            </w:r>
            <w:r w:rsidRPr="009C5EF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Rozporządzenie nie wpłynie na rynek pracy.</w:t>
            </w:r>
          </w:p>
        </w:tc>
      </w:tr>
      <w:tr w:rsidR="009004F8" w:rsidRPr="008B4FE6" w14:paraId="4EA82C5E" w14:textId="77777777" w:rsidTr="00F43ADF">
        <w:trPr>
          <w:gridAfter w:val="1"/>
          <w:wAfter w:w="63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969391" w14:textId="77777777" w:rsidR="009004F8" w:rsidRPr="008B4FE6" w:rsidRDefault="009004F8" w:rsidP="009004F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004F8" w:rsidRPr="008B4FE6" w14:paraId="0B8C2C50" w14:textId="77777777" w:rsidTr="00F43ADF">
        <w:trPr>
          <w:gridAfter w:val="1"/>
          <w:wAfter w:w="63" w:type="dxa"/>
          <w:trHeight w:val="1031"/>
        </w:trPr>
        <w:tc>
          <w:tcPr>
            <w:tcW w:w="3547" w:type="dxa"/>
            <w:gridSpan w:val="5"/>
            <w:shd w:val="clear" w:color="auto" w:fill="auto"/>
          </w:tcPr>
          <w:p w14:paraId="24BAF462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33E0C19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E62F345" w14:textId="77777777" w:rsidR="009004F8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51B9640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auto"/>
          </w:tcPr>
          <w:p w14:paraId="6E5FFC93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3697FBF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156B567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auto"/>
          </w:tcPr>
          <w:p w14:paraId="667A035D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1DFE38B" w14:textId="77777777" w:rsidR="009004F8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52946C1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5B65">
              <w:rPr>
                <w:rFonts w:ascii="Times New Roman" w:hAnsi="Times New Roman"/>
                <w:color w:val="000000"/>
              </w:rPr>
            </w:r>
            <w:r w:rsidR="00D05B6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9004F8" w:rsidRPr="008B4FE6" w14:paraId="0A34EAB0" w14:textId="77777777" w:rsidTr="00F43ADF">
        <w:trPr>
          <w:gridAfter w:val="1"/>
          <w:wAfter w:w="63" w:type="dxa"/>
          <w:trHeight w:val="437"/>
        </w:trPr>
        <w:tc>
          <w:tcPr>
            <w:tcW w:w="2243" w:type="dxa"/>
            <w:gridSpan w:val="2"/>
            <w:shd w:val="clear" w:color="auto" w:fill="auto"/>
          </w:tcPr>
          <w:p w14:paraId="1B8CB682" w14:textId="77777777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auto"/>
          </w:tcPr>
          <w:p w14:paraId="00424A9C" w14:textId="10E82EA8" w:rsidR="009004F8" w:rsidRPr="008B4FE6" w:rsidRDefault="009004F8" w:rsidP="009004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</w:t>
            </w:r>
            <w:r w:rsidRPr="009C5EF0">
              <w:rPr>
                <w:rFonts w:ascii="Times New Roman" w:hAnsi="Times New Roman"/>
                <w:color w:val="000000"/>
              </w:rPr>
              <w:t xml:space="preserve"> nie wpłynie na </w:t>
            </w:r>
            <w:r>
              <w:rPr>
                <w:rFonts w:ascii="Times New Roman" w:hAnsi="Times New Roman"/>
                <w:color w:val="000000"/>
              </w:rPr>
              <w:t>wymienione obszary.</w:t>
            </w:r>
          </w:p>
        </w:tc>
      </w:tr>
      <w:tr w:rsidR="009004F8" w:rsidRPr="008B4FE6" w14:paraId="6F68A3D0" w14:textId="77777777" w:rsidTr="00F43ADF">
        <w:trPr>
          <w:gridAfter w:val="1"/>
          <w:wAfter w:w="63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B1C1544" w14:textId="77777777" w:rsidR="009004F8" w:rsidRPr="00627221" w:rsidRDefault="009004F8" w:rsidP="009004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9004F8" w:rsidRPr="008B4FE6" w14:paraId="5D40D00E" w14:textId="77777777" w:rsidTr="00C2021A">
        <w:trPr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1C615684" w14:textId="2D10321F" w:rsidR="009004F8" w:rsidRPr="00F9368F" w:rsidRDefault="009004F8" w:rsidP="000D4163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A2CBE">
              <w:rPr>
                <w:rFonts w:ascii="Times New Roman" w:hAnsi="Times New Roman"/>
                <w:spacing w:val="-2"/>
              </w:rPr>
              <w:t xml:space="preserve">Wykonanie przepisów aktu prawnego nastąpi w momencie wejścia w życie </w:t>
            </w:r>
            <w:r w:rsidR="000D4163">
              <w:rPr>
                <w:rFonts w:ascii="Times New Roman" w:hAnsi="Times New Roman"/>
                <w:spacing w:val="-2"/>
              </w:rPr>
              <w:t>projektu r</w:t>
            </w:r>
            <w:r w:rsidRPr="00FA2CBE">
              <w:rPr>
                <w:rFonts w:ascii="Times New Roman" w:hAnsi="Times New Roman"/>
                <w:spacing w:val="-2"/>
              </w:rPr>
              <w:t>ozporządzenia.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F9368F">
              <w:rPr>
                <w:rFonts w:ascii="Times New Roman" w:hAnsi="Times New Roman"/>
                <w:spacing w:val="-2"/>
              </w:rPr>
              <w:t xml:space="preserve">Mając na względzie, </w:t>
            </w:r>
            <w:r>
              <w:rPr>
                <w:rFonts w:ascii="Times New Roman" w:hAnsi="Times New Roman"/>
                <w:spacing w:val="-2"/>
              </w:rPr>
              <w:t xml:space="preserve">że przepisy ustawy zmieniającej </w:t>
            </w:r>
            <w:r w:rsidRPr="00F9368F">
              <w:rPr>
                <w:rFonts w:ascii="Times New Roman" w:hAnsi="Times New Roman"/>
                <w:spacing w:val="-2"/>
              </w:rPr>
              <w:t>w odniesieniu do opłat rocznych wejdą w życie z dniem 1 stycznia 202</w:t>
            </w:r>
            <w:r>
              <w:rPr>
                <w:rFonts w:ascii="Times New Roman" w:hAnsi="Times New Roman"/>
                <w:spacing w:val="-2"/>
              </w:rPr>
              <w:t>2 r.</w:t>
            </w:r>
            <w:r w:rsidR="000D4163">
              <w:rPr>
                <w:rFonts w:ascii="Times New Roman" w:hAnsi="Times New Roman"/>
                <w:spacing w:val="-2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nowelizacja </w:t>
            </w:r>
            <w:r w:rsidR="00424E5D"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-2"/>
              </w:rPr>
              <w:t>ozporządzenia</w:t>
            </w:r>
            <w:r w:rsidRPr="00F9368F">
              <w:rPr>
                <w:rFonts w:ascii="Times New Roman" w:hAnsi="Times New Roman"/>
                <w:spacing w:val="-2"/>
              </w:rPr>
              <w:t xml:space="preserve"> powinna </w:t>
            </w:r>
            <w:r>
              <w:rPr>
                <w:rFonts w:ascii="Times New Roman" w:hAnsi="Times New Roman"/>
                <w:spacing w:val="-2"/>
              </w:rPr>
              <w:t>wejść</w:t>
            </w:r>
            <w:r w:rsidRPr="00F9368F">
              <w:rPr>
                <w:rFonts w:ascii="Times New Roman" w:hAnsi="Times New Roman"/>
                <w:spacing w:val="-2"/>
              </w:rPr>
              <w:t xml:space="preserve"> w życie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C2021A">
              <w:rPr>
                <w:rFonts w:ascii="Times New Roman" w:hAnsi="Times New Roman"/>
                <w:spacing w:val="-2"/>
              </w:rPr>
              <w:t>z dniem</w:t>
            </w:r>
            <w:r w:rsidRPr="00F9368F">
              <w:rPr>
                <w:rFonts w:ascii="Times New Roman" w:hAnsi="Times New Roman"/>
                <w:spacing w:val="-2"/>
              </w:rPr>
              <w:t xml:space="preserve"> 1 stycznia 2022 r.</w:t>
            </w:r>
          </w:p>
        </w:tc>
      </w:tr>
      <w:tr w:rsidR="009004F8" w:rsidRPr="008B4FE6" w14:paraId="6CAF4538" w14:textId="77777777" w:rsidTr="00F43ADF">
        <w:trPr>
          <w:gridAfter w:val="1"/>
          <w:wAfter w:w="63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A7A9B94" w14:textId="77777777" w:rsidR="009004F8" w:rsidRPr="008B4FE6" w:rsidRDefault="009004F8" w:rsidP="009004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9004F8" w:rsidRPr="008B4FE6" w14:paraId="53450517" w14:textId="77777777" w:rsidTr="00F43ADF">
        <w:trPr>
          <w:gridAfter w:val="1"/>
          <w:wAfter w:w="63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14:paraId="1AFF67FD" w14:textId="77777777" w:rsidR="009004F8" w:rsidRPr="00B37C80" w:rsidRDefault="009004F8" w:rsidP="009004F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7390">
              <w:rPr>
                <w:rFonts w:ascii="Times New Roman" w:hAnsi="Times New Roman"/>
                <w:color w:val="000000"/>
              </w:rPr>
              <w:t>Ewaluacja efektów projektu</w:t>
            </w:r>
            <w:r>
              <w:rPr>
                <w:rFonts w:ascii="Times New Roman" w:hAnsi="Times New Roman"/>
                <w:color w:val="000000"/>
              </w:rPr>
              <w:t xml:space="preserve"> w pozostałym zakresie</w:t>
            </w:r>
            <w:r w:rsidRPr="00EA7390">
              <w:rPr>
                <w:rFonts w:ascii="Times New Roman" w:hAnsi="Times New Roman"/>
                <w:color w:val="000000"/>
              </w:rPr>
              <w:t xml:space="preserve"> będzie dokonywana na bieżąco, na podstawie wniosków wynikających z działań nadzorczych Komisji Nadzoru Finansowego.</w:t>
            </w:r>
          </w:p>
        </w:tc>
      </w:tr>
      <w:tr w:rsidR="009004F8" w:rsidRPr="008B4FE6" w14:paraId="6AFC066A" w14:textId="77777777" w:rsidTr="00F43ADF">
        <w:trPr>
          <w:gridAfter w:val="1"/>
          <w:wAfter w:w="63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9E11554" w14:textId="77777777" w:rsidR="009004F8" w:rsidRPr="008B4FE6" w:rsidRDefault="009004F8" w:rsidP="009004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004F8" w:rsidRPr="008B4FE6" w14:paraId="444AF849" w14:textId="77777777" w:rsidTr="00F43ADF">
        <w:trPr>
          <w:gridAfter w:val="1"/>
          <w:wAfter w:w="63" w:type="dxa"/>
          <w:trHeight w:val="293"/>
        </w:trPr>
        <w:tc>
          <w:tcPr>
            <w:tcW w:w="10937" w:type="dxa"/>
            <w:gridSpan w:val="29"/>
            <w:shd w:val="clear" w:color="auto" w:fill="FFFFFF"/>
          </w:tcPr>
          <w:p w14:paraId="618EF49C" w14:textId="77777777" w:rsidR="009004F8" w:rsidRPr="00B37C80" w:rsidRDefault="009004F8" w:rsidP="009004F8">
            <w:pPr>
              <w:tabs>
                <w:tab w:val="left" w:pos="2025"/>
              </w:tabs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B23ECC7" w14:textId="77777777" w:rsidR="006176ED" w:rsidRPr="00522D94" w:rsidRDefault="00C04964" w:rsidP="003C2F29">
      <w:pPr>
        <w:pStyle w:val="Nagwek1"/>
        <w:tabs>
          <w:tab w:val="left" w:pos="25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DC50D" w14:textId="77777777" w:rsidR="00D05B65" w:rsidRDefault="00D05B65" w:rsidP="00044739">
      <w:pPr>
        <w:spacing w:line="240" w:lineRule="auto"/>
      </w:pPr>
      <w:r>
        <w:separator/>
      </w:r>
    </w:p>
  </w:endnote>
  <w:endnote w:type="continuationSeparator" w:id="0">
    <w:p w14:paraId="23272AD9" w14:textId="77777777" w:rsidR="00D05B65" w:rsidRDefault="00D05B6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A7BAE" w14:textId="77777777" w:rsidR="00D05B65" w:rsidRDefault="00D05B65" w:rsidP="00044739">
      <w:pPr>
        <w:spacing w:line="240" w:lineRule="auto"/>
      </w:pPr>
      <w:r>
        <w:separator/>
      </w:r>
    </w:p>
  </w:footnote>
  <w:footnote w:type="continuationSeparator" w:id="0">
    <w:p w14:paraId="69DF5EA2" w14:textId="77777777" w:rsidR="00D05B65" w:rsidRDefault="00D05B6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0B5"/>
    <w:multiLevelType w:val="hybridMultilevel"/>
    <w:tmpl w:val="F7041A1E"/>
    <w:lvl w:ilvl="0" w:tplc="365E28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4AA61F8"/>
    <w:multiLevelType w:val="hybridMultilevel"/>
    <w:tmpl w:val="52CA8002"/>
    <w:lvl w:ilvl="0" w:tplc="0415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1376EB7"/>
    <w:multiLevelType w:val="hybridMultilevel"/>
    <w:tmpl w:val="16FADAAA"/>
    <w:lvl w:ilvl="0" w:tplc="BE6235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55855"/>
    <w:multiLevelType w:val="hybridMultilevel"/>
    <w:tmpl w:val="FA485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A59F4"/>
    <w:multiLevelType w:val="hybridMultilevel"/>
    <w:tmpl w:val="22F69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B6334"/>
    <w:multiLevelType w:val="hybridMultilevel"/>
    <w:tmpl w:val="11566C6E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>
    <w:nsid w:val="3AB60C4C"/>
    <w:multiLevelType w:val="hybridMultilevel"/>
    <w:tmpl w:val="7340CF6A"/>
    <w:lvl w:ilvl="0" w:tplc="FD4271C0">
      <w:start w:val="1"/>
      <w:numFmt w:val="lowerRoman"/>
      <w:lvlText w:val="%1."/>
      <w:lvlJc w:val="right"/>
      <w:pPr>
        <w:ind w:left="649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736089"/>
    <w:multiLevelType w:val="hybridMultilevel"/>
    <w:tmpl w:val="15804A64"/>
    <w:lvl w:ilvl="0" w:tplc="120CB1F2">
      <w:start w:val="1"/>
      <w:numFmt w:val="decimal"/>
      <w:lvlText w:val="%1)"/>
      <w:lvlJc w:val="left"/>
      <w:pPr>
        <w:ind w:left="3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9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C4E6684"/>
    <w:multiLevelType w:val="hybridMultilevel"/>
    <w:tmpl w:val="64B039CA"/>
    <w:lvl w:ilvl="0" w:tplc="0415000F">
      <w:start w:val="1"/>
      <w:numFmt w:val="decimal"/>
      <w:lvlText w:val="%1."/>
      <w:lvlJc w:val="left"/>
      <w:pPr>
        <w:ind w:left="804" w:hanging="360"/>
      </w:p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6"/>
  </w:num>
  <w:num w:numId="5">
    <w:abstractNumId w:val="2"/>
  </w:num>
  <w:num w:numId="6">
    <w:abstractNumId w:val="10"/>
  </w:num>
  <w:num w:numId="7">
    <w:abstractNumId w:val="19"/>
  </w:num>
  <w:num w:numId="8">
    <w:abstractNumId w:val="6"/>
  </w:num>
  <w:num w:numId="9">
    <w:abstractNumId w:val="21"/>
  </w:num>
  <w:num w:numId="10">
    <w:abstractNumId w:val="17"/>
  </w:num>
  <w:num w:numId="11">
    <w:abstractNumId w:val="20"/>
  </w:num>
  <w:num w:numId="12">
    <w:abstractNumId w:val="3"/>
  </w:num>
  <w:num w:numId="13">
    <w:abstractNumId w:val="15"/>
  </w:num>
  <w:num w:numId="14">
    <w:abstractNumId w:val="27"/>
  </w:num>
  <w:num w:numId="15">
    <w:abstractNumId w:val="22"/>
  </w:num>
  <w:num w:numId="16">
    <w:abstractNumId w:val="25"/>
  </w:num>
  <w:num w:numId="17">
    <w:abstractNumId w:val="8"/>
  </w:num>
  <w:num w:numId="18">
    <w:abstractNumId w:val="28"/>
  </w:num>
  <w:num w:numId="19">
    <w:abstractNumId w:val="29"/>
  </w:num>
  <w:num w:numId="20">
    <w:abstractNumId w:val="24"/>
  </w:num>
  <w:num w:numId="21">
    <w:abstractNumId w:val="9"/>
  </w:num>
  <w:num w:numId="22">
    <w:abstractNumId w:val="11"/>
  </w:num>
  <w:num w:numId="23">
    <w:abstractNumId w:val="13"/>
  </w:num>
  <w:num w:numId="24">
    <w:abstractNumId w:val="23"/>
  </w:num>
  <w:num w:numId="25">
    <w:abstractNumId w:val="16"/>
  </w:num>
  <w:num w:numId="26">
    <w:abstractNumId w:val="4"/>
  </w:num>
  <w:num w:numId="27">
    <w:abstractNumId w:val="18"/>
  </w:num>
  <w:num w:numId="28">
    <w:abstractNumId w:val="1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AFA"/>
    <w:rsid w:val="00004C6A"/>
    <w:rsid w:val="00012D11"/>
    <w:rsid w:val="00013607"/>
    <w:rsid w:val="00013EB5"/>
    <w:rsid w:val="000141F5"/>
    <w:rsid w:val="00015966"/>
    <w:rsid w:val="00015E07"/>
    <w:rsid w:val="00016F37"/>
    <w:rsid w:val="00017D97"/>
    <w:rsid w:val="00017E88"/>
    <w:rsid w:val="0002108E"/>
    <w:rsid w:val="00022002"/>
    <w:rsid w:val="00022CE8"/>
    <w:rsid w:val="00023836"/>
    <w:rsid w:val="000266AB"/>
    <w:rsid w:val="000356A9"/>
    <w:rsid w:val="00044138"/>
    <w:rsid w:val="00044739"/>
    <w:rsid w:val="00051637"/>
    <w:rsid w:val="00056681"/>
    <w:rsid w:val="000639B6"/>
    <w:rsid w:val="000648A7"/>
    <w:rsid w:val="0006618B"/>
    <w:rsid w:val="000670C0"/>
    <w:rsid w:val="000673A1"/>
    <w:rsid w:val="00071B99"/>
    <w:rsid w:val="000756E5"/>
    <w:rsid w:val="0007704E"/>
    <w:rsid w:val="00080EC8"/>
    <w:rsid w:val="0008262C"/>
    <w:rsid w:val="00086FC8"/>
    <w:rsid w:val="00092704"/>
    <w:rsid w:val="000944AC"/>
    <w:rsid w:val="00094CB9"/>
    <w:rsid w:val="000956B2"/>
    <w:rsid w:val="000969E7"/>
    <w:rsid w:val="000A1340"/>
    <w:rsid w:val="000A23DE"/>
    <w:rsid w:val="000A4020"/>
    <w:rsid w:val="000A53EA"/>
    <w:rsid w:val="000B3E3C"/>
    <w:rsid w:val="000B4DE5"/>
    <w:rsid w:val="000B54FB"/>
    <w:rsid w:val="000B6D41"/>
    <w:rsid w:val="000C1BE7"/>
    <w:rsid w:val="000C29B0"/>
    <w:rsid w:val="000C6284"/>
    <w:rsid w:val="000C75EF"/>
    <w:rsid w:val="000C76FC"/>
    <w:rsid w:val="000D38FC"/>
    <w:rsid w:val="000D4163"/>
    <w:rsid w:val="000D4D90"/>
    <w:rsid w:val="000E1480"/>
    <w:rsid w:val="000E2D10"/>
    <w:rsid w:val="000E3236"/>
    <w:rsid w:val="000E3ED7"/>
    <w:rsid w:val="000E6B8F"/>
    <w:rsid w:val="000F3204"/>
    <w:rsid w:val="000F48BD"/>
    <w:rsid w:val="001003AE"/>
    <w:rsid w:val="0010170A"/>
    <w:rsid w:val="0010548B"/>
    <w:rsid w:val="001072D1"/>
    <w:rsid w:val="00110D4A"/>
    <w:rsid w:val="00117017"/>
    <w:rsid w:val="00117FE6"/>
    <w:rsid w:val="00122E78"/>
    <w:rsid w:val="00124167"/>
    <w:rsid w:val="00125863"/>
    <w:rsid w:val="00127259"/>
    <w:rsid w:val="00130E8E"/>
    <w:rsid w:val="0013216E"/>
    <w:rsid w:val="0013520D"/>
    <w:rsid w:val="001401B5"/>
    <w:rsid w:val="001422B9"/>
    <w:rsid w:val="001438A1"/>
    <w:rsid w:val="001442DB"/>
    <w:rsid w:val="00144B34"/>
    <w:rsid w:val="00145310"/>
    <w:rsid w:val="0014665F"/>
    <w:rsid w:val="00153464"/>
    <w:rsid w:val="00153D28"/>
    <w:rsid w:val="001541B3"/>
    <w:rsid w:val="00155B15"/>
    <w:rsid w:val="00156E0A"/>
    <w:rsid w:val="00156FC6"/>
    <w:rsid w:val="00161EC3"/>
    <w:rsid w:val="001625BE"/>
    <w:rsid w:val="001643A4"/>
    <w:rsid w:val="00172703"/>
    <w:rsid w:val="001727BB"/>
    <w:rsid w:val="001771B5"/>
    <w:rsid w:val="00180AA6"/>
    <w:rsid w:val="00180D25"/>
    <w:rsid w:val="0018318D"/>
    <w:rsid w:val="00183B00"/>
    <w:rsid w:val="0018572C"/>
    <w:rsid w:val="00185D34"/>
    <w:rsid w:val="00187E79"/>
    <w:rsid w:val="00187F0D"/>
    <w:rsid w:val="00191099"/>
    <w:rsid w:val="00191BC1"/>
    <w:rsid w:val="00192CC5"/>
    <w:rsid w:val="00194AA4"/>
    <w:rsid w:val="001956A7"/>
    <w:rsid w:val="0019662C"/>
    <w:rsid w:val="001A0014"/>
    <w:rsid w:val="001A118A"/>
    <w:rsid w:val="001A27F4"/>
    <w:rsid w:val="001A2D95"/>
    <w:rsid w:val="001B3460"/>
    <w:rsid w:val="001B4AF6"/>
    <w:rsid w:val="001B4CA1"/>
    <w:rsid w:val="001B75D8"/>
    <w:rsid w:val="001B7CE7"/>
    <w:rsid w:val="001C1060"/>
    <w:rsid w:val="001C3C63"/>
    <w:rsid w:val="001C4E9F"/>
    <w:rsid w:val="001D038E"/>
    <w:rsid w:val="001D4732"/>
    <w:rsid w:val="001D503E"/>
    <w:rsid w:val="001D6999"/>
    <w:rsid w:val="001D6A3C"/>
    <w:rsid w:val="001D6D23"/>
    <w:rsid w:val="001D6D51"/>
    <w:rsid w:val="001E790F"/>
    <w:rsid w:val="001F32E7"/>
    <w:rsid w:val="001F653A"/>
    <w:rsid w:val="001F6979"/>
    <w:rsid w:val="001F6CCC"/>
    <w:rsid w:val="001F715A"/>
    <w:rsid w:val="00202BC6"/>
    <w:rsid w:val="00205141"/>
    <w:rsid w:val="0020516B"/>
    <w:rsid w:val="00213559"/>
    <w:rsid w:val="00213EFD"/>
    <w:rsid w:val="002172F1"/>
    <w:rsid w:val="00223113"/>
    <w:rsid w:val="0022331B"/>
    <w:rsid w:val="00223C7B"/>
    <w:rsid w:val="00224AB1"/>
    <w:rsid w:val="0022687A"/>
    <w:rsid w:val="00230728"/>
    <w:rsid w:val="0023280D"/>
    <w:rsid w:val="00234040"/>
    <w:rsid w:val="002350C0"/>
    <w:rsid w:val="002357C5"/>
    <w:rsid w:val="00235CD2"/>
    <w:rsid w:val="00240241"/>
    <w:rsid w:val="00241CB9"/>
    <w:rsid w:val="00243055"/>
    <w:rsid w:val="00246DF8"/>
    <w:rsid w:val="00246E84"/>
    <w:rsid w:val="00254DED"/>
    <w:rsid w:val="00255619"/>
    <w:rsid w:val="00255DAD"/>
    <w:rsid w:val="00256108"/>
    <w:rsid w:val="00260F33"/>
    <w:rsid w:val="002613BD"/>
    <w:rsid w:val="002624F1"/>
    <w:rsid w:val="00266C76"/>
    <w:rsid w:val="00270C81"/>
    <w:rsid w:val="00271558"/>
    <w:rsid w:val="002745E1"/>
    <w:rsid w:val="00274862"/>
    <w:rsid w:val="00281CFC"/>
    <w:rsid w:val="00282D72"/>
    <w:rsid w:val="00283402"/>
    <w:rsid w:val="002837B5"/>
    <w:rsid w:val="00290FD6"/>
    <w:rsid w:val="002932AC"/>
    <w:rsid w:val="00294259"/>
    <w:rsid w:val="00296CE4"/>
    <w:rsid w:val="002A2C81"/>
    <w:rsid w:val="002A5448"/>
    <w:rsid w:val="002A5FC6"/>
    <w:rsid w:val="002A7430"/>
    <w:rsid w:val="002B3D1A"/>
    <w:rsid w:val="002C27D0"/>
    <w:rsid w:val="002C2C9B"/>
    <w:rsid w:val="002D17D6"/>
    <w:rsid w:val="002D18D7"/>
    <w:rsid w:val="002D21CE"/>
    <w:rsid w:val="002D3A3B"/>
    <w:rsid w:val="002E01B4"/>
    <w:rsid w:val="002E05FB"/>
    <w:rsid w:val="002E3DA3"/>
    <w:rsid w:val="002E4033"/>
    <w:rsid w:val="002E450F"/>
    <w:rsid w:val="002E6B38"/>
    <w:rsid w:val="002E6D63"/>
    <w:rsid w:val="002E6E2B"/>
    <w:rsid w:val="002F267B"/>
    <w:rsid w:val="002F3CC2"/>
    <w:rsid w:val="002F500B"/>
    <w:rsid w:val="002F6037"/>
    <w:rsid w:val="00300991"/>
    <w:rsid w:val="00301959"/>
    <w:rsid w:val="00304311"/>
    <w:rsid w:val="00305B8A"/>
    <w:rsid w:val="003114D5"/>
    <w:rsid w:val="00320A4E"/>
    <w:rsid w:val="00321212"/>
    <w:rsid w:val="003256DF"/>
    <w:rsid w:val="00331007"/>
    <w:rsid w:val="0033161F"/>
    <w:rsid w:val="00331BF9"/>
    <w:rsid w:val="003347B9"/>
    <w:rsid w:val="0033495E"/>
    <w:rsid w:val="00334A79"/>
    <w:rsid w:val="00334D8D"/>
    <w:rsid w:val="00337345"/>
    <w:rsid w:val="00337DD2"/>
    <w:rsid w:val="003404D1"/>
    <w:rsid w:val="00340FFE"/>
    <w:rsid w:val="00343DD2"/>
    <w:rsid w:val="003443FF"/>
    <w:rsid w:val="00353B32"/>
    <w:rsid w:val="00355808"/>
    <w:rsid w:val="00357219"/>
    <w:rsid w:val="00357337"/>
    <w:rsid w:val="0035773E"/>
    <w:rsid w:val="00362C7E"/>
    <w:rsid w:val="00363309"/>
    <w:rsid w:val="00363601"/>
    <w:rsid w:val="003676D9"/>
    <w:rsid w:val="00371B65"/>
    <w:rsid w:val="003726A8"/>
    <w:rsid w:val="00374E00"/>
    <w:rsid w:val="0037538F"/>
    <w:rsid w:val="00376AC9"/>
    <w:rsid w:val="0039071C"/>
    <w:rsid w:val="00393032"/>
    <w:rsid w:val="00394B69"/>
    <w:rsid w:val="00394E5E"/>
    <w:rsid w:val="00397078"/>
    <w:rsid w:val="003A6151"/>
    <w:rsid w:val="003A6953"/>
    <w:rsid w:val="003B6083"/>
    <w:rsid w:val="003B60A7"/>
    <w:rsid w:val="003C0A7E"/>
    <w:rsid w:val="003C2F29"/>
    <w:rsid w:val="003C3838"/>
    <w:rsid w:val="003C5847"/>
    <w:rsid w:val="003C5F4D"/>
    <w:rsid w:val="003D0681"/>
    <w:rsid w:val="003D12F6"/>
    <w:rsid w:val="003D1426"/>
    <w:rsid w:val="003D7C5B"/>
    <w:rsid w:val="003E2F4E"/>
    <w:rsid w:val="003E720A"/>
    <w:rsid w:val="003E7F4E"/>
    <w:rsid w:val="003F4084"/>
    <w:rsid w:val="00403E6E"/>
    <w:rsid w:val="00406602"/>
    <w:rsid w:val="004100AD"/>
    <w:rsid w:val="004129B4"/>
    <w:rsid w:val="004168BD"/>
    <w:rsid w:val="00417EF0"/>
    <w:rsid w:val="0042007F"/>
    <w:rsid w:val="00420CFD"/>
    <w:rsid w:val="0042157A"/>
    <w:rsid w:val="00422181"/>
    <w:rsid w:val="004244A8"/>
    <w:rsid w:val="00424E5D"/>
    <w:rsid w:val="00425F72"/>
    <w:rsid w:val="00427736"/>
    <w:rsid w:val="00430586"/>
    <w:rsid w:val="00432868"/>
    <w:rsid w:val="004338B9"/>
    <w:rsid w:val="004363BC"/>
    <w:rsid w:val="00441787"/>
    <w:rsid w:val="00444507"/>
    <w:rsid w:val="00444F2D"/>
    <w:rsid w:val="00452034"/>
    <w:rsid w:val="00455FA6"/>
    <w:rsid w:val="00463704"/>
    <w:rsid w:val="00465123"/>
    <w:rsid w:val="00466C70"/>
    <w:rsid w:val="004702C9"/>
    <w:rsid w:val="004716F4"/>
    <w:rsid w:val="00472E45"/>
    <w:rsid w:val="00473E5F"/>
    <w:rsid w:val="00473FEA"/>
    <w:rsid w:val="0047579D"/>
    <w:rsid w:val="0047785D"/>
    <w:rsid w:val="00482D5E"/>
    <w:rsid w:val="00483262"/>
    <w:rsid w:val="00484107"/>
    <w:rsid w:val="00485CC5"/>
    <w:rsid w:val="0049343F"/>
    <w:rsid w:val="004964FC"/>
    <w:rsid w:val="004967D1"/>
    <w:rsid w:val="00497D3D"/>
    <w:rsid w:val="004A145E"/>
    <w:rsid w:val="004A1F15"/>
    <w:rsid w:val="004A293C"/>
    <w:rsid w:val="004A2A81"/>
    <w:rsid w:val="004A7BD7"/>
    <w:rsid w:val="004B053B"/>
    <w:rsid w:val="004B0F13"/>
    <w:rsid w:val="004B1660"/>
    <w:rsid w:val="004C0A58"/>
    <w:rsid w:val="004C15C2"/>
    <w:rsid w:val="004C1AF7"/>
    <w:rsid w:val="004C36D8"/>
    <w:rsid w:val="004D1248"/>
    <w:rsid w:val="004D1E3C"/>
    <w:rsid w:val="004D4169"/>
    <w:rsid w:val="004D58F9"/>
    <w:rsid w:val="004D6E14"/>
    <w:rsid w:val="004D71BB"/>
    <w:rsid w:val="004E02D8"/>
    <w:rsid w:val="004E477D"/>
    <w:rsid w:val="004F4E17"/>
    <w:rsid w:val="004F5008"/>
    <w:rsid w:val="004F7F6D"/>
    <w:rsid w:val="0050082F"/>
    <w:rsid w:val="00500C56"/>
    <w:rsid w:val="005010D4"/>
    <w:rsid w:val="00501713"/>
    <w:rsid w:val="00506568"/>
    <w:rsid w:val="005068F4"/>
    <w:rsid w:val="005128E4"/>
    <w:rsid w:val="0051551B"/>
    <w:rsid w:val="00520C57"/>
    <w:rsid w:val="00522D94"/>
    <w:rsid w:val="00526D76"/>
    <w:rsid w:val="00530C19"/>
    <w:rsid w:val="00533479"/>
    <w:rsid w:val="00533D89"/>
    <w:rsid w:val="00536564"/>
    <w:rsid w:val="00543CEE"/>
    <w:rsid w:val="00544597"/>
    <w:rsid w:val="00544FFE"/>
    <w:rsid w:val="005466EE"/>
    <w:rsid w:val="005473F5"/>
    <w:rsid w:val="005477E7"/>
    <w:rsid w:val="00552794"/>
    <w:rsid w:val="00553B01"/>
    <w:rsid w:val="00556E32"/>
    <w:rsid w:val="005622F5"/>
    <w:rsid w:val="00563199"/>
    <w:rsid w:val="00564874"/>
    <w:rsid w:val="00566A66"/>
    <w:rsid w:val="00567963"/>
    <w:rsid w:val="0057009A"/>
    <w:rsid w:val="00571260"/>
    <w:rsid w:val="0057189C"/>
    <w:rsid w:val="00572643"/>
    <w:rsid w:val="00573425"/>
    <w:rsid w:val="00573FC1"/>
    <w:rsid w:val="005741EE"/>
    <w:rsid w:val="0057668E"/>
    <w:rsid w:val="00576C33"/>
    <w:rsid w:val="00582FE2"/>
    <w:rsid w:val="00586A4E"/>
    <w:rsid w:val="005876B7"/>
    <w:rsid w:val="00595E83"/>
    <w:rsid w:val="00596530"/>
    <w:rsid w:val="005967F3"/>
    <w:rsid w:val="005A06DF"/>
    <w:rsid w:val="005A4AE7"/>
    <w:rsid w:val="005A5527"/>
    <w:rsid w:val="005A5AE6"/>
    <w:rsid w:val="005A72BE"/>
    <w:rsid w:val="005B01D3"/>
    <w:rsid w:val="005B1206"/>
    <w:rsid w:val="005B37E8"/>
    <w:rsid w:val="005B3C83"/>
    <w:rsid w:val="005B3F28"/>
    <w:rsid w:val="005C0056"/>
    <w:rsid w:val="005C1C61"/>
    <w:rsid w:val="005C374B"/>
    <w:rsid w:val="005C4779"/>
    <w:rsid w:val="005D61D6"/>
    <w:rsid w:val="005E0340"/>
    <w:rsid w:val="005E0D13"/>
    <w:rsid w:val="005E3FAF"/>
    <w:rsid w:val="005E5047"/>
    <w:rsid w:val="005E5981"/>
    <w:rsid w:val="005E717D"/>
    <w:rsid w:val="005E7205"/>
    <w:rsid w:val="005E7371"/>
    <w:rsid w:val="005F116C"/>
    <w:rsid w:val="005F1222"/>
    <w:rsid w:val="005F2131"/>
    <w:rsid w:val="005F616B"/>
    <w:rsid w:val="005F75CF"/>
    <w:rsid w:val="00605EF6"/>
    <w:rsid w:val="00606455"/>
    <w:rsid w:val="00611C1F"/>
    <w:rsid w:val="00612170"/>
    <w:rsid w:val="00614929"/>
    <w:rsid w:val="00614B44"/>
    <w:rsid w:val="00616511"/>
    <w:rsid w:val="006176ED"/>
    <w:rsid w:val="006202F3"/>
    <w:rsid w:val="0062097A"/>
    <w:rsid w:val="00621DA6"/>
    <w:rsid w:val="00623CFE"/>
    <w:rsid w:val="0062440A"/>
    <w:rsid w:val="00624FC0"/>
    <w:rsid w:val="00626BE0"/>
    <w:rsid w:val="00627163"/>
    <w:rsid w:val="00627221"/>
    <w:rsid w:val="00627EE8"/>
    <w:rsid w:val="006316FA"/>
    <w:rsid w:val="006370D2"/>
    <w:rsid w:val="006372B5"/>
    <w:rsid w:val="0064074F"/>
    <w:rsid w:val="00641F55"/>
    <w:rsid w:val="00645E4A"/>
    <w:rsid w:val="00653688"/>
    <w:rsid w:val="00657148"/>
    <w:rsid w:val="0066091B"/>
    <w:rsid w:val="00660FF6"/>
    <w:rsid w:val="006660E9"/>
    <w:rsid w:val="00667249"/>
    <w:rsid w:val="00667558"/>
    <w:rsid w:val="00671523"/>
    <w:rsid w:val="0067349E"/>
    <w:rsid w:val="006751B5"/>
    <w:rsid w:val="006754EF"/>
    <w:rsid w:val="00676C8D"/>
    <w:rsid w:val="00676F1F"/>
    <w:rsid w:val="00677381"/>
    <w:rsid w:val="00677414"/>
    <w:rsid w:val="006832CF"/>
    <w:rsid w:val="00683A21"/>
    <w:rsid w:val="0068521C"/>
    <w:rsid w:val="0068601E"/>
    <w:rsid w:val="0069486B"/>
    <w:rsid w:val="00697E59"/>
    <w:rsid w:val="006A0CB6"/>
    <w:rsid w:val="006A1B41"/>
    <w:rsid w:val="006A4904"/>
    <w:rsid w:val="006A548F"/>
    <w:rsid w:val="006A6744"/>
    <w:rsid w:val="006A701A"/>
    <w:rsid w:val="006A7631"/>
    <w:rsid w:val="006A7635"/>
    <w:rsid w:val="006B64DC"/>
    <w:rsid w:val="006B7A91"/>
    <w:rsid w:val="006C6A97"/>
    <w:rsid w:val="006D1740"/>
    <w:rsid w:val="006D4704"/>
    <w:rsid w:val="006D6A2D"/>
    <w:rsid w:val="006E0A45"/>
    <w:rsid w:val="006E1E18"/>
    <w:rsid w:val="006E2258"/>
    <w:rsid w:val="006E31CE"/>
    <w:rsid w:val="006E34D3"/>
    <w:rsid w:val="006E61FD"/>
    <w:rsid w:val="006F1435"/>
    <w:rsid w:val="006F42A8"/>
    <w:rsid w:val="006F78C4"/>
    <w:rsid w:val="007031A0"/>
    <w:rsid w:val="00703F77"/>
    <w:rsid w:val="00705A29"/>
    <w:rsid w:val="00707498"/>
    <w:rsid w:val="00711A65"/>
    <w:rsid w:val="00711D08"/>
    <w:rsid w:val="00714133"/>
    <w:rsid w:val="00714DA4"/>
    <w:rsid w:val="007158B2"/>
    <w:rsid w:val="00716081"/>
    <w:rsid w:val="007170E5"/>
    <w:rsid w:val="00722B48"/>
    <w:rsid w:val="00724164"/>
    <w:rsid w:val="00725DE7"/>
    <w:rsid w:val="00725FE8"/>
    <w:rsid w:val="0072636A"/>
    <w:rsid w:val="00726B44"/>
    <w:rsid w:val="007273AF"/>
    <w:rsid w:val="007318DD"/>
    <w:rsid w:val="007329C7"/>
    <w:rsid w:val="00733167"/>
    <w:rsid w:val="00740D2C"/>
    <w:rsid w:val="00742CA6"/>
    <w:rsid w:val="00744BF9"/>
    <w:rsid w:val="00746901"/>
    <w:rsid w:val="00751DE8"/>
    <w:rsid w:val="00752623"/>
    <w:rsid w:val="007560C7"/>
    <w:rsid w:val="00760F1F"/>
    <w:rsid w:val="00762BB7"/>
    <w:rsid w:val="0076423E"/>
    <w:rsid w:val="007646CB"/>
    <w:rsid w:val="0076658F"/>
    <w:rsid w:val="00767426"/>
    <w:rsid w:val="0077040A"/>
    <w:rsid w:val="00772D64"/>
    <w:rsid w:val="00773941"/>
    <w:rsid w:val="0077627C"/>
    <w:rsid w:val="00781B42"/>
    <w:rsid w:val="00790DB9"/>
    <w:rsid w:val="00791221"/>
    <w:rsid w:val="007919FF"/>
    <w:rsid w:val="00792609"/>
    <w:rsid w:val="00792887"/>
    <w:rsid w:val="00792A1B"/>
    <w:rsid w:val="0079348E"/>
    <w:rsid w:val="007943E2"/>
    <w:rsid w:val="00794F2C"/>
    <w:rsid w:val="007973ED"/>
    <w:rsid w:val="007A020A"/>
    <w:rsid w:val="007A1125"/>
    <w:rsid w:val="007A3BC7"/>
    <w:rsid w:val="007A449D"/>
    <w:rsid w:val="007A5AC4"/>
    <w:rsid w:val="007A73AC"/>
    <w:rsid w:val="007B0FDD"/>
    <w:rsid w:val="007B30D2"/>
    <w:rsid w:val="007B4802"/>
    <w:rsid w:val="007B6668"/>
    <w:rsid w:val="007B6B33"/>
    <w:rsid w:val="007B70F4"/>
    <w:rsid w:val="007C16D3"/>
    <w:rsid w:val="007C2701"/>
    <w:rsid w:val="007C2C07"/>
    <w:rsid w:val="007C52F2"/>
    <w:rsid w:val="007D0D59"/>
    <w:rsid w:val="007D18D1"/>
    <w:rsid w:val="007D2192"/>
    <w:rsid w:val="007D658A"/>
    <w:rsid w:val="007D68F9"/>
    <w:rsid w:val="007E2047"/>
    <w:rsid w:val="007E346C"/>
    <w:rsid w:val="007F0021"/>
    <w:rsid w:val="007F2F52"/>
    <w:rsid w:val="007F6F4C"/>
    <w:rsid w:val="00801F71"/>
    <w:rsid w:val="0080269E"/>
    <w:rsid w:val="00805F28"/>
    <w:rsid w:val="0080749F"/>
    <w:rsid w:val="00811D46"/>
    <w:rsid w:val="008125B0"/>
    <w:rsid w:val="008144CB"/>
    <w:rsid w:val="00821717"/>
    <w:rsid w:val="00824210"/>
    <w:rsid w:val="008263C0"/>
    <w:rsid w:val="00827522"/>
    <w:rsid w:val="00837F3B"/>
    <w:rsid w:val="00841422"/>
    <w:rsid w:val="00841D3B"/>
    <w:rsid w:val="0084314C"/>
    <w:rsid w:val="00843171"/>
    <w:rsid w:val="00847B99"/>
    <w:rsid w:val="00851D0B"/>
    <w:rsid w:val="008575C3"/>
    <w:rsid w:val="00863D28"/>
    <w:rsid w:val="008648C3"/>
    <w:rsid w:val="00880F26"/>
    <w:rsid w:val="00883134"/>
    <w:rsid w:val="00887F48"/>
    <w:rsid w:val="00892591"/>
    <w:rsid w:val="00894944"/>
    <w:rsid w:val="00896C2E"/>
    <w:rsid w:val="008A408B"/>
    <w:rsid w:val="008A5095"/>
    <w:rsid w:val="008A608F"/>
    <w:rsid w:val="008A6D56"/>
    <w:rsid w:val="008B0DE9"/>
    <w:rsid w:val="008B1A9A"/>
    <w:rsid w:val="008B4FE6"/>
    <w:rsid w:val="008B5F63"/>
    <w:rsid w:val="008B6C37"/>
    <w:rsid w:val="008C3CEE"/>
    <w:rsid w:val="008C7922"/>
    <w:rsid w:val="008D03A4"/>
    <w:rsid w:val="008E0A33"/>
    <w:rsid w:val="008E18F7"/>
    <w:rsid w:val="008E1E10"/>
    <w:rsid w:val="008E212C"/>
    <w:rsid w:val="008E291B"/>
    <w:rsid w:val="008E4F2F"/>
    <w:rsid w:val="008E60F5"/>
    <w:rsid w:val="008E74B0"/>
    <w:rsid w:val="008F7757"/>
    <w:rsid w:val="008F7DE7"/>
    <w:rsid w:val="009004F8"/>
    <w:rsid w:val="009008A8"/>
    <w:rsid w:val="00905AA0"/>
    <w:rsid w:val="009063B0"/>
    <w:rsid w:val="00907106"/>
    <w:rsid w:val="009107FD"/>
    <w:rsid w:val="0091137C"/>
    <w:rsid w:val="00911567"/>
    <w:rsid w:val="00911907"/>
    <w:rsid w:val="00911F52"/>
    <w:rsid w:val="00913EA2"/>
    <w:rsid w:val="00914FD7"/>
    <w:rsid w:val="00917AAE"/>
    <w:rsid w:val="00920A05"/>
    <w:rsid w:val="00920CA0"/>
    <w:rsid w:val="00924BFF"/>
    <w:rsid w:val="009251A9"/>
    <w:rsid w:val="009301FB"/>
    <w:rsid w:val="00930699"/>
    <w:rsid w:val="00931F69"/>
    <w:rsid w:val="00932306"/>
    <w:rsid w:val="00934035"/>
    <w:rsid w:val="00934123"/>
    <w:rsid w:val="0093456B"/>
    <w:rsid w:val="009412FC"/>
    <w:rsid w:val="0094236F"/>
    <w:rsid w:val="00945124"/>
    <w:rsid w:val="00945179"/>
    <w:rsid w:val="00950CA7"/>
    <w:rsid w:val="00955774"/>
    <w:rsid w:val="0095600B"/>
    <w:rsid w:val="009560B5"/>
    <w:rsid w:val="00956104"/>
    <w:rsid w:val="0095700F"/>
    <w:rsid w:val="00957EE5"/>
    <w:rsid w:val="00962E83"/>
    <w:rsid w:val="0096446A"/>
    <w:rsid w:val="00966570"/>
    <w:rsid w:val="009703D6"/>
    <w:rsid w:val="00970DEA"/>
    <w:rsid w:val="0097181B"/>
    <w:rsid w:val="00976DC5"/>
    <w:rsid w:val="009777F7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87D72"/>
    <w:rsid w:val="00991F96"/>
    <w:rsid w:val="00993215"/>
    <w:rsid w:val="009949ED"/>
    <w:rsid w:val="00996F0A"/>
    <w:rsid w:val="009A1D86"/>
    <w:rsid w:val="009A77E2"/>
    <w:rsid w:val="009B0159"/>
    <w:rsid w:val="009B049C"/>
    <w:rsid w:val="009B11C8"/>
    <w:rsid w:val="009B140E"/>
    <w:rsid w:val="009B2BCF"/>
    <w:rsid w:val="009B2FF8"/>
    <w:rsid w:val="009B5BA3"/>
    <w:rsid w:val="009B6CB1"/>
    <w:rsid w:val="009C0373"/>
    <w:rsid w:val="009D0027"/>
    <w:rsid w:val="009D0655"/>
    <w:rsid w:val="009D2BAE"/>
    <w:rsid w:val="009D5D76"/>
    <w:rsid w:val="009E1C69"/>
    <w:rsid w:val="009E1E98"/>
    <w:rsid w:val="009E3ABE"/>
    <w:rsid w:val="009E3C4B"/>
    <w:rsid w:val="009E3E50"/>
    <w:rsid w:val="009F0637"/>
    <w:rsid w:val="009F310E"/>
    <w:rsid w:val="009F408E"/>
    <w:rsid w:val="009F62A6"/>
    <w:rsid w:val="009F66D1"/>
    <w:rsid w:val="009F674F"/>
    <w:rsid w:val="009F799E"/>
    <w:rsid w:val="00A02020"/>
    <w:rsid w:val="00A02DEB"/>
    <w:rsid w:val="00A056CB"/>
    <w:rsid w:val="00A07699"/>
    <w:rsid w:val="00A0791A"/>
    <w:rsid w:val="00A07A29"/>
    <w:rsid w:val="00A10FF1"/>
    <w:rsid w:val="00A14B7B"/>
    <w:rsid w:val="00A1506B"/>
    <w:rsid w:val="00A17CB2"/>
    <w:rsid w:val="00A22779"/>
    <w:rsid w:val="00A23191"/>
    <w:rsid w:val="00A25BBB"/>
    <w:rsid w:val="00A319C0"/>
    <w:rsid w:val="00A33560"/>
    <w:rsid w:val="00A35429"/>
    <w:rsid w:val="00A364E4"/>
    <w:rsid w:val="00A371A5"/>
    <w:rsid w:val="00A42680"/>
    <w:rsid w:val="00A460B2"/>
    <w:rsid w:val="00A473AF"/>
    <w:rsid w:val="00A47BDF"/>
    <w:rsid w:val="00A51CD7"/>
    <w:rsid w:val="00A52002"/>
    <w:rsid w:val="00A52ADB"/>
    <w:rsid w:val="00A533E8"/>
    <w:rsid w:val="00A542D9"/>
    <w:rsid w:val="00A56E64"/>
    <w:rsid w:val="00A57047"/>
    <w:rsid w:val="00A6227C"/>
    <w:rsid w:val="00A624C3"/>
    <w:rsid w:val="00A6641C"/>
    <w:rsid w:val="00A702DE"/>
    <w:rsid w:val="00A7360E"/>
    <w:rsid w:val="00A767D2"/>
    <w:rsid w:val="00A77616"/>
    <w:rsid w:val="00A805DA"/>
    <w:rsid w:val="00A811B4"/>
    <w:rsid w:val="00A84B81"/>
    <w:rsid w:val="00A872E3"/>
    <w:rsid w:val="00A874E8"/>
    <w:rsid w:val="00A87762"/>
    <w:rsid w:val="00A87CDE"/>
    <w:rsid w:val="00A91CED"/>
    <w:rsid w:val="00A91F02"/>
    <w:rsid w:val="00A92BAF"/>
    <w:rsid w:val="00A94737"/>
    <w:rsid w:val="00A94BA3"/>
    <w:rsid w:val="00A960C8"/>
    <w:rsid w:val="00A96B46"/>
    <w:rsid w:val="00A96CBA"/>
    <w:rsid w:val="00AA6A60"/>
    <w:rsid w:val="00AB1518"/>
    <w:rsid w:val="00AB1ACD"/>
    <w:rsid w:val="00AB277F"/>
    <w:rsid w:val="00AB3025"/>
    <w:rsid w:val="00AB4099"/>
    <w:rsid w:val="00AB449A"/>
    <w:rsid w:val="00AB54E5"/>
    <w:rsid w:val="00AC0374"/>
    <w:rsid w:val="00AC18C1"/>
    <w:rsid w:val="00AC24FC"/>
    <w:rsid w:val="00AC318F"/>
    <w:rsid w:val="00AC5D21"/>
    <w:rsid w:val="00AC75F9"/>
    <w:rsid w:val="00AD14F9"/>
    <w:rsid w:val="00AD35D6"/>
    <w:rsid w:val="00AD48D1"/>
    <w:rsid w:val="00AD58C5"/>
    <w:rsid w:val="00AD78E3"/>
    <w:rsid w:val="00AE36C4"/>
    <w:rsid w:val="00AE470B"/>
    <w:rsid w:val="00AE472C"/>
    <w:rsid w:val="00AE5375"/>
    <w:rsid w:val="00AE6CF8"/>
    <w:rsid w:val="00AE7739"/>
    <w:rsid w:val="00AE7A13"/>
    <w:rsid w:val="00AE7D4A"/>
    <w:rsid w:val="00AF0099"/>
    <w:rsid w:val="00AF212D"/>
    <w:rsid w:val="00AF4CAC"/>
    <w:rsid w:val="00AF5B23"/>
    <w:rsid w:val="00B01473"/>
    <w:rsid w:val="00B03E0D"/>
    <w:rsid w:val="00B04D1F"/>
    <w:rsid w:val="00B054F8"/>
    <w:rsid w:val="00B05869"/>
    <w:rsid w:val="00B07E52"/>
    <w:rsid w:val="00B16458"/>
    <w:rsid w:val="00B16785"/>
    <w:rsid w:val="00B2219A"/>
    <w:rsid w:val="00B22D18"/>
    <w:rsid w:val="00B237F2"/>
    <w:rsid w:val="00B264EE"/>
    <w:rsid w:val="00B3581B"/>
    <w:rsid w:val="00B36B81"/>
    <w:rsid w:val="00B36FE4"/>
    <w:rsid w:val="00B36FEE"/>
    <w:rsid w:val="00B37C80"/>
    <w:rsid w:val="00B44A19"/>
    <w:rsid w:val="00B46E8B"/>
    <w:rsid w:val="00B47BAE"/>
    <w:rsid w:val="00B5092B"/>
    <w:rsid w:val="00B5194E"/>
    <w:rsid w:val="00B51968"/>
    <w:rsid w:val="00B51AF5"/>
    <w:rsid w:val="00B531FC"/>
    <w:rsid w:val="00B55347"/>
    <w:rsid w:val="00B57E5E"/>
    <w:rsid w:val="00B60221"/>
    <w:rsid w:val="00B61F37"/>
    <w:rsid w:val="00B62935"/>
    <w:rsid w:val="00B62FEB"/>
    <w:rsid w:val="00B6433D"/>
    <w:rsid w:val="00B67045"/>
    <w:rsid w:val="00B70F7D"/>
    <w:rsid w:val="00B72830"/>
    <w:rsid w:val="00B76377"/>
    <w:rsid w:val="00B7770F"/>
    <w:rsid w:val="00B77A89"/>
    <w:rsid w:val="00B77B27"/>
    <w:rsid w:val="00B77D5B"/>
    <w:rsid w:val="00B8134E"/>
    <w:rsid w:val="00B81B55"/>
    <w:rsid w:val="00B84095"/>
    <w:rsid w:val="00B84613"/>
    <w:rsid w:val="00B87AF0"/>
    <w:rsid w:val="00B9037B"/>
    <w:rsid w:val="00B910BD"/>
    <w:rsid w:val="00B93834"/>
    <w:rsid w:val="00B94F0B"/>
    <w:rsid w:val="00B957A7"/>
    <w:rsid w:val="00B96469"/>
    <w:rsid w:val="00BA0DA2"/>
    <w:rsid w:val="00BA2981"/>
    <w:rsid w:val="00BA42EE"/>
    <w:rsid w:val="00BA48F9"/>
    <w:rsid w:val="00BA542A"/>
    <w:rsid w:val="00BA6BCE"/>
    <w:rsid w:val="00BB0DCA"/>
    <w:rsid w:val="00BB1404"/>
    <w:rsid w:val="00BB2666"/>
    <w:rsid w:val="00BB4874"/>
    <w:rsid w:val="00BB6B80"/>
    <w:rsid w:val="00BC3773"/>
    <w:rsid w:val="00BC381A"/>
    <w:rsid w:val="00BC665C"/>
    <w:rsid w:val="00BC6763"/>
    <w:rsid w:val="00BD044C"/>
    <w:rsid w:val="00BD0962"/>
    <w:rsid w:val="00BD1A7F"/>
    <w:rsid w:val="00BD1EED"/>
    <w:rsid w:val="00BD3F35"/>
    <w:rsid w:val="00BD66CB"/>
    <w:rsid w:val="00BD6A74"/>
    <w:rsid w:val="00BE2636"/>
    <w:rsid w:val="00BE5A0D"/>
    <w:rsid w:val="00BF0DA2"/>
    <w:rsid w:val="00BF109C"/>
    <w:rsid w:val="00BF2B48"/>
    <w:rsid w:val="00BF34FA"/>
    <w:rsid w:val="00C004B6"/>
    <w:rsid w:val="00C046A4"/>
    <w:rsid w:val="00C047A7"/>
    <w:rsid w:val="00C04964"/>
    <w:rsid w:val="00C04A6C"/>
    <w:rsid w:val="00C05DE5"/>
    <w:rsid w:val="00C069D9"/>
    <w:rsid w:val="00C127A7"/>
    <w:rsid w:val="00C16355"/>
    <w:rsid w:val="00C2021A"/>
    <w:rsid w:val="00C246FF"/>
    <w:rsid w:val="00C255FB"/>
    <w:rsid w:val="00C27BD1"/>
    <w:rsid w:val="00C30D93"/>
    <w:rsid w:val="00C33027"/>
    <w:rsid w:val="00C35C19"/>
    <w:rsid w:val="00C35C54"/>
    <w:rsid w:val="00C37667"/>
    <w:rsid w:val="00C435DB"/>
    <w:rsid w:val="00C44D73"/>
    <w:rsid w:val="00C44E40"/>
    <w:rsid w:val="00C50B42"/>
    <w:rsid w:val="00C516FF"/>
    <w:rsid w:val="00C52BFA"/>
    <w:rsid w:val="00C53D1D"/>
    <w:rsid w:val="00C53F26"/>
    <w:rsid w:val="00C540BC"/>
    <w:rsid w:val="00C545DC"/>
    <w:rsid w:val="00C620C4"/>
    <w:rsid w:val="00C64D7A"/>
    <w:rsid w:val="00C64F7D"/>
    <w:rsid w:val="00C671B6"/>
    <w:rsid w:val="00C67309"/>
    <w:rsid w:val="00C73355"/>
    <w:rsid w:val="00C74407"/>
    <w:rsid w:val="00C7614E"/>
    <w:rsid w:val="00C77BF1"/>
    <w:rsid w:val="00C77E3F"/>
    <w:rsid w:val="00C80D60"/>
    <w:rsid w:val="00C82FBD"/>
    <w:rsid w:val="00C84BBA"/>
    <w:rsid w:val="00C84F65"/>
    <w:rsid w:val="00C85267"/>
    <w:rsid w:val="00C8721B"/>
    <w:rsid w:val="00C87875"/>
    <w:rsid w:val="00C90F50"/>
    <w:rsid w:val="00C916F0"/>
    <w:rsid w:val="00C91CC6"/>
    <w:rsid w:val="00C9372C"/>
    <w:rsid w:val="00C9470E"/>
    <w:rsid w:val="00C95CEB"/>
    <w:rsid w:val="00CA1054"/>
    <w:rsid w:val="00CA63EB"/>
    <w:rsid w:val="00CA69F1"/>
    <w:rsid w:val="00CB5B25"/>
    <w:rsid w:val="00CB5ED5"/>
    <w:rsid w:val="00CB6991"/>
    <w:rsid w:val="00CB7263"/>
    <w:rsid w:val="00CC2329"/>
    <w:rsid w:val="00CC45D4"/>
    <w:rsid w:val="00CC6194"/>
    <w:rsid w:val="00CC6305"/>
    <w:rsid w:val="00CC78A5"/>
    <w:rsid w:val="00CD0516"/>
    <w:rsid w:val="00CD0FA2"/>
    <w:rsid w:val="00CD756B"/>
    <w:rsid w:val="00CD7600"/>
    <w:rsid w:val="00CE1543"/>
    <w:rsid w:val="00CE3E1A"/>
    <w:rsid w:val="00CE44F6"/>
    <w:rsid w:val="00CE734F"/>
    <w:rsid w:val="00CF112E"/>
    <w:rsid w:val="00CF5F4F"/>
    <w:rsid w:val="00D0002F"/>
    <w:rsid w:val="00D01BDA"/>
    <w:rsid w:val="00D01EEE"/>
    <w:rsid w:val="00D030CA"/>
    <w:rsid w:val="00D05B65"/>
    <w:rsid w:val="00D05E0E"/>
    <w:rsid w:val="00D06421"/>
    <w:rsid w:val="00D0784F"/>
    <w:rsid w:val="00D12FFD"/>
    <w:rsid w:val="00D218D3"/>
    <w:rsid w:val="00D218DC"/>
    <w:rsid w:val="00D23153"/>
    <w:rsid w:val="00D24E56"/>
    <w:rsid w:val="00D26F6A"/>
    <w:rsid w:val="00D2709F"/>
    <w:rsid w:val="00D27AD2"/>
    <w:rsid w:val="00D31643"/>
    <w:rsid w:val="00D31AEB"/>
    <w:rsid w:val="00D32ECD"/>
    <w:rsid w:val="00D361E4"/>
    <w:rsid w:val="00D42A8F"/>
    <w:rsid w:val="00D42E35"/>
    <w:rsid w:val="00D42F43"/>
    <w:rsid w:val="00D439F6"/>
    <w:rsid w:val="00D43A4A"/>
    <w:rsid w:val="00D459C6"/>
    <w:rsid w:val="00D50729"/>
    <w:rsid w:val="00D50C19"/>
    <w:rsid w:val="00D5379E"/>
    <w:rsid w:val="00D55CD0"/>
    <w:rsid w:val="00D62643"/>
    <w:rsid w:val="00D64C0F"/>
    <w:rsid w:val="00D64E0F"/>
    <w:rsid w:val="00D65825"/>
    <w:rsid w:val="00D66502"/>
    <w:rsid w:val="00D72E18"/>
    <w:rsid w:val="00D72EFE"/>
    <w:rsid w:val="00D751E6"/>
    <w:rsid w:val="00D76227"/>
    <w:rsid w:val="00D77198"/>
    <w:rsid w:val="00D77DF1"/>
    <w:rsid w:val="00D8640C"/>
    <w:rsid w:val="00D86AFF"/>
    <w:rsid w:val="00D8783D"/>
    <w:rsid w:val="00D95A44"/>
    <w:rsid w:val="00D95D16"/>
    <w:rsid w:val="00D97C76"/>
    <w:rsid w:val="00DA1797"/>
    <w:rsid w:val="00DB02B4"/>
    <w:rsid w:val="00DB05EE"/>
    <w:rsid w:val="00DB0CB4"/>
    <w:rsid w:val="00DB538D"/>
    <w:rsid w:val="00DB72DF"/>
    <w:rsid w:val="00DC275C"/>
    <w:rsid w:val="00DC4B0D"/>
    <w:rsid w:val="00DC54E6"/>
    <w:rsid w:val="00DC7FE1"/>
    <w:rsid w:val="00DD2533"/>
    <w:rsid w:val="00DD3F3F"/>
    <w:rsid w:val="00DD5572"/>
    <w:rsid w:val="00DE5D80"/>
    <w:rsid w:val="00DF06B3"/>
    <w:rsid w:val="00DF58CD"/>
    <w:rsid w:val="00DF65DE"/>
    <w:rsid w:val="00DF6E06"/>
    <w:rsid w:val="00DF7310"/>
    <w:rsid w:val="00DF7B39"/>
    <w:rsid w:val="00E00D33"/>
    <w:rsid w:val="00E019A5"/>
    <w:rsid w:val="00E01AE9"/>
    <w:rsid w:val="00E02683"/>
    <w:rsid w:val="00E02EC8"/>
    <w:rsid w:val="00E037F5"/>
    <w:rsid w:val="00E048A7"/>
    <w:rsid w:val="00E04ECB"/>
    <w:rsid w:val="00E05A09"/>
    <w:rsid w:val="00E067DD"/>
    <w:rsid w:val="00E06CA1"/>
    <w:rsid w:val="00E13EF6"/>
    <w:rsid w:val="00E15ED4"/>
    <w:rsid w:val="00E172B8"/>
    <w:rsid w:val="00E17FB4"/>
    <w:rsid w:val="00E20B75"/>
    <w:rsid w:val="00E214F2"/>
    <w:rsid w:val="00E2371E"/>
    <w:rsid w:val="00E24BD7"/>
    <w:rsid w:val="00E26523"/>
    <w:rsid w:val="00E26809"/>
    <w:rsid w:val="00E26851"/>
    <w:rsid w:val="00E26A1B"/>
    <w:rsid w:val="00E3412D"/>
    <w:rsid w:val="00E42419"/>
    <w:rsid w:val="00E44127"/>
    <w:rsid w:val="00E50D83"/>
    <w:rsid w:val="00E55B1C"/>
    <w:rsid w:val="00E57322"/>
    <w:rsid w:val="00E628CB"/>
    <w:rsid w:val="00E62AD9"/>
    <w:rsid w:val="00E638C8"/>
    <w:rsid w:val="00E715BD"/>
    <w:rsid w:val="00E7509B"/>
    <w:rsid w:val="00E75D29"/>
    <w:rsid w:val="00E80BAF"/>
    <w:rsid w:val="00E85E2D"/>
    <w:rsid w:val="00E86590"/>
    <w:rsid w:val="00E907FF"/>
    <w:rsid w:val="00E95ABE"/>
    <w:rsid w:val="00EA0217"/>
    <w:rsid w:val="00EA0A8C"/>
    <w:rsid w:val="00EA2C65"/>
    <w:rsid w:val="00EA42D1"/>
    <w:rsid w:val="00EA42EF"/>
    <w:rsid w:val="00EA7390"/>
    <w:rsid w:val="00EA7631"/>
    <w:rsid w:val="00EB2D36"/>
    <w:rsid w:val="00EB2DD1"/>
    <w:rsid w:val="00EB3E6F"/>
    <w:rsid w:val="00EB3FAF"/>
    <w:rsid w:val="00EB6B37"/>
    <w:rsid w:val="00EC2763"/>
    <w:rsid w:val="00EC29FE"/>
    <w:rsid w:val="00EC3C70"/>
    <w:rsid w:val="00EC52CE"/>
    <w:rsid w:val="00ED08C0"/>
    <w:rsid w:val="00ED2861"/>
    <w:rsid w:val="00ED3A3D"/>
    <w:rsid w:val="00ED538A"/>
    <w:rsid w:val="00ED6FBC"/>
    <w:rsid w:val="00EE2F16"/>
    <w:rsid w:val="00EE3861"/>
    <w:rsid w:val="00EE3F71"/>
    <w:rsid w:val="00EE6A1B"/>
    <w:rsid w:val="00EF2E73"/>
    <w:rsid w:val="00EF63A3"/>
    <w:rsid w:val="00EF7683"/>
    <w:rsid w:val="00EF7A2D"/>
    <w:rsid w:val="00F02521"/>
    <w:rsid w:val="00F02889"/>
    <w:rsid w:val="00F04F8D"/>
    <w:rsid w:val="00F05DA3"/>
    <w:rsid w:val="00F10AD0"/>
    <w:rsid w:val="00F116CC"/>
    <w:rsid w:val="00F12BD1"/>
    <w:rsid w:val="00F15327"/>
    <w:rsid w:val="00F16191"/>
    <w:rsid w:val="00F168CF"/>
    <w:rsid w:val="00F2555C"/>
    <w:rsid w:val="00F31485"/>
    <w:rsid w:val="00F31DF3"/>
    <w:rsid w:val="00F33AE5"/>
    <w:rsid w:val="00F3597D"/>
    <w:rsid w:val="00F37EFF"/>
    <w:rsid w:val="00F4040E"/>
    <w:rsid w:val="00F411CE"/>
    <w:rsid w:val="00F4376D"/>
    <w:rsid w:val="00F43ADF"/>
    <w:rsid w:val="00F45399"/>
    <w:rsid w:val="00F465EA"/>
    <w:rsid w:val="00F53521"/>
    <w:rsid w:val="00F54E7B"/>
    <w:rsid w:val="00F55A88"/>
    <w:rsid w:val="00F6509F"/>
    <w:rsid w:val="00F650CE"/>
    <w:rsid w:val="00F668E5"/>
    <w:rsid w:val="00F74005"/>
    <w:rsid w:val="00F75E8F"/>
    <w:rsid w:val="00F76884"/>
    <w:rsid w:val="00F82230"/>
    <w:rsid w:val="00F83D24"/>
    <w:rsid w:val="00F83DD9"/>
    <w:rsid w:val="00F83F40"/>
    <w:rsid w:val="00F90C1F"/>
    <w:rsid w:val="00F9368F"/>
    <w:rsid w:val="00F95EBD"/>
    <w:rsid w:val="00F979C2"/>
    <w:rsid w:val="00FA117A"/>
    <w:rsid w:val="00FA25E8"/>
    <w:rsid w:val="00FA2AC9"/>
    <w:rsid w:val="00FA2CBE"/>
    <w:rsid w:val="00FA4030"/>
    <w:rsid w:val="00FA5274"/>
    <w:rsid w:val="00FA6BC0"/>
    <w:rsid w:val="00FB386A"/>
    <w:rsid w:val="00FB4FE2"/>
    <w:rsid w:val="00FC0786"/>
    <w:rsid w:val="00FC0D58"/>
    <w:rsid w:val="00FC49EF"/>
    <w:rsid w:val="00FD09D0"/>
    <w:rsid w:val="00FE0DD1"/>
    <w:rsid w:val="00FE104C"/>
    <w:rsid w:val="00FE2E53"/>
    <w:rsid w:val="00FE36E2"/>
    <w:rsid w:val="00FF11AD"/>
    <w:rsid w:val="00FF2971"/>
    <w:rsid w:val="00FF34D4"/>
    <w:rsid w:val="00FF5943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0D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46DF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017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Kkursywa">
    <w:name w:val="_K_ – kursywa"/>
    <w:uiPriority w:val="1"/>
    <w:qFormat/>
    <w:rsid w:val="0010170A"/>
    <w:rPr>
      <w:i/>
    </w:rPr>
  </w:style>
  <w:style w:type="character" w:customStyle="1" w:styleId="IGindeksgrny">
    <w:name w:val="_IG_ – indeks górny"/>
    <w:uiPriority w:val="2"/>
    <w:qFormat/>
    <w:rsid w:val="0010170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0170A"/>
    <w:rPr>
      <w:b w:val="0"/>
      <w:i w:val="0"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DB05EE"/>
    <w:rPr>
      <w:b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DF7310"/>
    <w:rPr>
      <w:vanish w:val="0"/>
      <w:color w:val="FF0000"/>
      <w:u w:val="single" w:color="FF000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156FC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771B5"/>
    <w:pPr>
      <w:spacing w:before="0"/>
    </w:pPr>
    <w:rPr>
      <w:rFonts w:eastAsiaTheme="minorEastAsia"/>
      <w:bCs/>
    </w:rPr>
  </w:style>
  <w:style w:type="paragraph" w:customStyle="1" w:styleId="PKTpunkt">
    <w:name w:val="PKT – punkt"/>
    <w:uiPriority w:val="13"/>
    <w:qFormat/>
    <w:rsid w:val="001771B5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771B5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E85E2D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LITODNONIKAliteraodnonika">
    <w:name w:val="LIT_ODNOŚNIKA – litera odnośnika"/>
    <w:basedOn w:val="Normalny"/>
    <w:uiPriority w:val="20"/>
    <w:qFormat/>
    <w:rsid w:val="00E85E2D"/>
    <w:pPr>
      <w:spacing w:line="240" w:lineRule="auto"/>
      <w:ind w:left="851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wierzchowsk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AC9D-B920-434D-B4CF-47B46191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3647</Words>
  <Characters>21882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25479</CharactersWithSpaces>
  <SharedDoc>false</SharedDoc>
  <HLinks>
    <vt:vector size="6" baseType="variant"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mailto:pawel.wendler@mf.gov.pl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2021-11-25T07:43:00Z</dcterms:created>
  <dcterms:modified xsi:type="dcterms:W3CDTF">2021-11-25T07:43:00Z</dcterms:modified>
</cp:coreProperties>
</file>