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26B3A" w14:textId="7A10D3FB" w:rsidR="00A81169" w:rsidRPr="00051923" w:rsidRDefault="00A81169" w:rsidP="009B6CC6">
      <w:pPr>
        <w:pStyle w:val="OZNPROJEKTUwskazaniedatylubwersjiprojektu"/>
        <w:keepNext/>
      </w:pPr>
      <w:bookmarkStart w:id="0" w:name="_GoBack"/>
      <w:bookmarkEnd w:id="0"/>
      <w:r w:rsidRPr="00051923">
        <w:t xml:space="preserve">Projekt z dnia </w:t>
      </w:r>
      <w:r w:rsidR="00DC48A4">
        <w:t>2</w:t>
      </w:r>
      <w:r w:rsidR="00B31D57">
        <w:t>3</w:t>
      </w:r>
      <w:r w:rsidR="00413D3E">
        <w:t xml:space="preserve"> listopada</w:t>
      </w:r>
      <w:r w:rsidR="00413D3E" w:rsidRPr="00051923">
        <w:t xml:space="preserve"> </w:t>
      </w:r>
      <w:r w:rsidRPr="00051923">
        <w:t>2021</w:t>
      </w:r>
      <w:r w:rsidR="00734628" w:rsidRPr="00051923">
        <w:t xml:space="preserve"> </w:t>
      </w:r>
      <w:r w:rsidRPr="00051923">
        <w:t>r.</w:t>
      </w:r>
    </w:p>
    <w:p w14:paraId="3E286783" w14:textId="77777777" w:rsidR="00A81169" w:rsidRPr="00051923" w:rsidRDefault="00A81169" w:rsidP="00A81169">
      <w:pPr>
        <w:pStyle w:val="OZNRODZAKTUtznustawalubrozporzdzenieiorganwydajcy"/>
      </w:pPr>
      <w:r w:rsidRPr="00051923">
        <w:t>ROZPORZĄDZENIE</w:t>
      </w:r>
    </w:p>
    <w:p w14:paraId="2F17E575" w14:textId="17352F43" w:rsidR="00A81169" w:rsidRPr="00051923" w:rsidRDefault="00A81169" w:rsidP="00A81169">
      <w:pPr>
        <w:pStyle w:val="OZNRODZAKTUtznustawalubrozporzdzenieiorganwydajcy"/>
      </w:pPr>
      <w:r w:rsidRPr="00051923">
        <w:t>MINISTRA FINANSÓW</w:t>
      </w:r>
      <w:r w:rsidRPr="00051923">
        <w:rPr>
          <w:rStyle w:val="IGPindeksgrnyipogrubienie"/>
        </w:rPr>
        <w:footnoteReference w:id="1"/>
      </w:r>
      <w:r w:rsidRPr="00051923">
        <w:rPr>
          <w:rStyle w:val="IGPindeksgrnyipogrubienie"/>
        </w:rPr>
        <w:t>)</w:t>
      </w:r>
    </w:p>
    <w:p w14:paraId="42CA7D50" w14:textId="77777777" w:rsidR="00A81169" w:rsidRPr="00051923" w:rsidRDefault="00A81169" w:rsidP="00A81169">
      <w:pPr>
        <w:pStyle w:val="DATAAKTUdatauchwalenialubwydaniaaktu"/>
      </w:pPr>
      <w:r w:rsidRPr="00051923">
        <w:t>z dnia ……………………2021 r.</w:t>
      </w:r>
    </w:p>
    <w:p w14:paraId="6D364EA9" w14:textId="6F10AF8C" w:rsidR="00A81169" w:rsidRPr="00051923" w:rsidRDefault="00A81169" w:rsidP="009B6CC6">
      <w:pPr>
        <w:pStyle w:val="TYTUAKTUprzedmiotregulacjiustawylubrozporzdzenia"/>
      </w:pPr>
      <w:r w:rsidRPr="00051923">
        <w:t xml:space="preserve">zmieniające rozporządzenie </w:t>
      </w:r>
      <w:r w:rsidR="00295610" w:rsidRPr="00051923">
        <w:t>w sprawie opłat na pokrycie kosztów nadzoru nad rynkiem kapitałowym</w:t>
      </w:r>
    </w:p>
    <w:p w14:paraId="5774991D" w14:textId="4141E03B" w:rsidR="00A81169" w:rsidRPr="00051923" w:rsidRDefault="00A81169" w:rsidP="004A7F86">
      <w:pPr>
        <w:pStyle w:val="NIEARTTEKSTtekstnieartykuowanynppodstprawnarozplubpreambua"/>
      </w:pPr>
      <w:r w:rsidRPr="00051923">
        <w:t xml:space="preserve">Na podstawie </w:t>
      </w:r>
      <w:r w:rsidR="004A7F86" w:rsidRPr="00051923">
        <w:t>art. 17 ust. 14 ustawy z dnia 29 lipca 2005 r. o nadzorze nad rynkiem kapitałowym (Dz. U. z 2020 r. poz. 1400</w:t>
      </w:r>
      <w:r w:rsidR="00CB611F">
        <w:t xml:space="preserve"> i 2320 oraz z 2021 r. poz. 355</w:t>
      </w:r>
      <w:r w:rsidR="004A7F86" w:rsidRPr="00051923">
        <w:t xml:space="preserve">) </w:t>
      </w:r>
      <w:r w:rsidRPr="00051923">
        <w:t>zarządza się</w:t>
      </w:r>
      <w:r w:rsidR="00241357" w:rsidRPr="00051923">
        <w:t>,</w:t>
      </w:r>
      <w:r w:rsidRPr="00051923">
        <w:t xml:space="preserve"> co następuje:</w:t>
      </w:r>
    </w:p>
    <w:p w14:paraId="2F22C0C8" w14:textId="4169AD1C" w:rsidR="00A81169" w:rsidRPr="00051923" w:rsidRDefault="00A81169" w:rsidP="00435007">
      <w:pPr>
        <w:pStyle w:val="ARTartustawynprozporzdzenia"/>
        <w:keepNext/>
      </w:pPr>
      <w:r w:rsidRPr="00051923">
        <w:rPr>
          <w:rStyle w:val="Ppogrubienie"/>
        </w:rPr>
        <w:t>§ 1.</w:t>
      </w:r>
      <w:r w:rsidRPr="00051923">
        <w:t xml:space="preserve"> W </w:t>
      </w:r>
      <w:r w:rsidR="00435007" w:rsidRPr="00051923">
        <w:t xml:space="preserve">rozporządzeniu Ministra Finansów z dnia 17 grudnia 2019 r. w sprawie opłat na pokrycie kosztów nadzoru nad rynkiem kapitałowym (Dz. U. poz. 2486) </w:t>
      </w:r>
      <w:r w:rsidRPr="00051923">
        <w:t>wprowadza się następujące zmiany:</w:t>
      </w:r>
    </w:p>
    <w:p w14:paraId="1F828EA2" w14:textId="037A4056" w:rsidR="00A81169" w:rsidRPr="00051923" w:rsidRDefault="00281344" w:rsidP="009B6CC6">
      <w:pPr>
        <w:pStyle w:val="PKTpunkt"/>
        <w:keepNext/>
      </w:pPr>
      <w:r w:rsidRPr="00051923">
        <w:t>1</w:t>
      </w:r>
      <w:r w:rsidR="00E241EE" w:rsidRPr="00051923">
        <w:t>)</w:t>
      </w:r>
      <w:r w:rsidR="00E241EE" w:rsidRPr="00051923">
        <w:tab/>
      </w:r>
      <w:r w:rsidRPr="00051923">
        <w:t>w § 1</w:t>
      </w:r>
      <w:r w:rsidR="00A81169" w:rsidRPr="00051923">
        <w:t>:</w:t>
      </w:r>
    </w:p>
    <w:p w14:paraId="15458E58" w14:textId="2712D63A" w:rsidR="00437F5A" w:rsidRDefault="00646072" w:rsidP="005E7247">
      <w:pPr>
        <w:pStyle w:val="LITlitera"/>
        <w:keepNext/>
      </w:pPr>
      <w:r>
        <w:t>a)</w:t>
      </w:r>
      <w:r w:rsidR="005E7247" w:rsidRPr="00051923">
        <w:tab/>
        <w:t xml:space="preserve">w pkt </w:t>
      </w:r>
      <w:r w:rsidR="00A81169" w:rsidRPr="00051923">
        <w:t>1</w:t>
      </w:r>
      <w:r w:rsidR="00281344" w:rsidRPr="00051923">
        <w:t xml:space="preserve"> lit. e</w:t>
      </w:r>
      <w:r w:rsidR="0034191B">
        <w:t xml:space="preserve"> </w:t>
      </w:r>
      <w:r w:rsidR="00437F5A">
        <w:t>otrzymuje brzmienie:</w:t>
      </w:r>
    </w:p>
    <w:p w14:paraId="0B12091E" w14:textId="627BBFAE" w:rsidR="00A81169" w:rsidRPr="00051923" w:rsidRDefault="00437F5A" w:rsidP="00F42DC7">
      <w:pPr>
        <w:pStyle w:val="ZLITwPKTzmlitwpktartykuempunktem"/>
      </w:pPr>
      <w:r>
        <w:t xml:space="preserve">„e) </w:t>
      </w:r>
      <w:r>
        <w:tab/>
      </w:r>
      <w:r w:rsidRPr="00437F5A">
        <w:t>dokonanie wpisu do rejestrów, o których mowa w art. 70zb ust. 1</w:t>
      </w:r>
      <w:r>
        <w:t>,</w:t>
      </w:r>
      <w:r w:rsidRPr="00437F5A">
        <w:t xml:space="preserve"> art. 263 </w:t>
      </w:r>
      <w:r>
        <w:t xml:space="preserve">i art. 263r </w:t>
      </w:r>
      <w:r w:rsidRPr="00437F5A">
        <w:t xml:space="preserve">ustawy z dnia 27 maja 2004 r. o funduszach inwestycyjnych i zarządzaniu alternatywnymi funduszami inwestycyjnymi (Dz. U. z </w:t>
      </w:r>
      <w:r>
        <w:t xml:space="preserve">2021 </w:t>
      </w:r>
      <w:r w:rsidRPr="00437F5A">
        <w:t xml:space="preserve">r. poz. </w:t>
      </w:r>
      <w:r>
        <w:t>605 i 1595), zwanej dalej „</w:t>
      </w:r>
      <w:r w:rsidRPr="00437F5A">
        <w:t>ustawą o funduszach inwestycyjnych</w:t>
      </w:r>
      <w:r>
        <w:t>”,”</w:t>
      </w:r>
      <w:r w:rsidRPr="00437F5A">
        <w:t>,</w:t>
      </w:r>
    </w:p>
    <w:p w14:paraId="66670784" w14:textId="71AEFBD2" w:rsidR="00281344" w:rsidRPr="00051923" w:rsidRDefault="00646072" w:rsidP="00281344">
      <w:pPr>
        <w:pStyle w:val="LITlitera"/>
        <w:keepNext/>
      </w:pPr>
      <w:r>
        <w:t>b)</w:t>
      </w:r>
      <w:r w:rsidR="005E7247" w:rsidRPr="00051923">
        <w:tab/>
      </w:r>
      <w:r w:rsidR="00105E9F" w:rsidRPr="00051923">
        <w:t>po</w:t>
      </w:r>
      <w:r w:rsidR="005E7247" w:rsidRPr="00051923">
        <w:t xml:space="preserve"> pkt </w:t>
      </w:r>
      <w:r w:rsidR="00AB7AB5">
        <w:t>2</w:t>
      </w:r>
      <w:r w:rsidR="00105E9F" w:rsidRPr="00051923">
        <w:t xml:space="preserve"> dodaje się pkt </w:t>
      </w:r>
      <w:r w:rsidR="00AB7AB5">
        <w:t>2</w:t>
      </w:r>
      <w:r w:rsidR="00105E9F" w:rsidRPr="00051923">
        <w:t>a w brzmieniu</w:t>
      </w:r>
      <w:r w:rsidR="00281344" w:rsidRPr="00051923">
        <w:t>:</w:t>
      </w:r>
    </w:p>
    <w:p w14:paraId="2937725A" w14:textId="10C2AF28" w:rsidR="00831116" w:rsidRDefault="005E7247">
      <w:pPr>
        <w:pStyle w:val="ZLITPKTzmpktliter"/>
      </w:pPr>
      <w:r w:rsidRPr="00051923">
        <w:t xml:space="preserve"> </w:t>
      </w:r>
      <w:r w:rsidR="00281344" w:rsidRPr="00051923">
        <w:t>„</w:t>
      </w:r>
      <w:r w:rsidR="00AB7AB5">
        <w:t>2</w:t>
      </w:r>
      <w:r w:rsidR="00817C82" w:rsidRPr="00051923">
        <w:t>a) wysokość opłat, o których mowa w art. 236 ust. 2i</w:t>
      </w:r>
      <w:r w:rsidR="00AB7AB5">
        <w:t xml:space="preserve"> i </w:t>
      </w:r>
      <w:r w:rsidR="00817C82" w:rsidRPr="00051923">
        <w:t>2j ustawy o funduszach inwestycyjnych</w:t>
      </w:r>
      <w:r w:rsidR="00AB7AB5">
        <w:t>,</w:t>
      </w:r>
      <w:r w:rsidR="00AB7AB5" w:rsidRPr="00AB7AB5">
        <w:t xml:space="preserve"> </w:t>
      </w:r>
      <w:r w:rsidR="00AB7AB5" w:rsidRPr="00051923">
        <w:t xml:space="preserve">oraz sposób i terminy </w:t>
      </w:r>
      <w:r w:rsidR="00AB7AB5">
        <w:t xml:space="preserve">ich </w:t>
      </w:r>
      <w:r w:rsidR="00AB7AB5" w:rsidRPr="00051923">
        <w:t>uiszczania</w:t>
      </w:r>
      <w:r w:rsidR="00817C82" w:rsidRPr="00051923">
        <w:t>;</w:t>
      </w:r>
      <w:r w:rsidR="0082128D">
        <w:t>”;</w:t>
      </w:r>
    </w:p>
    <w:p w14:paraId="1D5377BE" w14:textId="3D1EBF8C" w:rsidR="00AA14E0" w:rsidRDefault="00AE4D1B" w:rsidP="000D77B8">
      <w:pPr>
        <w:pStyle w:val="PKTpunkt"/>
      </w:pPr>
      <w:r>
        <w:t>2</w:t>
      </w:r>
      <w:r w:rsidR="00C26D9D">
        <w:t>)</w:t>
      </w:r>
      <w:r w:rsidR="00C26D9D">
        <w:tab/>
      </w:r>
      <w:r w:rsidR="00C26D9D" w:rsidRPr="00051923">
        <w:t>w §</w:t>
      </w:r>
      <w:r w:rsidR="00C26D9D">
        <w:t xml:space="preserve"> 2</w:t>
      </w:r>
      <w:r w:rsidR="00C137CC">
        <w:t>:</w:t>
      </w:r>
      <w:r w:rsidR="00C26D9D">
        <w:t xml:space="preserve"> </w:t>
      </w:r>
    </w:p>
    <w:p w14:paraId="5CF0C327" w14:textId="6993E0C8" w:rsidR="00C26D9D" w:rsidRDefault="00AA14E0" w:rsidP="00F42DC7">
      <w:pPr>
        <w:pStyle w:val="LITlitera"/>
      </w:pPr>
      <w:r>
        <w:t>a)</w:t>
      </w:r>
      <w:r w:rsidR="00C137CC">
        <w:tab/>
        <w:t>w ust. 1 uchyla się pkt 6,</w:t>
      </w:r>
    </w:p>
    <w:p w14:paraId="1CD02475" w14:textId="0C46A877" w:rsidR="00C137CC" w:rsidRDefault="00C137CC" w:rsidP="00F42DC7">
      <w:pPr>
        <w:pStyle w:val="LITlitera"/>
      </w:pPr>
      <w:r>
        <w:t>b)</w:t>
      </w:r>
      <w:r>
        <w:tab/>
        <w:t>po ust. 1 dodaje się ust. 1a w brzmieniu:</w:t>
      </w:r>
    </w:p>
    <w:p w14:paraId="5302CFDE" w14:textId="3B0A5422" w:rsidR="00C137CC" w:rsidRPr="00051923" w:rsidRDefault="00C137CC" w:rsidP="00F42DC7">
      <w:pPr>
        <w:pStyle w:val="ZLITUSTzmustliter"/>
      </w:pPr>
      <w:r>
        <w:t>„</w:t>
      </w:r>
      <w:r w:rsidR="008A3CC3">
        <w:t>1a.</w:t>
      </w:r>
      <w:r w:rsidR="008A3CC3">
        <w:tab/>
      </w:r>
      <w:r w:rsidRPr="00C137CC">
        <w:t>Udzielenie zezwolenia</w:t>
      </w:r>
      <w:r w:rsidR="00875477">
        <w:t>, o którym mowa w art. 27c ust. 1 rozporządzenia</w:t>
      </w:r>
      <w:r w:rsidR="00875477" w:rsidRPr="00875477">
        <w:t xml:space="preserve"> Parlamentu Europejskiego i Rady (UE) 600/2014 z dnia 15 maja 2014 r. w sprawie rynków instrumentów finansowych oraz zmieniające</w:t>
      </w:r>
      <w:r w:rsidR="00875477">
        <w:t>go</w:t>
      </w:r>
      <w:r w:rsidR="00875477" w:rsidRPr="00875477">
        <w:t xml:space="preserve"> rozporządzenie (UE) nr </w:t>
      </w:r>
      <w:r w:rsidR="00875477" w:rsidRPr="00875477">
        <w:lastRenderedPageBreak/>
        <w:t>648/2012 (Dz. Urz. UE L 173 z 12.06.2014, str. 84</w:t>
      </w:r>
      <w:r w:rsidR="00875477">
        <w:t>, z późn. zm.</w:t>
      </w:r>
      <w:r w:rsidR="00875477">
        <w:rPr>
          <w:rStyle w:val="Odwoanieprzypisudolnego"/>
        </w:rPr>
        <w:footnoteReference w:id="2"/>
      </w:r>
      <w:r w:rsidR="00875477" w:rsidRPr="00B31D57">
        <w:rPr>
          <w:rStyle w:val="IGindeksgrny"/>
        </w:rPr>
        <w:t>)</w:t>
      </w:r>
      <w:r w:rsidR="00875477" w:rsidRPr="00875477">
        <w:t>)</w:t>
      </w:r>
      <w:r w:rsidR="00875477">
        <w:t xml:space="preserve">, </w:t>
      </w:r>
      <w:r w:rsidRPr="00C137CC">
        <w:t xml:space="preserve">zatwierdzonemu podmiotowi publikującemu lub zatwierdzonemu mechanizmowi sprawozdawczemu podlega opłacie w wysokości </w:t>
      </w:r>
      <w:r>
        <w:t>równowartości</w:t>
      </w:r>
      <w:r w:rsidRPr="00C137CC">
        <w:t xml:space="preserve"> w złotych 4500 euro</w:t>
      </w:r>
      <w:r w:rsidR="008A3CC3">
        <w:t>.”;</w:t>
      </w:r>
    </w:p>
    <w:p w14:paraId="3FEDCD63" w14:textId="25BC079F" w:rsidR="00570AE7" w:rsidRPr="00051923" w:rsidRDefault="00AE4D1B" w:rsidP="00570AE7">
      <w:pPr>
        <w:pStyle w:val="PKTpunkt"/>
        <w:keepNext/>
      </w:pPr>
      <w:r>
        <w:t>3</w:t>
      </w:r>
      <w:r w:rsidR="005E7247" w:rsidRPr="00051923">
        <w:t>)</w:t>
      </w:r>
      <w:r w:rsidR="005E7247" w:rsidRPr="00051923">
        <w:tab/>
      </w:r>
      <w:r w:rsidR="00973AE2">
        <w:t xml:space="preserve">w </w:t>
      </w:r>
      <w:r w:rsidR="00570AE7" w:rsidRPr="00051923">
        <w:t xml:space="preserve">§ 8 </w:t>
      </w:r>
      <w:r w:rsidR="00973AE2">
        <w:t>dotychczasową treść oznacza się jako ust. 1 i dodaje się ust. 2 w brzmieniu</w:t>
      </w:r>
      <w:r w:rsidR="00570AE7" w:rsidRPr="00051923">
        <w:t>:</w:t>
      </w:r>
    </w:p>
    <w:p w14:paraId="2BC8583C" w14:textId="7E34814C" w:rsidR="00570AE7" w:rsidRPr="00076360" w:rsidRDefault="0034191B" w:rsidP="00F42DC7">
      <w:pPr>
        <w:pStyle w:val="ZPKTzmpktartykuempunktem"/>
      </w:pPr>
      <w:r>
        <w:t>„</w:t>
      </w:r>
      <w:r w:rsidR="00570AE7" w:rsidRPr="00076360">
        <w:t xml:space="preserve">2. </w:t>
      </w:r>
      <w:r w:rsidR="009532F1">
        <w:tab/>
      </w:r>
      <w:r w:rsidR="00570AE7" w:rsidRPr="00076360">
        <w:t>Udzielenie zezwolenia, o którym mowa</w:t>
      </w:r>
      <w:r w:rsidR="00101C63" w:rsidRPr="00076360">
        <w:t xml:space="preserve"> </w:t>
      </w:r>
      <w:r w:rsidR="00570AE7" w:rsidRPr="00076360">
        <w:t>w art. 91 ust. 1 ustawy o ofercie publicznej</w:t>
      </w:r>
      <w:r w:rsidR="003A54FD">
        <w:t>,</w:t>
      </w:r>
      <w:r w:rsidR="00570AE7" w:rsidRPr="00076360">
        <w:t xml:space="preserve"> podlega opłacie w wysokości równowartości w złotych</w:t>
      </w:r>
      <w:r w:rsidR="00101C63" w:rsidRPr="00076360">
        <w:t xml:space="preserve"> </w:t>
      </w:r>
      <w:r w:rsidR="00683FEE" w:rsidRPr="00076360">
        <w:t>4</w:t>
      </w:r>
      <w:r w:rsidR="00683FEE">
        <w:t>5</w:t>
      </w:r>
      <w:r w:rsidR="00683FEE" w:rsidRPr="00076360">
        <w:t xml:space="preserve">00 </w:t>
      </w:r>
      <w:r w:rsidR="00570AE7" w:rsidRPr="00076360">
        <w:t>euro.”</w:t>
      </w:r>
      <w:r w:rsidR="0082128D">
        <w:t>;</w:t>
      </w:r>
    </w:p>
    <w:p w14:paraId="50E79892" w14:textId="0B8DA7AD" w:rsidR="00D35463" w:rsidRDefault="00AE4D1B" w:rsidP="00101C63">
      <w:pPr>
        <w:pStyle w:val="PKTpunkt"/>
        <w:keepNext/>
      </w:pPr>
      <w:r>
        <w:t>4</w:t>
      </w:r>
      <w:r w:rsidR="00817C82" w:rsidRPr="00051923">
        <w:t>)</w:t>
      </w:r>
      <w:r w:rsidR="00817C82" w:rsidRPr="00051923">
        <w:tab/>
        <w:t>§ 12</w:t>
      </w:r>
      <w:r w:rsidR="00C40B33">
        <w:t xml:space="preserve"> otrzymuje brzmienie</w:t>
      </w:r>
      <w:r w:rsidR="00D35463">
        <w:t>:</w:t>
      </w:r>
    </w:p>
    <w:p w14:paraId="6C7C21F1" w14:textId="0C0FCAB9" w:rsidR="00C40B33" w:rsidRDefault="00C40B33" w:rsidP="00F42DC7">
      <w:pPr>
        <w:pStyle w:val="ZPKTzmpktartykuempunktem"/>
      </w:pPr>
      <w:r>
        <w:t>„</w:t>
      </w:r>
      <w:r>
        <w:rPr>
          <w:rFonts w:cs="Times"/>
        </w:rPr>
        <w:t>§</w:t>
      </w:r>
      <w:r>
        <w:t xml:space="preserve"> 12. 1. Dokonanie na podstawie przepisów ustawy o funduszach inwestycyjnych wpisu do rejestru, o którym mowa w:</w:t>
      </w:r>
    </w:p>
    <w:p w14:paraId="712F0D7D" w14:textId="0E3A7D72" w:rsidR="00C40B33" w:rsidRPr="00F42DC7" w:rsidRDefault="00C40B33" w:rsidP="00F42DC7">
      <w:pPr>
        <w:pStyle w:val="ZPKTzmpktartykuempunktem"/>
        <w:rPr>
          <w:rFonts w:ascii="Times New Roman" w:hAnsi="Times New Roman"/>
          <w:bCs w:val="0"/>
        </w:rPr>
      </w:pPr>
      <w:r>
        <w:t>1)</w:t>
      </w:r>
      <w:r>
        <w:tab/>
      </w:r>
      <w:r w:rsidRPr="00F42DC7">
        <w:rPr>
          <w:rFonts w:ascii="Times New Roman" w:hAnsi="Times New Roman"/>
          <w:bCs w:val="0"/>
        </w:rPr>
        <w:t xml:space="preserve">art. 70zb ust. 1 ustawy o funduszach inwestycyjnych </w:t>
      </w:r>
      <w:r w:rsidRPr="00F42DC7">
        <w:rPr>
          <w:rFonts w:ascii="Times New Roman" w:hAnsi="Times New Roman"/>
          <w:bCs w:val="0"/>
        </w:rPr>
        <w:softHyphen/>
      </w:r>
      <w:r w:rsidRPr="00F42DC7">
        <w:rPr>
          <w:rFonts w:ascii="Times New Roman" w:hAnsi="Times New Roman"/>
          <w:bCs w:val="0"/>
        </w:rPr>
        <w:softHyphen/>
      </w:r>
      <w:r w:rsidRPr="00F42DC7">
        <w:rPr>
          <w:rFonts w:ascii="Times New Roman" w:hAnsi="Times New Roman"/>
          <w:bCs w:val="0"/>
        </w:rPr>
        <w:softHyphen/>
      </w:r>
      <w:r w:rsidR="00D2593A" w:rsidRPr="00101C63">
        <w:t>–</w:t>
      </w:r>
      <w:r w:rsidRPr="00F42DC7">
        <w:rPr>
          <w:rFonts w:ascii="Times New Roman" w:hAnsi="Times New Roman"/>
          <w:bCs w:val="0"/>
        </w:rPr>
        <w:t xml:space="preserve"> podlega opłacie w wysokości równowartości w złotych 2000 euro;</w:t>
      </w:r>
    </w:p>
    <w:p w14:paraId="352566D4" w14:textId="77777777" w:rsidR="00C40B33" w:rsidRDefault="00C40B33" w:rsidP="00F42DC7">
      <w:pPr>
        <w:pStyle w:val="ZPKTzmpktartykuempunktem"/>
      </w:pPr>
      <w:r w:rsidRPr="00F42DC7">
        <w:rPr>
          <w:rFonts w:ascii="Times New Roman" w:hAnsi="Times New Roman"/>
          <w:bCs w:val="0"/>
        </w:rPr>
        <w:t>2)</w:t>
      </w:r>
      <w:r w:rsidRPr="00F42DC7">
        <w:rPr>
          <w:rFonts w:ascii="Times New Roman" w:hAnsi="Times New Roman"/>
          <w:bCs w:val="0"/>
        </w:rPr>
        <w:tab/>
        <w:t>art. 263 ustawy</w:t>
      </w:r>
      <w:r>
        <w:t xml:space="preserve"> o funduszach inwestycyjnych:</w:t>
      </w:r>
    </w:p>
    <w:p w14:paraId="76E69493" w14:textId="53CAD9EA" w:rsidR="00C40B33" w:rsidRDefault="00C40B33" w:rsidP="00F42DC7">
      <w:pPr>
        <w:pStyle w:val="ZLITwPKTzmlitwpktartykuempunktem"/>
      </w:pPr>
      <w:r>
        <w:t>a)</w:t>
      </w:r>
      <w:r>
        <w:tab/>
        <w:t xml:space="preserve">funduszu zagranicznego </w:t>
      </w:r>
      <w:r w:rsidR="00D2593A" w:rsidRPr="00101C63">
        <w:t>–</w:t>
      </w:r>
      <w:r>
        <w:t xml:space="preserve"> podlega opłacie w wysokości równowartości w złotych 2000 euro,</w:t>
      </w:r>
    </w:p>
    <w:p w14:paraId="06DEC923" w14:textId="7EF3409A" w:rsidR="00C40B33" w:rsidRDefault="00C40B33" w:rsidP="00F42DC7">
      <w:pPr>
        <w:pStyle w:val="ZLITwPKTzmlitwpktartykuempunktem"/>
      </w:pPr>
      <w:r>
        <w:t>b)</w:t>
      </w:r>
      <w:r>
        <w:tab/>
        <w:t xml:space="preserve">funduszu zagranicznego z wydzielonymi subfunduszami </w:t>
      </w:r>
      <w:r w:rsidR="00D2593A" w:rsidRPr="00101C63">
        <w:t>–</w:t>
      </w:r>
      <w:r>
        <w:t xml:space="preserve"> podlega opłacie w wysokości równowartości w złotych 2000 euro,</w:t>
      </w:r>
    </w:p>
    <w:p w14:paraId="2BD6EF66" w14:textId="183F8665" w:rsidR="00C40B33" w:rsidRDefault="00C40B33" w:rsidP="00F42DC7">
      <w:pPr>
        <w:pStyle w:val="ZLITwPKTzmlitwpktartykuempunktem"/>
      </w:pPr>
      <w:r>
        <w:t>c)</w:t>
      </w:r>
      <w:r>
        <w:tab/>
        <w:t xml:space="preserve">funduszu inwestycyjnego otwartego z siedzibą w państwie należącym do Europejskiego Obszaru Gospodarczego (EEA) </w:t>
      </w:r>
      <w:r w:rsidR="00D2593A" w:rsidRPr="00101C63">
        <w:t>–</w:t>
      </w:r>
      <w:r>
        <w:t xml:space="preserve"> podlega opłacie w wys</w:t>
      </w:r>
      <w:r w:rsidR="00D2593A">
        <w:t>okości równowartości w złotych 2</w:t>
      </w:r>
      <w:r>
        <w:t>000 euro,</w:t>
      </w:r>
    </w:p>
    <w:p w14:paraId="4C496DD2" w14:textId="07C36CEA" w:rsidR="00D2593A" w:rsidRDefault="00C40B33" w:rsidP="00F42DC7">
      <w:pPr>
        <w:pStyle w:val="ZLITwPKTzmlitwpktartykuempunktem"/>
      </w:pPr>
      <w:r>
        <w:t>d)</w:t>
      </w:r>
      <w:r>
        <w:tab/>
        <w:t xml:space="preserve">funduszu inwestycyjnego otwartego z wydzielonymi subfunduszami z siedzibą w państwie należącym do EEA </w:t>
      </w:r>
      <w:r w:rsidR="00D2593A" w:rsidRPr="00101C63">
        <w:t>–</w:t>
      </w:r>
      <w:r>
        <w:t xml:space="preserve"> podlega opłacie w wyso</w:t>
      </w:r>
      <w:r w:rsidR="00D2593A">
        <w:t>kości równowartości w złotych 20</w:t>
      </w:r>
      <w:r>
        <w:t>00 euro</w:t>
      </w:r>
      <w:r w:rsidR="00D2593A">
        <w:t>,</w:t>
      </w:r>
    </w:p>
    <w:p w14:paraId="6C9FD454" w14:textId="4CA9AEE0" w:rsidR="00101C63" w:rsidRPr="00101C63" w:rsidRDefault="00101C63" w:rsidP="00F42DC7">
      <w:pPr>
        <w:pStyle w:val="ZLITwPKTzmlitwpktartykuempunktem"/>
      </w:pPr>
      <w:r w:rsidRPr="00101C63">
        <w:t>e)</w:t>
      </w:r>
      <w:r w:rsidR="00B94676">
        <w:tab/>
      </w:r>
      <w:r w:rsidRPr="00101C63">
        <w:t>drugiego i każdego następnego subfunduszu wydziel</w:t>
      </w:r>
      <w:r>
        <w:t xml:space="preserve">onego w funduszu zagranicznym z </w:t>
      </w:r>
      <w:r w:rsidRPr="00101C63">
        <w:t>wydzielonymi subfunduszami – podlega opłacie w wysokości równowartości w złotych 300</w:t>
      </w:r>
      <w:r>
        <w:t xml:space="preserve"> </w:t>
      </w:r>
      <w:r w:rsidRPr="00101C63">
        <w:t>euro,</w:t>
      </w:r>
    </w:p>
    <w:p w14:paraId="345BF4DA" w14:textId="0FFBA777" w:rsidR="00101C63" w:rsidRPr="00101C63" w:rsidRDefault="00D2593A" w:rsidP="00F42DC7">
      <w:pPr>
        <w:pStyle w:val="ZLITwPKTzmlitwpktartykuempunktem"/>
      </w:pPr>
      <w:r>
        <w:t xml:space="preserve">f) </w:t>
      </w:r>
      <w:r>
        <w:tab/>
      </w:r>
      <w:r w:rsidR="00101C63" w:rsidRPr="00101C63">
        <w:t>drugiego i każdego następnego subfunduszu wydzie</w:t>
      </w:r>
      <w:r w:rsidR="00101C63">
        <w:t xml:space="preserve">lonego w funduszu inwestycyjnym </w:t>
      </w:r>
      <w:r w:rsidR="00101C63" w:rsidRPr="00101C63">
        <w:t xml:space="preserve">otwartym z wydzielonymi subfunduszami z siedzibą w państwie należącym do EEA </w:t>
      </w:r>
      <w:r w:rsidR="00101C63">
        <w:t>–</w:t>
      </w:r>
      <w:r w:rsidR="00101C63" w:rsidRPr="00101C63">
        <w:t xml:space="preserve"> podlega</w:t>
      </w:r>
      <w:r w:rsidR="00101C63">
        <w:t xml:space="preserve"> </w:t>
      </w:r>
      <w:r w:rsidR="00101C63" w:rsidRPr="00101C63">
        <w:t>opłacie w wysokości równowartości w złotych 300 euro;</w:t>
      </w:r>
    </w:p>
    <w:p w14:paraId="36B43BD9" w14:textId="22054EC4" w:rsidR="00817C82" w:rsidRPr="00051923" w:rsidRDefault="00D2593A" w:rsidP="00F42DC7">
      <w:pPr>
        <w:pStyle w:val="ZPKTzmpktartykuempunktem"/>
        <w:rPr>
          <w:rFonts w:eastAsia="Times New Roman"/>
        </w:rPr>
      </w:pPr>
      <w:r w:rsidRPr="00973AE2" w:rsidDel="00D2593A">
        <w:t xml:space="preserve"> </w:t>
      </w:r>
      <w:r w:rsidR="00817C82" w:rsidRPr="00051923">
        <w:rPr>
          <w:rFonts w:eastAsia="Times New Roman"/>
        </w:rPr>
        <w:t>3)</w:t>
      </w:r>
      <w:r w:rsidR="00B94676">
        <w:rPr>
          <w:rFonts w:eastAsia="Times New Roman"/>
        </w:rPr>
        <w:tab/>
      </w:r>
      <w:r w:rsidR="00817C82" w:rsidRPr="00051923">
        <w:rPr>
          <w:rFonts w:eastAsia="Times New Roman"/>
        </w:rPr>
        <w:t>art. 263r ustawy o funduszach inwestycyjnych:</w:t>
      </w:r>
    </w:p>
    <w:p w14:paraId="7D354746" w14:textId="40AB7A23" w:rsidR="00817C82" w:rsidRPr="00051923" w:rsidRDefault="00817C82" w:rsidP="00F42DC7">
      <w:pPr>
        <w:pStyle w:val="ZLITwPKTzmlitwpktartykuempunktem"/>
        <w:rPr>
          <w:rFonts w:eastAsia="Times New Roman"/>
        </w:rPr>
      </w:pPr>
      <w:r w:rsidRPr="00051923">
        <w:rPr>
          <w:rFonts w:eastAsia="Times New Roman"/>
        </w:rPr>
        <w:lastRenderedPageBreak/>
        <w:t>a)</w:t>
      </w:r>
      <w:r w:rsidR="00B94676">
        <w:rPr>
          <w:rFonts w:eastAsia="Times New Roman"/>
        </w:rPr>
        <w:tab/>
      </w:r>
      <w:r w:rsidRPr="00051923">
        <w:rPr>
          <w:rFonts w:eastAsia="Times New Roman"/>
        </w:rPr>
        <w:t>unijnego AFI, który może być wprowadzany do obrotu na terytorium Rzeczypospolitej Polskiej</w:t>
      </w:r>
      <w:r w:rsidR="00101C63">
        <w:rPr>
          <w:rFonts w:eastAsia="Times New Roman"/>
        </w:rPr>
        <w:t xml:space="preserve"> </w:t>
      </w:r>
      <w:r w:rsidRPr="00051923">
        <w:rPr>
          <w:rFonts w:eastAsia="Times New Roman"/>
        </w:rPr>
        <w:t xml:space="preserve">wyłącznie wśród klientów profesjonalnych </w:t>
      </w:r>
      <w:r w:rsidR="0022423D">
        <w:rPr>
          <w:rFonts w:eastAsia="Times New Roman"/>
        </w:rPr>
        <w:t>–</w:t>
      </w:r>
      <w:r w:rsidRPr="00051923">
        <w:rPr>
          <w:rFonts w:eastAsia="Times New Roman"/>
        </w:rPr>
        <w:t xml:space="preserve"> podlega opłacie w wysokości równowartości w złotych</w:t>
      </w:r>
      <w:r w:rsidR="00101C63">
        <w:rPr>
          <w:rFonts w:eastAsia="Times New Roman"/>
        </w:rPr>
        <w:t xml:space="preserve"> </w:t>
      </w:r>
      <w:r w:rsidRPr="00051923">
        <w:rPr>
          <w:rFonts w:eastAsia="Times New Roman"/>
        </w:rPr>
        <w:t>300 euro,</w:t>
      </w:r>
    </w:p>
    <w:p w14:paraId="563404C1" w14:textId="57C69102" w:rsidR="00817C82" w:rsidRPr="00051923" w:rsidRDefault="00817C82" w:rsidP="00F42DC7">
      <w:pPr>
        <w:pStyle w:val="ZLITwPKTzmlitwpktartykuempunktem"/>
        <w:rPr>
          <w:rFonts w:eastAsia="Times New Roman"/>
        </w:rPr>
      </w:pPr>
      <w:r w:rsidRPr="00051923">
        <w:rPr>
          <w:rFonts w:eastAsia="Times New Roman"/>
        </w:rPr>
        <w:t>b)</w:t>
      </w:r>
      <w:r w:rsidR="00B94676">
        <w:rPr>
          <w:rFonts w:eastAsia="Times New Roman"/>
        </w:rPr>
        <w:tab/>
      </w:r>
      <w:r w:rsidRPr="00051923">
        <w:rPr>
          <w:rFonts w:eastAsia="Times New Roman"/>
        </w:rPr>
        <w:t>unijnego AFI z wydzielonymi subfunduszami, którego subfundusze mogą być wprowadzane do</w:t>
      </w:r>
      <w:r w:rsidR="00101C63">
        <w:rPr>
          <w:rFonts w:eastAsia="Times New Roman"/>
        </w:rPr>
        <w:t xml:space="preserve"> </w:t>
      </w:r>
      <w:r w:rsidRPr="00051923">
        <w:rPr>
          <w:rFonts w:eastAsia="Times New Roman"/>
        </w:rPr>
        <w:t xml:space="preserve">obrotu na terytorium Rzeczypospolitej Polskiej wyłącznie wśród klientów profesjonalnych </w:t>
      </w:r>
      <w:r w:rsidR="00101C63">
        <w:rPr>
          <w:rFonts w:eastAsia="Times New Roman"/>
        </w:rPr>
        <w:t>–</w:t>
      </w:r>
      <w:r w:rsidRPr="00051923">
        <w:rPr>
          <w:rFonts w:eastAsia="Times New Roman"/>
        </w:rPr>
        <w:t xml:space="preserve"> podlega</w:t>
      </w:r>
      <w:r w:rsidR="00101C63">
        <w:rPr>
          <w:rFonts w:eastAsia="Times New Roman"/>
        </w:rPr>
        <w:t xml:space="preserve"> </w:t>
      </w:r>
      <w:r w:rsidRPr="00051923">
        <w:rPr>
          <w:rFonts w:eastAsia="Times New Roman"/>
        </w:rPr>
        <w:t>opłacie w wysokości równowartości w złotych 300 euro,</w:t>
      </w:r>
    </w:p>
    <w:p w14:paraId="42A8864C" w14:textId="17B879E0" w:rsidR="00817C82" w:rsidRPr="00051923" w:rsidRDefault="00817C82" w:rsidP="00F42DC7">
      <w:pPr>
        <w:pStyle w:val="ZLITwPKTzmlitwpktartykuempunktem"/>
        <w:rPr>
          <w:rFonts w:eastAsia="Times New Roman"/>
        </w:rPr>
      </w:pPr>
      <w:r w:rsidRPr="00051923">
        <w:rPr>
          <w:rFonts w:eastAsia="Times New Roman"/>
        </w:rPr>
        <w:t>c)</w:t>
      </w:r>
      <w:r w:rsidR="00B94676">
        <w:rPr>
          <w:rFonts w:eastAsia="Times New Roman"/>
        </w:rPr>
        <w:tab/>
      </w:r>
      <w:r w:rsidRPr="00051923">
        <w:rPr>
          <w:rFonts w:eastAsia="Times New Roman"/>
        </w:rPr>
        <w:t>unijnego AFI, który może być wprowadzany do obrotu na terytorium Rzeczypospolitej Polskiej</w:t>
      </w:r>
      <w:r w:rsidR="00101C63">
        <w:rPr>
          <w:rFonts w:eastAsia="Times New Roman"/>
        </w:rPr>
        <w:t xml:space="preserve"> </w:t>
      </w:r>
      <w:r w:rsidRPr="00051923">
        <w:rPr>
          <w:rFonts w:eastAsia="Times New Roman"/>
        </w:rPr>
        <w:t xml:space="preserve">wśród klientów detalicznych </w:t>
      </w:r>
      <w:r w:rsidR="00B94676" w:rsidRPr="00973AE2">
        <w:t>–</w:t>
      </w:r>
      <w:r w:rsidRPr="00051923">
        <w:rPr>
          <w:rFonts w:eastAsia="Times New Roman"/>
        </w:rPr>
        <w:t xml:space="preserve"> podlega opłacie w wysokości równowartości w złotych 1200 euro,</w:t>
      </w:r>
    </w:p>
    <w:p w14:paraId="3DCAA3C0" w14:textId="0D796EC1" w:rsidR="00817C82" w:rsidRPr="00051923" w:rsidRDefault="00817C82" w:rsidP="00F42DC7">
      <w:pPr>
        <w:pStyle w:val="ZLITwPKTzmlitwpktartykuempunktem"/>
        <w:rPr>
          <w:rFonts w:eastAsia="Times New Roman"/>
        </w:rPr>
      </w:pPr>
      <w:r w:rsidRPr="00051923">
        <w:rPr>
          <w:rFonts w:eastAsia="Times New Roman"/>
        </w:rPr>
        <w:t>d)</w:t>
      </w:r>
      <w:r w:rsidR="00B94676">
        <w:rPr>
          <w:rFonts w:eastAsia="Times New Roman"/>
        </w:rPr>
        <w:tab/>
      </w:r>
      <w:r w:rsidRPr="00051923">
        <w:rPr>
          <w:rFonts w:eastAsia="Times New Roman"/>
        </w:rPr>
        <w:t xml:space="preserve">unijnego AFI z wydzielonymi subfunduszami, </w:t>
      </w:r>
      <w:r w:rsidR="00AA2C99">
        <w:rPr>
          <w:rFonts w:eastAsia="Times New Roman"/>
        </w:rPr>
        <w:t>z których</w:t>
      </w:r>
      <w:r w:rsidR="00AA2C99" w:rsidRPr="00051923">
        <w:rPr>
          <w:rFonts w:eastAsia="Times New Roman"/>
        </w:rPr>
        <w:t xml:space="preserve"> </w:t>
      </w:r>
      <w:r w:rsidRPr="00051923">
        <w:rPr>
          <w:rFonts w:eastAsia="Times New Roman"/>
        </w:rPr>
        <w:t>przynajmniej jeden subfundusz może być</w:t>
      </w:r>
      <w:r w:rsidR="00101C63">
        <w:rPr>
          <w:rFonts w:eastAsia="Times New Roman"/>
        </w:rPr>
        <w:t xml:space="preserve"> </w:t>
      </w:r>
      <w:r w:rsidRPr="00051923">
        <w:rPr>
          <w:rFonts w:eastAsia="Times New Roman"/>
        </w:rPr>
        <w:t xml:space="preserve">wprowadzany do obrotu na terytorium Rzeczypospolitej Polskiej wśród klientów detalicznych </w:t>
      </w:r>
      <w:r w:rsidR="00101C63">
        <w:rPr>
          <w:rFonts w:eastAsia="Times New Roman"/>
        </w:rPr>
        <w:t>–</w:t>
      </w:r>
      <w:r w:rsidRPr="00051923">
        <w:rPr>
          <w:rFonts w:eastAsia="Times New Roman"/>
        </w:rPr>
        <w:t xml:space="preserve"> podlega</w:t>
      </w:r>
      <w:r w:rsidR="00101C63">
        <w:rPr>
          <w:rFonts w:eastAsia="Times New Roman"/>
        </w:rPr>
        <w:t xml:space="preserve"> </w:t>
      </w:r>
      <w:r w:rsidRPr="00051923">
        <w:rPr>
          <w:rFonts w:eastAsia="Times New Roman"/>
        </w:rPr>
        <w:t>opłacie w wysokości równowartości w złotych 1200 euro,</w:t>
      </w:r>
    </w:p>
    <w:p w14:paraId="4E729065" w14:textId="70433D3F" w:rsidR="0028516F" w:rsidRDefault="00817C82" w:rsidP="00F42DC7">
      <w:pPr>
        <w:pStyle w:val="ZLITwPKTzmlitwpktartykuempunktem"/>
        <w:rPr>
          <w:rFonts w:eastAsia="Times New Roman"/>
        </w:rPr>
      </w:pPr>
      <w:r w:rsidRPr="00051923">
        <w:rPr>
          <w:rFonts w:eastAsia="Times New Roman"/>
        </w:rPr>
        <w:t>e)</w:t>
      </w:r>
      <w:r w:rsidR="00B94676">
        <w:rPr>
          <w:rFonts w:eastAsia="Times New Roman"/>
        </w:rPr>
        <w:tab/>
      </w:r>
      <w:r w:rsidRPr="00051923">
        <w:rPr>
          <w:rFonts w:eastAsia="Times New Roman"/>
        </w:rPr>
        <w:t>drugiego i każdego następnego subfunduszu wydzielonego w unijnym AFI z wydzielonymi</w:t>
      </w:r>
      <w:r w:rsidR="00101C63">
        <w:rPr>
          <w:rFonts w:eastAsia="Times New Roman"/>
        </w:rPr>
        <w:t xml:space="preserve"> </w:t>
      </w:r>
      <w:r w:rsidRPr="00051923">
        <w:rPr>
          <w:rFonts w:eastAsia="Times New Roman"/>
        </w:rPr>
        <w:t>subfunduszami – podlega opłacie w wysokości równowartości w złotych:</w:t>
      </w:r>
      <w:r w:rsidR="00101C63">
        <w:rPr>
          <w:rFonts w:eastAsia="Times New Roman"/>
        </w:rPr>
        <w:t xml:space="preserve"> </w:t>
      </w:r>
    </w:p>
    <w:p w14:paraId="37F3EF35" w14:textId="069A9405" w:rsidR="0028516F" w:rsidRPr="00B31D57" w:rsidRDefault="00B94676" w:rsidP="009E1D21">
      <w:pPr>
        <w:pStyle w:val="ZTIRLITzmlittiret"/>
      </w:pPr>
      <w:r w:rsidRPr="00B31D57">
        <w:t>–</w:t>
      </w:r>
      <w:r w:rsidRPr="00B31D57">
        <w:tab/>
      </w:r>
      <w:r w:rsidR="00817C82" w:rsidRPr="00B31D57">
        <w:t xml:space="preserve">300 euro </w:t>
      </w:r>
      <w:r w:rsidRPr="00B31D57">
        <w:t>–</w:t>
      </w:r>
      <w:r w:rsidR="00817C82" w:rsidRPr="00B31D57">
        <w:t xml:space="preserve"> w przypadku subfunduszu, który może być wprowadzany do obrotu na terytorium</w:t>
      </w:r>
      <w:r w:rsidR="00101C63" w:rsidRPr="00B31D57">
        <w:t xml:space="preserve"> </w:t>
      </w:r>
      <w:r w:rsidR="00817C82" w:rsidRPr="00B31D57">
        <w:t xml:space="preserve">Rzeczypospolitej Polskiej wyłącznie wśród </w:t>
      </w:r>
      <w:r w:rsidR="002F412B" w:rsidRPr="00B31D57">
        <w:t>klientów</w:t>
      </w:r>
      <w:r w:rsidR="00817C82" w:rsidRPr="00B31D57">
        <w:t xml:space="preserve"> profesjonalnych,</w:t>
      </w:r>
      <w:r w:rsidR="00101C63" w:rsidRPr="00B31D57">
        <w:t xml:space="preserve"> </w:t>
      </w:r>
    </w:p>
    <w:p w14:paraId="7F21713D" w14:textId="2886CBBB" w:rsidR="00817C82" w:rsidRPr="00051923" w:rsidRDefault="00B94676" w:rsidP="009E1D21">
      <w:pPr>
        <w:pStyle w:val="ZTIRPKTzmpkttiret"/>
        <w:rPr>
          <w:rFonts w:eastAsia="Times New Roman"/>
        </w:rPr>
      </w:pPr>
      <w:r w:rsidRPr="00B31D57">
        <w:t>–</w:t>
      </w:r>
      <w:r w:rsidRPr="00B31D57">
        <w:tab/>
      </w:r>
      <w:r w:rsidR="00817C82" w:rsidRPr="00B31D57">
        <w:t xml:space="preserve">1200 euro </w:t>
      </w:r>
      <w:r w:rsidRPr="00B31D57">
        <w:t>–</w:t>
      </w:r>
      <w:r w:rsidR="00817C82" w:rsidRPr="00B31D57">
        <w:t xml:space="preserve"> w przypadku subfunduszu, który może być wprowadzany do obrotu na terytorium</w:t>
      </w:r>
      <w:r w:rsidR="00101C63" w:rsidRPr="00B31D57">
        <w:t xml:space="preserve"> </w:t>
      </w:r>
      <w:r w:rsidR="00817C82" w:rsidRPr="00B31D57">
        <w:t xml:space="preserve">Rzeczypospolitej Polskiej wśród </w:t>
      </w:r>
      <w:r w:rsidR="002F412B" w:rsidRPr="00B31D57">
        <w:t>klientów</w:t>
      </w:r>
      <w:r w:rsidR="00817C82" w:rsidRPr="00B31D57">
        <w:t xml:space="preserve"> detalicznych</w:t>
      </w:r>
      <w:r w:rsidR="00817C82" w:rsidRPr="00051923">
        <w:rPr>
          <w:rFonts w:eastAsia="Times New Roman"/>
        </w:rPr>
        <w:t>.</w:t>
      </w:r>
    </w:p>
    <w:p w14:paraId="2ED593B0" w14:textId="6AFEDC68" w:rsidR="005E7247" w:rsidRPr="00101C63" w:rsidRDefault="00D2593A" w:rsidP="00F42DC7">
      <w:pPr>
        <w:pStyle w:val="ZPKTzmpktartykuempunktem"/>
        <w:rPr>
          <w:rFonts w:eastAsia="Times New Roman"/>
        </w:rPr>
      </w:pPr>
      <w:r w:rsidDel="00D2593A">
        <w:t xml:space="preserve"> </w:t>
      </w:r>
      <w:r w:rsidR="00817C82" w:rsidRPr="00051923">
        <w:rPr>
          <w:rFonts w:eastAsia="Times New Roman"/>
        </w:rPr>
        <w:t xml:space="preserve">2. </w:t>
      </w:r>
      <w:r>
        <w:rPr>
          <w:rFonts w:eastAsia="Times New Roman"/>
        </w:rPr>
        <w:tab/>
      </w:r>
      <w:r w:rsidR="00817C82" w:rsidRPr="00051923">
        <w:rPr>
          <w:rFonts w:eastAsia="Times New Roman"/>
        </w:rPr>
        <w:t>W przypadku funduszu z wydzielonymi subfunduszami, o którym mowa w ust. 1 pkt 3 lit. d, za</w:t>
      </w:r>
      <w:r w:rsidR="00101C63">
        <w:rPr>
          <w:rFonts w:eastAsia="Times New Roman"/>
        </w:rPr>
        <w:t xml:space="preserve"> </w:t>
      </w:r>
      <w:r w:rsidR="00817C82" w:rsidRPr="00051923">
        <w:rPr>
          <w:rFonts w:eastAsia="Times New Roman"/>
        </w:rPr>
        <w:t xml:space="preserve">pierwszy subfundusz, </w:t>
      </w:r>
      <w:r w:rsidR="0022423D">
        <w:rPr>
          <w:rFonts w:eastAsia="Times New Roman"/>
        </w:rPr>
        <w:t xml:space="preserve">który </w:t>
      </w:r>
      <w:r w:rsidR="00817C82" w:rsidRPr="00051923">
        <w:rPr>
          <w:rFonts w:eastAsia="Times New Roman"/>
        </w:rPr>
        <w:t>nie podlega opłacie, o której mowa w ust. 1 pkt 3 lit. e, uznaje się subfundusz,</w:t>
      </w:r>
      <w:r w:rsidR="00101C63">
        <w:rPr>
          <w:rFonts w:eastAsia="Times New Roman"/>
        </w:rPr>
        <w:t xml:space="preserve"> </w:t>
      </w:r>
      <w:r w:rsidR="00817C82" w:rsidRPr="00051923">
        <w:rPr>
          <w:rFonts w:eastAsia="Times New Roman"/>
        </w:rPr>
        <w:t xml:space="preserve">który może być wprowadzany do obrotu na terytorium Rzeczypospolitej Polskiej wśród </w:t>
      </w:r>
      <w:r w:rsidR="002F412B">
        <w:rPr>
          <w:rFonts w:eastAsia="Times New Roman"/>
        </w:rPr>
        <w:t>klientów</w:t>
      </w:r>
      <w:r w:rsidR="00101C63">
        <w:rPr>
          <w:rFonts w:eastAsia="Times New Roman"/>
        </w:rPr>
        <w:t xml:space="preserve"> </w:t>
      </w:r>
      <w:r w:rsidR="0082128D">
        <w:rPr>
          <w:rFonts w:eastAsia="Times New Roman"/>
        </w:rPr>
        <w:t>detalicznych.”;</w:t>
      </w:r>
    </w:p>
    <w:p w14:paraId="2EF82A35" w14:textId="5E685B4C" w:rsidR="00817C82" w:rsidRPr="00101C63" w:rsidRDefault="007F33B0" w:rsidP="00101C63">
      <w:pPr>
        <w:pStyle w:val="PKTpunkt"/>
      </w:pPr>
      <w:r>
        <w:t>5</w:t>
      </w:r>
      <w:r w:rsidR="005E7247" w:rsidRPr="00101C63">
        <w:t>)</w:t>
      </w:r>
      <w:r w:rsidR="00101C63">
        <w:tab/>
      </w:r>
      <w:r w:rsidR="005E7247" w:rsidRPr="00101C63">
        <w:t xml:space="preserve"> </w:t>
      </w:r>
      <w:r w:rsidR="00817C82" w:rsidRPr="00101C63">
        <w:t>po § 15 dodaje się § 15a w brzmieniu:</w:t>
      </w:r>
    </w:p>
    <w:p w14:paraId="747BB052" w14:textId="6219343B" w:rsidR="00817C82" w:rsidRPr="002537D2" w:rsidRDefault="00817C82" w:rsidP="000D77B8">
      <w:pPr>
        <w:pStyle w:val="ZARTzmartartykuempunktem"/>
      </w:pPr>
      <w:r w:rsidRPr="002537D2">
        <w:t>„§ 15a. 1. Opłatę roczną, o której mowa w art. 236 ust. 2i ustawy o funduszach inwestycyjnych,</w:t>
      </w:r>
      <w:r w:rsidR="00101C63" w:rsidRPr="002537D2">
        <w:t xml:space="preserve"> </w:t>
      </w:r>
      <w:r w:rsidRPr="002537D2">
        <w:t>pobiera się w wysokości równowartości w złotych</w:t>
      </w:r>
      <w:r w:rsidR="00B24C75">
        <w:t xml:space="preserve"> 1000 euro w przypadku</w:t>
      </w:r>
      <w:r w:rsidRPr="002537D2">
        <w:t>:</w:t>
      </w:r>
    </w:p>
    <w:p w14:paraId="48282FA7" w14:textId="2A0BFFF1" w:rsidR="00817C82" w:rsidRPr="00051923" w:rsidRDefault="00817C82" w:rsidP="000D77B8">
      <w:pPr>
        <w:pStyle w:val="ZPKTzmpktartykuempunktem"/>
        <w:rPr>
          <w:rFonts w:eastAsia="Times New Roman"/>
        </w:rPr>
      </w:pPr>
      <w:r w:rsidRPr="00051923">
        <w:rPr>
          <w:rFonts w:eastAsia="Times New Roman"/>
        </w:rPr>
        <w:t>1)</w:t>
      </w:r>
      <w:r w:rsidR="00B94676">
        <w:rPr>
          <w:rFonts w:eastAsia="Times New Roman"/>
        </w:rPr>
        <w:tab/>
      </w:r>
      <w:r w:rsidRPr="00051923">
        <w:rPr>
          <w:rFonts w:eastAsia="Times New Roman"/>
        </w:rPr>
        <w:t>funduszu zagranicznego</w:t>
      </w:r>
      <w:r w:rsidR="00A75852">
        <w:rPr>
          <w:rFonts w:eastAsia="Times New Roman"/>
        </w:rPr>
        <w:t>;</w:t>
      </w:r>
    </w:p>
    <w:p w14:paraId="48B8F468" w14:textId="521E8929" w:rsidR="00817C82" w:rsidRPr="00051923" w:rsidRDefault="00817C82" w:rsidP="000D77B8">
      <w:pPr>
        <w:pStyle w:val="ZPKTzmpktartykuempunktem"/>
        <w:rPr>
          <w:rFonts w:eastAsia="Times New Roman"/>
        </w:rPr>
      </w:pPr>
      <w:r w:rsidRPr="00051923">
        <w:rPr>
          <w:rFonts w:eastAsia="Times New Roman"/>
        </w:rPr>
        <w:t>2)</w:t>
      </w:r>
      <w:r w:rsidR="00B94676">
        <w:rPr>
          <w:rFonts w:eastAsia="Times New Roman"/>
        </w:rPr>
        <w:tab/>
      </w:r>
      <w:r w:rsidRPr="00051923">
        <w:rPr>
          <w:rFonts w:eastAsia="Times New Roman"/>
        </w:rPr>
        <w:t>funduszu zagranicznego z wydzielonymi subfunduszami</w:t>
      </w:r>
      <w:r w:rsidR="00A75852">
        <w:rPr>
          <w:rFonts w:eastAsia="Times New Roman"/>
        </w:rPr>
        <w:t>;</w:t>
      </w:r>
    </w:p>
    <w:p w14:paraId="5E1DAEA1" w14:textId="093BF16D" w:rsidR="00817C82" w:rsidRPr="00051923" w:rsidRDefault="00817C82" w:rsidP="000D77B8">
      <w:pPr>
        <w:pStyle w:val="ZPKTzmpktartykuempunktem"/>
        <w:rPr>
          <w:rFonts w:eastAsia="Times New Roman"/>
        </w:rPr>
      </w:pPr>
      <w:r w:rsidRPr="00051923">
        <w:rPr>
          <w:rFonts w:eastAsia="Times New Roman"/>
        </w:rPr>
        <w:lastRenderedPageBreak/>
        <w:t>3)</w:t>
      </w:r>
      <w:r w:rsidR="00B94676">
        <w:rPr>
          <w:rFonts w:eastAsia="Times New Roman"/>
        </w:rPr>
        <w:tab/>
      </w:r>
      <w:r w:rsidRPr="00051923">
        <w:rPr>
          <w:rFonts w:eastAsia="Times New Roman"/>
        </w:rPr>
        <w:t>funduszu inwestycyjnego otwartego z siedzibą w państwie należącym do</w:t>
      </w:r>
      <w:r w:rsidR="00101C63">
        <w:rPr>
          <w:rFonts w:eastAsia="Times New Roman"/>
        </w:rPr>
        <w:t xml:space="preserve"> </w:t>
      </w:r>
      <w:r w:rsidRPr="00051923">
        <w:rPr>
          <w:rFonts w:eastAsia="Times New Roman"/>
        </w:rPr>
        <w:t>EEA</w:t>
      </w:r>
      <w:r w:rsidR="00A75852">
        <w:rPr>
          <w:rFonts w:eastAsia="Times New Roman"/>
        </w:rPr>
        <w:t>;</w:t>
      </w:r>
    </w:p>
    <w:p w14:paraId="1A196222" w14:textId="2C8ECAB0" w:rsidR="00817C82" w:rsidRPr="00051923" w:rsidRDefault="00817C82" w:rsidP="000D77B8">
      <w:pPr>
        <w:pStyle w:val="ZPKTzmpktartykuempunktem"/>
        <w:rPr>
          <w:rFonts w:eastAsia="Times New Roman"/>
        </w:rPr>
      </w:pPr>
      <w:r w:rsidRPr="00051923">
        <w:rPr>
          <w:rFonts w:eastAsia="Times New Roman"/>
        </w:rPr>
        <w:t>4)</w:t>
      </w:r>
      <w:r w:rsidR="00B94676">
        <w:rPr>
          <w:rFonts w:eastAsia="Times New Roman"/>
        </w:rPr>
        <w:tab/>
      </w:r>
      <w:r w:rsidRPr="00051923">
        <w:rPr>
          <w:rFonts w:eastAsia="Times New Roman"/>
        </w:rPr>
        <w:t>funduszu inwestycyjnego otwartego z wydzielonymi subfunduszami z</w:t>
      </w:r>
      <w:r w:rsidR="00101C63">
        <w:rPr>
          <w:rFonts w:eastAsia="Times New Roman"/>
        </w:rPr>
        <w:t xml:space="preserve"> </w:t>
      </w:r>
      <w:r w:rsidRPr="00051923">
        <w:rPr>
          <w:rFonts w:eastAsia="Times New Roman"/>
        </w:rPr>
        <w:t>siedzibą w państwie należącym do EEA.</w:t>
      </w:r>
    </w:p>
    <w:p w14:paraId="5AD6691F" w14:textId="405BAFE4" w:rsidR="00817C82" w:rsidRPr="00051923" w:rsidRDefault="00817C82" w:rsidP="000D77B8">
      <w:pPr>
        <w:pStyle w:val="ZUSTzmustartykuempunktem"/>
        <w:rPr>
          <w:rFonts w:eastAsia="Times New Roman"/>
        </w:rPr>
      </w:pPr>
      <w:r w:rsidRPr="00051923">
        <w:rPr>
          <w:rFonts w:eastAsia="Times New Roman"/>
        </w:rPr>
        <w:t>2. Opłata roczna, o której mowa w ust. 1, jest powiększana o równowartość w złotych</w:t>
      </w:r>
      <w:r w:rsidR="001B6EC5">
        <w:rPr>
          <w:rFonts w:eastAsia="Times New Roman"/>
        </w:rPr>
        <w:t xml:space="preserve"> </w:t>
      </w:r>
      <w:r w:rsidR="001B6EC5" w:rsidRPr="00051923">
        <w:rPr>
          <w:rFonts w:eastAsia="Times New Roman"/>
        </w:rPr>
        <w:t>200 euro za każdy subfundusz wydzielony w</w:t>
      </w:r>
      <w:r w:rsidRPr="00051923">
        <w:rPr>
          <w:rFonts w:eastAsia="Times New Roman"/>
        </w:rPr>
        <w:t>:</w:t>
      </w:r>
    </w:p>
    <w:p w14:paraId="0AC4A1BE" w14:textId="2EF11F72" w:rsidR="00817C82" w:rsidRPr="00051923" w:rsidRDefault="00817C82" w:rsidP="000D77B8">
      <w:pPr>
        <w:pStyle w:val="ZPKTzmpktartykuempunktem"/>
        <w:rPr>
          <w:rFonts w:eastAsia="Times New Roman"/>
        </w:rPr>
      </w:pPr>
      <w:r w:rsidRPr="00051923">
        <w:rPr>
          <w:rFonts w:eastAsia="Times New Roman"/>
        </w:rPr>
        <w:t>1)</w:t>
      </w:r>
      <w:r w:rsidR="00A75852">
        <w:rPr>
          <w:rFonts w:eastAsia="Times New Roman"/>
        </w:rPr>
        <w:tab/>
      </w:r>
      <w:r w:rsidRPr="00051923">
        <w:rPr>
          <w:rFonts w:eastAsia="Times New Roman"/>
        </w:rPr>
        <w:t>funduszu zagranicznym</w:t>
      </w:r>
      <w:r w:rsidR="00A254CC">
        <w:rPr>
          <w:rFonts w:eastAsia="Times New Roman"/>
        </w:rPr>
        <w:t xml:space="preserve">, który jest </w:t>
      </w:r>
      <w:r w:rsidRPr="00051923">
        <w:rPr>
          <w:rFonts w:eastAsia="Times New Roman"/>
        </w:rPr>
        <w:t>wpisany do rejestru, o którym</w:t>
      </w:r>
      <w:r w:rsidR="00101C63">
        <w:rPr>
          <w:rFonts w:eastAsia="Times New Roman"/>
        </w:rPr>
        <w:t xml:space="preserve"> </w:t>
      </w:r>
      <w:r w:rsidRPr="00051923">
        <w:rPr>
          <w:rFonts w:eastAsia="Times New Roman"/>
        </w:rPr>
        <w:t>mowa w art. 263 ustawy o funduszach inwestycyjnych, na dzień 1 stycznia roku</w:t>
      </w:r>
      <w:r w:rsidR="001F5679">
        <w:rPr>
          <w:rFonts w:eastAsia="Times New Roman"/>
        </w:rPr>
        <w:t>,</w:t>
      </w:r>
      <w:r w:rsidRPr="00051923">
        <w:rPr>
          <w:rFonts w:eastAsia="Times New Roman"/>
        </w:rPr>
        <w:t xml:space="preserve"> za który </w:t>
      </w:r>
      <w:r w:rsidR="001F5679" w:rsidRPr="00051923">
        <w:rPr>
          <w:rFonts w:eastAsia="Times New Roman"/>
        </w:rPr>
        <w:t xml:space="preserve">jest </w:t>
      </w:r>
      <w:r w:rsidRPr="00051923">
        <w:rPr>
          <w:rFonts w:eastAsia="Times New Roman"/>
        </w:rPr>
        <w:t>pobierana</w:t>
      </w:r>
      <w:r w:rsidR="00101C63">
        <w:rPr>
          <w:rFonts w:eastAsia="Times New Roman"/>
        </w:rPr>
        <w:t xml:space="preserve"> </w:t>
      </w:r>
      <w:r w:rsidRPr="00051923">
        <w:rPr>
          <w:rFonts w:eastAsia="Times New Roman"/>
        </w:rPr>
        <w:t xml:space="preserve">opłata roczna, </w:t>
      </w:r>
    </w:p>
    <w:p w14:paraId="72EE0EEC" w14:textId="1FFDC941" w:rsidR="00817C82" w:rsidRDefault="00817C82" w:rsidP="000D77B8">
      <w:pPr>
        <w:pStyle w:val="ZPKTzmpktartykuempunktem"/>
        <w:rPr>
          <w:rFonts w:eastAsia="Times New Roman"/>
        </w:rPr>
      </w:pPr>
      <w:r w:rsidRPr="00051923">
        <w:rPr>
          <w:rFonts w:eastAsia="Times New Roman"/>
        </w:rPr>
        <w:t>2)</w:t>
      </w:r>
      <w:r w:rsidR="00A75852">
        <w:rPr>
          <w:rFonts w:eastAsia="Times New Roman"/>
        </w:rPr>
        <w:tab/>
      </w:r>
      <w:r w:rsidRPr="00051923">
        <w:rPr>
          <w:rFonts w:eastAsia="Times New Roman"/>
        </w:rPr>
        <w:t>funduszu inwestycyjnym otwartym z siedzibą w</w:t>
      </w:r>
      <w:r w:rsidR="00101C63">
        <w:rPr>
          <w:rFonts w:eastAsia="Times New Roman"/>
        </w:rPr>
        <w:t xml:space="preserve"> </w:t>
      </w:r>
      <w:r w:rsidRPr="00051923">
        <w:rPr>
          <w:rFonts w:eastAsia="Times New Roman"/>
        </w:rPr>
        <w:t>państwie należącym do EEA</w:t>
      </w:r>
      <w:r w:rsidR="00A254CC">
        <w:rPr>
          <w:rFonts w:eastAsia="Times New Roman"/>
        </w:rPr>
        <w:t>, który jest</w:t>
      </w:r>
      <w:r w:rsidRPr="00051923">
        <w:rPr>
          <w:rFonts w:eastAsia="Times New Roman"/>
        </w:rPr>
        <w:t xml:space="preserve"> wpisany do rejestru, o którym mowa w art. 263 ustawy o funduszach</w:t>
      </w:r>
      <w:r w:rsidR="00101C63">
        <w:rPr>
          <w:rFonts w:eastAsia="Times New Roman"/>
        </w:rPr>
        <w:t xml:space="preserve"> </w:t>
      </w:r>
      <w:r w:rsidRPr="00051923">
        <w:rPr>
          <w:rFonts w:eastAsia="Times New Roman"/>
        </w:rPr>
        <w:t>inwestycyjnych, na dzień 1 stycznia roku</w:t>
      </w:r>
      <w:r w:rsidR="001F5679">
        <w:rPr>
          <w:rFonts w:eastAsia="Times New Roman"/>
        </w:rPr>
        <w:t>,</w:t>
      </w:r>
      <w:r w:rsidRPr="00051923">
        <w:rPr>
          <w:rFonts w:eastAsia="Times New Roman"/>
        </w:rPr>
        <w:t xml:space="preserve"> za który </w:t>
      </w:r>
      <w:r w:rsidR="001F5679" w:rsidRPr="00051923">
        <w:rPr>
          <w:rFonts w:eastAsia="Times New Roman"/>
        </w:rPr>
        <w:t xml:space="preserve">jest </w:t>
      </w:r>
      <w:r w:rsidRPr="00051923">
        <w:rPr>
          <w:rFonts w:eastAsia="Times New Roman"/>
        </w:rPr>
        <w:t>pobierana opłata roczna</w:t>
      </w:r>
    </w:p>
    <w:p w14:paraId="5D51AED6" w14:textId="751A2024" w:rsidR="001F5679" w:rsidRPr="00051923" w:rsidRDefault="001F5679" w:rsidP="00F42DC7">
      <w:pPr>
        <w:pStyle w:val="ZCZWSPPKTzmczciwsppktartykuempunktem"/>
        <w:rPr>
          <w:rFonts w:eastAsia="Times New Roman"/>
        </w:rPr>
      </w:pPr>
      <w:r>
        <w:rPr>
          <w:rFonts w:eastAsia="Times New Roman"/>
        </w:rPr>
        <w:t xml:space="preserve">- </w:t>
      </w:r>
      <w:r w:rsidRPr="00051923">
        <w:rPr>
          <w:rFonts w:eastAsia="Times New Roman"/>
        </w:rPr>
        <w:t>począwszy od</w:t>
      </w:r>
      <w:r>
        <w:rPr>
          <w:rFonts w:eastAsia="Times New Roman"/>
        </w:rPr>
        <w:t xml:space="preserve"> </w:t>
      </w:r>
      <w:r w:rsidRPr="00051923">
        <w:rPr>
          <w:rFonts w:eastAsia="Times New Roman"/>
        </w:rPr>
        <w:t>drugiego subfunduszu</w:t>
      </w:r>
      <w:r>
        <w:rPr>
          <w:rFonts w:eastAsia="Times New Roman"/>
        </w:rPr>
        <w:t>.</w:t>
      </w:r>
    </w:p>
    <w:p w14:paraId="189052C8" w14:textId="064FFCAB" w:rsidR="00817C82" w:rsidRPr="00051923" w:rsidRDefault="00817C82" w:rsidP="000D77B8">
      <w:pPr>
        <w:pStyle w:val="ZUSTzmustartykuempunktem"/>
        <w:rPr>
          <w:rFonts w:eastAsia="Times New Roman"/>
        </w:rPr>
      </w:pPr>
      <w:r w:rsidRPr="00051923">
        <w:rPr>
          <w:rFonts w:eastAsia="Times New Roman"/>
        </w:rPr>
        <w:t>3. Opłatę roczną, o której mowa w art. 236 ust. 2j ustawy o funduszach inwestycyjnych</w:t>
      </w:r>
      <w:r w:rsidR="001F5679">
        <w:rPr>
          <w:rFonts w:eastAsia="Times New Roman"/>
        </w:rPr>
        <w:t>,</w:t>
      </w:r>
      <w:r w:rsidRPr="00051923">
        <w:rPr>
          <w:rFonts w:eastAsia="Times New Roman"/>
        </w:rPr>
        <w:t xml:space="preserve"> pobiera się</w:t>
      </w:r>
      <w:r w:rsidR="00101C63">
        <w:rPr>
          <w:rFonts w:eastAsia="Times New Roman"/>
        </w:rPr>
        <w:t xml:space="preserve"> </w:t>
      </w:r>
      <w:r w:rsidRPr="00051923">
        <w:rPr>
          <w:rFonts w:eastAsia="Times New Roman"/>
        </w:rPr>
        <w:t>w wysokości równowartości w złotych:</w:t>
      </w:r>
    </w:p>
    <w:p w14:paraId="2CC153CC" w14:textId="394013C7" w:rsidR="00817C82" w:rsidRPr="00BC7159" w:rsidRDefault="00817C82" w:rsidP="000D77B8">
      <w:pPr>
        <w:pStyle w:val="ZPKTzmpktartykuempunktem"/>
      </w:pPr>
      <w:r w:rsidRPr="00BC7159">
        <w:t>1)</w:t>
      </w:r>
      <w:r w:rsidR="00A75852">
        <w:tab/>
      </w:r>
      <w:r w:rsidRPr="00BC7159">
        <w:t>300 euro – w przypadku unijnego AFI, który może być wprowadzany do obrotu na terytorium</w:t>
      </w:r>
      <w:r w:rsidR="00101C63" w:rsidRPr="00BC7159">
        <w:t xml:space="preserve"> </w:t>
      </w:r>
      <w:r w:rsidRPr="00BC7159">
        <w:t>Rzeczypospolitej Polskiej wyłącznie wśród klientów profesjonalnych</w:t>
      </w:r>
      <w:r w:rsidR="00A75852">
        <w:t>;</w:t>
      </w:r>
    </w:p>
    <w:p w14:paraId="7673F424" w14:textId="3D59520F" w:rsidR="00817C82" w:rsidRPr="00BC7159" w:rsidRDefault="00817C82" w:rsidP="000D77B8">
      <w:pPr>
        <w:pStyle w:val="ZPKTzmpktartykuempunktem"/>
      </w:pPr>
      <w:r w:rsidRPr="00BC7159">
        <w:t>2)</w:t>
      </w:r>
      <w:r w:rsidR="00A75852">
        <w:tab/>
      </w:r>
      <w:r w:rsidRPr="00BC7159">
        <w:t>300 euro – w przypadku unijnego AFI z wydzielonymi subfunduszami, którego subfundusze mogą</w:t>
      </w:r>
      <w:r w:rsidR="00101C63" w:rsidRPr="00BC7159">
        <w:t xml:space="preserve"> </w:t>
      </w:r>
      <w:r w:rsidRPr="00BC7159">
        <w:t>być wprowadzane do obrotu na terytorium Rzeczypospolitej Polskiej wyłącznie wśród klientów</w:t>
      </w:r>
      <w:r w:rsidR="00101C63" w:rsidRPr="00BC7159">
        <w:t xml:space="preserve"> </w:t>
      </w:r>
      <w:r w:rsidRPr="00BC7159">
        <w:t>profesjonalnych</w:t>
      </w:r>
      <w:r w:rsidR="00A75852">
        <w:t>;</w:t>
      </w:r>
    </w:p>
    <w:p w14:paraId="26406EA4" w14:textId="771529A4" w:rsidR="00817C82" w:rsidRPr="00BC7159" w:rsidRDefault="00817C82" w:rsidP="000D77B8">
      <w:pPr>
        <w:pStyle w:val="ZPKTzmpktartykuempunktem"/>
      </w:pPr>
      <w:r w:rsidRPr="00BC7159">
        <w:t>3)</w:t>
      </w:r>
      <w:r w:rsidR="00A75852">
        <w:tab/>
      </w:r>
      <w:r w:rsidRPr="00BC7159">
        <w:t>300 euro – w przypadku alternatywnego funduszu inwestycyjnego z siedzibą w państwie należącym</w:t>
      </w:r>
      <w:r w:rsidR="00101C63" w:rsidRPr="00BC7159">
        <w:t xml:space="preserve"> </w:t>
      </w:r>
      <w:r w:rsidRPr="00BC7159">
        <w:t>do EEA, który może być wprowadzany do obrotu na terytorium Rzeczypospolitej Polskiej wyłącznie</w:t>
      </w:r>
      <w:r w:rsidR="00101C63" w:rsidRPr="00BC7159">
        <w:t xml:space="preserve"> </w:t>
      </w:r>
      <w:r w:rsidRPr="00BC7159">
        <w:t>wśród klientów profesjonalnych</w:t>
      </w:r>
      <w:r w:rsidR="00A75852">
        <w:t>;</w:t>
      </w:r>
    </w:p>
    <w:p w14:paraId="6AAAE7B9" w14:textId="164A79B7" w:rsidR="00817C82" w:rsidRPr="00BC7159" w:rsidRDefault="00817C82" w:rsidP="000D77B8">
      <w:pPr>
        <w:pStyle w:val="ZPKTzmpktartykuempunktem"/>
      </w:pPr>
      <w:r w:rsidRPr="00BC7159">
        <w:t>4)</w:t>
      </w:r>
      <w:r w:rsidR="00A75852">
        <w:tab/>
      </w:r>
      <w:r w:rsidRPr="00BC7159">
        <w:t xml:space="preserve">300 euro – w przypadku alternatywnego funduszu inwestycyjnego </w:t>
      </w:r>
      <w:r w:rsidR="000A729D" w:rsidRPr="00BC7159">
        <w:t xml:space="preserve">z wydzielonymi subfunduszami </w:t>
      </w:r>
      <w:r w:rsidRPr="00BC7159">
        <w:t>z siedzibą w państwie należącym</w:t>
      </w:r>
      <w:r w:rsidR="00101C63" w:rsidRPr="00BC7159">
        <w:t xml:space="preserve"> </w:t>
      </w:r>
      <w:r w:rsidRPr="00BC7159">
        <w:t>do EEA, którego subfundusze mogą być wprowadzane do obrotu na</w:t>
      </w:r>
      <w:r w:rsidR="00101C63" w:rsidRPr="00BC7159">
        <w:t xml:space="preserve"> </w:t>
      </w:r>
      <w:r w:rsidRPr="00BC7159">
        <w:t>terytorium Rzeczypospolitej Polskiej wyłącznie wśród klientów profesjonalnych</w:t>
      </w:r>
      <w:r w:rsidR="00A75852">
        <w:t>;</w:t>
      </w:r>
    </w:p>
    <w:p w14:paraId="4574F73A" w14:textId="04ABD6B5" w:rsidR="00817C82" w:rsidRPr="00BC7159" w:rsidRDefault="00817C82" w:rsidP="000D77B8">
      <w:pPr>
        <w:pStyle w:val="ZPKTzmpktartykuempunktem"/>
      </w:pPr>
      <w:r w:rsidRPr="00BC7159">
        <w:t>5)</w:t>
      </w:r>
      <w:r w:rsidR="00A75852">
        <w:tab/>
      </w:r>
      <w:r w:rsidRPr="00BC7159">
        <w:t>1000 euro – w przypadku unijnego AFI, który może być wprowadzany do obrotu na terytorium</w:t>
      </w:r>
      <w:r w:rsidR="003A2768" w:rsidRPr="00BC7159">
        <w:t xml:space="preserve"> </w:t>
      </w:r>
      <w:r w:rsidRPr="00BC7159">
        <w:t>Rzeczypospolitej Polskiej wśród klientów detalicznych</w:t>
      </w:r>
      <w:r w:rsidR="00A75852">
        <w:t>;</w:t>
      </w:r>
    </w:p>
    <w:p w14:paraId="7B2D5406" w14:textId="661E7F4E" w:rsidR="00817C82" w:rsidRPr="00BC7159" w:rsidRDefault="00817C82" w:rsidP="000D77B8">
      <w:pPr>
        <w:pStyle w:val="ZPKTzmpktartykuempunktem"/>
      </w:pPr>
      <w:r w:rsidRPr="00BC7159">
        <w:t>6)</w:t>
      </w:r>
      <w:r w:rsidR="00A75852">
        <w:tab/>
      </w:r>
      <w:r w:rsidRPr="00BC7159">
        <w:t xml:space="preserve">1000 euro – w przypadku unijnego AFI z wydzielonymi subfunduszami, </w:t>
      </w:r>
      <w:r w:rsidR="00AA2C99">
        <w:t xml:space="preserve">z </w:t>
      </w:r>
      <w:r w:rsidR="00AC20B7" w:rsidRPr="00BC7159">
        <w:t>któr</w:t>
      </w:r>
      <w:r w:rsidR="00AC20B7">
        <w:t>ych</w:t>
      </w:r>
      <w:r w:rsidR="00AC20B7" w:rsidRPr="00BC7159">
        <w:t xml:space="preserve"> </w:t>
      </w:r>
      <w:r w:rsidRPr="00BC7159">
        <w:t>przynajmniej jeden</w:t>
      </w:r>
      <w:r w:rsidR="003A2768" w:rsidRPr="00BC7159">
        <w:t xml:space="preserve"> </w:t>
      </w:r>
      <w:r w:rsidRPr="00BC7159">
        <w:t>subfundusz może być wprowadzany do obrotu na terytorium Rzeczypospolitej Polskiej wśród</w:t>
      </w:r>
      <w:r w:rsidR="003A2768" w:rsidRPr="00BC7159">
        <w:t xml:space="preserve"> </w:t>
      </w:r>
      <w:r w:rsidRPr="00BC7159">
        <w:t>klientów detalicznych</w:t>
      </w:r>
      <w:r w:rsidR="00A75852">
        <w:t>;</w:t>
      </w:r>
    </w:p>
    <w:p w14:paraId="2A1AF7A6" w14:textId="06A6F92B" w:rsidR="00817C82" w:rsidRPr="00BC7159" w:rsidRDefault="00817C82" w:rsidP="000D77B8">
      <w:pPr>
        <w:pStyle w:val="ZPKTzmpktartykuempunktem"/>
      </w:pPr>
      <w:r w:rsidRPr="00BC7159">
        <w:lastRenderedPageBreak/>
        <w:t>7)</w:t>
      </w:r>
      <w:r w:rsidR="00A75852">
        <w:tab/>
      </w:r>
      <w:r w:rsidRPr="00BC7159">
        <w:t>1000 euro – w przypadku alternatywnego funduszu inwestycyjnego z siedzibą w państwie należącym</w:t>
      </w:r>
      <w:r w:rsidR="003A2768" w:rsidRPr="00BC7159">
        <w:t xml:space="preserve"> </w:t>
      </w:r>
      <w:r w:rsidRPr="00BC7159">
        <w:t>do EEA, który może być wprowadzany do obrotu na terytorium Rzeczypospolitej Polskiej wśród</w:t>
      </w:r>
      <w:r w:rsidR="003A2768" w:rsidRPr="00BC7159">
        <w:t xml:space="preserve"> </w:t>
      </w:r>
      <w:r w:rsidRPr="00BC7159">
        <w:t>klientów detalicznych</w:t>
      </w:r>
      <w:r w:rsidR="001B6EC5">
        <w:t>;</w:t>
      </w:r>
    </w:p>
    <w:p w14:paraId="1FE0A4BD" w14:textId="3B06B21F" w:rsidR="00817C82" w:rsidRPr="00BC7159" w:rsidRDefault="00817C82" w:rsidP="000D77B8">
      <w:pPr>
        <w:pStyle w:val="ZPKTzmpktartykuempunktem"/>
      </w:pPr>
      <w:r w:rsidRPr="00BC7159">
        <w:t>8)</w:t>
      </w:r>
      <w:r w:rsidR="00A75852">
        <w:tab/>
      </w:r>
      <w:r w:rsidRPr="00BC7159">
        <w:t>1000 euro – w przypadku alternatywnego funduszu inwestycyjnego z wydzielonymi subfunduszami</w:t>
      </w:r>
      <w:r w:rsidR="003A2768" w:rsidRPr="00BC7159">
        <w:t xml:space="preserve"> </w:t>
      </w:r>
      <w:r w:rsidRPr="00BC7159">
        <w:t xml:space="preserve">z siedzibą w państwie należącym do EEA, </w:t>
      </w:r>
      <w:r w:rsidR="00AA2C99">
        <w:t>z których</w:t>
      </w:r>
      <w:r w:rsidR="00AA2C99" w:rsidRPr="00BC7159">
        <w:t xml:space="preserve"> </w:t>
      </w:r>
      <w:r w:rsidRPr="00BC7159">
        <w:t>przynajmniej jeden subfundusz może być</w:t>
      </w:r>
      <w:r w:rsidR="003A2768" w:rsidRPr="00BC7159">
        <w:t xml:space="preserve"> </w:t>
      </w:r>
      <w:r w:rsidRPr="00BC7159">
        <w:t>wprowadzany do obrotu na terytorium Rzeczypospolitej Polskiej wśród klientów detalicznych.</w:t>
      </w:r>
    </w:p>
    <w:p w14:paraId="081CA468" w14:textId="77777777" w:rsidR="00817C82" w:rsidRPr="00051923" w:rsidRDefault="00817C82" w:rsidP="000D77B8">
      <w:pPr>
        <w:pStyle w:val="ZUSTzmustartykuempunktem"/>
        <w:rPr>
          <w:rFonts w:eastAsia="Times New Roman"/>
        </w:rPr>
      </w:pPr>
      <w:r w:rsidRPr="00051923">
        <w:rPr>
          <w:rFonts w:eastAsia="Times New Roman"/>
        </w:rPr>
        <w:t>4. Opłata roczna, o której mowa w ust. 3, jest powiększana o równowartość w złotych:</w:t>
      </w:r>
    </w:p>
    <w:p w14:paraId="468C2997" w14:textId="0185907E" w:rsidR="00817C82" w:rsidRPr="00051923" w:rsidRDefault="00817C82" w:rsidP="000D77B8">
      <w:pPr>
        <w:pStyle w:val="ZPKTzmpktartykuempunktem"/>
        <w:rPr>
          <w:rFonts w:eastAsia="Times New Roman"/>
        </w:rPr>
      </w:pPr>
      <w:r w:rsidRPr="00051923">
        <w:rPr>
          <w:rFonts w:eastAsia="Times New Roman"/>
        </w:rPr>
        <w:t>1)</w:t>
      </w:r>
      <w:r w:rsidR="00A75852">
        <w:rPr>
          <w:rFonts w:eastAsia="Times New Roman"/>
        </w:rPr>
        <w:tab/>
      </w:r>
      <w:r w:rsidRPr="00051923">
        <w:rPr>
          <w:rFonts w:eastAsia="Times New Roman"/>
        </w:rPr>
        <w:t xml:space="preserve">200 euro za każdy subfundusz wydzielony w unijnym </w:t>
      </w:r>
      <w:r w:rsidR="00E670D1">
        <w:rPr>
          <w:rFonts w:eastAsia="Times New Roman"/>
        </w:rPr>
        <w:t>AFI</w:t>
      </w:r>
      <w:r w:rsidR="000A729D">
        <w:rPr>
          <w:rFonts w:eastAsia="Times New Roman"/>
        </w:rPr>
        <w:t>,</w:t>
      </w:r>
      <w:r w:rsidR="00A254CC">
        <w:rPr>
          <w:rFonts w:eastAsia="Times New Roman"/>
        </w:rPr>
        <w:t xml:space="preserve"> który jest</w:t>
      </w:r>
      <w:r w:rsidRPr="00051923">
        <w:rPr>
          <w:rFonts w:eastAsia="Times New Roman"/>
        </w:rPr>
        <w:t xml:space="preserve"> wpisany do rejestru, o którym mowa</w:t>
      </w:r>
      <w:r w:rsidR="003A2768">
        <w:rPr>
          <w:rFonts w:eastAsia="Times New Roman"/>
        </w:rPr>
        <w:t xml:space="preserve"> </w:t>
      </w:r>
      <w:r w:rsidRPr="00051923">
        <w:rPr>
          <w:rFonts w:eastAsia="Times New Roman"/>
        </w:rPr>
        <w:t>w art. 263r ustawy o funduszach inwestycyjnych, na dzień 1 stycznia roku</w:t>
      </w:r>
      <w:r w:rsidR="008D2CEB">
        <w:rPr>
          <w:rFonts w:eastAsia="Times New Roman"/>
        </w:rPr>
        <w:t>,</w:t>
      </w:r>
      <w:r w:rsidRPr="00051923">
        <w:rPr>
          <w:rFonts w:eastAsia="Times New Roman"/>
        </w:rPr>
        <w:t xml:space="preserve"> za który </w:t>
      </w:r>
      <w:r w:rsidR="008D2CEB" w:rsidRPr="00051923">
        <w:rPr>
          <w:rFonts w:eastAsia="Times New Roman"/>
        </w:rPr>
        <w:t xml:space="preserve">jest </w:t>
      </w:r>
      <w:r w:rsidRPr="00051923">
        <w:rPr>
          <w:rFonts w:eastAsia="Times New Roman"/>
        </w:rPr>
        <w:t>pobierana opłata roczna, począwszy od drugiego subfunduszu, który może być</w:t>
      </w:r>
      <w:r w:rsidR="003A2768">
        <w:rPr>
          <w:rFonts w:eastAsia="Times New Roman"/>
        </w:rPr>
        <w:t xml:space="preserve"> </w:t>
      </w:r>
      <w:r w:rsidRPr="00051923">
        <w:rPr>
          <w:rFonts w:eastAsia="Times New Roman"/>
        </w:rPr>
        <w:t>wprowadzany do obrotu na terytorium Rzeczypospolitej Polskiej wyłącznie wśród klientów</w:t>
      </w:r>
      <w:r w:rsidR="003A2768">
        <w:rPr>
          <w:rFonts w:eastAsia="Times New Roman"/>
        </w:rPr>
        <w:t xml:space="preserve"> </w:t>
      </w:r>
      <w:r w:rsidRPr="00051923">
        <w:rPr>
          <w:rFonts w:eastAsia="Times New Roman"/>
        </w:rPr>
        <w:t>profesjonalnych</w:t>
      </w:r>
      <w:r w:rsidR="00A75852">
        <w:rPr>
          <w:rFonts w:eastAsia="Times New Roman"/>
        </w:rPr>
        <w:t>;</w:t>
      </w:r>
    </w:p>
    <w:p w14:paraId="61913567" w14:textId="54B18EA6" w:rsidR="00817C82" w:rsidRPr="00051923" w:rsidRDefault="00817C82" w:rsidP="000D77B8">
      <w:pPr>
        <w:pStyle w:val="ZPKTzmpktartykuempunktem"/>
        <w:rPr>
          <w:rFonts w:eastAsia="Times New Roman"/>
        </w:rPr>
      </w:pPr>
      <w:r w:rsidRPr="00051923">
        <w:rPr>
          <w:rFonts w:eastAsia="Times New Roman"/>
        </w:rPr>
        <w:t>2)</w:t>
      </w:r>
      <w:r w:rsidR="00A75852">
        <w:rPr>
          <w:rFonts w:eastAsia="Times New Roman"/>
        </w:rPr>
        <w:tab/>
      </w:r>
      <w:r w:rsidRPr="00051923">
        <w:rPr>
          <w:rFonts w:eastAsia="Times New Roman"/>
        </w:rPr>
        <w:t>200 euro za każdy subfundusz wydzielony w alternatywnym funduszu inwestycyjnym z siedzibą w</w:t>
      </w:r>
      <w:r w:rsidR="003A2768">
        <w:rPr>
          <w:rFonts w:eastAsia="Times New Roman"/>
        </w:rPr>
        <w:t xml:space="preserve"> </w:t>
      </w:r>
      <w:r w:rsidRPr="00051923">
        <w:rPr>
          <w:rFonts w:eastAsia="Times New Roman"/>
        </w:rPr>
        <w:t>państwie należącym do EEA</w:t>
      </w:r>
      <w:r w:rsidR="00FB323E">
        <w:rPr>
          <w:rFonts w:eastAsia="Times New Roman"/>
        </w:rPr>
        <w:t>,</w:t>
      </w:r>
      <w:r w:rsidR="00AA2C99">
        <w:rPr>
          <w:rFonts w:eastAsia="Times New Roman"/>
        </w:rPr>
        <w:t xml:space="preserve"> </w:t>
      </w:r>
      <w:r w:rsidR="00A254CC">
        <w:rPr>
          <w:rFonts w:eastAsia="Times New Roman"/>
        </w:rPr>
        <w:t>który jest</w:t>
      </w:r>
      <w:r w:rsidRPr="00051923">
        <w:rPr>
          <w:rFonts w:eastAsia="Times New Roman"/>
        </w:rPr>
        <w:t xml:space="preserve"> wpisany do rejestru, o którym mowa w art. 263r ustawy o funduszach</w:t>
      </w:r>
      <w:r w:rsidR="003A2768">
        <w:rPr>
          <w:rFonts w:eastAsia="Times New Roman"/>
        </w:rPr>
        <w:t xml:space="preserve"> </w:t>
      </w:r>
      <w:r w:rsidRPr="00051923">
        <w:rPr>
          <w:rFonts w:eastAsia="Times New Roman"/>
        </w:rPr>
        <w:t>inwestycyjnych, na dzień 1 stycznia roku</w:t>
      </w:r>
      <w:r w:rsidR="00A254CC">
        <w:rPr>
          <w:rFonts w:eastAsia="Times New Roman"/>
        </w:rPr>
        <w:t>,</w:t>
      </w:r>
      <w:r w:rsidRPr="00051923">
        <w:rPr>
          <w:rFonts w:eastAsia="Times New Roman"/>
        </w:rPr>
        <w:t xml:space="preserve"> za który </w:t>
      </w:r>
      <w:r w:rsidR="00A254CC" w:rsidRPr="00051923">
        <w:rPr>
          <w:rFonts w:eastAsia="Times New Roman"/>
        </w:rPr>
        <w:t xml:space="preserve">jest </w:t>
      </w:r>
      <w:r w:rsidRPr="00051923">
        <w:rPr>
          <w:rFonts w:eastAsia="Times New Roman"/>
        </w:rPr>
        <w:t>pobierana opłata roczna, począwszy od</w:t>
      </w:r>
      <w:r w:rsidR="003A2768">
        <w:rPr>
          <w:rFonts w:eastAsia="Times New Roman"/>
        </w:rPr>
        <w:t xml:space="preserve"> </w:t>
      </w:r>
      <w:r w:rsidRPr="00051923">
        <w:rPr>
          <w:rFonts w:eastAsia="Times New Roman"/>
        </w:rPr>
        <w:t>drugiego subfunduszu, który może być wprowadzany do obrotu na</w:t>
      </w:r>
      <w:r w:rsidR="003A2768">
        <w:rPr>
          <w:rFonts w:eastAsia="Times New Roman"/>
        </w:rPr>
        <w:t xml:space="preserve"> </w:t>
      </w:r>
      <w:r w:rsidRPr="00051923">
        <w:rPr>
          <w:rFonts w:eastAsia="Times New Roman"/>
        </w:rPr>
        <w:t>terytorium Rzeczypospolitej Polskiej wyłącznie wśród klientów profesjonalnych</w:t>
      </w:r>
      <w:r w:rsidR="00A75852">
        <w:rPr>
          <w:rFonts w:eastAsia="Times New Roman"/>
        </w:rPr>
        <w:t>;</w:t>
      </w:r>
    </w:p>
    <w:p w14:paraId="3B51B04F" w14:textId="3ABA6A25" w:rsidR="00817C82" w:rsidRPr="00051923" w:rsidRDefault="00817C82" w:rsidP="000D77B8">
      <w:pPr>
        <w:pStyle w:val="ZPKTzmpktartykuempunktem"/>
        <w:rPr>
          <w:rFonts w:eastAsia="Times New Roman"/>
        </w:rPr>
      </w:pPr>
      <w:r w:rsidRPr="00051923">
        <w:rPr>
          <w:rFonts w:eastAsia="Times New Roman"/>
        </w:rPr>
        <w:t>3)</w:t>
      </w:r>
      <w:r w:rsidR="00A75852">
        <w:rPr>
          <w:rFonts w:eastAsia="Times New Roman"/>
        </w:rPr>
        <w:tab/>
      </w:r>
      <w:r w:rsidRPr="00051923">
        <w:rPr>
          <w:rFonts w:eastAsia="Times New Roman"/>
        </w:rPr>
        <w:t xml:space="preserve">500 euro za każdy subfundusz wydzielony w unijnym </w:t>
      </w:r>
      <w:r w:rsidR="00E670D1">
        <w:rPr>
          <w:rFonts w:eastAsia="Times New Roman"/>
        </w:rPr>
        <w:t>AFI</w:t>
      </w:r>
      <w:r w:rsidR="00FB323E">
        <w:rPr>
          <w:rFonts w:eastAsia="Times New Roman"/>
        </w:rPr>
        <w:t>,</w:t>
      </w:r>
      <w:r w:rsidR="00A254CC">
        <w:rPr>
          <w:rFonts w:eastAsia="Times New Roman"/>
        </w:rPr>
        <w:t xml:space="preserve"> który jest</w:t>
      </w:r>
      <w:r w:rsidRPr="00051923">
        <w:rPr>
          <w:rFonts w:eastAsia="Times New Roman"/>
        </w:rPr>
        <w:t xml:space="preserve"> wpisany do rejestru, o którym mowa</w:t>
      </w:r>
      <w:r w:rsidR="003A2768">
        <w:rPr>
          <w:rFonts w:eastAsia="Times New Roman"/>
        </w:rPr>
        <w:t xml:space="preserve"> </w:t>
      </w:r>
      <w:r w:rsidRPr="00051923">
        <w:rPr>
          <w:rFonts w:eastAsia="Times New Roman"/>
        </w:rPr>
        <w:t>w art. 263r ustawy o funduszach inwestycyjnych, na dzień 1 stycznia roku</w:t>
      </w:r>
      <w:r w:rsidR="00A254CC">
        <w:rPr>
          <w:rFonts w:eastAsia="Times New Roman"/>
        </w:rPr>
        <w:t>,</w:t>
      </w:r>
      <w:r w:rsidRPr="00051923">
        <w:rPr>
          <w:rFonts w:eastAsia="Times New Roman"/>
        </w:rPr>
        <w:t xml:space="preserve"> za który </w:t>
      </w:r>
      <w:r w:rsidR="00A254CC" w:rsidRPr="00051923">
        <w:rPr>
          <w:rFonts w:eastAsia="Times New Roman"/>
        </w:rPr>
        <w:t xml:space="preserve">jest </w:t>
      </w:r>
      <w:r w:rsidRPr="00051923">
        <w:rPr>
          <w:rFonts w:eastAsia="Times New Roman"/>
        </w:rPr>
        <w:t>pobierana opłata roczna, począwszy od drugiego subfunduszu, który może być</w:t>
      </w:r>
      <w:r w:rsidR="003A2768">
        <w:rPr>
          <w:rFonts w:eastAsia="Times New Roman"/>
        </w:rPr>
        <w:t xml:space="preserve"> </w:t>
      </w:r>
      <w:r w:rsidRPr="00051923">
        <w:rPr>
          <w:rFonts w:eastAsia="Times New Roman"/>
        </w:rPr>
        <w:t>wprowadzany do obrotu na terytorium Rzeczypospolitej Polskiej wśród klientów detalicznych</w:t>
      </w:r>
      <w:r w:rsidR="00A75852">
        <w:rPr>
          <w:rFonts w:eastAsia="Times New Roman"/>
        </w:rPr>
        <w:t>;</w:t>
      </w:r>
    </w:p>
    <w:p w14:paraId="5EE216B6" w14:textId="1C86E03D" w:rsidR="00817C82" w:rsidRPr="00051923" w:rsidRDefault="00817C82" w:rsidP="000D77B8">
      <w:pPr>
        <w:pStyle w:val="ZPKTzmpktartykuempunktem"/>
        <w:rPr>
          <w:rFonts w:eastAsia="Times New Roman"/>
        </w:rPr>
      </w:pPr>
      <w:r w:rsidRPr="00051923">
        <w:rPr>
          <w:rFonts w:eastAsia="Times New Roman"/>
        </w:rPr>
        <w:t>4)</w:t>
      </w:r>
      <w:r w:rsidR="00A75852">
        <w:rPr>
          <w:rFonts w:eastAsia="Times New Roman"/>
        </w:rPr>
        <w:tab/>
      </w:r>
      <w:r w:rsidRPr="00051923">
        <w:rPr>
          <w:rFonts w:eastAsia="Times New Roman"/>
        </w:rPr>
        <w:t>500 euro za każdy subfundusz wydzielony w alternatywnym funduszu inwestycyjnym z siedzibą w</w:t>
      </w:r>
      <w:r w:rsidR="003A2768">
        <w:rPr>
          <w:rFonts w:eastAsia="Times New Roman"/>
        </w:rPr>
        <w:t xml:space="preserve"> </w:t>
      </w:r>
      <w:r w:rsidRPr="00051923">
        <w:rPr>
          <w:rFonts w:eastAsia="Times New Roman"/>
        </w:rPr>
        <w:t>państwie należącym do EEA</w:t>
      </w:r>
      <w:r w:rsidR="00FB323E">
        <w:rPr>
          <w:rFonts w:eastAsia="Times New Roman"/>
        </w:rPr>
        <w:t>,</w:t>
      </w:r>
      <w:r w:rsidR="009D3062">
        <w:rPr>
          <w:rFonts w:eastAsia="Times New Roman"/>
        </w:rPr>
        <w:t xml:space="preserve"> </w:t>
      </w:r>
      <w:r w:rsidR="00A254CC">
        <w:rPr>
          <w:rFonts w:eastAsia="Times New Roman"/>
        </w:rPr>
        <w:t>który jest</w:t>
      </w:r>
      <w:r w:rsidRPr="00051923">
        <w:rPr>
          <w:rFonts w:eastAsia="Times New Roman"/>
        </w:rPr>
        <w:t xml:space="preserve"> wpisany do rejestru, o którym mowa w art. 263r ustawy o funduszach</w:t>
      </w:r>
      <w:r w:rsidR="003A2768">
        <w:rPr>
          <w:rFonts w:eastAsia="Times New Roman"/>
        </w:rPr>
        <w:t xml:space="preserve"> </w:t>
      </w:r>
      <w:r w:rsidRPr="00051923">
        <w:rPr>
          <w:rFonts w:eastAsia="Times New Roman"/>
        </w:rPr>
        <w:t>inwestycyjnych, na dzień 1 stycznia roku</w:t>
      </w:r>
      <w:r w:rsidR="00A254CC">
        <w:rPr>
          <w:rFonts w:eastAsia="Times New Roman"/>
        </w:rPr>
        <w:t>,</w:t>
      </w:r>
      <w:r w:rsidRPr="00051923">
        <w:rPr>
          <w:rFonts w:eastAsia="Times New Roman"/>
        </w:rPr>
        <w:t xml:space="preserve"> za który </w:t>
      </w:r>
      <w:r w:rsidR="00A254CC" w:rsidRPr="00051923">
        <w:rPr>
          <w:rFonts w:eastAsia="Times New Roman"/>
        </w:rPr>
        <w:t xml:space="preserve">jest </w:t>
      </w:r>
      <w:r w:rsidRPr="00051923">
        <w:rPr>
          <w:rFonts w:eastAsia="Times New Roman"/>
        </w:rPr>
        <w:t>pobierana opłata roczna, począwszy od</w:t>
      </w:r>
      <w:r w:rsidR="003A2768">
        <w:rPr>
          <w:rFonts w:eastAsia="Times New Roman"/>
        </w:rPr>
        <w:t xml:space="preserve"> </w:t>
      </w:r>
      <w:r w:rsidRPr="00051923">
        <w:rPr>
          <w:rFonts w:eastAsia="Times New Roman"/>
        </w:rPr>
        <w:t>drugiego subfunduszu, który może być wprowadzany do obrotu na</w:t>
      </w:r>
      <w:r w:rsidR="003A2768">
        <w:rPr>
          <w:rFonts w:eastAsia="Times New Roman"/>
        </w:rPr>
        <w:t xml:space="preserve"> </w:t>
      </w:r>
      <w:r w:rsidRPr="00051923">
        <w:rPr>
          <w:rFonts w:eastAsia="Times New Roman"/>
        </w:rPr>
        <w:t>terytorium Rzeczypospolitej Polskiej wśród klientów detalicznych.</w:t>
      </w:r>
    </w:p>
    <w:p w14:paraId="3151D0E4" w14:textId="1027C980" w:rsidR="00817C82" w:rsidRPr="00051923" w:rsidRDefault="00817C82" w:rsidP="000D77B8">
      <w:pPr>
        <w:pStyle w:val="ZUSTzmustartykuempunktem"/>
        <w:rPr>
          <w:rFonts w:eastAsia="Times New Roman"/>
        </w:rPr>
      </w:pPr>
      <w:r w:rsidRPr="00051923">
        <w:rPr>
          <w:rFonts w:eastAsia="Times New Roman"/>
        </w:rPr>
        <w:t>5. W przypadku fundusz</w:t>
      </w:r>
      <w:r w:rsidR="00CF436E">
        <w:rPr>
          <w:rFonts w:eastAsia="Times New Roman"/>
        </w:rPr>
        <w:t>ów</w:t>
      </w:r>
      <w:r w:rsidRPr="00051923">
        <w:rPr>
          <w:rFonts w:eastAsia="Times New Roman"/>
        </w:rPr>
        <w:t xml:space="preserve"> z wydzielonymi subfunduszami, o który</w:t>
      </w:r>
      <w:r w:rsidR="00CF436E">
        <w:rPr>
          <w:rFonts w:eastAsia="Times New Roman"/>
        </w:rPr>
        <w:t>ch</w:t>
      </w:r>
      <w:r w:rsidRPr="00051923">
        <w:rPr>
          <w:rFonts w:eastAsia="Times New Roman"/>
        </w:rPr>
        <w:t xml:space="preserve"> mowa w ust. 3 pkt 6 i 8, za</w:t>
      </w:r>
      <w:r w:rsidR="003A2768">
        <w:rPr>
          <w:rFonts w:eastAsia="Times New Roman"/>
        </w:rPr>
        <w:t xml:space="preserve"> </w:t>
      </w:r>
      <w:r w:rsidRPr="00051923">
        <w:rPr>
          <w:rFonts w:eastAsia="Times New Roman"/>
        </w:rPr>
        <w:t xml:space="preserve">pierwszy subfundusz, który nie </w:t>
      </w:r>
      <w:r w:rsidR="00CF436E">
        <w:rPr>
          <w:rFonts w:eastAsia="Times New Roman"/>
        </w:rPr>
        <w:t>podlega opłacie</w:t>
      </w:r>
      <w:r w:rsidRPr="00051923">
        <w:rPr>
          <w:rFonts w:eastAsia="Times New Roman"/>
        </w:rPr>
        <w:t xml:space="preserve">, o której mowa </w:t>
      </w:r>
      <w:r w:rsidR="00CF436E">
        <w:rPr>
          <w:rFonts w:eastAsia="Times New Roman"/>
        </w:rPr>
        <w:t xml:space="preserve">odpowiednio </w:t>
      </w:r>
      <w:r w:rsidRPr="00051923">
        <w:rPr>
          <w:rFonts w:eastAsia="Times New Roman"/>
        </w:rPr>
        <w:lastRenderedPageBreak/>
        <w:t xml:space="preserve">w ust. </w:t>
      </w:r>
      <w:r w:rsidR="00CF436E">
        <w:rPr>
          <w:rFonts w:eastAsia="Times New Roman"/>
        </w:rPr>
        <w:t xml:space="preserve">4 pkt 3 </w:t>
      </w:r>
      <w:r w:rsidR="00226967">
        <w:rPr>
          <w:rFonts w:eastAsia="Times New Roman"/>
        </w:rPr>
        <w:t>lub</w:t>
      </w:r>
      <w:r w:rsidR="00CF436E">
        <w:rPr>
          <w:rFonts w:eastAsia="Times New Roman"/>
        </w:rPr>
        <w:t xml:space="preserve"> 4</w:t>
      </w:r>
      <w:r w:rsidRPr="00051923">
        <w:rPr>
          <w:rFonts w:eastAsia="Times New Roman"/>
        </w:rPr>
        <w:t>, uznaje</w:t>
      </w:r>
      <w:r w:rsidR="003A2768">
        <w:rPr>
          <w:rFonts w:eastAsia="Times New Roman"/>
        </w:rPr>
        <w:t xml:space="preserve"> </w:t>
      </w:r>
      <w:r w:rsidRPr="00051923">
        <w:rPr>
          <w:rFonts w:eastAsia="Times New Roman"/>
        </w:rPr>
        <w:t>się subfundusz, który może być wprowadzany do obrotu na terytorium Rzeczypospolitej Polskiej wśród</w:t>
      </w:r>
      <w:r w:rsidR="003A2768">
        <w:rPr>
          <w:rFonts w:eastAsia="Times New Roman"/>
        </w:rPr>
        <w:t xml:space="preserve"> </w:t>
      </w:r>
      <w:r w:rsidR="00E85E68">
        <w:rPr>
          <w:rFonts w:eastAsia="Times New Roman"/>
        </w:rPr>
        <w:t>klientów</w:t>
      </w:r>
      <w:r w:rsidRPr="00051923">
        <w:rPr>
          <w:rFonts w:eastAsia="Times New Roman"/>
        </w:rPr>
        <w:t xml:space="preserve"> detalicznych.</w:t>
      </w:r>
    </w:p>
    <w:p w14:paraId="472ACCF3" w14:textId="76B2C64C" w:rsidR="00817C82" w:rsidRPr="00051923" w:rsidRDefault="00817C82" w:rsidP="000D77B8">
      <w:pPr>
        <w:pStyle w:val="ZUSTzmustartykuempunktem"/>
        <w:rPr>
          <w:rFonts w:eastAsia="Times New Roman"/>
        </w:rPr>
      </w:pPr>
      <w:r w:rsidRPr="00051923">
        <w:rPr>
          <w:rFonts w:eastAsia="Times New Roman"/>
        </w:rPr>
        <w:t xml:space="preserve">6. Opłatę roczną, o której mowa w ust. 1 i 3, powiększoną </w:t>
      </w:r>
      <w:r w:rsidR="00CF436E">
        <w:rPr>
          <w:rFonts w:eastAsia="Times New Roman"/>
        </w:rPr>
        <w:t xml:space="preserve">o opłaty, o których mowa w </w:t>
      </w:r>
      <w:r w:rsidRPr="00051923">
        <w:rPr>
          <w:rFonts w:eastAsia="Times New Roman"/>
        </w:rPr>
        <w:t xml:space="preserve">ust. 2 i </w:t>
      </w:r>
      <w:r w:rsidR="00061A56">
        <w:rPr>
          <w:rFonts w:eastAsia="Times New Roman"/>
        </w:rPr>
        <w:t>4</w:t>
      </w:r>
      <w:r w:rsidRPr="00051923">
        <w:rPr>
          <w:rFonts w:eastAsia="Times New Roman"/>
        </w:rPr>
        <w:t xml:space="preserve">, </w:t>
      </w:r>
      <w:r w:rsidR="00061A56">
        <w:rPr>
          <w:rFonts w:eastAsia="Times New Roman"/>
        </w:rPr>
        <w:t>uiszcza</w:t>
      </w:r>
      <w:r w:rsidR="00061A56" w:rsidRPr="00051923">
        <w:rPr>
          <w:rFonts w:eastAsia="Times New Roman"/>
        </w:rPr>
        <w:t xml:space="preserve"> </w:t>
      </w:r>
      <w:r w:rsidRPr="00051923">
        <w:rPr>
          <w:rFonts w:eastAsia="Times New Roman"/>
        </w:rPr>
        <w:t>się jednorazowo</w:t>
      </w:r>
      <w:r w:rsidR="003A2768">
        <w:rPr>
          <w:rFonts w:eastAsia="Times New Roman"/>
        </w:rPr>
        <w:t xml:space="preserve"> </w:t>
      </w:r>
      <w:r w:rsidRPr="00051923">
        <w:rPr>
          <w:rFonts w:eastAsia="Times New Roman"/>
        </w:rPr>
        <w:t xml:space="preserve">w terminie do </w:t>
      </w:r>
      <w:r w:rsidR="00BF2AB6">
        <w:rPr>
          <w:rFonts w:eastAsia="Times New Roman"/>
        </w:rPr>
        <w:t xml:space="preserve">dnia </w:t>
      </w:r>
      <w:r w:rsidR="00CF436E">
        <w:rPr>
          <w:rFonts w:eastAsia="Times New Roman"/>
        </w:rPr>
        <w:t>31 marca</w:t>
      </w:r>
      <w:r w:rsidRPr="00051923">
        <w:rPr>
          <w:rFonts w:eastAsia="Times New Roman"/>
        </w:rPr>
        <w:t xml:space="preserve"> roku kalendarzowego</w:t>
      </w:r>
      <w:r w:rsidR="00CF436E">
        <w:rPr>
          <w:rFonts w:eastAsia="Times New Roman"/>
        </w:rPr>
        <w:t xml:space="preserve"> </w:t>
      </w:r>
      <w:r w:rsidRPr="00051923">
        <w:rPr>
          <w:rFonts w:eastAsia="Times New Roman"/>
        </w:rPr>
        <w:t>następującego po roku kalendarzowym, w którym fundusz został wpisany do rejestru, o którym mowa</w:t>
      </w:r>
      <w:r w:rsidR="003A2768">
        <w:rPr>
          <w:rFonts w:eastAsia="Times New Roman"/>
        </w:rPr>
        <w:t xml:space="preserve"> </w:t>
      </w:r>
      <w:r w:rsidRPr="00051923">
        <w:rPr>
          <w:rFonts w:eastAsia="Times New Roman"/>
        </w:rPr>
        <w:t xml:space="preserve">odpowiednio w art. 263 </w:t>
      </w:r>
      <w:r w:rsidR="00CF436E">
        <w:rPr>
          <w:rFonts w:eastAsia="Times New Roman"/>
        </w:rPr>
        <w:t>albo</w:t>
      </w:r>
      <w:r w:rsidR="00CF436E" w:rsidRPr="00051923">
        <w:rPr>
          <w:rFonts w:eastAsia="Times New Roman"/>
        </w:rPr>
        <w:t xml:space="preserve"> </w:t>
      </w:r>
      <w:r w:rsidR="00BF2AB6">
        <w:rPr>
          <w:rFonts w:eastAsia="Times New Roman"/>
        </w:rPr>
        <w:t xml:space="preserve">art. </w:t>
      </w:r>
      <w:r w:rsidRPr="00051923">
        <w:rPr>
          <w:rFonts w:eastAsia="Times New Roman"/>
        </w:rPr>
        <w:t>263r ustawy o funduszach inwestycyjnych.”;</w:t>
      </w:r>
    </w:p>
    <w:p w14:paraId="156CB2CB" w14:textId="77777777" w:rsidR="00683FEE" w:rsidRDefault="000D77B8" w:rsidP="00AC5546">
      <w:pPr>
        <w:pStyle w:val="PKTpunkt"/>
      </w:pPr>
      <w:r>
        <w:t>6</w:t>
      </w:r>
      <w:r w:rsidR="0055411F" w:rsidRPr="00051923">
        <w:t>)</w:t>
      </w:r>
      <w:r w:rsidR="0055411F" w:rsidRPr="00051923">
        <w:tab/>
      </w:r>
      <w:r w:rsidR="0048211C">
        <w:t xml:space="preserve">w </w:t>
      </w:r>
      <w:r w:rsidR="0055411F" w:rsidRPr="00051923">
        <w:t xml:space="preserve">§ 17 </w:t>
      </w:r>
      <w:r w:rsidR="0048211C">
        <w:t xml:space="preserve">w ust. </w:t>
      </w:r>
      <w:r w:rsidR="00683FEE">
        <w:t>3:</w:t>
      </w:r>
    </w:p>
    <w:p w14:paraId="4317FEFA" w14:textId="62212D4D" w:rsidR="00683FEE" w:rsidRDefault="00683FEE" w:rsidP="00C33EC5">
      <w:pPr>
        <w:pStyle w:val="LITlitera"/>
      </w:pPr>
      <w:r>
        <w:t>a)</w:t>
      </w:r>
      <w:r>
        <w:tab/>
      </w:r>
      <w:r w:rsidR="00483E36">
        <w:t>wprowadzeni</w:t>
      </w:r>
      <w:r w:rsidR="004379E7">
        <w:t>e</w:t>
      </w:r>
      <w:r w:rsidR="00483E36">
        <w:t xml:space="preserve"> do wyliczenia</w:t>
      </w:r>
      <w:r w:rsidR="004379E7">
        <w:t xml:space="preserve"> otrzymuje brzmienie</w:t>
      </w:r>
      <w:r w:rsidR="00483E36">
        <w:t>:</w:t>
      </w:r>
    </w:p>
    <w:p w14:paraId="63363E0C" w14:textId="436E45AC" w:rsidR="00483E36" w:rsidRDefault="004379E7" w:rsidP="00F42DC7">
      <w:pPr>
        <w:pStyle w:val="ZUSTzmustartykuempunktem"/>
      </w:pPr>
      <w:r>
        <w:rPr>
          <w:rFonts w:eastAsia="Times New Roman"/>
        </w:rPr>
        <w:t>„</w:t>
      </w:r>
      <w:r w:rsidRPr="004379E7">
        <w:rPr>
          <w:rFonts w:eastAsia="Times New Roman"/>
        </w:rPr>
        <w:t>Koszty nadzoru netto poszczególnych grup, obliczon</w:t>
      </w:r>
      <w:r>
        <w:rPr>
          <w:rFonts w:eastAsia="Times New Roman"/>
        </w:rPr>
        <w:t>e</w:t>
      </w:r>
      <w:r w:rsidRPr="004379E7">
        <w:rPr>
          <w:rFonts w:eastAsia="Times New Roman"/>
        </w:rPr>
        <w:t xml:space="preserve"> zgodnie z ust. 2</w:t>
      </w:r>
      <w:r w:rsidR="00BF2AB6">
        <w:rPr>
          <w:rFonts w:eastAsia="Times New Roman"/>
        </w:rPr>
        <w:t>,</w:t>
      </w:r>
      <w:r w:rsidRPr="004379E7">
        <w:rPr>
          <w:rFonts w:eastAsia="Times New Roman"/>
        </w:rPr>
        <w:t xml:space="preserve"> pomniejsza się o </w:t>
      </w:r>
      <w:r>
        <w:rPr>
          <w:rFonts w:eastAsia="Times New Roman"/>
        </w:rPr>
        <w:t>wartość opłat</w:t>
      </w:r>
      <w:r w:rsidRPr="004379E7">
        <w:rPr>
          <w:rFonts w:eastAsia="Times New Roman"/>
        </w:rPr>
        <w:t>, o których mowa w:</w:t>
      </w:r>
      <w:r>
        <w:rPr>
          <w:rFonts w:eastAsia="Times New Roman"/>
        </w:rPr>
        <w:t>”,</w:t>
      </w:r>
    </w:p>
    <w:p w14:paraId="3C11860C" w14:textId="1E9F0F5E" w:rsidR="0055411F" w:rsidRDefault="00683FEE" w:rsidP="00C33EC5">
      <w:pPr>
        <w:pStyle w:val="LITlitera"/>
      </w:pPr>
      <w:r>
        <w:t>b)</w:t>
      </w:r>
      <w:r>
        <w:tab/>
      </w:r>
      <w:r w:rsidR="0048211C">
        <w:t xml:space="preserve">pkt 1 </w:t>
      </w:r>
      <w:r w:rsidR="0055411F" w:rsidRPr="00051923">
        <w:t>otrzymuje brzmienie:</w:t>
      </w:r>
    </w:p>
    <w:p w14:paraId="24249199" w14:textId="08B1B8D1" w:rsidR="0048211C" w:rsidRDefault="0048211C" w:rsidP="00F42DC7">
      <w:pPr>
        <w:pStyle w:val="ZUSTzmustartykuempunktem"/>
        <w:rPr>
          <w:rFonts w:eastAsia="Times New Roman"/>
        </w:rPr>
      </w:pPr>
      <w:r>
        <w:t>„</w:t>
      </w:r>
      <w:r w:rsidRPr="00051923">
        <w:rPr>
          <w:rFonts w:eastAsia="Times New Roman"/>
        </w:rPr>
        <w:t>1)</w:t>
      </w:r>
      <w:r>
        <w:rPr>
          <w:rFonts w:eastAsia="Times New Roman"/>
        </w:rPr>
        <w:tab/>
      </w:r>
      <w:r w:rsidRPr="00051923">
        <w:rPr>
          <w:rFonts w:eastAsia="Times New Roman"/>
        </w:rPr>
        <w:t xml:space="preserve">§ 2–13, § 15 ust. 1 </w:t>
      </w:r>
      <w:r w:rsidR="00CD4B82">
        <w:rPr>
          <w:rFonts w:eastAsia="Times New Roman"/>
        </w:rPr>
        <w:t>oraz</w:t>
      </w:r>
      <w:r w:rsidR="00CD4B82" w:rsidRPr="00051923">
        <w:rPr>
          <w:rFonts w:eastAsia="Times New Roman"/>
        </w:rPr>
        <w:t xml:space="preserve"> </w:t>
      </w:r>
      <w:r w:rsidR="00AF0F93" w:rsidRPr="00051923">
        <w:rPr>
          <w:rFonts w:eastAsia="Times New Roman"/>
        </w:rPr>
        <w:t>§</w:t>
      </w:r>
      <w:r w:rsidR="00AF0F93">
        <w:rPr>
          <w:rFonts w:eastAsia="Times New Roman"/>
        </w:rPr>
        <w:t xml:space="preserve"> </w:t>
      </w:r>
      <w:r w:rsidRPr="00051923">
        <w:rPr>
          <w:rFonts w:eastAsia="Times New Roman"/>
        </w:rPr>
        <w:t>15a ust. 1 i 3</w:t>
      </w:r>
      <w:r w:rsidR="00AF0F93">
        <w:rPr>
          <w:rFonts w:eastAsia="Times New Roman"/>
        </w:rPr>
        <w:t>,”</w:t>
      </w:r>
      <w:r w:rsidR="00483E36">
        <w:rPr>
          <w:rFonts w:eastAsia="Times New Roman"/>
        </w:rPr>
        <w:t>,</w:t>
      </w:r>
    </w:p>
    <w:p w14:paraId="2E110272" w14:textId="3E3D07EC" w:rsidR="00483E36" w:rsidRDefault="00483E36" w:rsidP="00C33EC5">
      <w:pPr>
        <w:pStyle w:val="LITlitera"/>
        <w:rPr>
          <w:rFonts w:eastAsia="Times New Roman"/>
        </w:rPr>
      </w:pPr>
      <w:r>
        <w:rPr>
          <w:rFonts w:eastAsia="Times New Roman"/>
        </w:rPr>
        <w:t>c)</w:t>
      </w:r>
      <w:r>
        <w:rPr>
          <w:rFonts w:eastAsia="Times New Roman"/>
        </w:rPr>
        <w:tab/>
        <w:t>część wspólna otrzymuje brzmienie:</w:t>
      </w:r>
    </w:p>
    <w:p w14:paraId="473A1AB7" w14:textId="11DB733E" w:rsidR="00483E36" w:rsidRDefault="00483E36" w:rsidP="00F42DC7">
      <w:pPr>
        <w:pStyle w:val="ZUSTzmustartykuempunktem"/>
      </w:pPr>
      <w:r>
        <w:rPr>
          <w:rFonts w:eastAsia="Times New Roman"/>
        </w:rPr>
        <w:t>„</w:t>
      </w:r>
      <w:r w:rsidR="00CD4B82">
        <w:rPr>
          <w:rFonts w:eastAsia="Times New Roman"/>
        </w:rPr>
        <w:t xml:space="preserve">- </w:t>
      </w:r>
      <w:r w:rsidRPr="00483E36">
        <w:rPr>
          <w:rFonts w:eastAsia="Times New Roman"/>
        </w:rPr>
        <w:t>wniesionych w poprzednim roku kalendarzowym, w części przypadającej na daną grupę, ustalonej z wykorzystaniem procentowego udziału danej grupy w planowanych kosztach nadzoru netto w danym roku kalendarzowym, obliczanego zgodnie z § 18 ust. 3</w:t>
      </w:r>
      <w:r>
        <w:rPr>
          <w:rFonts w:eastAsia="Times New Roman"/>
        </w:rPr>
        <w:t>.”;</w:t>
      </w:r>
    </w:p>
    <w:p w14:paraId="7C8FD48F" w14:textId="250BF17C" w:rsidR="00374FC2" w:rsidRDefault="000D77B8" w:rsidP="00C33EC5">
      <w:pPr>
        <w:pStyle w:val="PKTpunkt"/>
        <w:rPr>
          <w:rFonts w:eastAsia="Times New Roman"/>
        </w:rPr>
      </w:pPr>
      <w:r>
        <w:t>7</w:t>
      </w:r>
      <w:r w:rsidR="0066159C" w:rsidRPr="00051923">
        <w:t>)</w:t>
      </w:r>
      <w:r w:rsidR="0066159C" w:rsidRPr="00051923">
        <w:tab/>
      </w:r>
      <w:r w:rsidR="009B668D">
        <w:t xml:space="preserve">w </w:t>
      </w:r>
      <w:r w:rsidR="0066159C" w:rsidRPr="00051923">
        <w:t>§ 18</w:t>
      </w:r>
      <w:r w:rsidR="00AF0F93">
        <w:t xml:space="preserve"> </w:t>
      </w:r>
      <w:r w:rsidR="009B668D">
        <w:t>w ust. 1</w:t>
      </w:r>
      <w:r w:rsidR="00AF0F93">
        <w:t xml:space="preserve"> </w:t>
      </w:r>
      <w:r w:rsidR="00C26D9D">
        <w:rPr>
          <w:rFonts w:eastAsia="Times New Roman"/>
        </w:rPr>
        <w:t xml:space="preserve">w pkt 3 lit. e </w:t>
      </w:r>
      <w:r w:rsidR="00374FC2">
        <w:rPr>
          <w:rFonts w:eastAsia="Times New Roman"/>
        </w:rPr>
        <w:t>otrzymuje brzmienie:</w:t>
      </w:r>
    </w:p>
    <w:p w14:paraId="7FC9761B" w14:textId="1829FCF5" w:rsidR="008B5013" w:rsidRPr="00257A18" w:rsidRDefault="00374FC2" w:rsidP="00F42DC7">
      <w:pPr>
        <w:pStyle w:val="ZLITwPKTzmlitwpktartykuempunktem"/>
      </w:pPr>
      <w:r>
        <w:rPr>
          <w:rFonts w:eastAsia="Times New Roman"/>
        </w:rPr>
        <w:t xml:space="preserve">„e) </w:t>
      </w:r>
      <w:r w:rsidRPr="00374FC2">
        <w:rPr>
          <w:rFonts w:eastAsia="Times New Roman"/>
        </w:rPr>
        <w:tab/>
        <w:t>zatwierdzone podmioty publikujące</w:t>
      </w:r>
      <w:r>
        <w:rPr>
          <w:rFonts w:eastAsia="Times New Roman"/>
        </w:rPr>
        <w:t xml:space="preserve"> oraz</w:t>
      </w:r>
      <w:r w:rsidRPr="00374FC2">
        <w:rPr>
          <w:rFonts w:eastAsia="Times New Roman"/>
        </w:rPr>
        <w:t xml:space="preserve"> zatwierdzone mechanizmy sprawozdawcze;</w:t>
      </w:r>
      <w:r w:rsidR="00C26D9D">
        <w:t>”</w:t>
      </w:r>
      <w:r w:rsidR="0082128D">
        <w:t>;</w:t>
      </w:r>
    </w:p>
    <w:p w14:paraId="5EDB6419" w14:textId="5568C2B4" w:rsidR="001A1F8D" w:rsidRDefault="000D77B8" w:rsidP="00F42DC7">
      <w:pPr>
        <w:pStyle w:val="PKTpunkt"/>
        <w:keepNext/>
      </w:pPr>
      <w:r>
        <w:t>8</w:t>
      </w:r>
      <w:r w:rsidR="0066159C" w:rsidRPr="00051923">
        <w:t>)</w:t>
      </w:r>
      <w:r w:rsidR="0066159C" w:rsidRPr="00051923">
        <w:tab/>
      </w:r>
      <w:r w:rsidR="001A1F8D">
        <w:t xml:space="preserve">w </w:t>
      </w:r>
      <w:r w:rsidR="0066159C" w:rsidRPr="00051923">
        <w:t>§ 19</w:t>
      </w:r>
      <w:r w:rsidR="00CD4B82">
        <w:t xml:space="preserve"> </w:t>
      </w:r>
      <w:r w:rsidR="001A1F8D">
        <w:t xml:space="preserve">w ust. </w:t>
      </w:r>
      <w:r w:rsidR="00483E36">
        <w:t xml:space="preserve">3 </w:t>
      </w:r>
      <w:r w:rsidR="00226967">
        <w:t>objaśnienie</w:t>
      </w:r>
      <w:r w:rsidR="001A1F8D" w:rsidRPr="001A1F8D">
        <w:t xml:space="preserve"> symbolu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 xml:space="preserve">Gn-1 </m:t>
            </m:r>
          </m:sub>
        </m:sSub>
      </m:oMath>
      <w:r w:rsidR="001A1F8D" w:rsidRPr="001A1F8D">
        <w:t>otrzymuje brzmienie</w:t>
      </w:r>
      <w:r w:rsidR="001A1F8D">
        <w:t>:</w:t>
      </w:r>
    </w:p>
    <w:p w14:paraId="6BF5345D" w14:textId="71930CBA" w:rsidR="0066159C" w:rsidRDefault="001A1F8D" w:rsidP="00C33EC5">
      <w:pPr>
        <w:pStyle w:val="ZLITLEGWMATFIZCHEMzmlegendywzorumatfizlubchemliter"/>
        <w:rPr>
          <w:rFonts w:eastAsia="Times New Roman"/>
        </w:rPr>
      </w:pPr>
      <w:r>
        <w:t>„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Gn-1</m:t>
            </m:r>
          </m:sub>
        </m:sSub>
      </m:oMath>
      <w:r w:rsidR="0066159C" w:rsidRPr="00051923">
        <w:rPr>
          <w:rFonts w:ascii="TimesNewRomanPS-ItalicMT" w:eastAsia="Times New Roman" w:hAnsi="TimesNewRomanPS-ItalicMT" w:cs="TimesNewRomanPS-ItalicMT"/>
          <w:i/>
          <w:iCs/>
          <w:sz w:val="14"/>
          <w:szCs w:val="14"/>
        </w:rPr>
        <w:t xml:space="preserve"> </w:t>
      </w:r>
      <w:r w:rsidR="00AB201F" w:rsidRPr="00051923">
        <w:rPr>
          <w:rFonts w:eastAsia="Times New Roman"/>
        </w:rPr>
        <w:t>–</w:t>
      </w:r>
      <w:r w:rsidR="0066159C" w:rsidRPr="00051923">
        <w:rPr>
          <w:rFonts w:eastAsia="Times New Roman"/>
        </w:rPr>
        <w:t xml:space="preserve"> </w:t>
      </w:r>
      <w:r w:rsidR="00483E36" w:rsidRPr="00663C92">
        <w:rPr>
          <w:rFonts w:eastAsia="Times New Roman"/>
        </w:rPr>
        <w:t xml:space="preserve">wartość opłat, o których mowa </w:t>
      </w:r>
      <w:r w:rsidR="0084057C">
        <w:rPr>
          <w:rFonts w:eastAsia="Times New Roman"/>
        </w:rPr>
        <w:t xml:space="preserve">w </w:t>
      </w:r>
      <w:r w:rsidR="00483E36" w:rsidRPr="00663C92">
        <w:rPr>
          <w:rFonts w:eastAsia="Times New Roman"/>
        </w:rPr>
        <w:t>§ 17 ust. 3, wniesionych w poprzednim roku kalendarzowym w części przypadającej na daną grupę</w:t>
      </w:r>
      <w:r w:rsidR="00483E36">
        <w:rPr>
          <w:rFonts w:eastAsia="Times New Roman"/>
        </w:rPr>
        <w:t>.</w:t>
      </w:r>
      <w:r>
        <w:rPr>
          <w:rFonts w:eastAsia="Times New Roman"/>
        </w:rPr>
        <w:t>”</w:t>
      </w:r>
      <w:r w:rsidR="008B5013">
        <w:rPr>
          <w:rFonts w:eastAsia="Times New Roman"/>
        </w:rPr>
        <w:t>;</w:t>
      </w:r>
    </w:p>
    <w:p w14:paraId="62994AEF" w14:textId="315C2944" w:rsidR="00257A18" w:rsidRDefault="00AD3C34" w:rsidP="00257A18">
      <w:pPr>
        <w:pStyle w:val="PKTpunkt"/>
        <w:rPr>
          <w:rFonts w:eastAsia="Times New Roman"/>
        </w:rPr>
      </w:pPr>
      <w:r>
        <w:t>9</w:t>
      </w:r>
      <w:r w:rsidR="00257A18" w:rsidRPr="00051923">
        <w:t>)</w:t>
      </w:r>
      <w:r w:rsidR="00257A18" w:rsidRPr="00051923">
        <w:tab/>
      </w:r>
      <w:r w:rsidR="00257A18">
        <w:t xml:space="preserve">w § 20 ust. 1 </w:t>
      </w:r>
      <w:r w:rsidR="00257A18">
        <w:rPr>
          <w:rFonts w:eastAsia="Times New Roman"/>
        </w:rPr>
        <w:t>otrzymuje brzmienie:</w:t>
      </w:r>
    </w:p>
    <w:p w14:paraId="554F69C3" w14:textId="37A7EC8C" w:rsidR="00257A18" w:rsidRPr="00051923" w:rsidRDefault="00257A18" w:rsidP="00F42DC7">
      <w:pPr>
        <w:pStyle w:val="ZUSTzmustartykuempunktem"/>
        <w:rPr>
          <w:rFonts w:eastAsia="Times New Roman"/>
        </w:rPr>
      </w:pPr>
      <w:r>
        <w:rPr>
          <w:rFonts w:eastAsia="Times New Roman"/>
        </w:rPr>
        <w:t>„</w:t>
      </w:r>
      <w:r w:rsidR="00AD3C34">
        <w:rPr>
          <w:rFonts w:eastAsia="Times New Roman"/>
        </w:rPr>
        <w:t xml:space="preserve">1. </w:t>
      </w:r>
      <w:r w:rsidRPr="00047DA7">
        <w:rPr>
          <w:rFonts w:eastAsia="Times New Roman"/>
        </w:rPr>
        <w:t>Równowartość w złotych kwot opłat wyrażonych w euro oblicza się przy zastosowaniu</w:t>
      </w:r>
      <w:r w:rsidR="00AD3C34">
        <w:rPr>
          <w:rFonts w:eastAsia="Times New Roman"/>
        </w:rPr>
        <w:t xml:space="preserve"> </w:t>
      </w:r>
      <w:r w:rsidRPr="00047DA7">
        <w:rPr>
          <w:rFonts w:eastAsia="Times New Roman"/>
        </w:rPr>
        <w:t xml:space="preserve">średniego kursu euro ogłaszanego przez Narodowy Bank </w:t>
      </w:r>
      <w:r>
        <w:rPr>
          <w:rFonts w:eastAsia="Times New Roman"/>
        </w:rPr>
        <w:t xml:space="preserve">Polski na ostatni dzień roboczy </w:t>
      </w:r>
      <w:r w:rsidRPr="00047DA7">
        <w:rPr>
          <w:rFonts w:eastAsia="Times New Roman"/>
        </w:rPr>
        <w:t>roku</w:t>
      </w:r>
      <w:r>
        <w:rPr>
          <w:rFonts w:eastAsia="Times New Roman"/>
        </w:rPr>
        <w:t xml:space="preserve"> </w:t>
      </w:r>
      <w:r w:rsidRPr="00047DA7">
        <w:rPr>
          <w:rFonts w:eastAsia="Times New Roman"/>
        </w:rPr>
        <w:t>poprzedzającego rok kalendarzowy, w którym powstało zobowiązanie.</w:t>
      </w:r>
      <w:r>
        <w:t>”</w:t>
      </w:r>
      <w:r w:rsidR="00AD3C34">
        <w:t>;</w:t>
      </w:r>
    </w:p>
    <w:p w14:paraId="02AB134C" w14:textId="3209F735" w:rsidR="0066159C" w:rsidRDefault="00AD3C34" w:rsidP="0066159C">
      <w:pPr>
        <w:pStyle w:val="PKTpunkt"/>
        <w:keepNext/>
      </w:pPr>
      <w:r>
        <w:t>10</w:t>
      </w:r>
      <w:r w:rsidR="0066159C" w:rsidRPr="00051923">
        <w:t>)</w:t>
      </w:r>
      <w:r w:rsidR="0066159C" w:rsidRPr="00051923">
        <w:tab/>
      </w:r>
      <w:r w:rsidR="002E4602">
        <w:t xml:space="preserve">w </w:t>
      </w:r>
      <w:r w:rsidR="0066159C" w:rsidRPr="00051923">
        <w:t>§ 21:</w:t>
      </w:r>
    </w:p>
    <w:p w14:paraId="0B71BD70" w14:textId="61B957A2" w:rsidR="002E4602" w:rsidRDefault="002E4602" w:rsidP="00B31D57">
      <w:pPr>
        <w:pStyle w:val="LITlitera"/>
      </w:pPr>
      <w:r>
        <w:t>a)</w:t>
      </w:r>
      <w:r>
        <w:tab/>
        <w:t>pkt 1 otrzymuje brzmienie:</w:t>
      </w:r>
    </w:p>
    <w:p w14:paraId="1E63D492" w14:textId="338C83B0" w:rsidR="002E4602" w:rsidRDefault="002E4602" w:rsidP="00B31D57">
      <w:pPr>
        <w:pStyle w:val="ZLITPKTzmpktliter"/>
      </w:pPr>
      <w:r>
        <w:lastRenderedPageBreak/>
        <w:t>„1)</w:t>
      </w:r>
      <w:r w:rsidR="00A65C45">
        <w:tab/>
      </w:r>
      <w:r w:rsidRPr="005569F9">
        <w:rPr>
          <w:rFonts w:eastAsia="Times New Roman"/>
        </w:rPr>
        <w:t>wysokość kosztów nadzoru netto do pokrycia w danym roku kalendarzowym, ze wskazaniem wartości poszczególnych zmiennych, o których mowa w § 19 ust. 3, odrębnie dla każdej z grup</w:t>
      </w:r>
      <w:r w:rsidRPr="00051923">
        <w:t>;</w:t>
      </w:r>
      <w:r>
        <w:t>”,</w:t>
      </w:r>
    </w:p>
    <w:p w14:paraId="06F310D6" w14:textId="27CB6FC6" w:rsidR="002E4602" w:rsidRDefault="002E4602" w:rsidP="00B31D57">
      <w:pPr>
        <w:pStyle w:val="LITlitera"/>
      </w:pPr>
      <w:r>
        <w:t>b)</w:t>
      </w:r>
      <w:r>
        <w:tab/>
        <w:t>pkt 4 otrzymuje brzmienie:</w:t>
      </w:r>
    </w:p>
    <w:p w14:paraId="428BD3C0" w14:textId="3D54BAB1" w:rsidR="002E4602" w:rsidRDefault="002E4602" w:rsidP="00B31D57">
      <w:pPr>
        <w:pStyle w:val="ZLITPKTzmpktliter"/>
      </w:pPr>
      <w:r>
        <w:t>„4)</w:t>
      </w:r>
      <w:r w:rsidR="00A65C45">
        <w:tab/>
      </w:r>
      <w:r w:rsidRPr="005569F9">
        <w:rPr>
          <w:rFonts w:eastAsia="Times New Roman"/>
        </w:rPr>
        <w:t>wysokość kosztów nadzoru netto do pokry</w:t>
      </w:r>
      <w:r>
        <w:rPr>
          <w:rFonts w:eastAsia="Times New Roman"/>
        </w:rPr>
        <w:t>cia w danym roku kalendarzowym ogółem</w:t>
      </w:r>
      <w:r w:rsidRPr="00051923">
        <w:t>;</w:t>
      </w:r>
      <w:r>
        <w:t>”,</w:t>
      </w:r>
    </w:p>
    <w:p w14:paraId="2AF04617" w14:textId="35260134" w:rsidR="002E4602" w:rsidRPr="00051923" w:rsidRDefault="002E4602" w:rsidP="00B31D57">
      <w:pPr>
        <w:pStyle w:val="LITlitera"/>
      </w:pPr>
      <w:r>
        <w:t>c)</w:t>
      </w:r>
      <w:r>
        <w:tab/>
        <w:t>uchyla się pkt 6.</w:t>
      </w:r>
    </w:p>
    <w:p w14:paraId="224B405C" w14:textId="7EF0396F" w:rsidR="007118E8" w:rsidRPr="00051923" w:rsidRDefault="007118E8" w:rsidP="007118E8">
      <w:pPr>
        <w:pStyle w:val="ARTartustawynprozporzdzenia"/>
        <w:keepNext/>
      </w:pPr>
      <w:r w:rsidRPr="00051923">
        <w:rPr>
          <w:rStyle w:val="Ppogrubienie"/>
        </w:rPr>
        <w:t>§</w:t>
      </w:r>
      <w:r w:rsidRPr="00051923">
        <w:rPr>
          <w:rStyle w:val="Ppogrubienie"/>
        </w:rPr>
        <w:tab/>
        <w:t>2.</w:t>
      </w:r>
      <w:r w:rsidRPr="00051923">
        <w:t xml:space="preserve"> Rozporządzenie wchodzi w życie z dniem 1 stycznia 2022 r.</w:t>
      </w:r>
    </w:p>
    <w:p w14:paraId="3BF0D613" w14:textId="77777777" w:rsidR="007118E8" w:rsidRPr="00051923" w:rsidRDefault="007118E8" w:rsidP="007118E8">
      <w:pPr>
        <w:pStyle w:val="ARTartustawynprozporzdzenia"/>
        <w:keepNext/>
      </w:pPr>
    </w:p>
    <w:p w14:paraId="215169C6" w14:textId="29C3C619" w:rsidR="007118E8" w:rsidRPr="00051923" w:rsidRDefault="007118E8" w:rsidP="007118E8">
      <w:pPr>
        <w:pStyle w:val="NAZORGWYDnazwaorganuwydajcegoprojektowanyakt"/>
      </w:pPr>
      <w:r w:rsidRPr="00051923">
        <w:t>MINISTER FINANSÓW</w:t>
      </w:r>
    </w:p>
    <w:p w14:paraId="0FFA6CDC" w14:textId="77777777" w:rsidR="0066159C" w:rsidRPr="00051923" w:rsidRDefault="0066159C" w:rsidP="0066159C">
      <w:pPr>
        <w:pStyle w:val="PKTpunkt"/>
        <w:keepNext/>
      </w:pPr>
    </w:p>
    <w:p w14:paraId="3A9CCE3C" w14:textId="77777777" w:rsidR="0066159C" w:rsidRPr="00051923" w:rsidRDefault="0066159C" w:rsidP="0066159C">
      <w:pPr>
        <w:pStyle w:val="PKTpunkt"/>
        <w:keepNext/>
      </w:pPr>
    </w:p>
    <w:p w14:paraId="7ECFDFC6" w14:textId="77777777" w:rsidR="0066159C" w:rsidRPr="00051923" w:rsidRDefault="0066159C" w:rsidP="005772BC">
      <w:pPr>
        <w:pStyle w:val="PKTpunkt"/>
        <w:keepNext/>
      </w:pPr>
    </w:p>
    <w:p w14:paraId="456320CB" w14:textId="77777777" w:rsidR="0098298B" w:rsidRDefault="0098298B" w:rsidP="0098298B">
      <w:pPr>
        <w:pStyle w:val="NIEARTTEKSTtekstnieartykuowanynppodstprawnarozplubpreambua"/>
      </w:pPr>
      <w:r>
        <w:t>Za zgodność pod względem prawnym,</w:t>
      </w:r>
    </w:p>
    <w:p w14:paraId="06EDEDD5" w14:textId="77777777" w:rsidR="0098298B" w:rsidRDefault="0098298B" w:rsidP="0098298B">
      <w:pPr>
        <w:pStyle w:val="NIEARTTEKSTtekstnieartykuowanynppodstprawnarozplubpreambua"/>
      </w:pPr>
      <w:r>
        <w:t>legislacyjnym i redakcyjnym</w:t>
      </w:r>
    </w:p>
    <w:p w14:paraId="70C9AEEF" w14:textId="77777777" w:rsidR="0098298B" w:rsidRDefault="0098298B" w:rsidP="0098298B">
      <w:pPr>
        <w:pStyle w:val="NIEARTTEKSTtekstnieartykuowanynppodstprawnarozplubpreambua"/>
      </w:pPr>
      <w:r>
        <w:t>Aleksandra Ostapiuk</w:t>
      </w:r>
    </w:p>
    <w:p w14:paraId="04490DA0" w14:textId="77777777" w:rsidR="0098298B" w:rsidRDefault="0098298B" w:rsidP="0098298B">
      <w:pPr>
        <w:pStyle w:val="NIEARTTEKSTtekstnieartykuowanynppodstprawnarozplubpreambua"/>
      </w:pPr>
      <w:r>
        <w:t>Dyrektor Departamentu Prawnego</w:t>
      </w:r>
    </w:p>
    <w:p w14:paraId="019C5DEA" w14:textId="77777777" w:rsidR="0098298B" w:rsidRDefault="0098298B" w:rsidP="0098298B">
      <w:pPr>
        <w:pStyle w:val="NIEARTTEKSTtekstnieartykuowanynppodstprawnarozplubpreambua"/>
      </w:pPr>
      <w:r>
        <w:t>w Ministerstwie Finansów</w:t>
      </w:r>
    </w:p>
    <w:p w14:paraId="66CB829E" w14:textId="77777777" w:rsidR="0098298B" w:rsidRDefault="0098298B" w:rsidP="0098298B">
      <w:pPr>
        <w:pStyle w:val="NIEARTTEKSTtekstnieartykuowanynppodstprawnarozplubpreambua"/>
        <w:rPr>
          <w:sz w:val="20"/>
        </w:rPr>
      </w:pPr>
      <w:r>
        <w:t>/podpisano kwalifikowanym podpisem elektronicznym/</w:t>
      </w:r>
    </w:p>
    <w:p w14:paraId="3D1A3542" w14:textId="77777777" w:rsidR="0055411F" w:rsidRPr="00051923" w:rsidRDefault="0055411F" w:rsidP="0055411F">
      <w:pPr>
        <w:pStyle w:val="PKTpunkt"/>
        <w:keepNext/>
      </w:pPr>
    </w:p>
    <w:p w14:paraId="6743F1EA" w14:textId="77777777" w:rsidR="0055411F" w:rsidRPr="00051923" w:rsidRDefault="0055411F" w:rsidP="00817C82">
      <w:pPr>
        <w:pStyle w:val="PKTpunkt"/>
        <w:keepNext/>
      </w:pPr>
    </w:p>
    <w:p w14:paraId="4CCBC522" w14:textId="77777777" w:rsidR="00817C82" w:rsidRPr="00051923" w:rsidRDefault="00817C82" w:rsidP="00817C82">
      <w:pPr>
        <w:pStyle w:val="TIRtiret"/>
        <w:ind w:left="0" w:firstLine="0"/>
      </w:pPr>
    </w:p>
    <w:p w14:paraId="339984D9" w14:textId="77777777" w:rsidR="00261A16" w:rsidRPr="00051923" w:rsidRDefault="00261A16" w:rsidP="00664C73"/>
    <w:sectPr w:rsidR="00261A16" w:rsidRPr="00051923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JEDNOLITY_SZABLON_RCL.DLA_UZYTKOWNIKA.A_BOLD"/>
    </wne:keymap>
    <wne:keymap wne:kcmPrimary="0244">
      <wne:macro wne:macroName="JEDNOLITY_SZABLON_RCL.DLA_UZYTKOWNIKA.A_D_INDEKS"/>
    </wne:keymap>
    <wne:keymap wne:kcmPrimary="0247">
      <wne:macro wne:macroName="JEDNOLITY_SZABLON_RCL.DLA_UZYTKOWNIKA.A_G_INDEKS"/>
    </wne:keymap>
    <wne:keymap wne:kcmPrimary="0249">
      <wne:macro wne:macroName="JEDNOLITY_SZABLON_RCL.DLA_UZYTKOWNIKA.A_ITALIC"/>
    </wne:keymap>
    <wne:keymap wne:mask="1" wne:kcmPrimary="0342"/>
    <wne:keymap wne:mask="1" wne:kcmPrimary="0349"/>
    <wne:keymap wne:kcmPrimary="0425">
      <wne:macro wne:macroName="JEDNOLITY_SZABLON_RCL.DLA_UZYTKOWNIKA.A_ZMNIEJSZZAGLEBIENIE"/>
    </wne:keymap>
    <wne:keymap wne:kcmPrimary="0426">
      <wne:macro wne:macroName="JEDNOLITY_SZABLON_RCL.DLA_UZYTKOWNIKA.A_ZMNIEJSZPOZIOMNOWELIZACJI"/>
    </wne:keymap>
    <wne:keymap wne:kcmPrimary="0427">
      <wne:macro wne:macroName="JEDNOLITY_SZABLON_RCL.DLA_UZYTKOWNIKA.A_ZWIEKSZZAGLEBIENIE"/>
    </wne:keymap>
    <wne:keymap wne:kcmPrimary="0428">
      <wne:macro wne:macroName="JEDNOLITY_SZABLON_RCL.DLA_UZYTKOWNIKA.A_ZWIEKSZPOZIOMNOWELIZACJI"/>
    </wne:keymap>
    <wne:keymap wne:mask="1" wne:kcmPrimary="0452"/>
    <wne:keymap wne:kcmPrimary="0456">
      <wne:macro wne:macroName="JEDNOLITY_SZABLON_RCL.DLA_UZYTKOWNIKA.A_WKLEJ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68F32" w14:textId="77777777" w:rsidR="00794572" w:rsidRDefault="00794572">
      <w:r>
        <w:separator/>
      </w:r>
    </w:p>
  </w:endnote>
  <w:endnote w:type="continuationSeparator" w:id="0">
    <w:p w14:paraId="021EE938" w14:textId="77777777" w:rsidR="00794572" w:rsidRDefault="0079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C34F5" w14:textId="77777777" w:rsidR="00794572" w:rsidRDefault="00794572">
      <w:r>
        <w:separator/>
      </w:r>
    </w:p>
  </w:footnote>
  <w:footnote w:type="continuationSeparator" w:id="0">
    <w:p w14:paraId="695B62AE" w14:textId="77777777" w:rsidR="00794572" w:rsidRDefault="00794572">
      <w:r>
        <w:continuationSeparator/>
      </w:r>
    </w:p>
  </w:footnote>
  <w:footnote w:id="1">
    <w:p w14:paraId="6F4AE632" w14:textId="0F3DF935" w:rsidR="0066159C" w:rsidRDefault="0066159C" w:rsidP="00A8116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530C72">
        <w:t xml:space="preserve">Minister Finansów kieruje działem administracji rządowej – </w:t>
      </w:r>
      <w:r w:rsidR="00A53360">
        <w:t>instytucje finansowe</w:t>
      </w:r>
      <w:r w:rsidRPr="00530C72">
        <w:t xml:space="preserve">, na podstawie § 1 ust. 2 pkt </w:t>
      </w:r>
      <w:r w:rsidR="00A53360">
        <w:t>3</w:t>
      </w:r>
      <w:r w:rsidRPr="00530C72">
        <w:t xml:space="preserve"> rozporządzenia Prezesa Rady Ministrów z dnia </w:t>
      </w:r>
      <w:r w:rsidR="00483E36">
        <w:t>27</w:t>
      </w:r>
      <w:r w:rsidR="00483E36" w:rsidRPr="00530C72">
        <w:t xml:space="preserve"> </w:t>
      </w:r>
      <w:r w:rsidRPr="00530C72">
        <w:t xml:space="preserve">października </w:t>
      </w:r>
      <w:r w:rsidR="00483E36" w:rsidRPr="00530C72">
        <w:t>202</w:t>
      </w:r>
      <w:r w:rsidR="00483E36">
        <w:t>1</w:t>
      </w:r>
      <w:r w:rsidR="00483E36" w:rsidRPr="00530C72">
        <w:t xml:space="preserve"> </w:t>
      </w:r>
      <w:r w:rsidRPr="00530C72">
        <w:t xml:space="preserve">r. w sprawie szczegółowego zakresu działania Ministra Finansów (Dz. U. poz. </w:t>
      </w:r>
      <w:r w:rsidR="00483E36">
        <w:t>1947</w:t>
      </w:r>
      <w:r w:rsidRPr="00530C72">
        <w:t>).</w:t>
      </w:r>
    </w:p>
  </w:footnote>
  <w:footnote w:id="2">
    <w:p w14:paraId="59FDFA96" w14:textId="79C781F1" w:rsidR="00875477" w:rsidRDefault="00875477" w:rsidP="00B31D57">
      <w:pPr>
        <w:pStyle w:val="ODNONIKtreodnonika"/>
      </w:pPr>
      <w:r>
        <w:rPr>
          <w:rStyle w:val="Odwoanieprzypisudolnego"/>
        </w:rPr>
        <w:footnoteRef/>
      </w:r>
      <w:r w:rsidRPr="00B31D57">
        <w:rPr>
          <w:rStyle w:val="IGindeksgrny"/>
        </w:rPr>
        <w:t>)</w:t>
      </w:r>
      <w:r>
        <w:t xml:space="preserve"> </w:t>
      </w:r>
      <w:r w:rsidR="00064166">
        <w:tab/>
      </w:r>
      <w:r>
        <w:t>Zmiany wymienionego rozporządzenia zostały ogłoszone w Dz. Urz. UE L 270 z 15.10.2015, str. 4</w:t>
      </w:r>
      <w:r w:rsidR="00064166">
        <w:t>,</w:t>
      </w:r>
      <w:r>
        <w:t xml:space="preserve"> Dz. Urz. UE L 175</w:t>
      </w:r>
      <w:r w:rsidR="00064166">
        <w:t xml:space="preserve"> </w:t>
      </w:r>
      <w:r>
        <w:t>z 30.06.2016, str. 1</w:t>
      </w:r>
      <w:r w:rsidR="00064166">
        <w:t>, Dz. Urz. UE L 314 z 5.12.2019 r., s. 1 oraz Dz. Urz. UE L 22 z 22.01.2021 r., s.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BEFF4" w14:textId="77777777" w:rsidR="0066159C" w:rsidRPr="00B371CC" w:rsidRDefault="0066159C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02BAE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0834383"/>
    <w:multiLevelType w:val="hybridMultilevel"/>
    <w:tmpl w:val="6BE6F56A"/>
    <w:lvl w:ilvl="0" w:tplc="80025E12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efaultTableStyle w:val="TABELA2zszablonu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CE"/>
    <w:rsid w:val="000012DA"/>
    <w:rsid w:val="0000246E"/>
    <w:rsid w:val="00003862"/>
    <w:rsid w:val="0001051E"/>
    <w:rsid w:val="00012A35"/>
    <w:rsid w:val="00015717"/>
    <w:rsid w:val="000158BC"/>
    <w:rsid w:val="00016099"/>
    <w:rsid w:val="000171B0"/>
    <w:rsid w:val="00017476"/>
    <w:rsid w:val="00017DC2"/>
    <w:rsid w:val="00020B43"/>
    <w:rsid w:val="00021522"/>
    <w:rsid w:val="00023471"/>
    <w:rsid w:val="00023F13"/>
    <w:rsid w:val="00024EDE"/>
    <w:rsid w:val="00026ACF"/>
    <w:rsid w:val="00027D1A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47DA7"/>
    <w:rsid w:val="00050210"/>
    <w:rsid w:val="000508BD"/>
    <w:rsid w:val="000517AB"/>
    <w:rsid w:val="00051923"/>
    <w:rsid w:val="0005339C"/>
    <w:rsid w:val="0005571B"/>
    <w:rsid w:val="00057AB3"/>
    <w:rsid w:val="00060076"/>
    <w:rsid w:val="00060432"/>
    <w:rsid w:val="00060D87"/>
    <w:rsid w:val="000615A5"/>
    <w:rsid w:val="00061A56"/>
    <w:rsid w:val="00064166"/>
    <w:rsid w:val="00064E4C"/>
    <w:rsid w:val="00066901"/>
    <w:rsid w:val="00071BEE"/>
    <w:rsid w:val="000736CD"/>
    <w:rsid w:val="0007533B"/>
    <w:rsid w:val="0007545D"/>
    <w:rsid w:val="000760BF"/>
    <w:rsid w:val="0007613E"/>
    <w:rsid w:val="00076360"/>
    <w:rsid w:val="00076BFC"/>
    <w:rsid w:val="000814A7"/>
    <w:rsid w:val="000826E1"/>
    <w:rsid w:val="0008557B"/>
    <w:rsid w:val="00085CE7"/>
    <w:rsid w:val="000906EE"/>
    <w:rsid w:val="00091BA2"/>
    <w:rsid w:val="000944EF"/>
    <w:rsid w:val="00096E5C"/>
    <w:rsid w:val="0009732D"/>
    <w:rsid w:val="000973F0"/>
    <w:rsid w:val="00097AD9"/>
    <w:rsid w:val="000A1296"/>
    <w:rsid w:val="000A1C27"/>
    <w:rsid w:val="000A1DAD"/>
    <w:rsid w:val="000A22C5"/>
    <w:rsid w:val="000A2649"/>
    <w:rsid w:val="000A323B"/>
    <w:rsid w:val="000A729D"/>
    <w:rsid w:val="000B1314"/>
    <w:rsid w:val="000B1A97"/>
    <w:rsid w:val="000B298D"/>
    <w:rsid w:val="000B5B2D"/>
    <w:rsid w:val="000B5DCE"/>
    <w:rsid w:val="000C05BA"/>
    <w:rsid w:val="000C0E8F"/>
    <w:rsid w:val="000C1F06"/>
    <w:rsid w:val="000C4BC4"/>
    <w:rsid w:val="000C5603"/>
    <w:rsid w:val="000C76A4"/>
    <w:rsid w:val="000D0110"/>
    <w:rsid w:val="000D2468"/>
    <w:rsid w:val="000D318A"/>
    <w:rsid w:val="000D6173"/>
    <w:rsid w:val="000D6F83"/>
    <w:rsid w:val="000D77B8"/>
    <w:rsid w:val="000E075B"/>
    <w:rsid w:val="000E25CC"/>
    <w:rsid w:val="000E3694"/>
    <w:rsid w:val="000E36C6"/>
    <w:rsid w:val="000E43F2"/>
    <w:rsid w:val="000E490F"/>
    <w:rsid w:val="000E6241"/>
    <w:rsid w:val="000E6616"/>
    <w:rsid w:val="000F1E8D"/>
    <w:rsid w:val="000F2BE3"/>
    <w:rsid w:val="000F3D0D"/>
    <w:rsid w:val="000F6ED4"/>
    <w:rsid w:val="000F7A6E"/>
    <w:rsid w:val="00101C63"/>
    <w:rsid w:val="001042BA"/>
    <w:rsid w:val="00105E9F"/>
    <w:rsid w:val="00106D03"/>
    <w:rsid w:val="0011041D"/>
    <w:rsid w:val="00110465"/>
    <w:rsid w:val="00110628"/>
    <w:rsid w:val="0011245A"/>
    <w:rsid w:val="00114258"/>
    <w:rsid w:val="0011493E"/>
    <w:rsid w:val="00115B72"/>
    <w:rsid w:val="001209EC"/>
    <w:rsid w:val="00120A9E"/>
    <w:rsid w:val="00123CBC"/>
    <w:rsid w:val="00125A9C"/>
    <w:rsid w:val="001270A2"/>
    <w:rsid w:val="00131237"/>
    <w:rsid w:val="001320E6"/>
    <w:rsid w:val="001329AC"/>
    <w:rsid w:val="00134CA0"/>
    <w:rsid w:val="00135059"/>
    <w:rsid w:val="0013690D"/>
    <w:rsid w:val="0014026F"/>
    <w:rsid w:val="00147A47"/>
    <w:rsid w:val="00147AA1"/>
    <w:rsid w:val="00151FDA"/>
    <w:rsid w:val="001520CF"/>
    <w:rsid w:val="0015667C"/>
    <w:rsid w:val="00157110"/>
    <w:rsid w:val="0015742A"/>
    <w:rsid w:val="00157DA1"/>
    <w:rsid w:val="001613F7"/>
    <w:rsid w:val="001616BA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573"/>
    <w:rsid w:val="00180F2A"/>
    <w:rsid w:val="00181F8E"/>
    <w:rsid w:val="00184422"/>
    <w:rsid w:val="00184B91"/>
    <w:rsid w:val="00184D4A"/>
    <w:rsid w:val="00185F3C"/>
    <w:rsid w:val="00186EC1"/>
    <w:rsid w:val="00191E1F"/>
    <w:rsid w:val="00191E53"/>
    <w:rsid w:val="001944C0"/>
    <w:rsid w:val="0019473B"/>
    <w:rsid w:val="001952B1"/>
    <w:rsid w:val="00196A19"/>
    <w:rsid w:val="00196E39"/>
    <w:rsid w:val="00196F4B"/>
    <w:rsid w:val="00197649"/>
    <w:rsid w:val="001A01FB"/>
    <w:rsid w:val="001A10E9"/>
    <w:rsid w:val="001A183D"/>
    <w:rsid w:val="001A1F8D"/>
    <w:rsid w:val="001A2B65"/>
    <w:rsid w:val="001A3CD3"/>
    <w:rsid w:val="001A5BEF"/>
    <w:rsid w:val="001A60C9"/>
    <w:rsid w:val="001A7F15"/>
    <w:rsid w:val="001B2A40"/>
    <w:rsid w:val="001B342E"/>
    <w:rsid w:val="001B6EC5"/>
    <w:rsid w:val="001C1832"/>
    <w:rsid w:val="001C188C"/>
    <w:rsid w:val="001C7195"/>
    <w:rsid w:val="001D1783"/>
    <w:rsid w:val="001D4B8C"/>
    <w:rsid w:val="001D53CD"/>
    <w:rsid w:val="001D55A3"/>
    <w:rsid w:val="001D5AF5"/>
    <w:rsid w:val="001D6F5B"/>
    <w:rsid w:val="001D71AE"/>
    <w:rsid w:val="001E11C4"/>
    <w:rsid w:val="001E1E73"/>
    <w:rsid w:val="001E2CAF"/>
    <w:rsid w:val="001E4E0C"/>
    <w:rsid w:val="001E526D"/>
    <w:rsid w:val="001E5655"/>
    <w:rsid w:val="001E7699"/>
    <w:rsid w:val="001E79C2"/>
    <w:rsid w:val="001F1832"/>
    <w:rsid w:val="001F1879"/>
    <w:rsid w:val="001F220F"/>
    <w:rsid w:val="001F25B3"/>
    <w:rsid w:val="001F5679"/>
    <w:rsid w:val="001F6616"/>
    <w:rsid w:val="00202BD4"/>
    <w:rsid w:val="00204A97"/>
    <w:rsid w:val="00207E52"/>
    <w:rsid w:val="00207EC3"/>
    <w:rsid w:val="00210C70"/>
    <w:rsid w:val="002114EF"/>
    <w:rsid w:val="002160FD"/>
    <w:rsid w:val="002166AD"/>
    <w:rsid w:val="00217871"/>
    <w:rsid w:val="00221ED8"/>
    <w:rsid w:val="002231EA"/>
    <w:rsid w:val="002232D0"/>
    <w:rsid w:val="00223FDF"/>
    <w:rsid w:val="0022423D"/>
    <w:rsid w:val="00226967"/>
    <w:rsid w:val="002279C0"/>
    <w:rsid w:val="00235B78"/>
    <w:rsid w:val="0023727E"/>
    <w:rsid w:val="00241193"/>
    <w:rsid w:val="00241357"/>
    <w:rsid w:val="00242081"/>
    <w:rsid w:val="00243777"/>
    <w:rsid w:val="002441CD"/>
    <w:rsid w:val="00250064"/>
    <w:rsid w:val="002501A3"/>
    <w:rsid w:val="0025166C"/>
    <w:rsid w:val="002537D2"/>
    <w:rsid w:val="00253AA0"/>
    <w:rsid w:val="002555D4"/>
    <w:rsid w:val="00257A18"/>
    <w:rsid w:val="00261A16"/>
    <w:rsid w:val="002627CC"/>
    <w:rsid w:val="00263522"/>
    <w:rsid w:val="00264EC6"/>
    <w:rsid w:val="00271013"/>
    <w:rsid w:val="00273FE4"/>
    <w:rsid w:val="002765B4"/>
    <w:rsid w:val="00276A94"/>
    <w:rsid w:val="00280843"/>
    <w:rsid w:val="00281344"/>
    <w:rsid w:val="0028516F"/>
    <w:rsid w:val="00290180"/>
    <w:rsid w:val="00290E85"/>
    <w:rsid w:val="00291A48"/>
    <w:rsid w:val="002920E4"/>
    <w:rsid w:val="0029405D"/>
    <w:rsid w:val="00294FA6"/>
    <w:rsid w:val="00295610"/>
    <w:rsid w:val="00295A6F"/>
    <w:rsid w:val="002A1647"/>
    <w:rsid w:val="002A20C4"/>
    <w:rsid w:val="002A4636"/>
    <w:rsid w:val="002A570F"/>
    <w:rsid w:val="002A60BA"/>
    <w:rsid w:val="002A692A"/>
    <w:rsid w:val="002A7292"/>
    <w:rsid w:val="002A7358"/>
    <w:rsid w:val="002A7902"/>
    <w:rsid w:val="002B0F6B"/>
    <w:rsid w:val="002B23B8"/>
    <w:rsid w:val="002B4429"/>
    <w:rsid w:val="002B45E5"/>
    <w:rsid w:val="002B68A6"/>
    <w:rsid w:val="002B7FAF"/>
    <w:rsid w:val="002C324B"/>
    <w:rsid w:val="002D0C4F"/>
    <w:rsid w:val="002D1364"/>
    <w:rsid w:val="002D4D30"/>
    <w:rsid w:val="002D5000"/>
    <w:rsid w:val="002D598D"/>
    <w:rsid w:val="002D69D3"/>
    <w:rsid w:val="002D7188"/>
    <w:rsid w:val="002E024C"/>
    <w:rsid w:val="002E1DE3"/>
    <w:rsid w:val="002E2337"/>
    <w:rsid w:val="002E2AB6"/>
    <w:rsid w:val="002E3F34"/>
    <w:rsid w:val="002E4602"/>
    <w:rsid w:val="002E5AF5"/>
    <w:rsid w:val="002E5F79"/>
    <w:rsid w:val="002E64FA"/>
    <w:rsid w:val="002F0A00"/>
    <w:rsid w:val="002F0CFA"/>
    <w:rsid w:val="002F13CD"/>
    <w:rsid w:val="002F205C"/>
    <w:rsid w:val="002F410F"/>
    <w:rsid w:val="002F412B"/>
    <w:rsid w:val="002F669F"/>
    <w:rsid w:val="00301C97"/>
    <w:rsid w:val="00303F91"/>
    <w:rsid w:val="003041D8"/>
    <w:rsid w:val="003046EA"/>
    <w:rsid w:val="0031004C"/>
    <w:rsid w:val="003105F6"/>
    <w:rsid w:val="00311297"/>
    <w:rsid w:val="003113BE"/>
    <w:rsid w:val="003122CA"/>
    <w:rsid w:val="00313F45"/>
    <w:rsid w:val="003148FD"/>
    <w:rsid w:val="00315C15"/>
    <w:rsid w:val="00321080"/>
    <w:rsid w:val="00322D45"/>
    <w:rsid w:val="0032569A"/>
    <w:rsid w:val="00325A1F"/>
    <w:rsid w:val="003268F9"/>
    <w:rsid w:val="003301F2"/>
    <w:rsid w:val="00330BAF"/>
    <w:rsid w:val="00330CF3"/>
    <w:rsid w:val="00334E3A"/>
    <w:rsid w:val="00334FDC"/>
    <w:rsid w:val="003356BB"/>
    <w:rsid w:val="003361DD"/>
    <w:rsid w:val="003371E7"/>
    <w:rsid w:val="003379CB"/>
    <w:rsid w:val="00337B06"/>
    <w:rsid w:val="0034191B"/>
    <w:rsid w:val="00341A6A"/>
    <w:rsid w:val="00345B9C"/>
    <w:rsid w:val="00352DAE"/>
    <w:rsid w:val="00354EB9"/>
    <w:rsid w:val="003572E5"/>
    <w:rsid w:val="003602AE"/>
    <w:rsid w:val="00360929"/>
    <w:rsid w:val="003647D5"/>
    <w:rsid w:val="00365D18"/>
    <w:rsid w:val="003674B0"/>
    <w:rsid w:val="003749E2"/>
    <w:rsid w:val="00374FC2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5CD"/>
    <w:rsid w:val="00392845"/>
    <w:rsid w:val="00394423"/>
    <w:rsid w:val="00396942"/>
    <w:rsid w:val="00396B49"/>
    <w:rsid w:val="00396E3E"/>
    <w:rsid w:val="003A2768"/>
    <w:rsid w:val="003A306E"/>
    <w:rsid w:val="003A3570"/>
    <w:rsid w:val="003A54FD"/>
    <w:rsid w:val="003A5E3B"/>
    <w:rsid w:val="003A60DC"/>
    <w:rsid w:val="003A6A46"/>
    <w:rsid w:val="003A7A63"/>
    <w:rsid w:val="003B000C"/>
    <w:rsid w:val="003B0F1D"/>
    <w:rsid w:val="003B4A57"/>
    <w:rsid w:val="003B7794"/>
    <w:rsid w:val="003B7B59"/>
    <w:rsid w:val="003C0AD9"/>
    <w:rsid w:val="003C0ED0"/>
    <w:rsid w:val="003C18E2"/>
    <w:rsid w:val="003C1D49"/>
    <w:rsid w:val="003C3014"/>
    <w:rsid w:val="003C35C4"/>
    <w:rsid w:val="003D12C2"/>
    <w:rsid w:val="003D31B9"/>
    <w:rsid w:val="003D3867"/>
    <w:rsid w:val="003D6140"/>
    <w:rsid w:val="003E0D1A"/>
    <w:rsid w:val="003E2DA3"/>
    <w:rsid w:val="003E71F8"/>
    <w:rsid w:val="003F020D"/>
    <w:rsid w:val="003F03D9"/>
    <w:rsid w:val="003F10B3"/>
    <w:rsid w:val="003F2758"/>
    <w:rsid w:val="003F2FBE"/>
    <w:rsid w:val="003F318D"/>
    <w:rsid w:val="003F3D8A"/>
    <w:rsid w:val="003F5BAE"/>
    <w:rsid w:val="003F6ED7"/>
    <w:rsid w:val="00400C6E"/>
    <w:rsid w:val="00401C84"/>
    <w:rsid w:val="00403210"/>
    <w:rsid w:val="004035BB"/>
    <w:rsid w:val="004035EB"/>
    <w:rsid w:val="00407332"/>
    <w:rsid w:val="004073E6"/>
    <w:rsid w:val="00407828"/>
    <w:rsid w:val="00413D3E"/>
    <w:rsid w:val="00413D8E"/>
    <w:rsid w:val="004140F2"/>
    <w:rsid w:val="00417B22"/>
    <w:rsid w:val="00417B92"/>
    <w:rsid w:val="00421085"/>
    <w:rsid w:val="0042465E"/>
    <w:rsid w:val="00424DF7"/>
    <w:rsid w:val="00432B76"/>
    <w:rsid w:val="00434D01"/>
    <w:rsid w:val="00435007"/>
    <w:rsid w:val="004354F5"/>
    <w:rsid w:val="00435D26"/>
    <w:rsid w:val="0043692D"/>
    <w:rsid w:val="004379E7"/>
    <w:rsid w:val="00437F5A"/>
    <w:rsid w:val="00440C99"/>
    <w:rsid w:val="0044175C"/>
    <w:rsid w:val="00445F4D"/>
    <w:rsid w:val="004504C0"/>
    <w:rsid w:val="00452CF7"/>
    <w:rsid w:val="004550FB"/>
    <w:rsid w:val="00460ECE"/>
    <w:rsid w:val="0046111A"/>
    <w:rsid w:val="00462946"/>
    <w:rsid w:val="00463F43"/>
    <w:rsid w:val="00464189"/>
    <w:rsid w:val="00464B94"/>
    <w:rsid w:val="004653A8"/>
    <w:rsid w:val="00465A0B"/>
    <w:rsid w:val="00467E07"/>
    <w:rsid w:val="0047077C"/>
    <w:rsid w:val="00470B05"/>
    <w:rsid w:val="0047207C"/>
    <w:rsid w:val="00472CD6"/>
    <w:rsid w:val="00473357"/>
    <w:rsid w:val="004746FA"/>
    <w:rsid w:val="00474E3C"/>
    <w:rsid w:val="004767A4"/>
    <w:rsid w:val="00480A58"/>
    <w:rsid w:val="0048211C"/>
    <w:rsid w:val="00482151"/>
    <w:rsid w:val="00483E36"/>
    <w:rsid w:val="00485FAD"/>
    <w:rsid w:val="00487AED"/>
    <w:rsid w:val="00491EDF"/>
    <w:rsid w:val="00492A3F"/>
    <w:rsid w:val="00493D6A"/>
    <w:rsid w:val="00494F62"/>
    <w:rsid w:val="00497456"/>
    <w:rsid w:val="004A2001"/>
    <w:rsid w:val="004A3590"/>
    <w:rsid w:val="004A7F86"/>
    <w:rsid w:val="004B00A7"/>
    <w:rsid w:val="004B039C"/>
    <w:rsid w:val="004B25E2"/>
    <w:rsid w:val="004B2883"/>
    <w:rsid w:val="004B34D7"/>
    <w:rsid w:val="004B5037"/>
    <w:rsid w:val="004B5B2F"/>
    <w:rsid w:val="004B626A"/>
    <w:rsid w:val="004B660E"/>
    <w:rsid w:val="004C02F1"/>
    <w:rsid w:val="004C05BD"/>
    <w:rsid w:val="004C05EF"/>
    <w:rsid w:val="004C3B06"/>
    <w:rsid w:val="004C3F97"/>
    <w:rsid w:val="004C7EE7"/>
    <w:rsid w:val="004D1426"/>
    <w:rsid w:val="004D2DEE"/>
    <w:rsid w:val="004D2E1F"/>
    <w:rsid w:val="004D37A6"/>
    <w:rsid w:val="004D7FD9"/>
    <w:rsid w:val="004E1324"/>
    <w:rsid w:val="004E19A5"/>
    <w:rsid w:val="004E30E4"/>
    <w:rsid w:val="004E37E5"/>
    <w:rsid w:val="004E3B20"/>
    <w:rsid w:val="004E3FDB"/>
    <w:rsid w:val="004E786F"/>
    <w:rsid w:val="004F1F4A"/>
    <w:rsid w:val="004F296D"/>
    <w:rsid w:val="004F4E2A"/>
    <w:rsid w:val="004F508B"/>
    <w:rsid w:val="004F695F"/>
    <w:rsid w:val="004F6CA4"/>
    <w:rsid w:val="004F6EA9"/>
    <w:rsid w:val="00500194"/>
    <w:rsid w:val="00500752"/>
    <w:rsid w:val="00501A50"/>
    <w:rsid w:val="0050222D"/>
    <w:rsid w:val="00503AF3"/>
    <w:rsid w:val="00505DBD"/>
    <w:rsid w:val="0050696D"/>
    <w:rsid w:val="0051094B"/>
    <w:rsid w:val="00510FC4"/>
    <w:rsid w:val="005110D7"/>
    <w:rsid w:val="00511D99"/>
    <w:rsid w:val="005128D3"/>
    <w:rsid w:val="00512F03"/>
    <w:rsid w:val="005137F3"/>
    <w:rsid w:val="005147E8"/>
    <w:rsid w:val="005158F2"/>
    <w:rsid w:val="005179DF"/>
    <w:rsid w:val="00521895"/>
    <w:rsid w:val="0052363E"/>
    <w:rsid w:val="00526D8E"/>
    <w:rsid w:val="00526DFC"/>
    <w:rsid w:val="00526F43"/>
    <w:rsid w:val="00527070"/>
    <w:rsid w:val="00527651"/>
    <w:rsid w:val="0053147B"/>
    <w:rsid w:val="00531F58"/>
    <w:rsid w:val="005363AB"/>
    <w:rsid w:val="00544EF4"/>
    <w:rsid w:val="00545E53"/>
    <w:rsid w:val="005479D9"/>
    <w:rsid w:val="0055411F"/>
    <w:rsid w:val="005572BD"/>
    <w:rsid w:val="00557A12"/>
    <w:rsid w:val="00560AC7"/>
    <w:rsid w:val="00560F09"/>
    <w:rsid w:val="00561AFB"/>
    <w:rsid w:val="00561FA8"/>
    <w:rsid w:val="005635ED"/>
    <w:rsid w:val="005646E8"/>
    <w:rsid w:val="00564743"/>
    <w:rsid w:val="00565253"/>
    <w:rsid w:val="00570191"/>
    <w:rsid w:val="00570570"/>
    <w:rsid w:val="00570AE7"/>
    <w:rsid w:val="00572512"/>
    <w:rsid w:val="00573EE6"/>
    <w:rsid w:val="0057547F"/>
    <w:rsid w:val="005754EE"/>
    <w:rsid w:val="0057617E"/>
    <w:rsid w:val="00576497"/>
    <w:rsid w:val="005772BC"/>
    <w:rsid w:val="0058203B"/>
    <w:rsid w:val="005835E7"/>
    <w:rsid w:val="0058397F"/>
    <w:rsid w:val="00583BF8"/>
    <w:rsid w:val="00585F33"/>
    <w:rsid w:val="00591124"/>
    <w:rsid w:val="00597024"/>
    <w:rsid w:val="005A0274"/>
    <w:rsid w:val="005A0479"/>
    <w:rsid w:val="005A095C"/>
    <w:rsid w:val="005A669D"/>
    <w:rsid w:val="005A75D8"/>
    <w:rsid w:val="005B713E"/>
    <w:rsid w:val="005C03B6"/>
    <w:rsid w:val="005C348E"/>
    <w:rsid w:val="005C68E1"/>
    <w:rsid w:val="005D2EE6"/>
    <w:rsid w:val="005D3763"/>
    <w:rsid w:val="005D55E1"/>
    <w:rsid w:val="005D6BE7"/>
    <w:rsid w:val="005E19F7"/>
    <w:rsid w:val="005E4F04"/>
    <w:rsid w:val="005E62C2"/>
    <w:rsid w:val="005E6C71"/>
    <w:rsid w:val="005E7247"/>
    <w:rsid w:val="005F0963"/>
    <w:rsid w:val="005F2824"/>
    <w:rsid w:val="005F2EBA"/>
    <w:rsid w:val="005F35ED"/>
    <w:rsid w:val="005F7812"/>
    <w:rsid w:val="005F7A88"/>
    <w:rsid w:val="00603A1A"/>
    <w:rsid w:val="006046D5"/>
    <w:rsid w:val="00604ED3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072"/>
    <w:rsid w:val="006465AC"/>
    <w:rsid w:val="006465BF"/>
    <w:rsid w:val="00651E3C"/>
    <w:rsid w:val="00652824"/>
    <w:rsid w:val="00653B22"/>
    <w:rsid w:val="00657547"/>
    <w:rsid w:val="00657BF4"/>
    <w:rsid w:val="006603FB"/>
    <w:rsid w:val="006608DF"/>
    <w:rsid w:val="0066159C"/>
    <w:rsid w:val="006623AC"/>
    <w:rsid w:val="00664C73"/>
    <w:rsid w:val="00666662"/>
    <w:rsid w:val="006678AF"/>
    <w:rsid w:val="006701EF"/>
    <w:rsid w:val="00673BA5"/>
    <w:rsid w:val="00673C38"/>
    <w:rsid w:val="00677C18"/>
    <w:rsid w:val="00680058"/>
    <w:rsid w:val="00680C55"/>
    <w:rsid w:val="00681F9F"/>
    <w:rsid w:val="00683FEE"/>
    <w:rsid w:val="006840EA"/>
    <w:rsid w:val="006844E2"/>
    <w:rsid w:val="00685267"/>
    <w:rsid w:val="00686A19"/>
    <w:rsid w:val="006872AE"/>
    <w:rsid w:val="00690082"/>
    <w:rsid w:val="00690252"/>
    <w:rsid w:val="006946BB"/>
    <w:rsid w:val="00694BF9"/>
    <w:rsid w:val="006969FA"/>
    <w:rsid w:val="00696ACB"/>
    <w:rsid w:val="006A324E"/>
    <w:rsid w:val="006A35D5"/>
    <w:rsid w:val="006A748A"/>
    <w:rsid w:val="006B5233"/>
    <w:rsid w:val="006C19B9"/>
    <w:rsid w:val="006C1BE8"/>
    <w:rsid w:val="006C419E"/>
    <w:rsid w:val="006C4A31"/>
    <w:rsid w:val="006C5A6B"/>
    <w:rsid w:val="006C5AC2"/>
    <w:rsid w:val="006C6AFB"/>
    <w:rsid w:val="006C7079"/>
    <w:rsid w:val="006D0FB0"/>
    <w:rsid w:val="006D2735"/>
    <w:rsid w:val="006D45B2"/>
    <w:rsid w:val="006E0FCC"/>
    <w:rsid w:val="006E1E96"/>
    <w:rsid w:val="006E325A"/>
    <w:rsid w:val="006E34DC"/>
    <w:rsid w:val="006E5ACC"/>
    <w:rsid w:val="006E5AF4"/>
    <w:rsid w:val="006E5E21"/>
    <w:rsid w:val="006E6636"/>
    <w:rsid w:val="006F2648"/>
    <w:rsid w:val="006F2F10"/>
    <w:rsid w:val="006F482B"/>
    <w:rsid w:val="006F6311"/>
    <w:rsid w:val="006F742B"/>
    <w:rsid w:val="00701952"/>
    <w:rsid w:val="00702556"/>
    <w:rsid w:val="0070277E"/>
    <w:rsid w:val="00703AA7"/>
    <w:rsid w:val="00704156"/>
    <w:rsid w:val="007064A7"/>
    <w:rsid w:val="007069FC"/>
    <w:rsid w:val="00711221"/>
    <w:rsid w:val="007118E8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176"/>
    <w:rsid w:val="00725406"/>
    <w:rsid w:val="0072621B"/>
    <w:rsid w:val="00730555"/>
    <w:rsid w:val="007312CC"/>
    <w:rsid w:val="00734628"/>
    <w:rsid w:val="00736A64"/>
    <w:rsid w:val="00737275"/>
    <w:rsid w:val="00737F6A"/>
    <w:rsid w:val="007410B6"/>
    <w:rsid w:val="007414C6"/>
    <w:rsid w:val="00744C6F"/>
    <w:rsid w:val="007457F6"/>
    <w:rsid w:val="00745ABB"/>
    <w:rsid w:val="00746E38"/>
    <w:rsid w:val="00747601"/>
    <w:rsid w:val="00747CD5"/>
    <w:rsid w:val="00750ADB"/>
    <w:rsid w:val="00753B51"/>
    <w:rsid w:val="00756629"/>
    <w:rsid w:val="007575D2"/>
    <w:rsid w:val="00757B4F"/>
    <w:rsid w:val="00757B6A"/>
    <w:rsid w:val="00757EEB"/>
    <w:rsid w:val="007610E0"/>
    <w:rsid w:val="00761FA1"/>
    <w:rsid w:val="007621AA"/>
    <w:rsid w:val="0076260A"/>
    <w:rsid w:val="00764A67"/>
    <w:rsid w:val="00770F6B"/>
    <w:rsid w:val="00771717"/>
    <w:rsid w:val="00771883"/>
    <w:rsid w:val="00776DC2"/>
    <w:rsid w:val="00780122"/>
    <w:rsid w:val="0078214B"/>
    <w:rsid w:val="0078498A"/>
    <w:rsid w:val="0078758F"/>
    <w:rsid w:val="007878FE"/>
    <w:rsid w:val="00787F86"/>
    <w:rsid w:val="00790AF6"/>
    <w:rsid w:val="00792207"/>
    <w:rsid w:val="00792B64"/>
    <w:rsid w:val="00792E29"/>
    <w:rsid w:val="0079379A"/>
    <w:rsid w:val="00793E93"/>
    <w:rsid w:val="00794572"/>
    <w:rsid w:val="00794953"/>
    <w:rsid w:val="007952D6"/>
    <w:rsid w:val="007A1F2F"/>
    <w:rsid w:val="007A2A5C"/>
    <w:rsid w:val="007A3F9D"/>
    <w:rsid w:val="007A4169"/>
    <w:rsid w:val="007A5150"/>
    <w:rsid w:val="007A5373"/>
    <w:rsid w:val="007A789F"/>
    <w:rsid w:val="007B5DA3"/>
    <w:rsid w:val="007B75BC"/>
    <w:rsid w:val="007B782D"/>
    <w:rsid w:val="007C0BD6"/>
    <w:rsid w:val="007C3806"/>
    <w:rsid w:val="007C5BB7"/>
    <w:rsid w:val="007D07D5"/>
    <w:rsid w:val="007D1C64"/>
    <w:rsid w:val="007D32DD"/>
    <w:rsid w:val="007D5EBA"/>
    <w:rsid w:val="007D6DCE"/>
    <w:rsid w:val="007D72C4"/>
    <w:rsid w:val="007E2CFE"/>
    <w:rsid w:val="007E59C9"/>
    <w:rsid w:val="007F0072"/>
    <w:rsid w:val="007F2EB6"/>
    <w:rsid w:val="007F33B0"/>
    <w:rsid w:val="007F54C3"/>
    <w:rsid w:val="007F5AD3"/>
    <w:rsid w:val="00802949"/>
    <w:rsid w:val="0080301E"/>
    <w:rsid w:val="0080365F"/>
    <w:rsid w:val="008066A9"/>
    <w:rsid w:val="00812BE5"/>
    <w:rsid w:val="0081561C"/>
    <w:rsid w:val="00817429"/>
    <w:rsid w:val="00817BFA"/>
    <w:rsid w:val="00817C82"/>
    <w:rsid w:val="0082128D"/>
    <w:rsid w:val="00821514"/>
    <w:rsid w:val="00821E35"/>
    <w:rsid w:val="00824591"/>
    <w:rsid w:val="00824AED"/>
    <w:rsid w:val="00827820"/>
    <w:rsid w:val="00827FA5"/>
    <w:rsid w:val="00831116"/>
    <w:rsid w:val="00831B8B"/>
    <w:rsid w:val="0083405D"/>
    <w:rsid w:val="00835004"/>
    <w:rsid w:val="008352D4"/>
    <w:rsid w:val="00836DB9"/>
    <w:rsid w:val="0083788B"/>
    <w:rsid w:val="00837C67"/>
    <w:rsid w:val="00837E9E"/>
    <w:rsid w:val="0084057C"/>
    <w:rsid w:val="008415B0"/>
    <w:rsid w:val="00842028"/>
    <w:rsid w:val="008436B8"/>
    <w:rsid w:val="008450E8"/>
    <w:rsid w:val="008460B6"/>
    <w:rsid w:val="00850C9D"/>
    <w:rsid w:val="00852B59"/>
    <w:rsid w:val="00852D59"/>
    <w:rsid w:val="00856272"/>
    <w:rsid w:val="008563FF"/>
    <w:rsid w:val="00857826"/>
    <w:rsid w:val="00857BC5"/>
    <w:rsid w:val="0086018B"/>
    <w:rsid w:val="008611DD"/>
    <w:rsid w:val="008620DE"/>
    <w:rsid w:val="00862413"/>
    <w:rsid w:val="00866867"/>
    <w:rsid w:val="00866D19"/>
    <w:rsid w:val="0087004F"/>
    <w:rsid w:val="00872257"/>
    <w:rsid w:val="00874402"/>
    <w:rsid w:val="008753E6"/>
    <w:rsid w:val="00875477"/>
    <w:rsid w:val="008758A2"/>
    <w:rsid w:val="00875F55"/>
    <w:rsid w:val="00877089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3CC3"/>
    <w:rsid w:val="008A5D26"/>
    <w:rsid w:val="008A6B13"/>
    <w:rsid w:val="008A6ECB"/>
    <w:rsid w:val="008B0BF9"/>
    <w:rsid w:val="008B2866"/>
    <w:rsid w:val="008B2FCD"/>
    <w:rsid w:val="008B3859"/>
    <w:rsid w:val="008B436D"/>
    <w:rsid w:val="008B4E49"/>
    <w:rsid w:val="008B5013"/>
    <w:rsid w:val="008B7712"/>
    <w:rsid w:val="008B7B26"/>
    <w:rsid w:val="008C3524"/>
    <w:rsid w:val="008C3628"/>
    <w:rsid w:val="008C4061"/>
    <w:rsid w:val="008C4229"/>
    <w:rsid w:val="008C5BE0"/>
    <w:rsid w:val="008C7233"/>
    <w:rsid w:val="008D08AB"/>
    <w:rsid w:val="008D2434"/>
    <w:rsid w:val="008D2CEB"/>
    <w:rsid w:val="008E09CD"/>
    <w:rsid w:val="008E171D"/>
    <w:rsid w:val="008E2785"/>
    <w:rsid w:val="008E78A3"/>
    <w:rsid w:val="008F0654"/>
    <w:rsid w:val="008F06CB"/>
    <w:rsid w:val="008F0BFF"/>
    <w:rsid w:val="008F0F62"/>
    <w:rsid w:val="008F2E83"/>
    <w:rsid w:val="008F4E60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537A"/>
    <w:rsid w:val="009167A2"/>
    <w:rsid w:val="00917CE5"/>
    <w:rsid w:val="009217C0"/>
    <w:rsid w:val="00924C24"/>
    <w:rsid w:val="00925241"/>
    <w:rsid w:val="00925CEC"/>
    <w:rsid w:val="00926A3F"/>
    <w:rsid w:val="0092794E"/>
    <w:rsid w:val="00927967"/>
    <w:rsid w:val="00927E13"/>
    <w:rsid w:val="00930D30"/>
    <w:rsid w:val="009332A2"/>
    <w:rsid w:val="00935C44"/>
    <w:rsid w:val="00936F5E"/>
    <w:rsid w:val="00937598"/>
    <w:rsid w:val="0093790B"/>
    <w:rsid w:val="00943751"/>
    <w:rsid w:val="00945304"/>
    <w:rsid w:val="009460AB"/>
    <w:rsid w:val="00946748"/>
    <w:rsid w:val="00946DD0"/>
    <w:rsid w:val="009509E6"/>
    <w:rsid w:val="00952018"/>
    <w:rsid w:val="00952800"/>
    <w:rsid w:val="0095300D"/>
    <w:rsid w:val="009532F1"/>
    <w:rsid w:val="00956812"/>
    <w:rsid w:val="009568EB"/>
    <w:rsid w:val="0095719A"/>
    <w:rsid w:val="009623E9"/>
    <w:rsid w:val="00963EEB"/>
    <w:rsid w:val="00963F73"/>
    <w:rsid w:val="009648BC"/>
    <w:rsid w:val="00964C2F"/>
    <w:rsid w:val="00965F88"/>
    <w:rsid w:val="00973AE2"/>
    <w:rsid w:val="00973DD7"/>
    <w:rsid w:val="009751E8"/>
    <w:rsid w:val="0098020C"/>
    <w:rsid w:val="0098298B"/>
    <w:rsid w:val="00984E03"/>
    <w:rsid w:val="00986845"/>
    <w:rsid w:val="00987E85"/>
    <w:rsid w:val="00992D1F"/>
    <w:rsid w:val="009A0A7A"/>
    <w:rsid w:val="009A0D12"/>
    <w:rsid w:val="009A1987"/>
    <w:rsid w:val="009A2BEE"/>
    <w:rsid w:val="009A4575"/>
    <w:rsid w:val="009A5289"/>
    <w:rsid w:val="009A7A53"/>
    <w:rsid w:val="009B0402"/>
    <w:rsid w:val="009B0B75"/>
    <w:rsid w:val="009B16DF"/>
    <w:rsid w:val="009B215E"/>
    <w:rsid w:val="009B2A4B"/>
    <w:rsid w:val="009B4CB2"/>
    <w:rsid w:val="009B668D"/>
    <w:rsid w:val="009B6701"/>
    <w:rsid w:val="009B6CC6"/>
    <w:rsid w:val="009B6EF7"/>
    <w:rsid w:val="009B7000"/>
    <w:rsid w:val="009B739C"/>
    <w:rsid w:val="009C04EC"/>
    <w:rsid w:val="009C328C"/>
    <w:rsid w:val="009C4444"/>
    <w:rsid w:val="009C79AD"/>
    <w:rsid w:val="009C7CA6"/>
    <w:rsid w:val="009D3062"/>
    <w:rsid w:val="009D3316"/>
    <w:rsid w:val="009D509F"/>
    <w:rsid w:val="009D55AA"/>
    <w:rsid w:val="009E1D21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50E"/>
    <w:rsid w:val="00A21706"/>
    <w:rsid w:val="00A2217F"/>
    <w:rsid w:val="00A24FCC"/>
    <w:rsid w:val="00A254CC"/>
    <w:rsid w:val="00A26A90"/>
    <w:rsid w:val="00A26B27"/>
    <w:rsid w:val="00A27F2A"/>
    <w:rsid w:val="00A30E4F"/>
    <w:rsid w:val="00A32253"/>
    <w:rsid w:val="00A325A6"/>
    <w:rsid w:val="00A3310E"/>
    <w:rsid w:val="00A333A0"/>
    <w:rsid w:val="00A37E70"/>
    <w:rsid w:val="00A437E1"/>
    <w:rsid w:val="00A4685E"/>
    <w:rsid w:val="00A50CD4"/>
    <w:rsid w:val="00A51191"/>
    <w:rsid w:val="00A53360"/>
    <w:rsid w:val="00A56D62"/>
    <w:rsid w:val="00A56F07"/>
    <w:rsid w:val="00A5762C"/>
    <w:rsid w:val="00A600FC"/>
    <w:rsid w:val="00A60BCA"/>
    <w:rsid w:val="00A638DA"/>
    <w:rsid w:val="00A65B41"/>
    <w:rsid w:val="00A65C45"/>
    <w:rsid w:val="00A65E00"/>
    <w:rsid w:val="00A66A78"/>
    <w:rsid w:val="00A73AEE"/>
    <w:rsid w:val="00A7436E"/>
    <w:rsid w:val="00A74E96"/>
    <w:rsid w:val="00A75852"/>
    <w:rsid w:val="00A75A8E"/>
    <w:rsid w:val="00A7669C"/>
    <w:rsid w:val="00A778C0"/>
    <w:rsid w:val="00A81169"/>
    <w:rsid w:val="00A824DD"/>
    <w:rsid w:val="00A83676"/>
    <w:rsid w:val="00A83B7B"/>
    <w:rsid w:val="00A84274"/>
    <w:rsid w:val="00A843F3"/>
    <w:rsid w:val="00A850F3"/>
    <w:rsid w:val="00A864E3"/>
    <w:rsid w:val="00A92962"/>
    <w:rsid w:val="00A94574"/>
    <w:rsid w:val="00A95936"/>
    <w:rsid w:val="00A96265"/>
    <w:rsid w:val="00A97084"/>
    <w:rsid w:val="00A97269"/>
    <w:rsid w:val="00AA04F4"/>
    <w:rsid w:val="00AA14E0"/>
    <w:rsid w:val="00AA1C2C"/>
    <w:rsid w:val="00AA1FCC"/>
    <w:rsid w:val="00AA2C99"/>
    <w:rsid w:val="00AA35F6"/>
    <w:rsid w:val="00AA594A"/>
    <w:rsid w:val="00AA59D8"/>
    <w:rsid w:val="00AA667C"/>
    <w:rsid w:val="00AA6E91"/>
    <w:rsid w:val="00AA7439"/>
    <w:rsid w:val="00AB047E"/>
    <w:rsid w:val="00AB0B0A"/>
    <w:rsid w:val="00AB0BB7"/>
    <w:rsid w:val="00AB201F"/>
    <w:rsid w:val="00AB205C"/>
    <w:rsid w:val="00AB22C6"/>
    <w:rsid w:val="00AB2AD0"/>
    <w:rsid w:val="00AB5680"/>
    <w:rsid w:val="00AB67FC"/>
    <w:rsid w:val="00AB7AB5"/>
    <w:rsid w:val="00AC00F2"/>
    <w:rsid w:val="00AC20B7"/>
    <w:rsid w:val="00AC2977"/>
    <w:rsid w:val="00AC31B5"/>
    <w:rsid w:val="00AC4DF8"/>
    <w:rsid w:val="00AC4EA1"/>
    <w:rsid w:val="00AC5381"/>
    <w:rsid w:val="00AC5546"/>
    <w:rsid w:val="00AC5920"/>
    <w:rsid w:val="00AD0E65"/>
    <w:rsid w:val="00AD15AC"/>
    <w:rsid w:val="00AD2BF2"/>
    <w:rsid w:val="00AD34D6"/>
    <w:rsid w:val="00AD3C34"/>
    <w:rsid w:val="00AD4E55"/>
    <w:rsid w:val="00AD4E90"/>
    <w:rsid w:val="00AD5422"/>
    <w:rsid w:val="00AE1D86"/>
    <w:rsid w:val="00AE4179"/>
    <w:rsid w:val="00AE4425"/>
    <w:rsid w:val="00AE4D1B"/>
    <w:rsid w:val="00AE4FBE"/>
    <w:rsid w:val="00AE650F"/>
    <w:rsid w:val="00AE6555"/>
    <w:rsid w:val="00AE7D16"/>
    <w:rsid w:val="00AF0F93"/>
    <w:rsid w:val="00AF4CAA"/>
    <w:rsid w:val="00AF571A"/>
    <w:rsid w:val="00AF60A0"/>
    <w:rsid w:val="00AF67FC"/>
    <w:rsid w:val="00AF7DF5"/>
    <w:rsid w:val="00B006E5"/>
    <w:rsid w:val="00B024C2"/>
    <w:rsid w:val="00B05356"/>
    <w:rsid w:val="00B07700"/>
    <w:rsid w:val="00B07BE7"/>
    <w:rsid w:val="00B115F4"/>
    <w:rsid w:val="00B13921"/>
    <w:rsid w:val="00B1528C"/>
    <w:rsid w:val="00B166F2"/>
    <w:rsid w:val="00B16ACD"/>
    <w:rsid w:val="00B21487"/>
    <w:rsid w:val="00B21D37"/>
    <w:rsid w:val="00B232D1"/>
    <w:rsid w:val="00B24C75"/>
    <w:rsid w:val="00B24DB5"/>
    <w:rsid w:val="00B31CB9"/>
    <w:rsid w:val="00B31D57"/>
    <w:rsid w:val="00B31F9E"/>
    <w:rsid w:val="00B3268F"/>
    <w:rsid w:val="00B32C2C"/>
    <w:rsid w:val="00B333B0"/>
    <w:rsid w:val="00B33A1A"/>
    <w:rsid w:val="00B33E6C"/>
    <w:rsid w:val="00B360B7"/>
    <w:rsid w:val="00B371CC"/>
    <w:rsid w:val="00B41CD9"/>
    <w:rsid w:val="00B427E6"/>
    <w:rsid w:val="00B428A6"/>
    <w:rsid w:val="00B43E1F"/>
    <w:rsid w:val="00B45FBC"/>
    <w:rsid w:val="00B4648E"/>
    <w:rsid w:val="00B51A7D"/>
    <w:rsid w:val="00B535C2"/>
    <w:rsid w:val="00B54723"/>
    <w:rsid w:val="00B55466"/>
    <w:rsid w:val="00B55544"/>
    <w:rsid w:val="00B6061E"/>
    <w:rsid w:val="00B642FC"/>
    <w:rsid w:val="00B64D26"/>
    <w:rsid w:val="00B64FBB"/>
    <w:rsid w:val="00B70E22"/>
    <w:rsid w:val="00B75E66"/>
    <w:rsid w:val="00B76A0A"/>
    <w:rsid w:val="00B774CB"/>
    <w:rsid w:val="00B80402"/>
    <w:rsid w:val="00B80B9A"/>
    <w:rsid w:val="00B830B7"/>
    <w:rsid w:val="00B848EA"/>
    <w:rsid w:val="00B84B2B"/>
    <w:rsid w:val="00B877E8"/>
    <w:rsid w:val="00B90500"/>
    <w:rsid w:val="00B908BB"/>
    <w:rsid w:val="00B9176C"/>
    <w:rsid w:val="00B929D5"/>
    <w:rsid w:val="00B935A4"/>
    <w:rsid w:val="00B93711"/>
    <w:rsid w:val="00B94676"/>
    <w:rsid w:val="00B94C6C"/>
    <w:rsid w:val="00BA561A"/>
    <w:rsid w:val="00BB0DC6"/>
    <w:rsid w:val="00BB0F5D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159"/>
    <w:rsid w:val="00BC7443"/>
    <w:rsid w:val="00BD0648"/>
    <w:rsid w:val="00BD1040"/>
    <w:rsid w:val="00BD33A5"/>
    <w:rsid w:val="00BD34AA"/>
    <w:rsid w:val="00BD3870"/>
    <w:rsid w:val="00BD628E"/>
    <w:rsid w:val="00BD75B3"/>
    <w:rsid w:val="00BE0C44"/>
    <w:rsid w:val="00BE1B8B"/>
    <w:rsid w:val="00BE2A18"/>
    <w:rsid w:val="00BE2C01"/>
    <w:rsid w:val="00BE41EC"/>
    <w:rsid w:val="00BE56FB"/>
    <w:rsid w:val="00BE7AB3"/>
    <w:rsid w:val="00BF0A5C"/>
    <w:rsid w:val="00BF2AB6"/>
    <w:rsid w:val="00BF3DDE"/>
    <w:rsid w:val="00BF4119"/>
    <w:rsid w:val="00BF6589"/>
    <w:rsid w:val="00BF6E2E"/>
    <w:rsid w:val="00BF6E31"/>
    <w:rsid w:val="00BF6F7F"/>
    <w:rsid w:val="00C00647"/>
    <w:rsid w:val="00C02764"/>
    <w:rsid w:val="00C04CEF"/>
    <w:rsid w:val="00C0662F"/>
    <w:rsid w:val="00C1049F"/>
    <w:rsid w:val="00C11886"/>
    <w:rsid w:val="00C11943"/>
    <w:rsid w:val="00C12E96"/>
    <w:rsid w:val="00C137CC"/>
    <w:rsid w:val="00C14763"/>
    <w:rsid w:val="00C15D2B"/>
    <w:rsid w:val="00C16141"/>
    <w:rsid w:val="00C17AFE"/>
    <w:rsid w:val="00C2363F"/>
    <w:rsid w:val="00C236C8"/>
    <w:rsid w:val="00C260B1"/>
    <w:rsid w:val="00C26D9D"/>
    <w:rsid w:val="00C26E56"/>
    <w:rsid w:val="00C31406"/>
    <w:rsid w:val="00C31CC2"/>
    <w:rsid w:val="00C31F2D"/>
    <w:rsid w:val="00C321BB"/>
    <w:rsid w:val="00C338C6"/>
    <w:rsid w:val="00C33EC5"/>
    <w:rsid w:val="00C33F38"/>
    <w:rsid w:val="00C37194"/>
    <w:rsid w:val="00C40637"/>
    <w:rsid w:val="00C40B33"/>
    <w:rsid w:val="00C40F6C"/>
    <w:rsid w:val="00C44426"/>
    <w:rsid w:val="00C445F3"/>
    <w:rsid w:val="00C451F4"/>
    <w:rsid w:val="00C45D2F"/>
    <w:rsid w:val="00C45EB1"/>
    <w:rsid w:val="00C529B2"/>
    <w:rsid w:val="00C54A3A"/>
    <w:rsid w:val="00C55566"/>
    <w:rsid w:val="00C56448"/>
    <w:rsid w:val="00C60108"/>
    <w:rsid w:val="00C60754"/>
    <w:rsid w:val="00C653A7"/>
    <w:rsid w:val="00C667BE"/>
    <w:rsid w:val="00C6766B"/>
    <w:rsid w:val="00C72223"/>
    <w:rsid w:val="00C76417"/>
    <w:rsid w:val="00C7726F"/>
    <w:rsid w:val="00C776F3"/>
    <w:rsid w:val="00C81DC2"/>
    <w:rsid w:val="00C823DA"/>
    <w:rsid w:val="00C8259F"/>
    <w:rsid w:val="00C82746"/>
    <w:rsid w:val="00C8312F"/>
    <w:rsid w:val="00C836A4"/>
    <w:rsid w:val="00C84C47"/>
    <w:rsid w:val="00C858A4"/>
    <w:rsid w:val="00C86AFA"/>
    <w:rsid w:val="00C92336"/>
    <w:rsid w:val="00C92942"/>
    <w:rsid w:val="00CA0E2F"/>
    <w:rsid w:val="00CB18D0"/>
    <w:rsid w:val="00CB1C8A"/>
    <w:rsid w:val="00CB24F5"/>
    <w:rsid w:val="00CB2663"/>
    <w:rsid w:val="00CB3BBE"/>
    <w:rsid w:val="00CB441B"/>
    <w:rsid w:val="00CB59E9"/>
    <w:rsid w:val="00CB611F"/>
    <w:rsid w:val="00CC0D6A"/>
    <w:rsid w:val="00CC3831"/>
    <w:rsid w:val="00CC3E3D"/>
    <w:rsid w:val="00CC519B"/>
    <w:rsid w:val="00CD12C1"/>
    <w:rsid w:val="00CD214E"/>
    <w:rsid w:val="00CD2DEF"/>
    <w:rsid w:val="00CD46FA"/>
    <w:rsid w:val="00CD4B82"/>
    <w:rsid w:val="00CD5973"/>
    <w:rsid w:val="00CD71A1"/>
    <w:rsid w:val="00CE309E"/>
    <w:rsid w:val="00CE31A6"/>
    <w:rsid w:val="00CF09AA"/>
    <w:rsid w:val="00CF436E"/>
    <w:rsid w:val="00CF4813"/>
    <w:rsid w:val="00CF5233"/>
    <w:rsid w:val="00D029B8"/>
    <w:rsid w:val="00D02F60"/>
    <w:rsid w:val="00D0464E"/>
    <w:rsid w:val="00D04A96"/>
    <w:rsid w:val="00D07A7B"/>
    <w:rsid w:val="00D10E06"/>
    <w:rsid w:val="00D1508C"/>
    <w:rsid w:val="00D15197"/>
    <w:rsid w:val="00D15501"/>
    <w:rsid w:val="00D16820"/>
    <w:rsid w:val="00D169C8"/>
    <w:rsid w:val="00D1793F"/>
    <w:rsid w:val="00D22AF5"/>
    <w:rsid w:val="00D235EA"/>
    <w:rsid w:val="00D247A9"/>
    <w:rsid w:val="00D2593A"/>
    <w:rsid w:val="00D32721"/>
    <w:rsid w:val="00D328DC"/>
    <w:rsid w:val="00D33387"/>
    <w:rsid w:val="00D34AA4"/>
    <w:rsid w:val="00D35463"/>
    <w:rsid w:val="00D402FB"/>
    <w:rsid w:val="00D40A12"/>
    <w:rsid w:val="00D43D64"/>
    <w:rsid w:val="00D47D7A"/>
    <w:rsid w:val="00D50ABD"/>
    <w:rsid w:val="00D55290"/>
    <w:rsid w:val="00D57791"/>
    <w:rsid w:val="00D6046A"/>
    <w:rsid w:val="00D62870"/>
    <w:rsid w:val="00D6371E"/>
    <w:rsid w:val="00D655D9"/>
    <w:rsid w:val="00D65872"/>
    <w:rsid w:val="00D676F3"/>
    <w:rsid w:val="00D70CE0"/>
    <w:rsid w:val="00D70EF5"/>
    <w:rsid w:val="00D71024"/>
    <w:rsid w:val="00D71A25"/>
    <w:rsid w:val="00D71FCF"/>
    <w:rsid w:val="00D72A54"/>
    <w:rsid w:val="00D72CC1"/>
    <w:rsid w:val="00D73E68"/>
    <w:rsid w:val="00D75E83"/>
    <w:rsid w:val="00D76469"/>
    <w:rsid w:val="00D76EC9"/>
    <w:rsid w:val="00D80E7D"/>
    <w:rsid w:val="00D81397"/>
    <w:rsid w:val="00D848B9"/>
    <w:rsid w:val="00D90E69"/>
    <w:rsid w:val="00D91368"/>
    <w:rsid w:val="00D93106"/>
    <w:rsid w:val="00D933E9"/>
    <w:rsid w:val="00D938A1"/>
    <w:rsid w:val="00D9505D"/>
    <w:rsid w:val="00D953D0"/>
    <w:rsid w:val="00D959F5"/>
    <w:rsid w:val="00D96884"/>
    <w:rsid w:val="00DA174C"/>
    <w:rsid w:val="00DA32A9"/>
    <w:rsid w:val="00DA3FDD"/>
    <w:rsid w:val="00DA4038"/>
    <w:rsid w:val="00DA4AAC"/>
    <w:rsid w:val="00DA7017"/>
    <w:rsid w:val="00DA7028"/>
    <w:rsid w:val="00DB1AD2"/>
    <w:rsid w:val="00DB2B58"/>
    <w:rsid w:val="00DB2B6B"/>
    <w:rsid w:val="00DB5206"/>
    <w:rsid w:val="00DB520B"/>
    <w:rsid w:val="00DB6276"/>
    <w:rsid w:val="00DB6358"/>
    <w:rsid w:val="00DB63F5"/>
    <w:rsid w:val="00DB7EE4"/>
    <w:rsid w:val="00DC1C6B"/>
    <w:rsid w:val="00DC2C2E"/>
    <w:rsid w:val="00DC48A4"/>
    <w:rsid w:val="00DC4AF0"/>
    <w:rsid w:val="00DC4F27"/>
    <w:rsid w:val="00DC5F0C"/>
    <w:rsid w:val="00DC7886"/>
    <w:rsid w:val="00DD0CF2"/>
    <w:rsid w:val="00DD430B"/>
    <w:rsid w:val="00DE0BD9"/>
    <w:rsid w:val="00DE1554"/>
    <w:rsid w:val="00DE2901"/>
    <w:rsid w:val="00DE2A09"/>
    <w:rsid w:val="00DE590F"/>
    <w:rsid w:val="00DE5EAE"/>
    <w:rsid w:val="00DE7DC1"/>
    <w:rsid w:val="00DF3F7E"/>
    <w:rsid w:val="00DF5BC2"/>
    <w:rsid w:val="00DF7648"/>
    <w:rsid w:val="00E00E17"/>
    <w:rsid w:val="00E00E29"/>
    <w:rsid w:val="00E02BAB"/>
    <w:rsid w:val="00E02E00"/>
    <w:rsid w:val="00E04CEB"/>
    <w:rsid w:val="00E060BC"/>
    <w:rsid w:val="00E11420"/>
    <w:rsid w:val="00E114F6"/>
    <w:rsid w:val="00E132FB"/>
    <w:rsid w:val="00E1340E"/>
    <w:rsid w:val="00E170B7"/>
    <w:rsid w:val="00E177DD"/>
    <w:rsid w:val="00E20900"/>
    <w:rsid w:val="00E20C7F"/>
    <w:rsid w:val="00E2396E"/>
    <w:rsid w:val="00E241EE"/>
    <w:rsid w:val="00E24728"/>
    <w:rsid w:val="00E276AC"/>
    <w:rsid w:val="00E3152C"/>
    <w:rsid w:val="00E3470B"/>
    <w:rsid w:val="00E34A35"/>
    <w:rsid w:val="00E37C2F"/>
    <w:rsid w:val="00E41C28"/>
    <w:rsid w:val="00E46308"/>
    <w:rsid w:val="00E517C8"/>
    <w:rsid w:val="00E51E17"/>
    <w:rsid w:val="00E52DAB"/>
    <w:rsid w:val="00E5389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3858"/>
    <w:rsid w:val="00E66C50"/>
    <w:rsid w:val="00E670D1"/>
    <w:rsid w:val="00E679D3"/>
    <w:rsid w:val="00E71208"/>
    <w:rsid w:val="00E71444"/>
    <w:rsid w:val="00E71C91"/>
    <w:rsid w:val="00E720A1"/>
    <w:rsid w:val="00E7290A"/>
    <w:rsid w:val="00E73455"/>
    <w:rsid w:val="00E75DDA"/>
    <w:rsid w:val="00E773E8"/>
    <w:rsid w:val="00E83ADD"/>
    <w:rsid w:val="00E84F38"/>
    <w:rsid w:val="00E85623"/>
    <w:rsid w:val="00E85E68"/>
    <w:rsid w:val="00E87441"/>
    <w:rsid w:val="00E87E63"/>
    <w:rsid w:val="00E91FAE"/>
    <w:rsid w:val="00E96E3F"/>
    <w:rsid w:val="00EA1EC4"/>
    <w:rsid w:val="00EA270C"/>
    <w:rsid w:val="00EA4969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0FF7"/>
    <w:rsid w:val="00EF0B96"/>
    <w:rsid w:val="00EF3486"/>
    <w:rsid w:val="00EF3B47"/>
    <w:rsid w:val="00EF45E5"/>
    <w:rsid w:val="00EF47AF"/>
    <w:rsid w:val="00EF53B6"/>
    <w:rsid w:val="00F00B73"/>
    <w:rsid w:val="00F02BAE"/>
    <w:rsid w:val="00F03E08"/>
    <w:rsid w:val="00F115CA"/>
    <w:rsid w:val="00F12968"/>
    <w:rsid w:val="00F14817"/>
    <w:rsid w:val="00F14CA6"/>
    <w:rsid w:val="00F14EBA"/>
    <w:rsid w:val="00F1510F"/>
    <w:rsid w:val="00F1533A"/>
    <w:rsid w:val="00F15E5A"/>
    <w:rsid w:val="00F17F0A"/>
    <w:rsid w:val="00F25E54"/>
    <w:rsid w:val="00F2668F"/>
    <w:rsid w:val="00F2742F"/>
    <w:rsid w:val="00F2753B"/>
    <w:rsid w:val="00F27DFC"/>
    <w:rsid w:val="00F303BA"/>
    <w:rsid w:val="00F33F8B"/>
    <w:rsid w:val="00F340B2"/>
    <w:rsid w:val="00F42DC7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E4D"/>
    <w:rsid w:val="00F66B34"/>
    <w:rsid w:val="00F675B9"/>
    <w:rsid w:val="00F711C9"/>
    <w:rsid w:val="00F74C59"/>
    <w:rsid w:val="00F75C3A"/>
    <w:rsid w:val="00F76E1C"/>
    <w:rsid w:val="00F82E30"/>
    <w:rsid w:val="00F831CB"/>
    <w:rsid w:val="00F848A3"/>
    <w:rsid w:val="00F849C4"/>
    <w:rsid w:val="00F84ACF"/>
    <w:rsid w:val="00F85742"/>
    <w:rsid w:val="00F85BF8"/>
    <w:rsid w:val="00F871CE"/>
    <w:rsid w:val="00F87802"/>
    <w:rsid w:val="00F91280"/>
    <w:rsid w:val="00F91596"/>
    <w:rsid w:val="00F92C0A"/>
    <w:rsid w:val="00F9415B"/>
    <w:rsid w:val="00FA13C2"/>
    <w:rsid w:val="00FA1F34"/>
    <w:rsid w:val="00FA3E67"/>
    <w:rsid w:val="00FA7F91"/>
    <w:rsid w:val="00FB121C"/>
    <w:rsid w:val="00FB1CDD"/>
    <w:rsid w:val="00FB2BDA"/>
    <w:rsid w:val="00FB2C2F"/>
    <w:rsid w:val="00FB305C"/>
    <w:rsid w:val="00FB323E"/>
    <w:rsid w:val="00FC2E3D"/>
    <w:rsid w:val="00FC3BDE"/>
    <w:rsid w:val="00FD1224"/>
    <w:rsid w:val="00FD1D7C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E5A"/>
    <w:rsid w:val="00FE730A"/>
    <w:rsid w:val="00FF1DD7"/>
    <w:rsid w:val="00FF4453"/>
    <w:rsid w:val="00FF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4E353"/>
  <w15:docId w15:val="{F650FAE6-1064-4200-92F7-6FC564D8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952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3470B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7952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-justify">
    <w:name w:val="text-justify"/>
    <w:basedOn w:val="Normalny"/>
    <w:rsid w:val="003572E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SIO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BF81F0-5671-4573-A8FD-EA5DB95C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7</Pages>
  <Words>1697</Words>
  <Characters>10184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Jarosław Deminet</dc:creator>
  <cp:lastModifiedBy>KGHM</cp:lastModifiedBy>
  <cp:revision>2</cp:revision>
  <cp:lastPrinted>2021-10-20T07:38:00Z</cp:lastPrinted>
  <dcterms:created xsi:type="dcterms:W3CDTF">2021-11-30T20:03:00Z</dcterms:created>
  <dcterms:modified xsi:type="dcterms:W3CDTF">2021-11-30T20:03:00Z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