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46873" w14:textId="77777777" w:rsidR="00E4790C" w:rsidRPr="007D3F15" w:rsidRDefault="00E4790C" w:rsidP="007D3F15">
      <w:pPr>
        <w:pStyle w:val="OZNRODZAKTUtznustawalubrozporzdzenieiorganwydajcy"/>
        <w:spacing w:before="120"/>
        <w:rPr>
          <w:rFonts w:ascii="Times New Roman" w:hAnsi="Times New Roman"/>
          <w:spacing w:val="0"/>
        </w:rPr>
      </w:pPr>
      <w:bookmarkStart w:id="0" w:name="_GoBack"/>
      <w:bookmarkEnd w:id="0"/>
      <w:r w:rsidRPr="007D3F15">
        <w:rPr>
          <w:rFonts w:ascii="Times New Roman" w:hAnsi="Times New Roman"/>
          <w:spacing w:val="0"/>
        </w:rPr>
        <w:t>UZASADNIENIE</w:t>
      </w:r>
    </w:p>
    <w:p w14:paraId="7B43CB94" w14:textId="546F0743" w:rsidR="00F806FA" w:rsidRDefault="00F806FA" w:rsidP="00B16E46">
      <w:pPr>
        <w:spacing w:before="120" w:after="120"/>
        <w:rPr>
          <w:rFonts w:cs="Times New Roman"/>
          <w:color w:val="000000" w:themeColor="text1"/>
          <w:szCs w:val="24"/>
        </w:rPr>
      </w:pPr>
      <w:r w:rsidRPr="007D3F15">
        <w:rPr>
          <w:rFonts w:cs="Times New Roman"/>
          <w:color w:val="000000" w:themeColor="text1"/>
          <w:szCs w:val="24"/>
        </w:rPr>
        <w:t>Celem projektu jest dokonanie nowelizacji rozporządzenia Ministra Finansów z dnia 17 grudnia 2019 r. w sprawie opłat na pokrycie kosztów nadzoru nad rynkiem kapitałowym (Dz. U. poz. 2486), zwanego dalej „</w:t>
      </w:r>
      <w:r w:rsidR="002A51EE">
        <w:rPr>
          <w:rFonts w:cs="Times New Roman"/>
          <w:color w:val="000000" w:themeColor="text1"/>
          <w:szCs w:val="24"/>
        </w:rPr>
        <w:t>r</w:t>
      </w:r>
      <w:r w:rsidRPr="007D3F15">
        <w:rPr>
          <w:rFonts w:cs="Times New Roman"/>
          <w:color w:val="000000" w:themeColor="text1"/>
          <w:szCs w:val="24"/>
        </w:rPr>
        <w:t>ozporządzeniem”.</w:t>
      </w:r>
    </w:p>
    <w:p w14:paraId="281F94C4" w14:textId="56AD9133" w:rsidR="00796D04" w:rsidRPr="007D3F15" w:rsidRDefault="00796D04" w:rsidP="00796D04">
      <w:pPr>
        <w:spacing w:before="120" w:after="120"/>
        <w:rPr>
          <w:rFonts w:cs="Times New Roman"/>
          <w:szCs w:val="24"/>
        </w:rPr>
      </w:pPr>
      <w:r w:rsidRPr="007D3F15">
        <w:rPr>
          <w:rFonts w:cs="Times New Roman"/>
          <w:szCs w:val="24"/>
        </w:rPr>
        <w:t>Projekt</w:t>
      </w:r>
      <w:r w:rsidR="00B87F66">
        <w:rPr>
          <w:rFonts w:cs="Times New Roman"/>
          <w:szCs w:val="24"/>
        </w:rPr>
        <w:t xml:space="preserve"> nowelizacji</w:t>
      </w:r>
      <w:r w:rsidRPr="007D3F15">
        <w:rPr>
          <w:rFonts w:cs="Times New Roman"/>
          <w:szCs w:val="24"/>
        </w:rPr>
        <w:t xml:space="preserve"> </w:t>
      </w:r>
      <w:r w:rsidR="002A51EE">
        <w:rPr>
          <w:rFonts w:cs="Times New Roman"/>
          <w:szCs w:val="24"/>
        </w:rPr>
        <w:t>r</w:t>
      </w:r>
      <w:r w:rsidRPr="007D3F15">
        <w:rPr>
          <w:rFonts w:cs="Times New Roman"/>
          <w:szCs w:val="24"/>
        </w:rPr>
        <w:t>ozporządzenia stanowi wykonanie</w:t>
      </w:r>
      <w:r w:rsidR="00F656E3">
        <w:rPr>
          <w:rFonts w:cs="Times New Roman"/>
          <w:szCs w:val="24"/>
        </w:rPr>
        <w:t>,</w:t>
      </w:r>
      <w:r w:rsidRPr="007D3F15">
        <w:rPr>
          <w:rFonts w:cs="Times New Roman"/>
          <w:szCs w:val="24"/>
        </w:rPr>
        <w:t xml:space="preserve"> zawartego w art. 17 ust. 14 ustawy z dnia 29 lipca 2005 r. o nadzorze nad rynkiem kapitałowym (Dz. U. z 2020 r. poz. 1400 i 2320 oraz z 2021 r. poz. 355)</w:t>
      </w:r>
      <w:r w:rsidR="00F656E3">
        <w:rPr>
          <w:rFonts w:cs="Times New Roman"/>
          <w:szCs w:val="24"/>
        </w:rPr>
        <w:t>,</w:t>
      </w:r>
      <w:r w:rsidRPr="007D3F15">
        <w:rPr>
          <w:rFonts w:cs="Times New Roman"/>
          <w:szCs w:val="24"/>
        </w:rPr>
        <w:t xml:space="preserve"> upoważnienia do wydania przez ministra właściwego do spraw instytucji finansowych rozporządzenia określającego:</w:t>
      </w:r>
    </w:p>
    <w:p w14:paraId="5E9AE6F0" w14:textId="5D01ED6A" w:rsidR="00796D04" w:rsidRPr="007D3F15" w:rsidRDefault="00796D04" w:rsidP="00796D04">
      <w:pPr>
        <w:pStyle w:val="Default"/>
        <w:spacing w:line="360" w:lineRule="auto"/>
        <w:jc w:val="both"/>
      </w:pPr>
      <w:r w:rsidRPr="007D3F15">
        <w:t>1)</w:t>
      </w:r>
      <w:r w:rsidRPr="007D3F15">
        <w:tab/>
        <w:t xml:space="preserve">wysokość lub sposób wyliczania oraz sposób i terminy uiszczania opłat, o których mowa w </w:t>
      </w:r>
      <w:r w:rsidR="00B87F66">
        <w:t xml:space="preserve">art. 17 </w:t>
      </w:r>
      <w:r w:rsidRPr="007D3F15">
        <w:t>ust. 1 pkt 1</w:t>
      </w:r>
      <w:r w:rsidR="00B87F66">
        <w:t xml:space="preserve"> </w:t>
      </w:r>
      <w:r w:rsidR="00B87F66" w:rsidRPr="007D3F15">
        <w:t>ustawy z dnia 29 lipca 2005 r. o nadzorze nad rynkiem kapitałowym</w:t>
      </w:r>
      <w:r w:rsidRPr="007D3F15">
        <w:t>, a w razie braku obowiązku sporządzania przez podmioty o</w:t>
      </w:r>
      <w:r w:rsidR="002A51EE">
        <w:t>bowiązane do wnoszenia opłat, o </w:t>
      </w:r>
      <w:r w:rsidRPr="007D3F15">
        <w:t xml:space="preserve">których mowa w </w:t>
      </w:r>
      <w:r w:rsidR="00B87F66">
        <w:t>tym przepisie</w:t>
      </w:r>
      <w:r w:rsidRPr="007D3F15">
        <w:t xml:space="preserve">, sprawozdań finansowych – także sposoby udokumentowania przez te podmioty wielkości uzyskanych przychodów, </w:t>
      </w:r>
    </w:p>
    <w:p w14:paraId="779A66D1" w14:textId="009D8A19" w:rsidR="00796D04" w:rsidRPr="007D3F15" w:rsidRDefault="00796D04" w:rsidP="00796D04">
      <w:pPr>
        <w:pStyle w:val="Default"/>
        <w:spacing w:line="360" w:lineRule="auto"/>
        <w:jc w:val="both"/>
      </w:pPr>
      <w:r w:rsidRPr="007D3F15">
        <w:t>2)</w:t>
      </w:r>
      <w:r w:rsidRPr="007D3F15">
        <w:tab/>
        <w:t xml:space="preserve">sposób ponoszenia kosztów nadzoru nad rynkiem kapitałowym z wpływów, o których mowa w </w:t>
      </w:r>
      <w:r w:rsidR="00B87F66">
        <w:t xml:space="preserve">art. 17 </w:t>
      </w:r>
      <w:r w:rsidRPr="007D3F15">
        <w:t>ust. 1</w:t>
      </w:r>
      <w:r w:rsidR="00B87F66">
        <w:t xml:space="preserve"> </w:t>
      </w:r>
      <w:r w:rsidR="00B87F66" w:rsidRPr="007D3F15">
        <w:t>ustawy z dnia 29 lipca 2005 r. o nadzorze nad rynkiem kapitałowym</w:t>
      </w:r>
      <w:r w:rsidR="002A51EE">
        <w:t>, a </w:t>
      </w:r>
      <w:r w:rsidRPr="007D3F15">
        <w:t xml:space="preserve">także wielkość udziału w tych kosztach </w:t>
      </w:r>
    </w:p>
    <w:p w14:paraId="431F702F" w14:textId="0C2577D6" w:rsidR="00796D04" w:rsidRPr="007D3F15" w:rsidRDefault="00796D04" w:rsidP="00B16E46">
      <w:pPr>
        <w:spacing w:before="120" w:after="120"/>
        <w:rPr>
          <w:rFonts w:cs="Times New Roman"/>
          <w:color w:val="000000" w:themeColor="text1"/>
          <w:szCs w:val="24"/>
        </w:rPr>
      </w:pPr>
      <w:r w:rsidRPr="007D3F15">
        <w:rPr>
          <w:rFonts w:cs="Times New Roman"/>
          <w:szCs w:val="24"/>
        </w:rPr>
        <w:t>– uwzględniając rodzaje opłat i charakter czynności, z którymi wiąże się obowiązek uiszczenia tych opłat, charakter działalności podmiotów obowiązanych do wnoszenia opłat, zakres sprawowanego nadzoru oraz konieczność zapewnienia jego skuteczności, a także mając na względzie, że opłaty nie powinny w istotny sposób wpływać na zwiększenie kosztów działalności podmiotów obowiązanych do ich uiszczenia, a sposób wyliczania i uiszczania opłat nie powinien stwarzać nadmiernych obciążeń administracyjnych dla podmiotów obowiązanych.</w:t>
      </w:r>
    </w:p>
    <w:p w14:paraId="72E5E207" w14:textId="2369CECE" w:rsidR="00F806FA" w:rsidRPr="007D3F15" w:rsidRDefault="00F806FA" w:rsidP="007D3F15">
      <w:pPr>
        <w:spacing w:after="120"/>
        <w:rPr>
          <w:rFonts w:cs="Times New Roman"/>
          <w:color w:val="000000" w:themeColor="text1"/>
          <w:szCs w:val="24"/>
        </w:rPr>
      </w:pPr>
      <w:r w:rsidRPr="007D3F15">
        <w:rPr>
          <w:rFonts w:cs="Times New Roman"/>
          <w:color w:val="000000" w:themeColor="text1"/>
          <w:szCs w:val="24"/>
        </w:rPr>
        <w:t xml:space="preserve">Proponowane </w:t>
      </w:r>
      <w:r w:rsidR="00796D04">
        <w:rPr>
          <w:rFonts w:cs="Times New Roman"/>
          <w:color w:val="000000" w:themeColor="text1"/>
          <w:szCs w:val="24"/>
        </w:rPr>
        <w:t xml:space="preserve">w nowelizacji </w:t>
      </w:r>
      <w:r w:rsidR="002A51EE">
        <w:rPr>
          <w:rFonts w:cs="Times New Roman"/>
          <w:color w:val="000000" w:themeColor="text1"/>
          <w:szCs w:val="24"/>
        </w:rPr>
        <w:t>r</w:t>
      </w:r>
      <w:r w:rsidRPr="007D3F15">
        <w:rPr>
          <w:rFonts w:cs="Times New Roman"/>
          <w:color w:val="000000" w:themeColor="text1"/>
          <w:szCs w:val="24"/>
        </w:rPr>
        <w:t xml:space="preserve">ozporządzenia </w:t>
      </w:r>
      <w:r w:rsidR="00796D04">
        <w:rPr>
          <w:rFonts w:cs="Times New Roman"/>
          <w:color w:val="000000" w:themeColor="text1"/>
          <w:szCs w:val="24"/>
        </w:rPr>
        <w:t xml:space="preserve">zmiany </w:t>
      </w:r>
      <w:r w:rsidRPr="007D3F15">
        <w:rPr>
          <w:rFonts w:cs="Times New Roman"/>
          <w:color w:val="000000" w:themeColor="text1"/>
          <w:szCs w:val="24"/>
        </w:rPr>
        <w:t>są przede wszystkim konsekwencją wprowadzenia nowych opłat powiązanych z działalnością transgraniczną instytucji zbiorowego inwestowania, wynikających z ustawy z dnia 23 lipca 2021 r. o zmianie ustawy o funduszach inwestycyjnych i zarządzaniu alternatywnymi funduszami inwestycyjnymi oraz niektórych innych ustaw (Dz. U. poz. 1595)</w:t>
      </w:r>
      <w:r w:rsidR="005D5308">
        <w:rPr>
          <w:rFonts w:cs="Times New Roman"/>
          <w:color w:val="000000" w:themeColor="text1"/>
          <w:szCs w:val="24"/>
        </w:rPr>
        <w:t xml:space="preserve">. </w:t>
      </w:r>
    </w:p>
    <w:p w14:paraId="781D191B" w14:textId="5BB5C146" w:rsidR="00F806FA" w:rsidRPr="007D3F15" w:rsidRDefault="00F806FA" w:rsidP="007D3F15">
      <w:pPr>
        <w:spacing w:after="120"/>
        <w:rPr>
          <w:rFonts w:cs="Times New Roman"/>
          <w:color w:val="000000" w:themeColor="text1"/>
          <w:szCs w:val="24"/>
        </w:rPr>
      </w:pPr>
      <w:r w:rsidRPr="007D3F15">
        <w:rPr>
          <w:rFonts w:cs="Times New Roman"/>
          <w:color w:val="000000" w:themeColor="text1"/>
          <w:szCs w:val="24"/>
        </w:rPr>
        <w:t>Ustawą z dnia 23 lipca 2021 r. o zmianie ustawy o funduszach inwestycyjnych i zarządzaniu alternatywnymi funduszami inwestycyjnymi oraz niektórych innych ustaw znowelizowany został m.in. art. 236 ustawy z dnia 27 maja 2004 r. o funduszach inwestycyjnych i zarządzaniu alternatywnymi funduszami inwestycyjnymi (Dz. U. z 2021 r. poz. 605</w:t>
      </w:r>
      <w:r w:rsidR="007B54D4">
        <w:rPr>
          <w:rFonts w:cs="Times New Roman"/>
          <w:color w:val="000000" w:themeColor="text1"/>
          <w:szCs w:val="24"/>
        </w:rPr>
        <w:t xml:space="preserve"> i 1595</w:t>
      </w:r>
      <w:r w:rsidRPr="007D3F15">
        <w:rPr>
          <w:rFonts w:cs="Times New Roman"/>
          <w:color w:val="000000" w:themeColor="text1"/>
          <w:szCs w:val="24"/>
        </w:rPr>
        <w:t xml:space="preserve">), zwanej dalej </w:t>
      </w:r>
      <w:r w:rsidRPr="007D3F15">
        <w:rPr>
          <w:rFonts w:cs="Times New Roman"/>
          <w:color w:val="000000" w:themeColor="text1"/>
          <w:szCs w:val="24"/>
        </w:rPr>
        <w:lastRenderedPageBreak/>
        <w:t>„</w:t>
      </w:r>
      <w:r w:rsidR="007B54D4">
        <w:rPr>
          <w:rFonts w:cs="Times New Roman"/>
          <w:color w:val="000000" w:themeColor="text1"/>
          <w:szCs w:val="24"/>
        </w:rPr>
        <w:t>u</w:t>
      </w:r>
      <w:r w:rsidRPr="007D3F15">
        <w:rPr>
          <w:rFonts w:cs="Times New Roman"/>
          <w:color w:val="000000" w:themeColor="text1"/>
          <w:szCs w:val="24"/>
        </w:rPr>
        <w:t>stawą o funduszach”, określający przypadki, w których podmioty nadzorowane ponoszą opłaty na koszty nadzoru nad rynkiem kapitałowym.</w:t>
      </w:r>
    </w:p>
    <w:p w14:paraId="0F5916AD" w14:textId="5B487915" w:rsidR="00F806FA" w:rsidRPr="007D3F15" w:rsidRDefault="00F806FA" w:rsidP="007D3F15">
      <w:pPr>
        <w:spacing w:after="120"/>
        <w:rPr>
          <w:rFonts w:cs="Times New Roman"/>
          <w:color w:val="000000" w:themeColor="text1"/>
          <w:szCs w:val="24"/>
        </w:rPr>
      </w:pPr>
      <w:r w:rsidRPr="007D3F15">
        <w:rPr>
          <w:rFonts w:cs="Times New Roman"/>
          <w:color w:val="000000" w:themeColor="text1"/>
          <w:szCs w:val="24"/>
        </w:rPr>
        <w:t xml:space="preserve">Dotychczas, w zakresie działalności transgranicznej instytucji zbiorowego inwestowania, </w:t>
      </w:r>
      <w:r w:rsidR="007B54D4">
        <w:rPr>
          <w:rFonts w:cs="Times New Roman"/>
          <w:color w:val="000000" w:themeColor="text1"/>
          <w:szCs w:val="24"/>
        </w:rPr>
        <w:t>u</w:t>
      </w:r>
      <w:r w:rsidR="007B54D4" w:rsidRPr="007D3F15">
        <w:rPr>
          <w:rFonts w:cs="Times New Roman"/>
          <w:color w:val="000000" w:themeColor="text1"/>
          <w:szCs w:val="24"/>
        </w:rPr>
        <w:t xml:space="preserve">stawa </w:t>
      </w:r>
      <w:r w:rsidRPr="007D3F15">
        <w:rPr>
          <w:rFonts w:cs="Times New Roman"/>
          <w:color w:val="000000" w:themeColor="text1"/>
          <w:szCs w:val="24"/>
        </w:rPr>
        <w:t>o funduszach przewidywała jedynie opłaty za wpis do rejestru prowadzonego przez Komisję Nadzoru Finansowego</w:t>
      </w:r>
      <w:r w:rsidR="00637952">
        <w:rPr>
          <w:rFonts w:cs="Times New Roman"/>
          <w:color w:val="000000" w:themeColor="text1"/>
          <w:szCs w:val="24"/>
        </w:rPr>
        <w:t>, zwaną dalej</w:t>
      </w:r>
      <w:r w:rsidRPr="007D3F15">
        <w:rPr>
          <w:rFonts w:cs="Times New Roman"/>
          <w:color w:val="000000" w:themeColor="text1"/>
          <w:szCs w:val="24"/>
        </w:rPr>
        <w:t xml:space="preserve"> </w:t>
      </w:r>
      <w:r w:rsidR="00637952">
        <w:rPr>
          <w:rFonts w:cs="Times New Roman"/>
          <w:color w:val="000000" w:themeColor="text1"/>
          <w:szCs w:val="24"/>
        </w:rPr>
        <w:t>„</w:t>
      </w:r>
      <w:r w:rsidRPr="007D3F15">
        <w:rPr>
          <w:rFonts w:cs="Times New Roman"/>
          <w:color w:val="000000" w:themeColor="text1"/>
          <w:szCs w:val="24"/>
        </w:rPr>
        <w:t>KNF</w:t>
      </w:r>
      <w:r w:rsidR="00637952">
        <w:rPr>
          <w:rFonts w:cs="Times New Roman"/>
          <w:color w:val="000000" w:themeColor="text1"/>
          <w:szCs w:val="24"/>
        </w:rPr>
        <w:t>”,</w:t>
      </w:r>
      <w:r w:rsidRPr="007D3F15">
        <w:rPr>
          <w:rFonts w:cs="Times New Roman"/>
          <w:color w:val="000000" w:themeColor="text1"/>
          <w:szCs w:val="24"/>
        </w:rPr>
        <w:t xml:space="preserve"> zagranicznych funduszy typu </w:t>
      </w:r>
      <w:r w:rsidR="000556EF" w:rsidRPr="000556EF">
        <w:rPr>
          <w:rFonts w:cs="Times New Roman"/>
          <w:color w:val="000000" w:themeColor="text1"/>
          <w:szCs w:val="24"/>
        </w:rPr>
        <w:t>przedsiębiorstw</w:t>
      </w:r>
      <w:r w:rsidR="000556EF">
        <w:rPr>
          <w:rFonts w:cs="Times New Roman"/>
          <w:color w:val="000000" w:themeColor="text1"/>
          <w:szCs w:val="24"/>
        </w:rPr>
        <w:t>o</w:t>
      </w:r>
      <w:r w:rsidR="000556EF" w:rsidRPr="000556EF">
        <w:rPr>
          <w:rFonts w:cs="Times New Roman"/>
          <w:color w:val="000000" w:themeColor="text1"/>
          <w:szCs w:val="24"/>
        </w:rPr>
        <w:t xml:space="preserve"> zbiorowego inwestowania w zbywalne papiery wartościowe</w:t>
      </w:r>
      <w:r w:rsidR="000556EF">
        <w:rPr>
          <w:rFonts w:cs="Times New Roman"/>
          <w:color w:val="000000" w:themeColor="text1"/>
          <w:szCs w:val="24"/>
        </w:rPr>
        <w:t>,</w:t>
      </w:r>
      <w:r w:rsidR="000556EF" w:rsidRPr="000556EF">
        <w:rPr>
          <w:rFonts w:cs="Times New Roman"/>
          <w:color w:val="000000" w:themeColor="text1"/>
          <w:szCs w:val="24"/>
        </w:rPr>
        <w:t xml:space="preserve"> </w:t>
      </w:r>
      <w:r w:rsidR="000556EF">
        <w:rPr>
          <w:rFonts w:cs="Times New Roman"/>
          <w:color w:val="000000" w:themeColor="text1"/>
          <w:szCs w:val="24"/>
        </w:rPr>
        <w:t>zwane dalej „</w:t>
      </w:r>
      <w:r w:rsidRPr="007D3F15">
        <w:rPr>
          <w:rFonts w:cs="Times New Roman"/>
          <w:color w:val="000000" w:themeColor="text1"/>
          <w:szCs w:val="24"/>
        </w:rPr>
        <w:t>UCITS</w:t>
      </w:r>
      <w:r w:rsidR="000556EF">
        <w:rPr>
          <w:rFonts w:cs="Times New Roman"/>
          <w:color w:val="000000" w:themeColor="text1"/>
          <w:szCs w:val="24"/>
        </w:rPr>
        <w:t>”</w:t>
      </w:r>
      <w:r w:rsidRPr="007D3F15">
        <w:rPr>
          <w:rFonts w:cs="Times New Roman"/>
          <w:color w:val="000000" w:themeColor="text1"/>
          <w:szCs w:val="24"/>
        </w:rPr>
        <w:t>, których zamiar dystrybuowania na</w:t>
      </w:r>
      <w:r w:rsidRPr="007D3F15">
        <w:rPr>
          <w:rFonts w:cs="Times New Roman"/>
          <w:szCs w:val="24"/>
        </w:rPr>
        <w:t xml:space="preserve"> </w:t>
      </w:r>
      <w:r w:rsidRPr="007D3F15">
        <w:rPr>
          <w:rFonts w:cs="Times New Roman"/>
          <w:color w:val="000000" w:themeColor="text1"/>
          <w:szCs w:val="24"/>
        </w:rPr>
        <w:t>terytorium Polski został odpowiednio notyfikowany KNF. Zgodnie ze znowelizowaną ustawą analogiczną opłatą objęte zostaną również zagraniczne alternatywne fundusze inwestycyjne</w:t>
      </w:r>
      <w:r w:rsidR="00966934">
        <w:rPr>
          <w:rFonts w:cs="Times New Roman"/>
          <w:color w:val="000000" w:themeColor="text1"/>
          <w:szCs w:val="24"/>
        </w:rPr>
        <w:t>, zwane dalej</w:t>
      </w:r>
      <w:r w:rsidRPr="007D3F15">
        <w:rPr>
          <w:rFonts w:cs="Times New Roman"/>
          <w:color w:val="000000" w:themeColor="text1"/>
          <w:szCs w:val="24"/>
        </w:rPr>
        <w:t xml:space="preserve"> </w:t>
      </w:r>
      <w:r w:rsidR="00966934">
        <w:rPr>
          <w:rFonts w:cs="Times New Roman"/>
          <w:color w:val="000000" w:themeColor="text1"/>
          <w:szCs w:val="24"/>
        </w:rPr>
        <w:t>„</w:t>
      </w:r>
      <w:r w:rsidRPr="007D3F15">
        <w:rPr>
          <w:rFonts w:cs="Times New Roman"/>
          <w:color w:val="000000" w:themeColor="text1"/>
          <w:szCs w:val="24"/>
        </w:rPr>
        <w:t>AFI</w:t>
      </w:r>
      <w:r w:rsidR="00966934">
        <w:rPr>
          <w:rFonts w:cs="Times New Roman"/>
          <w:color w:val="000000" w:themeColor="text1"/>
          <w:szCs w:val="24"/>
        </w:rPr>
        <w:t>”</w:t>
      </w:r>
      <w:r w:rsidRPr="007D3F15">
        <w:rPr>
          <w:rFonts w:cs="Times New Roman"/>
          <w:color w:val="000000" w:themeColor="text1"/>
          <w:szCs w:val="24"/>
        </w:rPr>
        <w:t>. Ponadto, zarówno w przypadku UCITS oraz AFI, wprowadzone zostały:</w:t>
      </w:r>
    </w:p>
    <w:p w14:paraId="67C793AE" w14:textId="0659FC90" w:rsidR="00F806FA" w:rsidRPr="00B16E46" w:rsidRDefault="00F806FA" w:rsidP="00B16E46">
      <w:pPr>
        <w:pStyle w:val="Akapitzlist"/>
        <w:numPr>
          <w:ilvl w:val="0"/>
          <w:numId w:val="2"/>
        </w:numPr>
        <w:spacing w:after="120"/>
        <w:ind w:left="357" w:hanging="357"/>
        <w:rPr>
          <w:rFonts w:cs="Times New Roman"/>
          <w:color w:val="000000" w:themeColor="text1"/>
          <w:szCs w:val="24"/>
        </w:rPr>
      </w:pPr>
      <w:r w:rsidRPr="00B16E46">
        <w:rPr>
          <w:rFonts w:cs="Times New Roman"/>
          <w:color w:val="000000" w:themeColor="text1"/>
          <w:szCs w:val="24"/>
        </w:rPr>
        <w:t>opłaty za wpis do rejestru prowadzonego przez KNF kolejnych subfunduszy, objętych zamiarem dystrybuowania w Polsce, wydzielonych w już uprzednio notyfikowanych funduszach,</w:t>
      </w:r>
    </w:p>
    <w:p w14:paraId="6519DD23" w14:textId="453AE34C" w:rsidR="00F806FA" w:rsidRPr="00B16E46" w:rsidRDefault="00F806FA" w:rsidP="00B16E46">
      <w:pPr>
        <w:pStyle w:val="Akapitzlist"/>
        <w:numPr>
          <w:ilvl w:val="0"/>
          <w:numId w:val="2"/>
        </w:numPr>
        <w:spacing w:before="120" w:after="120"/>
        <w:ind w:left="357" w:hanging="357"/>
        <w:rPr>
          <w:rFonts w:cs="Times New Roman"/>
          <w:color w:val="000000" w:themeColor="text1"/>
          <w:szCs w:val="24"/>
        </w:rPr>
      </w:pPr>
      <w:r w:rsidRPr="00B16E46">
        <w:rPr>
          <w:rFonts w:cs="Times New Roman"/>
          <w:color w:val="000000" w:themeColor="text1"/>
          <w:szCs w:val="24"/>
        </w:rPr>
        <w:t>opłaty roczne w przypadku funduszy i subfunduszy wpisanych do rejestru prowadzonego przez KNF, w związku z notyfikowaniem zamiaru ich dystrybucji na terytorium Rzeczypospolitej Polskiej.</w:t>
      </w:r>
    </w:p>
    <w:p w14:paraId="019F972D" w14:textId="0EB61741" w:rsidR="001F5CFD" w:rsidRPr="001F5CFD" w:rsidRDefault="005D5308" w:rsidP="001F5CFD">
      <w:pPr>
        <w:rPr>
          <w:rFonts w:cs="Times New Roman"/>
          <w:color w:val="000000" w:themeColor="text1"/>
          <w:szCs w:val="24"/>
        </w:rPr>
      </w:pPr>
      <w:r w:rsidRPr="007D3F15">
        <w:rPr>
          <w:rFonts w:cs="Times New Roman"/>
          <w:color w:val="000000" w:themeColor="text1"/>
          <w:szCs w:val="24"/>
        </w:rPr>
        <w:t xml:space="preserve">Proponowane </w:t>
      </w:r>
      <w:r w:rsidR="002A51EE">
        <w:rPr>
          <w:rFonts w:cs="Times New Roman"/>
          <w:color w:val="000000" w:themeColor="text1"/>
          <w:szCs w:val="24"/>
        </w:rPr>
        <w:t>w nowelizacji r</w:t>
      </w:r>
      <w:r w:rsidRPr="007D3F15">
        <w:rPr>
          <w:rFonts w:cs="Times New Roman"/>
          <w:color w:val="000000" w:themeColor="text1"/>
          <w:szCs w:val="24"/>
        </w:rPr>
        <w:t xml:space="preserve">ozporządzenia </w:t>
      </w:r>
      <w:r>
        <w:rPr>
          <w:rFonts w:cs="Times New Roman"/>
          <w:color w:val="000000" w:themeColor="text1"/>
          <w:szCs w:val="24"/>
        </w:rPr>
        <w:t xml:space="preserve">zmiany wynikają także z potrzeby </w:t>
      </w:r>
      <w:r>
        <w:rPr>
          <w:color w:val="000000" w:themeColor="text1"/>
        </w:rPr>
        <w:t>uproszczenia sposobu</w:t>
      </w:r>
      <w:r w:rsidRPr="00F05DA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podziału opłat jednorazowych wniesionych </w:t>
      </w:r>
      <w:r w:rsidRPr="00F05DA3">
        <w:rPr>
          <w:color w:val="000000" w:themeColor="text1"/>
        </w:rPr>
        <w:t>w poprzednim roku kalendarzo</w:t>
      </w:r>
      <w:r>
        <w:rPr>
          <w:color w:val="000000" w:themeColor="text1"/>
        </w:rPr>
        <w:t xml:space="preserve">wym do Urzędu </w:t>
      </w:r>
      <w:r w:rsidR="00236AEF">
        <w:rPr>
          <w:color w:val="000000" w:themeColor="text1"/>
        </w:rPr>
        <w:t>KNF</w:t>
      </w:r>
      <w:r>
        <w:rPr>
          <w:color w:val="000000" w:themeColor="text1"/>
        </w:rPr>
        <w:t xml:space="preserve"> przez podmioty nadzorowane, przez proporcjonalne uwzględnienie </w:t>
      </w:r>
      <w:r w:rsidR="00C63123">
        <w:rPr>
          <w:color w:val="000000" w:themeColor="text1"/>
        </w:rPr>
        <w:t xml:space="preserve">wartości tych opłat w </w:t>
      </w:r>
      <w:r w:rsidR="00C63123" w:rsidRPr="00C63123">
        <w:rPr>
          <w:color w:val="000000" w:themeColor="text1"/>
        </w:rPr>
        <w:t xml:space="preserve">planowanych kosztach nadzoru netto w danym roku kalendarzowym </w:t>
      </w:r>
      <w:r w:rsidR="00C63123">
        <w:rPr>
          <w:color w:val="000000" w:themeColor="text1"/>
        </w:rPr>
        <w:t xml:space="preserve">w podziale na poszczególne </w:t>
      </w:r>
      <w:r w:rsidRPr="00762BB7">
        <w:rPr>
          <w:color w:val="000000" w:themeColor="text1"/>
        </w:rPr>
        <w:t>grupy</w:t>
      </w:r>
      <w:r w:rsidRPr="007D3F15">
        <w:rPr>
          <w:rFonts w:cs="Times New Roman"/>
          <w:color w:val="000000" w:themeColor="text1"/>
          <w:szCs w:val="24"/>
        </w:rPr>
        <w:t>.</w:t>
      </w:r>
      <w:r>
        <w:rPr>
          <w:rFonts w:cs="Times New Roman"/>
          <w:color w:val="000000" w:themeColor="text1"/>
          <w:szCs w:val="24"/>
        </w:rPr>
        <w:t xml:space="preserve"> </w:t>
      </w:r>
    </w:p>
    <w:p w14:paraId="4A0A189C" w14:textId="62D56934" w:rsidR="00637726" w:rsidRPr="007D3F15" w:rsidRDefault="00317FF0" w:rsidP="00A01B05">
      <w:pPr>
        <w:spacing w:before="120" w:after="120"/>
        <w:rPr>
          <w:rFonts w:cs="Times New Roman"/>
          <w:szCs w:val="24"/>
        </w:rPr>
      </w:pPr>
      <w:r w:rsidRPr="007D3F15">
        <w:rPr>
          <w:rFonts w:cs="Times New Roman"/>
          <w:b/>
          <w:szCs w:val="24"/>
        </w:rPr>
        <w:t>§</w:t>
      </w:r>
      <w:r w:rsidR="00E130C5" w:rsidRPr="007D3F15">
        <w:rPr>
          <w:rFonts w:cs="Times New Roman"/>
          <w:b/>
          <w:szCs w:val="24"/>
        </w:rPr>
        <w:t> </w:t>
      </w:r>
      <w:r w:rsidRPr="007D3F15">
        <w:rPr>
          <w:rFonts w:cs="Times New Roman"/>
          <w:b/>
          <w:szCs w:val="24"/>
        </w:rPr>
        <w:t>1</w:t>
      </w:r>
      <w:r w:rsidR="00A22B9A" w:rsidRPr="007D3F15">
        <w:rPr>
          <w:rFonts w:cs="Times New Roman"/>
          <w:szCs w:val="24"/>
        </w:rPr>
        <w:t xml:space="preserve"> </w:t>
      </w:r>
      <w:r w:rsidR="004F4230" w:rsidRPr="00B45CBF">
        <w:rPr>
          <w:rFonts w:cs="Times New Roman"/>
          <w:b/>
          <w:szCs w:val="24"/>
        </w:rPr>
        <w:t xml:space="preserve">pkt 1 </w:t>
      </w:r>
      <w:r w:rsidR="00BF5738">
        <w:rPr>
          <w:rFonts w:cs="Times New Roman"/>
          <w:b/>
          <w:szCs w:val="24"/>
        </w:rPr>
        <w:t>projektu rozporządzenia</w:t>
      </w:r>
      <w:r w:rsidR="00BF5738" w:rsidRPr="007D3F15">
        <w:rPr>
          <w:rFonts w:cs="Times New Roman"/>
          <w:szCs w:val="24"/>
        </w:rPr>
        <w:t xml:space="preserve"> </w:t>
      </w:r>
      <w:r w:rsidR="007D1C7F">
        <w:rPr>
          <w:rFonts w:cs="Times New Roman"/>
          <w:szCs w:val="24"/>
        </w:rPr>
        <w:t>wprowadza</w:t>
      </w:r>
      <w:r w:rsidR="007D1C7F" w:rsidRPr="007D3F15">
        <w:rPr>
          <w:rFonts w:cs="Times New Roman"/>
          <w:szCs w:val="24"/>
        </w:rPr>
        <w:t xml:space="preserve"> zmian</w:t>
      </w:r>
      <w:r w:rsidR="007D1C7F">
        <w:rPr>
          <w:rFonts w:cs="Times New Roman"/>
          <w:szCs w:val="24"/>
        </w:rPr>
        <w:t>y</w:t>
      </w:r>
      <w:r w:rsidR="007D1C7F" w:rsidRPr="007D3F15">
        <w:rPr>
          <w:rFonts w:cs="Times New Roman"/>
          <w:szCs w:val="24"/>
        </w:rPr>
        <w:t xml:space="preserve"> </w:t>
      </w:r>
      <w:r w:rsidR="009305B8" w:rsidRPr="007D3F15">
        <w:rPr>
          <w:rFonts w:cs="Times New Roman"/>
          <w:szCs w:val="24"/>
        </w:rPr>
        <w:t xml:space="preserve">w </w:t>
      </w:r>
      <w:r w:rsidR="00FD38A4">
        <w:rPr>
          <w:rFonts w:cs="Times New Roman"/>
          <w:szCs w:val="24"/>
        </w:rPr>
        <w:t xml:space="preserve">zakresie przedmiotowym </w:t>
      </w:r>
      <w:r w:rsidR="002A51EE">
        <w:rPr>
          <w:rFonts w:cs="Times New Roman"/>
          <w:szCs w:val="24"/>
        </w:rPr>
        <w:t>r</w:t>
      </w:r>
      <w:r w:rsidR="00D1269A">
        <w:rPr>
          <w:rFonts w:cs="Times New Roman"/>
          <w:szCs w:val="24"/>
        </w:rPr>
        <w:t>ozporządzenia</w:t>
      </w:r>
      <w:r w:rsidR="0069066E">
        <w:rPr>
          <w:rFonts w:cs="Times New Roman"/>
          <w:szCs w:val="24"/>
        </w:rPr>
        <w:t xml:space="preserve">. Zgodnie z </w:t>
      </w:r>
      <w:r w:rsidR="00FD38A4">
        <w:rPr>
          <w:rFonts w:cs="Times New Roman"/>
          <w:szCs w:val="24"/>
        </w:rPr>
        <w:t>projektowanym</w:t>
      </w:r>
      <w:r w:rsidR="002A51EE">
        <w:rPr>
          <w:rFonts w:cs="Times New Roman"/>
          <w:szCs w:val="24"/>
        </w:rPr>
        <w:t>i zmianami zakres przedmiotowy r</w:t>
      </w:r>
      <w:r w:rsidR="00FD38A4">
        <w:rPr>
          <w:rFonts w:cs="Times New Roman"/>
          <w:szCs w:val="24"/>
        </w:rPr>
        <w:t xml:space="preserve">ozporządzenia po wejściu w życie projektowanej nowelizacji </w:t>
      </w:r>
      <w:r w:rsidR="0069066E">
        <w:rPr>
          <w:rFonts w:cs="Times New Roman"/>
          <w:szCs w:val="24"/>
        </w:rPr>
        <w:t xml:space="preserve">obejmie określanie </w:t>
      </w:r>
      <w:r w:rsidR="0069066E" w:rsidRPr="0069066E">
        <w:rPr>
          <w:rFonts w:cs="Times New Roman"/>
          <w:szCs w:val="24"/>
        </w:rPr>
        <w:t>wysokoś</w:t>
      </w:r>
      <w:r w:rsidR="0069066E">
        <w:rPr>
          <w:rFonts w:cs="Times New Roman"/>
          <w:szCs w:val="24"/>
        </w:rPr>
        <w:t>ci oraz sposobu</w:t>
      </w:r>
      <w:r w:rsidR="002A51EE">
        <w:rPr>
          <w:rFonts w:cs="Times New Roman"/>
          <w:szCs w:val="24"/>
        </w:rPr>
        <w:t xml:space="preserve"> i </w:t>
      </w:r>
      <w:r w:rsidR="0069066E" w:rsidRPr="0069066E">
        <w:rPr>
          <w:rFonts w:cs="Times New Roman"/>
          <w:szCs w:val="24"/>
        </w:rPr>
        <w:t>termin</w:t>
      </w:r>
      <w:r w:rsidR="0069066E">
        <w:rPr>
          <w:rFonts w:cs="Times New Roman"/>
          <w:szCs w:val="24"/>
        </w:rPr>
        <w:t>u</w:t>
      </w:r>
      <w:r w:rsidR="0069066E" w:rsidRPr="0069066E">
        <w:rPr>
          <w:rFonts w:cs="Times New Roman"/>
          <w:szCs w:val="24"/>
        </w:rPr>
        <w:t xml:space="preserve"> uiszczania opłat za</w:t>
      </w:r>
      <w:r w:rsidR="0069066E">
        <w:rPr>
          <w:rFonts w:cs="Times New Roman"/>
          <w:szCs w:val="24"/>
        </w:rPr>
        <w:t xml:space="preserve"> </w:t>
      </w:r>
      <w:r w:rsidR="007D1C7F">
        <w:rPr>
          <w:rFonts w:cs="Times New Roman"/>
          <w:szCs w:val="24"/>
        </w:rPr>
        <w:t xml:space="preserve">dokonanie wpisu do rejestru </w:t>
      </w:r>
      <w:r w:rsidR="007D1C7F" w:rsidRPr="007D1C7F">
        <w:rPr>
          <w:rFonts w:cs="Times New Roman"/>
          <w:szCs w:val="24"/>
        </w:rPr>
        <w:t xml:space="preserve">unijnych AFI oraz alternatywnych funduszy inwestycyjnych z siedzibą w państwie należącym do </w:t>
      </w:r>
      <w:r w:rsidR="00D461DA">
        <w:rPr>
          <w:rFonts w:cs="Times New Roman"/>
          <w:szCs w:val="24"/>
        </w:rPr>
        <w:t>Europejskiego Obszaru Gospodarczego, zwanego dalej „</w:t>
      </w:r>
      <w:r w:rsidR="007D1C7F" w:rsidRPr="007D1C7F">
        <w:rPr>
          <w:rFonts w:cs="Times New Roman"/>
          <w:szCs w:val="24"/>
        </w:rPr>
        <w:t>EEA</w:t>
      </w:r>
      <w:r w:rsidR="00D461DA">
        <w:rPr>
          <w:rFonts w:cs="Times New Roman"/>
          <w:szCs w:val="24"/>
        </w:rPr>
        <w:t>”</w:t>
      </w:r>
      <w:r w:rsidR="007D1C7F" w:rsidRPr="007D1C7F">
        <w:rPr>
          <w:rFonts w:cs="Times New Roman"/>
          <w:szCs w:val="24"/>
        </w:rPr>
        <w:t>, które są wprowadzone do obrotu na terytorium Rzeczypospolitej Polskiej</w:t>
      </w:r>
      <w:r w:rsidR="00FD38A4">
        <w:rPr>
          <w:rFonts w:cs="Times New Roman"/>
          <w:szCs w:val="24"/>
        </w:rPr>
        <w:t xml:space="preserve">. Dodatkowo zakres przedmiotowy rozporządzenia obejmie także kwestie wysokości </w:t>
      </w:r>
      <w:r w:rsidR="0069066E">
        <w:rPr>
          <w:rFonts w:cs="Times New Roman"/>
          <w:szCs w:val="24"/>
        </w:rPr>
        <w:t>opłat</w:t>
      </w:r>
      <w:r w:rsidR="0069066E" w:rsidRPr="0069066E">
        <w:rPr>
          <w:rFonts w:cs="Times New Roman"/>
          <w:szCs w:val="24"/>
        </w:rPr>
        <w:t>, o k</w:t>
      </w:r>
      <w:r w:rsidR="007D1C7F">
        <w:rPr>
          <w:rFonts w:cs="Times New Roman"/>
          <w:szCs w:val="24"/>
        </w:rPr>
        <w:t>tórych mowa w art. 236 ust. 2i</w:t>
      </w:r>
      <w:r w:rsidR="00FD38A4">
        <w:rPr>
          <w:rFonts w:cs="Times New Roman"/>
          <w:szCs w:val="24"/>
        </w:rPr>
        <w:t xml:space="preserve"> i </w:t>
      </w:r>
      <w:r w:rsidR="0069066E" w:rsidRPr="0069066E">
        <w:rPr>
          <w:rFonts w:cs="Times New Roman"/>
          <w:szCs w:val="24"/>
        </w:rPr>
        <w:t>2j ustawy o funduszach</w:t>
      </w:r>
      <w:r w:rsidR="00FD38A4">
        <w:rPr>
          <w:rFonts w:cs="Times New Roman"/>
          <w:szCs w:val="24"/>
        </w:rPr>
        <w:t>, a także sposobu i terminu ich uiszczania</w:t>
      </w:r>
      <w:r w:rsidR="0064784B">
        <w:rPr>
          <w:rFonts w:cs="Times New Roman"/>
          <w:szCs w:val="24"/>
        </w:rPr>
        <w:t>.</w:t>
      </w:r>
      <w:r w:rsidR="004F4230" w:rsidRPr="007D3F15">
        <w:rPr>
          <w:rFonts w:cs="Times New Roman"/>
          <w:szCs w:val="24"/>
        </w:rPr>
        <w:t xml:space="preserve"> </w:t>
      </w:r>
      <w:r w:rsidR="0064784B">
        <w:rPr>
          <w:rFonts w:cs="Times New Roman"/>
          <w:szCs w:val="24"/>
        </w:rPr>
        <w:t xml:space="preserve">Zmiany </w:t>
      </w:r>
      <w:r w:rsidR="00FD38A4">
        <w:rPr>
          <w:rFonts w:cs="Times New Roman"/>
          <w:szCs w:val="24"/>
        </w:rPr>
        <w:t xml:space="preserve">te </w:t>
      </w:r>
      <w:r w:rsidR="0064784B">
        <w:rPr>
          <w:rFonts w:cs="Times New Roman"/>
          <w:szCs w:val="24"/>
        </w:rPr>
        <w:t>są</w:t>
      </w:r>
      <w:r w:rsidR="00156DE5" w:rsidRPr="007D3F15">
        <w:rPr>
          <w:rFonts w:cs="Times New Roman"/>
          <w:color w:val="000000" w:themeColor="text1"/>
          <w:szCs w:val="24"/>
        </w:rPr>
        <w:t xml:space="preserve"> konsekwencją wprowadzenia nowych opłat powiązanych z działalnością transgraniczną instytucji zbiorowego inwestowania</w:t>
      </w:r>
      <w:r w:rsidR="00FD38A4">
        <w:rPr>
          <w:rFonts w:cs="Times New Roman"/>
          <w:color w:val="000000" w:themeColor="text1"/>
          <w:szCs w:val="24"/>
        </w:rPr>
        <w:t xml:space="preserve"> na podstawie art. 1 pkt 5 ustawy</w:t>
      </w:r>
      <w:r w:rsidR="00FD38A4" w:rsidRPr="00FD38A4">
        <w:rPr>
          <w:rFonts w:cs="Times New Roman"/>
          <w:color w:val="000000" w:themeColor="text1"/>
          <w:szCs w:val="24"/>
        </w:rPr>
        <w:t xml:space="preserve"> z dnia 23 lipca 2021 r. o zmianie ustawy o funduszach inwestycyjnych </w:t>
      </w:r>
      <w:r w:rsidR="00FD38A4" w:rsidRPr="00FD38A4">
        <w:rPr>
          <w:rFonts w:cs="Times New Roman"/>
          <w:color w:val="000000" w:themeColor="text1"/>
          <w:szCs w:val="24"/>
        </w:rPr>
        <w:lastRenderedPageBreak/>
        <w:t>i</w:t>
      </w:r>
      <w:r w:rsidR="002A51EE">
        <w:rPr>
          <w:rFonts w:cs="Times New Roman"/>
          <w:color w:val="000000" w:themeColor="text1"/>
          <w:szCs w:val="24"/>
        </w:rPr>
        <w:t> </w:t>
      </w:r>
      <w:r w:rsidR="00FD38A4" w:rsidRPr="00FD38A4">
        <w:rPr>
          <w:rFonts w:cs="Times New Roman"/>
          <w:color w:val="000000" w:themeColor="text1"/>
          <w:szCs w:val="24"/>
        </w:rPr>
        <w:t>zarządzaniu alternatywnymi funduszami inwestycyjnymi oraz niektórych innych ustaw</w:t>
      </w:r>
      <w:r w:rsidR="0064784B">
        <w:rPr>
          <w:rFonts w:cs="Times New Roman"/>
          <w:szCs w:val="24"/>
        </w:rPr>
        <w:t>.</w:t>
      </w:r>
    </w:p>
    <w:p w14:paraId="189093B0" w14:textId="369B8BE0" w:rsidR="00A01B05" w:rsidRPr="00A01B05" w:rsidRDefault="00D335BE" w:rsidP="00ED306E">
      <w:pPr>
        <w:spacing w:before="120" w:after="120"/>
        <w:rPr>
          <w:rFonts w:cs="Times New Roman"/>
          <w:szCs w:val="24"/>
        </w:rPr>
      </w:pPr>
      <w:r>
        <w:rPr>
          <w:rFonts w:cs="Times New Roman"/>
          <w:color w:val="000000" w:themeColor="text1"/>
          <w:szCs w:val="24"/>
        </w:rPr>
        <w:t>Celem zmian projektowanych w</w:t>
      </w:r>
      <w:r w:rsidR="00E10E38" w:rsidRPr="007D3F15">
        <w:rPr>
          <w:rFonts w:cs="Times New Roman"/>
          <w:color w:val="000000" w:themeColor="text1"/>
          <w:szCs w:val="24"/>
        </w:rPr>
        <w:t xml:space="preserve"> </w:t>
      </w:r>
      <w:r w:rsidR="00E10E38" w:rsidRPr="007D3F15">
        <w:rPr>
          <w:rFonts w:cs="Times New Roman"/>
          <w:b/>
          <w:szCs w:val="24"/>
        </w:rPr>
        <w:t>§ 1</w:t>
      </w:r>
      <w:r w:rsidR="00E10E38" w:rsidRPr="007D3F15">
        <w:rPr>
          <w:rFonts w:cs="Times New Roman"/>
          <w:szCs w:val="24"/>
        </w:rPr>
        <w:t xml:space="preserve"> </w:t>
      </w:r>
      <w:r w:rsidRPr="00B16E46">
        <w:rPr>
          <w:rFonts w:cs="Times New Roman"/>
          <w:b/>
          <w:szCs w:val="24"/>
        </w:rPr>
        <w:t>w</w:t>
      </w:r>
      <w:r>
        <w:rPr>
          <w:rFonts w:cs="Times New Roman"/>
          <w:szCs w:val="24"/>
        </w:rPr>
        <w:t xml:space="preserve"> </w:t>
      </w:r>
      <w:r w:rsidR="00E10E38" w:rsidRPr="00B45CBF">
        <w:rPr>
          <w:rFonts w:cs="Times New Roman"/>
          <w:b/>
          <w:szCs w:val="24"/>
        </w:rPr>
        <w:t xml:space="preserve">pkt 2 </w:t>
      </w:r>
      <w:r>
        <w:rPr>
          <w:rFonts w:cs="Times New Roman"/>
          <w:b/>
          <w:szCs w:val="24"/>
        </w:rPr>
        <w:t xml:space="preserve">i </w:t>
      </w:r>
      <w:r w:rsidR="00BE132B" w:rsidRPr="00B45CBF">
        <w:rPr>
          <w:rFonts w:cs="Times New Roman"/>
          <w:b/>
          <w:szCs w:val="24"/>
        </w:rPr>
        <w:t xml:space="preserve">7 </w:t>
      </w:r>
      <w:r w:rsidR="00BF5738">
        <w:rPr>
          <w:rFonts w:cs="Times New Roman"/>
          <w:b/>
          <w:szCs w:val="24"/>
        </w:rPr>
        <w:t>projektu rozporządzenia</w:t>
      </w:r>
      <w:r>
        <w:rPr>
          <w:rFonts w:cs="Times New Roman"/>
          <w:b/>
          <w:szCs w:val="24"/>
        </w:rPr>
        <w:t xml:space="preserve"> </w:t>
      </w:r>
      <w:r w:rsidRPr="00B16E46">
        <w:rPr>
          <w:rFonts w:cs="Times New Roman"/>
          <w:szCs w:val="24"/>
        </w:rPr>
        <w:t>jest</w:t>
      </w:r>
      <w:r>
        <w:rPr>
          <w:rFonts w:cs="Times New Roman"/>
          <w:b/>
          <w:szCs w:val="24"/>
        </w:rPr>
        <w:t xml:space="preserve"> </w:t>
      </w:r>
      <w:r w:rsidR="00BE132B">
        <w:rPr>
          <w:rFonts w:cs="Times New Roman"/>
          <w:szCs w:val="24"/>
        </w:rPr>
        <w:t xml:space="preserve">dostosowanie </w:t>
      </w:r>
      <w:r>
        <w:rPr>
          <w:rFonts w:cs="Times New Roman"/>
          <w:szCs w:val="24"/>
        </w:rPr>
        <w:t xml:space="preserve">regulacji do aktualnego stanu prawnego. </w:t>
      </w:r>
      <w:r w:rsidR="00A01B05" w:rsidRPr="00A01B05">
        <w:rPr>
          <w:rFonts w:cs="Times New Roman"/>
          <w:szCs w:val="24"/>
        </w:rPr>
        <w:t>Działalność po</w:t>
      </w:r>
      <w:r w:rsidR="002A51EE">
        <w:rPr>
          <w:rFonts w:cs="Times New Roman"/>
          <w:szCs w:val="24"/>
        </w:rPr>
        <w:t>legająca na świadczeniu usług w </w:t>
      </w:r>
      <w:r w:rsidR="00A01B05" w:rsidRPr="00A01B05">
        <w:rPr>
          <w:rFonts w:cs="Times New Roman"/>
          <w:szCs w:val="24"/>
        </w:rPr>
        <w:t>zakresie udostępniania informacji o transakcjach to dział</w:t>
      </w:r>
      <w:r w:rsidR="002A51EE">
        <w:rPr>
          <w:rFonts w:cs="Times New Roman"/>
          <w:szCs w:val="24"/>
        </w:rPr>
        <w:t>alność gospodarcza prowadzona w </w:t>
      </w:r>
      <w:r w:rsidR="00A01B05" w:rsidRPr="00A01B05">
        <w:rPr>
          <w:rFonts w:cs="Times New Roman"/>
          <w:szCs w:val="24"/>
        </w:rPr>
        <w:t xml:space="preserve">co najmniej jednej spośród </w:t>
      </w:r>
      <w:r w:rsidR="002336F0">
        <w:rPr>
          <w:rFonts w:cs="Times New Roman"/>
          <w:szCs w:val="24"/>
        </w:rPr>
        <w:t>trzech</w:t>
      </w:r>
      <w:r w:rsidR="002336F0" w:rsidRPr="00A01B05">
        <w:rPr>
          <w:rFonts w:cs="Times New Roman"/>
          <w:szCs w:val="24"/>
        </w:rPr>
        <w:t xml:space="preserve"> </w:t>
      </w:r>
      <w:r w:rsidR="00A01B05" w:rsidRPr="00A01B05">
        <w:rPr>
          <w:rFonts w:cs="Times New Roman"/>
          <w:szCs w:val="24"/>
        </w:rPr>
        <w:t>następujących form: jako zatwierdzony podmiot publikujący, zatwierdzony mechanizm sprawozdawczy lub dostawca informacji skonsolidowanych. Dotychczas prowadzący ww. działalności uzyskiwali zezwolenia oraz byli nadzorowani przez krajowe organy nadzoru. Ustawą z dnia 21 stycznia 2021 r. o zmianie ustawy o obrocie instrumentami finansowymi oraz niektórych innych ustaw (Dz. U. poz. 355)</w:t>
      </w:r>
      <w:r w:rsidR="0062782A">
        <w:rPr>
          <w:rFonts w:cs="Times New Roman"/>
          <w:szCs w:val="24"/>
        </w:rPr>
        <w:t>,</w:t>
      </w:r>
      <w:r w:rsidR="00A01B05" w:rsidRPr="00A01B05">
        <w:rPr>
          <w:rFonts w:cs="Times New Roman"/>
          <w:szCs w:val="24"/>
        </w:rPr>
        <w:t xml:space="preserve"> implementującą regulacje unijne</w:t>
      </w:r>
      <w:r w:rsidR="002336F0">
        <w:rPr>
          <w:rFonts w:cs="Times New Roman"/>
          <w:szCs w:val="24"/>
        </w:rPr>
        <w:t>,</w:t>
      </w:r>
      <w:r w:rsidR="00A01B05" w:rsidRPr="00A01B05">
        <w:rPr>
          <w:rFonts w:cs="Times New Roman"/>
          <w:szCs w:val="24"/>
        </w:rPr>
        <w:t xml:space="preserve"> wprowadzone zostały rozwiązania polegające na przeniesieniu uprawnień do udzielania zezwoleń</w:t>
      </w:r>
      <w:r w:rsidR="0023338D">
        <w:rPr>
          <w:rFonts w:cs="Times New Roman"/>
          <w:szCs w:val="24"/>
        </w:rPr>
        <w:t xml:space="preserve"> </w:t>
      </w:r>
      <w:r w:rsidR="00ED306E">
        <w:rPr>
          <w:rFonts w:cs="Times New Roman"/>
          <w:szCs w:val="24"/>
        </w:rPr>
        <w:t xml:space="preserve">na prowadzenie działalności </w:t>
      </w:r>
      <w:r w:rsidR="00ED306E" w:rsidRPr="00A01B05">
        <w:rPr>
          <w:rFonts w:cs="Times New Roman"/>
          <w:szCs w:val="24"/>
        </w:rPr>
        <w:t xml:space="preserve">jako zatwierdzony podmiot publikujący, zatwierdzony mechanizm sprawozdawczy lub dostawca informacji skonsolidowanych </w:t>
      </w:r>
      <w:r w:rsidR="00A01B05" w:rsidRPr="00A01B05">
        <w:rPr>
          <w:rFonts w:cs="Times New Roman"/>
          <w:szCs w:val="24"/>
        </w:rPr>
        <w:t xml:space="preserve">oraz </w:t>
      </w:r>
      <w:r w:rsidR="00ED306E">
        <w:rPr>
          <w:rFonts w:cs="Times New Roman"/>
          <w:szCs w:val="24"/>
        </w:rPr>
        <w:t>sprawowaniu</w:t>
      </w:r>
      <w:r w:rsidR="00951434">
        <w:rPr>
          <w:rFonts w:cs="Times New Roman"/>
          <w:szCs w:val="24"/>
        </w:rPr>
        <w:t xml:space="preserve"> </w:t>
      </w:r>
      <w:r w:rsidR="00A01B05" w:rsidRPr="00A01B05">
        <w:rPr>
          <w:rFonts w:cs="Times New Roman"/>
          <w:szCs w:val="24"/>
        </w:rPr>
        <w:t>nadzoru nad</w:t>
      </w:r>
      <w:r w:rsidR="004E4DC8">
        <w:rPr>
          <w:rFonts w:cs="Times New Roman"/>
          <w:szCs w:val="24"/>
        </w:rPr>
        <w:t xml:space="preserve"> </w:t>
      </w:r>
      <w:r w:rsidR="00ED306E">
        <w:rPr>
          <w:rFonts w:cs="Times New Roman"/>
          <w:szCs w:val="24"/>
        </w:rPr>
        <w:t xml:space="preserve">ww. podmiotami </w:t>
      </w:r>
      <w:r w:rsidR="00A01B05" w:rsidRPr="00A01B05">
        <w:rPr>
          <w:rFonts w:cs="Times New Roman"/>
          <w:szCs w:val="24"/>
        </w:rPr>
        <w:t>z poziomu właściwych</w:t>
      </w:r>
      <w:r w:rsidR="00E8571F">
        <w:rPr>
          <w:rFonts w:cs="Times New Roman"/>
          <w:szCs w:val="24"/>
        </w:rPr>
        <w:t xml:space="preserve"> </w:t>
      </w:r>
      <w:r w:rsidR="00A01B05" w:rsidRPr="00A01B05">
        <w:rPr>
          <w:rFonts w:cs="Times New Roman"/>
          <w:szCs w:val="24"/>
        </w:rPr>
        <w:t>organów krajowych</w:t>
      </w:r>
      <w:r w:rsidR="004E4DC8">
        <w:rPr>
          <w:rFonts w:cs="Times New Roman"/>
          <w:szCs w:val="24"/>
        </w:rPr>
        <w:t xml:space="preserve"> nadzoru</w:t>
      </w:r>
      <w:r w:rsidR="00A01B05" w:rsidRPr="00A01B05">
        <w:rPr>
          <w:rFonts w:cs="Times New Roman"/>
          <w:szCs w:val="24"/>
        </w:rPr>
        <w:t xml:space="preserve"> do </w:t>
      </w:r>
      <w:r w:rsidR="00236AEF">
        <w:rPr>
          <w:rFonts w:cs="Times New Roman"/>
          <w:szCs w:val="24"/>
        </w:rPr>
        <w:t>Europejskiego Urzędu Nadzoru Giełd i Papierów Wartościowych, zwanego dalej „</w:t>
      </w:r>
      <w:r w:rsidR="00A01B05" w:rsidRPr="00A01B05">
        <w:rPr>
          <w:rFonts w:cs="Times New Roman"/>
          <w:szCs w:val="24"/>
        </w:rPr>
        <w:t>ESMA</w:t>
      </w:r>
      <w:r w:rsidR="00236AEF">
        <w:rPr>
          <w:rFonts w:cs="Times New Roman"/>
          <w:szCs w:val="24"/>
        </w:rPr>
        <w:t>”</w:t>
      </w:r>
      <w:r w:rsidR="00A01B05" w:rsidRPr="00A01B05">
        <w:rPr>
          <w:rFonts w:cs="Times New Roman"/>
          <w:szCs w:val="24"/>
        </w:rPr>
        <w:t xml:space="preserve">. </w:t>
      </w:r>
      <w:r w:rsidR="002A5F91">
        <w:rPr>
          <w:rFonts w:cs="Times New Roman"/>
          <w:szCs w:val="24"/>
        </w:rPr>
        <w:t>W zezwoleniu</w:t>
      </w:r>
      <w:r w:rsidR="0023338D">
        <w:rPr>
          <w:rFonts w:cs="Times New Roman"/>
          <w:szCs w:val="24"/>
        </w:rPr>
        <w:t>, o którym mowa powyżej</w:t>
      </w:r>
      <w:r w:rsidR="0023338D" w:rsidRPr="0023338D">
        <w:rPr>
          <w:rFonts w:cs="Times New Roman"/>
          <w:szCs w:val="24"/>
        </w:rPr>
        <w:t>, określa się usługi w zakresie udostępniania informacji, na których świadczenie zezwolono dostawcy usług w zakresie udostępniania informacji</w:t>
      </w:r>
      <w:r w:rsidR="0023338D">
        <w:rPr>
          <w:rFonts w:cs="Times New Roman"/>
          <w:szCs w:val="24"/>
        </w:rPr>
        <w:t>.</w:t>
      </w:r>
      <w:r w:rsidR="0023338D" w:rsidRPr="0023338D">
        <w:rPr>
          <w:rFonts w:cs="Times New Roman"/>
          <w:szCs w:val="24"/>
        </w:rPr>
        <w:t xml:space="preserve"> </w:t>
      </w:r>
      <w:r w:rsidR="00A01B05" w:rsidRPr="00A01B05">
        <w:rPr>
          <w:rFonts w:cs="Times New Roman"/>
          <w:szCs w:val="24"/>
        </w:rPr>
        <w:t xml:space="preserve">Wyjątkiem </w:t>
      </w:r>
      <w:r w:rsidR="00951434">
        <w:rPr>
          <w:rFonts w:cs="Times New Roman"/>
          <w:szCs w:val="24"/>
        </w:rPr>
        <w:t xml:space="preserve">od powyższego </w:t>
      </w:r>
      <w:r w:rsidR="00A01B05" w:rsidRPr="00A01B05">
        <w:rPr>
          <w:rFonts w:cs="Times New Roman"/>
          <w:szCs w:val="24"/>
        </w:rPr>
        <w:t xml:space="preserve">będą zatwierdzone podmioty publikujące </w:t>
      </w:r>
      <w:r w:rsidR="00951434">
        <w:rPr>
          <w:rFonts w:cs="Times New Roman"/>
          <w:szCs w:val="24"/>
        </w:rPr>
        <w:t>oraz</w:t>
      </w:r>
      <w:r w:rsidR="00951434" w:rsidRPr="00A01B05">
        <w:rPr>
          <w:rFonts w:cs="Times New Roman"/>
          <w:szCs w:val="24"/>
        </w:rPr>
        <w:t xml:space="preserve"> </w:t>
      </w:r>
      <w:r w:rsidR="00A01B05" w:rsidRPr="00A01B05">
        <w:rPr>
          <w:rFonts w:cs="Times New Roman"/>
          <w:szCs w:val="24"/>
        </w:rPr>
        <w:t>zatwierdzone mechanizmy sprawozdawcze, które z racji ich ograniczonego znaczenia dla rynku wewnętrznego zostały wyłączone spod bezpośredniego nadzoru ESMA.</w:t>
      </w:r>
      <w:r w:rsidR="00ED306E" w:rsidRPr="00ED306E">
        <w:rPr>
          <w:rFonts w:cs="Times New Roman"/>
          <w:szCs w:val="24"/>
        </w:rPr>
        <w:t xml:space="preserve"> </w:t>
      </w:r>
      <w:r w:rsidR="00A01B05" w:rsidRPr="00A01B05">
        <w:rPr>
          <w:rFonts w:cs="Times New Roman"/>
          <w:szCs w:val="24"/>
        </w:rPr>
        <w:t xml:space="preserve">Możliwość korzystania z odstępstwa polegającego na pozostaniu danego podmiotu pod nadzorem krajowego organu nadzoru (nadzór nie przejdzie na poziom ESMA) będzie uzależniona od spełnienia kryteriów służących identyfikacji tych podmiotów w akcie delegowanym wydanym przez Komisję Europejską. </w:t>
      </w:r>
      <w:r w:rsidR="00ED306E">
        <w:rPr>
          <w:rFonts w:cs="Times New Roman"/>
          <w:szCs w:val="24"/>
        </w:rPr>
        <w:t>Co do zasady zatwierdzone</w:t>
      </w:r>
      <w:r w:rsidR="00ED306E" w:rsidRPr="00A01B05">
        <w:rPr>
          <w:rFonts w:cs="Times New Roman"/>
          <w:szCs w:val="24"/>
        </w:rPr>
        <w:t xml:space="preserve"> podmiot</w:t>
      </w:r>
      <w:r w:rsidR="00ED306E">
        <w:rPr>
          <w:rFonts w:cs="Times New Roman"/>
          <w:szCs w:val="24"/>
        </w:rPr>
        <w:t>y publikujące, zatwierdzone</w:t>
      </w:r>
      <w:r w:rsidR="00ED306E" w:rsidRPr="00A01B05">
        <w:rPr>
          <w:rFonts w:cs="Times New Roman"/>
          <w:szCs w:val="24"/>
        </w:rPr>
        <w:t xml:space="preserve"> mechanizm</w:t>
      </w:r>
      <w:r w:rsidR="00ED306E">
        <w:rPr>
          <w:rFonts w:cs="Times New Roman"/>
          <w:szCs w:val="24"/>
        </w:rPr>
        <w:t>y sprawozdawcze oraz dostawcy</w:t>
      </w:r>
      <w:r w:rsidR="00ED306E" w:rsidRPr="00A01B05">
        <w:rPr>
          <w:rFonts w:cs="Times New Roman"/>
          <w:szCs w:val="24"/>
        </w:rPr>
        <w:t xml:space="preserve"> informacji skonsolidowanych</w:t>
      </w:r>
      <w:r w:rsidR="00ED306E">
        <w:rPr>
          <w:rFonts w:cs="Times New Roman"/>
          <w:szCs w:val="24"/>
        </w:rPr>
        <w:t xml:space="preserve"> będą od </w:t>
      </w:r>
      <w:r w:rsidR="002A51EE">
        <w:rPr>
          <w:rFonts w:cs="Times New Roman"/>
          <w:szCs w:val="24"/>
        </w:rPr>
        <w:t xml:space="preserve">dnia </w:t>
      </w:r>
      <w:r w:rsidR="00ED306E">
        <w:rPr>
          <w:rFonts w:cs="Times New Roman"/>
          <w:szCs w:val="24"/>
        </w:rPr>
        <w:t>1 stycznia 2022 r. autoryzowane oraz nadzorowane przez ESMA, natomiast niektóre z</w:t>
      </w:r>
      <w:r w:rsidR="00ED306E" w:rsidRPr="00A01B05">
        <w:rPr>
          <w:rFonts w:cs="Times New Roman"/>
          <w:szCs w:val="24"/>
        </w:rPr>
        <w:t xml:space="preserve">atwierdzone podmioty publikujące </w:t>
      </w:r>
      <w:r w:rsidR="00ED306E">
        <w:rPr>
          <w:rFonts w:cs="Times New Roman"/>
          <w:szCs w:val="24"/>
        </w:rPr>
        <w:t>oraz</w:t>
      </w:r>
      <w:r w:rsidR="00ED306E" w:rsidRPr="00A01B05">
        <w:rPr>
          <w:rFonts w:cs="Times New Roman"/>
          <w:szCs w:val="24"/>
        </w:rPr>
        <w:t xml:space="preserve"> zatwierdzone mechanizmy sprawozdawcze</w:t>
      </w:r>
      <w:r w:rsidR="00ED306E">
        <w:rPr>
          <w:rFonts w:cs="Times New Roman"/>
          <w:szCs w:val="24"/>
        </w:rPr>
        <w:t xml:space="preserve"> będą nadal nadzorowane przez KNF.</w:t>
      </w:r>
      <w:r w:rsidR="00ED306E" w:rsidDel="00ED306E">
        <w:rPr>
          <w:rStyle w:val="Odwoaniedokomentarza"/>
        </w:rPr>
        <w:t xml:space="preserve"> </w:t>
      </w:r>
    </w:p>
    <w:p w14:paraId="7D7E8041" w14:textId="31204BC1" w:rsidR="00A01B05" w:rsidRPr="00A01B05" w:rsidRDefault="00A01B05" w:rsidP="00ED306E">
      <w:pPr>
        <w:spacing w:before="120" w:after="120"/>
        <w:rPr>
          <w:rFonts w:cs="Times New Roman"/>
          <w:szCs w:val="24"/>
        </w:rPr>
      </w:pPr>
      <w:r w:rsidRPr="00A01B05">
        <w:rPr>
          <w:rFonts w:cs="Times New Roman"/>
          <w:szCs w:val="24"/>
        </w:rPr>
        <w:t>W związku z powyższym</w:t>
      </w:r>
      <w:r w:rsidR="008C6788">
        <w:rPr>
          <w:rFonts w:cs="Times New Roman"/>
          <w:szCs w:val="24"/>
        </w:rPr>
        <w:t xml:space="preserve"> proponuję się uchylenie pkt 6 w </w:t>
      </w:r>
      <w:r w:rsidRPr="00A01B05">
        <w:rPr>
          <w:rFonts w:cs="Times New Roman"/>
          <w:szCs w:val="24"/>
        </w:rPr>
        <w:t xml:space="preserve">§ 2 ust. 1 </w:t>
      </w:r>
      <w:r w:rsidR="002A51EE">
        <w:rPr>
          <w:rFonts w:cs="Times New Roman"/>
          <w:szCs w:val="24"/>
        </w:rPr>
        <w:t>rozporządzenia i </w:t>
      </w:r>
      <w:r w:rsidR="008C6788">
        <w:rPr>
          <w:rFonts w:cs="Times New Roman"/>
          <w:szCs w:val="24"/>
        </w:rPr>
        <w:t xml:space="preserve">wprowadzenie ust. 1a do </w:t>
      </w:r>
      <w:r w:rsidR="008C6788" w:rsidRPr="00A01B05">
        <w:rPr>
          <w:rFonts w:cs="Times New Roman"/>
          <w:szCs w:val="24"/>
        </w:rPr>
        <w:t xml:space="preserve">§ 2 </w:t>
      </w:r>
      <w:r w:rsidR="002A51EE">
        <w:rPr>
          <w:rFonts w:cs="Times New Roman"/>
          <w:szCs w:val="24"/>
        </w:rPr>
        <w:t>r</w:t>
      </w:r>
      <w:r w:rsidR="00D25CB0" w:rsidRPr="00A01B05">
        <w:rPr>
          <w:rFonts w:cs="Times New Roman"/>
          <w:szCs w:val="24"/>
        </w:rPr>
        <w:t>ozporządzenia</w:t>
      </w:r>
      <w:r w:rsidR="008C6788">
        <w:rPr>
          <w:rFonts w:cs="Times New Roman"/>
          <w:szCs w:val="24"/>
        </w:rPr>
        <w:t>, ponieważ</w:t>
      </w:r>
      <w:r w:rsidR="00D25CB0" w:rsidRPr="00A01B05">
        <w:rPr>
          <w:rFonts w:cs="Times New Roman"/>
          <w:szCs w:val="24"/>
        </w:rPr>
        <w:t xml:space="preserve"> </w:t>
      </w:r>
      <w:r w:rsidR="00D25CB0">
        <w:rPr>
          <w:rFonts w:cs="Times New Roman"/>
          <w:szCs w:val="24"/>
        </w:rPr>
        <w:t xml:space="preserve">opłaty za </w:t>
      </w:r>
      <w:r w:rsidRPr="00A01B05">
        <w:rPr>
          <w:rFonts w:cs="Times New Roman"/>
          <w:szCs w:val="24"/>
        </w:rPr>
        <w:t xml:space="preserve">udzielenie </w:t>
      </w:r>
      <w:r w:rsidR="00D25CB0">
        <w:rPr>
          <w:rFonts w:cs="Times New Roman"/>
          <w:szCs w:val="24"/>
        </w:rPr>
        <w:t>zezwolenia</w:t>
      </w:r>
      <w:r w:rsidR="008C6788">
        <w:rPr>
          <w:rFonts w:cs="Times New Roman"/>
          <w:szCs w:val="24"/>
        </w:rPr>
        <w:t xml:space="preserve">, </w:t>
      </w:r>
      <w:r w:rsidR="002A51EE">
        <w:rPr>
          <w:rFonts w:cs="Times New Roman"/>
          <w:szCs w:val="24"/>
        </w:rPr>
        <w:t>o </w:t>
      </w:r>
      <w:r w:rsidR="008C6788" w:rsidRPr="008C6788">
        <w:rPr>
          <w:rFonts w:cs="Times New Roman"/>
          <w:szCs w:val="24"/>
        </w:rPr>
        <w:t>k</w:t>
      </w:r>
      <w:r w:rsidR="003E14B9">
        <w:rPr>
          <w:rFonts w:cs="Times New Roman"/>
          <w:szCs w:val="24"/>
        </w:rPr>
        <w:t>tórym mowa w art. 27c ust</w:t>
      </w:r>
      <w:r w:rsidR="008C6788">
        <w:rPr>
          <w:rFonts w:cs="Times New Roman"/>
          <w:szCs w:val="24"/>
        </w:rPr>
        <w:t>. 1 r</w:t>
      </w:r>
      <w:r w:rsidR="008C6788" w:rsidRPr="008C6788">
        <w:rPr>
          <w:rFonts w:cs="Times New Roman"/>
          <w:szCs w:val="24"/>
        </w:rPr>
        <w:t>ozporządzenia Parlamentu Europejskiego i Rady (UE) 600/2014 z dnia 15 maja 2014 r. w sprawie rynków instrumentów finansowych oraz zmieniającego rozporządzenie (UE) nr 648/2012 (Dz. Urz. UE L 173 z 12.06.2014, str. 84, z późn. zm.</w:t>
      </w:r>
      <w:r w:rsidR="008C6788">
        <w:rPr>
          <w:rFonts w:cs="Times New Roman"/>
          <w:szCs w:val="24"/>
        </w:rPr>
        <w:t>),</w:t>
      </w:r>
      <w:r w:rsidR="00D25CB0">
        <w:rPr>
          <w:rFonts w:cs="Times New Roman"/>
          <w:szCs w:val="24"/>
        </w:rPr>
        <w:t xml:space="preserve"> są</w:t>
      </w:r>
      <w:r w:rsidRPr="00A01B05">
        <w:rPr>
          <w:rFonts w:cs="Times New Roman"/>
          <w:szCs w:val="24"/>
        </w:rPr>
        <w:t xml:space="preserve"> </w:t>
      </w:r>
      <w:r w:rsidR="00D25CB0">
        <w:rPr>
          <w:rFonts w:cs="Times New Roman"/>
          <w:szCs w:val="24"/>
        </w:rPr>
        <w:t xml:space="preserve">możliwe </w:t>
      </w:r>
      <w:r w:rsidRPr="00A01B05">
        <w:rPr>
          <w:rFonts w:cs="Times New Roman"/>
          <w:szCs w:val="24"/>
        </w:rPr>
        <w:t xml:space="preserve">w stosunku do zatwierdzonego podmiotu publikującego lub </w:t>
      </w:r>
      <w:r w:rsidRPr="00A01B05">
        <w:rPr>
          <w:rFonts w:cs="Times New Roman"/>
          <w:szCs w:val="24"/>
        </w:rPr>
        <w:lastRenderedPageBreak/>
        <w:t xml:space="preserve">zatwierdzonego mechanizmu sprawozdawczego (zamiast </w:t>
      </w:r>
      <w:r w:rsidR="00751C0B">
        <w:rPr>
          <w:rFonts w:cs="Times New Roman"/>
          <w:szCs w:val="24"/>
        </w:rPr>
        <w:t xml:space="preserve">dotychczasowego </w:t>
      </w:r>
      <w:r w:rsidR="00D25CB0">
        <w:rPr>
          <w:rFonts w:cs="Times New Roman"/>
          <w:szCs w:val="24"/>
        </w:rPr>
        <w:t>zezwolenia na prowadzenie</w:t>
      </w:r>
      <w:r w:rsidRPr="00A01B05">
        <w:rPr>
          <w:rFonts w:cs="Times New Roman"/>
          <w:szCs w:val="24"/>
        </w:rPr>
        <w:t xml:space="preserve"> działalności polegającej na świadczenie usług w zakresie udostępniania informacji o transakcjach). Opłata za udzielenie zezwolenia zatwierdzonemu podmiotowi publikującemu lub zatwierdzonemu mechanizmowi sprawozdawczemu w wysokości równowartości w złotych 4500 euro pozosta</w:t>
      </w:r>
      <w:r w:rsidR="00384F20">
        <w:rPr>
          <w:rFonts w:cs="Times New Roman"/>
          <w:szCs w:val="24"/>
        </w:rPr>
        <w:t>nie</w:t>
      </w:r>
      <w:r w:rsidRPr="00A01B05">
        <w:rPr>
          <w:rFonts w:cs="Times New Roman"/>
          <w:szCs w:val="24"/>
        </w:rPr>
        <w:t xml:space="preserve"> bez zmian. Opłata ta pokrywa całość kosztów administracyjnych poniesionych przez </w:t>
      </w:r>
      <w:r w:rsidR="00CE433F">
        <w:rPr>
          <w:rFonts w:cs="Times New Roman"/>
          <w:szCs w:val="24"/>
        </w:rPr>
        <w:t>KNF</w:t>
      </w:r>
      <w:r w:rsidRPr="00A01B05">
        <w:rPr>
          <w:rFonts w:cs="Times New Roman"/>
          <w:szCs w:val="24"/>
        </w:rPr>
        <w:t xml:space="preserve"> w związku z udzieleniem zezwolenia i jest analogiczna jak w przypadku udzielenia zezwolenia innym podmiotom, m.in. platformie aukcyjnej, izbie rozliczeniowej i izbie rozrachunkowej. </w:t>
      </w:r>
    </w:p>
    <w:p w14:paraId="77E6DF8F" w14:textId="0947CDFC" w:rsidR="00A01B05" w:rsidRPr="00A01B05" w:rsidRDefault="00751C0B" w:rsidP="00A01B05">
      <w:pPr>
        <w:spacing w:before="120" w:after="120"/>
        <w:rPr>
          <w:rFonts w:cs="Times New Roman"/>
          <w:szCs w:val="24"/>
        </w:rPr>
      </w:pPr>
      <w:r>
        <w:rPr>
          <w:rFonts w:cs="Times New Roman"/>
          <w:szCs w:val="24"/>
        </w:rPr>
        <w:t>Projektowane</w:t>
      </w:r>
      <w:r w:rsidRPr="00A01B05">
        <w:rPr>
          <w:rFonts w:cs="Times New Roman"/>
          <w:szCs w:val="24"/>
        </w:rPr>
        <w:t xml:space="preserve"> </w:t>
      </w:r>
      <w:r w:rsidR="00A01B05" w:rsidRPr="00A01B05">
        <w:rPr>
          <w:rFonts w:cs="Times New Roman"/>
          <w:szCs w:val="24"/>
        </w:rPr>
        <w:t>zmiany</w:t>
      </w:r>
      <w:r w:rsidR="00A01B05">
        <w:rPr>
          <w:rFonts w:cs="Times New Roman"/>
          <w:szCs w:val="24"/>
        </w:rPr>
        <w:t xml:space="preserve"> w </w:t>
      </w:r>
      <w:r w:rsidR="00A01B05" w:rsidRPr="00A01B05">
        <w:rPr>
          <w:rFonts w:cs="Times New Roman"/>
          <w:szCs w:val="24"/>
        </w:rPr>
        <w:t xml:space="preserve">§ 18 ust. 1 pkt 3 lit. e </w:t>
      </w:r>
      <w:r w:rsidR="002A51EE">
        <w:rPr>
          <w:rFonts w:cs="Times New Roman"/>
          <w:szCs w:val="24"/>
        </w:rPr>
        <w:t>r</w:t>
      </w:r>
      <w:r w:rsidR="00A01B05" w:rsidRPr="00A01B05">
        <w:rPr>
          <w:rFonts w:cs="Times New Roman"/>
          <w:szCs w:val="24"/>
        </w:rPr>
        <w:t xml:space="preserve">ozporządzenia polegają na </w:t>
      </w:r>
      <w:r w:rsidR="00CE433F">
        <w:rPr>
          <w:rFonts w:cs="Times New Roman"/>
          <w:szCs w:val="24"/>
        </w:rPr>
        <w:t xml:space="preserve">usunięciu </w:t>
      </w:r>
      <w:r w:rsidR="00A01B05" w:rsidRPr="00A01B05">
        <w:rPr>
          <w:rFonts w:cs="Times New Roman"/>
          <w:szCs w:val="24"/>
        </w:rPr>
        <w:t>dostawców informacji skonsolidowanych</w:t>
      </w:r>
      <w:r w:rsidR="00CE433F">
        <w:rPr>
          <w:rFonts w:cs="Times New Roman"/>
          <w:szCs w:val="24"/>
        </w:rPr>
        <w:t xml:space="preserve"> z ww. przepisu</w:t>
      </w:r>
      <w:r w:rsidR="00A01B05" w:rsidRPr="00A01B05">
        <w:rPr>
          <w:rFonts w:cs="Times New Roman"/>
          <w:szCs w:val="24"/>
        </w:rPr>
        <w:t xml:space="preserve">, ponieważ będą oni podlegać bezpośredniemu nadzorowi ESMA. </w:t>
      </w:r>
    </w:p>
    <w:p w14:paraId="55CDECC9" w14:textId="36BD9F43" w:rsidR="00A561CC" w:rsidRPr="00A561CC" w:rsidRDefault="00156DE5" w:rsidP="00A561CC">
      <w:pPr>
        <w:spacing w:before="120" w:after="120"/>
        <w:rPr>
          <w:rFonts w:cs="Times New Roman"/>
          <w:szCs w:val="24"/>
        </w:rPr>
      </w:pPr>
      <w:r w:rsidRPr="007D3F15">
        <w:rPr>
          <w:rFonts w:cs="Times New Roman"/>
          <w:color w:val="000000" w:themeColor="text1"/>
          <w:szCs w:val="24"/>
        </w:rPr>
        <w:t xml:space="preserve">W </w:t>
      </w:r>
      <w:r w:rsidRPr="007D3F15">
        <w:rPr>
          <w:rFonts w:cs="Times New Roman"/>
          <w:b/>
          <w:szCs w:val="24"/>
        </w:rPr>
        <w:t>§ 1</w:t>
      </w:r>
      <w:r w:rsidRPr="007D3F15">
        <w:rPr>
          <w:rFonts w:cs="Times New Roman"/>
          <w:szCs w:val="24"/>
        </w:rPr>
        <w:t xml:space="preserve"> </w:t>
      </w:r>
      <w:r w:rsidR="00E10E38" w:rsidRPr="00B45CBF">
        <w:rPr>
          <w:rFonts w:cs="Times New Roman"/>
          <w:b/>
          <w:szCs w:val="24"/>
        </w:rPr>
        <w:t>pkt 3</w:t>
      </w:r>
      <w:r w:rsidRPr="007D3F15">
        <w:rPr>
          <w:rFonts w:cs="Times New Roman"/>
          <w:szCs w:val="24"/>
        </w:rPr>
        <w:t xml:space="preserve"> </w:t>
      </w:r>
      <w:r w:rsidR="00BF5738">
        <w:rPr>
          <w:rFonts w:cs="Times New Roman"/>
          <w:b/>
          <w:szCs w:val="24"/>
        </w:rPr>
        <w:t>projektu rozporządzenia</w:t>
      </w:r>
      <w:r w:rsidR="00BF5738" w:rsidRPr="007D3F15">
        <w:rPr>
          <w:rFonts w:cs="Times New Roman"/>
          <w:szCs w:val="24"/>
        </w:rPr>
        <w:t xml:space="preserve"> </w:t>
      </w:r>
      <w:r w:rsidR="00597292">
        <w:rPr>
          <w:rFonts w:cs="Times New Roman"/>
          <w:szCs w:val="24"/>
        </w:rPr>
        <w:t xml:space="preserve">przewiduje się </w:t>
      </w:r>
      <w:r w:rsidRPr="007D3F15">
        <w:rPr>
          <w:rFonts w:cs="Times New Roman"/>
          <w:szCs w:val="24"/>
        </w:rPr>
        <w:t>doda</w:t>
      </w:r>
      <w:r w:rsidR="00597292">
        <w:rPr>
          <w:rFonts w:cs="Times New Roman"/>
          <w:szCs w:val="24"/>
        </w:rPr>
        <w:t>nie</w:t>
      </w:r>
      <w:r w:rsidRPr="007D3F15">
        <w:rPr>
          <w:rFonts w:cs="Times New Roman"/>
          <w:szCs w:val="24"/>
        </w:rPr>
        <w:t xml:space="preserve"> się ust. 2</w:t>
      </w:r>
      <w:r w:rsidR="00CF53B7">
        <w:rPr>
          <w:rFonts w:cs="Times New Roman"/>
          <w:szCs w:val="24"/>
        </w:rPr>
        <w:t xml:space="preserve"> </w:t>
      </w:r>
      <w:r w:rsidR="00597292">
        <w:rPr>
          <w:rFonts w:cs="Times New Roman"/>
          <w:szCs w:val="24"/>
        </w:rPr>
        <w:t>do</w:t>
      </w:r>
      <w:r w:rsidR="00CF53B7">
        <w:rPr>
          <w:rFonts w:cs="Times New Roman"/>
          <w:szCs w:val="24"/>
        </w:rPr>
        <w:t xml:space="preserve"> § 8</w:t>
      </w:r>
      <w:r w:rsidR="00597292">
        <w:rPr>
          <w:rFonts w:cs="Times New Roman"/>
          <w:szCs w:val="24"/>
        </w:rPr>
        <w:t xml:space="preserve"> Rozporządzenia</w:t>
      </w:r>
      <w:r w:rsidR="00CF53B7">
        <w:rPr>
          <w:rFonts w:cs="Times New Roman"/>
          <w:szCs w:val="24"/>
        </w:rPr>
        <w:t>, zgodnie z którym</w:t>
      </w:r>
      <w:r w:rsidRPr="007D3F15">
        <w:rPr>
          <w:rFonts w:cs="Times New Roman"/>
          <w:szCs w:val="24"/>
        </w:rPr>
        <w:t xml:space="preserve"> </w:t>
      </w:r>
      <w:r w:rsidR="0067167C">
        <w:rPr>
          <w:rFonts w:cs="Times New Roman"/>
          <w:szCs w:val="24"/>
        </w:rPr>
        <w:t xml:space="preserve">za udzielenie zezwolenia </w:t>
      </w:r>
      <w:r w:rsidR="0067167C" w:rsidRPr="0067167C">
        <w:rPr>
          <w:rFonts w:cs="Times New Roman"/>
          <w:szCs w:val="24"/>
        </w:rPr>
        <w:t>na wycofanie akcji z obrotu na rynku regulowanym lub w alternatywnym systemie obrotu</w:t>
      </w:r>
      <w:r w:rsidR="0067167C">
        <w:rPr>
          <w:rFonts w:cs="Times New Roman"/>
          <w:szCs w:val="24"/>
        </w:rPr>
        <w:t xml:space="preserve">, zgodnie z </w:t>
      </w:r>
      <w:r w:rsidR="0067167C" w:rsidRPr="007D3F15">
        <w:rPr>
          <w:rFonts w:cs="Times New Roman"/>
          <w:szCs w:val="24"/>
        </w:rPr>
        <w:t xml:space="preserve">art. 91 ust. 1 </w:t>
      </w:r>
      <w:r w:rsidR="00597292">
        <w:rPr>
          <w:rFonts w:cs="Times New Roman"/>
          <w:szCs w:val="24"/>
        </w:rPr>
        <w:t>u</w:t>
      </w:r>
      <w:r w:rsidR="00597292" w:rsidRPr="00597292">
        <w:rPr>
          <w:rFonts w:cs="Times New Roman"/>
          <w:szCs w:val="24"/>
        </w:rPr>
        <w:t>staw</w:t>
      </w:r>
      <w:r w:rsidR="00597292">
        <w:rPr>
          <w:rFonts w:cs="Times New Roman"/>
          <w:szCs w:val="24"/>
        </w:rPr>
        <w:t>y</w:t>
      </w:r>
      <w:r w:rsidR="00597292" w:rsidRPr="00597292">
        <w:rPr>
          <w:rFonts w:cs="Times New Roman"/>
          <w:szCs w:val="24"/>
        </w:rPr>
        <w:t xml:space="preserve"> z dnia 29 lipca 2005 r. o ofercie publicznej i warunkach wprowadzania instrumentów finansowych do zorganizowanego systemu obrotu or</w:t>
      </w:r>
      <w:r w:rsidR="00597292">
        <w:rPr>
          <w:rFonts w:cs="Times New Roman"/>
          <w:szCs w:val="24"/>
        </w:rPr>
        <w:t>az o spółkach publicznych (</w:t>
      </w:r>
      <w:r w:rsidR="0062782A">
        <w:rPr>
          <w:rFonts w:cs="Times New Roman"/>
          <w:szCs w:val="24"/>
        </w:rPr>
        <w:t>Dz. U. z 2021 r. poz. 1983)</w:t>
      </w:r>
      <w:r w:rsidR="00597292">
        <w:rPr>
          <w:rFonts w:cs="Times New Roman"/>
          <w:szCs w:val="24"/>
        </w:rPr>
        <w:t xml:space="preserve">, zwanej </w:t>
      </w:r>
      <w:r w:rsidR="00A561CC">
        <w:rPr>
          <w:rFonts w:cs="Times New Roman"/>
          <w:szCs w:val="24"/>
        </w:rPr>
        <w:t>dalej „ustaw</w:t>
      </w:r>
      <w:r w:rsidR="00597292">
        <w:rPr>
          <w:rFonts w:cs="Times New Roman"/>
          <w:szCs w:val="24"/>
        </w:rPr>
        <w:t>ą</w:t>
      </w:r>
      <w:r w:rsidR="00A561CC">
        <w:rPr>
          <w:rFonts w:cs="Times New Roman"/>
          <w:szCs w:val="24"/>
        </w:rPr>
        <w:t xml:space="preserve"> o ofercie”</w:t>
      </w:r>
      <w:r w:rsidR="0067167C">
        <w:rPr>
          <w:rFonts w:cs="Times New Roman"/>
          <w:szCs w:val="24"/>
        </w:rPr>
        <w:t>,</w:t>
      </w:r>
      <w:r w:rsidR="0067167C" w:rsidRPr="0067167C">
        <w:rPr>
          <w:rFonts w:cs="Times New Roman"/>
          <w:szCs w:val="24"/>
        </w:rPr>
        <w:t xml:space="preserve"> </w:t>
      </w:r>
      <w:r w:rsidR="0067167C">
        <w:rPr>
          <w:rFonts w:cs="Times New Roman"/>
          <w:szCs w:val="24"/>
        </w:rPr>
        <w:t>będzie wiązało się z koniecznością uiszczenia</w:t>
      </w:r>
      <w:r w:rsidR="0067167C" w:rsidRPr="007D3F15">
        <w:rPr>
          <w:rFonts w:cs="Times New Roman"/>
          <w:szCs w:val="24"/>
        </w:rPr>
        <w:t xml:space="preserve"> opłat</w:t>
      </w:r>
      <w:r w:rsidR="0067167C">
        <w:rPr>
          <w:rFonts w:cs="Times New Roman"/>
          <w:szCs w:val="24"/>
        </w:rPr>
        <w:t>y</w:t>
      </w:r>
      <w:r w:rsidR="0067167C" w:rsidRPr="007D3F15">
        <w:rPr>
          <w:rFonts w:cs="Times New Roman"/>
          <w:szCs w:val="24"/>
        </w:rPr>
        <w:t xml:space="preserve"> </w:t>
      </w:r>
      <w:r w:rsidRPr="007D3F15">
        <w:rPr>
          <w:rFonts w:cs="Times New Roman"/>
          <w:szCs w:val="24"/>
        </w:rPr>
        <w:t>w wysokości równowartości w złotych 4</w:t>
      </w:r>
      <w:r w:rsidR="00371DC9">
        <w:rPr>
          <w:rFonts w:cs="Times New Roman"/>
          <w:szCs w:val="24"/>
        </w:rPr>
        <w:t>5</w:t>
      </w:r>
      <w:r w:rsidRPr="007D3F15">
        <w:rPr>
          <w:rFonts w:cs="Times New Roman"/>
          <w:szCs w:val="24"/>
        </w:rPr>
        <w:t>00 euro</w:t>
      </w:r>
      <w:r w:rsidR="004769B9">
        <w:rPr>
          <w:rFonts w:cs="Times New Roman"/>
          <w:szCs w:val="24"/>
        </w:rPr>
        <w:t>. Wysokość opłaty</w:t>
      </w:r>
      <w:r w:rsidR="00D732D8" w:rsidRPr="00D732D8">
        <w:rPr>
          <w:rFonts w:cs="Times New Roman"/>
          <w:szCs w:val="24"/>
        </w:rPr>
        <w:t xml:space="preserve"> koreluje ze stopniem skomplikowania spraw i nakładem pracy </w:t>
      </w:r>
      <w:r w:rsidR="00597292">
        <w:rPr>
          <w:rFonts w:cs="Times New Roman"/>
          <w:szCs w:val="24"/>
        </w:rPr>
        <w:t>KNF</w:t>
      </w:r>
      <w:r w:rsidR="00D732D8">
        <w:rPr>
          <w:rFonts w:cs="Times New Roman"/>
          <w:szCs w:val="24"/>
        </w:rPr>
        <w:t xml:space="preserve">. </w:t>
      </w:r>
      <w:r w:rsidR="00A561CC" w:rsidRPr="00A561CC">
        <w:rPr>
          <w:rFonts w:cs="Times New Roman"/>
          <w:szCs w:val="24"/>
        </w:rPr>
        <w:t>Wycofanie z obrotu akcji, notowanych odpowie</w:t>
      </w:r>
      <w:r w:rsidR="002A51EE">
        <w:rPr>
          <w:rFonts w:cs="Times New Roman"/>
          <w:szCs w:val="24"/>
        </w:rPr>
        <w:t>dnio na rynku regulowanym lub w </w:t>
      </w:r>
      <w:r w:rsidR="00A561CC" w:rsidRPr="00A561CC">
        <w:rPr>
          <w:rFonts w:cs="Times New Roman"/>
          <w:szCs w:val="24"/>
        </w:rPr>
        <w:t xml:space="preserve">alternatywnym systemie obrotu, wymaga zezwolenia wydawanego w formie decyzji administracyjnej przez </w:t>
      </w:r>
      <w:r w:rsidR="00597292">
        <w:rPr>
          <w:rFonts w:cs="Times New Roman"/>
          <w:szCs w:val="24"/>
        </w:rPr>
        <w:t>KNF</w:t>
      </w:r>
      <w:r w:rsidR="00A561CC" w:rsidRPr="00A561CC">
        <w:rPr>
          <w:rFonts w:cs="Times New Roman"/>
          <w:szCs w:val="24"/>
        </w:rPr>
        <w:t xml:space="preserve"> na podstawie ustawy </w:t>
      </w:r>
      <w:r w:rsidR="00A561CC">
        <w:rPr>
          <w:rFonts w:cs="Times New Roman"/>
          <w:szCs w:val="24"/>
        </w:rPr>
        <w:t>o ofercie</w:t>
      </w:r>
      <w:r w:rsidR="00A561CC" w:rsidRPr="00A561CC">
        <w:rPr>
          <w:rFonts w:cs="Times New Roman"/>
          <w:szCs w:val="24"/>
        </w:rPr>
        <w:t xml:space="preserve">. Postępowanie administracyjne prowadzone przez KNF w powyższym przedmiocie wymaga kompleksowej weryfikacji spełnienia przez wnioskodawcę ustawowych przesłanek udzielenia zezwolenia. </w:t>
      </w:r>
      <w:r w:rsidR="00597292">
        <w:rPr>
          <w:rFonts w:cs="Times New Roman"/>
          <w:szCs w:val="24"/>
        </w:rPr>
        <w:t>KNF</w:t>
      </w:r>
      <w:r w:rsidR="00597292" w:rsidRPr="00A561CC">
        <w:rPr>
          <w:rFonts w:cs="Times New Roman"/>
          <w:szCs w:val="24"/>
        </w:rPr>
        <w:t xml:space="preserve"> </w:t>
      </w:r>
      <w:r w:rsidR="00A561CC" w:rsidRPr="00A561CC">
        <w:rPr>
          <w:rFonts w:cs="Times New Roman"/>
          <w:szCs w:val="24"/>
        </w:rPr>
        <w:t>weryfikuje bowiem poprawność procesu wycofania akcji zarówno od strony formalnoprawnej (kompletność wniosku oraz jego zgodność z obowiązkami wynikającymi z przepisów ustawy o ofercie)</w:t>
      </w:r>
      <w:r w:rsidR="00597292">
        <w:rPr>
          <w:rFonts w:cs="Times New Roman"/>
          <w:szCs w:val="24"/>
        </w:rPr>
        <w:t>,</w:t>
      </w:r>
      <w:r w:rsidR="00A561CC" w:rsidRPr="00A561CC">
        <w:rPr>
          <w:rFonts w:cs="Times New Roman"/>
          <w:szCs w:val="24"/>
        </w:rPr>
        <w:t xml:space="preserve"> korporacyjnej (w kwestii zwołania i przeprowadzenia walnego zgromadzenia, na którym akcjonariusze zdecydowali o wycofaniu akcji emitenta z obrotu</w:t>
      </w:r>
      <w:r w:rsidR="0015222E">
        <w:rPr>
          <w:rFonts w:cs="Times New Roman"/>
          <w:szCs w:val="24"/>
        </w:rPr>
        <w:t xml:space="preserve"> oraz</w:t>
      </w:r>
      <w:r w:rsidR="0015222E" w:rsidRPr="00A561CC">
        <w:rPr>
          <w:rFonts w:cs="Times New Roman"/>
          <w:szCs w:val="24"/>
        </w:rPr>
        <w:t xml:space="preserve"> </w:t>
      </w:r>
      <w:r w:rsidR="00A561CC" w:rsidRPr="00A561CC">
        <w:rPr>
          <w:rFonts w:cs="Times New Roman"/>
          <w:szCs w:val="24"/>
        </w:rPr>
        <w:t>treści uchwały</w:t>
      </w:r>
      <w:r w:rsidR="0015222E">
        <w:rPr>
          <w:rFonts w:cs="Times New Roman"/>
          <w:szCs w:val="24"/>
        </w:rPr>
        <w:t xml:space="preserve"> podjętej w tej sprawie</w:t>
      </w:r>
      <w:r w:rsidR="00A561CC" w:rsidRPr="0015222E">
        <w:rPr>
          <w:rFonts w:cs="Times New Roman"/>
          <w:szCs w:val="24"/>
        </w:rPr>
        <w:t>), jak również od strony faktycznej (weryfikacja spełnienia ustawowych przesłane</w:t>
      </w:r>
      <w:r w:rsidR="00A561CC" w:rsidRPr="00A561CC">
        <w:rPr>
          <w:rFonts w:cs="Times New Roman"/>
          <w:szCs w:val="24"/>
        </w:rPr>
        <w:t>k, w szczególności w zakresie ogłoszonego wezwania do zapisywania się na sprzedaż akcji zgodnie z art. 91 ust. 5 ustawy o ofercie, czy przymusowego wykupu).</w:t>
      </w:r>
    </w:p>
    <w:p w14:paraId="054CB337" w14:textId="15B7A18C" w:rsidR="00A561CC" w:rsidRDefault="00A561CC" w:rsidP="00A561CC">
      <w:pPr>
        <w:spacing w:before="120" w:after="120"/>
        <w:rPr>
          <w:rFonts w:cs="Times New Roman"/>
          <w:szCs w:val="24"/>
        </w:rPr>
      </w:pPr>
      <w:r w:rsidRPr="00A561CC">
        <w:rPr>
          <w:rFonts w:cs="Times New Roman"/>
          <w:szCs w:val="24"/>
        </w:rPr>
        <w:t xml:space="preserve">W przypadku gdy wnioskodawcą jest emitent, którego siedziba mieści się poza granicą Polski, </w:t>
      </w:r>
      <w:r w:rsidR="00597292">
        <w:rPr>
          <w:rFonts w:cs="Times New Roman"/>
          <w:szCs w:val="24"/>
        </w:rPr>
        <w:t>KNF</w:t>
      </w:r>
      <w:r w:rsidR="00597292" w:rsidRPr="00A561CC">
        <w:rPr>
          <w:rFonts w:cs="Times New Roman"/>
          <w:szCs w:val="24"/>
        </w:rPr>
        <w:t xml:space="preserve"> </w:t>
      </w:r>
      <w:r w:rsidRPr="00A561CC">
        <w:rPr>
          <w:rFonts w:cs="Times New Roman"/>
          <w:szCs w:val="24"/>
        </w:rPr>
        <w:t xml:space="preserve">podejmuje dodatkowe czynności wyjaśniające z właściwym organem nadzoru dla państwa siedziby takiego emitenta. Czynności te obejmują przede wszystkim weryfikację </w:t>
      </w:r>
      <w:r w:rsidRPr="00A561CC">
        <w:rPr>
          <w:rFonts w:cs="Times New Roman"/>
          <w:szCs w:val="24"/>
        </w:rPr>
        <w:lastRenderedPageBreak/>
        <w:t xml:space="preserve">spełnienia przez emitenta obowiązków, związanych z </w:t>
      </w:r>
      <w:r w:rsidR="003E1809">
        <w:rPr>
          <w:rFonts w:cs="Times New Roman"/>
          <w:szCs w:val="24"/>
        </w:rPr>
        <w:t>w</w:t>
      </w:r>
      <w:r w:rsidR="003E1809" w:rsidRPr="003E1809">
        <w:rPr>
          <w:rFonts w:cs="Times New Roman"/>
          <w:szCs w:val="24"/>
        </w:rPr>
        <w:t>ycofanie</w:t>
      </w:r>
      <w:r w:rsidR="003E1809">
        <w:rPr>
          <w:rFonts w:cs="Times New Roman"/>
          <w:szCs w:val="24"/>
        </w:rPr>
        <w:t>m</w:t>
      </w:r>
      <w:r w:rsidR="003E1809" w:rsidRPr="003E1809">
        <w:rPr>
          <w:rFonts w:cs="Times New Roman"/>
          <w:szCs w:val="24"/>
        </w:rPr>
        <w:t xml:space="preserve"> </w:t>
      </w:r>
      <w:r w:rsidR="0015222E" w:rsidRPr="0015222E">
        <w:rPr>
          <w:rFonts w:cs="Times New Roman"/>
          <w:szCs w:val="24"/>
        </w:rPr>
        <w:t>akcji z obrotu na rynku regulowanym lub w alternatywnym systemie obrotu</w:t>
      </w:r>
      <w:r w:rsidR="0015222E" w:rsidRPr="0015222E" w:rsidDel="003E1809">
        <w:rPr>
          <w:rFonts w:cs="Times New Roman"/>
          <w:szCs w:val="24"/>
        </w:rPr>
        <w:t xml:space="preserve"> </w:t>
      </w:r>
      <w:r w:rsidRPr="00A561CC">
        <w:rPr>
          <w:rFonts w:cs="Times New Roman"/>
          <w:szCs w:val="24"/>
        </w:rPr>
        <w:t>na gruncie właściwego dla emitenta prawa.</w:t>
      </w:r>
    </w:p>
    <w:p w14:paraId="1F693791" w14:textId="6F3CE704" w:rsidR="00156DE5" w:rsidRDefault="006A5191" w:rsidP="007D3F15">
      <w:pPr>
        <w:spacing w:before="120" w:after="120"/>
        <w:rPr>
          <w:rFonts w:cs="Times New Roman"/>
          <w:szCs w:val="24"/>
        </w:rPr>
      </w:pPr>
      <w:r>
        <w:rPr>
          <w:rFonts w:cs="Times New Roman"/>
          <w:szCs w:val="24"/>
        </w:rPr>
        <w:t>Wymaga wskazania, że już o</w:t>
      </w:r>
      <w:r w:rsidR="00514188" w:rsidRPr="00D732D8">
        <w:rPr>
          <w:rFonts w:cs="Times New Roman"/>
          <w:szCs w:val="24"/>
        </w:rPr>
        <w:t xml:space="preserve">becnie </w:t>
      </w:r>
      <w:r>
        <w:rPr>
          <w:rFonts w:cs="Times New Roman"/>
          <w:szCs w:val="24"/>
        </w:rPr>
        <w:t>KNF</w:t>
      </w:r>
      <w:r w:rsidRPr="00D732D8">
        <w:rPr>
          <w:rFonts w:cs="Times New Roman"/>
          <w:szCs w:val="24"/>
        </w:rPr>
        <w:t xml:space="preserve"> </w:t>
      </w:r>
      <w:r w:rsidR="00514188" w:rsidRPr="00D732D8">
        <w:rPr>
          <w:rFonts w:cs="Times New Roman"/>
          <w:szCs w:val="24"/>
        </w:rPr>
        <w:t>pobiera</w:t>
      </w:r>
      <w:r>
        <w:rPr>
          <w:rFonts w:cs="Times New Roman"/>
          <w:szCs w:val="24"/>
        </w:rPr>
        <w:t>,</w:t>
      </w:r>
      <w:r w:rsidR="00514188" w:rsidRPr="00D732D8">
        <w:rPr>
          <w:rFonts w:cs="Times New Roman"/>
          <w:szCs w:val="24"/>
        </w:rPr>
        <w:t xml:space="preserve"> na podstawie art. 93 ustawy o ofercie</w:t>
      </w:r>
      <w:r>
        <w:rPr>
          <w:rFonts w:cs="Times New Roman"/>
          <w:szCs w:val="24"/>
        </w:rPr>
        <w:t>,</w:t>
      </w:r>
      <w:r w:rsidR="00514188" w:rsidRPr="00D732D8">
        <w:rPr>
          <w:rFonts w:cs="Times New Roman"/>
          <w:szCs w:val="24"/>
        </w:rPr>
        <w:t xml:space="preserve"> opłat</w:t>
      </w:r>
      <w:r>
        <w:rPr>
          <w:rFonts w:cs="Times New Roman"/>
          <w:szCs w:val="24"/>
        </w:rPr>
        <w:t>ę</w:t>
      </w:r>
      <w:r w:rsidR="00514188" w:rsidRPr="00D732D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</w:t>
      </w:r>
      <w:r w:rsidR="00514188" w:rsidRPr="00D732D8">
        <w:rPr>
          <w:rFonts w:cs="Times New Roman"/>
          <w:szCs w:val="24"/>
        </w:rPr>
        <w:t xml:space="preserve"> wydani</w:t>
      </w:r>
      <w:r>
        <w:rPr>
          <w:rFonts w:cs="Times New Roman"/>
          <w:szCs w:val="24"/>
        </w:rPr>
        <w:t>e</w:t>
      </w:r>
      <w:r w:rsidR="00514188" w:rsidRPr="00D732D8">
        <w:rPr>
          <w:rFonts w:cs="Times New Roman"/>
          <w:szCs w:val="24"/>
        </w:rPr>
        <w:t xml:space="preserve"> ww. zezwolenia w wysokości </w:t>
      </w:r>
      <w:r w:rsidR="00BE13C1">
        <w:rPr>
          <w:rFonts w:cs="Times New Roman"/>
          <w:szCs w:val="24"/>
        </w:rPr>
        <w:t xml:space="preserve">równowartości w złotych </w:t>
      </w:r>
      <w:r w:rsidR="00514188">
        <w:rPr>
          <w:rFonts w:cs="Times New Roman"/>
          <w:szCs w:val="24"/>
        </w:rPr>
        <w:t>4500 euro</w:t>
      </w:r>
      <w:r w:rsidR="00514188" w:rsidRPr="00514188">
        <w:rPr>
          <w:rFonts w:cs="Times New Roman"/>
          <w:szCs w:val="24"/>
        </w:rPr>
        <w:t>.</w:t>
      </w:r>
      <w:r w:rsidR="00A8131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Przedstawiona w projekcie rozporządzenia </w:t>
      </w:r>
      <w:r>
        <w:rPr>
          <w:color w:val="000000" w:themeColor="text1"/>
        </w:rPr>
        <w:t>w</w:t>
      </w:r>
      <w:r w:rsidR="00A81317">
        <w:rPr>
          <w:color w:val="000000" w:themeColor="text1"/>
        </w:rPr>
        <w:t>ysokość opłat</w:t>
      </w:r>
      <w:r>
        <w:rPr>
          <w:color w:val="000000" w:themeColor="text1"/>
        </w:rPr>
        <w:t>y za wydanie zezwolenia, o którym mowa w art. 91 ust. 1 ustawy o ofercie,</w:t>
      </w:r>
      <w:r w:rsidR="00A81317">
        <w:rPr>
          <w:color w:val="000000" w:themeColor="text1"/>
        </w:rPr>
        <w:t xml:space="preserve"> jest spójna z wysokością opłat za pozostałe zezwolenia wydawane przez KNF, o których mowa w przedmiotowym projekcie rozporządzenia</w:t>
      </w:r>
      <w:r w:rsidR="002A51EE">
        <w:rPr>
          <w:color w:val="000000" w:themeColor="text1"/>
        </w:rPr>
        <w:t>, a nadto mieści się w </w:t>
      </w:r>
      <w:r>
        <w:rPr>
          <w:color w:val="000000" w:themeColor="text1"/>
        </w:rPr>
        <w:t>granicach ustawowych określonych w art. 93 ustawy o ofercie</w:t>
      </w:r>
      <w:r w:rsidR="00A81317">
        <w:rPr>
          <w:color w:val="000000" w:themeColor="text1"/>
        </w:rPr>
        <w:t>.</w:t>
      </w:r>
    </w:p>
    <w:p w14:paraId="27B2CBAB" w14:textId="15D644A5" w:rsidR="00787351" w:rsidRDefault="00787351" w:rsidP="007D3F15">
      <w:pPr>
        <w:spacing w:before="120" w:after="120"/>
        <w:rPr>
          <w:rFonts w:cs="Times New Roman"/>
          <w:szCs w:val="24"/>
        </w:rPr>
      </w:pPr>
      <w:r>
        <w:rPr>
          <w:rFonts w:cs="Times New Roman"/>
          <w:color w:val="000000" w:themeColor="text1"/>
          <w:szCs w:val="24"/>
        </w:rPr>
        <w:t xml:space="preserve">Zmiany projektowane w </w:t>
      </w:r>
      <w:r w:rsidR="00156DE5" w:rsidRPr="007D3F15">
        <w:rPr>
          <w:rFonts w:cs="Times New Roman"/>
          <w:b/>
          <w:szCs w:val="24"/>
        </w:rPr>
        <w:t>§ </w:t>
      </w:r>
      <w:r w:rsidR="00156DE5" w:rsidRPr="0067167C">
        <w:rPr>
          <w:rFonts w:cs="Times New Roman"/>
          <w:b/>
          <w:szCs w:val="24"/>
        </w:rPr>
        <w:t xml:space="preserve">1 </w:t>
      </w:r>
      <w:r w:rsidR="00E10E38" w:rsidRPr="00B45CBF">
        <w:rPr>
          <w:rFonts w:cs="Times New Roman"/>
          <w:b/>
          <w:szCs w:val="24"/>
        </w:rPr>
        <w:t>pkt 4</w:t>
      </w:r>
      <w:r w:rsidR="00641D14">
        <w:rPr>
          <w:rFonts w:cs="Times New Roman"/>
          <w:b/>
          <w:szCs w:val="24"/>
        </w:rPr>
        <w:t xml:space="preserve"> </w:t>
      </w:r>
      <w:r w:rsidR="00BF5738">
        <w:rPr>
          <w:rFonts w:cs="Times New Roman"/>
          <w:b/>
          <w:szCs w:val="24"/>
        </w:rPr>
        <w:t>projektu rozporządzenia</w:t>
      </w:r>
      <w:r>
        <w:rPr>
          <w:rFonts w:cs="Times New Roman"/>
          <w:b/>
          <w:szCs w:val="24"/>
        </w:rPr>
        <w:t xml:space="preserve"> </w:t>
      </w:r>
      <w:r w:rsidRPr="00B16E46">
        <w:rPr>
          <w:rFonts w:cs="Times New Roman"/>
          <w:szCs w:val="24"/>
        </w:rPr>
        <w:t xml:space="preserve">dotyczą zmiany brzmienia </w:t>
      </w:r>
      <w:r w:rsidR="003C038E" w:rsidRPr="007D3F15">
        <w:rPr>
          <w:rFonts w:cs="Times New Roman"/>
          <w:szCs w:val="24"/>
        </w:rPr>
        <w:t>§ 1</w:t>
      </w:r>
      <w:r w:rsidR="00421FF0" w:rsidRPr="007D3F15">
        <w:rPr>
          <w:rFonts w:cs="Times New Roman"/>
          <w:szCs w:val="24"/>
        </w:rPr>
        <w:t xml:space="preserve">2 </w:t>
      </w:r>
      <w:r w:rsidR="002A51EE">
        <w:rPr>
          <w:rFonts w:cs="Times New Roman"/>
          <w:szCs w:val="24"/>
        </w:rPr>
        <w:t>r</w:t>
      </w:r>
      <w:r>
        <w:rPr>
          <w:rFonts w:cs="Times New Roman"/>
          <w:szCs w:val="24"/>
        </w:rPr>
        <w:t>ozporządzenia.</w:t>
      </w:r>
    </w:p>
    <w:p w14:paraId="7B8520B1" w14:textId="3B44581A" w:rsidR="00B66791" w:rsidRDefault="00787351" w:rsidP="007D3F15">
      <w:pPr>
        <w:spacing w:before="120" w:after="120"/>
        <w:rPr>
          <w:rFonts w:cs="Times New Roman"/>
          <w:szCs w:val="24"/>
          <w:highlight w:val="yellow"/>
        </w:rPr>
      </w:pPr>
      <w:r>
        <w:rPr>
          <w:rFonts w:cs="Times New Roman"/>
          <w:szCs w:val="24"/>
        </w:rPr>
        <w:t xml:space="preserve">Zgodnie z projektowanym brzmieniem § 12 </w:t>
      </w:r>
      <w:r w:rsidR="003C038E" w:rsidRPr="007D3F15">
        <w:rPr>
          <w:rFonts w:cs="Times New Roman"/>
          <w:szCs w:val="24"/>
        </w:rPr>
        <w:t>ust. 1</w:t>
      </w:r>
      <w:r w:rsidR="00421FF0" w:rsidRPr="007D3F15">
        <w:rPr>
          <w:rFonts w:cs="Times New Roman"/>
          <w:szCs w:val="24"/>
        </w:rPr>
        <w:t xml:space="preserve"> </w:t>
      </w:r>
      <w:r w:rsidR="003C038E" w:rsidRPr="007D3F15">
        <w:rPr>
          <w:rFonts w:cs="Times New Roman"/>
          <w:szCs w:val="24"/>
        </w:rPr>
        <w:t>pkt 2 lit</w:t>
      </w:r>
      <w:r w:rsidR="00641D14">
        <w:rPr>
          <w:rFonts w:cs="Times New Roman"/>
          <w:szCs w:val="24"/>
        </w:rPr>
        <w:t>.</w:t>
      </w:r>
      <w:r w:rsidR="003C038E" w:rsidRPr="007D3F15">
        <w:rPr>
          <w:rFonts w:cs="Times New Roman"/>
          <w:szCs w:val="24"/>
        </w:rPr>
        <w:t xml:space="preserve"> a–d </w:t>
      </w:r>
      <w:r w:rsidR="002A51EE">
        <w:rPr>
          <w:rFonts w:cs="Times New Roman"/>
          <w:szCs w:val="24"/>
        </w:rPr>
        <w:t>r</w:t>
      </w:r>
      <w:r>
        <w:rPr>
          <w:rFonts w:cs="Times New Roman"/>
          <w:szCs w:val="24"/>
        </w:rPr>
        <w:t xml:space="preserve">ozporządzenia przewiduje się </w:t>
      </w:r>
      <w:r w:rsidR="00421FF0" w:rsidRPr="007D3F15">
        <w:rPr>
          <w:rFonts w:cs="Times New Roman"/>
          <w:szCs w:val="24"/>
        </w:rPr>
        <w:t>obniż</w:t>
      </w:r>
      <w:r>
        <w:rPr>
          <w:rFonts w:cs="Times New Roman"/>
          <w:szCs w:val="24"/>
        </w:rPr>
        <w:t>enie</w:t>
      </w:r>
      <w:r w:rsidR="00421FF0" w:rsidRPr="007D3F15">
        <w:rPr>
          <w:rFonts w:cs="Times New Roman"/>
          <w:szCs w:val="24"/>
        </w:rPr>
        <w:t xml:space="preserve"> do równowartości w złotych 2000 euro opłaty za dokonanie na podstawie przepisów ustawy o funduszach </w:t>
      </w:r>
      <w:r w:rsidR="00421FF0" w:rsidRPr="007C6137">
        <w:rPr>
          <w:rFonts w:cs="Times New Roman"/>
          <w:szCs w:val="24"/>
        </w:rPr>
        <w:t>wpisu do rejestru,</w:t>
      </w:r>
      <w:r w:rsidR="00421FF0" w:rsidRPr="007D3F15">
        <w:rPr>
          <w:rFonts w:cs="Times New Roman"/>
          <w:szCs w:val="24"/>
        </w:rPr>
        <w:t xml:space="preserve"> o którym mowa w</w:t>
      </w:r>
      <w:r w:rsidR="00421FF0" w:rsidRPr="007D3F15">
        <w:rPr>
          <w:rFonts w:eastAsiaTheme="minorHAnsi" w:cs="Times New Roman"/>
          <w:szCs w:val="24"/>
          <w:lang w:eastAsia="en-US"/>
        </w:rPr>
        <w:t xml:space="preserve"> art. 263 </w:t>
      </w:r>
      <w:r w:rsidR="00641D14">
        <w:rPr>
          <w:rFonts w:eastAsiaTheme="minorHAnsi" w:cs="Times New Roman"/>
          <w:szCs w:val="24"/>
          <w:lang w:eastAsia="en-US"/>
        </w:rPr>
        <w:t>u</w:t>
      </w:r>
      <w:r w:rsidR="00421FF0" w:rsidRPr="007D3F15">
        <w:rPr>
          <w:rFonts w:eastAsiaTheme="minorHAnsi" w:cs="Times New Roman"/>
          <w:szCs w:val="24"/>
          <w:lang w:eastAsia="en-US"/>
        </w:rPr>
        <w:t>stawy o funduszach.</w:t>
      </w:r>
      <w:r w:rsidR="00B66791">
        <w:rPr>
          <w:rFonts w:eastAsiaTheme="minorHAnsi" w:cs="Times New Roman"/>
          <w:szCs w:val="24"/>
          <w:lang w:eastAsia="en-US"/>
        </w:rPr>
        <w:t xml:space="preserve"> </w:t>
      </w:r>
      <w:r>
        <w:rPr>
          <w:rFonts w:eastAsiaTheme="minorHAnsi" w:cs="Times New Roman"/>
          <w:szCs w:val="24"/>
          <w:lang w:eastAsia="en-US"/>
        </w:rPr>
        <w:t xml:space="preserve">Dodatkowo przewiduje się w ww. jednostce redakcyjnej </w:t>
      </w:r>
      <w:r w:rsidR="00421FF0" w:rsidRPr="00B66791">
        <w:rPr>
          <w:rFonts w:cs="Times New Roman"/>
          <w:szCs w:val="24"/>
        </w:rPr>
        <w:t>doda</w:t>
      </w:r>
      <w:r>
        <w:rPr>
          <w:rFonts w:cs="Times New Roman"/>
          <w:szCs w:val="24"/>
        </w:rPr>
        <w:t>nie</w:t>
      </w:r>
      <w:r w:rsidR="00421FF0" w:rsidRPr="00B66791">
        <w:rPr>
          <w:rFonts w:cs="Times New Roman"/>
          <w:szCs w:val="24"/>
        </w:rPr>
        <w:t xml:space="preserve"> lit. e</w:t>
      </w:r>
      <w:r w:rsidR="00641D14">
        <w:rPr>
          <w:rFonts w:cs="Times New Roman"/>
          <w:szCs w:val="24"/>
        </w:rPr>
        <w:t xml:space="preserve"> oraz </w:t>
      </w:r>
      <w:r w:rsidR="00421FF0" w:rsidRPr="00B66791">
        <w:rPr>
          <w:rFonts w:cs="Times New Roman"/>
          <w:szCs w:val="24"/>
        </w:rPr>
        <w:t xml:space="preserve">f, </w:t>
      </w:r>
      <w:r>
        <w:rPr>
          <w:rFonts w:cs="Times New Roman"/>
          <w:szCs w:val="24"/>
        </w:rPr>
        <w:t xml:space="preserve">które przewidują określenie opłat </w:t>
      </w:r>
      <w:r w:rsidR="00421FF0" w:rsidRPr="00B66791">
        <w:rPr>
          <w:rFonts w:cs="Times New Roman"/>
          <w:szCs w:val="24"/>
        </w:rPr>
        <w:t xml:space="preserve">za wpis do </w:t>
      </w:r>
      <w:r>
        <w:rPr>
          <w:rFonts w:cs="Times New Roman"/>
          <w:szCs w:val="24"/>
        </w:rPr>
        <w:t xml:space="preserve">ww. </w:t>
      </w:r>
      <w:r w:rsidR="00421FF0" w:rsidRPr="00B66791">
        <w:rPr>
          <w:rFonts w:cs="Times New Roman"/>
          <w:szCs w:val="24"/>
        </w:rPr>
        <w:t xml:space="preserve">rejestru </w:t>
      </w:r>
      <w:r w:rsidR="00EF564D" w:rsidRPr="00B66791">
        <w:rPr>
          <w:rFonts w:cs="Times New Roman"/>
          <w:szCs w:val="24"/>
        </w:rPr>
        <w:t>drugi</w:t>
      </w:r>
      <w:r>
        <w:rPr>
          <w:rFonts w:cs="Times New Roman"/>
          <w:szCs w:val="24"/>
        </w:rPr>
        <w:t>ego</w:t>
      </w:r>
      <w:r w:rsidR="00EF564D" w:rsidRPr="00B66791">
        <w:rPr>
          <w:rFonts w:cs="Times New Roman"/>
          <w:szCs w:val="24"/>
        </w:rPr>
        <w:t xml:space="preserve"> i każd</w:t>
      </w:r>
      <w:r>
        <w:rPr>
          <w:rFonts w:cs="Times New Roman"/>
          <w:szCs w:val="24"/>
        </w:rPr>
        <w:t>ego</w:t>
      </w:r>
      <w:r w:rsidR="00EF564D" w:rsidRPr="00B66791">
        <w:rPr>
          <w:rFonts w:cs="Times New Roman"/>
          <w:szCs w:val="24"/>
        </w:rPr>
        <w:t xml:space="preserve"> następn</w:t>
      </w:r>
      <w:r>
        <w:rPr>
          <w:rFonts w:cs="Times New Roman"/>
          <w:szCs w:val="24"/>
        </w:rPr>
        <w:t>ego</w:t>
      </w:r>
      <w:r w:rsidR="00EF564D" w:rsidRPr="00B66791">
        <w:rPr>
          <w:rFonts w:cs="Times New Roman"/>
          <w:szCs w:val="24"/>
        </w:rPr>
        <w:t xml:space="preserve"> subfundusz</w:t>
      </w:r>
      <w:r>
        <w:rPr>
          <w:rFonts w:cs="Times New Roman"/>
          <w:szCs w:val="24"/>
        </w:rPr>
        <w:t>u</w:t>
      </w:r>
      <w:r w:rsidR="00EF564D" w:rsidRPr="00B66791">
        <w:rPr>
          <w:rFonts w:cs="Times New Roman"/>
          <w:szCs w:val="24"/>
        </w:rPr>
        <w:t xml:space="preserve"> wydzielon</w:t>
      </w:r>
      <w:r>
        <w:rPr>
          <w:rFonts w:cs="Times New Roman"/>
          <w:szCs w:val="24"/>
        </w:rPr>
        <w:t>ego</w:t>
      </w:r>
      <w:r w:rsidR="00421FF0" w:rsidRPr="00B66791">
        <w:rPr>
          <w:rFonts w:cs="Times New Roman"/>
          <w:szCs w:val="24"/>
        </w:rPr>
        <w:t xml:space="preserve"> w funduszu zagranicznym z wydzielonymi subfunduszami </w:t>
      </w:r>
      <w:r w:rsidR="00EF564D" w:rsidRPr="00B66791">
        <w:rPr>
          <w:rFonts w:cs="Times New Roman"/>
          <w:szCs w:val="24"/>
        </w:rPr>
        <w:t>oraz subfundusz</w:t>
      </w:r>
      <w:r>
        <w:rPr>
          <w:rFonts w:cs="Times New Roman"/>
          <w:szCs w:val="24"/>
        </w:rPr>
        <w:t>u</w:t>
      </w:r>
      <w:r w:rsidR="00EF564D" w:rsidRPr="00B66791">
        <w:rPr>
          <w:rFonts w:cs="Times New Roman"/>
          <w:szCs w:val="24"/>
        </w:rPr>
        <w:t xml:space="preserve"> wydzielon</w:t>
      </w:r>
      <w:r>
        <w:rPr>
          <w:rFonts w:cs="Times New Roman"/>
          <w:szCs w:val="24"/>
        </w:rPr>
        <w:t>ego</w:t>
      </w:r>
      <w:r w:rsidR="00421FF0" w:rsidRPr="00B66791">
        <w:rPr>
          <w:rFonts w:cs="Times New Roman"/>
          <w:szCs w:val="24"/>
        </w:rPr>
        <w:t xml:space="preserve"> w funduszu inwestycyjnym otwartym z wydzielonymi subfunduszami z siedzibą w państwie należącym do EEA</w:t>
      </w:r>
      <w:r w:rsidR="00EF564D" w:rsidRPr="00B66791">
        <w:rPr>
          <w:rFonts w:cs="Times New Roman"/>
          <w:szCs w:val="24"/>
        </w:rPr>
        <w:t xml:space="preserve">. W obu wymienionych przypadkach wprowadza </w:t>
      </w:r>
      <w:r w:rsidR="0062782A">
        <w:rPr>
          <w:rFonts w:cs="Times New Roman"/>
          <w:szCs w:val="24"/>
        </w:rPr>
        <w:t xml:space="preserve">się </w:t>
      </w:r>
      <w:r w:rsidR="00EF564D" w:rsidRPr="00B66791">
        <w:rPr>
          <w:rFonts w:cs="Times New Roman"/>
          <w:szCs w:val="24"/>
        </w:rPr>
        <w:t xml:space="preserve">konieczność uiszczenia opłaty w wysokości </w:t>
      </w:r>
      <w:r w:rsidR="00321C8E">
        <w:rPr>
          <w:rFonts w:cs="Times New Roman"/>
          <w:szCs w:val="24"/>
        </w:rPr>
        <w:t xml:space="preserve">równowartości w złotych </w:t>
      </w:r>
      <w:r w:rsidR="00EF564D" w:rsidRPr="00B66791">
        <w:rPr>
          <w:rFonts w:cs="Times New Roman"/>
          <w:szCs w:val="24"/>
        </w:rPr>
        <w:t xml:space="preserve">300 euro. </w:t>
      </w:r>
      <w:r w:rsidR="00163737">
        <w:rPr>
          <w:rFonts w:cs="Times New Roman"/>
          <w:szCs w:val="24"/>
        </w:rPr>
        <w:t>Zgodnie z art. 2</w:t>
      </w:r>
      <w:r w:rsidR="004D6145">
        <w:rPr>
          <w:rFonts w:cs="Times New Roman"/>
          <w:szCs w:val="24"/>
        </w:rPr>
        <w:t>36</w:t>
      </w:r>
      <w:r w:rsidR="00163737">
        <w:rPr>
          <w:rFonts w:cs="Times New Roman"/>
          <w:szCs w:val="24"/>
        </w:rPr>
        <w:t xml:space="preserve"> ust. 2 ustawy o funduszach w</w:t>
      </w:r>
      <w:r w:rsidR="00163737" w:rsidRPr="00163737">
        <w:rPr>
          <w:rFonts w:cs="Times New Roman"/>
          <w:szCs w:val="24"/>
        </w:rPr>
        <w:t>pis do rejestru, o którym mowa w art. 263</w:t>
      </w:r>
      <w:r w:rsidR="00163737">
        <w:rPr>
          <w:rFonts w:cs="Times New Roman"/>
          <w:szCs w:val="24"/>
        </w:rPr>
        <w:t xml:space="preserve"> </w:t>
      </w:r>
      <w:r w:rsidR="004D6145">
        <w:rPr>
          <w:rFonts w:cs="Times New Roman"/>
          <w:szCs w:val="24"/>
        </w:rPr>
        <w:t xml:space="preserve">tej </w:t>
      </w:r>
      <w:r w:rsidR="00163737">
        <w:rPr>
          <w:rFonts w:cs="Times New Roman"/>
          <w:szCs w:val="24"/>
        </w:rPr>
        <w:t>ustawy</w:t>
      </w:r>
      <w:r w:rsidR="00163737" w:rsidRPr="00163737">
        <w:rPr>
          <w:rFonts w:cs="Times New Roman"/>
          <w:szCs w:val="24"/>
        </w:rPr>
        <w:t>, odpowiednio funduszu zagranicznego lub funduszu inwest</w:t>
      </w:r>
      <w:r w:rsidR="002A51EE">
        <w:rPr>
          <w:rFonts w:cs="Times New Roman"/>
          <w:szCs w:val="24"/>
        </w:rPr>
        <w:t>ycyjnego otwartego z siedzibą w </w:t>
      </w:r>
      <w:r w:rsidR="00163737" w:rsidRPr="00163737">
        <w:rPr>
          <w:rFonts w:cs="Times New Roman"/>
          <w:szCs w:val="24"/>
        </w:rPr>
        <w:t>państwie należącym do EEA, podlega opłacie w wysokości nie większej niż równowartość w złotych 4500 euro. W przypadku funduszu z wydzielonymi subfunduszami takiej opłacie podlega również wpis do rejestru drugiego i każdego następnego subfunduszu.</w:t>
      </w:r>
      <w:r w:rsidR="001F5CFD">
        <w:rPr>
          <w:rFonts w:cs="Times New Roman"/>
          <w:szCs w:val="24"/>
        </w:rPr>
        <w:t xml:space="preserve"> S</w:t>
      </w:r>
      <w:r w:rsidR="001F5CFD" w:rsidRPr="001F5CFD">
        <w:rPr>
          <w:rFonts w:cs="Times New Roman"/>
          <w:szCs w:val="24"/>
        </w:rPr>
        <w:t>tawki zostały określone przy uwzględnieniu zakresu właściwości KNF – jako organu nadzoru państwa goszczącego, wynikającej z przepisów prawa unijnego jak i krajowego, jak również przy uwzględnieniu oczekiwań prawodawcy unijnego</w:t>
      </w:r>
      <w:r w:rsidR="002A51EE">
        <w:rPr>
          <w:rFonts w:cs="Times New Roman"/>
          <w:szCs w:val="24"/>
        </w:rPr>
        <w:t xml:space="preserve"> odnośnie opłat, wynikających z </w:t>
      </w:r>
      <w:r w:rsidR="001F5CFD" w:rsidRPr="001F5CFD">
        <w:rPr>
          <w:rFonts w:cs="Times New Roman"/>
          <w:szCs w:val="24"/>
        </w:rPr>
        <w:t xml:space="preserve">rozporządzenia </w:t>
      </w:r>
      <w:r w:rsidR="004D6145" w:rsidRPr="004D6145">
        <w:rPr>
          <w:rFonts w:cs="Times New Roman"/>
          <w:szCs w:val="24"/>
        </w:rPr>
        <w:t>Parlamentu Europejskiego i Rady (UE) 2019/1156 z dnia 20 czerwca 2019 r. w sprawie ułatwienia transgranicznej dystrybucji przedsiębiorstw zbiorowego inwestowania oraz zmiany rozporządzeń (UE) nr 345/2013, (UE) nr 346/2013 i (UE) nr 1286/2014 (Dz.</w:t>
      </w:r>
      <w:r w:rsidR="004D6145">
        <w:rPr>
          <w:rFonts w:cs="Times New Roman"/>
          <w:szCs w:val="24"/>
        </w:rPr>
        <w:t xml:space="preserve"> </w:t>
      </w:r>
      <w:r w:rsidR="004D6145" w:rsidRPr="004D6145">
        <w:rPr>
          <w:rFonts w:cs="Times New Roman"/>
          <w:szCs w:val="24"/>
        </w:rPr>
        <w:t>Urz. UE L 188 z 12.07.2019, str. 55)</w:t>
      </w:r>
      <w:r w:rsidR="001F5CFD" w:rsidRPr="001F5CFD">
        <w:rPr>
          <w:rFonts w:cs="Times New Roman"/>
          <w:szCs w:val="24"/>
        </w:rPr>
        <w:t xml:space="preserve">. Zgodnie z motywem 8 preambuły tego rozporządzenia „opłaty i prowizje nakładane przez właściwe organy z tytułu nadzoru działań transgranicznych” powinny być „proporcjonalne do wykonywanych zadań nadzorczych”. Natomiast art. 9 ust. 1 </w:t>
      </w:r>
      <w:r w:rsidR="00321C8E">
        <w:rPr>
          <w:rFonts w:cs="Times New Roman"/>
          <w:szCs w:val="24"/>
        </w:rPr>
        <w:lastRenderedPageBreak/>
        <w:t xml:space="preserve">ww. </w:t>
      </w:r>
      <w:r w:rsidR="001F5CFD" w:rsidRPr="001F5CFD">
        <w:rPr>
          <w:rFonts w:cs="Times New Roman"/>
          <w:szCs w:val="24"/>
        </w:rPr>
        <w:t xml:space="preserve">rozporządzenia wskazuje, że </w:t>
      </w:r>
      <w:r w:rsidR="00321C8E">
        <w:rPr>
          <w:rFonts w:cs="Times New Roman"/>
          <w:szCs w:val="24"/>
        </w:rPr>
        <w:t xml:space="preserve">opłaty </w:t>
      </w:r>
      <w:r w:rsidR="001F5CFD" w:rsidRPr="001F5CFD">
        <w:rPr>
          <w:rFonts w:cs="Times New Roman"/>
          <w:szCs w:val="24"/>
        </w:rPr>
        <w:t>powinny być „spójne z ogólnymi kosztami związanymi z wykonywaniem funkcji właściwego organu</w:t>
      </w:r>
      <w:r w:rsidR="004D6145">
        <w:rPr>
          <w:rFonts w:cs="Times New Roman"/>
          <w:szCs w:val="24"/>
        </w:rPr>
        <w:t>”</w:t>
      </w:r>
      <w:r w:rsidR="001F5CFD" w:rsidRPr="001F5CFD">
        <w:rPr>
          <w:rFonts w:cs="Times New Roman"/>
          <w:szCs w:val="24"/>
        </w:rPr>
        <w:t xml:space="preserve">. </w:t>
      </w:r>
    </w:p>
    <w:p w14:paraId="3E14908F" w14:textId="34D63C64" w:rsidR="00EF564D" w:rsidRPr="0095119A" w:rsidRDefault="00D25953" w:rsidP="007D3F15">
      <w:pPr>
        <w:spacing w:before="120" w:after="120"/>
        <w:rPr>
          <w:rFonts w:eastAsiaTheme="minorHAnsi" w:cs="Times New Roman"/>
          <w:szCs w:val="24"/>
          <w:lang w:eastAsia="en-US"/>
        </w:rPr>
      </w:pPr>
      <w:r>
        <w:rPr>
          <w:rFonts w:cs="Times New Roman"/>
          <w:color w:val="000000" w:themeColor="text1"/>
          <w:szCs w:val="24"/>
        </w:rPr>
        <w:t xml:space="preserve">W projektowanym brzmieniu </w:t>
      </w:r>
      <w:r w:rsidR="00EF564D" w:rsidRPr="0095119A">
        <w:rPr>
          <w:rFonts w:cs="Times New Roman"/>
          <w:szCs w:val="24"/>
        </w:rPr>
        <w:t xml:space="preserve">§ 12 </w:t>
      </w:r>
      <w:r w:rsidR="00641D14">
        <w:rPr>
          <w:rFonts w:cs="Times New Roman"/>
          <w:szCs w:val="24"/>
        </w:rPr>
        <w:t>ust. 1 pkt 3</w:t>
      </w:r>
      <w:r w:rsidR="002A51EE">
        <w:rPr>
          <w:rFonts w:cs="Times New Roman"/>
          <w:szCs w:val="24"/>
        </w:rPr>
        <w:t xml:space="preserve"> r</w:t>
      </w:r>
      <w:r>
        <w:rPr>
          <w:rFonts w:cs="Times New Roman"/>
          <w:szCs w:val="24"/>
        </w:rPr>
        <w:t xml:space="preserve">ozporządzenia przewiduje się </w:t>
      </w:r>
      <w:r w:rsidR="00EF564D" w:rsidRPr="0095119A">
        <w:rPr>
          <w:rFonts w:cs="Times New Roman"/>
          <w:szCs w:val="24"/>
        </w:rPr>
        <w:t>rozszerz</w:t>
      </w:r>
      <w:r>
        <w:rPr>
          <w:rFonts w:cs="Times New Roman"/>
          <w:szCs w:val="24"/>
        </w:rPr>
        <w:t>enie</w:t>
      </w:r>
      <w:r w:rsidR="00EF564D" w:rsidRPr="0095119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podmiotów </w:t>
      </w:r>
      <w:r w:rsidR="00EF564D" w:rsidRPr="0095119A">
        <w:rPr>
          <w:rFonts w:cs="Times New Roman"/>
          <w:szCs w:val="24"/>
        </w:rPr>
        <w:t xml:space="preserve">objętych obowiązkiem dokonania opłaty </w:t>
      </w:r>
      <w:r w:rsidR="00EF564D" w:rsidRPr="007C6137">
        <w:rPr>
          <w:rFonts w:cs="Times New Roman"/>
          <w:szCs w:val="24"/>
        </w:rPr>
        <w:t>za wpis do rejestru</w:t>
      </w:r>
      <w:r>
        <w:rPr>
          <w:rFonts w:cs="Times New Roman"/>
          <w:szCs w:val="24"/>
        </w:rPr>
        <w:t>, o którym mowa w art. 263r ustawy o funduszach,</w:t>
      </w:r>
      <w:r w:rsidR="00EF564D" w:rsidRPr="0095119A">
        <w:rPr>
          <w:rFonts w:cs="Times New Roman"/>
          <w:szCs w:val="24"/>
        </w:rPr>
        <w:t xml:space="preserve"> o unijne AFI</w:t>
      </w:r>
      <w:r w:rsidR="0095119A" w:rsidRPr="0095119A">
        <w:rPr>
          <w:rFonts w:cs="Times New Roman"/>
          <w:szCs w:val="24"/>
        </w:rPr>
        <w:t xml:space="preserve"> oraz drugie i każde następne subfundusze wydzielone</w:t>
      </w:r>
      <w:r w:rsidR="00EF564D" w:rsidRPr="0095119A">
        <w:rPr>
          <w:rFonts w:cs="Times New Roman"/>
          <w:szCs w:val="24"/>
        </w:rPr>
        <w:t xml:space="preserve"> w </w:t>
      </w:r>
      <w:r>
        <w:rPr>
          <w:rFonts w:cs="Times New Roman"/>
          <w:szCs w:val="24"/>
        </w:rPr>
        <w:t xml:space="preserve">tym </w:t>
      </w:r>
      <w:r w:rsidR="00EF564D" w:rsidRPr="0095119A">
        <w:rPr>
          <w:rFonts w:cs="Times New Roman"/>
          <w:szCs w:val="24"/>
        </w:rPr>
        <w:t xml:space="preserve">unijnym AFI. </w:t>
      </w:r>
      <w:r w:rsidR="00C87383">
        <w:rPr>
          <w:rFonts w:cs="Times New Roman"/>
          <w:szCs w:val="24"/>
        </w:rPr>
        <w:t xml:space="preserve">Opłata będzie wynosiła </w:t>
      </w:r>
      <w:r>
        <w:rPr>
          <w:rFonts w:cs="Times New Roman"/>
          <w:szCs w:val="24"/>
        </w:rPr>
        <w:t xml:space="preserve">odpowiednio równowartość </w:t>
      </w:r>
      <w:r w:rsidR="00321C8E">
        <w:rPr>
          <w:rFonts w:cs="Times New Roman"/>
          <w:szCs w:val="24"/>
        </w:rPr>
        <w:t xml:space="preserve">w złotych </w:t>
      </w:r>
      <w:r w:rsidR="00C87383">
        <w:rPr>
          <w:rFonts w:cs="Times New Roman"/>
          <w:szCs w:val="24"/>
        </w:rPr>
        <w:t>300 euro albo 1200 euro.</w:t>
      </w:r>
      <w:r w:rsidR="00163737">
        <w:rPr>
          <w:rFonts w:cs="Times New Roman"/>
          <w:szCs w:val="24"/>
        </w:rPr>
        <w:t xml:space="preserve"> Proponowana zmiana wynika z </w:t>
      </w:r>
      <w:r w:rsidR="00B060FC">
        <w:rPr>
          <w:rFonts w:cs="Times New Roman"/>
          <w:szCs w:val="24"/>
        </w:rPr>
        <w:t>art. 236 ust. 2h</w:t>
      </w:r>
      <w:r w:rsidR="00754A76">
        <w:rPr>
          <w:rFonts w:cs="Times New Roman"/>
          <w:szCs w:val="24"/>
        </w:rPr>
        <w:t xml:space="preserve"> ustawy o funduszach</w:t>
      </w:r>
      <w:r w:rsidR="00B060FC">
        <w:rPr>
          <w:rFonts w:cs="Times New Roman"/>
          <w:szCs w:val="24"/>
        </w:rPr>
        <w:t>, z którego wynika, że w</w:t>
      </w:r>
      <w:r w:rsidR="00B060FC" w:rsidRPr="00B060FC">
        <w:rPr>
          <w:rFonts w:cs="Times New Roman"/>
          <w:szCs w:val="24"/>
        </w:rPr>
        <w:t>pis unijnego AFI do rejestru, o którym mowa w art. 263r ust. 1</w:t>
      </w:r>
      <w:r w:rsidR="00754A76">
        <w:rPr>
          <w:rFonts w:cs="Times New Roman"/>
          <w:szCs w:val="24"/>
        </w:rPr>
        <w:t xml:space="preserve"> tej ustawy</w:t>
      </w:r>
      <w:r w:rsidR="00B060FC" w:rsidRPr="00B060FC">
        <w:rPr>
          <w:rFonts w:cs="Times New Roman"/>
          <w:szCs w:val="24"/>
        </w:rPr>
        <w:t>, podlega opłacie w wysokości nie większej niż równowartość w złotych 2500 euro. W przypadku funduszu z wydzielonymi subfunduszami takiej opłacie podlega również wpis do rejestru drugiego i każdego następnego subfunduszu.</w:t>
      </w:r>
      <w:r w:rsidR="00754A76">
        <w:rPr>
          <w:rFonts w:cs="Times New Roman"/>
          <w:szCs w:val="24"/>
        </w:rPr>
        <w:t xml:space="preserve"> Wys</w:t>
      </w:r>
      <w:r w:rsidR="00521912">
        <w:rPr>
          <w:rFonts w:cs="Times New Roman"/>
          <w:szCs w:val="24"/>
        </w:rPr>
        <w:t>okość opłaty została ustalona z </w:t>
      </w:r>
      <w:r w:rsidR="00754A76">
        <w:rPr>
          <w:rFonts w:cs="Times New Roman"/>
          <w:szCs w:val="24"/>
        </w:rPr>
        <w:t>uwzględnieniem kryteriów</w:t>
      </w:r>
      <w:r w:rsidR="00321C8E">
        <w:rPr>
          <w:rFonts w:cs="Times New Roman"/>
          <w:szCs w:val="24"/>
        </w:rPr>
        <w:t>,</w:t>
      </w:r>
      <w:r w:rsidR="00754A76">
        <w:rPr>
          <w:rFonts w:cs="Times New Roman"/>
          <w:szCs w:val="24"/>
        </w:rPr>
        <w:t xml:space="preserve"> </w:t>
      </w:r>
      <w:r w:rsidR="00371005">
        <w:rPr>
          <w:rFonts w:cs="Times New Roman"/>
          <w:szCs w:val="24"/>
        </w:rPr>
        <w:t>jakie zostały wskazane w pr</w:t>
      </w:r>
      <w:r w:rsidR="00521912">
        <w:rPr>
          <w:rFonts w:cs="Times New Roman"/>
          <w:szCs w:val="24"/>
        </w:rPr>
        <w:t>zypadku opłat, o których mowa w </w:t>
      </w:r>
      <w:r w:rsidR="00321C8E">
        <w:rPr>
          <w:rFonts w:cs="Times New Roman"/>
          <w:szCs w:val="24"/>
        </w:rPr>
        <w:t xml:space="preserve">projektowanym </w:t>
      </w:r>
      <w:r w:rsidR="00521912">
        <w:rPr>
          <w:rFonts w:cs="Times New Roman"/>
          <w:szCs w:val="24"/>
        </w:rPr>
        <w:t>§ 12 ust. 1 pkt 2 r</w:t>
      </w:r>
      <w:r w:rsidR="00371005">
        <w:rPr>
          <w:rFonts w:cs="Times New Roman"/>
          <w:szCs w:val="24"/>
        </w:rPr>
        <w:t>ozporządzenia.</w:t>
      </w:r>
    </w:p>
    <w:p w14:paraId="03F74467" w14:textId="41BF3C02" w:rsidR="00D73C77" w:rsidRPr="007D3F15" w:rsidRDefault="00343380" w:rsidP="007D3F15">
      <w:pPr>
        <w:spacing w:before="120" w:after="120"/>
        <w:rPr>
          <w:rFonts w:cs="Times New Roman"/>
          <w:szCs w:val="24"/>
        </w:rPr>
      </w:pPr>
      <w:r w:rsidRPr="00343380">
        <w:rPr>
          <w:rFonts w:cs="Times New Roman"/>
          <w:color w:val="000000" w:themeColor="text1"/>
          <w:szCs w:val="24"/>
        </w:rPr>
        <w:t xml:space="preserve">W projektowanym brzmieniu </w:t>
      </w:r>
      <w:r w:rsidR="00D73C77" w:rsidRPr="007D3F15">
        <w:rPr>
          <w:rFonts w:cs="Times New Roman"/>
          <w:szCs w:val="24"/>
        </w:rPr>
        <w:t>§ 12 ust. 2</w:t>
      </w:r>
      <w:r w:rsidR="00521912">
        <w:rPr>
          <w:rFonts w:cs="Times New Roman"/>
          <w:szCs w:val="24"/>
        </w:rPr>
        <w:t xml:space="preserve"> r</w:t>
      </w:r>
      <w:r>
        <w:rPr>
          <w:rFonts w:cs="Times New Roman"/>
          <w:szCs w:val="24"/>
        </w:rPr>
        <w:t>ozporządzenia przewiduje się regulację</w:t>
      </w:r>
      <w:r w:rsidR="00D73C77" w:rsidRPr="007D3F15">
        <w:rPr>
          <w:rFonts w:cs="Times New Roman"/>
          <w:szCs w:val="24"/>
        </w:rPr>
        <w:t xml:space="preserve">, </w:t>
      </w:r>
      <w:r w:rsidR="00521912">
        <w:rPr>
          <w:rFonts w:cs="Times New Roman"/>
          <w:szCs w:val="24"/>
        </w:rPr>
        <w:t>zgodnie z </w:t>
      </w:r>
      <w:r>
        <w:rPr>
          <w:rFonts w:cs="Times New Roman"/>
          <w:szCs w:val="24"/>
        </w:rPr>
        <w:t xml:space="preserve">którą </w:t>
      </w:r>
      <w:r w:rsidR="00047DED">
        <w:rPr>
          <w:rFonts w:cs="Times New Roman"/>
          <w:szCs w:val="24"/>
        </w:rPr>
        <w:t xml:space="preserve">w przypadku </w:t>
      </w:r>
      <w:r w:rsidR="00D73C77" w:rsidRPr="007D3F15">
        <w:rPr>
          <w:rFonts w:cs="Times New Roman"/>
          <w:szCs w:val="24"/>
        </w:rPr>
        <w:t>funduszu unijnego AFI z wydzielonymi subfunduszami, którego przynajmniej jeden subfundusz może być wprowadzany do obrotu na terytorium Rzeczypospolitej Polskiej wśród klientów detalicznych</w:t>
      </w:r>
      <w:r w:rsidR="00047DED">
        <w:rPr>
          <w:rFonts w:cs="Times New Roman"/>
          <w:szCs w:val="24"/>
        </w:rPr>
        <w:t>,</w:t>
      </w:r>
      <w:r w:rsidR="00D73C77" w:rsidRPr="007D3F15">
        <w:rPr>
          <w:rFonts w:cs="Times New Roman"/>
          <w:szCs w:val="24"/>
        </w:rPr>
        <w:t xml:space="preserve"> </w:t>
      </w:r>
      <w:r w:rsidR="00402793" w:rsidRPr="007D3F15">
        <w:rPr>
          <w:rFonts w:cs="Times New Roman"/>
          <w:szCs w:val="24"/>
        </w:rPr>
        <w:t xml:space="preserve">za pierwszy subfundusz, </w:t>
      </w:r>
      <w:r w:rsidR="00047DED">
        <w:rPr>
          <w:rFonts w:cs="Times New Roman"/>
          <w:szCs w:val="24"/>
        </w:rPr>
        <w:t xml:space="preserve">który </w:t>
      </w:r>
      <w:r w:rsidR="00402793" w:rsidRPr="007D3F15">
        <w:rPr>
          <w:rFonts w:cs="Times New Roman"/>
          <w:szCs w:val="24"/>
        </w:rPr>
        <w:t>nie podlega opłacie</w:t>
      </w:r>
      <w:r w:rsidR="0062782A">
        <w:rPr>
          <w:rFonts w:cs="Times New Roman"/>
          <w:szCs w:val="24"/>
        </w:rPr>
        <w:t xml:space="preserve"> </w:t>
      </w:r>
      <w:r w:rsidR="00402793" w:rsidRPr="007D3F15">
        <w:rPr>
          <w:rFonts w:cs="Times New Roman"/>
          <w:szCs w:val="24"/>
        </w:rPr>
        <w:t xml:space="preserve">uznaje się subfundusz, który może być wprowadzany do obrotu na terytorium Rzeczypospolitej Polskiej wśród </w:t>
      </w:r>
      <w:r w:rsidR="003E1809">
        <w:rPr>
          <w:rFonts w:cs="Times New Roman"/>
          <w:szCs w:val="24"/>
        </w:rPr>
        <w:t>klientów</w:t>
      </w:r>
      <w:r w:rsidR="00402793" w:rsidRPr="007D3F15">
        <w:rPr>
          <w:rFonts w:cs="Times New Roman"/>
          <w:szCs w:val="24"/>
        </w:rPr>
        <w:t xml:space="preserve"> detalicznych.</w:t>
      </w:r>
    </w:p>
    <w:p w14:paraId="257ABD5B" w14:textId="65CEA3AC" w:rsidR="00615BEA" w:rsidRPr="007D3F15" w:rsidRDefault="00615BEA" w:rsidP="00101CAE">
      <w:pPr>
        <w:spacing w:before="120" w:after="120"/>
        <w:rPr>
          <w:rFonts w:cs="Times New Roman"/>
          <w:szCs w:val="24"/>
        </w:rPr>
      </w:pPr>
      <w:r w:rsidRPr="007D3F15">
        <w:rPr>
          <w:rFonts w:cs="Times New Roman"/>
          <w:color w:val="000000" w:themeColor="text1"/>
          <w:szCs w:val="24"/>
        </w:rPr>
        <w:t xml:space="preserve">W </w:t>
      </w:r>
      <w:r w:rsidRPr="007D3F15">
        <w:rPr>
          <w:rFonts w:cs="Times New Roman"/>
          <w:b/>
          <w:szCs w:val="24"/>
        </w:rPr>
        <w:t>§ 1</w:t>
      </w:r>
      <w:r w:rsidRPr="007D3F15">
        <w:rPr>
          <w:rFonts w:cs="Times New Roman"/>
          <w:szCs w:val="24"/>
        </w:rPr>
        <w:t xml:space="preserve"> </w:t>
      </w:r>
      <w:r w:rsidR="00E10E38" w:rsidRPr="00B45CBF">
        <w:rPr>
          <w:rFonts w:cs="Times New Roman"/>
          <w:b/>
          <w:szCs w:val="24"/>
        </w:rPr>
        <w:t>pkt 5</w:t>
      </w:r>
      <w:r w:rsidRPr="007D3F15">
        <w:rPr>
          <w:rFonts w:cs="Times New Roman"/>
          <w:szCs w:val="24"/>
        </w:rPr>
        <w:t xml:space="preserve"> </w:t>
      </w:r>
      <w:r w:rsidR="00BF5738">
        <w:rPr>
          <w:rFonts w:cs="Times New Roman"/>
          <w:b/>
          <w:szCs w:val="24"/>
        </w:rPr>
        <w:t>projektu rozporządzenia</w:t>
      </w:r>
      <w:r w:rsidR="00BF5738" w:rsidRPr="007D3F15">
        <w:rPr>
          <w:rFonts w:cs="Times New Roman"/>
          <w:szCs w:val="24"/>
        </w:rPr>
        <w:t xml:space="preserve"> </w:t>
      </w:r>
      <w:r w:rsidR="007B2D4E">
        <w:rPr>
          <w:rFonts w:cs="Times New Roman"/>
          <w:szCs w:val="24"/>
        </w:rPr>
        <w:t xml:space="preserve">przewiduje się </w:t>
      </w:r>
      <w:r w:rsidRPr="007D3F15">
        <w:rPr>
          <w:rFonts w:cs="Times New Roman"/>
          <w:szCs w:val="24"/>
        </w:rPr>
        <w:t>doda</w:t>
      </w:r>
      <w:r w:rsidR="007B2D4E">
        <w:rPr>
          <w:rFonts w:cs="Times New Roman"/>
          <w:szCs w:val="24"/>
        </w:rPr>
        <w:t>nie</w:t>
      </w:r>
      <w:r w:rsidRPr="007D3F15">
        <w:rPr>
          <w:rFonts w:cs="Times New Roman"/>
          <w:szCs w:val="24"/>
        </w:rPr>
        <w:t xml:space="preserve"> § 15a</w:t>
      </w:r>
      <w:r w:rsidR="00521912">
        <w:rPr>
          <w:rFonts w:cs="Times New Roman"/>
          <w:szCs w:val="24"/>
        </w:rPr>
        <w:t xml:space="preserve"> r</w:t>
      </w:r>
      <w:r w:rsidR="007B2D4E">
        <w:rPr>
          <w:rFonts w:cs="Times New Roman"/>
          <w:szCs w:val="24"/>
        </w:rPr>
        <w:t>ozporządzenia</w:t>
      </w:r>
      <w:r w:rsidR="00D71AC7">
        <w:rPr>
          <w:rFonts w:cs="Times New Roman"/>
          <w:szCs w:val="24"/>
        </w:rPr>
        <w:t xml:space="preserve">, który </w:t>
      </w:r>
      <w:r w:rsidR="007B2D4E">
        <w:rPr>
          <w:rFonts w:cs="Times New Roman"/>
          <w:szCs w:val="24"/>
        </w:rPr>
        <w:t xml:space="preserve">reguluje kwestie wysokości </w:t>
      </w:r>
      <w:r w:rsidR="00D71AC7">
        <w:rPr>
          <w:rFonts w:cs="Times New Roman"/>
          <w:szCs w:val="24"/>
        </w:rPr>
        <w:t>opłat</w:t>
      </w:r>
      <w:r w:rsidRPr="007D3F15">
        <w:rPr>
          <w:rFonts w:cs="Times New Roman"/>
          <w:szCs w:val="24"/>
        </w:rPr>
        <w:t xml:space="preserve"> roczn</w:t>
      </w:r>
      <w:r w:rsidR="007B2D4E">
        <w:rPr>
          <w:rFonts w:cs="Times New Roman"/>
          <w:szCs w:val="24"/>
        </w:rPr>
        <w:t>ych</w:t>
      </w:r>
      <w:r w:rsidRPr="007D3F15">
        <w:rPr>
          <w:rFonts w:cs="Times New Roman"/>
          <w:szCs w:val="24"/>
        </w:rPr>
        <w:t>, o któr</w:t>
      </w:r>
      <w:r w:rsidR="007B2D4E">
        <w:rPr>
          <w:rFonts w:cs="Times New Roman"/>
          <w:szCs w:val="24"/>
        </w:rPr>
        <w:t>ych</w:t>
      </w:r>
      <w:r w:rsidRPr="007D3F15">
        <w:rPr>
          <w:rFonts w:cs="Times New Roman"/>
          <w:szCs w:val="24"/>
        </w:rPr>
        <w:t xml:space="preserve"> mowa w art. 236 ust. 2i </w:t>
      </w:r>
      <w:r w:rsidR="0079152C">
        <w:rPr>
          <w:rFonts w:cs="Times New Roman"/>
          <w:szCs w:val="24"/>
        </w:rPr>
        <w:t>oraz</w:t>
      </w:r>
      <w:r w:rsidR="00492828" w:rsidRPr="007D3F15">
        <w:rPr>
          <w:rFonts w:cs="Times New Roman"/>
          <w:szCs w:val="24"/>
        </w:rPr>
        <w:t xml:space="preserve"> </w:t>
      </w:r>
      <w:r w:rsidRPr="007D3F15">
        <w:rPr>
          <w:rFonts w:cs="Times New Roman"/>
          <w:szCs w:val="24"/>
        </w:rPr>
        <w:t xml:space="preserve">ust. 2j </w:t>
      </w:r>
      <w:r w:rsidR="0079152C">
        <w:rPr>
          <w:rFonts w:cs="Times New Roman"/>
          <w:szCs w:val="24"/>
        </w:rPr>
        <w:t>u</w:t>
      </w:r>
      <w:r w:rsidRPr="007D3F15">
        <w:rPr>
          <w:rFonts w:cs="Times New Roman"/>
          <w:szCs w:val="24"/>
        </w:rPr>
        <w:t xml:space="preserve">stawy o funduszach. </w:t>
      </w:r>
      <w:r w:rsidR="007B2D4E">
        <w:rPr>
          <w:rFonts w:cs="Times New Roman"/>
          <w:szCs w:val="24"/>
        </w:rPr>
        <w:t>Projektowany</w:t>
      </w:r>
      <w:r w:rsidR="007B2D4E" w:rsidRPr="007D3F15">
        <w:rPr>
          <w:rFonts w:cs="Times New Roman"/>
          <w:szCs w:val="24"/>
        </w:rPr>
        <w:t xml:space="preserve"> </w:t>
      </w:r>
      <w:r w:rsidR="00FE47E1">
        <w:rPr>
          <w:rFonts w:cs="Times New Roman"/>
          <w:szCs w:val="24"/>
        </w:rPr>
        <w:t>§</w:t>
      </w:r>
      <w:r w:rsidRPr="007D3F15">
        <w:rPr>
          <w:rFonts w:cs="Times New Roman"/>
          <w:szCs w:val="24"/>
        </w:rPr>
        <w:t xml:space="preserve">15a </w:t>
      </w:r>
      <w:r w:rsidR="00521912">
        <w:rPr>
          <w:rFonts w:cs="Times New Roman"/>
          <w:szCs w:val="24"/>
        </w:rPr>
        <w:t>r</w:t>
      </w:r>
      <w:r w:rsidR="007B2D4E">
        <w:rPr>
          <w:rFonts w:cs="Times New Roman"/>
          <w:szCs w:val="24"/>
        </w:rPr>
        <w:t xml:space="preserve">ozporządzenia </w:t>
      </w:r>
      <w:r w:rsidRPr="007D3F15">
        <w:rPr>
          <w:rFonts w:cs="Times New Roman"/>
          <w:szCs w:val="24"/>
        </w:rPr>
        <w:t xml:space="preserve">określa wysokość </w:t>
      </w:r>
      <w:r w:rsidR="007B2D4E">
        <w:rPr>
          <w:rFonts w:cs="Times New Roman"/>
          <w:szCs w:val="24"/>
        </w:rPr>
        <w:t>tych</w:t>
      </w:r>
      <w:r w:rsidR="007B2D4E" w:rsidRPr="007D3F15">
        <w:rPr>
          <w:rFonts w:cs="Times New Roman"/>
          <w:szCs w:val="24"/>
        </w:rPr>
        <w:t xml:space="preserve"> </w:t>
      </w:r>
      <w:r w:rsidRPr="007D3F15">
        <w:rPr>
          <w:rFonts w:cs="Times New Roman"/>
          <w:szCs w:val="24"/>
        </w:rPr>
        <w:t>opłat</w:t>
      </w:r>
      <w:r w:rsidR="007B2D4E">
        <w:rPr>
          <w:rFonts w:cs="Times New Roman"/>
          <w:szCs w:val="24"/>
        </w:rPr>
        <w:t xml:space="preserve"> rocznych</w:t>
      </w:r>
      <w:r w:rsidRPr="007D3F15">
        <w:rPr>
          <w:rFonts w:cs="Times New Roman"/>
          <w:szCs w:val="24"/>
        </w:rPr>
        <w:t xml:space="preserve"> w zależności od rodzaju funduszu</w:t>
      </w:r>
      <w:r w:rsidR="007B2D4E">
        <w:rPr>
          <w:rFonts w:cs="Times New Roman"/>
          <w:szCs w:val="24"/>
        </w:rPr>
        <w:t xml:space="preserve">, a także </w:t>
      </w:r>
      <w:r w:rsidRPr="007D3F15">
        <w:rPr>
          <w:rFonts w:cs="Times New Roman"/>
          <w:szCs w:val="24"/>
        </w:rPr>
        <w:t xml:space="preserve">konieczność powiększania opłat </w:t>
      </w:r>
      <w:r w:rsidR="003028A3">
        <w:rPr>
          <w:rFonts w:cs="Times New Roman"/>
          <w:szCs w:val="24"/>
        </w:rPr>
        <w:t>roczn</w:t>
      </w:r>
      <w:r w:rsidR="007B2D4E">
        <w:rPr>
          <w:rFonts w:cs="Times New Roman"/>
          <w:szCs w:val="24"/>
        </w:rPr>
        <w:t>ych</w:t>
      </w:r>
      <w:r w:rsidR="003028A3">
        <w:rPr>
          <w:rFonts w:cs="Times New Roman"/>
          <w:szCs w:val="24"/>
        </w:rPr>
        <w:t xml:space="preserve"> </w:t>
      </w:r>
      <w:r w:rsidRPr="007D3F15">
        <w:rPr>
          <w:rFonts w:cs="Times New Roman"/>
          <w:szCs w:val="24"/>
        </w:rPr>
        <w:t xml:space="preserve">o </w:t>
      </w:r>
      <w:r w:rsidR="003028A3">
        <w:rPr>
          <w:rFonts w:cs="Times New Roman"/>
          <w:szCs w:val="24"/>
        </w:rPr>
        <w:t>opłatę za drugi i każdy kolejny wydzielony</w:t>
      </w:r>
      <w:r w:rsidR="00D71AC7">
        <w:rPr>
          <w:rFonts w:cs="Times New Roman"/>
          <w:szCs w:val="24"/>
        </w:rPr>
        <w:t xml:space="preserve"> subfundusz</w:t>
      </w:r>
      <w:r w:rsidR="00492828" w:rsidRPr="007D3F15">
        <w:rPr>
          <w:rFonts w:cs="Times New Roman"/>
          <w:szCs w:val="24"/>
        </w:rPr>
        <w:t xml:space="preserve">. </w:t>
      </w:r>
      <w:r w:rsidR="001810A4">
        <w:rPr>
          <w:rFonts w:cs="Times New Roman"/>
          <w:szCs w:val="24"/>
        </w:rPr>
        <w:t xml:space="preserve">Projektowana regulacja przewiduje także </w:t>
      </w:r>
      <w:r w:rsidR="00492828" w:rsidRPr="007D3F15">
        <w:rPr>
          <w:rFonts w:cs="Times New Roman"/>
          <w:szCs w:val="24"/>
        </w:rPr>
        <w:t xml:space="preserve">jednorazowe </w:t>
      </w:r>
      <w:r w:rsidR="001810A4" w:rsidRPr="007D3F15">
        <w:rPr>
          <w:rFonts w:cs="Times New Roman"/>
          <w:szCs w:val="24"/>
        </w:rPr>
        <w:t>wnoszeni</w:t>
      </w:r>
      <w:r w:rsidR="001810A4">
        <w:rPr>
          <w:rFonts w:cs="Times New Roman"/>
          <w:szCs w:val="24"/>
        </w:rPr>
        <w:t>e</w:t>
      </w:r>
      <w:r w:rsidR="001810A4" w:rsidRPr="007D3F15">
        <w:rPr>
          <w:rFonts w:cs="Times New Roman"/>
          <w:szCs w:val="24"/>
        </w:rPr>
        <w:t xml:space="preserve"> </w:t>
      </w:r>
      <w:r w:rsidR="00492828" w:rsidRPr="007D3F15">
        <w:rPr>
          <w:rFonts w:cs="Times New Roman"/>
          <w:szCs w:val="24"/>
        </w:rPr>
        <w:t xml:space="preserve">opłaty </w:t>
      </w:r>
      <w:r w:rsidR="00492828" w:rsidRPr="00D71AC7">
        <w:rPr>
          <w:rFonts w:cs="Times New Roman"/>
          <w:szCs w:val="24"/>
        </w:rPr>
        <w:t xml:space="preserve">rocznej </w:t>
      </w:r>
      <w:r w:rsidR="00D71AC7" w:rsidRPr="00D71AC7">
        <w:rPr>
          <w:rFonts w:cs="Times New Roman"/>
          <w:szCs w:val="24"/>
        </w:rPr>
        <w:t xml:space="preserve">w terminie do </w:t>
      </w:r>
      <w:r w:rsidR="007B2D4E">
        <w:rPr>
          <w:rFonts w:cs="Times New Roman"/>
          <w:szCs w:val="24"/>
        </w:rPr>
        <w:t xml:space="preserve">31 marca </w:t>
      </w:r>
      <w:r w:rsidR="00D71AC7" w:rsidRPr="00D71AC7">
        <w:rPr>
          <w:rFonts w:cs="Times New Roman"/>
          <w:szCs w:val="24"/>
        </w:rPr>
        <w:t>roku kalendarzowego</w:t>
      </w:r>
      <w:r w:rsidR="007B2D4E">
        <w:rPr>
          <w:rFonts w:cs="Times New Roman"/>
          <w:szCs w:val="24"/>
        </w:rPr>
        <w:t xml:space="preserve"> </w:t>
      </w:r>
      <w:r w:rsidR="00D71AC7" w:rsidRPr="00D71AC7">
        <w:rPr>
          <w:rFonts w:cs="Times New Roman"/>
          <w:szCs w:val="24"/>
        </w:rPr>
        <w:t xml:space="preserve">następującego po roku kalendarzowym, w którym fundusz został wpisany do </w:t>
      </w:r>
      <w:r w:rsidR="007B2D4E">
        <w:rPr>
          <w:rFonts w:cs="Times New Roman"/>
          <w:szCs w:val="24"/>
        </w:rPr>
        <w:t xml:space="preserve">odpowiedniego </w:t>
      </w:r>
      <w:r w:rsidR="00D71AC7" w:rsidRPr="00D71AC7">
        <w:rPr>
          <w:rFonts w:cs="Times New Roman"/>
          <w:szCs w:val="24"/>
        </w:rPr>
        <w:t>rejestru</w:t>
      </w:r>
      <w:r w:rsidR="00D71AC7">
        <w:rPr>
          <w:rFonts w:cs="Times New Roman"/>
          <w:szCs w:val="24"/>
        </w:rPr>
        <w:t>.</w:t>
      </w:r>
      <w:r w:rsidR="00101CAE">
        <w:rPr>
          <w:rFonts w:cs="Times New Roman"/>
          <w:szCs w:val="24"/>
        </w:rPr>
        <w:t xml:space="preserve"> </w:t>
      </w:r>
      <w:r w:rsidR="004D17E4">
        <w:rPr>
          <w:rFonts w:cs="Times New Roman"/>
          <w:szCs w:val="24"/>
        </w:rPr>
        <w:t>Zróżnicowanie opłat wynika</w:t>
      </w:r>
      <w:r w:rsidR="00852333">
        <w:rPr>
          <w:rFonts w:cs="Times New Roman"/>
          <w:szCs w:val="24"/>
        </w:rPr>
        <w:t xml:space="preserve"> </w:t>
      </w:r>
      <w:r w:rsidR="00321C8E">
        <w:rPr>
          <w:rFonts w:cs="Times New Roman"/>
          <w:szCs w:val="24"/>
        </w:rPr>
        <w:t xml:space="preserve">z </w:t>
      </w:r>
      <w:r w:rsidR="00852333">
        <w:rPr>
          <w:rFonts w:cs="Times New Roman"/>
          <w:szCs w:val="24"/>
        </w:rPr>
        <w:t>rodzaju funduszu oraz klientów</w:t>
      </w:r>
      <w:r w:rsidR="00321C8E">
        <w:rPr>
          <w:rFonts w:cs="Times New Roman"/>
          <w:szCs w:val="24"/>
        </w:rPr>
        <w:t>,</w:t>
      </w:r>
      <w:r w:rsidR="00852333">
        <w:rPr>
          <w:rFonts w:cs="Times New Roman"/>
          <w:szCs w:val="24"/>
        </w:rPr>
        <w:t xml:space="preserve"> do których skierowana jest jego oferta. </w:t>
      </w:r>
      <w:r w:rsidR="00826FF5">
        <w:rPr>
          <w:rFonts w:cs="Times New Roman"/>
          <w:szCs w:val="24"/>
        </w:rPr>
        <w:t>Opłata roczna</w:t>
      </w:r>
      <w:r w:rsidR="004D17E4">
        <w:rPr>
          <w:rFonts w:cs="Times New Roman"/>
          <w:szCs w:val="24"/>
        </w:rPr>
        <w:t xml:space="preserve"> w przypadku f</w:t>
      </w:r>
      <w:r w:rsidR="004D17E4" w:rsidRPr="004D17E4">
        <w:rPr>
          <w:rFonts w:cs="Times New Roman"/>
          <w:szCs w:val="24"/>
        </w:rPr>
        <w:t>undusz</w:t>
      </w:r>
      <w:r w:rsidR="004D17E4">
        <w:rPr>
          <w:rFonts w:cs="Times New Roman"/>
          <w:szCs w:val="24"/>
        </w:rPr>
        <w:t>y</w:t>
      </w:r>
      <w:r w:rsidR="004D17E4" w:rsidRPr="004D17E4">
        <w:rPr>
          <w:rFonts w:cs="Times New Roman"/>
          <w:szCs w:val="24"/>
        </w:rPr>
        <w:t xml:space="preserve"> zagraniczny</w:t>
      </w:r>
      <w:r w:rsidR="004D17E4">
        <w:rPr>
          <w:rFonts w:cs="Times New Roman"/>
          <w:szCs w:val="24"/>
        </w:rPr>
        <w:t>ch</w:t>
      </w:r>
      <w:r w:rsidR="004D17E4" w:rsidRPr="004D17E4">
        <w:rPr>
          <w:rFonts w:cs="Times New Roman"/>
          <w:szCs w:val="24"/>
        </w:rPr>
        <w:t xml:space="preserve"> oraz fundusz</w:t>
      </w:r>
      <w:r w:rsidR="004D17E4">
        <w:rPr>
          <w:rFonts w:cs="Times New Roman"/>
          <w:szCs w:val="24"/>
        </w:rPr>
        <w:t>y</w:t>
      </w:r>
      <w:r w:rsidR="004D17E4" w:rsidRPr="004D17E4">
        <w:rPr>
          <w:rFonts w:cs="Times New Roman"/>
          <w:szCs w:val="24"/>
        </w:rPr>
        <w:t xml:space="preserve"> inwestycyjny</w:t>
      </w:r>
      <w:r w:rsidR="004D17E4">
        <w:rPr>
          <w:rFonts w:cs="Times New Roman"/>
          <w:szCs w:val="24"/>
        </w:rPr>
        <w:t>ch</w:t>
      </w:r>
      <w:r w:rsidR="004D17E4" w:rsidRPr="004D17E4">
        <w:rPr>
          <w:rFonts w:cs="Times New Roman"/>
          <w:szCs w:val="24"/>
        </w:rPr>
        <w:t xml:space="preserve"> otwarty</w:t>
      </w:r>
      <w:r w:rsidR="004D17E4">
        <w:rPr>
          <w:rFonts w:cs="Times New Roman"/>
          <w:szCs w:val="24"/>
        </w:rPr>
        <w:t>ch</w:t>
      </w:r>
      <w:r w:rsidR="004D17E4" w:rsidRPr="004D17E4">
        <w:rPr>
          <w:rFonts w:cs="Times New Roman"/>
          <w:szCs w:val="24"/>
        </w:rPr>
        <w:t xml:space="preserve"> z siedzibą w państwie należącym do EEA, wpisan</w:t>
      </w:r>
      <w:r w:rsidR="00321C8E">
        <w:rPr>
          <w:rFonts w:cs="Times New Roman"/>
          <w:szCs w:val="24"/>
        </w:rPr>
        <w:t>ych</w:t>
      </w:r>
      <w:r w:rsidR="004D17E4" w:rsidRPr="004D17E4">
        <w:rPr>
          <w:rFonts w:cs="Times New Roman"/>
          <w:szCs w:val="24"/>
        </w:rPr>
        <w:t xml:space="preserve"> do rejestru, o którym mowa w art. 263 </w:t>
      </w:r>
      <w:r w:rsidR="008A6AD2">
        <w:rPr>
          <w:rFonts w:cs="Times New Roman"/>
          <w:szCs w:val="24"/>
        </w:rPr>
        <w:t>ustawy o funduszach</w:t>
      </w:r>
      <w:r w:rsidR="00826FF5">
        <w:rPr>
          <w:rFonts w:cs="Times New Roman"/>
          <w:szCs w:val="24"/>
        </w:rPr>
        <w:t>,</w:t>
      </w:r>
      <w:r w:rsidR="004D17E4">
        <w:rPr>
          <w:rFonts w:cs="Times New Roman"/>
          <w:szCs w:val="24"/>
        </w:rPr>
        <w:t xml:space="preserve"> wyn</w:t>
      </w:r>
      <w:r w:rsidR="0028110B">
        <w:rPr>
          <w:rFonts w:cs="Times New Roman"/>
          <w:szCs w:val="24"/>
        </w:rPr>
        <w:t>iesie</w:t>
      </w:r>
      <w:r w:rsidR="004D17E4">
        <w:rPr>
          <w:rFonts w:cs="Times New Roman"/>
          <w:szCs w:val="24"/>
        </w:rPr>
        <w:t xml:space="preserve"> </w:t>
      </w:r>
      <w:r w:rsidR="004D17E4" w:rsidRPr="004D17E4">
        <w:rPr>
          <w:rFonts w:cs="Times New Roman"/>
          <w:szCs w:val="24"/>
        </w:rPr>
        <w:t xml:space="preserve">równowartość w złotych </w:t>
      </w:r>
      <w:r w:rsidR="00826FF5">
        <w:rPr>
          <w:rFonts w:cs="Times New Roman"/>
          <w:szCs w:val="24"/>
        </w:rPr>
        <w:t>1</w:t>
      </w:r>
      <w:r w:rsidR="004D17E4" w:rsidRPr="004D17E4">
        <w:rPr>
          <w:rFonts w:cs="Times New Roman"/>
          <w:szCs w:val="24"/>
        </w:rPr>
        <w:t>000 euro</w:t>
      </w:r>
      <w:r w:rsidR="004D17E4">
        <w:rPr>
          <w:rFonts w:cs="Times New Roman"/>
          <w:szCs w:val="24"/>
        </w:rPr>
        <w:t xml:space="preserve"> oraz </w:t>
      </w:r>
      <w:r w:rsidR="00826FF5">
        <w:rPr>
          <w:rFonts w:cs="Times New Roman"/>
          <w:szCs w:val="24"/>
        </w:rPr>
        <w:t xml:space="preserve">dodatkowo </w:t>
      </w:r>
      <w:r w:rsidR="004D17E4">
        <w:rPr>
          <w:rFonts w:cs="Times New Roman"/>
          <w:szCs w:val="24"/>
        </w:rPr>
        <w:t xml:space="preserve">200 euro za </w:t>
      </w:r>
      <w:r w:rsidR="004D17E4" w:rsidRPr="004D17E4">
        <w:rPr>
          <w:rFonts w:cs="Times New Roman"/>
          <w:szCs w:val="24"/>
        </w:rPr>
        <w:t xml:space="preserve">każdy subfundusz wydzielony w tym funduszu wpisany do rejestru, o którym mowa w art. 263 </w:t>
      </w:r>
      <w:r w:rsidR="00826FF5">
        <w:rPr>
          <w:rFonts w:cs="Times New Roman"/>
          <w:szCs w:val="24"/>
        </w:rPr>
        <w:t>ustawy o funduszach</w:t>
      </w:r>
      <w:r w:rsidR="004D17E4" w:rsidRPr="004D17E4">
        <w:rPr>
          <w:rFonts w:cs="Times New Roman"/>
          <w:szCs w:val="24"/>
        </w:rPr>
        <w:t>, począwszy od drugiego subfunduszu</w:t>
      </w:r>
      <w:r w:rsidR="00826FF5">
        <w:rPr>
          <w:rFonts w:cs="Times New Roman"/>
          <w:szCs w:val="24"/>
        </w:rPr>
        <w:t>.</w:t>
      </w:r>
      <w:r w:rsidR="004D17E4">
        <w:rPr>
          <w:rFonts w:cs="Times New Roman"/>
          <w:szCs w:val="24"/>
        </w:rPr>
        <w:t xml:space="preserve"> </w:t>
      </w:r>
      <w:r w:rsidR="00826FF5">
        <w:rPr>
          <w:rFonts w:cs="Times New Roman"/>
          <w:szCs w:val="24"/>
        </w:rPr>
        <w:t>W</w:t>
      </w:r>
      <w:r w:rsidR="004D17E4">
        <w:rPr>
          <w:rFonts w:cs="Times New Roman"/>
          <w:szCs w:val="24"/>
        </w:rPr>
        <w:t xml:space="preserve"> przypadku unijnego AFI </w:t>
      </w:r>
      <w:r w:rsidR="00826FF5">
        <w:rPr>
          <w:rFonts w:cs="Times New Roman"/>
          <w:szCs w:val="24"/>
        </w:rPr>
        <w:t>oraz</w:t>
      </w:r>
      <w:r w:rsidR="004D17E4">
        <w:rPr>
          <w:rFonts w:cs="Times New Roman"/>
          <w:szCs w:val="24"/>
        </w:rPr>
        <w:t xml:space="preserve"> alternatywnego</w:t>
      </w:r>
      <w:r w:rsidR="004D17E4" w:rsidRPr="004D17E4">
        <w:rPr>
          <w:rFonts w:cs="Times New Roman"/>
          <w:szCs w:val="24"/>
        </w:rPr>
        <w:t xml:space="preserve"> fundusz</w:t>
      </w:r>
      <w:r w:rsidR="004D17E4">
        <w:rPr>
          <w:rFonts w:cs="Times New Roman"/>
          <w:szCs w:val="24"/>
        </w:rPr>
        <w:t>u</w:t>
      </w:r>
      <w:r w:rsidR="004D17E4" w:rsidRPr="004D17E4">
        <w:rPr>
          <w:rFonts w:cs="Times New Roman"/>
          <w:szCs w:val="24"/>
        </w:rPr>
        <w:t xml:space="preserve"> inwestycyjny z siedzibą w państwie </w:t>
      </w:r>
      <w:r w:rsidR="004D17E4" w:rsidRPr="004D17E4">
        <w:rPr>
          <w:rFonts w:cs="Times New Roman"/>
          <w:szCs w:val="24"/>
        </w:rPr>
        <w:lastRenderedPageBreak/>
        <w:t>należącym do</w:t>
      </w:r>
      <w:r w:rsidR="004D17E4">
        <w:rPr>
          <w:rFonts w:cs="Times New Roman"/>
          <w:szCs w:val="24"/>
        </w:rPr>
        <w:t xml:space="preserve"> EEA opłata roczna </w:t>
      </w:r>
      <w:r w:rsidR="0028110B">
        <w:rPr>
          <w:rFonts w:cs="Times New Roman"/>
          <w:szCs w:val="24"/>
        </w:rPr>
        <w:t>wyniesie</w:t>
      </w:r>
      <w:r w:rsidR="0028110B" w:rsidRPr="004D17E4">
        <w:rPr>
          <w:rFonts w:cs="Times New Roman"/>
          <w:szCs w:val="24"/>
        </w:rPr>
        <w:t xml:space="preserve"> </w:t>
      </w:r>
      <w:r w:rsidR="004D17E4" w:rsidRPr="004D17E4">
        <w:rPr>
          <w:rFonts w:cs="Times New Roman"/>
          <w:szCs w:val="24"/>
        </w:rPr>
        <w:t xml:space="preserve">równowartość w złotych </w:t>
      </w:r>
      <w:r w:rsidR="008652D2">
        <w:rPr>
          <w:rFonts w:cs="Times New Roman"/>
          <w:szCs w:val="24"/>
        </w:rPr>
        <w:t>300 euro albo 1</w:t>
      </w:r>
      <w:r w:rsidR="004D17E4" w:rsidRPr="004D17E4">
        <w:rPr>
          <w:rFonts w:cs="Times New Roman"/>
          <w:szCs w:val="24"/>
        </w:rPr>
        <w:t>000 euro</w:t>
      </w:r>
      <w:r w:rsidR="008652D2">
        <w:rPr>
          <w:rFonts w:cs="Times New Roman"/>
          <w:szCs w:val="24"/>
        </w:rPr>
        <w:t xml:space="preserve">, </w:t>
      </w:r>
      <w:r w:rsidR="0028110B">
        <w:rPr>
          <w:rFonts w:cs="Times New Roman"/>
          <w:szCs w:val="24"/>
        </w:rPr>
        <w:t xml:space="preserve">w zależności </w:t>
      </w:r>
      <w:r w:rsidR="008652D2">
        <w:rPr>
          <w:rFonts w:cs="Times New Roman"/>
          <w:szCs w:val="24"/>
        </w:rPr>
        <w:t>od profilu klientów</w:t>
      </w:r>
      <w:r w:rsidR="0028110B">
        <w:rPr>
          <w:rFonts w:cs="Times New Roman"/>
          <w:szCs w:val="24"/>
        </w:rPr>
        <w:t>,</w:t>
      </w:r>
      <w:r w:rsidR="008652D2">
        <w:rPr>
          <w:rFonts w:cs="Times New Roman"/>
          <w:szCs w:val="24"/>
        </w:rPr>
        <w:t xml:space="preserve"> do których skierowana jest oferta, odpowiednio klientów profesjonalnych </w:t>
      </w:r>
      <w:r w:rsidR="0028110B">
        <w:rPr>
          <w:rFonts w:cs="Times New Roman"/>
          <w:szCs w:val="24"/>
        </w:rPr>
        <w:t xml:space="preserve">lub </w:t>
      </w:r>
      <w:r w:rsidR="008652D2">
        <w:rPr>
          <w:rFonts w:cs="Times New Roman"/>
          <w:szCs w:val="24"/>
        </w:rPr>
        <w:t>klientów detalicznych.</w:t>
      </w:r>
      <w:r w:rsidR="004D17E4" w:rsidRPr="004D17E4">
        <w:rPr>
          <w:rFonts w:cs="Times New Roman"/>
          <w:szCs w:val="24"/>
        </w:rPr>
        <w:t xml:space="preserve"> </w:t>
      </w:r>
      <w:r w:rsidR="008652D2">
        <w:rPr>
          <w:rFonts w:cs="Times New Roman"/>
          <w:szCs w:val="24"/>
        </w:rPr>
        <w:t xml:space="preserve">Opłata wymagana jest </w:t>
      </w:r>
      <w:r w:rsidR="004D17E4" w:rsidRPr="004D17E4">
        <w:rPr>
          <w:rFonts w:cs="Times New Roman"/>
          <w:szCs w:val="24"/>
        </w:rPr>
        <w:t xml:space="preserve">za każdy fundusz wpisany do rejestru, o którym mowa w art. 263r </w:t>
      </w:r>
      <w:r w:rsidR="008652D2">
        <w:rPr>
          <w:rFonts w:cs="Times New Roman"/>
          <w:szCs w:val="24"/>
        </w:rPr>
        <w:t>ustawy o funduszach.</w:t>
      </w:r>
      <w:r w:rsidR="004D17E4">
        <w:rPr>
          <w:rFonts w:cs="Times New Roman"/>
          <w:szCs w:val="24"/>
        </w:rPr>
        <w:t xml:space="preserve"> </w:t>
      </w:r>
      <w:r w:rsidR="008652D2">
        <w:rPr>
          <w:rFonts w:cs="Times New Roman"/>
          <w:szCs w:val="24"/>
        </w:rPr>
        <w:t>W</w:t>
      </w:r>
      <w:r w:rsidR="004D17E4">
        <w:rPr>
          <w:rFonts w:cs="Times New Roman"/>
          <w:szCs w:val="24"/>
        </w:rPr>
        <w:t xml:space="preserve"> przypadku </w:t>
      </w:r>
      <w:r w:rsidR="004D17E4" w:rsidRPr="004D17E4">
        <w:rPr>
          <w:rFonts w:cs="Times New Roman"/>
          <w:szCs w:val="24"/>
        </w:rPr>
        <w:t>fundusz</w:t>
      </w:r>
      <w:r w:rsidR="008652D2">
        <w:rPr>
          <w:rFonts w:cs="Times New Roman"/>
          <w:szCs w:val="24"/>
        </w:rPr>
        <w:t>u</w:t>
      </w:r>
      <w:r w:rsidR="00521912">
        <w:rPr>
          <w:rFonts w:cs="Times New Roman"/>
          <w:szCs w:val="24"/>
        </w:rPr>
        <w:t xml:space="preserve"> z </w:t>
      </w:r>
      <w:r w:rsidR="004D17E4" w:rsidRPr="004D17E4">
        <w:rPr>
          <w:rFonts w:cs="Times New Roman"/>
          <w:szCs w:val="24"/>
        </w:rPr>
        <w:t xml:space="preserve">wydzielonymi subfunduszami, opłata roczna </w:t>
      </w:r>
      <w:r w:rsidR="0028110B">
        <w:rPr>
          <w:rFonts w:cs="Times New Roman"/>
          <w:szCs w:val="24"/>
        </w:rPr>
        <w:t>będzie</w:t>
      </w:r>
      <w:r w:rsidR="0028110B" w:rsidRPr="004D17E4">
        <w:rPr>
          <w:rFonts w:cs="Times New Roman"/>
          <w:szCs w:val="24"/>
        </w:rPr>
        <w:t xml:space="preserve"> </w:t>
      </w:r>
      <w:r w:rsidR="004D17E4" w:rsidRPr="004D17E4">
        <w:rPr>
          <w:rFonts w:cs="Times New Roman"/>
          <w:szCs w:val="24"/>
        </w:rPr>
        <w:t xml:space="preserve">zwiększana o równowartość w złotych </w:t>
      </w:r>
      <w:r w:rsidR="008652D2">
        <w:rPr>
          <w:rFonts w:cs="Times New Roman"/>
          <w:szCs w:val="24"/>
        </w:rPr>
        <w:t xml:space="preserve">200 euro albo </w:t>
      </w:r>
      <w:r w:rsidR="004D17E4" w:rsidRPr="004D17E4">
        <w:rPr>
          <w:rFonts w:cs="Times New Roman"/>
          <w:szCs w:val="24"/>
        </w:rPr>
        <w:t xml:space="preserve">500 euro za każdy </w:t>
      </w:r>
      <w:r w:rsidR="008652D2" w:rsidRPr="004D17E4">
        <w:rPr>
          <w:rFonts w:cs="Times New Roman"/>
          <w:szCs w:val="24"/>
        </w:rPr>
        <w:t xml:space="preserve">wydzielony </w:t>
      </w:r>
      <w:r w:rsidR="004D17E4" w:rsidRPr="004D17E4">
        <w:rPr>
          <w:rFonts w:cs="Times New Roman"/>
          <w:szCs w:val="24"/>
        </w:rPr>
        <w:t>subfundusz wpisany do rejestru, o którym mowa w art. 263r</w:t>
      </w:r>
      <w:r w:rsidR="008652D2">
        <w:rPr>
          <w:rFonts w:cs="Times New Roman"/>
          <w:szCs w:val="24"/>
        </w:rPr>
        <w:t xml:space="preserve"> ustawy o funduszach</w:t>
      </w:r>
      <w:r w:rsidR="004D17E4" w:rsidRPr="004D17E4">
        <w:rPr>
          <w:rFonts w:cs="Times New Roman"/>
          <w:szCs w:val="24"/>
        </w:rPr>
        <w:t>, począwszy od drugiego subfunduszu</w:t>
      </w:r>
      <w:r w:rsidR="008652D2">
        <w:rPr>
          <w:rFonts w:cs="Times New Roman"/>
          <w:szCs w:val="24"/>
        </w:rPr>
        <w:t xml:space="preserve">. Analogicznie </w:t>
      </w:r>
      <w:r w:rsidR="0028110B">
        <w:rPr>
          <w:rFonts w:cs="Times New Roman"/>
          <w:szCs w:val="24"/>
        </w:rPr>
        <w:t xml:space="preserve">jak wskazano powyżej </w:t>
      </w:r>
      <w:r w:rsidR="008652D2">
        <w:rPr>
          <w:rFonts w:cs="Times New Roman"/>
          <w:szCs w:val="24"/>
        </w:rPr>
        <w:t>wysokość opłaty wynika z profilu klientów</w:t>
      </w:r>
      <w:r w:rsidR="0028110B">
        <w:rPr>
          <w:rFonts w:cs="Times New Roman"/>
          <w:szCs w:val="24"/>
        </w:rPr>
        <w:t>,</w:t>
      </w:r>
      <w:r w:rsidR="008652D2">
        <w:rPr>
          <w:rFonts w:cs="Times New Roman"/>
          <w:szCs w:val="24"/>
        </w:rPr>
        <w:t xml:space="preserve"> do których skierowana jest oferta</w:t>
      </w:r>
      <w:r w:rsidR="0074629F">
        <w:rPr>
          <w:rFonts w:cs="Times New Roman"/>
          <w:szCs w:val="24"/>
        </w:rPr>
        <w:t xml:space="preserve"> </w:t>
      </w:r>
      <w:r w:rsidR="0028110B">
        <w:rPr>
          <w:rFonts w:cs="Times New Roman"/>
          <w:szCs w:val="24"/>
        </w:rPr>
        <w:t>(</w:t>
      </w:r>
      <w:r w:rsidR="008652D2">
        <w:rPr>
          <w:rFonts w:cs="Times New Roman"/>
          <w:szCs w:val="24"/>
        </w:rPr>
        <w:t>200 euro w przypadku klientów profesjonalnych i 500 euro - klientów detalicznych</w:t>
      </w:r>
      <w:r w:rsidR="0028110B">
        <w:rPr>
          <w:rFonts w:cs="Times New Roman"/>
          <w:szCs w:val="24"/>
        </w:rPr>
        <w:t>)</w:t>
      </w:r>
      <w:r w:rsidR="008652D2">
        <w:rPr>
          <w:rFonts w:cs="Times New Roman"/>
          <w:szCs w:val="24"/>
        </w:rPr>
        <w:t>.</w:t>
      </w:r>
    </w:p>
    <w:p w14:paraId="674F0BE0" w14:textId="2FEB4F71" w:rsidR="00AD77D1" w:rsidRDefault="003A3D06" w:rsidP="00AD7223">
      <w:pPr>
        <w:widowControl/>
        <w:spacing w:after="120"/>
        <w:rPr>
          <w:rFonts w:cs="Times New Roman"/>
          <w:szCs w:val="24"/>
        </w:rPr>
      </w:pPr>
      <w:r>
        <w:rPr>
          <w:rFonts w:cs="Times New Roman"/>
          <w:color w:val="000000" w:themeColor="text1"/>
          <w:szCs w:val="24"/>
        </w:rPr>
        <w:t xml:space="preserve">W </w:t>
      </w:r>
      <w:r w:rsidR="009305B8" w:rsidRPr="007D3F15">
        <w:rPr>
          <w:rFonts w:cs="Times New Roman"/>
          <w:b/>
          <w:szCs w:val="24"/>
        </w:rPr>
        <w:t>§ </w:t>
      </w:r>
      <w:r w:rsidR="009305B8" w:rsidRPr="001810A4">
        <w:rPr>
          <w:rFonts w:cs="Times New Roman"/>
          <w:b/>
          <w:szCs w:val="24"/>
        </w:rPr>
        <w:t xml:space="preserve">1 </w:t>
      </w:r>
      <w:r w:rsidR="00E10E38" w:rsidRPr="00B45CBF">
        <w:rPr>
          <w:rFonts w:cs="Times New Roman"/>
          <w:b/>
          <w:szCs w:val="24"/>
        </w:rPr>
        <w:t>pkt 6</w:t>
      </w:r>
      <w:r w:rsidR="009305B8" w:rsidRPr="00B45CBF">
        <w:rPr>
          <w:rFonts w:cs="Times New Roman"/>
          <w:b/>
          <w:szCs w:val="24"/>
        </w:rPr>
        <w:t xml:space="preserve"> </w:t>
      </w:r>
      <w:r w:rsidR="001810A4">
        <w:rPr>
          <w:rFonts w:cs="Times New Roman"/>
          <w:b/>
          <w:szCs w:val="24"/>
        </w:rPr>
        <w:t>projektu rozporządzenia</w:t>
      </w:r>
      <w:r w:rsidR="001810A4" w:rsidRPr="007D3F15">
        <w:rPr>
          <w:rFonts w:cs="Times New Roman"/>
          <w:szCs w:val="24"/>
        </w:rPr>
        <w:t xml:space="preserve"> </w:t>
      </w:r>
      <w:r w:rsidR="00AD7223">
        <w:rPr>
          <w:rFonts w:cs="Times New Roman"/>
          <w:szCs w:val="24"/>
        </w:rPr>
        <w:t xml:space="preserve">przewiduje się zmiany </w:t>
      </w:r>
      <w:r>
        <w:rPr>
          <w:rFonts w:cs="Times New Roman"/>
          <w:szCs w:val="24"/>
        </w:rPr>
        <w:t>w</w:t>
      </w:r>
      <w:r w:rsidR="00054C83">
        <w:rPr>
          <w:rFonts w:cs="Times New Roman"/>
          <w:szCs w:val="24"/>
        </w:rPr>
        <w:t xml:space="preserve"> § 17</w:t>
      </w:r>
      <w:r w:rsidR="005042A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ust. 3</w:t>
      </w:r>
      <w:r w:rsidR="00521912">
        <w:rPr>
          <w:rFonts w:cs="Times New Roman"/>
          <w:szCs w:val="24"/>
        </w:rPr>
        <w:t xml:space="preserve"> r</w:t>
      </w:r>
      <w:r w:rsidR="00AD7223">
        <w:rPr>
          <w:rFonts w:cs="Times New Roman"/>
          <w:szCs w:val="24"/>
        </w:rPr>
        <w:t xml:space="preserve">ozporządzenia. Zmiany te mają charakter </w:t>
      </w:r>
      <w:r w:rsidR="0062782A">
        <w:rPr>
          <w:rFonts w:cs="Times New Roman"/>
          <w:szCs w:val="24"/>
        </w:rPr>
        <w:t xml:space="preserve">m.in. </w:t>
      </w:r>
      <w:r w:rsidR="00AD7223">
        <w:rPr>
          <w:rFonts w:cs="Times New Roman"/>
          <w:szCs w:val="24"/>
        </w:rPr>
        <w:t>redakcyjny (zmiany we wprowadzeniu do wyliczenia)</w:t>
      </w:r>
      <w:r w:rsidR="007C6137">
        <w:rPr>
          <w:rFonts w:cs="Times New Roman"/>
          <w:szCs w:val="24"/>
        </w:rPr>
        <w:t>. Ponadto</w:t>
      </w:r>
      <w:r w:rsidR="00612AF6">
        <w:rPr>
          <w:rFonts w:cs="Times New Roman"/>
          <w:szCs w:val="24"/>
        </w:rPr>
        <w:t xml:space="preserve"> </w:t>
      </w:r>
      <w:r w:rsidR="007C6137">
        <w:rPr>
          <w:rFonts w:cs="Times New Roman"/>
          <w:szCs w:val="24"/>
        </w:rPr>
        <w:t xml:space="preserve">w </w:t>
      </w:r>
      <w:r w:rsidR="000F17DA">
        <w:rPr>
          <w:rFonts w:cs="Times New Roman"/>
          <w:szCs w:val="24"/>
        </w:rPr>
        <w:t xml:space="preserve">projektowanym brzmieniu </w:t>
      </w:r>
      <w:r w:rsidR="00521912">
        <w:rPr>
          <w:rFonts w:cs="Times New Roman"/>
          <w:szCs w:val="24"/>
        </w:rPr>
        <w:t>§ 17 ust. 3 pkt 1 r</w:t>
      </w:r>
      <w:r w:rsidR="007C6137">
        <w:rPr>
          <w:rFonts w:cs="Times New Roman"/>
          <w:szCs w:val="24"/>
        </w:rPr>
        <w:t xml:space="preserve">ozporządzenia </w:t>
      </w:r>
      <w:r w:rsidR="002B6CBF">
        <w:rPr>
          <w:rFonts w:cs="Times New Roman"/>
          <w:szCs w:val="24"/>
        </w:rPr>
        <w:t xml:space="preserve">rozszerzono katalog opłat, które pomniejszają koszty nadzoru netto o opłaty wynikające z </w:t>
      </w:r>
      <w:r w:rsidR="000F17DA">
        <w:rPr>
          <w:rFonts w:cs="Times New Roman"/>
          <w:szCs w:val="24"/>
        </w:rPr>
        <w:t xml:space="preserve">projektowanego brzmienia </w:t>
      </w:r>
      <w:r w:rsidR="007C6137" w:rsidRPr="00051923">
        <w:t>§</w:t>
      </w:r>
      <w:r w:rsidR="007C6137">
        <w:t xml:space="preserve"> </w:t>
      </w:r>
      <w:r w:rsidR="007C6137" w:rsidRPr="009B3802">
        <w:t>15a</w:t>
      </w:r>
      <w:r w:rsidR="007C6137" w:rsidRPr="00051923">
        <w:t xml:space="preserve"> </w:t>
      </w:r>
      <w:r w:rsidR="00521912">
        <w:t>ust. 1 i 3 r</w:t>
      </w:r>
      <w:r w:rsidR="007C6137">
        <w:t xml:space="preserve">ozporządzenia. </w:t>
      </w:r>
      <w:r w:rsidR="00046B5E">
        <w:rPr>
          <w:rFonts w:cs="Times New Roman"/>
          <w:szCs w:val="24"/>
        </w:rPr>
        <w:t>Dodatkowo</w:t>
      </w:r>
      <w:r w:rsidR="00AD7223">
        <w:rPr>
          <w:rFonts w:cs="Times New Roman"/>
          <w:szCs w:val="24"/>
        </w:rPr>
        <w:t xml:space="preserve"> przewiduje się zmianę </w:t>
      </w:r>
      <w:r w:rsidR="000F493E">
        <w:rPr>
          <w:rFonts w:cs="Times New Roman"/>
          <w:szCs w:val="24"/>
        </w:rPr>
        <w:t>częś</w:t>
      </w:r>
      <w:r w:rsidR="00AD7223">
        <w:rPr>
          <w:rFonts w:cs="Times New Roman"/>
          <w:szCs w:val="24"/>
        </w:rPr>
        <w:t>ci</w:t>
      </w:r>
      <w:r w:rsidR="000F493E">
        <w:rPr>
          <w:rFonts w:cs="Times New Roman"/>
          <w:szCs w:val="24"/>
        </w:rPr>
        <w:t xml:space="preserve"> wspóln</w:t>
      </w:r>
      <w:r w:rsidR="00AD7223">
        <w:rPr>
          <w:rFonts w:cs="Times New Roman"/>
          <w:szCs w:val="24"/>
        </w:rPr>
        <w:t>ej w</w:t>
      </w:r>
      <w:r w:rsidR="000F493E">
        <w:rPr>
          <w:rFonts w:cs="Times New Roman"/>
          <w:szCs w:val="24"/>
        </w:rPr>
        <w:t xml:space="preserve"> § 17 ust. 3</w:t>
      </w:r>
      <w:r w:rsidR="00521912">
        <w:rPr>
          <w:rFonts w:cs="Times New Roman"/>
          <w:szCs w:val="24"/>
        </w:rPr>
        <w:t xml:space="preserve"> r</w:t>
      </w:r>
      <w:r w:rsidR="00AD7223">
        <w:rPr>
          <w:rFonts w:cs="Times New Roman"/>
          <w:szCs w:val="24"/>
        </w:rPr>
        <w:t xml:space="preserve">ozporządzenia. Nowe brzmienie części wspólnej </w:t>
      </w:r>
      <w:r w:rsidR="000F17DA">
        <w:rPr>
          <w:rFonts w:cs="Times New Roman"/>
          <w:szCs w:val="24"/>
        </w:rPr>
        <w:t xml:space="preserve">ww. przepisu </w:t>
      </w:r>
      <w:r w:rsidR="00AD7223">
        <w:rPr>
          <w:rFonts w:cs="Times New Roman"/>
          <w:szCs w:val="24"/>
        </w:rPr>
        <w:t>doprecyzowuje</w:t>
      </w:r>
      <w:r>
        <w:rPr>
          <w:rFonts w:cs="Times New Roman"/>
          <w:szCs w:val="24"/>
        </w:rPr>
        <w:t xml:space="preserve"> </w:t>
      </w:r>
      <w:r w:rsidR="00046B5E">
        <w:rPr>
          <w:rFonts w:cs="Times New Roman"/>
          <w:szCs w:val="24"/>
        </w:rPr>
        <w:t xml:space="preserve">kwestie podziału wniesionych w poprzednim roku kalendarzowym opłat na grupy, których te opłaty dotyczą. </w:t>
      </w:r>
      <w:r w:rsidR="000F17DA">
        <w:rPr>
          <w:rFonts w:cs="Times New Roman"/>
          <w:szCs w:val="24"/>
        </w:rPr>
        <w:t>Zmiana ta w</w:t>
      </w:r>
      <w:r w:rsidR="00612AF6">
        <w:rPr>
          <w:rFonts w:cs="Times New Roman"/>
          <w:szCs w:val="24"/>
        </w:rPr>
        <w:t xml:space="preserve">ynika przede wszystkim z konieczności dookreślenia sposobu przypisywania poszczególnych opłat do odpowiedniej grupy. </w:t>
      </w:r>
      <w:r w:rsidR="002B6CBF" w:rsidRPr="002B6CBF">
        <w:rPr>
          <w:rFonts w:cs="Times New Roman"/>
          <w:szCs w:val="24"/>
        </w:rPr>
        <w:t>W obecnym stanie prawnym ujawniają się wątpliwości interpretacyjne co do sposobu uwzg</w:t>
      </w:r>
      <w:r w:rsidR="00521912">
        <w:rPr>
          <w:rFonts w:cs="Times New Roman"/>
          <w:szCs w:val="24"/>
        </w:rPr>
        <w:t>lędniania opłat jednorazowych i </w:t>
      </w:r>
      <w:r w:rsidR="002B6CBF" w:rsidRPr="002B6CBF">
        <w:rPr>
          <w:rFonts w:cs="Times New Roman"/>
          <w:szCs w:val="24"/>
        </w:rPr>
        <w:t xml:space="preserve">ryczałtowych wniesionych w poprzednim roku kalendarzowym przez podmioty nadzorowane przy obliczaniu kosztów nadzoru netto. Opłaty wymienione w </w:t>
      </w:r>
      <w:r w:rsidR="000F17DA">
        <w:rPr>
          <w:rFonts w:cs="Times New Roman"/>
          <w:szCs w:val="24"/>
        </w:rPr>
        <w:t xml:space="preserve">tym </w:t>
      </w:r>
      <w:r w:rsidR="002B6CBF" w:rsidRPr="002B6CBF">
        <w:rPr>
          <w:rFonts w:cs="Times New Roman"/>
          <w:szCs w:val="24"/>
        </w:rPr>
        <w:t>katalogu nie są wnoszone jedynie przez</w:t>
      </w:r>
      <w:r w:rsidR="002B6CBF">
        <w:rPr>
          <w:rFonts w:cs="Times New Roman"/>
          <w:szCs w:val="24"/>
        </w:rPr>
        <w:t xml:space="preserve"> podmioty będące w danej grupie</w:t>
      </w:r>
      <w:r w:rsidR="002B6CBF" w:rsidRPr="002B6CBF">
        <w:rPr>
          <w:rFonts w:cs="Times New Roman"/>
          <w:szCs w:val="24"/>
        </w:rPr>
        <w:t xml:space="preserve">, </w:t>
      </w:r>
      <w:r w:rsidR="000F17DA">
        <w:rPr>
          <w:rFonts w:cs="Times New Roman"/>
          <w:szCs w:val="24"/>
        </w:rPr>
        <w:t xml:space="preserve">ponieważ </w:t>
      </w:r>
      <w:r w:rsidR="002B6CBF" w:rsidRPr="002B6CBF">
        <w:rPr>
          <w:rFonts w:cs="Times New Roman"/>
          <w:szCs w:val="24"/>
        </w:rPr>
        <w:t xml:space="preserve">część podmiotów może występować jako podmioty z kilku grup lub rozliczać się ryczałtowo. </w:t>
      </w:r>
      <w:r w:rsidR="000F17DA">
        <w:rPr>
          <w:rFonts w:cs="Times New Roman"/>
          <w:szCs w:val="24"/>
        </w:rPr>
        <w:t xml:space="preserve">Zaproponowany w projektowanym brzmieniu części wspólnej w </w:t>
      </w:r>
      <w:r w:rsidR="00521912">
        <w:rPr>
          <w:rFonts w:cs="Times New Roman"/>
          <w:szCs w:val="24"/>
        </w:rPr>
        <w:t>§ 17 ust. 3 r</w:t>
      </w:r>
      <w:r w:rsidR="000F17DA" w:rsidRPr="000F17DA">
        <w:rPr>
          <w:rFonts w:cs="Times New Roman"/>
          <w:szCs w:val="24"/>
        </w:rPr>
        <w:t>ozporządzenia</w:t>
      </w:r>
      <w:r w:rsidR="000F17DA">
        <w:rPr>
          <w:rFonts w:cs="Times New Roman"/>
          <w:szCs w:val="24"/>
        </w:rPr>
        <w:t xml:space="preserve"> sposób uwzględnienia opłat przy ustalaniu kosztów nadzoru netto </w:t>
      </w:r>
      <w:r w:rsidR="000F17DA" w:rsidRPr="000F17DA">
        <w:rPr>
          <w:rFonts w:cs="Times New Roman"/>
          <w:szCs w:val="24"/>
        </w:rPr>
        <w:t>w części przypadaj</w:t>
      </w:r>
      <w:r w:rsidR="00521912">
        <w:rPr>
          <w:rFonts w:cs="Times New Roman"/>
          <w:szCs w:val="24"/>
        </w:rPr>
        <w:t>ącej na daną grupę, ustalonej z </w:t>
      </w:r>
      <w:r w:rsidR="000F17DA" w:rsidRPr="000F17DA">
        <w:rPr>
          <w:rFonts w:cs="Times New Roman"/>
          <w:szCs w:val="24"/>
        </w:rPr>
        <w:t>wykorzystaniem procentowego udziału danej grupy w planowanych kosztach nadzoru netto w danym roku kalendarzowym, obliczanego zgodnie z § 18 ust. 3</w:t>
      </w:r>
      <w:r w:rsidR="00521912">
        <w:rPr>
          <w:rFonts w:cs="Times New Roman"/>
          <w:szCs w:val="24"/>
        </w:rPr>
        <w:t xml:space="preserve"> r</w:t>
      </w:r>
      <w:r w:rsidR="000F17DA">
        <w:rPr>
          <w:rFonts w:cs="Times New Roman"/>
          <w:szCs w:val="24"/>
        </w:rPr>
        <w:t xml:space="preserve">ozporządzenia, wyeliminuje – w ocenie projektodawcy – wskazane </w:t>
      </w:r>
      <w:r w:rsidR="002B6CBF" w:rsidRPr="002B6CBF">
        <w:rPr>
          <w:rFonts w:cs="Times New Roman"/>
          <w:szCs w:val="24"/>
        </w:rPr>
        <w:t>wyżej wątpliwości i utrudnienia.</w:t>
      </w:r>
      <w:r w:rsidR="00612AF6" w:rsidRPr="00BE0B28">
        <w:t xml:space="preserve"> </w:t>
      </w:r>
      <w:r w:rsidR="00046B5E">
        <w:rPr>
          <w:rFonts w:cs="Times New Roman"/>
          <w:szCs w:val="24"/>
        </w:rPr>
        <w:t xml:space="preserve"> </w:t>
      </w:r>
    </w:p>
    <w:p w14:paraId="7E503811" w14:textId="77777777" w:rsidR="00521912" w:rsidRDefault="000F493E" w:rsidP="007D3F15">
      <w:pPr>
        <w:widowControl/>
        <w:rPr>
          <w:rFonts w:cs="Times New Roman"/>
          <w:szCs w:val="24"/>
        </w:rPr>
      </w:pPr>
      <w:r>
        <w:rPr>
          <w:rFonts w:cs="Times New Roman"/>
          <w:color w:val="000000" w:themeColor="text1"/>
          <w:szCs w:val="24"/>
        </w:rPr>
        <w:t xml:space="preserve">W </w:t>
      </w:r>
      <w:r w:rsidRPr="007D3F15">
        <w:rPr>
          <w:rFonts w:cs="Times New Roman"/>
          <w:b/>
          <w:szCs w:val="24"/>
        </w:rPr>
        <w:t>§ </w:t>
      </w:r>
      <w:r w:rsidRPr="001810A4">
        <w:rPr>
          <w:rFonts w:cs="Times New Roman"/>
          <w:b/>
          <w:szCs w:val="24"/>
        </w:rPr>
        <w:t xml:space="preserve">1 </w:t>
      </w:r>
      <w:r>
        <w:rPr>
          <w:rFonts w:cs="Times New Roman"/>
          <w:b/>
          <w:szCs w:val="24"/>
        </w:rPr>
        <w:t xml:space="preserve">pkt </w:t>
      </w:r>
      <w:r w:rsidR="00E10A72">
        <w:rPr>
          <w:rFonts w:cs="Times New Roman"/>
          <w:b/>
          <w:szCs w:val="24"/>
        </w:rPr>
        <w:t>8</w:t>
      </w:r>
      <w:r w:rsidRPr="00212B45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projektu rozporządzenia</w:t>
      </w:r>
      <w:r w:rsidRPr="007D3F15">
        <w:rPr>
          <w:rFonts w:cs="Times New Roman"/>
          <w:szCs w:val="24"/>
        </w:rPr>
        <w:t xml:space="preserve"> </w:t>
      </w:r>
      <w:r w:rsidR="00AD7223">
        <w:rPr>
          <w:rFonts w:cs="Times New Roman"/>
          <w:szCs w:val="24"/>
        </w:rPr>
        <w:t xml:space="preserve">przewiduje się zmiany </w:t>
      </w:r>
      <w:r>
        <w:rPr>
          <w:rFonts w:cs="Times New Roman"/>
          <w:szCs w:val="24"/>
        </w:rPr>
        <w:t xml:space="preserve">w </w:t>
      </w:r>
      <w:r w:rsidR="00A16996">
        <w:rPr>
          <w:rFonts w:cs="Times New Roman"/>
          <w:szCs w:val="24"/>
        </w:rPr>
        <w:t>§ 19</w:t>
      </w:r>
      <w:r>
        <w:rPr>
          <w:rFonts w:cs="Times New Roman"/>
          <w:szCs w:val="24"/>
        </w:rPr>
        <w:t xml:space="preserve"> ust. 3</w:t>
      </w:r>
      <w:r w:rsidR="00396AA5">
        <w:rPr>
          <w:rFonts w:cs="Times New Roman"/>
          <w:szCs w:val="24"/>
        </w:rPr>
        <w:t xml:space="preserve"> </w:t>
      </w:r>
      <w:r w:rsidR="00521912">
        <w:rPr>
          <w:rFonts w:cs="Times New Roman"/>
          <w:szCs w:val="24"/>
        </w:rPr>
        <w:t>rozporządzenia w</w:t>
      </w:r>
    </w:p>
    <w:p w14:paraId="6E589DE9" w14:textId="77777777" w:rsidR="00521912" w:rsidRDefault="00521912">
      <w:pPr>
        <w:widowControl/>
        <w:autoSpaceDE/>
        <w:autoSpaceDN/>
        <w:adjustRightInd/>
        <w:spacing w:after="200"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508D8A69" w14:textId="52BB796D" w:rsidR="007A3D3C" w:rsidRDefault="00AD7223" w:rsidP="007D3F15">
      <w:pPr>
        <w:widowControl/>
      </w:pPr>
      <w:r>
        <w:rPr>
          <w:rFonts w:cs="Times New Roman"/>
          <w:szCs w:val="24"/>
        </w:rPr>
        <w:lastRenderedPageBreak/>
        <w:t>zakresie zmiany objaśnienia</w:t>
      </w:r>
      <w:r w:rsidR="00396AA5">
        <w:rPr>
          <w:rFonts w:cs="Times New Roman"/>
          <w:szCs w:val="24"/>
        </w:rPr>
        <w:t xml:space="preserve"> </w:t>
      </w:r>
      <w:r w:rsidR="000C462E">
        <w:rPr>
          <w:rFonts w:cs="Times New Roman"/>
          <w:szCs w:val="24"/>
        </w:rPr>
        <w:t>oznaczenia</w:t>
      </w:r>
      <w:r w:rsidR="00396AA5" w:rsidRPr="00396AA5">
        <w:rPr>
          <w:rFonts w:cs="Times New Roman"/>
          <w:szCs w:val="24"/>
        </w:rPr>
        <w:t xml:space="preserve"> symbolu </w:t>
      </w:r>
      <w:r w:rsidR="00396AA5" w:rsidRPr="00931F04">
        <w:rPr>
          <w:rFonts w:ascii="Times" w:hAnsi="Times"/>
        </w:rPr>
        <w:t>O</w:t>
      </w:r>
      <w:r w:rsidR="00396AA5" w:rsidRPr="00212B45">
        <w:rPr>
          <w:rStyle w:val="IDindeksdolny"/>
          <w:rFonts w:ascii="Times" w:eastAsiaTheme="minorEastAsia" w:hAnsi="Times"/>
        </w:rPr>
        <w:t>Gn-1</w:t>
      </w:r>
      <w:r w:rsidR="00396AA5" w:rsidRPr="000F17DA">
        <w:rPr>
          <w:rStyle w:val="IDindeksdolny"/>
          <w:rFonts w:ascii="Times" w:eastAsiaTheme="minorEastAsia" w:hAnsi="Times"/>
          <w:vertAlign w:val="baseline"/>
        </w:rPr>
        <w:t>,</w:t>
      </w:r>
      <w:r w:rsidR="00396AA5">
        <w:rPr>
          <w:rStyle w:val="IDindeksdolny"/>
          <w:rFonts w:ascii="Times" w:eastAsiaTheme="minorEastAsia" w:hAnsi="Times"/>
        </w:rPr>
        <w:t xml:space="preserve"> </w:t>
      </w:r>
      <w:r w:rsidR="00396AA5">
        <w:rPr>
          <w:rFonts w:cs="Times New Roman"/>
          <w:szCs w:val="24"/>
        </w:rPr>
        <w:t>który jest składnikiem równania dotyczącego obliczania kosztów nadzoru nett</w:t>
      </w:r>
      <w:r w:rsidR="000C462E">
        <w:rPr>
          <w:rFonts w:cs="Times New Roman"/>
          <w:szCs w:val="24"/>
        </w:rPr>
        <w:t>o dla danej grupy. Dotychczas</w:t>
      </w:r>
      <w:r w:rsidR="00396AA5">
        <w:rPr>
          <w:rFonts w:cs="Times New Roman"/>
          <w:szCs w:val="24"/>
        </w:rPr>
        <w:t xml:space="preserve"> obliczone </w:t>
      </w:r>
      <w:r w:rsidR="00DF58AF">
        <w:rPr>
          <w:rFonts w:cs="Times New Roman"/>
          <w:szCs w:val="24"/>
        </w:rPr>
        <w:t xml:space="preserve">planowane i wykonane </w:t>
      </w:r>
      <w:r w:rsidR="00396AA5">
        <w:rPr>
          <w:rFonts w:cs="Times New Roman"/>
          <w:szCs w:val="24"/>
        </w:rPr>
        <w:t xml:space="preserve">koszty nadzoru </w:t>
      </w:r>
      <w:r w:rsidR="000C462E">
        <w:rPr>
          <w:rFonts w:cs="Times New Roman"/>
          <w:szCs w:val="24"/>
        </w:rPr>
        <w:t xml:space="preserve">w celu uzyskania ich wartości netto </w:t>
      </w:r>
      <w:r w:rsidR="00521912">
        <w:rPr>
          <w:rFonts w:cs="Times New Roman"/>
          <w:szCs w:val="24"/>
        </w:rPr>
        <w:t>obniżało się o </w:t>
      </w:r>
      <w:r w:rsidR="00324C4F">
        <w:rPr>
          <w:rFonts w:cs="Times New Roman"/>
          <w:szCs w:val="24"/>
        </w:rPr>
        <w:t>„</w:t>
      </w:r>
      <w:r w:rsidR="000C462E" w:rsidRPr="000C462E">
        <w:rPr>
          <w:rFonts w:cs="Times New Roman"/>
          <w:szCs w:val="24"/>
        </w:rPr>
        <w:t>kwoty i opłaty, o których mowa w § 17</w:t>
      </w:r>
      <w:r w:rsidR="00521912">
        <w:rPr>
          <w:rFonts w:cs="Times New Roman"/>
          <w:szCs w:val="24"/>
        </w:rPr>
        <w:t xml:space="preserve"> r</w:t>
      </w:r>
      <w:r>
        <w:rPr>
          <w:rFonts w:cs="Times New Roman"/>
          <w:szCs w:val="24"/>
        </w:rPr>
        <w:t>ozporządzenia</w:t>
      </w:r>
      <w:r w:rsidR="000C462E" w:rsidRPr="000C462E">
        <w:rPr>
          <w:rFonts w:cs="Times New Roman"/>
          <w:szCs w:val="24"/>
        </w:rPr>
        <w:t>, wniesione w poprzednim ro</w:t>
      </w:r>
      <w:r w:rsidR="00EA0981">
        <w:rPr>
          <w:rFonts w:cs="Times New Roman"/>
          <w:szCs w:val="24"/>
        </w:rPr>
        <w:t xml:space="preserve">ku kalendarzowym </w:t>
      </w:r>
      <w:r w:rsidR="00910045">
        <w:rPr>
          <w:rFonts w:cs="Times New Roman"/>
          <w:szCs w:val="24"/>
        </w:rPr>
        <w:t>przez podmioty danej grupy</w:t>
      </w:r>
      <w:r w:rsidR="00324C4F">
        <w:rPr>
          <w:rFonts w:cs="Times New Roman"/>
          <w:szCs w:val="24"/>
        </w:rPr>
        <w:t>”</w:t>
      </w:r>
      <w:r w:rsidR="007178D8">
        <w:rPr>
          <w:rFonts w:cs="Times New Roman"/>
          <w:szCs w:val="24"/>
        </w:rPr>
        <w:t xml:space="preserve">. </w:t>
      </w:r>
      <w:r w:rsidR="00324C4F">
        <w:rPr>
          <w:rFonts w:cs="Times New Roman"/>
          <w:szCs w:val="24"/>
        </w:rPr>
        <w:t xml:space="preserve">Projektowana zmiana </w:t>
      </w:r>
      <w:r w:rsidR="0074629F">
        <w:rPr>
          <w:rFonts w:cs="Times New Roman"/>
          <w:szCs w:val="24"/>
        </w:rPr>
        <w:t>jest ściśl</w:t>
      </w:r>
      <w:r w:rsidR="00521912">
        <w:rPr>
          <w:rFonts w:cs="Times New Roman"/>
          <w:szCs w:val="24"/>
        </w:rPr>
        <w:t>e związana z </w:t>
      </w:r>
      <w:r w:rsidR="00324C4F">
        <w:rPr>
          <w:rFonts w:cs="Times New Roman"/>
          <w:szCs w:val="24"/>
        </w:rPr>
        <w:t xml:space="preserve">projektowanym brzmieniem </w:t>
      </w:r>
      <w:r w:rsidR="00AA56F7">
        <w:rPr>
          <w:rFonts w:cs="Times New Roman"/>
          <w:szCs w:val="24"/>
        </w:rPr>
        <w:t>§</w:t>
      </w:r>
      <w:r w:rsidR="0074629F">
        <w:rPr>
          <w:rFonts w:cs="Times New Roman"/>
          <w:szCs w:val="24"/>
        </w:rPr>
        <w:t xml:space="preserve"> </w:t>
      </w:r>
      <w:r w:rsidR="00AA56F7">
        <w:rPr>
          <w:rFonts w:cs="Times New Roman"/>
          <w:szCs w:val="24"/>
        </w:rPr>
        <w:t>17 ust</w:t>
      </w:r>
      <w:r w:rsidR="000F17DA">
        <w:rPr>
          <w:rFonts w:cs="Times New Roman"/>
          <w:szCs w:val="24"/>
        </w:rPr>
        <w:t>.</w:t>
      </w:r>
      <w:r w:rsidR="00AA56F7">
        <w:rPr>
          <w:rFonts w:cs="Times New Roman"/>
          <w:szCs w:val="24"/>
        </w:rPr>
        <w:t xml:space="preserve"> 3</w:t>
      </w:r>
      <w:r w:rsidR="00521912">
        <w:rPr>
          <w:rFonts w:cs="Times New Roman"/>
          <w:szCs w:val="24"/>
        </w:rPr>
        <w:t xml:space="preserve"> r</w:t>
      </w:r>
      <w:r w:rsidR="006102F3">
        <w:rPr>
          <w:rFonts w:cs="Times New Roman"/>
          <w:szCs w:val="24"/>
        </w:rPr>
        <w:t>ozporządzenia</w:t>
      </w:r>
      <w:r w:rsidR="00AA56F7">
        <w:rPr>
          <w:rFonts w:cs="Times New Roman"/>
          <w:szCs w:val="24"/>
        </w:rPr>
        <w:t xml:space="preserve">. </w:t>
      </w:r>
      <w:r w:rsidR="00324C4F">
        <w:rPr>
          <w:rFonts w:cs="Times New Roman"/>
          <w:szCs w:val="24"/>
        </w:rPr>
        <w:t>W wyniku wprowadzenia ww. zmiany</w:t>
      </w:r>
      <w:r w:rsidR="007178D8">
        <w:rPr>
          <w:rFonts w:cs="Times New Roman"/>
          <w:szCs w:val="24"/>
        </w:rPr>
        <w:t>, w celu</w:t>
      </w:r>
      <w:r w:rsidR="000C462E">
        <w:rPr>
          <w:rFonts w:cs="Times New Roman"/>
          <w:szCs w:val="24"/>
        </w:rPr>
        <w:t xml:space="preserve"> </w:t>
      </w:r>
      <w:r w:rsidR="00324C4F">
        <w:rPr>
          <w:rFonts w:cs="Times New Roman"/>
          <w:szCs w:val="24"/>
        </w:rPr>
        <w:t xml:space="preserve">określenia </w:t>
      </w:r>
      <w:r w:rsidR="000C462E">
        <w:rPr>
          <w:rFonts w:cs="Times New Roman"/>
          <w:szCs w:val="24"/>
        </w:rPr>
        <w:t>kosztów nadzoru</w:t>
      </w:r>
      <w:r w:rsidR="00324C4F" w:rsidRPr="00324C4F">
        <w:rPr>
          <w:rFonts w:cs="Times New Roman"/>
          <w:szCs w:val="24"/>
        </w:rPr>
        <w:t xml:space="preserve"> </w:t>
      </w:r>
      <w:r w:rsidR="00324C4F" w:rsidRPr="000C462E">
        <w:rPr>
          <w:rFonts w:cs="Times New Roman"/>
          <w:szCs w:val="24"/>
        </w:rPr>
        <w:t>netto dla danej grupy</w:t>
      </w:r>
      <w:r w:rsidR="007178D8">
        <w:rPr>
          <w:rFonts w:cs="Times New Roman"/>
          <w:szCs w:val="24"/>
        </w:rPr>
        <w:t>,</w:t>
      </w:r>
      <w:r w:rsidR="000C462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odjęciu będzie podlegała</w:t>
      </w:r>
      <w:r w:rsidR="000C462E">
        <w:rPr>
          <w:rFonts w:cs="Times New Roman"/>
          <w:szCs w:val="24"/>
        </w:rPr>
        <w:t xml:space="preserve"> </w:t>
      </w:r>
      <w:r w:rsidR="000C462E" w:rsidRPr="00212B45">
        <w:rPr>
          <w:rFonts w:ascii="Times" w:eastAsiaTheme="minorEastAsia" w:hAnsi="Times"/>
        </w:rPr>
        <w:t>wartość opłat, o których mowa § 17 ust. 3</w:t>
      </w:r>
      <w:r w:rsidR="00521912">
        <w:rPr>
          <w:rFonts w:ascii="Times" w:eastAsiaTheme="minorEastAsia" w:hAnsi="Times"/>
        </w:rPr>
        <w:t xml:space="preserve"> r</w:t>
      </w:r>
      <w:r>
        <w:rPr>
          <w:rFonts w:ascii="Times" w:eastAsiaTheme="minorEastAsia" w:hAnsi="Times"/>
        </w:rPr>
        <w:t>ozporządzenia</w:t>
      </w:r>
      <w:r w:rsidR="000C462E" w:rsidRPr="00212B45">
        <w:rPr>
          <w:rFonts w:ascii="Times" w:eastAsiaTheme="minorEastAsia" w:hAnsi="Times"/>
        </w:rPr>
        <w:t>, wniesionych w poprzednim roku kalendarzowym w części przypadającej na daną grupę</w:t>
      </w:r>
      <w:r w:rsidR="00521912">
        <w:rPr>
          <w:rFonts w:cs="Times New Roman"/>
          <w:szCs w:val="24"/>
        </w:rPr>
        <w:t>. Wynika to przede wszystkim z </w:t>
      </w:r>
      <w:r w:rsidR="000C462E">
        <w:rPr>
          <w:rFonts w:cs="Times New Roman"/>
          <w:szCs w:val="24"/>
        </w:rPr>
        <w:t xml:space="preserve">konieczności </w:t>
      </w:r>
      <w:r w:rsidR="006A7568">
        <w:rPr>
          <w:rFonts w:cs="Times New Roman"/>
          <w:szCs w:val="24"/>
        </w:rPr>
        <w:t>dookreślenia</w:t>
      </w:r>
      <w:r w:rsidR="000C462E">
        <w:rPr>
          <w:rFonts w:cs="Times New Roman"/>
          <w:szCs w:val="24"/>
        </w:rPr>
        <w:t xml:space="preserve"> sposobu przypisywania poszczególnych opłat do odpowiedniej grupy. </w:t>
      </w:r>
      <w:r w:rsidR="000D2060">
        <w:rPr>
          <w:rFonts w:cs="Times New Roman"/>
          <w:szCs w:val="24"/>
        </w:rPr>
        <w:t>Obecny</w:t>
      </w:r>
      <w:r w:rsidR="006102F3" w:rsidRPr="002B6CBF">
        <w:rPr>
          <w:rFonts w:cs="Times New Roman"/>
          <w:szCs w:val="24"/>
        </w:rPr>
        <w:t xml:space="preserve"> stan prawny </w:t>
      </w:r>
      <w:r w:rsidR="000D2060">
        <w:rPr>
          <w:rFonts w:cs="Times New Roman"/>
          <w:szCs w:val="24"/>
        </w:rPr>
        <w:t>wywołuje pewne</w:t>
      </w:r>
      <w:r w:rsidR="006102F3" w:rsidRPr="002B6CBF">
        <w:rPr>
          <w:rFonts w:cs="Times New Roman"/>
          <w:szCs w:val="24"/>
        </w:rPr>
        <w:t xml:space="preserve"> wątpliwości interpretacyjne co do sposobu uwzględniania opłat jednorazowych i ryczałtowych wniesionych w poprzednim roku kalendarzowym przez podmioty nadzorowane przy obliczaniu kosztów nadzoru netto. Opłaty wymienione w </w:t>
      </w:r>
      <w:r w:rsidR="00521912">
        <w:rPr>
          <w:rFonts w:cs="Times New Roman"/>
          <w:szCs w:val="24"/>
        </w:rPr>
        <w:t>§ 17 ust. 3 r</w:t>
      </w:r>
      <w:r w:rsidR="00324C4F" w:rsidRPr="00324C4F">
        <w:rPr>
          <w:rFonts w:cs="Times New Roman"/>
          <w:szCs w:val="24"/>
        </w:rPr>
        <w:t>ozporządzenia</w:t>
      </w:r>
      <w:r w:rsidR="00324C4F" w:rsidRPr="00324C4F" w:rsidDel="00324C4F">
        <w:rPr>
          <w:rFonts w:cs="Times New Roman"/>
          <w:szCs w:val="24"/>
        </w:rPr>
        <w:t xml:space="preserve"> </w:t>
      </w:r>
      <w:r w:rsidR="006102F3" w:rsidRPr="002B6CBF">
        <w:rPr>
          <w:rFonts w:cs="Times New Roman"/>
          <w:szCs w:val="24"/>
        </w:rPr>
        <w:t>nie są wnoszone jedynie przez</w:t>
      </w:r>
      <w:r w:rsidR="00521912">
        <w:rPr>
          <w:rFonts w:cs="Times New Roman"/>
          <w:szCs w:val="24"/>
        </w:rPr>
        <w:t xml:space="preserve"> podmioty będące w </w:t>
      </w:r>
      <w:r w:rsidR="006102F3">
        <w:rPr>
          <w:rFonts w:cs="Times New Roman"/>
          <w:szCs w:val="24"/>
        </w:rPr>
        <w:t>danej grupie</w:t>
      </w:r>
      <w:r w:rsidR="006102F3" w:rsidRPr="002B6CBF">
        <w:rPr>
          <w:rFonts w:cs="Times New Roman"/>
          <w:szCs w:val="24"/>
        </w:rPr>
        <w:t xml:space="preserve">, </w:t>
      </w:r>
      <w:r w:rsidR="00324C4F">
        <w:rPr>
          <w:rFonts w:cs="Times New Roman"/>
          <w:szCs w:val="24"/>
        </w:rPr>
        <w:t xml:space="preserve">ponieważ </w:t>
      </w:r>
      <w:r w:rsidR="006102F3" w:rsidRPr="002B6CBF">
        <w:rPr>
          <w:rFonts w:cs="Times New Roman"/>
          <w:szCs w:val="24"/>
        </w:rPr>
        <w:t>część podmiotów może występować jako podmioty z kilku grup lub rozliczać się ryczałtowo.</w:t>
      </w:r>
      <w:r w:rsidR="00324C4F">
        <w:rPr>
          <w:rFonts w:cs="Times New Roman"/>
          <w:szCs w:val="24"/>
        </w:rPr>
        <w:t xml:space="preserve"> Zaproponowany w projektowanym brzmieniu § 19 ust</w:t>
      </w:r>
      <w:r w:rsidR="00521912">
        <w:rPr>
          <w:rFonts w:cs="Times New Roman"/>
          <w:szCs w:val="24"/>
        </w:rPr>
        <w:t>. 3 r</w:t>
      </w:r>
      <w:r w:rsidR="00324C4F">
        <w:rPr>
          <w:rFonts w:cs="Times New Roman"/>
          <w:szCs w:val="24"/>
        </w:rPr>
        <w:t xml:space="preserve">ozporządzenia sposób uwzględnienia opłat, o których mowa w projektowanym </w:t>
      </w:r>
      <w:r w:rsidR="00521912">
        <w:rPr>
          <w:rFonts w:cs="Times New Roman"/>
          <w:szCs w:val="24"/>
        </w:rPr>
        <w:t>§ 17 ust. 3 r</w:t>
      </w:r>
      <w:r w:rsidR="00324C4F" w:rsidRPr="00324C4F">
        <w:rPr>
          <w:rFonts w:cs="Times New Roman"/>
          <w:szCs w:val="24"/>
        </w:rPr>
        <w:t>ozporządzenia</w:t>
      </w:r>
      <w:r w:rsidR="00324C4F">
        <w:rPr>
          <w:rFonts w:cs="Times New Roman"/>
          <w:szCs w:val="24"/>
        </w:rPr>
        <w:t xml:space="preserve">, </w:t>
      </w:r>
      <w:r w:rsidR="00324C4F" w:rsidRPr="00663C92">
        <w:t>wniesionych w poprzednim roku kalendarzowym w części przypadającej na daną grupę</w:t>
      </w:r>
      <w:r w:rsidR="00324C4F">
        <w:t xml:space="preserve">, </w:t>
      </w:r>
      <w:r w:rsidR="00324C4F">
        <w:rPr>
          <w:rFonts w:cs="Times New Roman"/>
          <w:szCs w:val="24"/>
        </w:rPr>
        <w:t>wyeliminuje – w ocenie projektodawcy – wskazane</w:t>
      </w:r>
      <w:r w:rsidR="00521912">
        <w:rPr>
          <w:rFonts w:cs="Times New Roman"/>
          <w:szCs w:val="24"/>
        </w:rPr>
        <w:t xml:space="preserve"> wyżej wątpliwości i </w:t>
      </w:r>
      <w:r w:rsidR="006102F3" w:rsidRPr="002B6CBF">
        <w:rPr>
          <w:rFonts w:cs="Times New Roman"/>
          <w:szCs w:val="24"/>
        </w:rPr>
        <w:t>utrudnienia.</w:t>
      </w:r>
    </w:p>
    <w:p w14:paraId="19B2CDB7" w14:textId="5CC8B566" w:rsidR="00B64335" w:rsidRPr="00BE0B28" w:rsidRDefault="00BE0B28" w:rsidP="003E5399">
      <w:pPr>
        <w:spacing w:before="120" w:after="120"/>
      </w:pPr>
      <w:r w:rsidRPr="007D3F15">
        <w:rPr>
          <w:rFonts w:cs="Times New Roman"/>
          <w:color w:val="000000" w:themeColor="text1"/>
          <w:szCs w:val="24"/>
        </w:rPr>
        <w:t xml:space="preserve">W </w:t>
      </w:r>
      <w:r w:rsidRPr="00791625">
        <w:rPr>
          <w:rFonts w:cs="Times New Roman"/>
          <w:b/>
          <w:szCs w:val="24"/>
        </w:rPr>
        <w:t>§ 1</w:t>
      </w:r>
      <w:r w:rsidRPr="00212B45">
        <w:rPr>
          <w:rFonts w:cs="Times New Roman"/>
          <w:b/>
          <w:szCs w:val="24"/>
        </w:rPr>
        <w:t xml:space="preserve"> pkt </w:t>
      </w:r>
      <w:r>
        <w:rPr>
          <w:rFonts w:cs="Times New Roman"/>
          <w:b/>
          <w:szCs w:val="24"/>
        </w:rPr>
        <w:t>9</w:t>
      </w:r>
      <w:r w:rsidRPr="00212B45">
        <w:rPr>
          <w:rFonts w:cs="Times New Roman"/>
          <w:b/>
          <w:szCs w:val="24"/>
        </w:rPr>
        <w:t xml:space="preserve"> projektu rozporządzenia</w:t>
      </w:r>
      <w:r w:rsidRPr="00BE0B28">
        <w:rPr>
          <w:rFonts w:cs="Times New Roman"/>
          <w:szCs w:val="24"/>
        </w:rPr>
        <w:t xml:space="preserve"> </w:t>
      </w:r>
      <w:r w:rsidR="006102F3">
        <w:rPr>
          <w:rFonts w:cs="Times New Roman"/>
          <w:szCs w:val="24"/>
        </w:rPr>
        <w:t>wskazuje się sp</w:t>
      </w:r>
      <w:r w:rsidR="00521912">
        <w:rPr>
          <w:rFonts w:cs="Times New Roman"/>
          <w:szCs w:val="24"/>
        </w:rPr>
        <w:t>osób obliczania równowartości w złotych opłat, które w r</w:t>
      </w:r>
      <w:r w:rsidR="006102F3">
        <w:rPr>
          <w:rFonts w:cs="Times New Roman"/>
          <w:szCs w:val="24"/>
        </w:rPr>
        <w:t xml:space="preserve">ozporządzeniu wyrażone są w euro. Przyjętym przelicznikiem będzie </w:t>
      </w:r>
      <w:r w:rsidRPr="00BE0B28">
        <w:rPr>
          <w:rFonts w:cs="Times New Roman"/>
          <w:szCs w:val="24"/>
        </w:rPr>
        <w:t>średni kurs euro ogłaszany przez Narodowy Bank Polski na ostatni dzień roboczy roku poprzedzającego rok kalendarzowy, w którym powstało zobowiązanie.</w:t>
      </w:r>
      <w:r w:rsidR="0074629F">
        <w:rPr>
          <w:rFonts w:cs="Times New Roman"/>
          <w:szCs w:val="24"/>
        </w:rPr>
        <w:t xml:space="preserve"> </w:t>
      </w:r>
    </w:p>
    <w:p w14:paraId="75DF9519" w14:textId="384804B6" w:rsidR="00575BA7" w:rsidRPr="007D3F15" w:rsidRDefault="00575BA7" w:rsidP="00B16E46">
      <w:pPr>
        <w:spacing w:before="120" w:after="120"/>
        <w:rPr>
          <w:rFonts w:eastAsiaTheme="minorHAnsi" w:cs="Times New Roman"/>
          <w:szCs w:val="24"/>
          <w:lang w:eastAsia="en-US"/>
        </w:rPr>
      </w:pPr>
      <w:r w:rsidRPr="007D3F15">
        <w:rPr>
          <w:rFonts w:cs="Times New Roman"/>
          <w:color w:val="000000" w:themeColor="text1"/>
          <w:szCs w:val="24"/>
        </w:rPr>
        <w:t xml:space="preserve">W </w:t>
      </w:r>
      <w:r w:rsidR="00791625" w:rsidRPr="00791625">
        <w:rPr>
          <w:rFonts w:cs="Times New Roman"/>
          <w:b/>
          <w:szCs w:val="24"/>
        </w:rPr>
        <w:t>§ 1</w:t>
      </w:r>
      <w:r w:rsidR="00791625" w:rsidRPr="00212B45">
        <w:rPr>
          <w:rFonts w:cs="Times New Roman"/>
          <w:b/>
          <w:szCs w:val="24"/>
        </w:rPr>
        <w:t xml:space="preserve"> pkt </w:t>
      </w:r>
      <w:r w:rsidR="00B64335">
        <w:rPr>
          <w:rFonts w:cs="Times New Roman"/>
          <w:b/>
          <w:szCs w:val="24"/>
        </w:rPr>
        <w:t>10</w:t>
      </w:r>
      <w:r w:rsidR="00791625" w:rsidRPr="00212B45">
        <w:rPr>
          <w:rFonts w:cs="Times New Roman"/>
          <w:b/>
          <w:szCs w:val="24"/>
        </w:rPr>
        <w:t xml:space="preserve"> projektu rozporządzenia</w:t>
      </w:r>
      <w:r w:rsidR="00791625" w:rsidRPr="007D3F15">
        <w:rPr>
          <w:rFonts w:cs="Times New Roman"/>
          <w:szCs w:val="24"/>
        </w:rPr>
        <w:t xml:space="preserve"> </w:t>
      </w:r>
      <w:r w:rsidR="00910045">
        <w:rPr>
          <w:rFonts w:cs="Times New Roman"/>
          <w:szCs w:val="24"/>
        </w:rPr>
        <w:t xml:space="preserve">przewiduje się wprowadzenie </w:t>
      </w:r>
      <w:r w:rsidR="00FB6F37">
        <w:rPr>
          <w:rFonts w:cs="Times New Roman"/>
          <w:szCs w:val="24"/>
        </w:rPr>
        <w:t>zmian do § 21</w:t>
      </w:r>
      <w:r w:rsidRPr="007D3F15">
        <w:rPr>
          <w:rFonts w:cs="Times New Roman"/>
          <w:szCs w:val="24"/>
        </w:rPr>
        <w:t xml:space="preserve"> </w:t>
      </w:r>
      <w:r w:rsidR="00521912">
        <w:rPr>
          <w:rFonts w:cs="Times New Roman"/>
          <w:szCs w:val="24"/>
        </w:rPr>
        <w:t>r</w:t>
      </w:r>
      <w:r w:rsidR="00910045">
        <w:rPr>
          <w:rFonts w:cs="Times New Roman"/>
          <w:szCs w:val="24"/>
        </w:rPr>
        <w:t xml:space="preserve">ozporządzenia </w:t>
      </w:r>
      <w:r w:rsidR="00FB6F37">
        <w:rPr>
          <w:rFonts w:cs="Times New Roman"/>
          <w:szCs w:val="24"/>
        </w:rPr>
        <w:t xml:space="preserve">w </w:t>
      </w:r>
      <w:r w:rsidRPr="007D3F15">
        <w:rPr>
          <w:rFonts w:cs="Times New Roman"/>
          <w:szCs w:val="24"/>
        </w:rPr>
        <w:t>zakres</w:t>
      </w:r>
      <w:r w:rsidR="00FB6F37">
        <w:rPr>
          <w:rFonts w:cs="Times New Roman"/>
          <w:szCs w:val="24"/>
        </w:rPr>
        <w:t>ie</w:t>
      </w:r>
      <w:r w:rsidRPr="007D3F15">
        <w:rPr>
          <w:rFonts w:cs="Times New Roman"/>
          <w:szCs w:val="24"/>
        </w:rPr>
        <w:t xml:space="preserve"> informacji </w:t>
      </w:r>
      <w:r w:rsidRPr="007D3F15">
        <w:rPr>
          <w:rFonts w:eastAsiaTheme="minorHAnsi" w:cs="Times New Roman"/>
          <w:szCs w:val="24"/>
          <w:lang w:eastAsia="en-US"/>
        </w:rPr>
        <w:t>podawanych przez Przewodnicząc</w:t>
      </w:r>
      <w:r w:rsidR="00230E4E">
        <w:rPr>
          <w:rFonts w:eastAsiaTheme="minorHAnsi" w:cs="Times New Roman"/>
          <w:szCs w:val="24"/>
          <w:lang w:eastAsia="en-US"/>
        </w:rPr>
        <w:t>ego</w:t>
      </w:r>
      <w:r w:rsidRPr="007D3F15">
        <w:rPr>
          <w:rFonts w:eastAsiaTheme="minorHAnsi" w:cs="Times New Roman"/>
          <w:szCs w:val="24"/>
          <w:lang w:eastAsia="en-US"/>
        </w:rPr>
        <w:t xml:space="preserve"> Komisji Nadzoru Finansowego do publicznej wiadomości, w drodze komunikatu ogłaszanego w Dzienniku Urzędowym Komisji Nadzoru Finansowego. Przewodniczący Komisji Nadzoru Finansowego do dnia 31 sierpnia</w:t>
      </w:r>
      <w:r w:rsidR="007D3F15">
        <w:rPr>
          <w:rFonts w:eastAsiaTheme="minorHAnsi" w:cs="Times New Roman"/>
          <w:szCs w:val="24"/>
          <w:lang w:eastAsia="en-US"/>
        </w:rPr>
        <w:t xml:space="preserve"> roku kalendarzowego będzie </w:t>
      </w:r>
      <w:r w:rsidRPr="007D3F15">
        <w:rPr>
          <w:rFonts w:eastAsiaTheme="minorHAnsi" w:cs="Times New Roman"/>
          <w:szCs w:val="24"/>
          <w:lang w:eastAsia="en-US"/>
        </w:rPr>
        <w:t xml:space="preserve">podawał </w:t>
      </w:r>
      <w:r w:rsidR="003E5399" w:rsidRPr="003E5399">
        <w:rPr>
          <w:rFonts w:eastAsiaTheme="minorHAnsi" w:cs="Times New Roman"/>
          <w:szCs w:val="24"/>
          <w:lang w:eastAsia="en-US"/>
        </w:rPr>
        <w:t>informacje niezbędne do obliczenia wysokości opłat</w:t>
      </w:r>
      <w:r w:rsidR="003E5399">
        <w:rPr>
          <w:rFonts w:eastAsiaTheme="minorHAnsi" w:cs="Times New Roman"/>
          <w:szCs w:val="24"/>
          <w:lang w:eastAsia="en-US"/>
        </w:rPr>
        <w:t>,</w:t>
      </w:r>
      <w:r w:rsidR="003E5399" w:rsidRPr="003E5399">
        <w:rPr>
          <w:rFonts w:eastAsiaTheme="minorHAnsi" w:cs="Times New Roman"/>
          <w:szCs w:val="24"/>
          <w:lang w:eastAsia="en-US"/>
        </w:rPr>
        <w:t xml:space="preserve"> jakie podmioty nadzorowane będą zobowiązane uiścić</w:t>
      </w:r>
      <w:r w:rsidR="00EE31E7">
        <w:rPr>
          <w:rFonts w:eastAsiaTheme="minorHAnsi" w:cs="Times New Roman"/>
          <w:szCs w:val="24"/>
          <w:lang w:eastAsia="en-US"/>
        </w:rPr>
        <w:t>.</w:t>
      </w:r>
      <w:r w:rsidR="00043D56" w:rsidRPr="00043D56">
        <w:rPr>
          <w:rFonts w:cs="Times New Roman"/>
          <w:color w:val="000000" w:themeColor="text1"/>
          <w:szCs w:val="24"/>
        </w:rPr>
        <w:t xml:space="preserve"> </w:t>
      </w:r>
      <w:r w:rsidR="00AA56F7">
        <w:rPr>
          <w:rFonts w:cs="Times New Roman"/>
          <w:color w:val="000000" w:themeColor="text1"/>
          <w:szCs w:val="24"/>
        </w:rPr>
        <w:t xml:space="preserve">Celem </w:t>
      </w:r>
      <w:r w:rsidR="000D70C9">
        <w:rPr>
          <w:rFonts w:cs="Times New Roman"/>
          <w:color w:val="000000" w:themeColor="text1"/>
          <w:szCs w:val="24"/>
        </w:rPr>
        <w:t xml:space="preserve">ww. </w:t>
      </w:r>
      <w:r w:rsidR="00D66C4D">
        <w:rPr>
          <w:rFonts w:cs="Times New Roman"/>
          <w:color w:val="000000" w:themeColor="text1"/>
          <w:szCs w:val="24"/>
        </w:rPr>
        <w:t>zmiany</w:t>
      </w:r>
      <w:r w:rsidR="00AA56F7">
        <w:rPr>
          <w:rFonts w:cs="Times New Roman"/>
          <w:color w:val="000000" w:themeColor="text1"/>
          <w:szCs w:val="24"/>
        </w:rPr>
        <w:t xml:space="preserve"> jest zapewnienie efektywności informacyjnej publikowan</w:t>
      </w:r>
      <w:r w:rsidR="00D07D23">
        <w:rPr>
          <w:rFonts w:cs="Times New Roman"/>
          <w:color w:val="000000" w:themeColor="text1"/>
          <w:szCs w:val="24"/>
        </w:rPr>
        <w:t>ych</w:t>
      </w:r>
      <w:r w:rsidR="00AA56F7">
        <w:rPr>
          <w:rFonts w:cs="Times New Roman"/>
          <w:color w:val="000000" w:themeColor="text1"/>
          <w:szCs w:val="24"/>
        </w:rPr>
        <w:t xml:space="preserve"> przez Przewodniczącego </w:t>
      </w:r>
      <w:r w:rsidR="00D66C4D">
        <w:rPr>
          <w:rFonts w:cs="Times New Roman"/>
          <w:color w:val="000000" w:themeColor="text1"/>
          <w:szCs w:val="24"/>
        </w:rPr>
        <w:t>Komisji Nadzoru Finansowego</w:t>
      </w:r>
      <w:r w:rsidR="00AA56F7">
        <w:rPr>
          <w:rFonts w:cs="Times New Roman"/>
          <w:color w:val="000000" w:themeColor="text1"/>
          <w:szCs w:val="24"/>
        </w:rPr>
        <w:t xml:space="preserve"> informacji dotyczących opłat i kosztów nadzoru netto za poprzedni rok kalendarzowy</w:t>
      </w:r>
      <w:r w:rsidR="000D70C9">
        <w:rPr>
          <w:rFonts w:cs="Times New Roman"/>
          <w:color w:val="000000" w:themeColor="text1"/>
          <w:szCs w:val="24"/>
        </w:rPr>
        <w:t>.</w:t>
      </w:r>
      <w:r w:rsidR="00AA56F7">
        <w:rPr>
          <w:rFonts w:cs="Times New Roman"/>
          <w:color w:val="000000" w:themeColor="text1"/>
          <w:szCs w:val="24"/>
        </w:rPr>
        <w:t xml:space="preserve"> Publikowane dane</w:t>
      </w:r>
      <w:r w:rsidR="00D32985">
        <w:rPr>
          <w:rFonts w:cs="Times New Roman"/>
          <w:color w:val="000000" w:themeColor="text1"/>
          <w:szCs w:val="24"/>
        </w:rPr>
        <w:t>,</w:t>
      </w:r>
      <w:r w:rsidR="00AA56F7">
        <w:rPr>
          <w:rFonts w:cs="Times New Roman"/>
          <w:color w:val="000000" w:themeColor="text1"/>
          <w:szCs w:val="24"/>
        </w:rPr>
        <w:t xml:space="preserve"> </w:t>
      </w:r>
      <w:r w:rsidR="00D32985">
        <w:rPr>
          <w:rFonts w:cs="Times New Roman"/>
          <w:color w:val="000000" w:themeColor="text1"/>
          <w:szCs w:val="24"/>
        </w:rPr>
        <w:t>w</w:t>
      </w:r>
      <w:r w:rsidR="00AA56F7" w:rsidRPr="001F5CFD">
        <w:rPr>
          <w:rFonts w:cs="Times New Roman"/>
          <w:color w:val="000000" w:themeColor="text1"/>
          <w:szCs w:val="24"/>
        </w:rPr>
        <w:t xml:space="preserve">zorem </w:t>
      </w:r>
      <w:r w:rsidR="00AA56F7">
        <w:rPr>
          <w:rFonts w:cs="Times New Roman"/>
          <w:color w:val="000000" w:themeColor="text1"/>
          <w:szCs w:val="24"/>
        </w:rPr>
        <w:t xml:space="preserve">innych rozporządzeń, </w:t>
      </w:r>
      <w:r w:rsidR="006102F3">
        <w:rPr>
          <w:rFonts w:cs="Times New Roman"/>
          <w:color w:val="000000" w:themeColor="text1"/>
          <w:szCs w:val="24"/>
        </w:rPr>
        <w:t>będą</w:t>
      </w:r>
      <w:r w:rsidR="00AA56F7" w:rsidRPr="001F5CFD">
        <w:rPr>
          <w:rFonts w:cs="Times New Roman"/>
          <w:color w:val="000000" w:themeColor="text1"/>
          <w:szCs w:val="24"/>
        </w:rPr>
        <w:t xml:space="preserve"> </w:t>
      </w:r>
      <w:r w:rsidR="00D32985">
        <w:rPr>
          <w:rFonts w:cs="Times New Roman"/>
          <w:color w:val="000000" w:themeColor="text1"/>
          <w:szCs w:val="24"/>
        </w:rPr>
        <w:t xml:space="preserve">zawierały </w:t>
      </w:r>
      <w:r w:rsidR="006102F3">
        <w:rPr>
          <w:rFonts w:cs="Times New Roman"/>
          <w:color w:val="000000" w:themeColor="text1"/>
          <w:szCs w:val="24"/>
        </w:rPr>
        <w:t>informacje</w:t>
      </w:r>
      <w:r w:rsidR="00D32985">
        <w:rPr>
          <w:rFonts w:cs="Times New Roman"/>
          <w:color w:val="000000" w:themeColor="text1"/>
          <w:szCs w:val="24"/>
        </w:rPr>
        <w:t>,</w:t>
      </w:r>
      <w:r w:rsidR="00D32985" w:rsidRPr="00D32985">
        <w:rPr>
          <w:rFonts w:cs="Times New Roman"/>
          <w:color w:val="000000" w:themeColor="text1"/>
          <w:szCs w:val="24"/>
        </w:rPr>
        <w:t xml:space="preserve"> </w:t>
      </w:r>
      <w:r w:rsidR="00D32985">
        <w:rPr>
          <w:rFonts w:cs="Times New Roman"/>
          <w:color w:val="000000" w:themeColor="text1"/>
          <w:szCs w:val="24"/>
        </w:rPr>
        <w:lastRenderedPageBreak/>
        <w:t xml:space="preserve">zarówno </w:t>
      </w:r>
      <w:r w:rsidR="00D32985" w:rsidRPr="001F5CFD">
        <w:rPr>
          <w:rFonts w:cs="Times New Roman"/>
          <w:color w:val="000000" w:themeColor="text1"/>
          <w:szCs w:val="24"/>
        </w:rPr>
        <w:t>ogółem</w:t>
      </w:r>
      <w:r w:rsidR="00D32985">
        <w:rPr>
          <w:rFonts w:cs="Times New Roman"/>
          <w:color w:val="000000" w:themeColor="text1"/>
          <w:szCs w:val="24"/>
        </w:rPr>
        <w:t xml:space="preserve"> jak</w:t>
      </w:r>
      <w:r w:rsidR="00D32985" w:rsidRPr="001F5CFD">
        <w:rPr>
          <w:rFonts w:cs="Times New Roman"/>
          <w:color w:val="000000" w:themeColor="text1"/>
          <w:szCs w:val="24"/>
        </w:rPr>
        <w:t xml:space="preserve"> i w podziale na grupy</w:t>
      </w:r>
      <w:r w:rsidR="00D32985">
        <w:rPr>
          <w:rFonts w:cs="Times New Roman"/>
          <w:color w:val="000000" w:themeColor="text1"/>
          <w:szCs w:val="24"/>
        </w:rPr>
        <w:t>,</w:t>
      </w:r>
      <w:r w:rsidR="006102F3">
        <w:rPr>
          <w:rFonts w:cs="Times New Roman"/>
          <w:color w:val="000000" w:themeColor="text1"/>
          <w:szCs w:val="24"/>
        </w:rPr>
        <w:t xml:space="preserve"> </w:t>
      </w:r>
      <w:r w:rsidR="00AA56F7" w:rsidRPr="001F5CFD">
        <w:rPr>
          <w:rFonts w:cs="Times New Roman"/>
          <w:color w:val="000000" w:themeColor="text1"/>
          <w:szCs w:val="24"/>
        </w:rPr>
        <w:t>niezbędne do</w:t>
      </w:r>
      <w:r w:rsidR="00AA56F7">
        <w:rPr>
          <w:rFonts w:cs="Times New Roman"/>
          <w:color w:val="000000" w:themeColor="text1"/>
          <w:szCs w:val="24"/>
        </w:rPr>
        <w:t xml:space="preserve"> dokonania rozliczenia</w:t>
      </w:r>
      <w:r w:rsidR="00AA56F7" w:rsidRPr="001F5CFD">
        <w:rPr>
          <w:rFonts w:cs="Times New Roman"/>
          <w:color w:val="000000" w:themeColor="text1"/>
          <w:szCs w:val="24"/>
        </w:rPr>
        <w:t xml:space="preserve">.  </w:t>
      </w:r>
    </w:p>
    <w:p w14:paraId="6F0F1C2B" w14:textId="3DE98DBD" w:rsidR="00BE03B8" w:rsidRPr="00612AF6" w:rsidRDefault="00BE03B8" w:rsidP="00640385">
      <w:pPr>
        <w:spacing w:before="120" w:after="120"/>
        <w:rPr>
          <w:rStyle w:val="Pogrubienie"/>
          <w:rFonts w:cs="Times New Roman"/>
          <w:b w:val="0"/>
          <w:bCs w:val="0"/>
          <w:szCs w:val="24"/>
        </w:rPr>
      </w:pPr>
      <w:r w:rsidRPr="007D3F15">
        <w:rPr>
          <w:rStyle w:val="Pogrubienie"/>
          <w:rFonts w:cs="Times New Roman"/>
          <w:szCs w:val="24"/>
        </w:rPr>
        <w:t>§</w:t>
      </w:r>
      <w:r w:rsidR="00453A7A" w:rsidRPr="007D3F15">
        <w:rPr>
          <w:rStyle w:val="Pogrubienie"/>
          <w:rFonts w:cs="Times New Roman"/>
          <w:szCs w:val="24"/>
        </w:rPr>
        <w:t xml:space="preserve"> 2</w:t>
      </w:r>
      <w:r w:rsidRPr="007D3F15">
        <w:rPr>
          <w:rStyle w:val="Pogrubienie"/>
          <w:rFonts w:cs="Times New Roman"/>
          <w:szCs w:val="24"/>
        </w:rPr>
        <w:t xml:space="preserve"> </w:t>
      </w:r>
      <w:r w:rsidR="00D1269A">
        <w:rPr>
          <w:rStyle w:val="Pogrubienie"/>
          <w:rFonts w:cs="Times New Roman"/>
          <w:szCs w:val="24"/>
        </w:rPr>
        <w:t xml:space="preserve">projektu </w:t>
      </w:r>
      <w:r w:rsidRPr="007D3F15">
        <w:rPr>
          <w:rStyle w:val="Pogrubienie"/>
          <w:rFonts w:cs="Times New Roman"/>
          <w:b w:val="0"/>
          <w:szCs w:val="24"/>
        </w:rPr>
        <w:t>określa</w:t>
      </w:r>
      <w:r w:rsidRPr="007D3F15">
        <w:rPr>
          <w:rStyle w:val="Pogrubienie"/>
          <w:rFonts w:cs="Times New Roman"/>
          <w:szCs w:val="24"/>
        </w:rPr>
        <w:t xml:space="preserve"> </w:t>
      </w:r>
      <w:r w:rsidR="00453A7A" w:rsidRPr="007D3F15">
        <w:rPr>
          <w:rFonts w:cs="Times New Roman"/>
          <w:szCs w:val="24"/>
        </w:rPr>
        <w:t xml:space="preserve">dzień wejścia w życie </w:t>
      </w:r>
      <w:r w:rsidR="00D1269A">
        <w:rPr>
          <w:rFonts w:cs="Times New Roman"/>
          <w:szCs w:val="24"/>
        </w:rPr>
        <w:t>projektowanego rozporządzenia</w:t>
      </w:r>
      <w:r w:rsidR="00D1269A" w:rsidRPr="007D3F15">
        <w:rPr>
          <w:rFonts w:cs="Times New Roman"/>
          <w:szCs w:val="24"/>
        </w:rPr>
        <w:t xml:space="preserve"> </w:t>
      </w:r>
      <w:r w:rsidR="00453A7A" w:rsidRPr="007D3F15">
        <w:rPr>
          <w:rFonts w:cs="Times New Roman"/>
          <w:szCs w:val="24"/>
        </w:rPr>
        <w:t xml:space="preserve">na </w:t>
      </w:r>
      <w:r w:rsidR="00521912">
        <w:rPr>
          <w:rFonts w:cs="Times New Roman"/>
          <w:szCs w:val="24"/>
        </w:rPr>
        <w:t xml:space="preserve">dzień </w:t>
      </w:r>
      <w:r w:rsidR="00453A7A" w:rsidRPr="007D3F15">
        <w:rPr>
          <w:rFonts w:cs="Times New Roman"/>
          <w:szCs w:val="24"/>
        </w:rPr>
        <w:t>1 stycznia 2022</w:t>
      </w:r>
      <w:r w:rsidR="00640385">
        <w:rPr>
          <w:rFonts w:cs="Times New Roman"/>
          <w:szCs w:val="24"/>
        </w:rPr>
        <w:t xml:space="preserve"> </w:t>
      </w:r>
      <w:r w:rsidR="00453A7A" w:rsidRPr="007D3F15">
        <w:rPr>
          <w:rFonts w:cs="Times New Roman"/>
          <w:szCs w:val="24"/>
        </w:rPr>
        <w:t>r.</w:t>
      </w:r>
      <w:r w:rsidR="00640385">
        <w:rPr>
          <w:rFonts w:cs="Times New Roman"/>
          <w:szCs w:val="24"/>
        </w:rPr>
        <w:t xml:space="preserve"> </w:t>
      </w:r>
      <w:r w:rsidR="00640385" w:rsidRPr="00640385">
        <w:rPr>
          <w:rFonts w:cs="Times New Roman"/>
          <w:szCs w:val="24"/>
        </w:rPr>
        <w:t>Mając na względzie</w:t>
      </w:r>
      <w:r w:rsidR="00D66C4D">
        <w:rPr>
          <w:rFonts w:cs="Times New Roman"/>
          <w:szCs w:val="24"/>
        </w:rPr>
        <w:t xml:space="preserve"> termin wejścia</w:t>
      </w:r>
      <w:r w:rsidR="00640385">
        <w:rPr>
          <w:rFonts w:cs="Times New Roman"/>
          <w:szCs w:val="24"/>
        </w:rPr>
        <w:t xml:space="preserve"> </w:t>
      </w:r>
      <w:r w:rsidR="00640385" w:rsidRPr="00640385">
        <w:rPr>
          <w:rFonts w:cs="Times New Roman"/>
          <w:szCs w:val="24"/>
        </w:rPr>
        <w:t>w życie</w:t>
      </w:r>
      <w:r w:rsidR="00D66C4D">
        <w:rPr>
          <w:rFonts w:cs="Times New Roman"/>
          <w:szCs w:val="24"/>
        </w:rPr>
        <w:t xml:space="preserve"> ustawy z </w:t>
      </w:r>
      <w:r w:rsidR="00D66C4D" w:rsidRPr="00D66C4D">
        <w:rPr>
          <w:rFonts w:cs="Times New Roman"/>
          <w:szCs w:val="24"/>
        </w:rPr>
        <w:t>dnia 23 lipca 2021 r. o zmianie ustawy o funduszach inwestycyjnych i zarządzaniu alternatywnymi funduszami inwestycyjnymi oraz niektórych innych ustaw</w:t>
      </w:r>
      <w:r w:rsidR="00D66C4D">
        <w:rPr>
          <w:rFonts w:cs="Times New Roman"/>
          <w:szCs w:val="24"/>
        </w:rPr>
        <w:t>,</w:t>
      </w:r>
      <w:r w:rsidR="00640385" w:rsidRPr="00640385">
        <w:rPr>
          <w:rFonts w:cs="Times New Roman"/>
          <w:szCs w:val="24"/>
        </w:rPr>
        <w:t xml:space="preserve"> </w:t>
      </w:r>
      <w:r w:rsidR="00D66C4D">
        <w:rPr>
          <w:rFonts w:cs="Times New Roman"/>
          <w:szCs w:val="24"/>
        </w:rPr>
        <w:t>tj.</w:t>
      </w:r>
      <w:r w:rsidR="00640385" w:rsidRPr="00640385">
        <w:rPr>
          <w:rFonts w:cs="Times New Roman"/>
          <w:szCs w:val="24"/>
        </w:rPr>
        <w:t xml:space="preserve"> 1 stycznia 2022 r.</w:t>
      </w:r>
      <w:r w:rsidR="00D66C4D">
        <w:rPr>
          <w:rFonts w:cs="Times New Roman"/>
          <w:szCs w:val="24"/>
        </w:rPr>
        <w:t>,</w:t>
      </w:r>
      <w:r w:rsidR="00640385" w:rsidRPr="00640385">
        <w:rPr>
          <w:rFonts w:cs="Times New Roman"/>
          <w:szCs w:val="24"/>
        </w:rPr>
        <w:t xml:space="preserve"> nowelizacja rozporządzen</w:t>
      </w:r>
      <w:r w:rsidR="00640385">
        <w:rPr>
          <w:rFonts w:cs="Times New Roman"/>
          <w:szCs w:val="24"/>
        </w:rPr>
        <w:t>ia</w:t>
      </w:r>
      <w:r w:rsidR="00D66C4D">
        <w:rPr>
          <w:rFonts w:cs="Times New Roman"/>
          <w:szCs w:val="24"/>
        </w:rPr>
        <w:t xml:space="preserve"> również</w:t>
      </w:r>
      <w:r w:rsidR="00640385">
        <w:rPr>
          <w:rFonts w:cs="Times New Roman"/>
          <w:szCs w:val="24"/>
        </w:rPr>
        <w:t xml:space="preserve"> powinna </w:t>
      </w:r>
      <w:r w:rsidR="00D66C4D">
        <w:rPr>
          <w:rFonts w:cs="Times New Roman"/>
          <w:szCs w:val="24"/>
        </w:rPr>
        <w:t>wejść</w:t>
      </w:r>
      <w:r w:rsidR="00640385">
        <w:rPr>
          <w:rFonts w:cs="Times New Roman"/>
          <w:szCs w:val="24"/>
        </w:rPr>
        <w:t xml:space="preserve"> w życie </w:t>
      </w:r>
      <w:r w:rsidR="00D66C4D">
        <w:rPr>
          <w:rFonts w:cs="Times New Roman"/>
          <w:szCs w:val="24"/>
        </w:rPr>
        <w:t>z dniem</w:t>
      </w:r>
      <w:r w:rsidR="00640385" w:rsidRPr="00640385">
        <w:rPr>
          <w:rFonts w:cs="Times New Roman"/>
          <w:szCs w:val="24"/>
        </w:rPr>
        <w:t xml:space="preserve"> 1 stycznia 2022 r.</w:t>
      </w:r>
    </w:p>
    <w:p w14:paraId="05B53258" w14:textId="3FB1602F" w:rsidR="003E2469" w:rsidRPr="007D3F15" w:rsidRDefault="003E2469" w:rsidP="007D3F15">
      <w:pPr>
        <w:pStyle w:val="ARTartustawynprozporzdzenia"/>
        <w:ind w:firstLine="0"/>
        <w:rPr>
          <w:rFonts w:ascii="Times New Roman" w:hAnsi="Times New Roman" w:cs="Times New Roman"/>
          <w:szCs w:val="24"/>
        </w:rPr>
      </w:pPr>
      <w:r w:rsidRPr="007D3F15">
        <w:rPr>
          <w:rFonts w:ascii="Times New Roman" w:hAnsi="Times New Roman" w:cs="Times New Roman"/>
          <w:szCs w:val="24"/>
        </w:rPr>
        <w:t>Zawarte w projekcie regulacje nie stanowią przepisów technicznych w rozumieniu rozporządzenia Rady Ministrów z dnia 23 grudnia 2002 r. w sprawie sposobu funkcjonowania krajowego systemu notyfikacji norm i aktów prawnych (Dz. U. poz. 2039</w:t>
      </w:r>
      <w:r w:rsidR="008D777F" w:rsidRPr="007D3F15">
        <w:rPr>
          <w:rFonts w:ascii="Times New Roman" w:hAnsi="Times New Roman" w:cs="Times New Roman"/>
          <w:szCs w:val="24"/>
        </w:rPr>
        <w:t>, z późn. zm.</w:t>
      </w:r>
      <w:r w:rsidRPr="007D3F15">
        <w:rPr>
          <w:rFonts w:ascii="Times New Roman" w:hAnsi="Times New Roman" w:cs="Times New Roman"/>
          <w:szCs w:val="24"/>
        </w:rPr>
        <w:t>), dlatego też projekt rozporządzenia nie podlega procedurze notyfikacji.</w:t>
      </w:r>
    </w:p>
    <w:p w14:paraId="13591B02" w14:textId="7B3DD87D" w:rsidR="003E2469" w:rsidRPr="007D3F15" w:rsidRDefault="003E2469" w:rsidP="007D3F15">
      <w:pPr>
        <w:pStyle w:val="ARTartustawynprozporzdzenia"/>
        <w:ind w:firstLine="0"/>
        <w:rPr>
          <w:rFonts w:ascii="Times New Roman" w:hAnsi="Times New Roman" w:cs="Times New Roman"/>
          <w:szCs w:val="24"/>
        </w:rPr>
      </w:pPr>
      <w:r w:rsidRPr="007D3F15">
        <w:rPr>
          <w:rFonts w:ascii="Times New Roman" w:hAnsi="Times New Roman" w:cs="Times New Roman"/>
          <w:szCs w:val="24"/>
        </w:rPr>
        <w:t>Zgodnie z art. 2 ust. 1 decyzji Rady 98/415/WE z dnia 29 czerwca 1998 r. w sprawie konsultacji Europejskiego Banku Centralnego udzielanych władzom krajowym w sprawie projektów przepisów prawnych (Dz. Urz. WE L 189 z 03.07.1998, str. 42), projekt rozporządzenia nie wymaga konsultacji z Europejskim Bankiem Centralnym</w:t>
      </w:r>
      <w:r w:rsidR="00640385">
        <w:rPr>
          <w:rFonts w:ascii="Times New Roman" w:hAnsi="Times New Roman" w:cs="Times New Roman"/>
          <w:szCs w:val="24"/>
        </w:rPr>
        <w:t xml:space="preserve"> i tym samym jego treść nie będzie przedstawiana</w:t>
      </w:r>
      <w:r w:rsidR="00640385" w:rsidRPr="00640385">
        <w:rPr>
          <w:rFonts w:ascii="Times New Roman" w:hAnsi="Times New Roman" w:cs="Times New Roman"/>
          <w:szCs w:val="24"/>
        </w:rPr>
        <w:t xml:space="preserve"> właściwym organom i instytucjom Unii Europejskiej, w tym Europejskiemu Bankowi Centralnemu, w celu uzyskania opinii, dokonania powiadomienia, konsultacji albo uzgodnienia.</w:t>
      </w:r>
    </w:p>
    <w:p w14:paraId="5C6DE8AD" w14:textId="1053F79D" w:rsidR="003E2469" w:rsidRPr="007D3F15" w:rsidRDefault="00D1269A" w:rsidP="007D3F15">
      <w:pPr>
        <w:pStyle w:val="ARTartustawynprozporzdzenia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</w:t>
      </w:r>
      <w:r w:rsidR="003E2469" w:rsidRPr="007D3F15">
        <w:rPr>
          <w:rFonts w:ascii="Times New Roman" w:hAnsi="Times New Roman" w:cs="Times New Roman"/>
          <w:szCs w:val="24"/>
        </w:rPr>
        <w:t xml:space="preserve">godnie z art. 5 </w:t>
      </w:r>
      <w:r w:rsidRPr="00D1269A">
        <w:rPr>
          <w:rFonts w:ascii="Times New Roman" w:hAnsi="Times New Roman" w:cs="Times New Roman"/>
          <w:szCs w:val="24"/>
        </w:rPr>
        <w:t>ustawy z dnia 7 lipca 2005 r. o działalności lobbingowej w procesie stanowienia prawa (Dz. U. z 2017 r. poz. 248)</w:t>
      </w:r>
      <w:r w:rsidR="00230E4E">
        <w:rPr>
          <w:rFonts w:ascii="Times New Roman" w:hAnsi="Times New Roman" w:cs="Times New Roman"/>
          <w:szCs w:val="24"/>
        </w:rPr>
        <w:t xml:space="preserve"> </w:t>
      </w:r>
      <w:r w:rsidR="003E2469" w:rsidRPr="007D3F15">
        <w:rPr>
          <w:rFonts w:ascii="Times New Roman" w:hAnsi="Times New Roman" w:cs="Times New Roman"/>
          <w:szCs w:val="24"/>
        </w:rPr>
        <w:t xml:space="preserve">oraz § 52 uchwały </w:t>
      </w:r>
      <w:r w:rsidR="002F6E1D" w:rsidRPr="007D3F15">
        <w:rPr>
          <w:rFonts w:ascii="Times New Roman" w:hAnsi="Times New Roman" w:cs="Times New Roman"/>
          <w:szCs w:val="24"/>
        </w:rPr>
        <w:t>n</w:t>
      </w:r>
      <w:r w:rsidR="003E2469" w:rsidRPr="007D3F15">
        <w:rPr>
          <w:rFonts w:ascii="Times New Roman" w:hAnsi="Times New Roman" w:cs="Times New Roman"/>
          <w:szCs w:val="24"/>
        </w:rPr>
        <w:t>r 190 Rady Ministrów z dnia 29 października 2013 r.</w:t>
      </w:r>
      <w:r w:rsidRPr="007D3F15">
        <w:rPr>
          <w:rFonts w:ascii="Times New Roman" w:hAnsi="Times New Roman" w:cs="Times New Roman"/>
          <w:szCs w:val="24"/>
        </w:rPr>
        <w:t xml:space="preserve"> </w:t>
      </w:r>
      <w:r w:rsidR="0074629F">
        <w:rPr>
          <w:rFonts w:ascii="Times New Roman" w:hAnsi="Times New Roman" w:cs="Times New Roman"/>
          <w:szCs w:val="24"/>
        </w:rPr>
        <w:t xml:space="preserve">- </w:t>
      </w:r>
      <w:r w:rsidR="003E2469" w:rsidRPr="007D3F15">
        <w:rPr>
          <w:rFonts w:ascii="Times New Roman" w:hAnsi="Times New Roman" w:cs="Times New Roman"/>
          <w:szCs w:val="24"/>
        </w:rPr>
        <w:t>Regulamin pracy Rady Ministrów (M.P. z 2016 r. poz. 1006</w:t>
      </w:r>
      <w:r w:rsidR="008D777F" w:rsidRPr="007D3F15">
        <w:rPr>
          <w:rFonts w:ascii="Times New Roman" w:hAnsi="Times New Roman" w:cs="Times New Roman"/>
          <w:szCs w:val="24"/>
        </w:rPr>
        <w:t>, z późn. zm.</w:t>
      </w:r>
      <w:r w:rsidR="003E2469" w:rsidRPr="007D3F15">
        <w:rPr>
          <w:rFonts w:ascii="Times New Roman" w:hAnsi="Times New Roman" w:cs="Times New Roman"/>
          <w:szCs w:val="24"/>
        </w:rPr>
        <w:t xml:space="preserve">), projekt rozporządzenia </w:t>
      </w:r>
      <w:r w:rsidR="00590D79" w:rsidRPr="007D3F15">
        <w:rPr>
          <w:rFonts w:ascii="Times New Roman" w:hAnsi="Times New Roman" w:cs="Times New Roman"/>
          <w:szCs w:val="24"/>
        </w:rPr>
        <w:t xml:space="preserve">zostanie </w:t>
      </w:r>
      <w:r w:rsidR="003E2469" w:rsidRPr="007D3F15">
        <w:rPr>
          <w:rFonts w:ascii="Times New Roman" w:hAnsi="Times New Roman" w:cs="Times New Roman"/>
          <w:szCs w:val="24"/>
        </w:rPr>
        <w:t xml:space="preserve">udostępniony w Biuletynie Informacji Publicznej na stronie podmiotowej </w:t>
      </w:r>
      <w:r w:rsidR="00B2234D" w:rsidRPr="007D3F15">
        <w:rPr>
          <w:rFonts w:ascii="Times New Roman" w:hAnsi="Times New Roman" w:cs="Times New Roman"/>
          <w:szCs w:val="24"/>
        </w:rPr>
        <w:t>Rządowego Centrum Legislacji, w </w:t>
      </w:r>
      <w:r w:rsidR="003E2469" w:rsidRPr="007D3F15">
        <w:rPr>
          <w:rFonts w:ascii="Times New Roman" w:hAnsi="Times New Roman" w:cs="Times New Roman"/>
          <w:szCs w:val="24"/>
        </w:rPr>
        <w:t>serwisie Rządowy Proces Legislacyjny.</w:t>
      </w:r>
    </w:p>
    <w:p w14:paraId="111AF253" w14:textId="77777777" w:rsidR="00D1269A" w:rsidRDefault="00BC5303" w:rsidP="007D3F15">
      <w:pPr>
        <w:spacing w:before="120" w:after="120"/>
        <w:rPr>
          <w:rFonts w:cs="Times New Roman"/>
          <w:szCs w:val="24"/>
        </w:rPr>
      </w:pPr>
      <w:r w:rsidRPr="007D3F15">
        <w:rPr>
          <w:rFonts w:cs="Times New Roman"/>
          <w:szCs w:val="24"/>
        </w:rPr>
        <w:t>Zawarte w projekcie regulacje nie będą miały wpływu na działalność mikroprzedsiębiorców, małych i średnich przedsiębiorców, o których mowa w ustawie z dnia 6 marca 2018 r. – Prawo przedsiębiorców (Dz. U. z 2021 r. poz. 162).</w:t>
      </w:r>
    </w:p>
    <w:p w14:paraId="0B564388" w14:textId="51CF2588" w:rsidR="003E2469" w:rsidRPr="007D3F15" w:rsidRDefault="003E2469" w:rsidP="007D3F15">
      <w:pPr>
        <w:spacing w:before="120" w:after="120"/>
        <w:rPr>
          <w:rFonts w:cs="Times New Roman"/>
          <w:szCs w:val="24"/>
        </w:rPr>
      </w:pPr>
      <w:r w:rsidRPr="007D3F15">
        <w:rPr>
          <w:rFonts w:cs="Times New Roman"/>
          <w:szCs w:val="24"/>
        </w:rPr>
        <w:t>Projekt rozporządzenia jest zgodny z prawem Unii Europejskiej.</w:t>
      </w:r>
    </w:p>
    <w:sectPr w:rsidR="003E2469" w:rsidRPr="007D3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0044F" w14:textId="77777777" w:rsidR="00A56F53" w:rsidRDefault="00A56F53" w:rsidP="00BE4C8A">
      <w:pPr>
        <w:spacing w:line="240" w:lineRule="auto"/>
      </w:pPr>
      <w:r>
        <w:separator/>
      </w:r>
    </w:p>
  </w:endnote>
  <w:endnote w:type="continuationSeparator" w:id="0">
    <w:p w14:paraId="2DE1F423" w14:textId="77777777" w:rsidR="00A56F53" w:rsidRDefault="00A56F53" w:rsidP="00BE4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7330E" w14:textId="77777777" w:rsidR="00A56F53" w:rsidRDefault="00A56F53" w:rsidP="00BE4C8A">
      <w:pPr>
        <w:spacing w:line="240" w:lineRule="auto"/>
      </w:pPr>
      <w:r>
        <w:separator/>
      </w:r>
    </w:p>
  </w:footnote>
  <w:footnote w:type="continuationSeparator" w:id="0">
    <w:p w14:paraId="4A7A4896" w14:textId="77777777" w:rsidR="00A56F53" w:rsidRDefault="00A56F53" w:rsidP="00BE4C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75232"/>
    <w:multiLevelType w:val="hybridMultilevel"/>
    <w:tmpl w:val="38A0C66E"/>
    <w:lvl w:ilvl="0" w:tplc="53F0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E23E8"/>
    <w:multiLevelType w:val="hybridMultilevel"/>
    <w:tmpl w:val="8B8873CE"/>
    <w:lvl w:ilvl="0" w:tplc="99AAB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0C"/>
    <w:rsid w:val="00001BEE"/>
    <w:rsid w:val="000162F3"/>
    <w:rsid w:val="000176B0"/>
    <w:rsid w:val="00024D11"/>
    <w:rsid w:val="000278B5"/>
    <w:rsid w:val="00043D56"/>
    <w:rsid w:val="00046B5E"/>
    <w:rsid w:val="00047DED"/>
    <w:rsid w:val="00052646"/>
    <w:rsid w:val="00054C83"/>
    <w:rsid w:val="000556EF"/>
    <w:rsid w:val="00060763"/>
    <w:rsid w:val="0007321F"/>
    <w:rsid w:val="00083273"/>
    <w:rsid w:val="00092D0A"/>
    <w:rsid w:val="00095366"/>
    <w:rsid w:val="0009620A"/>
    <w:rsid w:val="000B1C2C"/>
    <w:rsid w:val="000B2C1E"/>
    <w:rsid w:val="000B4291"/>
    <w:rsid w:val="000B6C3E"/>
    <w:rsid w:val="000C462E"/>
    <w:rsid w:val="000C5346"/>
    <w:rsid w:val="000D2060"/>
    <w:rsid w:val="000D454C"/>
    <w:rsid w:val="000D57F2"/>
    <w:rsid w:val="000D70C9"/>
    <w:rsid w:val="000E16E9"/>
    <w:rsid w:val="000E376E"/>
    <w:rsid w:val="000E3F52"/>
    <w:rsid w:val="000E5E74"/>
    <w:rsid w:val="000F17DA"/>
    <w:rsid w:val="000F2C44"/>
    <w:rsid w:val="000F493E"/>
    <w:rsid w:val="000F79FE"/>
    <w:rsid w:val="00101CAE"/>
    <w:rsid w:val="0011139B"/>
    <w:rsid w:val="00124351"/>
    <w:rsid w:val="00137229"/>
    <w:rsid w:val="0015222E"/>
    <w:rsid w:val="00154016"/>
    <w:rsid w:val="00156DE5"/>
    <w:rsid w:val="00163737"/>
    <w:rsid w:val="00166C14"/>
    <w:rsid w:val="001770F4"/>
    <w:rsid w:val="001810A4"/>
    <w:rsid w:val="00190EB4"/>
    <w:rsid w:val="001A415A"/>
    <w:rsid w:val="001A5803"/>
    <w:rsid w:val="001B2028"/>
    <w:rsid w:val="001B2124"/>
    <w:rsid w:val="001B3BB3"/>
    <w:rsid w:val="001B7F99"/>
    <w:rsid w:val="001D4841"/>
    <w:rsid w:val="001D6F8C"/>
    <w:rsid w:val="001E53C5"/>
    <w:rsid w:val="001E5420"/>
    <w:rsid w:val="001E5F1F"/>
    <w:rsid w:val="001E6EF0"/>
    <w:rsid w:val="001F5CFD"/>
    <w:rsid w:val="001F6AF2"/>
    <w:rsid w:val="00207279"/>
    <w:rsid w:val="0021102F"/>
    <w:rsid w:val="00211077"/>
    <w:rsid w:val="0022454D"/>
    <w:rsid w:val="00224841"/>
    <w:rsid w:val="00230E4E"/>
    <w:rsid w:val="0023260D"/>
    <w:rsid w:val="0023338D"/>
    <w:rsid w:val="002336F0"/>
    <w:rsid w:val="00236AEF"/>
    <w:rsid w:val="002529F0"/>
    <w:rsid w:val="00262539"/>
    <w:rsid w:val="002626FC"/>
    <w:rsid w:val="00263823"/>
    <w:rsid w:val="002758F8"/>
    <w:rsid w:val="0028110B"/>
    <w:rsid w:val="0029634C"/>
    <w:rsid w:val="00296F44"/>
    <w:rsid w:val="002A1630"/>
    <w:rsid w:val="002A2469"/>
    <w:rsid w:val="002A31BC"/>
    <w:rsid w:val="002A51EE"/>
    <w:rsid w:val="002A5F91"/>
    <w:rsid w:val="002A7394"/>
    <w:rsid w:val="002B0F39"/>
    <w:rsid w:val="002B44FD"/>
    <w:rsid w:val="002B6CBF"/>
    <w:rsid w:val="002B6FA4"/>
    <w:rsid w:val="002C5D2B"/>
    <w:rsid w:val="002D0A5E"/>
    <w:rsid w:val="002D5D03"/>
    <w:rsid w:val="002D746E"/>
    <w:rsid w:val="002E4563"/>
    <w:rsid w:val="002E4C48"/>
    <w:rsid w:val="002F6E1D"/>
    <w:rsid w:val="003028A3"/>
    <w:rsid w:val="00305413"/>
    <w:rsid w:val="00312059"/>
    <w:rsid w:val="00317FF0"/>
    <w:rsid w:val="00321C8E"/>
    <w:rsid w:val="00324C4F"/>
    <w:rsid w:val="00343380"/>
    <w:rsid w:val="0035799B"/>
    <w:rsid w:val="0036573E"/>
    <w:rsid w:val="00371005"/>
    <w:rsid w:val="00371DC9"/>
    <w:rsid w:val="00372250"/>
    <w:rsid w:val="00384F20"/>
    <w:rsid w:val="00385BB8"/>
    <w:rsid w:val="00393154"/>
    <w:rsid w:val="003946F6"/>
    <w:rsid w:val="00396AA5"/>
    <w:rsid w:val="003A3D06"/>
    <w:rsid w:val="003A5F84"/>
    <w:rsid w:val="003A64A5"/>
    <w:rsid w:val="003C038E"/>
    <w:rsid w:val="003C12BB"/>
    <w:rsid w:val="003D0A45"/>
    <w:rsid w:val="003D76FA"/>
    <w:rsid w:val="003E14B9"/>
    <w:rsid w:val="003E1809"/>
    <w:rsid w:val="003E19E8"/>
    <w:rsid w:val="003E2469"/>
    <w:rsid w:val="003E41E4"/>
    <w:rsid w:val="003E5399"/>
    <w:rsid w:val="003E53F6"/>
    <w:rsid w:val="003F4FB4"/>
    <w:rsid w:val="00402793"/>
    <w:rsid w:val="00410CF0"/>
    <w:rsid w:val="00421FF0"/>
    <w:rsid w:val="00442974"/>
    <w:rsid w:val="00451CA3"/>
    <w:rsid w:val="00453A7A"/>
    <w:rsid w:val="0045797A"/>
    <w:rsid w:val="00460F94"/>
    <w:rsid w:val="004769B9"/>
    <w:rsid w:val="00490359"/>
    <w:rsid w:val="00492828"/>
    <w:rsid w:val="00492C55"/>
    <w:rsid w:val="0049699D"/>
    <w:rsid w:val="004A61EC"/>
    <w:rsid w:val="004B0516"/>
    <w:rsid w:val="004B4D69"/>
    <w:rsid w:val="004B67DB"/>
    <w:rsid w:val="004C1919"/>
    <w:rsid w:val="004C1D17"/>
    <w:rsid w:val="004C4225"/>
    <w:rsid w:val="004D17E4"/>
    <w:rsid w:val="004D6145"/>
    <w:rsid w:val="004E4DC8"/>
    <w:rsid w:val="004E4DFA"/>
    <w:rsid w:val="004E7636"/>
    <w:rsid w:val="004E7AFD"/>
    <w:rsid w:val="004F4230"/>
    <w:rsid w:val="004F5F27"/>
    <w:rsid w:val="004F6536"/>
    <w:rsid w:val="00503B8C"/>
    <w:rsid w:val="005042A6"/>
    <w:rsid w:val="0051148D"/>
    <w:rsid w:val="00511491"/>
    <w:rsid w:val="00514188"/>
    <w:rsid w:val="005176F5"/>
    <w:rsid w:val="00521912"/>
    <w:rsid w:val="0052469C"/>
    <w:rsid w:val="00532D4A"/>
    <w:rsid w:val="00533E1F"/>
    <w:rsid w:val="005370EC"/>
    <w:rsid w:val="00540658"/>
    <w:rsid w:val="00542DEC"/>
    <w:rsid w:val="00546E97"/>
    <w:rsid w:val="005515FB"/>
    <w:rsid w:val="00562F37"/>
    <w:rsid w:val="00564B5B"/>
    <w:rsid w:val="00566800"/>
    <w:rsid w:val="005702C9"/>
    <w:rsid w:val="0057437C"/>
    <w:rsid w:val="00575BA7"/>
    <w:rsid w:val="00590D79"/>
    <w:rsid w:val="00597292"/>
    <w:rsid w:val="005A410C"/>
    <w:rsid w:val="005A74D3"/>
    <w:rsid w:val="005B24A6"/>
    <w:rsid w:val="005B4298"/>
    <w:rsid w:val="005B4B92"/>
    <w:rsid w:val="005B6399"/>
    <w:rsid w:val="005D0149"/>
    <w:rsid w:val="005D4417"/>
    <w:rsid w:val="005D5308"/>
    <w:rsid w:val="005D5C10"/>
    <w:rsid w:val="005E1A27"/>
    <w:rsid w:val="006069A0"/>
    <w:rsid w:val="00610098"/>
    <w:rsid w:val="006102F3"/>
    <w:rsid w:val="006113CA"/>
    <w:rsid w:val="00612AF6"/>
    <w:rsid w:val="00615BEA"/>
    <w:rsid w:val="0062782A"/>
    <w:rsid w:val="006339BA"/>
    <w:rsid w:val="00637726"/>
    <w:rsid w:val="00637952"/>
    <w:rsid w:val="00640385"/>
    <w:rsid w:val="006419CE"/>
    <w:rsid w:val="00641D14"/>
    <w:rsid w:val="0064784B"/>
    <w:rsid w:val="006607D0"/>
    <w:rsid w:val="00665B78"/>
    <w:rsid w:val="0067167C"/>
    <w:rsid w:val="0067220A"/>
    <w:rsid w:val="00673CDB"/>
    <w:rsid w:val="00687D1C"/>
    <w:rsid w:val="0069066E"/>
    <w:rsid w:val="00690CF8"/>
    <w:rsid w:val="006A5191"/>
    <w:rsid w:val="006A5BB4"/>
    <w:rsid w:val="006A7568"/>
    <w:rsid w:val="006B224E"/>
    <w:rsid w:val="006B3F1D"/>
    <w:rsid w:val="006C24C3"/>
    <w:rsid w:val="006D5B0D"/>
    <w:rsid w:val="006E15B9"/>
    <w:rsid w:val="006E3D44"/>
    <w:rsid w:val="006E5734"/>
    <w:rsid w:val="006F18A7"/>
    <w:rsid w:val="006F37D6"/>
    <w:rsid w:val="00700E72"/>
    <w:rsid w:val="0070727A"/>
    <w:rsid w:val="00710765"/>
    <w:rsid w:val="00714A4A"/>
    <w:rsid w:val="007178D8"/>
    <w:rsid w:val="0073057D"/>
    <w:rsid w:val="007329C0"/>
    <w:rsid w:val="0074629F"/>
    <w:rsid w:val="007517C3"/>
    <w:rsid w:val="00751C0B"/>
    <w:rsid w:val="00754A76"/>
    <w:rsid w:val="00755D3E"/>
    <w:rsid w:val="0075767C"/>
    <w:rsid w:val="00761D31"/>
    <w:rsid w:val="00765BEB"/>
    <w:rsid w:val="00765F48"/>
    <w:rsid w:val="00772EE8"/>
    <w:rsid w:val="007773F2"/>
    <w:rsid w:val="00787351"/>
    <w:rsid w:val="0079152C"/>
    <w:rsid w:val="00791625"/>
    <w:rsid w:val="00795F8F"/>
    <w:rsid w:val="00796D04"/>
    <w:rsid w:val="007A3D3C"/>
    <w:rsid w:val="007A596B"/>
    <w:rsid w:val="007A5DEC"/>
    <w:rsid w:val="007A5F3F"/>
    <w:rsid w:val="007B2D4E"/>
    <w:rsid w:val="007B41F9"/>
    <w:rsid w:val="007B4C04"/>
    <w:rsid w:val="007B51A2"/>
    <w:rsid w:val="007B54D4"/>
    <w:rsid w:val="007C6137"/>
    <w:rsid w:val="007D1C7F"/>
    <w:rsid w:val="007D3F15"/>
    <w:rsid w:val="007F5D86"/>
    <w:rsid w:val="00804AB8"/>
    <w:rsid w:val="00814BAC"/>
    <w:rsid w:val="00815386"/>
    <w:rsid w:val="00817B25"/>
    <w:rsid w:val="00822528"/>
    <w:rsid w:val="00824F9F"/>
    <w:rsid w:val="008261B6"/>
    <w:rsid w:val="00826FF5"/>
    <w:rsid w:val="00830BB5"/>
    <w:rsid w:val="00836DAC"/>
    <w:rsid w:val="008374D0"/>
    <w:rsid w:val="00851EAD"/>
    <w:rsid w:val="00852333"/>
    <w:rsid w:val="008569A2"/>
    <w:rsid w:val="008579C5"/>
    <w:rsid w:val="008652D2"/>
    <w:rsid w:val="00870616"/>
    <w:rsid w:val="0087274A"/>
    <w:rsid w:val="008A6AD2"/>
    <w:rsid w:val="008B41C8"/>
    <w:rsid w:val="008B6E9A"/>
    <w:rsid w:val="008C5C50"/>
    <w:rsid w:val="008C5E23"/>
    <w:rsid w:val="008C6788"/>
    <w:rsid w:val="008D2A76"/>
    <w:rsid w:val="008D777F"/>
    <w:rsid w:val="00901442"/>
    <w:rsid w:val="00901825"/>
    <w:rsid w:val="00910045"/>
    <w:rsid w:val="009305B8"/>
    <w:rsid w:val="0093168F"/>
    <w:rsid w:val="00935E68"/>
    <w:rsid w:val="0095119A"/>
    <w:rsid w:val="00951434"/>
    <w:rsid w:val="00963F79"/>
    <w:rsid w:val="00966934"/>
    <w:rsid w:val="0098247E"/>
    <w:rsid w:val="00987030"/>
    <w:rsid w:val="00991361"/>
    <w:rsid w:val="00994E28"/>
    <w:rsid w:val="009A2A7E"/>
    <w:rsid w:val="009A7F76"/>
    <w:rsid w:val="009B1318"/>
    <w:rsid w:val="009B464B"/>
    <w:rsid w:val="009B7918"/>
    <w:rsid w:val="009C1342"/>
    <w:rsid w:val="009C46CE"/>
    <w:rsid w:val="009C6260"/>
    <w:rsid w:val="009D4C09"/>
    <w:rsid w:val="009F26C1"/>
    <w:rsid w:val="00A01B05"/>
    <w:rsid w:val="00A03267"/>
    <w:rsid w:val="00A0578F"/>
    <w:rsid w:val="00A11880"/>
    <w:rsid w:val="00A12469"/>
    <w:rsid w:val="00A16996"/>
    <w:rsid w:val="00A17C9C"/>
    <w:rsid w:val="00A20524"/>
    <w:rsid w:val="00A20FE8"/>
    <w:rsid w:val="00A22B9A"/>
    <w:rsid w:val="00A36B45"/>
    <w:rsid w:val="00A37501"/>
    <w:rsid w:val="00A40427"/>
    <w:rsid w:val="00A432B2"/>
    <w:rsid w:val="00A46AAB"/>
    <w:rsid w:val="00A55B19"/>
    <w:rsid w:val="00A55FC1"/>
    <w:rsid w:val="00A561CC"/>
    <w:rsid w:val="00A56F53"/>
    <w:rsid w:val="00A72630"/>
    <w:rsid w:val="00A73DE9"/>
    <w:rsid w:val="00A743D1"/>
    <w:rsid w:val="00A767D2"/>
    <w:rsid w:val="00A81317"/>
    <w:rsid w:val="00A86D01"/>
    <w:rsid w:val="00A97C95"/>
    <w:rsid w:val="00AA1333"/>
    <w:rsid w:val="00AA56F7"/>
    <w:rsid w:val="00AA5AA4"/>
    <w:rsid w:val="00AB2C49"/>
    <w:rsid w:val="00AB2FEA"/>
    <w:rsid w:val="00AC61C8"/>
    <w:rsid w:val="00AD7223"/>
    <w:rsid w:val="00AD77D1"/>
    <w:rsid w:val="00AF1BCB"/>
    <w:rsid w:val="00AF2908"/>
    <w:rsid w:val="00AF6FEC"/>
    <w:rsid w:val="00B060FC"/>
    <w:rsid w:val="00B16D9F"/>
    <w:rsid w:val="00B16E46"/>
    <w:rsid w:val="00B2234D"/>
    <w:rsid w:val="00B24A29"/>
    <w:rsid w:val="00B43044"/>
    <w:rsid w:val="00B45CBF"/>
    <w:rsid w:val="00B5312C"/>
    <w:rsid w:val="00B53883"/>
    <w:rsid w:val="00B57407"/>
    <w:rsid w:val="00B64335"/>
    <w:rsid w:val="00B66791"/>
    <w:rsid w:val="00B7387E"/>
    <w:rsid w:val="00B77ED1"/>
    <w:rsid w:val="00B87B6E"/>
    <w:rsid w:val="00B87F66"/>
    <w:rsid w:val="00B87FFA"/>
    <w:rsid w:val="00BB28D8"/>
    <w:rsid w:val="00BB6F43"/>
    <w:rsid w:val="00BC5303"/>
    <w:rsid w:val="00BC5861"/>
    <w:rsid w:val="00BC6345"/>
    <w:rsid w:val="00BD01D7"/>
    <w:rsid w:val="00BD6132"/>
    <w:rsid w:val="00BD6BDC"/>
    <w:rsid w:val="00BE03B8"/>
    <w:rsid w:val="00BE0B28"/>
    <w:rsid w:val="00BE132B"/>
    <w:rsid w:val="00BE13C1"/>
    <w:rsid w:val="00BE4C8A"/>
    <w:rsid w:val="00BE7C1F"/>
    <w:rsid w:val="00BF2FAB"/>
    <w:rsid w:val="00BF5738"/>
    <w:rsid w:val="00C057EE"/>
    <w:rsid w:val="00C13402"/>
    <w:rsid w:val="00C20B3F"/>
    <w:rsid w:val="00C30E25"/>
    <w:rsid w:val="00C31C9F"/>
    <w:rsid w:val="00C34854"/>
    <w:rsid w:val="00C353AC"/>
    <w:rsid w:val="00C44519"/>
    <w:rsid w:val="00C61206"/>
    <w:rsid w:val="00C63123"/>
    <w:rsid w:val="00C66A9F"/>
    <w:rsid w:val="00C7565B"/>
    <w:rsid w:val="00C8351A"/>
    <w:rsid w:val="00C84EA5"/>
    <w:rsid w:val="00C87383"/>
    <w:rsid w:val="00C877C9"/>
    <w:rsid w:val="00C93C15"/>
    <w:rsid w:val="00CB0F1E"/>
    <w:rsid w:val="00CB7BDC"/>
    <w:rsid w:val="00CC35F5"/>
    <w:rsid w:val="00CC6B75"/>
    <w:rsid w:val="00CC7C02"/>
    <w:rsid w:val="00CD2D90"/>
    <w:rsid w:val="00CE17C1"/>
    <w:rsid w:val="00CE433F"/>
    <w:rsid w:val="00CF53B7"/>
    <w:rsid w:val="00D00658"/>
    <w:rsid w:val="00D07D23"/>
    <w:rsid w:val="00D1269A"/>
    <w:rsid w:val="00D22273"/>
    <w:rsid w:val="00D25953"/>
    <w:rsid w:val="00D25C28"/>
    <w:rsid w:val="00D25CB0"/>
    <w:rsid w:val="00D30E34"/>
    <w:rsid w:val="00D32985"/>
    <w:rsid w:val="00D335BE"/>
    <w:rsid w:val="00D34D28"/>
    <w:rsid w:val="00D431A2"/>
    <w:rsid w:val="00D44043"/>
    <w:rsid w:val="00D44482"/>
    <w:rsid w:val="00D461DA"/>
    <w:rsid w:val="00D66C4D"/>
    <w:rsid w:val="00D676B9"/>
    <w:rsid w:val="00D71AC7"/>
    <w:rsid w:val="00D72038"/>
    <w:rsid w:val="00D732D8"/>
    <w:rsid w:val="00D73C77"/>
    <w:rsid w:val="00D86E92"/>
    <w:rsid w:val="00D93A7B"/>
    <w:rsid w:val="00D947A2"/>
    <w:rsid w:val="00D9730A"/>
    <w:rsid w:val="00D97D7F"/>
    <w:rsid w:val="00DA65A8"/>
    <w:rsid w:val="00DC5319"/>
    <w:rsid w:val="00DD1A79"/>
    <w:rsid w:val="00DD4313"/>
    <w:rsid w:val="00DE115E"/>
    <w:rsid w:val="00DE212A"/>
    <w:rsid w:val="00DF2167"/>
    <w:rsid w:val="00DF58AF"/>
    <w:rsid w:val="00DF64E6"/>
    <w:rsid w:val="00E02CF2"/>
    <w:rsid w:val="00E10A72"/>
    <w:rsid w:val="00E10E38"/>
    <w:rsid w:val="00E130C5"/>
    <w:rsid w:val="00E16B75"/>
    <w:rsid w:val="00E258A7"/>
    <w:rsid w:val="00E34162"/>
    <w:rsid w:val="00E42060"/>
    <w:rsid w:val="00E43461"/>
    <w:rsid w:val="00E4790C"/>
    <w:rsid w:val="00E479C0"/>
    <w:rsid w:val="00E75C80"/>
    <w:rsid w:val="00E806EB"/>
    <w:rsid w:val="00E8571F"/>
    <w:rsid w:val="00E86125"/>
    <w:rsid w:val="00E86325"/>
    <w:rsid w:val="00E90A2B"/>
    <w:rsid w:val="00EA0981"/>
    <w:rsid w:val="00EA1C76"/>
    <w:rsid w:val="00EA3E7A"/>
    <w:rsid w:val="00EC56FB"/>
    <w:rsid w:val="00ED0812"/>
    <w:rsid w:val="00ED0F1F"/>
    <w:rsid w:val="00ED306E"/>
    <w:rsid w:val="00EE31E7"/>
    <w:rsid w:val="00EF1A46"/>
    <w:rsid w:val="00EF564D"/>
    <w:rsid w:val="00EF5879"/>
    <w:rsid w:val="00F0281C"/>
    <w:rsid w:val="00F14036"/>
    <w:rsid w:val="00F14108"/>
    <w:rsid w:val="00F14B66"/>
    <w:rsid w:val="00F15D2D"/>
    <w:rsid w:val="00F26D39"/>
    <w:rsid w:val="00F279D6"/>
    <w:rsid w:val="00F403C7"/>
    <w:rsid w:val="00F40A9B"/>
    <w:rsid w:val="00F43C5D"/>
    <w:rsid w:val="00F656E3"/>
    <w:rsid w:val="00F66EFD"/>
    <w:rsid w:val="00F806FA"/>
    <w:rsid w:val="00F834B0"/>
    <w:rsid w:val="00F902C8"/>
    <w:rsid w:val="00F94932"/>
    <w:rsid w:val="00F9725F"/>
    <w:rsid w:val="00FA4D47"/>
    <w:rsid w:val="00FA5283"/>
    <w:rsid w:val="00FB2DBC"/>
    <w:rsid w:val="00FB35C3"/>
    <w:rsid w:val="00FB6F37"/>
    <w:rsid w:val="00FC33F0"/>
    <w:rsid w:val="00FC37FC"/>
    <w:rsid w:val="00FD38A4"/>
    <w:rsid w:val="00FD3D4F"/>
    <w:rsid w:val="00FE24F6"/>
    <w:rsid w:val="00FE2B1F"/>
    <w:rsid w:val="00FE3871"/>
    <w:rsid w:val="00FE47E1"/>
    <w:rsid w:val="00FE6645"/>
    <w:rsid w:val="00FE7788"/>
    <w:rsid w:val="00FF54C6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1291"/>
  <w15:docId w15:val="{E5C91319-CD17-4C54-A126-39BB7275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90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locked/>
    <w:rsid w:val="00E4790C"/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E4790C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C8A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C8A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C8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4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4A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punkt">
    <w:name w:val="PKT – punkt"/>
    <w:uiPriority w:val="13"/>
    <w:qFormat/>
    <w:rsid w:val="002D5D03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2D5D03"/>
    <w:rPr>
      <w:b/>
      <w:bCs/>
    </w:rPr>
  </w:style>
  <w:style w:type="character" w:customStyle="1" w:styleId="Ppogrubienie">
    <w:name w:val="_P_ – pogrubienie"/>
    <w:basedOn w:val="Domylnaczcionkaakapitu"/>
    <w:uiPriority w:val="1"/>
    <w:qFormat/>
    <w:rsid w:val="00BE7C1F"/>
    <w:rPr>
      <w:b/>
    </w:rPr>
  </w:style>
  <w:style w:type="paragraph" w:customStyle="1" w:styleId="ARTartustawynprozporzdzenia">
    <w:name w:val="ART(§) – art. ustawy (§ np. rozporządzenia)"/>
    <w:uiPriority w:val="11"/>
    <w:qFormat/>
    <w:rsid w:val="003E246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799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99B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99B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styleId="Odwoanieprzypisudolnego">
    <w:name w:val="footnote reference"/>
    <w:aliases w:val="OZNAKA OPOMBE,FZ,number,SUPERS,Footnote Reference Superscript,BVI fnr,Footnote symbol,Footnote,(Footnote Reference),Footnote reference number,note TESI,EN Footnote Reference,Voetnootverwijzing,Times 10 Point,Exposant 3 Point"/>
    <w:uiPriority w:val="99"/>
    <w:semiHidden/>
    <w:rsid w:val="00714A4A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714A4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IGindeksgrnyindeksugrnego">
    <w:name w:val="_IIG_ – indeks górny indeksu górnego"/>
    <w:basedOn w:val="Domylnaczcionkaakapitu"/>
    <w:uiPriority w:val="3"/>
    <w:qFormat/>
    <w:rsid w:val="00714A4A"/>
    <w:rPr>
      <w:b w:val="0"/>
      <w:i w:val="0"/>
      <w:vanish w:val="0"/>
      <w:spacing w:val="0"/>
      <w:position w:val="6"/>
      <w:vertAlign w:val="superscript"/>
    </w:rPr>
  </w:style>
  <w:style w:type="paragraph" w:styleId="Akapitzlist">
    <w:name w:val="List Paragraph"/>
    <w:basedOn w:val="Normalny"/>
    <w:uiPriority w:val="34"/>
    <w:qFormat/>
    <w:rsid w:val="00460F94"/>
    <w:pPr>
      <w:ind w:left="720"/>
      <w:contextualSpacing/>
    </w:pPr>
  </w:style>
  <w:style w:type="paragraph" w:customStyle="1" w:styleId="Default">
    <w:name w:val="Default"/>
    <w:rsid w:val="00F80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562F37"/>
    <w:rPr>
      <w:color w:val="808080"/>
    </w:rPr>
  </w:style>
  <w:style w:type="character" w:customStyle="1" w:styleId="IDindeksdolny">
    <w:name w:val="_ID_ – indeks dolny"/>
    <w:basedOn w:val="Domylnaczcionkaakapitu"/>
    <w:uiPriority w:val="3"/>
    <w:qFormat/>
    <w:rsid w:val="00396AA5"/>
    <w:rPr>
      <w:b w:val="0"/>
      <w:i w:val="0"/>
      <w:vanish w:val="0"/>
      <w:spacing w:val="0"/>
      <w:vertAlign w:val="subscript"/>
    </w:rPr>
  </w:style>
  <w:style w:type="character" w:styleId="Hipercze">
    <w:name w:val="Hyperlink"/>
    <w:basedOn w:val="Domylnaczcionkaakapitu"/>
    <w:uiPriority w:val="99"/>
    <w:semiHidden/>
    <w:unhideWhenUsed/>
    <w:rsid w:val="002336F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24F6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24F6"/>
    <w:rPr>
      <w:rFonts w:ascii="Times New Roman" w:eastAsia="Times New Roman" w:hAnsi="Times New Roman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904CC-C6D8-4118-B9B7-C3D7CD54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3316</Words>
  <Characters>19896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Buchajski Paweł</dc:creator>
  <cp:keywords/>
  <dc:description/>
  <cp:lastModifiedBy>KGHM</cp:lastModifiedBy>
  <cp:revision>2</cp:revision>
  <cp:lastPrinted>2016-11-02T12:10:00Z</cp:lastPrinted>
  <dcterms:created xsi:type="dcterms:W3CDTF">2021-11-30T20:04:00Z</dcterms:created>
  <dcterms:modified xsi:type="dcterms:W3CDTF">2021-11-30T20:04:00Z</dcterms:modified>
</cp:coreProperties>
</file>