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E1EC" w14:textId="77777777" w:rsidR="00165447" w:rsidRPr="00DD18D8" w:rsidRDefault="00165447" w:rsidP="002E1B4E">
      <w:pPr>
        <w:pStyle w:val="Tekstpodstawowy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D18D8">
        <w:rPr>
          <w:b/>
          <w:sz w:val="24"/>
          <w:szCs w:val="24"/>
        </w:rPr>
        <w:t>Uzasadnienie</w:t>
      </w:r>
    </w:p>
    <w:p w14:paraId="2CEFE60A" w14:textId="77777777" w:rsidR="00EA78ED" w:rsidRPr="00DD18D8" w:rsidRDefault="00EA78ED" w:rsidP="002E1B4E">
      <w:pPr>
        <w:pStyle w:val="Tekstpodstawowy21"/>
        <w:spacing w:line="276" w:lineRule="auto"/>
        <w:rPr>
          <w:sz w:val="24"/>
          <w:szCs w:val="24"/>
        </w:rPr>
      </w:pPr>
    </w:p>
    <w:p w14:paraId="0A58D62B" w14:textId="40FD73BE" w:rsidR="00165447" w:rsidRPr="00DD18D8" w:rsidRDefault="00DF6FCE" w:rsidP="002E1B4E">
      <w:pPr>
        <w:pStyle w:val="Tekstpodstawowy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8752A7" w:rsidRPr="00DD18D8">
        <w:rPr>
          <w:sz w:val="24"/>
          <w:szCs w:val="24"/>
        </w:rPr>
        <w:t>ozporządzeni</w:t>
      </w:r>
      <w:r>
        <w:rPr>
          <w:sz w:val="24"/>
          <w:szCs w:val="24"/>
        </w:rPr>
        <w:t>e</w:t>
      </w:r>
      <w:r w:rsidR="00165447" w:rsidRPr="00DD18D8">
        <w:rPr>
          <w:sz w:val="24"/>
          <w:szCs w:val="24"/>
        </w:rPr>
        <w:t xml:space="preserve"> Ministra Edukacji </w:t>
      </w:r>
      <w:r w:rsidR="000C4251">
        <w:rPr>
          <w:sz w:val="24"/>
          <w:szCs w:val="24"/>
        </w:rPr>
        <w:t xml:space="preserve">i </w:t>
      </w:r>
      <w:r w:rsidR="00165447" w:rsidRPr="00DD18D8">
        <w:rPr>
          <w:sz w:val="24"/>
          <w:szCs w:val="24"/>
        </w:rPr>
        <w:t>Na</w:t>
      </w:r>
      <w:r w:rsidR="000C4251">
        <w:rPr>
          <w:sz w:val="24"/>
          <w:szCs w:val="24"/>
        </w:rPr>
        <w:t>uki</w:t>
      </w:r>
      <w:r w:rsidR="00165447" w:rsidRPr="00DD18D8">
        <w:rPr>
          <w:sz w:val="24"/>
          <w:szCs w:val="24"/>
        </w:rPr>
        <w:t xml:space="preserve"> w sprawie sposobu podziału części oświatowej subwencji ogólnej dla jednostek samorządu terytorialnego w roku </w:t>
      </w:r>
      <w:r w:rsidR="00242321" w:rsidRPr="00DD18D8">
        <w:rPr>
          <w:sz w:val="24"/>
          <w:szCs w:val="24"/>
        </w:rPr>
        <w:t>20</w:t>
      </w:r>
      <w:r w:rsidR="00B77544" w:rsidRPr="00DD18D8">
        <w:rPr>
          <w:sz w:val="24"/>
          <w:szCs w:val="24"/>
        </w:rPr>
        <w:t>2</w:t>
      </w:r>
      <w:r w:rsidR="004F6F53">
        <w:rPr>
          <w:sz w:val="24"/>
          <w:szCs w:val="24"/>
        </w:rPr>
        <w:t>2</w:t>
      </w:r>
      <w:r w:rsidR="002E1B4E" w:rsidRPr="00DD18D8">
        <w:rPr>
          <w:sz w:val="24"/>
          <w:szCs w:val="24"/>
        </w:rPr>
        <w:t xml:space="preserve"> </w:t>
      </w:r>
      <w:r w:rsidR="00165447" w:rsidRPr="00DD18D8">
        <w:rPr>
          <w:sz w:val="24"/>
          <w:szCs w:val="24"/>
        </w:rPr>
        <w:t xml:space="preserve">stanowi wykonanie upoważnienia zawartego w </w:t>
      </w:r>
      <w:r w:rsidR="009A58D6" w:rsidRPr="00DD18D8">
        <w:rPr>
          <w:sz w:val="24"/>
          <w:szCs w:val="24"/>
        </w:rPr>
        <w:t>art. 28 ust. 6 ustawy z dnia 13 </w:t>
      </w:r>
      <w:r w:rsidR="00165447" w:rsidRPr="00DD18D8">
        <w:rPr>
          <w:sz w:val="24"/>
          <w:szCs w:val="24"/>
        </w:rPr>
        <w:t>listopada 2003 r. o dochodach jednostek sa</w:t>
      </w:r>
      <w:r w:rsidR="007A1E89" w:rsidRPr="00DD18D8">
        <w:rPr>
          <w:sz w:val="24"/>
          <w:szCs w:val="24"/>
        </w:rPr>
        <w:t>morządu terytorialnego</w:t>
      </w:r>
      <w:r w:rsidR="002751F2" w:rsidRPr="00DD18D8">
        <w:rPr>
          <w:sz w:val="24"/>
          <w:szCs w:val="24"/>
        </w:rPr>
        <w:t xml:space="preserve"> </w:t>
      </w:r>
      <w:r w:rsidR="00C52E66" w:rsidRPr="00DD18D8">
        <w:rPr>
          <w:sz w:val="24"/>
          <w:szCs w:val="24"/>
        </w:rPr>
        <w:t>(</w:t>
      </w:r>
      <w:r w:rsidR="00496B0B">
        <w:rPr>
          <w:sz w:val="24"/>
          <w:szCs w:val="24"/>
        </w:rPr>
        <w:t>Dz.</w:t>
      </w:r>
      <w:r w:rsidR="000C4251">
        <w:rPr>
          <w:sz w:val="24"/>
          <w:szCs w:val="24"/>
        </w:rPr>
        <w:t xml:space="preserve"> </w:t>
      </w:r>
      <w:r w:rsidR="00450F12">
        <w:rPr>
          <w:sz w:val="24"/>
          <w:szCs w:val="24"/>
        </w:rPr>
        <w:t>U. z 2021 r. poz. 1672</w:t>
      </w:r>
      <w:r w:rsidR="007E43AC" w:rsidRPr="00DD18D8">
        <w:rPr>
          <w:sz w:val="24"/>
          <w:szCs w:val="24"/>
        </w:rPr>
        <w:t>, z późn. zm.</w:t>
      </w:r>
      <w:r w:rsidR="00165447" w:rsidRPr="00DD18D8">
        <w:rPr>
          <w:sz w:val="24"/>
          <w:szCs w:val="24"/>
        </w:rPr>
        <w:t xml:space="preserve">). </w:t>
      </w:r>
    </w:p>
    <w:p w14:paraId="0D1CDC82" w14:textId="77777777" w:rsidR="00E27137" w:rsidRPr="00DD18D8" w:rsidRDefault="00882841" w:rsidP="002E1B4E">
      <w:pPr>
        <w:pStyle w:val="Tekstpodstawowy21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41323" w14:textId="616664C9" w:rsidR="00996A66" w:rsidRDefault="00165447" w:rsidP="004F6F53">
      <w:pPr>
        <w:pStyle w:val="Tekstpodstawowy21"/>
        <w:spacing w:line="276" w:lineRule="auto"/>
        <w:rPr>
          <w:sz w:val="24"/>
          <w:szCs w:val="24"/>
        </w:rPr>
      </w:pPr>
      <w:r w:rsidRPr="00DD18D8">
        <w:rPr>
          <w:sz w:val="24"/>
          <w:szCs w:val="24"/>
        </w:rPr>
        <w:t>W celu doprecyzowania sposobu mierzenia skali zadań oświatowych</w:t>
      </w:r>
      <w:r w:rsidR="002F4AFD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i dostosowania do nich wysokości </w:t>
      </w:r>
      <w:r w:rsidR="004A6528">
        <w:rPr>
          <w:sz w:val="24"/>
          <w:szCs w:val="24"/>
        </w:rPr>
        <w:t xml:space="preserve">części oświatowej </w:t>
      </w:r>
      <w:r w:rsidRPr="00DD18D8">
        <w:rPr>
          <w:sz w:val="24"/>
          <w:szCs w:val="24"/>
        </w:rPr>
        <w:t>subwencji</w:t>
      </w:r>
      <w:r w:rsidR="002F4AFD">
        <w:rPr>
          <w:sz w:val="24"/>
          <w:szCs w:val="24"/>
        </w:rPr>
        <w:t xml:space="preserve"> ogólnej dla poszczególnych jednostek samorządu terytorialnego</w:t>
      </w:r>
      <w:r w:rsidR="00893D28">
        <w:rPr>
          <w:sz w:val="24"/>
          <w:szCs w:val="24"/>
        </w:rPr>
        <w:t>, zwan</w:t>
      </w:r>
      <w:r w:rsidR="005935E2">
        <w:rPr>
          <w:sz w:val="24"/>
          <w:szCs w:val="24"/>
        </w:rPr>
        <w:t>ej</w:t>
      </w:r>
      <w:r w:rsidR="00893D28">
        <w:rPr>
          <w:sz w:val="24"/>
          <w:szCs w:val="24"/>
        </w:rPr>
        <w:t xml:space="preserve"> dalej </w:t>
      </w:r>
      <w:r w:rsidR="00893D28" w:rsidRPr="008078D6">
        <w:rPr>
          <w:sz w:val="24"/>
          <w:szCs w:val="24"/>
        </w:rPr>
        <w:t>„</w:t>
      </w:r>
      <w:r w:rsidR="00893D28" w:rsidRPr="004F1318">
        <w:rPr>
          <w:sz w:val="24"/>
          <w:szCs w:val="24"/>
        </w:rPr>
        <w:t>subwencją oświatową</w:t>
      </w:r>
      <w:r w:rsidR="00893D28" w:rsidRPr="008078D6">
        <w:rPr>
          <w:sz w:val="24"/>
          <w:szCs w:val="24"/>
        </w:rPr>
        <w:t>”</w:t>
      </w:r>
      <w:r w:rsidRPr="008078D6">
        <w:rPr>
          <w:sz w:val="24"/>
          <w:szCs w:val="24"/>
        </w:rPr>
        <w:t>,</w:t>
      </w:r>
      <w:r w:rsidRPr="00DD18D8">
        <w:rPr>
          <w:sz w:val="24"/>
          <w:szCs w:val="24"/>
        </w:rPr>
        <w:t xml:space="preserve"> </w:t>
      </w:r>
      <w:r w:rsidR="00DF6FCE">
        <w:rPr>
          <w:sz w:val="24"/>
          <w:szCs w:val="24"/>
        </w:rPr>
        <w:t>przedmiotowe</w:t>
      </w:r>
      <w:r w:rsidR="007E43AC" w:rsidRPr="00DD18D8">
        <w:rPr>
          <w:sz w:val="24"/>
          <w:szCs w:val="24"/>
        </w:rPr>
        <w:t xml:space="preserve"> </w:t>
      </w:r>
      <w:r w:rsidR="008752A7" w:rsidRPr="00DD18D8">
        <w:rPr>
          <w:sz w:val="24"/>
          <w:szCs w:val="24"/>
        </w:rPr>
        <w:t>rozporządzeni</w:t>
      </w:r>
      <w:r w:rsidR="00DF6FCE">
        <w:rPr>
          <w:sz w:val="24"/>
          <w:szCs w:val="24"/>
        </w:rPr>
        <w:t>e</w:t>
      </w:r>
      <w:r w:rsidRPr="00DD18D8">
        <w:rPr>
          <w:sz w:val="24"/>
          <w:szCs w:val="24"/>
        </w:rPr>
        <w:t xml:space="preserve"> uzależnia tę wysokość od liczby uczniów przeliczeniowych otrzymanej przez zastosowanie zróżnicowanych wag</w:t>
      </w:r>
      <w:r w:rsidR="00806409" w:rsidRPr="00DD18D8">
        <w:rPr>
          <w:sz w:val="24"/>
          <w:szCs w:val="24"/>
        </w:rPr>
        <w:t xml:space="preserve"> i wskaźników</w:t>
      </w:r>
      <w:r w:rsidRPr="00DD18D8">
        <w:rPr>
          <w:sz w:val="24"/>
          <w:szCs w:val="24"/>
        </w:rPr>
        <w:t xml:space="preserve"> dla wybranych kategorii uczniów</w:t>
      </w:r>
      <w:r w:rsidR="006C7303">
        <w:rPr>
          <w:sz w:val="24"/>
          <w:szCs w:val="24"/>
        </w:rPr>
        <w:t>, słuchaczy,</w:t>
      </w:r>
      <w:r w:rsidRPr="00DD18D8">
        <w:rPr>
          <w:sz w:val="24"/>
          <w:szCs w:val="24"/>
        </w:rPr>
        <w:t xml:space="preserve"> wychowanków</w:t>
      </w:r>
      <w:r w:rsidR="006C7303">
        <w:rPr>
          <w:sz w:val="24"/>
          <w:szCs w:val="24"/>
        </w:rPr>
        <w:t xml:space="preserve"> i dzieci, które ukończyły 6 lat </w:t>
      </w:r>
      <w:r w:rsidR="004330AD">
        <w:rPr>
          <w:sz w:val="24"/>
          <w:szCs w:val="24"/>
        </w:rPr>
        <w:t xml:space="preserve">lub więcej </w:t>
      </w:r>
      <w:r w:rsidR="006C7303">
        <w:rPr>
          <w:sz w:val="24"/>
          <w:szCs w:val="24"/>
        </w:rPr>
        <w:t>w roku bazowym,</w:t>
      </w:r>
      <w:r w:rsidRPr="00DD18D8">
        <w:rPr>
          <w:sz w:val="24"/>
          <w:szCs w:val="24"/>
        </w:rPr>
        <w:t xml:space="preserve"> określonych typów i rodzajów szkół oraz wskaźnika korygującego, uwzględniającego stopnie awansu zawodowego nauczycieli.</w:t>
      </w:r>
      <w:r w:rsidR="00237811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Zastosowanie tego wskaźnika umożliwi przekazanie relatywnie wyższych kwot subwencji </w:t>
      </w:r>
      <w:r w:rsidR="00EA064D">
        <w:rPr>
          <w:sz w:val="24"/>
          <w:szCs w:val="24"/>
        </w:rPr>
        <w:t>oświatowej</w:t>
      </w:r>
      <w:r w:rsidRPr="00DD18D8">
        <w:rPr>
          <w:sz w:val="24"/>
          <w:szCs w:val="24"/>
        </w:rPr>
        <w:t xml:space="preserve"> do tych jednostek samorządu terytorialnego,</w:t>
      </w:r>
      <w:r w:rsidR="00344D52">
        <w:rPr>
          <w:sz w:val="24"/>
          <w:szCs w:val="24"/>
        </w:rPr>
        <w:t xml:space="preserve"> zwanych dalej</w:t>
      </w:r>
      <w:r w:rsidRPr="00DD18D8">
        <w:rPr>
          <w:sz w:val="24"/>
          <w:szCs w:val="24"/>
        </w:rPr>
        <w:t xml:space="preserve"> </w:t>
      </w:r>
      <w:r w:rsidR="00344D52">
        <w:rPr>
          <w:sz w:val="24"/>
          <w:szCs w:val="24"/>
        </w:rPr>
        <w:t>„JST”,</w:t>
      </w:r>
      <w:r w:rsidR="00344D52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>w których udział etatów nauczycieli o</w:t>
      </w:r>
      <w:r w:rsidR="005B0F3C" w:rsidRPr="00DD18D8">
        <w:rPr>
          <w:sz w:val="24"/>
          <w:szCs w:val="24"/>
        </w:rPr>
        <w:t> </w:t>
      </w:r>
      <w:r w:rsidRPr="00DD18D8">
        <w:rPr>
          <w:sz w:val="24"/>
          <w:szCs w:val="24"/>
        </w:rPr>
        <w:t xml:space="preserve">najwyższych stopniach awansu zawodowego w relacji do ogólnej liczby etatów nauczycieli jest wyższy niż średnio </w:t>
      </w:r>
      <w:r w:rsidR="009A58D6" w:rsidRPr="00DD18D8">
        <w:rPr>
          <w:sz w:val="24"/>
          <w:szCs w:val="24"/>
        </w:rPr>
        <w:t>w </w:t>
      </w:r>
      <w:r w:rsidRPr="00DD18D8">
        <w:rPr>
          <w:sz w:val="24"/>
          <w:szCs w:val="24"/>
        </w:rPr>
        <w:t xml:space="preserve">skali kraju, co przekłada się na poziom ponoszonych przez poszczególne </w:t>
      </w:r>
      <w:r w:rsidR="00344D52">
        <w:rPr>
          <w:sz w:val="24"/>
          <w:szCs w:val="24"/>
        </w:rPr>
        <w:t>JST</w:t>
      </w:r>
      <w:r w:rsidRPr="00DD18D8">
        <w:rPr>
          <w:sz w:val="24"/>
          <w:szCs w:val="24"/>
        </w:rPr>
        <w:t xml:space="preserve"> wydatków na wynagrodzenia nauczycieli.</w:t>
      </w:r>
      <w:r w:rsidR="00B77544" w:rsidRPr="00DD18D8">
        <w:rPr>
          <w:sz w:val="24"/>
          <w:szCs w:val="24"/>
        </w:rPr>
        <w:t xml:space="preserve"> Ponadto </w:t>
      </w:r>
      <w:r w:rsidR="002F4AFD" w:rsidRPr="00DD18D8">
        <w:rPr>
          <w:sz w:val="24"/>
          <w:szCs w:val="24"/>
        </w:rPr>
        <w:t xml:space="preserve">jednym z czynników uwzględnianych </w:t>
      </w:r>
      <w:r w:rsidR="00B77544" w:rsidRPr="00DD18D8">
        <w:rPr>
          <w:sz w:val="24"/>
          <w:szCs w:val="24"/>
        </w:rPr>
        <w:t xml:space="preserve">przy ustalaniu </w:t>
      </w:r>
      <w:r w:rsidR="002A5FFE">
        <w:rPr>
          <w:sz w:val="24"/>
          <w:szCs w:val="24"/>
        </w:rPr>
        <w:t xml:space="preserve">sposobu </w:t>
      </w:r>
      <w:r w:rsidR="00B77544" w:rsidRPr="00DD18D8">
        <w:rPr>
          <w:sz w:val="24"/>
          <w:szCs w:val="24"/>
        </w:rPr>
        <w:t xml:space="preserve">podziału subwencji </w:t>
      </w:r>
      <w:r w:rsidR="00EA064D">
        <w:rPr>
          <w:sz w:val="24"/>
          <w:szCs w:val="24"/>
        </w:rPr>
        <w:t>oświatowej</w:t>
      </w:r>
      <w:r w:rsidR="00B77544" w:rsidRPr="00DD18D8">
        <w:rPr>
          <w:sz w:val="24"/>
          <w:szCs w:val="24"/>
        </w:rPr>
        <w:t xml:space="preserve"> jest sytuacja finansowa </w:t>
      </w:r>
      <w:r w:rsidR="00344D52">
        <w:rPr>
          <w:sz w:val="24"/>
          <w:szCs w:val="24"/>
        </w:rPr>
        <w:t>JST</w:t>
      </w:r>
      <w:r w:rsidR="00B77544" w:rsidRPr="00DD18D8">
        <w:rPr>
          <w:sz w:val="24"/>
          <w:szCs w:val="24"/>
        </w:rPr>
        <w:t>.</w:t>
      </w:r>
    </w:p>
    <w:p w14:paraId="1AFEE365" w14:textId="77777777" w:rsidR="004F6F53" w:rsidRPr="00DD18D8" w:rsidRDefault="004F6F53" w:rsidP="004F6F53">
      <w:pPr>
        <w:pStyle w:val="Tekstpodstawowy21"/>
        <w:spacing w:line="276" w:lineRule="auto"/>
        <w:rPr>
          <w:sz w:val="24"/>
          <w:szCs w:val="24"/>
        </w:rPr>
      </w:pPr>
    </w:p>
    <w:p w14:paraId="799EEA1F" w14:textId="30AB5CD2" w:rsidR="009C63ED" w:rsidRDefault="00165447" w:rsidP="004F6F53">
      <w:pPr>
        <w:pStyle w:val="Tekstpodstawowy21"/>
        <w:spacing w:line="276" w:lineRule="auto"/>
        <w:rPr>
          <w:sz w:val="24"/>
          <w:szCs w:val="24"/>
        </w:rPr>
      </w:pPr>
      <w:r w:rsidRPr="00DD18D8">
        <w:rPr>
          <w:sz w:val="24"/>
          <w:szCs w:val="24"/>
        </w:rPr>
        <w:t>W zastosowanej w</w:t>
      </w:r>
      <w:r w:rsidR="00125CFF" w:rsidRPr="00DD18D8">
        <w:rPr>
          <w:sz w:val="24"/>
          <w:szCs w:val="24"/>
        </w:rPr>
        <w:t xml:space="preserve"> </w:t>
      </w:r>
      <w:r w:rsidR="00891480">
        <w:rPr>
          <w:sz w:val="24"/>
          <w:szCs w:val="24"/>
        </w:rPr>
        <w:t xml:space="preserve">przedmiotowym </w:t>
      </w:r>
      <w:r w:rsidR="008752A7" w:rsidRPr="00DD18D8">
        <w:rPr>
          <w:sz w:val="24"/>
          <w:szCs w:val="24"/>
        </w:rPr>
        <w:t>rozporządzeni</w:t>
      </w:r>
      <w:r w:rsidR="00891480">
        <w:rPr>
          <w:sz w:val="24"/>
          <w:szCs w:val="24"/>
        </w:rPr>
        <w:t>u</w:t>
      </w:r>
      <w:r w:rsidRPr="00DD18D8">
        <w:rPr>
          <w:sz w:val="24"/>
          <w:szCs w:val="24"/>
        </w:rPr>
        <w:t xml:space="preserve"> kalkulacji liczba uczniów przeliczeniowych </w:t>
      </w:r>
      <w:r w:rsidR="00090233" w:rsidRPr="00DD18D8">
        <w:rPr>
          <w:sz w:val="24"/>
          <w:szCs w:val="24"/>
        </w:rPr>
        <w:t xml:space="preserve">jest </w:t>
      </w:r>
      <w:r w:rsidRPr="00DD18D8">
        <w:rPr>
          <w:sz w:val="24"/>
          <w:szCs w:val="24"/>
        </w:rPr>
        <w:t>przemnażana przez finansowy standard podziału subwencji</w:t>
      </w:r>
      <w:r w:rsidR="003414BF">
        <w:rPr>
          <w:sz w:val="24"/>
          <w:szCs w:val="24"/>
        </w:rPr>
        <w:t xml:space="preserve"> oświatowej</w:t>
      </w:r>
      <w:r w:rsidRPr="00DD18D8">
        <w:rPr>
          <w:sz w:val="24"/>
          <w:szCs w:val="24"/>
        </w:rPr>
        <w:t>. Standard ten (oznaczony symbolem „A” w załączniku do</w:t>
      </w:r>
      <w:r w:rsidR="00C5161A">
        <w:rPr>
          <w:sz w:val="24"/>
          <w:szCs w:val="24"/>
        </w:rPr>
        <w:t xml:space="preserve"> </w:t>
      </w:r>
      <w:r w:rsidR="00891480">
        <w:rPr>
          <w:sz w:val="24"/>
          <w:szCs w:val="24"/>
        </w:rPr>
        <w:t>przedmiotowego</w:t>
      </w:r>
      <w:r w:rsidRPr="00DD18D8">
        <w:rPr>
          <w:sz w:val="24"/>
          <w:szCs w:val="24"/>
        </w:rPr>
        <w:t xml:space="preserve"> </w:t>
      </w:r>
      <w:r w:rsidR="008752A7" w:rsidRPr="00DD18D8">
        <w:rPr>
          <w:sz w:val="24"/>
          <w:szCs w:val="24"/>
        </w:rPr>
        <w:t>rozporządzenia</w:t>
      </w:r>
      <w:r w:rsidRPr="00DD18D8">
        <w:rPr>
          <w:sz w:val="24"/>
          <w:szCs w:val="24"/>
        </w:rPr>
        <w:t>) otrzymuje się</w:t>
      </w:r>
      <w:r w:rsidR="00C556B0">
        <w:rPr>
          <w:sz w:val="24"/>
          <w:szCs w:val="24"/>
        </w:rPr>
        <w:t>,</w:t>
      </w:r>
      <w:r w:rsidRPr="00DD18D8">
        <w:rPr>
          <w:sz w:val="24"/>
          <w:szCs w:val="24"/>
        </w:rPr>
        <w:t xml:space="preserve"> dzieląc kwotę ogólną subwencji</w:t>
      </w:r>
      <w:r w:rsidR="003414BF">
        <w:rPr>
          <w:sz w:val="24"/>
          <w:szCs w:val="24"/>
        </w:rPr>
        <w:t xml:space="preserve"> oświatowej</w:t>
      </w:r>
      <w:r w:rsidRPr="00DD18D8">
        <w:rPr>
          <w:sz w:val="24"/>
          <w:szCs w:val="24"/>
        </w:rPr>
        <w:t xml:space="preserve"> </w:t>
      </w:r>
      <w:r w:rsidR="00237811" w:rsidRPr="00DD18D8">
        <w:rPr>
          <w:sz w:val="24"/>
          <w:szCs w:val="24"/>
        </w:rPr>
        <w:t>(</w:t>
      </w:r>
      <w:r w:rsidRPr="00DD18D8">
        <w:rPr>
          <w:sz w:val="24"/>
          <w:szCs w:val="24"/>
        </w:rPr>
        <w:t>SO</w:t>
      </w:r>
      <w:r w:rsidR="00237811" w:rsidRPr="00DD18D8">
        <w:rPr>
          <w:sz w:val="24"/>
          <w:szCs w:val="24"/>
        </w:rPr>
        <w:t>)</w:t>
      </w:r>
      <w:r w:rsidRPr="00DD18D8">
        <w:rPr>
          <w:sz w:val="24"/>
          <w:szCs w:val="24"/>
        </w:rPr>
        <w:t xml:space="preserve"> pomniejszoną o 0,</w:t>
      </w:r>
      <w:r w:rsidR="004F6F53">
        <w:rPr>
          <w:sz w:val="24"/>
          <w:szCs w:val="24"/>
        </w:rPr>
        <w:t>5</w:t>
      </w:r>
      <w:r w:rsidRPr="00DD18D8">
        <w:rPr>
          <w:sz w:val="24"/>
          <w:szCs w:val="24"/>
        </w:rPr>
        <w:t>% rezerwy, przez ogólną liczbę uczniów przeliczeniowych. Zgodnie z</w:t>
      </w:r>
      <w:r w:rsidR="004F6F53">
        <w:rPr>
          <w:sz w:val="24"/>
          <w:szCs w:val="24"/>
        </w:rPr>
        <w:t xml:space="preserve"> wstępnym</w:t>
      </w:r>
      <w:r w:rsidRPr="00DD18D8">
        <w:rPr>
          <w:sz w:val="24"/>
          <w:szCs w:val="24"/>
        </w:rPr>
        <w:t xml:space="preserve"> algorytmem podziału </w:t>
      </w:r>
      <w:r w:rsidR="00B37EEF" w:rsidRPr="00DD18D8">
        <w:rPr>
          <w:sz w:val="24"/>
          <w:szCs w:val="24"/>
        </w:rPr>
        <w:t xml:space="preserve">subwencji </w:t>
      </w:r>
      <w:r w:rsidR="000F2B07">
        <w:rPr>
          <w:sz w:val="24"/>
          <w:szCs w:val="24"/>
        </w:rPr>
        <w:t>oświatowej</w:t>
      </w:r>
      <w:r w:rsidR="00B37EEF" w:rsidRPr="00DD18D8">
        <w:rPr>
          <w:sz w:val="24"/>
          <w:szCs w:val="24"/>
        </w:rPr>
        <w:t xml:space="preserve"> </w:t>
      </w:r>
      <w:r w:rsidR="0033620E">
        <w:rPr>
          <w:sz w:val="24"/>
          <w:szCs w:val="24"/>
        </w:rPr>
        <w:t xml:space="preserve">w </w:t>
      </w:r>
      <w:r w:rsidRPr="00DD18D8">
        <w:rPr>
          <w:sz w:val="24"/>
          <w:szCs w:val="24"/>
        </w:rPr>
        <w:t>rok</w:t>
      </w:r>
      <w:r w:rsidR="0033620E">
        <w:rPr>
          <w:sz w:val="24"/>
          <w:szCs w:val="24"/>
        </w:rPr>
        <w:t>u</w:t>
      </w:r>
      <w:r w:rsidRPr="00DD18D8">
        <w:rPr>
          <w:sz w:val="24"/>
          <w:szCs w:val="24"/>
        </w:rPr>
        <w:t xml:space="preserve"> </w:t>
      </w:r>
      <w:r w:rsidR="00242321" w:rsidRPr="00DD18D8">
        <w:rPr>
          <w:sz w:val="24"/>
          <w:szCs w:val="24"/>
        </w:rPr>
        <w:t>20</w:t>
      </w:r>
      <w:r w:rsidR="00B77544" w:rsidRPr="00DD18D8">
        <w:rPr>
          <w:sz w:val="24"/>
          <w:szCs w:val="24"/>
        </w:rPr>
        <w:t>2</w:t>
      </w:r>
      <w:r w:rsidR="004F6F53">
        <w:rPr>
          <w:sz w:val="24"/>
          <w:szCs w:val="24"/>
        </w:rPr>
        <w:t>2</w:t>
      </w:r>
      <w:r w:rsidR="00242321" w:rsidRPr="00DD18D8">
        <w:rPr>
          <w:sz w:val="24"/>
          <w:szCs w:val="24"/>
        </w:rPr>
        <w:t xml:space="preserve"> </w:t>
      </w:r>
      <w:r w:rsidR="001F1E61" w:rsidRPr="00DD18D8">
        <w:rPr>
          <w:sz w:val="24"/>
          <w:szCs w:val="24"/>
        </w:rPr>
        <w:t xml:space="preserve">szacuje się, że </w:t>
      </w:r>
      <w:r w:rsidR="007A1E89" w:rsidRPr="00DD18D8">
        <w:rPr>
          <w:sz w:val="24"/>
          <w:szCs w:val="24"/>
        </w:rPr>
        <w:t>finansowy standard</w:t>
      </w:r>
      <w:r w:rsidR="009C63ED" w:rsidRPr="00DD18D8">
        <w:rPr>
          <w:sz w:val="24"/>
          <w:szCs w:val="24"/>
        </w:rPr>
        <w:t> </w:t>
      </w:r>
      <w:r w:rsidR="007A1E89" w:rsidRPr="00DD18D8">
        <w:rPr>
          <w:sz w:val="24"/>
          <w:szCs w:val="24"/>
        </w:rPr>
        <w:t xml:space="preserve">A </w:t>
      </w:r>
      <w:r w:rsidR="009C63ED" w:rsidRPr="00DD18D8">
        <w:rPr>
          <w:sz w:val="24"/>
          <w:szCs w:val="24"/>
        </w:rPr>
        <w:t>wyniesie</w:t>
      </w:r>
      <w:r w:rsidR="006D5A9B" w:rsidRPr="00DD18D8">
        <w:rPr>
          <w:sz w:val="24"/>
          <w:szCs w:val="24"/>
        </w:rPr>
        <w:t xml:space="preserve"> ok.</w:t>
      </w:r>
      <w:r w:rsidR="009C63ED" w:rsidRPr="00DD18D8">
        <w:rPr>
          <w:sz w:val="24"/>
          <w:szCs w:val="24"/>
        </w:rPr>
        <w:t xml:space="preserve"> </w:t>
      </w:r>
      <w:r w:rsidR="00AD77B3">
        <w:rPr>
          <w:sz w:val="24"/>
          <w:szCs w:val="24"/>
        </w:rPr>
        <w:t>6.1</w:t>
      </w:r>
      <w:r w:rsidR="004F6F53">
        <w:rPr>
          <w:sz w:val="24"/>
          <w:szCs w:val="24"/>
        </w:rPr>
        <w:t>18</w:t>
      </w:r>
      <w:r w:rsidR="009E58F3" w:rsidRPr="00DD18D8">
        <w:rPr>
          <w:rStyle w:val="Odwoanieprzypisudolnego"/>
          <w:sz w:val="24"/>
          <w:szCs w:val="24"/>
        </w:rPr>
        <w:footnoteReference w:id="2"/>
      </w:r>
      <w:r w:rsidR="00946C35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>zł</w:t>
      </w:r>
      <w:r w:rsidR="002D690D" w:rsidRPr="00DD18D8">
        <w:rPr>
          <w:sz w:val="24"/>
          <w:szCs w:val="24"/>
        </w:rPr>
        <w:t>.</w:t>
      </w:r>
      <w:r w:rsidR="004C32BB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W stosunku do roku </w:t>
      </w:r>
      <w:r w:rsidR="00242321" w:rsidRPr="00DD18D8">
        <w:rPr>
          <w:sz w:val="24"/>
          <w:szCs w:val="24"/>
        </w:rPr>
        <w:t>20</w:t>
      </w:r>
      <w:r w:rsidR="004F6F53">
        <w:rPr>
          <w:sz w:val="24"/>
          <w:szCs w:val="24"/>
        </w:rPr>
        <w:t>21</w:t>
      </w:r>
      <w:r w:rsidR="004A1E6C">
        <w:rPr>
          <w:sz w:val="24"/>
          <w:szCs w:val="24"/>
        </w:rPr>
        <w:t xml:space="preserve">, w którym finansowy standard A wynosi </w:t>
      </w:r>
      <w:r w:rsidR="004F6F53">
        <w:rPr>
          <w:sz w:val="24"/>
          <w:szCs w:val="24"/>
        </w:rPr>
        <w:t>6069</w:t>
      </w:r>
      <w:r w:rsidR="004A1E6C" w:rsidRPr="00DD18D8">
        <w:rPr>
          <w:sz w:val="24"/>
          <w:szCs w:val="24"/>
        </w:rPr>
        <w:t xml:space="preserve"> zł</w:t>
      </w:r>
      <w:r w:rsidR="004A1E6C">
        <w:rPr>
          <w:sz w:val="24"/>
          <w:szCs w:val="24"/>
        </w:rPr>
        <w:t>,</w:t>
      </w:r>
      <w:r w:rsidR="004A1E6C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wzrośnie on </w:t>
      </w:r>
      <w:r w:rsidR="004F606C" w:rsidRPr="00DD18D8">
        <w:rPr>
          <w:sz w:val="24"/>
          <w:szCs w:val="24"/>
        </w:rPr>
        <w:t>o</w:t>
      </w:r>
      <w:r w:rsidR="009C63ED" w:rsidRPr="00DD18D8">
        <w:rPr>
          <w:sz w:val="24"/>
          <w:szCs w:val="24"/>
        </w:rPr>
        <w:t xml:space="preserve"> ok. </w:t>
      </w:r>
      <w:r w:rsidR="004F6F53">
        <w:rPr>
          <w:sz w:val="24"/>
          <w:szCs w:val="24"/>
        </w:rPr>
        <w:t>0,8</w:t>
      </w:r>
      <w:r w:rsidR="009C63ED" w:rsidRPr="00DD18D8">
        <w:rPr>
          <w:sz w:val="24"/>
          <w:szCs w:val="24"/>
        </w:rPr>
        <w:t xml:space="preserve">%, tj. o ok. </w:t>
      </w:r>
      <w:r w:rsidR="004F6F53">
        <w:rPr>
          <w:sz w:val="24"/>
          <w:szCs w:val="24"/>
        </w:rPr>
        <w:t>49</w:t>
      </w:r>
      <w:r w:rsidR="00AD77B3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zł. </w:t>
      </w:r>
    </w:p>
    <w:p w14:paraId="221221B9" w14:textId="77777777" w:rsidR="004F6F53" w:rsidRPr="00DD18D8" w:rsidRDefault="004F6F53" w:rsidP="001666D5">
      <w:pPr>
        <w:pStyle w:val="Tekstpodstawowy21"/>
        <w:spacing w:before="240" w:line="276" w:lineRule="auto"/>
        <w:rPr>
          <w:sz w:val="24"/>
          <w:szCs w:val="24"/>
        </w:rPr>
      </w:pPr>
    </w:p>
    <w:p w14:paraId="494B5501" w14:textId="3914BDD4" w:rsidR="004F6F53" w:rsidRDefault="00020A72" w:rsidP="004F6F53">
      <w:pPr>
        <w:pStyle w:val="Tekstpodstawowy31"/>
        <w:spacing w:line="276" w:lineRule="auto"/>
        <w:jc w:val="both"/>
        <w:rPr>
          <w:sz w:val="24"/>
          <w:szCs w:val="24"/>
        </w:rPr>
      </w:pPr>
      <w:r w:rsidRPr="00DD18D8">
        <w:rPr>
          <w:sz w:val="24"/>
          <w:szCs w:val="24"/>
        </w:rPr>
        <w:t>Przepisy</w:t>
      </w:r>
      <w:r w:rsidR="00125CFF" w:rsidRPr="00DD18D8">
        <w:rPr>
          <w:sz w:val="24"/>
          <w:szCs w:val="24"/>
        </w:rPr>
        <w:t xml:space="preserve"> </w:t>
      </w:r>
      <w:r w:rsidR="00891480">
        <w:rPr>
          <w:sz w:val="24"/>
          <w:szCs w:val="24"/>
        </w:rPr>
        <w:t>przedmiotowego</w:t>
      </w:r>
      <w:r w:rsidR="004F606C" w:rsidRPr="00DD18D8">
        <w:rPr>
          <w:sz w:val="24"/>
          <w:szCs w:val="24"/>
        </w:rPr>
        <w:t xml:space="preserve"> </w:t>
      </w:r>
      <w:r w:rsidR="008752A7" w:rsidRPr="00DD18D8">
        <w:rPr>
          <w:sz w:val="24"/>
          <w:szCs w:val="24"/>
        </w:rPr>
        <w:t>rozporządzenia</w:t>
      </w:r>
      <w:r w:rsidRPr="00DD18D8">
        <w:rPr>
          <w:sz w:val="24"/>
          <w:szCs w:val="24"/>
        </w:rPr>
        <w:t xml:space="preserve"> </w:t>
      </w:r>
      <w:r w:rsidR="00407F10">
        <w:rPr>
          <w:sz w:val="24"/>
          <w:szCs w:val="24"/>
        </w:rPr>
        <w:t>(</w:t>
      </w:r>
      <w:r w:rsidRPr="00DD18D8">
        <w:rPr>
          <w:sz w:val="24"/>
          <w:szCs w:val="24"/>
        </w:rPr>
        <w:t xml:space="preserve">§ 1 i </w:t>
      </w:r>
      <w:r w:rsidR="004A1E6C" w:rsidRPr="00DD18D8">
        <w:rPr>
          <w:sz w:val="24"/>
          <w:szCs w:val="24"/>
        </w:rPr>
        <w:t>§</w:t>
      </w:r>
      <w:r w:rsidR="004A1E6C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>2</w:t>
      </w:r>
      <w:r w:rsidR="00407F10">
        <w:rPr>
          <w:sz w:val="24"/>
          <w:szCs w:val="24"/>
        </w:rPr>
        <w:t>)</w:t>
      </w:r>
      <w:r w:rsidRPr="00DD18D8">
        <w:rPr>
          <w:sz w:val="24"/>
          <w:szCs w:val="24"/>
        </w:rPr>
        <w:t xml:space="preserve"> odnoszą się do całego obszaru zadań oświatowych, które realizują </w:t>
      </w:r>
      <w:r w:rsidR="001361B0">
        <w:rPr>
          <w:sz w:val="24"/>
          <w:szCs w:val="24"/>
        </w:rPr>
        <w:t>JST</w:t>
      </w:r>
      <w:r w:rsidRPr="00DD18D8">
        <w:rPr>
          <w:sz w:val="24"/>
          <w:szCs w:val="24"/>
        </w:rPr>
        <w:t xml:space="preserve">, i obrazują sposób ustalania poszczególnych </w:t>
      </w:r>
      <w:r w:rsidR="00E21391">
        <w:rPr>
          <w:sz w:val="24"/>
          <w:szCs w:val="24"/>
        </w:rPr>
        <w:t>wskaźników</w:t>
      </w:r>
      <w:r w:rsidR="00E21391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i wag, użytych </w:t>
      </w:r>
      <w:r w:rsidR="009A58D6" w:rsidRPr="00DD18D8">
        <w:rPr>
          <w:sz w:val="24"/>
          <w:szCs w:val="24"/>
        </w:rPr>
        <w:t>w </w:t>
      </w:r>
      <w:r w:rsidRPr="00DD18D8">
        <w:rPr>
          <w:sz w:val="24"/>
          <w:szCs w:val="24"/>
        </w:rPr>
        <w:t xml:space="preserve">algorytmie </w:t>
      </w:r>
      <w:r w:rsidR="00996A66">
        <w:rPr>
          <w:sz w:val="24"/>
          <w:szCs w:val="24"/>
        </w:rPr>
        <w:t>w celu</w:t>
      </w:r>
      <w:r w:rsidR="00996A66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obiektywnego dokonania podziału środków subwencji </w:t>
      </w:r>
      <w:r w:rsidR="0033620E">
        <w:rPr>
          <w:sz w:val="24"/>
          <w:szCs w:val="24"/>
        </w:rPr>
        <w:t>oświatowej</w:t>
      </w:r>
      <w:r w:rsidRPr="00DD18D8">
        <w:rPr>
          <w:sz w:val="24"/>
          <w:szCs w:val="24"/>
        </w:rPr>
        <w:t xml:space="preserve">. </w:t>
      </w:r>
    </w:p>
    <w:p w14:paraId="5CB3A3A1" w14:textId="77777777" w:rsidR="004F6F53" w:rsidRPr="004F6F53" w:rsidRDefault="004F6F53" w:rsidP="004F6F53">
      <w:pPr>
        <w:pStyle w:val="Tekstpodstawowy31"/>
        <w:spacing w:line="276" w:lineRule="auto"/>
        <w:jc w:val="both"/>
        <w:rPr>
          <w:sz w:val="24"/>
          <w:szCs w:val="24"/>
        </w:rPr>
      </w:pPr>
    </w:p>
    <w:p w14:paraId="08B78F63" w14:textId="3E018A39" w:rsidR="00743098" w:rsidRPr="004F6F53" w:rsidRDefault="004F6F53" w:rsidP="004F6F53">
      <w:pPr>
        <w:pStyle w:val="Tekstpodstawowy31"/>
        <w:spacing w:line="276" w:lineRule="auto"/>
        <w:jc w:val="both"/>
        <w:rPr>
          <w:sz w:val="24"/>
          <w:szCs w:val="24"/>
        </w:rPr>
      </w:pPr>
      <w:r w:rsidRPr="004F6F53">
        <w:rPr>
          <w:sz w:val="24"/>
          <w:szCs w:val="24"/>
        </w:rPr>
        <w:t xml:space="preserve">W przedmiotowym rozporządzeniu, w stosunku do rozporządzenia Ministra Edukacji i Nauki z dnia </w:t>
      </w:r>
      <w:r w:rsidR="00344D52">
        <w:rPr>
          <w:sz w:val="24"/>
          <w:szCs w:val="24"/>
        </w:rPr>
        <w:t>18</w:t>
      </w:r>
      <w:r w:rsidR="00344D52" w:rsidRPr="004F6F53">
        <w:rPr>
          <w:sz w:val="24"/>
          <w:szCs w:val="24"/>
        </w:rPr>
        <w:t xml:space="preserve"> </w:t>
      </w:r>
      <w:r w:rsidRPr="004F6F53">
        <w:rPr>
          <w:sz w:val="24"/>
          <w:szCs w:val="24"/>
        </w:rPr>
        <w:t>grudnia 2020 r. w sprawie sposobu podziału części oświatowej subwencji ogólnej dla jednostek samorządu terytorialnego w roku 2021 (Dz. U. poz. 2384), wprowadzono m.in. następujące zmiany:</w:t>
      </w:r>
    </w:p>
    <w:p w14:paraId="4743FB11" w14:textId="77777777" w:rsidR="004F6F53" w:rsidRPr="004F6F53" w:rsidRDefault="004F6F53" w:rsidP="004F6F53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14:paraId="1325C80B" w14:textId="77777777" w:rsidR="009763B4" w:rsidRDefault="009763B4" w:rsidP="00207060">
      <w:pPr>
        <w:pStyle w:val="Akapitzlist"/>
        <w:numPr>
          <w:ilvl w:val="0"/>
          <w:numId w:val="12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763B4">
        <w:rPr>
          <w:rFonts w:ascii="Times New Roman" w:hAnsi="Times New Roman" w:cs="Times New Roman"/>
        </w:rPr>
        <w:t xml:space="preserve">Zmiana sposobu naliczania wagi </w:t>
      </w:r>
      <w:r>
        <w:rPr>
          <w:rFonts w:ascii="Times New Roman" w:hAnsi="Times New Roman" w:cs="Times New Roman"/>
        </w:rPr>
        <w:t>wiejskiej (P</w:t>
      </w:r>
      <w:r w:rsidRPr="009763B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 P</w:t>
      </w:r>
      <w:r w:rsidRPr="009763B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Pr="009763B4">
        <w:rPr>
          <w:rFonts w:ascii="Times New Roman" w:hAnsi="Times New Roman" w:cs="Times New Roman"/>
        </w:rPr>
        <w:t xml:space="preserve">. </w:t>
      </w:r>
    </w:p>
    <w:p w14:paraId="0489BD95" w14:textId="1C9BB702" w:rsidR="009763B4" w:rsidRDefault="009763B4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9763B4">
        <w:rPr>
          <w:rFonts w:ascii="Times New Roman" w:hAnsi="Times New Roman" w:cs="Times New Roman"/>
        </w:rPr>
        <w:lastRenderedPageBreak/>
        <w:t>Powiązan</w:t>
      </w:r>
      <w:r w:rsidR="00E332EB">
        <w:rPr>
          <w:rFonts w:ascii="Times New Roman" w:hAnsi="Times New Roman" w:cs="Times New Roman"/>
        </w:rPr>
        <w:t>o</w:t>
      </w:r>
      <w:r w:rsidRPr="009763B4">
        <w:rPr>
          <w:rFonts w:ascii="Times New Roman" w:hAnsi="Times New Roman" w:cs="Times New Roman"/>
        </w:rPr>
        <w:t xml:space="preserve"> dotychczasow</w:t>
      </w:r>
      <w:r w:rsidR="00E332EB">
        <w:rPr>
          <w:rFonts w:ascii="Times New Roman" w:hAnsi="Times New Roman" w:cs="Times New Roman"/>
        </w:rPr>
        <w:t>ą</w:t>
      </w:r>
      <w:r w:rsidRPr="009763B4">
        <w:rPr>
          <w:rFonts w:ascii="Times New Roman" w:hAnsi="Times New Roman" w:cs="Times New Roman"/>
        </w:rPr>
        <w:t xml:space="preserve"> wag</w:t>
      </w:r>
      <w:r w:rsidR="00E332EB">
        <w:rPr>
          <w:rFonts w:ascii="Times New Roman" w:hAnsi="Times New Roman" w:cs="Times New Roman"/>
        </w:rPr>
        <w:t>ę P</w:t>
      </w:r>
      <w:r w:rsidR="00E332EB" w:rsidRPr="009763B4">
        <w:rPr>
          <w:rFonts w:ascii="Times New Roman" w:hAnsi="Times New Roman" w:cs="Times New Roman"/>
          <w:vertAlign w:val="subscript"/>
        </w:rPr>
        <w:t>1</w:t>
      </w:r>
      <w:r w:rsidRPr="009763B4">
        <w:rPr>
          <w:rFonts w:ascii="Times New Roman" w:hAnsi="Times New Roman" w:cs="Times New Roman"/>
        </w:rPr>
        <w:t xml:space="preserve"> z tzw. wskaźnikiem zamożności </w:t>
      </w:r>
      <w:r w:rsidR="00334508">
        <w:rPr>
          <w:rFonts w:ascii="Times New Roman" w:hAnsi="Times New Roman" w:cs="Times New Roman"/>
        </w:rPr>
        <w:t>JST</w:t>
      </w:r>
      <w:r w:rsidRPr="009763B4">
        <w:rPr>
          <w:rFonts w:ascii="Times New Roman" w:hAnsi="Times New Roman" w:cs="Times New Roman"/>
        </w:rPr>
        <w:t>. W zakresie JST</w:t>
      </w:r>
      <w:r w:rsidR="00334508">
        <w:rPr>
          <w:rFonts w:ascii="Times New Roman" w:hAnsi="Times New Roman" w:cs="Times New Roman"/>
        </w:rPr>
        <w:t>,</w:t>
      </w:r>
      <w:r w:rsidRPr="009763B4">
        <w:rPr>
          <w:rFonts w:ascii="Times New Roman" w:hAnsi="Times New Roman" w:cs="Times New Roman"/>
        </w:rPr>
        <w:t xml:space="preserve"> dla których wskaźnik zamożności jest mniejszy lub równy 1,4</w:t>
      </w:r>
      <w:r w:rsidR="00334508">
        <w:rPr>
          <w:rFonts w:ascii="Times New Roman" w:hAnsi="Times New Roman" w:cs="Times New Roman"/>
        </w:rPr>
        <w:t xml:space="preserve"> lub</w:t>
      </w:r>
      <w:r w:rsidR="008C781A" w:rsidRPr="009763B4">
        <w:rPr>
          <w:rFonts w:ascii="Times New Roman" w:hAnsi="Times New Roman" w:cs="Times New Roman"/>
        </w:rPr>
        <w:t xml:space="preserve"> które otrzymują część wyrównawczą subwencji ogólnej</w:t>
      </w:r>
      <w:r w:rsidR="00334508">
        <w:rPr>
          <w:rFonts w:ascii="Times New Roman" w:hAnsi="Times New Roman" w:cs="Times New Roman"/>
        </w:rPr>
        <w:t>, proponuje się, aby</w:t>
      </w:r>
      <w:r w:rsidRPr="009763B4">
        <w:rPr>
          <w:rFonts w:ascii="Times New Roman" w:hAnsi="Times New Roman" w:cs="Times New Roman"/>
        </w:rPr>
        <w:t xml:space="preserve"> wartość wagi wynosi</w:t>
      </w:r>
      <w:r w:rsidR="00334508">
        <w:rPr>
          <w:rFonts w:ascii="Times New Roman" w:hAnsi="Times New Roman" w:cs="Times New Roman"/>
        </w:rPr>
        <w:t>ła</w:t>
      </w:r>
      <w:r w:rsidRPr="009763B4">
        <w:rPr>
          <w:rFonts w:ascii="Times New Roman" w:hAnsi="Times New Roman" w:cs="Times New Roman"/>
        </w:rPr>
        <w:t xml:space="preserve"> 0,4. </w:t>
      </w:r>
      <w:r w:rsidR="00E519EA">
        <w:rPr>
          <w:rFonts w:ascii="Times New Roman" w:hAnsi="Times New Roman" w:cs="Times New Roman"/>
        </w:rPr>
        <w:t>Zastosowanie kryterium dotyczącego otrzymywania części wyrównawczej subwencji ogólnej jest uzasadnione, gdyż c</w:t>
      </w:r>
      <w:r w:rsidR="00E519EA" w:rsidRPr="00E519EA">
        <w:rPr>
          <w:rFonts w:ascii="Times New Roman" w:hAnsi="Times New Roman" w:cs="Times New Roman"/>
        </w:rPr>
        <w:t xml:space="preserve">zęść wyrównawcza subwencji ogólnej jest </w:t>
      </w:r>
      <w:r w:rsidR="00E519EA">
        <w:rPr>
          <w:rFonts w:ascii="Times New Roman" w:hAnsi="Times New Roman" w:cs="Times New Roman"/>
        </w:rPr>
        <w:t>przekazywana</w:t>
      </w:r>
      <w:r w:rsidR="00E519EA" w:rsidRPr="00E519EA">
        <w:rPr>
          <w:rFonts w:ascii="Times New Roman" w:hAnsi="Times New Roman" w:cs="Times New Roman"/>
        </w:rPr>
        <w:t xml:space="preserve"> dla gmin, powiatów i </w:t>
      </w:r>
      <w:r w:rsidR="00E519EA">
        <w:rPr>
          <w:rFonts w:ascii="Times New Roman" w:hAnsi="Times New Roman" w:cs="Times New Roman"/>
        </w:rPr>
        <w:t>województw, które charakteryzują się</w:t>
      </w:r>
      <w:r w:rsidR="00E519EA" w:rsidRPr="00E519EA">
        <w:rPr>
          <w:rFonts w:ascii="Times New Roman" w:hAnsi="Times New Roman" w:cs="Times New Roman"/>
        </w:rPr>
        <w:t xml:space="preserve"> niższy</w:t>
      </w:r>
      <w:r w:rsidR="00E519EA">
        <w:rPr>
          <w:rFonts w:ascii="Times New Roman" w:hAnsi="Times New Roman" w:cs="Times New Roman"/>
        </w:rPr>
        <w:t>m</w:t>
      </w:r>
      <w:r w:rsidR="00E519EA" w:rsidRPr="00E519EA">
        <w:rPr>
          <w:rFonts w:ascii="Times New Roman" w:hAnsi="Times New Roman" w:cs="Times New Roman"/>
        </w:rPr>
        <w:t xml:space="preserve"> poziom dochodów podatkowych na 1 mieszkańca w porównaniu do średniej krajowej.</w:t>
      </w:r>
      <w:r w:rsidR="00E519EA">
        <w:rPr>
          <w:rFonts w:ascii="Times New Roman" w:hAnsi="Times New Roman" w:cs="Times New Roman"/>
        </w:rPr>
        <w:t xml:space="preserve"> Rozwiązanie to ma zapobiec sytuacji, </w:t>
      </w:r>
      <w:r w:rsidR="00B071F3">
        <w:rPr>
          <w:rFonts w:ascii="Times New Roman" w:hAnsi="Times New Roman" w:cs="Times New Roman"/>
        </w:rPr>
        <w:t xml:space="preserve">w której </w:t>
      </w:r>
      <w:r w:rsidR="00E519EA">
        <w:rPr>
          <w:rFonts w:ascii="Times New Roman" w:hAnsi="Times New Roman" w:cs="Times New Roman"/>
        </w:rPr>
        <w:t xml:space="preserve">uwzględnienie w liczeniu wskaźnika zamożności kwoty części wyrównawczej subwencji ogólnej spowoduje, że dany samorząd </w:t>
      </w:r>
      <w:r w:rsidR="00B071F3">
        <w:rPr>
          <w:rFonts w:ascii="Times New Roman" w:hAnsi="Times New Roman" w:cs="Times New Roman"/>
        </w:rPr>
        <w:t xml:space="preserve">osiągnie wskaźnik zamożności </w:t>
      </w:r>
      <w:r w:rsidR="00E519EA">
        <w:rPr>
          <w:rFonts w:ascii="Times New Roman" w:hAnsi="Times New Roman" w:cs="Times New Roman"/>
        </w:rPr>
        <w:t>powyżej 1,4</w:t>
      </w:r>
      <w:r w:rsidR="00FA2FE6">
        <w:rPr>
          <w:rFonts w:ascii="Times New Roman" w:hAnsi="Times New Roman" w:cs="Times New Roman"/>
        </w:rPr>
        <w:t xml:space="preserve"> i w konsekwencji </w:t>
      </w:r>
      <w:r w:rsidR="007B1A64">
        <w:rPr>
          <w:rFonts w:ascii="Times New Roman" w:hAnsi="Times New Roman" w:cs="Times New Roman"/>
        </w:rPr>
        <w:t xml:space="preserve">zostałyby mu </w:t>
      </w:r>
      <w:r w:rsidR="00FA2FE6">
        <w:rPr>
          <w:rFonts w:ascii="Times New Roman" w:hAnsi="Times New Roman" w:cs="Times New Roman"/>
        </w:rPr>
        <w:t>nalicz</w:t>
      </w:r>
      <w:r w:rsidR="007B1A64">
        <w:rPr>
          <w:rFonts w:ascii="Times New Roman" w:hAnsi="Times New Roman" w:cs="Times New Roman"/>
        </w:rPr>
        <w:t>one</w:t>
      </w:r>
      <w:r w:rsidR="00FA2FE6">
        <w:rPr>
          <w:rFonts w:ascii="Times New Roman" w:hAnsi="Times New Roman" w:cs="Times New Roman"/>
        </w:rPr>
        <w:t xml:space="preserve"> niższ</w:t>
      </w:r>
      <w:r w:rsidR="007B1A64">
        <w:rPr>
          <w:rFonts w:ascii="Times New Roman" w:hAnsi="Times New Roman" w:cs="Times New Roman"/>
        </w:rPr>
        <w:t>e</w:t>
      </w:r>
      <w:r w:rsidR="00FA2FE6">
        <w:rPr>
          <w:rFonts w:ascii="Times New Roman" w:hAnsi="Times New Roman" w:cs="Times New Roman"/>
        </w:rPr>
        <w:t xml:space="preserve"> środk</w:t>
      </w:r>
      <w:r w:rsidR="007B1A64">
        <w:rPr>
          <w:rFonts w:ascii="Times New Roman" w:hAnsi="Times New Roman" w:cs="Times New Roman"/>
        </w:rPr>
        <w:t>i</w:t>
      </w:r>
      <w:r w:rsidR="00FA2FE6">
        <w:rPr>
          <w:rFonts w:ascii="Times New Roman" w:hAnsi="Times New Roman" w:cs="Times New Roman"/>
        </w:rPr>
        <w:t xml:space="preserve"> w zakresie tzw. wagi wiejskiej</w:t>
      </w:r>
      <w:r w:rsidR="00E519EA">
        <w:rPr>
          <w:rFonts w:ascii="Times New Roman" w:hAnsi="Times New Roman" w:cs="Times New Roman"/>
        </w:rPr>
        <w:t>.</w:t>
      </w:r>
    </w:p>
    <w:p w14:paraId="1AD26316" w14:textId="77777777" w:rsidR="00E519EA" w:rsidRPr="009763B4" w:rsidRDefault="00E519EA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333AB15B" w14:textId="34DABE9A" w:rsidR="009763B4" w:rsidRPr="009763B4" w:rsidRDefault="009763B4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9763B4">
        <w:rPr>
          <w:rFonts w:ascii="Times New Roman" w:hAnsi="Times New Roman" w:cs="Times New Roman"/>
        </w:rPr>
        <w:t>W zakresie JST</w:t>
      </w:r>
      <w:r w:rsidR="007B1A64">
        <w:rPr>
          <w:rFonts w:ascii="Times New Roman" w:hAnsi="Times New Roman" w:cs="Times New Roman"/>
        </w:rPr>
        <w:t>,</w:t>
      </w:r>
      <w:r w:rsidRPr="009763B4">
        <w:rPr>
          <w:rFonts w:ascii="Times New Roman" w:hAnsi="Times New Roman" w:cs="Times New Roman"/>
        </w:rPr>
        <w:t xml:space="preserve"> dla których wskaźnik zamożności jest większy niż 1,4</w:t>
      </w:r>
      <w:r w:rsidR="005E5F7C">
        <w:rPr>
          <w:rFonts w:ascii="Times New Roman" w:hAnsi="Times New Roman" w:cs="Times New Roman"/>
        </w:rPr>
        <w:t xml:space="preserve"> </w:t>
      </w:r>
      <w:r w:rsidR="007B1A64">
        <w:rPr>
          <w:rFonts w:ascii="Times New Roman" w:hAnsi="Times New Roman" w:cs="Times New Roman"/>
        </w:rPr>
        <w:t xml:space="preserve">i które nie otrzymują </w:t>
      </w:r>
      <w:r w:rsidR="007B1A64" w:rsidRPr="009763B4">
        <w:rPr>
          <w:rFonts w:ascii="Times New Roman" w:hAnsi="Times New Roman" w:cs="Times New Roman"/>
        </w:rPr>
        <w:t>częś</w:t>
      </w:r>
      <w:r w:rsidR="005E5F7C">
        <w:rPr>
          <w:rFonts w:ascii="Times New Roman" w:hAnsi="Times New Roman" w:cs="Times New Roman"/>
        </w:rPr>
        <w:t>ci</w:t>
      </w:r>
      <w:r w:rsidR="007B1A64" w:rsidRPr="009763B4">
        <w:rPr>
          <w:rFonts w:ascii="Times New Roman" w:hAnsi="Times New Roman" w:cs="Times New Roman"/>
        </w:rPr>
        <w:t xml:space="preserve"> wyrównawcz</w:t>
      </w:r>
      <w:r w:rsidR="005E5F7C">
        <w:rPr>
          <w:rFonts w:ascii="Times New Roman" w:hAnsi="Times New Roman" w:cs="Times New Roman"/>
        </w:rPr>
        <w:t>ej</w:t>
      </w:r>
      <w:r w:rsidR="007B1A64" w:rsidRPr="009763B4">
        <w:rPr>
          <w:rFonts w:ascii="Times New Roman" w:hAnsi="Times New Roman" w:cs="Times New Roman"/>
        </w:rPr>
        <w:t xml:space="preserve"> subwencji ogólnej</w:t>
      </w:r>
      <w:r w:rsidR="00921B8A">
        <w:rPr>
          <w:rFonts w:ascii="Times New Roman" w:hAnsi="Times New Roman" w:cs="Times New Roman"/>
        </w:rPr>
        <w:t>, proponuje się, aby</w:t>
      </w:r>
      <w:r w:rsidR="007B1A64" w:rsidRPr="009763B4">
        <w:rPr>
          <w:rFonts w:ascii="Times New Roman" w:hAnsi="Times New Roman" w:cs="Times New Roman"/>
        </w:rPr>
        <w:t xml:space="preserve"> </w:t>
      </w:r>
      <w:r w:rsidRPr="009763B4">
        <w:rPr>
          <w:rFonts w:ascii="Times New Roman" w:hAnsi="Times New Roman" w:cs="Times New Roman"/>
        </w:rPr>
        <w:t>wartość wagi wynosi</w:t>
      </w:r>
      <w:r w:rsidR="00921B8A">
        <w:rPr>
          <w:rFonts w:ascii="Times New Roman" w:hAnsi="Times New Roman" w:cs="Times New Roman"/>
        </w:rPr>
        <w:t>ła</w:t>
      </w:r>
      <w:r w:rsidRPr="009763B4">
        <w:rPr>
          <w:rFonts w:ascii="Times New Roman" w:hAnsi="Times New Roman" w:cs="Times New Roman"/>
        </w:rPr>
        <w:t xml:space="preserve"> 0,2.</w:t>
      </w:r>
    </w:p>
    <w:p w14:paraId="4C5B29CC" w14:textId="46CED849" w:rsidR="009763B4" w:rsidRDefault="00AF1EED" w:rsidP="00207060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ta </w:t>
      </w:r>
      <w:r w:rsidR="008C781A">
        <w:rPr>
          <w:rFonts w:ascii="Times New Roman" w:hAnsi="Times New Roman" w:cs="Times New Roman"/>
        </w:rPr>
        <w:t xml:space="preserve">ma na celu zmniejszenie środków naliczanych z tytułu położenia szkoły </w:t>
      </w:r>
      <w:r w:rsidR="00921B8A">
        <w:rPr>
          <w:rFonts w:ascii="Times New Roman" w:hAnsi="Times New Roman" w:cs="Times New Roman"/>
        </w:rPr>
        <w:t>na terenach wiejskich lub miastach do 5</w:t>
      </w:r>
      <w:r w:rsidR="007701AB">
        <w:rPr>
          <w:rFonts w:ascii="Times New Roman" w:hAnsi="Times New Roman" w:cs="Times New Roman"/>
        </w:rPr>
        <w:t xml:space="preserve"> tys. </w:t>
      </w:r>
      <w:r w:rsidR="00921B8A">
        <w:rPr>
          <w:rFonts w:ascii="Times New Roman" w:hAnsi="Times New Roman" w:cs="Times New Roman"/>
        </w:rPr>
        <w:t xml:space="preserve">mieszkańców </w:t>
      </w:r>
      <w:r w:rsidR="008C781A">
        <w:rPr>
          <w:rFonts w:ascii="Times New Roman" w:hAnsi="Times New Roman" w:cs="Times New Roman"/>
        </w:rPr>
        <w:t xml:space="preserve">dla </w:t>
      </w:r>
      <w:r w:rsidR="00921B8A">
        <w:rPr>
          <w:rFonts w:ascii="Times New Roman" w:hAnsi="Times New Roman" w:cs="Times New Roman"/>
        </w:rPr>
        <w:t xml:space="preserve">tych </w:t>
      </w:r>
      <w:r w:rsidR="008C781A">
        <w:rPr>
          <w:rFonts w:ascii="Times New Roman" w:hAnsi="Times New Roman" w:cs="Times New Roman"/>
        </w:rPr>
        <w:t xml:space="preserve">samorządów, których dochody są znacznie powyżej średniej </w:t>
      </w:r>
      <w:r w:rsidR="00921B8A">
        <w:rPr>
          <w:rFonts w:ascii="Times New Roman" w:hAnsi="Times New Roman" w:cs="Times New Roman"/>
        </w:rPr>
        <w:t xml:space="preserve">krajowej </w:t>
      </w:r>
      <w:r w:rsidR="008C781A">
        <w:rPr>
          <w:rFonts w:ascii="Times New Roman" w:hAnsi="Times New Roman" w:cs="Times New Roman"/>
        </w:rPr>
        <w:t>i nie otrzymują części wyrównawczej subwencji ogólnej.</w:t>
      </w:r>
      <w:r w:rsidR="00DE22EE">
        <w:rPr>
          <w:rFonts w:ascii="Times New Roman" w:hAnsi="Times New Roman" w:cs="Times New Roman"/>
        </w:rPr>
        <w:t xml:space="preserve"> Zmniejszenie środków będzie dotyczyło głównie samorządów położonych na przedmieściach dużych aglomeracji miejskich.</w:t>
      </w:r>
    </w:p>
    <w:p w14:paraId="3268B417" w14:textId="77777777" w:rsidR="00E519EA" w:rsidRDefault="00E519EA" w:rsidP="00207060">
      <w:pPr>
        <w:pStyle w:val="Akapitzlist"/>
        <w:spacing w:after="160"/>
        <w:ind w:left="284"/>
        <w:jc w:val="both"/>
        <w:rPr>
          <w:rFonts w:ascii="Times New Roman" w:hAnsi="Times New Roman"/>
        </w:rPr>
      </w:pPr>
    </w:p>
    <w:p w14:paraId="23B730F3" w14:textId="084C4728" w:rsidR="00AF7130" w:rsidRDefault="00AF7130" w:rsidP="00207060">
      <w:pPr>
        <w:pStyle w:val="Akapitzlist"/>
        <w:spacing w:after="1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</w:t>
      </w:r>
      <w:r w:rsidR="00BB15A5">
        <w:rPr>
          <w:rFonts w:ascii="Times New Roman" w:hAnsi="Times New Roman"/>
        </w:rPr>
        <w:t xml:space="preserve"> ww.</w:t>
      </w:r>
      <w:r>
        <w:rPr>
          <w:rFonts w:ascii="Times New Roman" w:hAnsi="Times New Roman"/>
        </w:rPr>
        <w:t xml:space="preserve"> dwóch wag zostaną naliczone środki w </w:t>
      </w:r>
      <w:r w:rsidR="00BB15A5">
        <w:rPr>
          <w:rFonts w:ascii="Times New Roman" w:hAnsi="Times New Roman"/>
        </w:rPr>
        <w:t xml:space="preserve">łącznej </w:t>
      </w:r>
      <w:r>
        <w:rPr>
          <w:rFonts w:ascii="Times New Roman" w:hAnsi="Times New Roman"/>
        </w:rPr>
        <w:t xml:space="preserve">wysokości ok. </w:t>
      </w:r>
      <w:r w:rsidRPr="005045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mld</w:t>
      </w:r>
      <w:r w:rsidRPr="00504523">
        <w:rPr>
          <w:rFonts w:ascii="Times New Roman" w:hAnsi="Times New Roman"/>
        </w:rPr>
        <w:t xml:space="preserve"> 219</w:t>
      </w:r>
      <w:r>
        <w:rPr>
          <w:rFonts w:ascii="Times New Roman" w:hAnsi="Times New Roman"/>
        </w:rPr>
        <w:t xml:space="preserve"> mln zł, w tym wagą P</w:t>
      </w:r>
      <w:r w:rsidRPr="00504523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</w:t>
      </w:r>
      <w:r w:rsidR="00BB15A5">
        <w:rPr>
          <w:rFonts w:ascii="Times New Roman" w:hAnsi="Times New Roman"/>
        </w:rPr>
        <w:t xml:space="preserve">– </w:t>
      </w:r>
      <w:r w:rsidRPr="005045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mld </w:t>
      </w:r>
      <w:r w:rsidRPr="00504523">
        <w:rPr>
          <w:rFonts w:ascii="Times New Roman" w:hAnsi="Times New Roman"/>
        </w:rPr>
        <w:t>1</w:t>
      </w:r>
      <w:r>
        <w:rPr>
          <w:rFonts w:ascii="Times New Roman" w:hAnsi="Times New Roman"/>
        </w:rPr>
        <w:t>22 mln zł, tj. 97% i wagą P</w:t>
      </w:r>
      <w:r w:rsidRPr="0050452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 w:rsidR="00BB15A5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97 mln zł, tj. 3%.</w:t>
      </w:r>
      <w:r w:rsidR="00E519EA">
        <w:rPr>
          <w:rFonts w:ascii="Times New Roman" w:hAnsi="Times New Roman"/>
        </w:rPr>
        <w:t xml:space="preserve"> </w:t>
      </w:r>
      <w:r w:rsidRPr="00E519EA">
        <w:rPr>
          <w:rFonts w:ascii="Times New Roman" w:hAnsi="Times New Roman"/>
        </w:rPr>
        <w:t>W odniesieniu do liczby uczniów wagi te zostaną naliczone na ok</w:t>
      </w:r>
      <w:r w:rsidR="00B176DA">
        <w:rPr>
          <w:rFonts w:ascii="Times New Roman" w:hAnsi="Times New Roman"/>
        </w:rPr>
        <w:t>.</w:t>
      </w:r>
      <w:r w:rsidRPr="00E519EA">
        <w:rPr>
          <w:rFonts w:ascii="Times New Roman" w:hAnsi="Times New Roman"/>
        </w:rPr>
        <w:t xml:space="preserve"> 1 mln 261 tys., w tym wagą P</w:t>
      </w:r>
      <w:r w:rsidRPr="00E519EA">
        <w:rPr>
          <w:rFonts w:ascii="Times New Roman" w:hAnsi="Times New Roman"/>
          <w:vertAlign w:val="subscript"/>
        </w:rPr>
        <w:t>1</w:t>
      </w:r>
      <w:r w:rsidRPr="00E519EA">
        <w:rPr>
          <w:rFonts w:ascii="Times New Roman" w:hAnsi="Times New Roman"/>
        </w:rPr>
        <w:t xml:space="preserve"> </w:t>
      </w:r>
      <w:r w:rsidR="00822F30">
        <w:rPr>
          <w:rFonts w:ascii="Times New Roman" w:hAnsi="Times New Roman"/>
        </w:rPr>
        <w:t xml:space="preserve">– </w:t>
      </w:r>
      <w:r w:rsidRPr="00E519EA">
        <w:rPr>
          <w:rFonts w:ascii="Times New Roman" w:hAnsi="Times New Roman"/>
        </w:rPr>
        <w:t>1 mln 184 tys. uczniów, tj. 94% i wagą P</w:t>
      </w:r>
      <w:r w:rsidRPr="00E519EA">
        <w:rPr>
          <w:rFonts w:ascii="Times New Roman" w:hAnsi="Times New Roman"/>
          <w:vertAlign w:val="subscript"/>
        </w:rPr>
        <w:t>2</w:t>
      </w:r>
      <w:r w:rsidRPr="00E519EA">
        <w:rPr>
          <w:rFonts w:ascii="Times New Roman" w:hAnsi="Times New Roman"/>
        </w:rPr>
        <w:t xml:space="preserve"> </w:t>
      </w:r>
      <w:r w:rsidR="00822F30">
        <w:rPr>
          <w:rFonts w:ascii="Times New Roman" w:hAnsi="Times New Roman"/>
        </w:rPr>
        <w:t xml:space="preserve">– </w:t>
      </w:r>
      <w:r w:rsidRPr="00E519EA">
        <w:rPr>
          <w:rFonts w:ascii="Times New Roman" w:hAnsi="Times New Roman"/>
        </w:rPr>
        <w:t>78 tys. uczniów, tj. 6% uczniów.</w:t>
      </w:r>
    </w:p>
    <w:p w14:paraId="02B654C4" w14:textId="483930A7" w:rsidR="00AD250F" w:rsidRDefault="00AD250F" w:rsidP="00716B86">
      <w:pPr>
        <w:pStyle w:val="Akapitzlist"/>
        <w:spacing w:after="160"/>
        <w:ind w:left="426"/>
        <w:jc w:val="both"/>
        <w:rPr>
          <w:rFonts w:ascii="Times New Roman" w:hAnsi="Times New Roman"/>
        </w:rPr>
      </w:pPr>
    </w:p>
    <w:p w14:paraId="550C5EBE" w14:textId="5B6111F6" w:rsidR="00AD250F" w:rsidRPr="00D32755" w:rsidRDefault="00AD250F" w:rsidP="00207060">
      <w:pPr>
        <w:pStyle w:val="Akapitzlist"/>
        <w:spacing w:after="16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przy liczeniu wskaźników zamożności </w:t>
      </w:r>
      <w:r>
        <w:rPr>
          <w:rFonts w:ascii="Times New Roman" w:hAnsi="Times New Roman" w:cs="Times New Roman"/>
        </w:rPr>
        <w:t>w zakresie wagi P</w:t>
      </w:r>
      <w:r w:rsidRPr="009763B4">
        <w:rPr>
          <w:rFonts w:ascii="Times New Roman" w:hAnsi="Times New Roman" w:cs="Times New Roman"/>
          <w:vertAlign w:val="subscript"/>
        </w:rPr>
        <w:t>1</w:t>
      </w:r>
      <w:r w:rsidR="00716B8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P</w:t>
      </w:r>
      <w:r w:rsidRPr="009763B4">
        <w:rPr>
          <w:rFonts w:ascii="Times New Roman" w:hAnsi="Times New Roman" w:cs="Times New Roman"/>
          <w:vertAlign w:val="subscript"/>
        </w:rPr>
        <w:t>2</w:t>
      </w:r>
      <w:r w:rsidR="00D32755">
        <w:rPr>
          <w:rFonts w:ascii="Times New Roman" w:hAnsi="Times New Roman" w:cs="Times New Roman"/>
          <w:vertAlign w:val="subscript"/>
        </w:rPr>
        <w:t xml:space="preserve"> </w:t>
      </w:r>
      <w:r w:rsidR="00D32755">
        <w:rPr>
          <w:rFonts w:ascii="Times New Roman" w:hAnsi="Times New Roman" w:cs="Times New Roman"/>
        </w:rPr>
        <w:t>uwzględnione zostaną dane dotyczące roku 2022, podobnie jak w przypadku wagi P</w:t>
      </w:r>
      <w:r w:rsidR="00D32755" w:rsidRPr="00FA2FE6">
        <w:rPr>
          <w:rFonts w:ascii="Times New Roman" w:hAnsi="Times New Roman" w:cs="Times New Roman"/>
          <w:vertAlign w:val="subscript"/>
        </w:rPr>
        <w:t>3</w:t>
      </w:r>
      <w:r w:rsidR="00D32755" w:rsidRPr="00D32755">
        <w:rPr>
          <w:rFonts w:ascii="Times New Roman" w:hAnsi="Times New Roman" w:cs="Times New Roman"/>
        </w:rPr>
        <w:t>.</w:t>
      </w:r>
    </w:p>
    <w:p w14:paraId="09912A80" w14:textId="4BC82F92" w:rsidR="009763B4" w:rsidRDefault="009763B4" w:rsidP="009763B4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1751C49B" w14:textId="7BF00B43" w:rsidR="00FA2FE6" w:rsidRDefault="00FA2FE6" w:rsidP="00B62EFB">
      <w:pPr>
        <w:pStyle w:val="Akapitzlist"/>
        <w:numPr>
          <w:ilvl w:val="0"/>
          <w:numId w:val="12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sposobu liczenia wskaźników zamożności w zakresie wagi P</w:t>
      </w:r>
      <w:r w:rsidRPr="00FA2FE6">
        <w:rPr>
          <w:rFonts w:ascii="Times New Roman" w:hAnsi="Times New Roman" w:cs="Times New Roman"/>
          <w:vertAlign w:val="subscript"/>
        </w:rPr>
        <w:t>3</w:t>
      </w:r>
      <w:r w:rsidR="00716B86" w:rsidRPr="00D32755">
        <w:rPr>
          <w:rFonts w:ascii="Times New Roman" w:hAnsi="Times New Roman" w:cs="Times New Roman"/>
        </w:rPr>
        <w:t>.</w:t>
      </w:r>
    </w:p>
    <w:p w14:paraId="356465EB" w14:textId="77777777" w:rsidR="00FD3104" w:rsidRDefault="00FD3104" w:rsidP="009E0372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6F8CB61E" w14:textId="7F2EA856" w:rsidR="00FA2FE6" w:rsidRDefault="00FA2FE6" w:rsidP="009E0372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liczenia wskaźników uwzględnione zostaną dane dotycząc</w:t>
      </w:r>
      <w:r w:rsidR="00270BB5">
        <w:rPr>
          <w:rFonts w:ascii="Times New Roman" w:hAnsi="Times New Roman" w:cs="Times New Roman"/>
        </w:rPr>
        <w:t>e roku 2022. Takie rozwiązanie jest spójne ze sposobem podziału części oświatowej subwencji ogólnej, które dotyczy roku 2022.</w:t>
      </w:r>
      <w:r w:rsidR="009E0372">
        <w:rPr>
          <w:rFonts w:ascii="Times New Roman" w:hAnsi="Times New Roman" w:cs="Times New Roman"/>
        </w:rPr>
        <w:t xml:space="preserve"> Dodatkowo zastosowanie nowego sposobu liczenia wskaźników wynika ze zmian </w:t>
      </w:r>
      <w:r w:rsidR="00907A1E">
        <w:rPr>
          <w:rFonts w:ascii="Times New Roman" w:hAnsi="Times New Roman" w:cs="Times New Roman"/>
        </w:rPr>
        <w:t xml:space="preserve">wprowadzonych ustawą </w:t>
      </w:r>
      <w:r w:rsidR="00907A1E" w:rsidRPr="009E0372">
        <w:rPr>
          <w:rFonts w:ascii="Times New Roman" w:hAnsi="Times New Roman" w:cs="Times New Roman"/>
        </w:rPr>
        <w:t>z dnia 14 października 2021 r.</w:t>
      </w:r>
      <w:r w:rsidR="00907A1E">
        <w:rPr>
          <w:rFonts w:ascii="Times New Roman" w:hAnsi="Times New Roman" w:cs="Times New Roman"/>
        </w:rPr>
        <w:t xml:space="preserve"> </w:t>
      </w:r>
      <w:r w:rsidR="00907A1E" w:rsidRPr="009E0372">
        <w:rPr>
          <w:rFonts w:ascii="Times New Roman" w:hAnsi="Times New Roman" w:cs="Times New Roman"/>
        </w:rPr>
        <w:t>o zmianie ustawy o dochodach jednostek samorządu terytorialne</w:t>
      </w:r>
      <w:r w:rsidR="00907A1E">
        <w:rPr>
          <w:rFonts w:ascii="Times New Roman" w:hAnsi="Times New Roman" w:cs="Times New Roman"/>
        </w:rPr>
        <w:t xml:space="preserve">go oraz niektórych innych ustaw (Dz. U. poz. 1927) </w:t>
      </w:r>
      <w:r w:rsidR="009E0372">
        <w:rPr>
          <w:rFonts w:ascii="Times New Roman" w:hAnsi="Times New Roman" w:cs="Times New Roman"/>
        </w:rPr>
        <w:t>w zakresie dochodów samorządów</w:t>
      </w:r>
      <w:r w:rsidR="00907A1E">
        <w:rPr>
          <w:rFonts w:ascii="Times New Roman" w:hAnsi="Times New Roman" w:cs="Times New Roman"/>
        </w:rPr>
        <w:t>.</w:t>
      </w:r>
    </w:p>
    <w:p w14:paraId="1661106B" w14:textId="77777777" w:rsidR="00716B86" w:rsidRPr="009E0372" w:rsidRDefault="00716B86" w:rsidP="009E0372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1C729AED" w14:textId="50A8DA24" w:rsidR="00716B86" w:rsidRPr="00A663F4" w:rsidRDefault="00FA2FE6" w:rsidP="00A663F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6B86" w:rsidRPr="00DC5506">
        <w:rPr>
          <w:rFonts w:ascii="Times New Roman" w:hAnsi="Times New Roman" w:cs="Times New Roman"/>
        </w:rPr>
        <w:t>Podwyższenie wartości wagi P</w:t>
      </w:r>
      <w:r w:rsidR="00716B86">
        <w:rPr>
          <w:rFonts w:ascii="Times New Roman" w:hAnsi="Times New Roman" w:cs="Times New Roman"/>
          <w:vertAlign w:val="subscript"/>
        </w:rPr>
        <w:t>3</w:t>
      </w:r>
      <w:r w:rsidR="00716B86" w:rsidRPr="00DC5506">
        <w:rPr>
          <w:rFonts w:ascii="Times New Roman" w:hAnsi="Times New Roman" w:cs="Times New Roman"/>
        </w:rPr>
        <w:t xml:space="preserve"> (waga z uwzględnieniem zamożności </w:t>
      </w:r>
      <w:r w:rsidR="00716B86">
        <w:rPr>
          <w:rFonts w:ascii="Times New Roman" w:hAnsi="Times New Roman" w:cs="Times New Roman"/>
        </w:rPr>
        <w:t>JST</w:t>
      </w:r>
      <w:r w:rsidR="00716B86" w:rsidRPr="00DC5506">
        <w:rPr>
          <w:rFonts w:ascii="Times New Roman" w:hAnsi="Times New Roman" w:cs="Times New Roman"/>
        </w:rPr>
        <w:t xml:space="preserve"> i wielkości szkoły) z poziomu 0,15 do 0,25, tj. o 67%</w:t>
      </w:r>
      <w:r w:rsidR="00716B86">
        <w:rPr>
          <w:rFonts w:ascii="Times New Roman" w:hAnsi="Times New Roman" w:cs="Times New Roman"/>
        </w:rPr>
        <w:t>.</w:t>
      </w:r>
    </w:p>
    <w:p w14:paraId="1C5193A4" w14:textId="77777777" w:rsidR="00FD3104" w:rsidRDefault="00FD3104" w:rsidP="00716B8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3AE2AB2" w14:textId="2E4D06E3" w:rsidR="00716B86" w:rsidRDefault="00716B86" w:rsidP="00716B8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3CDA">
        <w:rPr>
          <w:rFonts w:ascii="Times New Roman" w:hAnsi="Times New Roman" w:cs="Times New Roman"/>
        </w:rPr>
        <w:t>Podwyższenie wartości wagi P</w:t>
      </w:r>
      <w:r>
        <w:rPr>
          <w:rFonts w:ascii="Times New Roman" w:hAnsi="Times New Roman" w:cs="Times New Roman"/>
          <w:vertAlign w:val="subscript"/>
        </w:rPr>
        <w:t>3</w:t>
      </w:r>
      <w:r w:rsidRPr="00043CDA">
        <w:rPr>
          <w:rFonts w:ascii="Times New Roman" w:hAnsi="Times New Roman" w:cs="Times New Roman"/>
        </w:rPr>
        <w:t xml:space="preserve"> przełoży się na wzrost subwencji </w:t>
      </w:r>
      <w:r>
        <w:rPr>
          <w:rFonts w:ascii="Times New Roman" w:hAnsi="Times New Roman" w:cs="Times New Roman"/>
        </w:rPr>
        <w:t xml:space="preserve">oświatowej </w:t>
      </w:r>
      <w:r w:rsidRPr="00043CDA">
        <w:rPr>
          <w:rFonts w:ascii="Times New Roman" w:hAnsi="Times New Roman" w:cs="Times New Roman"/>
        </w:rPr>
        <w:t xml:space="preserve">na ucznia z poziomu ok. </w:t>
      </w:r>
      <w:r w:rsidRPr="00F5044F">
        <w:rPr>
          <w:rFonts w:ascii="Times New Roman" w:hAnsi="Times New Roman" w:cs="Times New Roman"/>
        </w:rPr>
        <w:t>988 zł do 1650 zł. Celem tych zmian jest dalsze wzmocnienie wsparcia szkół w zależności od zamożności</w:t>
      </w:r>
      <w:r w:rsidRPr="00043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JST</w:t>
      </w:r>
      <w:r w:rsidRPr="00043CDA">
        <w:rPr>
          <w:rFonts w:ascii="Times New Roman" w:hAnsi="Times New Roman" w:cs="Times New Roman"/>
        </w:rPr>
        <w:t xml:space="preserve"> i wielkości szkoły. Obecnie duże wsparcie w subwencji</w:t>
      </w:r>
      <w:r>
        <w:rPr>
          <w:rFonts w:ascii="Times New Roman" w:hAnsi="Times New Roman" w:cs="Times New Roman"/>
        </w:rPr>
        <w:t xml:space="preserve"> oświatowej jest</w:t>
      </w:r>
      <w:r w:rsidRPr="00043CDA">
        <w:rPr>
          <w:rFonts w:ascii="Times New Roman" w:hAnsi="Times New Roman" w:cs="Times New Roman"/>
        </w:rPr>
        <w:t xml:space="preserve"> kierowane do szkół położonych na </w:t>
      </w:r>
      <w:r w:rsidR="007701AB">
        <w:rPr>
          <w:rFonts w:ascii="Times New Roman" w:hAnsi="Times New Roman" w:cs="Times New Roman"/>
        </w:rPr>
        <w:t xml:space="preserve">terenach </w:t>
      </w:r>
      <w:r w:rsidRPr="00043CDA">
        <w:rPr>
          <w:rFonts w:ascii="Times New Roman" w:hAnsi="Times New Roman" w:cs="Times New Roman"/>
        </w:rPr>
        <w:t>w</w:t>
      </w:r>
      <w:r w:rsidR="007701AB">
        <w:rPr>
          <w:rFonts w:ascii="Times New Roman" w:hAnsi="Times New Roman" w:cs="Times New Roman"/>
        </w:rPr>
        <w:t>iejskich</w:t>
      </w:r>
      <w:r w:rsidRPr="00043CDA">
        <w:rPr>
          <w:rFonts w:ascii="Times New Roman" w:hAnsi="Times New Roman" w:cs="Times New Roman"/>
        </w:rPr>
        <w:t xml:space="preserve"> i w miastach do 5 tys. mieszkańców. Położenie szkoły na </w:t>
      </w:r>
      <w:r w:rsidR="007701AB">
        <w:rPr>
          <w:rFonts w:ascii="Times New Roman" w:hAnsi="Times New Roman" w:cs="Times New Roman"/>
        </w:rPr>
        <w:t>ternie wiejskim</w:t>
      </w:r>
      <w:r w:rsidRPr="00043CDA">
        <w:rPr>
          <w:rFonts w:ascii="Times New Roman" w:hAnsi="Times New Roman" w:cs="Times New Roman"/>
        </w:rPr>
        <w:t xml:space="preserve"> czy w małym mieście nie musi zawsze wiązać się z tym, że jest to mała szkoła (jednociągowa)</w:t>
      </w:r>
      <w:r w:rsidR="001122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</w:t>
      </w:r>
      <w:r w:rsidR="007F1DFB">
        <w:rPr>
          <w:rFonts w:ascii="Times New Roman" w:hAnsi="Times New Roman" w:cs="Times New Roman"/>
        </w:rPr>
        <w:t xml:space="preserve">z definicją określoną w </w:t>
      </w:r>
      <w:r w:rsidRPr="00637CF9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1 ust. 2 pkt 12 przedmiotowego projektu rozporządze</w:t>
      </w:r>
      <w:r w:rsidR="00A663F4">
        <w:rPr>
          <w:rFonts w:ascii="Times New Roman" w:hAnsi="Times New Roman" w:cs="Times New Roman"/>
        </w:rPr>
        <w:t>nia.</w:t>
      </w:r>
      <w:r w:rsidRPr="00043CDA">
        <w:rPr>
          <w:rFonts w:ascii="Times New Roman" w:hAnsi="Times New Roman" w:cs="Times New Roman"/>
        </w:rPr>
        <w:t xml:space="preserve"> Jednocześnie szkoły w miastach </w:t>
      </w:r>
      <w:r w:rsidRPr="00043CDA">
        <w:rPr>
          <w:rFonts w:ascii="Times New Roman" w:hAnsi="Times New Roman" w:cs="Times New Roman"/>
        </w:rPr>
        <w:lastRenderedPageBreak/>
        <w:t xml:space="preserve">powyżej 5 tys. mieszkańców z małą liczebnością uczniów nie otrzymują dodatkowych środków w subwencji </w:t>
      </w:r>
      <w:r>
        <w:rPr>
          <w:rFonts w:ascii="Times New Roman" w:hAnsi="Times New Roman" w:cs="Times New Roman"/>
        </w:rPr>
        <w:t xml:space="preserve">oświatowej </w:t>
      </w:r>
      <w:r w:rsidRPr="00043CDA">
        <w:rPr>
          <w:rFonts w:ascii="Times New Roman" w:hAnsi="Times New Roman" w:cs="Times New Roman"/>
        </w:rPr>
        <w:t>związanych z </w:t>
      </w:r>
      <w:r w:rsidR="0011220F">
        <w:rPr>
          <w:rFonts w:ascii="Times New Roman" w:hAnsi="Times New Roman" w:cs="Times New Roman"/>
        </w:rPr>
        <w:t xml:space="preserve">ich </w:t>
      </w:r>
      <w:r w:rsidRPr="00043CDA">
        <w:rPr>
          <w:rFonts w:ascii="Times New Roman" w:hAnsi="Times New Roman" w:cs="Times New Roman"/>
        </w:rPr>
        <w:t>położeniem.</w:t>
      </w:r>
    </w:p>
    <w:p w14:paraId="5B5C6954" w14:textId="08819DBB" w:rsidR="00FA2FE6" w:rsidRDefault="00FA2FE6" w:rsidP="00FA2FE6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4BD11488" w14:textId="4DB79812" w:rsidR="00043CDA" w:rsidRDefault="000C4A1D" w:rsidP="00B62EFB">
      <w:pPr>
        <w:pStyle w:val="Akapitzlist"/>
        <w:numPr>
          <w:ilvl w:val="0"/>
          <w:numId w:val="12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759F">
        <w:rPr>
          <w:rFonts w:ascii="Times New Roman" w:hAnsi="Times New Roman" w:cs="Times New Roman"/>
        </w:rPr>
        <w:t>Zmiana w finansowaniu szkół</w:t>
      </w:r>
      <w:r w:rsidR="00B30C12" w:rsidRPr="0062759F">
        <w:rPr>
          <w:rFonts w:ascii="Times New Roman" w:hAnsi="Times New Roman" w:cs="Times New Roman"/>
        </w:rPr>
        <w:t>, w których</w:t>
      </w:r>
      <w:r w:rsidRPr="0062759F">
        <w:rPr>
          <w:rFonts w:ascii="Times New Roman" w:hAnsi="Times New Roman" w:cs="Times New Roman"/>
        </w:rPr>
        <w:t xml:space="preserve"> nie</w:t>
      </w:r>
      <w:r w:rsidR="00B30C12" w:rsidRPr="0062759F">
        <w:rPr>
          <w:rFonts w:ascii="Times New Roman" w:hAnsi="Times New Roman" w:cs="Times New Roman"/>
        </w:rPr>
        <w:t xml:space="preserve"> jest </w:t>
      </w:r>
      <w:r w:rsidRPr="0062759F">
        <w:rPr>
          <w:rFonts w:ascii="Times New Roman" w:hAnsi="Times New Roman" w:cs="Times New Roman"/>
        </w:rPr>
        <w:t>realiz</w:t>
      </w:r>
      <w:r w:rsidR="00B30C12" w:rsidRPr="0062759F">
        <w:rPr>
          <w:rFonts w:ascii="Times New Roman" w:hAnsi="Times New Roman" w:cs="Times New Roman"/>
        </w:rPr>
        <w:t>owany</w:t>
      </w:r>
      <w:r w:rsidRPr="0062759F">
        <w:rPr>
          <w:rFonts w:ascii="Times New Roman" w:hAnsi="Times New Roman" w:cs="Times New Roman"/>
        </w:rPr>
        <w:t xml:space="preserve"> obowiąz</w:t>
      </w:r>
      <w:r w:rsidR="00B30C12" w:rsidRPr="0062759F">
        <w:rPr>
          <w:rFonts w:ascii="Times New Roman" w:hAnsi="Times New Roman" w:cs="Times New Roman"/>
        </w:rPr>
        <w:t>e</w:t>
      </w:r>
      <w:r w:rsidRPr="0062759F">
        <w:rPr>
          <w:rFonts w:ascii="Times New Roman" w:hAnsi="Times New Roman" w:cs="Times New Roman"/>
        </w:rPr>
        <w:t>k szkoln</w:t>
      </w:r>
      <w:r w:rsidR="00B30C12" w:rsidRPr="0062759F">
        <w:rPr>
          <w:rFonts w:ascii="Times New Roman" w:hAnsi="Times New Roman" w:cs="Times New Roman"/>
        </w:rPr>
        <w:t>y lub obowiązek</w:t>
      </w:r>
      <w:r w:rsidRPr="0062759F">
        <w:rPr>
          <w:rFonts w:ascii="Times New Roman" w:hAnsi="Times New Roman" w:cs="Times New Roman"/>
        </w:rPr>
        <w:t xml:space="preserve"> nauki (licea ogólnokształcące dla dorosłych oraz szkoły policealne, w tym </w:t>
      </w:r>
      <w:r w:rsidR="00B30C12" w:rsidRPr="0062759F">
        <w:rPr>
          <w:rFonts w:ascii="Times New Roman" w:hAnsi="Times New Roman" w:cs="Times New Roman"/>
        </w:rPr>
        <w:t xml:space="preserve">kształcące w formie </w:t>
      </w:r>
      <w:r w:rsidRPr="0062759F">
        <w:rPr>
          <w:rFonts w:ascii="Times New Roman" w:hAnsi="Times New Roman" w:cs="Times New Roman"/>
        </w:rPr>
        <w:t>dzienne</w:t>
      </w:r>
      <w:r w:rsidR="00B30C12" w:rsidRPr="0062759F">
        <w:rPr>
          <w:rFonts w:ascii="Times New Roman" w:hAnsi="Times New Roman" w:cs="Times New Roman"/>
        </w:rPr>
        <w:t>j</w:t>
      </w:r>
      <w:r w:rsidRPr="0062759F">
        <w:rPr>
          <w:rFonts w:ascii="Times New Roman" w:hAnsi="Times New Roman" w:cs="Times New Roman"/>
        </w:rPr>
        <w:t>)</w:t>
      </w:r>
      <w:r w:rsidR="009A5492" w:rsidRPr="0062759F">
        <w:rPr>
          <w:rFonts w:ascii="Times New Roman" w:hAnsi="Times New Roman" w:cs="Times New Roman"/>
        </w:rPr>
        <w:t>,</w:t>
      </w:r>
      <w:r w:rsidRPr="0062759F">
        <w:rPr>
          <w:rFonts w:ascii="Times New Roman" w:hAnsi="Times New Roman" w:cs="Times New Roman"/>
        </w:rPr>
        <w:t xml:space="preserve"> </w:t>
      </w:r>
      <w:r w:rsidR="00C86116" w:rsidRPr="0062759F">
        <w:rPr>
          <w:rFonts w:ascii="Times New Roman" w:hAnsi="Times New Roman" w:cs="Times New Roman"/>
        </w:rPr>
        <w:t xml:space="preserve">oraz kwalifikacyjnych kursów zawodowych </w:t>
      </w:r>
      <w:r w:rsidRPr="0062759F">
        <w:rPr>
          <w:rFonts w:ascii="Times New Roman" w:hAnsi="Times New Roman" w:cs="Times New Roman"/>
        </w:rPr>
        <w:t>w ramach subwencji</w:t>
      </w:r>
      <w:r w:rsidR="008078D6" w:rsidRPr="0062759F">
        <w:rPr>
          <w:rFonts w:ascii="Times New Roman" w:hAnsi="Times New Roman" w:cs="Times New Roman"/>
        </w:rPr>
        <w:t xml:space="preserve"> oświatowej</w:t>
      </w:r>
      <w:r w:rsidRPr="0062759F">
        <w:rPr>
          <w:rFonts w:ascii="Times New Roman" w:hAnsi="Times New Roman" w:cs="Times New Roman"/>
        </w:rPr>
        <w:t xml:space="preserve">. </w:t>
      </w:r>
    </w:p>
    <w:p w14:paraId="5660FCC4" w14:textId="77777777" w:rsidR="0062759F" w:rsidRPr="0062759F" w:rsidRDefault="0062759F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1DAC49FC" w14:textId="496B277C" w:rsidR="00011835" w:rsidRDefault="0062759F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62759F">
        <w:rPr>
          <w:rFonts w:ascii="Times New Roman" w:hAnsi="Times New Roman" w:cs="Times New Roman"/>
        </w:rPr>
        <w:t xml:space="preserve">W roku 2022 </w:t>
      </w:r>
      <w:r w:rsidR="00E57CEE">
        <w:rPr>
          <w:rFonts w:ascii="Times New Roman" w:hAnsi="Times New Roman" w:cs="Times New Roman"/>
        </w:rPr>
        <w:t>kontynuowane są rozwiązania projakościowe</w:t>
      </w:r>
      <w:r w:rsidRPr="0062759F">
        <w:rPr>
          <w:rFonts w:ascii="Times New Roman" w:hAnsi="Times New Roman" w:cs="Times New Roman"/>
        </w:rPr>
        <w:t xml:space="preserve"> </w:t>
      </w:r>
      <w:r w:rsidR="00E57CEE">
        <w:rPr>
          <w:rFonts w:ascii="Times New Roman" w:hAnsi="Times New Roman" w:cs="Times New Roman"/>
        </w:rPr>
        <w:t xml:space="preserve">w zakresie </w:t>
      </w:r>
      <w:r w:rsidR="00E44D24" w:rsidRPr="00E44D24">
        <w:rPr>
          <w:rFonts w:ascii="Times New Roman" w:hAnsi="Times New Roman" w:cs="Times New Roman"/>
        </w:rPr>
        <w:t>szkół, w których nie jest realizowany obowiązek szkolny lub obowiązek nauki</w:t>
      </w:r>
      <w:r w:rsidR="00D24724">
        <w:rPr>
          <w:rFonts w:ascii="Times New Roman" w:hAnsi="Times New Roman" w:cs="Times New Roman"/>
        </w:rPr>
        <w:t>,</w:t>
      </w:r>
      <w:r w:rsidR="00E44D24" w:rsidRPr="00E44D24">
        <w:rPr>
          <w:rFonts w:ascii="Times New Roman" w:hAnsi="Times New Roman" w:cs="Times New Roman"/>
        </w:rPr>
        <w:t xml:space="preserve"> </w:t>
      </w:r>
      <w:r w:rsidR="00E57CEE">
        <w:rPr>
          <w:rFonts w:ascii="Times New Roman" w:hAnsi="Times New Roman" w:cs="Times New Roman"/>
        </w:rPr>
        <w:t>zapoczątkowane w poprzednich latach, tj.</w:t>
      </w:r>
      <w:r w:rsidR="000C4A1D" w:rsidRPr="0062759F">
        <w:rPr>
          <w:rFonts w:ascii="Times New Roman" w:hAnsi="Times New Roman" w:cs="Times New Roman"/>
        </w:rPr>
        <w:t xml:space="preserve"> </w:t>
      </w:r>
      <w:r w:rsidR="00E57CEE">
        <w:rPr>
          <w:rFonts w:ascii="Times New Roman" w:hAnsi="Times New Roman" w:cs="Times New Roman"/>
        </w:rPr>
        <w:t>zwiększenie</w:t>
      </w:r>
      <w:r w:rsidRPr="0062759F">
        <w:rPr>
          <w:rFonts w:ascii="Times New Roman" w:hAnsi="Times New Roman" w:cs="Times New Roman"/>
        </w:rPr>
        <w:t xml:space="preserve"> finansowania „za zdany egzamin” a zmniejszenie środków naliczanych „za uczestnictwo w zajęciach”</w:t>
      </w:r>
      <w:r w:rsidR="000C4A1D" w:rsidRPr="0062759F">
        <w:rPr>
          <w:rFonts w:ascii="Times New Roman" w:hAnsi="Times New Roman" w:cs="Times New Roman"/>
        </w:rPr>
        <w:t xml:space="preserve">. </w:t>
      </w:r>
      <w:r w:rsidR="009F709A">
        <w:rPr>
          <w:rFonts w:ascii="Times New Roman" w:hAnsi="Times New Roman" w:cs="Times New Roman"/>
        </w:rPr>
        <w:t>Przyjęcie takiego sposobu finansowania</w:t>
      </w:r>
      <w:r w:rsidRPr="0062759F">
        <w:rPr>
          <w:rFonts w:ascii="Times New Roman" w:hAnsi="Times New Roman" w:cs="Times New Roman"/>
        </w:rPr>
        <w:t xml:space="preserve"> premiuje</w:t>
      </w:r>
      <w:r w:rsidR="000C4A1D" w:rsidRPr="0062759F">
        <w:rPr>
          <w:rFonts w:ascii="Times New Roman" w:hAnsi="Times New Roman" w:cs="Times New Roman"/>
        </w:rPr>
        <w:t xml:space="preserve"> szkoły</w:t>
      </w:r>
      <w:r w:rsidR="009F709A">
        <w:rPr>
          <w:rFonts w:ascii="Times New Roman" w:hAnsi="Times New Roman" w:cs="Times New Roman"/>
        </w:rPr>
        <w:t>, w których uczniowie</w:t>
      </w:r>
      <w:r w:rsidR="00340464">
        <w:rPr>
          <w:rFonts w:ascii="Times New Roman" w:hAnsi="Times New Roman" w:cs="Times New Roman"/>
        </w:rPr>
        <w:t xml:space="preserve"> lub</w:t>
      </w:r>
      <w:r w:rsidR="009F709A">
        <w:rPr>
          <w:rFonts w:ascii="Times New Roman" w:hAnsi="Times New Roman" w:cs="Times New Roman"/>
        </w:rPr>
        <w:t xml:space="preserve"> słuchacze tych szkół osiągają </w:t>
      </w:r>
      <w:r w:rsidRPr="0062759F">
        <w:rPr>
          <w:rFonts w:ascii="Times New Roman" w:hAnsi="Times New Roman" w:cs="Times New Roman"/>
        </w:rPr>
        <w:t>wysoką zdawalnoś</w:t>
      </w:r>
      <w:r w:rsidR="009F709A">
        <w:rPr>
          <w:rFonts w:ascii="Times New Roman" w:hAnsi="Times New Roman" w:cs="Times New Roman"/>
        </w:rPr>
        <w:t>ć</w:t>
      </w:r>
      <w:r w:rsidRPr="0062759F">
        <w:rPr>
          <w:rFonts w:ascii="Times New Roman" w:hAnsi="Times New Roman" w:cs="Times New Roman"/>
        </w:rPr>
        <w:t xml:space="preserve"> egzaminów</w:t>
      </w:r>
      <w:r w:rsidR="009F709A">
        <w:rPr>
          <w:rFonts w:ascii="Times New Roman" w:hAnsi="Times New Roman" w:cs="Times New Roman"/>
        </w:rPr>
        <w:t xml:space="preserve"> zewnętrznych</w:t>
      </w:r>
      <w:r w:rsidR="000C4A1D" w:rsidRPr="0062759F">
        <w:rPr>
          <w:rFonts w:ascii="Times New Roman" w:hAnsi="Times New Roman" w:cs="Times New Roman"/>
        </w:rPr>
        <w:t>.</w:t>
      </w:r>
    </w:p>
    <w:p w14:paraId="511C4775" w14:textId="77777777" w:rsidR="00011835" w:rsidRDefault="00011835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0034FCBB" w14:textId="097F5851" w:rsidR="00011835" w:rsidRPr="00011835" w:rsidRDefault="00011835" w:rsidP="00011835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tego rozwiązania podwyższono wagę P</w:t>
      </w:r>
      <w:r w:rsidR="00C30DD9">
        <w:rPr>
          <w:rFonts w:ascii="Times New Roman" w:hAnsi="Times New Roman" w:cs="Times New Roman"/>
          <w:vertAlign w:val="subscript"/>
        </w:rPr>
        <w:t>1</w:t>
      </w:r>
      <w:r w:rsidR="0064340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za zdany egzamin </w:t>
      </w:r>
      <w:r w:rsidRPr="00011835">
        <w:rPr>
          <w:rFonts w:ascii="Times New Roman" w:hAnsi="Times New Roman" w:cs="Times New Roman"/>
        </w:rPr>
        <w:t xml:space="preserve">z wartości 0,36 na 0,4 </w:t>
      </w:r>
      <w:r>
        <w:rPr>
          <w:rFonts w:ascii="Times New Roman" w:hAnsi="Times New Roman" w:cs="Times New Roman"/>
        </w:rPr>
        <w:t xml:space="preserve">oraz </w:t>
      </w:r>
      <w:r w:rsidRPr="00011835">
        <w:rPr>
          <w:rFonts w:ascii="Times New Roman" w:hAnsi="Times New Roman" w:cs="Times New Roman"/>
        </w:rPr>
        <w:t>obniżono wskaźniki w części SOA:</w:t>
      </w:r>
    </w:p>
    <w:p w14:paraId="0BD03827" w14:textId="2ED68B47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g</w:t>
      </w:r>
      <w:r w:rsidRPr="00011835">
        <w:rPr>
          <w:rFonts w:ascii="Times New Roman" w:hAnsi="Times New Roman" w:cs="Times New Roman"/>
        </w:rPr>
        <w:t xml:space="preserve"> z wartości 0,08 na 0,07</w:t>
      </w:r>
      <w:r w:rsidR="00207060">
        <w:rPr>
          <w:rFonts w:ascii="Times New Roman" w:hAnsi="Times New Roman" w:cs="Times New Roman"/>
        </w:rPr>
        <w:t>;</w:t>
      </w:r>
    </w:p>
    <w:p w14:paraId="4E06D5B5" w14:textId="77A9E45A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h</w:t>
      </w:r>
      <w:r w:rsidRPr="00011835">
        <w:rPr>
          <w:rFonts w:ascii="Times New Roman" w:hAnsi="Times New Roman" w:cs="Times New Roman"/>
        </w:rPr>
        <w:t xml:space="preserve"> z wartości 0,14 na 0,12</w:t>
      </w:r>
      <w:r w:rsidR="00207060">
        <w:rPr>
          <w:rFonts w:ascii="Times New Roman" w:hAnsi="Times New Roman" w:cs="Times New Roman"/>
        </w:rPr>
        <w:t>;</w:t>
      </w:r>
    </w:p>
    <w:p w14:paraId="7741690B" w14:textId="4BAA4E6D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i</w:t>
      </w:r>
      <w:r w:rsidRPr="00011835">
        <w:rPr>
          <w:rFonts w:ascii="Times New Roman" w:hAnsi="Times New Roman" w:cs="Times New Roman"/>
        </w:rPr>
        <w:t xml:space="preserve"> z wartości 0,33 nas 0,30</w:t>
      </w:r>
      <w:r w:rsidR="00207060">
        <w:rPr>
          <w:rFonts w:ascii="Times New Roman" w:hAnsi="Times New Roman" w:cs="Times New Roman"/>
        </w:rPr>
        <w:t>;</w:t>
      </w:r>
    </w:p>
    <w:p w14:paraId="2367B5EC" w14:textId="5F8F7DA4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j</w:t>
      </w:r>
      <w:r w:rsidRPr="00011835">
        <w:rPr>
          <w:rFonts w:ascii="Times New Roman" w:hAnsi="Times New Roman" w:cs="Times New Roman"/>
        </w:rPr>
        <w:t xml:space="preserve"> z wartości 0,25 na 0,22</w:t>
      </w:r>
      <w:r w:rsidR="00207060">
        <w:rPr>
          <w:rFonts w:ascii="Times New Roman" w:hAnsi="Times New Roman" w:cs="Times New Roman"/>
        </w:rPr>
        <w:t>;</w:t>
      </w:r>
    </w:p>
    <w:p w14:paraId="5CBADA00" w14:textId="1ED3F8D0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k</w:t>
      </w:r>
      <w:r w:rsidRPr="00011835">
        <w:rPr>
          <w:rFonts w:ascii="Times New Roman" w:hAnsi="Times New Roman" w:cs="Times New Roman"/>
        </w:rPr>
        <w:t xml:space="preserve"> z wartości 0,90 na 0,81</w:t>
      </w:r>
      <w:r w:rsidR="00207060">
        <w:rPr>
          <w:rFonts w:ascii="Times New Roman" w:hAnsi="Times New Roman" w:cs="Times New Roman"/>
        </w:rPr>
        <w:t>;</w:t>
      </w:r>
    </w:p>
    <w:p w14:paraId="074A25D8" w14:textId="44FCFD2F" w:rsidR="00011835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wskaźnik S</w:t>
      </w:r>
      <w:r w:rsidRPr="00C341D5">
        <w:rPr>
          <w:rFonts w:ascii="Times New Roman" w:hAnsi="Times New Roman" w:cs="Times New Roman"/>
          <w:vertAlign w:val="subscript"/>
        </w:rPr>
        <w:t>l</w:t>
      </w:r>
      <w:r w:rsidRPr="00011835">
        <w:rPr>
          <w:rFonts w:ascii="Times New Roman" w:hAnsi="Times New Roman" w:cs="Times New Roman"/>
        </w:rPr>
        <w:t xml:space="preserve"> z wartości 0,45 na 0,39</w:t>
      </w:r>
      <w:r w:rsidR="00207060">
        <w:rPr>
          <w:rFonts w:ascii="Times New Roman" w:hAnsi="Times New Roman" w:cs="Times New Roman"/>
        </w:rPr>
        <w:t>;</w:t>
      </w:r>
    </w:p>
    <w:p w14:paraId="468881E0" w14:textId="25D13424" w:rsidR="0062759F" w:rsidRPr="00011835" w:rsidRDefault="00011835" w:rsidP="00F933AA">
      <w:pPr>
        <w:pStyle w:val="Akapitzlist"/>
        <w:numPr>
          <w:ilvl w:val="0"/>
          <w:numId w:val="16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11835">
        <w:rPr>
          <w:rFonts w:ascii="Times New Roman" w:hAnsi="Times New Roman" w:cs="Times New Roman"/>
        </w:rPr>
        <w:t>ponadto ze wskaźnika S</w:t>
      </w:r>
      <w:r w:rsidRPr="00C341D5">
        <w:rPr>
          <w:rFonts w:ascii="Times New Roman" w:hAnsi="Times New Roman" w:cs="Times New Roman"/>
          <w:vertAlign w:val="subscript"/>
        </w:rPr>
        <w:t>f</w:t>
      </w:r>
      <w:r w:rsidRPr="00011835">
        <w:rPr>
          <w:rFonts w:ascii="Times New Roman" w:hAnsi="Times New Roman" w:cs="Times New Roman"/>
        </w:rPr>
        <w:t xml:space="preserve"> wyłączono słuchaczy publicznych liceów ogólnokształcących dla dorosłych kształcących w formie stacjonarnej oraz publicznych szkół policealnych kształcących w formie stacjonarnej i objęto ich wskaźnikiem S</w:t>
      </w:r>
      <w:r w:rsidRPr="00C341D5">
        <w:rPr>
          <w:rFonts w:ascii="Times New Roman" w:hAnsi="Times New Roman" w:cs="Times New Roman"/>
          <w:vertAlign w:val="subscript"/>
        </w:rPr>
        <w:t>p</w:t>
      </w:r>
      <w:r w:rsidRPr="00011835">
        <w:rPr>
          <w:rFonts w:ascii="Times New Roman" w:hAnsi="Times New Roman" w:cs="Times New Roman"/>
        </w:rPr>
        <w:t xml:space="preserve"> o wartości 0,54.</w:t>
      </w:r>
    </w:p>
    <w:p w14:paraId="2D5FC878" w14:textId="3889C1B3" w:rsidR="0062759F" w:rsidRDefault="008614FF" w:rsidP="0062759F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8614FF">
        <w:rPr>
          <w:rFonts w:ascii="Times New Roman" w:hAnsi="Times New Roman" w:cs="Times New Roman"/>
        </w:rPr>
        <w:t xml:space="preserve">W przypadku </w:t>
      </w:r>
      <w:r w:rsidR="00D43451">
        <w:rPr>
          <w:rFonts w:ascii="Times New Roman" w:hAnsi="Times New Roman" w:cs="Times New Roman"/>
        </w:rPr>
        <w:t xml:space="preserve">kwalifikacyjnych kursów zawodowych </w:t>
      </w:r>
      <w:r w:rsidRPr="008614FF">
        <w:rPr>
          <w:rFonts w:ascii="Times New Roman" w:hAnsi="Times New Roman" w:cs="Times New Roman"/>
        </w:rPr>
        <w:t>obniżono obecną wagę P</w:t>
      </w:r>
      <w:r w:rsidR="00C341D5" w:rsidRPr="00C341D5">
        <w:rPr>
          <w:rFonts w:ascii="Times New Roman" w:hAnsi="Times New Roman" w:cs="Times New Roman"/>
          <w:vertAlign w:val="subscript"/>
        </w:rPr>
        <w:t>46</w:t>
      </w:r>
      <w:r w:rsidRPr="008614FF">
        <w:rPr>
          <w:rFonts w:ascii="Times New Roman" w:hAnsi="Times New Roman" w:cs="Times New Roman"/>
        </w:rPr>
        <w:t xml:space="preserve"> z 0,4 na 0,36 (publiczne) oraz </w:t>
      </w:r>
      <w:r w:rsidR="00C341D5">
        <w:rPr>
          <w:rFonts w:ascii="Times New Roman" w:hAnsi="Times New Roman" w:cs="Times New Roman"/>
        </w:rPr>
        <w:t>P</w:t>
      </w:r>
      <w:r w:rsidR="00C341D5" w:rsidRPr="00C341D5">
        <w:rPr>
          <w:rFonts w:ascii="Times New Roman" w:hAnsi="Times New Roman" w:cs="Times New Roman"/>
          <w:vertAlign w:val="subscript"/>
        </w:rPr>
        <w:t>47</w:t>
      </w:r>
      <w:r w:rsidR="00C341D5">
        <w:rPr>
          <w:rFonts w:ascii="Times New Roman" w:hAnsi="Times New Roman" w:cs="Times New Roman"/>
        </w:rPr>
        <w:t xml:space="preserve"> </w:t>
      </w:r>
      <w:r w:rsidRPr="008614FF">
        <w:rPr>
          <w:rFonts w:ascii="Times New Roman" w:hAnsi="Times New Roman" w:cs="Times New Roman"/>
        </w:rPr>
        <w:t>z 0,4 na 0,345 (niepubliczne).</w:t>
      </w:r>
    </w:p>
    <w:p w14:paraId="2E497D14" w14:textId="3004001F" w:rsidR="000C4A1D" w:rsidRDefault="003B31D7" w:rsidP="0064340A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w zakresie zmian we wskaźnikach oraz wagach dotyczących </w:t>
      </w:r>
      <w:r w:rsidR="00D43451">
        <w:rPr>
          <w:rFonts w:ascii="Times New Roman" w:hAnsi="Times New Roman" w:cs="Times New Roman"/>
        </w:rPr>
        <w:t>kwalifikacyjnych kursów zawodowych</w:t>
      </w:r>
      <w:r>
        <w:rPr>
          <w:rFonts w:ascii="Times New Roman" w:hAnsi="Times New Roman" w:cs="Times New Roman"/>
        </w:rPr>
        <w:t xml:space="preserve"> szacuje się na ok</w:t>
      </w:r>
      <w:r w:rsidR="00B176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54 mln zł. Skutki w zakresie zmniejszonych kwot zostaną zrekompensowane podwyższoną wagą P</w:t>
      </w:r>
      <w:r w:rsidR="00C30DD9" w:rsidRPr="00C30DD9">
        <w:rPr>
          <w:rFonts w:ascii="Times New Roman" w:hAnsi="Times New Roman" w:cs="Times New Roman"/>
          <w:vertAlign w:val="subscript"/>
        </w:rPr>
        <w:t>1</w:t>
      </w:r>
      <w:r w:rsidR="0064340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 przypadku zdania egzaminu</w:t>
      </w:r>
      <w:r w:rsidR="002B2531">
        <w:rPr>
          <w:rFonts w:ascii="Times New Roman" w:hAnsi="Times New Roman" w:cs="Times New Roman"/>
        </w:rPr>
        <w:t xml:space="preserve"> zewnętrznego</w:t>
      </w:r>
      <w:r w:rsidR="00E06E0A">
        <w:rPr>
          <w:rFonts w:ascii="Times New Roman" w:hAnsi="Times New Roman" w:cs="Times New Roman"/>
        </w:rPr>
        <w:t xml:space="preserve"> przez</w:t>
      </w:r>
      <w:r w:rsidR="0064340A">
        <w:rPr>
          <w:rFonts w:ascii="Times New Roman" w:hAnsi="Times New Roman" w:cs="Times New Roman"/>
        </w:rPr>
        <w:t xml:space="preserve"> ucznia</w:t>
      </w:r>
      <w:r w:rsidR="00115A04">
        <w:rPr>
          <w:rFonts w:ascii="Times New Roman" w:hAnsi="Times New Roman" w:cs="Times New Roman"/>
        </w:rPr>
        <w:t xml:space="preserve"> lub </w:t>
      </w:r>
      <w:r w:rsidR="0064340A">
        <w:rPr>
          <w:rFonts w:ascii="Times New Roman" w:hAnsi="Times New Roman" w:cs="Times New Roman"/>
        </w:rPr>
        <w:t>słuchacza. Szacuje się, że na rok 2022 wagą P</w:t>
      </w:r>
      <w:r w:rsidR="0064340A" w:rsidRPr="0064340A">
        <w:rPr>
          <w:rFonts w:ascii="Times New Roman" w:hAnsi="Times New Roman" w:cs="Times New Roman"/>
          <w:vertAlign w:val="subscript"/>
        </w:rPr>
        <w:t>12</w:t>
      </w:r>
      <w:r w:rsidR="0064340A">
        <w:rPr>
          <w:rFonts w:ascii="Times New Roman" w:hAnsi="Times New Roman" w:cs="Times New Roman"/>
        </w:rPr>
        <w:t xml:space="preserve"> </w:t>
      </w:r>
      <w:r w:rsidR="00E06E0A">
        <w:rPr>
          <w:rFonts w:ascii="Times New Roman" w:hAnsi="Times New Roman" w:cs="Times New Roman"/>
        </w:rPr>
        <w:t>zostaną naliczone środki w wysokości 134 mln zł.</w:t>
      </w:r>
    </w:p>
    <w:p w14:paraId="6AC7B2C8" w14:textId="77777777" w:rsidR="0064340A" w:rsidRPr="0064340A" w:rsidRDefault="0064340A" w:rsidP="0064340A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p w14:paraId="083931E7" w14:textId="77777777" w:rsidR="00F5044F" w:rsidRPr="00F5044F" w:rsidRDefault="00F5044F" w:rsidP="00F5044F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C024772" w14:textId="640BE2EC" w:rsidR="00FE4A0A" w:rsidRDefault="000C4A1D" w:rsidP="00B62EFB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Zmiana sposobu naliczania niektórych wag w związku z częściowym ograniczeniem </w:t>
      </w:r>
      <w:r w:rsidR="00AF1E31">
        <w:rPr>
          <w:rFonts w:ascii="Times New Roman" w:hAnsi="Times New Roman" w:cs="Times New Roman"/>
        </w:rPr>
        <w:t xml:space="preserve">funkcjonowania </w:t>
      </w:r>
      <w:r w:rsidRPr="00B62EFB">
        <w:rPr>
          <w:rFonts w:ascii="Times New Roman" w:hAnsi="Times New Roman" w:cs="Times New Roman"/>
        </w:rPr>
        <w:t xml:space="preserve">niektórych szkół i placówek </w:t>
      </w:r>
      <w:r w:rsidR="00FF684A" w:rsidRPr="00FF684A">
        <w:rPr>
          <w:rFonts w:ascii="Times New Roman" w:hAnsi="Times New Roman"/>
          <w:szCs w:val="20"/>
        </w:rPr>
        <w:t>w związku z zapobieganiem, przeciwdz</w:t>
      </w:r>
      <w:r w:rsidR="00FF684A">
        <w:rPr>
          <w:rFonts w:ascii="Times New Roman" w:hAnsi="Times New Roman"/>
          <w:szCs w:val="20"/>
        </w:rPr>
        <w:t xml:space="preserve">iałaniem i zwalczaniem </w:t>
      </w:r>
      <w:r w:rsidR="00F5044F">
        <w:rPr>
          <w:rFonts w:ascii="Times New Roman" w:hAnsi="Times New Roman" w:cs="Times New Roman"/>
        </w:rPr>
        <w:t>COVID-19 w 2020</w:t>
      </w:r>
      <w:r w:rsidR="00FF684A">
        <w:rPr>
          <w:rFonts w:ascii="Times New Roman" w:hAnsi="Times New Roman" w:cs="Times New Roman"/>
        </w:rPr>
        <w:t xml:space="preserve"> r.</w:t>
      </w:r>
      <w:r w:rsidR="00F5044F">
        <w:rPr>
          <w:rFonts w:ascii="Times New Roman" w:hAnsi="Times New Roman" w:cs="Times New Roman"/>
        </w:rPr>
        <w:t xml:space="preserve"> i 2021</w:t>
      </w:r>
      <w:r w:rsidR="005C154B">
        <w:rPr>
          <w:rFonts w:ascii="Times New Roman" w:hAnsi="Times New Roman" w:cs="Times New Roman"/>
        </w:rPr>
        <w:t xml:space="preserve"> r</w:t>
      </w:r>
      <w:r w:rsidRPr="00B62EFB">
        <w:rPr>
          <w:rFonts w:ascii="Times New Roman" w:hAnsi="Times New Roman" w:cs="Times New Roman"/>
        </w:rPr>
        <w:t xml:space="preserve">. </w:t>
      </w:r>
    </w:p>
    <w:p w14:paraId="0E01218F" w14:textId="77777777" w:rsidR="00FE4A0A" w:rsidRDefault="00FE4A0A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7B4C3482" w14:textId="6ECDD857" w:rsidR="000C4A1D" w:rsidRPr="00B62EFB" w:rsidRDefault="000C4A1D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Dotyczy to szkół i placówek, w których dane były wyliczane w sposób średnioroczny za ubiegły rok szkolny. </w:t>
      </w:r>
      <w:r w:rsidR="00B71106">
        <w:rPr>
          <w:rFonts w:ascii="Times New Roman" w:hAnsi="Times New Roman" w:cs="Times New Roman"/>
        </w:rPr>
        <w:t>Stan e</w:t>
      </w:r>
      <w:r w:rsidR="00691F7F">
        <w:rPr>
          <w:rFonts w:ascii="Times New Roman" w:hAnsi="Times New Roman" w:cs="Times New Roman"/>
        </w:rPr>
        <w:t>pidemi</w:t>
      </w:r>
      <w:r w:rsidR="00B71106">
        <w:rPr>
          <w:rFonts w:ascii="Times New Roman" w:hAnsi="Times New Roman" w:cs="Times New Roman"/>
        </w:rPr>
        <w:t>i</w:t>
      </w:r>
      <w:r w:rsidRPr="00B62EFB">
        <w:rPr>
          <w:rFonts w:ascii="Times New Roman" w:hAnsi="Times New Roman" w:cs="Times New Roman"/>
        </w:rPr>
        <w:t xml:space="preserve"> </w:t>
      </w:r>
      <w:r w:rsidR="00205F04" w:rsidRPr="00205F04">
        <w:rPr>
          <w:rFonts w:ascii="Times New Roman" w:hAnsi="Times New Roman" w:cs="Times New Roman"/>
        </w:rPr>
        <w:t>w związku z zakażeniami wirusem SARS-CoV-2</w:t>
      </w:r>
      <w:r w:rsidR="00205F04">
        <w:rPr>
          <w:rFonts w:ascii="Times New Roman" w:hAnsi="Times New Roman" w:cs="Times New Roman"/>
        </w:rPr>
        <w:t xml:space="preserve"> </w:t>
      </w:r>
      <w:r w:rsidR="001132E4">
        <w:rPr>
          <w:rFonts w:ascii="Times New Roman" w:hAnsi="Times New Roman" w:cs="Times New Roman"/>
        </w:rPr>
        <w:t xml:space="preserve">oraz działania podjęte w związku z </w:t>
      </w:r>
      <w:r w:rsidR="001132E4" w:rsidRPr="00FF684A">
        <w:rPr>
          <w:rFonts w:ascii="Times New Roman" w:hAnsi="Times New Roman"/>
          <w:szCs w:val="20"/>
        </w:rPr>
        <w:t>zapobieganiem, przeciwdz</w:t>
      </w:r>
      <w:r w:rsidR="001132E4">
        <w:rPr>
          <w:rFonts w:ascii="Times New Roman" w:hAnsi="Times New Roman"/>
          <w:szCs w:val="20"/>
        </w:rPr>
        <w:t xml:space="preserve">iałaniem i zwalczaniem </w:t>
      </w:r>
      <w:r w:rsidR="001132E4">
        <w:rPr>
          <w:rFonts w:ascii="Times New Roman" w:hAnsi="Times New Roman" w:cs="Times New Roman"/>
        </w:rPr>
        <w:t>COVID-19</w:t>
      </w:r>
      <w:r w:rsidR="00696D66">
        <w:rPr>
          <w:rFonts w:ascii="Times New Roman" w:hAnsi="Times New Roman" w:cs="Times New Roman"/>
        </w:rPr>
        <w:t xml:space="preserve"> </w:t>
      </w:r>
      <w:r w:rsidR="00205F04">
        <w:rPr>
          <w:rFonts w:ascii="Times New Roman" w:hAnsi="Times New Roman" w:cs="Times New Roman"/>
        </w:rPr>
        <w:t xml:space="preserve">największy wpływ </w:t>
      </w:r>
      <w:r w:rsidR="00B71106">
        <w:rPr>
          <w:rFonts w:ascii="Times New Roman" w:hAnsi="Times New Roman" w:cs="Times New Roman"/>
        </w:rPr>
        <w:t>miał</w:t>
      </w:r>
      <w:r w:rsidR="00696D66">
        <w:rPr>
          <w:rFonts w:ascii="Times New Roman" w:hAnsi="Times New Roman" w:cs="Times New Roman"/>
        </w:rPr>
        <w:t>y</w:t>
      </w:r>
      <w:r w:rsidR="00B71106">
        <w:rPr>
          <w:rFonts w:ascii="Times New Roman" w:hAnsi="Times New Roman" w:cs="Times New Roman"/>
        </w:rPr>
        <w:t xml:space="preserve"> na</w:t>
      </w:r>
      <w:r w:rsidR="00205F04">
        <w:rPr>
          <w:rFonts w:ascii="Times New Roman" w:hAnsi="Times New Roman" w:cs="Times New Roman"/>
        </w:rPr>
        <w:t xml:space="preserve"> </w:t>
      </w:r>
      <w:r w:rsidRPr="00B62EFB">
        <w:rPr>
          <w:rFonts w:ascii="Times New Roman" w:hAnsi="Times New Roman" w:cs="Times New Roman"/>
        </w:rPr>
        <w:t>dom</w:t>
      </w:r>
      <w:r w:rsidR="00205F04">
        <w:rPr>
          <w:rFonts w:ascii="Times New Roman" w:hAnsi="Times New Roman" w:cs="Times New Roman"/>
        </w:rPr>
        <w:t>y</w:t>
      </w:r>
      <w:r w:rsidRPr="00B62EFB">
        <w:rPr>
          <w:rFonts w:ascii="Times New Roman" w:hAnsi="Times New Roman" w:cs="Times New Roman"/>
        </w:rPr>
        <w:t xml:space="preserve"> </w:t>
      </w:r>
      <w:r w:rsidR="00C17C45">
        <w:rPr>
          <w:rFonts w:ascii="Times New Roman" w:hAnsi="Times New Roman" w:cs="Times New Roman"/>
        </w:rPr>
        <w:t>w</w:t>
      </w:r>
      <w:r w:rsidRPr="00B62EFB">
        <w:rPr>
          <w:rFonts w:ascii="Times New Roman" w:hAnsi="Times New Roman" w:cs="Times New Roman"/>
        </w:rPr>
        <w:t>czasów dziecięcych</w:t>
      </w:r>
      <w:r w:rsidR="00327463">
        <w:rPr>
          <w:rFonts w:ascii="Times New Roman" w:hAnsi="Times New Roman" w:cs="Times New Roman"/>
        </w:rPr>
        <w:t>, zwanych dalej „</w:t>
      </w:r>
      <w:r w:rsidR="00191DF1">
        <w:rPr>
          <w:rFonts w:ascii="Times New Roman" w:hAnsi="Times New Roman" w:cs="Times New Roman"/>
        </w:rPr>
        <w:t>DWD</w:t>
      </w:r>
      <w:r w:rsidR="00327463">
        <w:rPr>
          <w:rFonts w:ascii="Times New Roman" w:hAnsi="Times New Roman" w:cs="Times New Roman"/>
        </w:rPr>
        <w:t>”</w:t>
      </w:r>
      <w:r w:rsidRPr="00B62EFB">
        <w:rPr>
          <w:rFonts w:ascii="Times New Roman" w:hAnsi="Times New Roman" w:cs="Times New Roman"/>
        </w:rPr>
        <w:t xml:space="preserve">, które w okresie marzec–maj </w:t>
      </w:r>
      <w:r w:rsidR="005C154B">
        <w:rPr>
          <w:rFonts w:ascii="Times New Roman" w:hAnsi="Times New Roman" w:cs="Times New Roman"/>
        </w:rPr>
        <w:t>2020 r.</w:t>
      </w:r>
      <w:r w:rsidR="003038EE">
        <w:rPr>
          <w:rFonts w:ascii="Times New Roman" w:hAnsi="Times New Roman" w:cs="Times New Roman"/>
        </w:rPr>
        <w:t xml:space="preserve"> oraz </w:t>
      </w:r>
      <w:r w:rsidR="004740CC">
        <w:rPr>
          <w:rFonts w:ascii="Times New Roman" w:hAnsi="Times New Roman" w:cs="Times New Roman"/>
        </w:rPr>
        <w:t>styczeń</w:t>
      </w:r>
      <w:r w:rsidR="00B71106">
        <w:rPr>
          <w:rFonts w:ascii="Times New Roman" w:hAnsi="Times New Roman" w:cs="Times New Roman"/>
        </w:rPr>
        <w:t>–</w:t>
      </w:r>
      <w:r w:rsidR="004740CC">
        <w:rPr>
          <w:rFonts w:ascii="Times New Roman" w:hAnsi="Times New Roman" w:cs="Times New Roman"/>
        </w:rPr>
        <w:t>maj 2021 r.</w:t>
      </w:r>
      <w:r w:rsidR="005C154B">
        <w:rPr>
          <w:rFonts w:ascii="Times New Roman" w:hAnsi="Times New Roman" w:cs="Times New Roman"/>
        </w:rPr>
        <w:t xml:space="preserve"> </w:t>
      </w:r>
      <w:r w:rsidR="004740CC">
        <w:rPr>
          <w:rFonts w:ascii="Times New Roman" w:hAnsi="Times New Roman" w:cs="Times New Roman"/>
        </w:rPr>
        <w:t>miały ograniczą możliwość funkcjonowania</w:t>
      </w:r>
      <w:r w:rsidRPr="00B62EFB">
        <w:rPr>
          <w:rFonts w:ascii="Times New Roman" w:hAnsi="Times New Roman" w:cs="Times New Roman"/>
        </w:rPr>
        <w:t xml:space="preserve">. </w:t>
      </w:r>
      <w:r w:rsidR="00B71106">
        <w:rPr>
          <w:rFonts w:ascii="Times New Roman" w:hAnsi="Times New Roman" w:cs="Times New Roman"/>
        </w:rPr>
        <w:t xml:space="preserve">Podobna sytuacja </w:t>
      </w:r>
      <w:r w:rsidR="005C154B">
        <w:rPr>
          <w:rFonts w:ascii="Times New Roman" w:hAnsi="Times New Roman" w:cs="Times New Roman"/>
        </w:rPr>
        <w:t>dotyczył</w:t>
      </w:r>
      <w:r w:rsidR="00B71106">
        <w:rPr>
          <w:rFonts w:ascii="Times New Roman" w:hAnsi="Times New Roman" w:cs="Times New Roman"/>
        </w:rPr>
        <w:t>a</w:t>
      </w:r>
      <w:r w:rsidR="00E06E0A">
        <w:rPr>
          <w:rFonts w:ascii="Times New Roman" w:hAnsi="Times New Roman" w:cs="Times New Roman"/>
        </w:rPr>
        <w:t xml:space="preserve"> </w:t>
      </w:r>
      <w:r w:rsidRPr="00B62EFB">
        <w:rPr>
          <w:rFonts w:ascii="Times New Roman" w:hAnsi="Times New Roman" w:cs="Times New Roman"/>
        </w:rPr>
        <w:t>szk</w:t>
      </w:r>
      <w:r w:rsidR="005C154B">
        <w:rPr>
          <w:rFonts w:ascii="Times New Roman" w:hAnsi="Times New Roman" w:cs="Times New Roman"/>
        </w:rPr>
        <w:t>ół</w:t>
      </w:r>
      <w:r w:rsidRPr="00B62EFB">
        <w:rPr>
          <w:rFonts w:ascii="Times New Roman" w:hAnsi="Times New Roman" w:cs="Times New Roman"/>
        </w:rPr>
        <w:t xml:space="preserve"> w podmiotach leczniczych. W związku </w:t>
      </w:r>
      <w:r w:rsidRPr="00B62EFB">
        <w:rPr>
          <w:rFonts w:ascii="Times New Roman" w:hAnsi="Times New Roman" w:cs="Times New Roman"/>
        </w:rPr>
        <w:lastRenderedPageBreak/>
        <w:t xml:space="preserve">z powyższym </w:t>
      </w:r>
      <w:r w:rsidR="00756FB8">
        <w:rPr>
          <w:rFonts w:ascii="Times New Roman" w:hAnsi="Times New Roman" w:cs="Times New Roman"/>
        </w:rPr>
        <w:t>przewiduje się zmiany w sposobie wyliczenia danych w przypadku następujących szkół</w:t>
      </w:r>
      <w:r w:rsidR="00356DBD">
        <w:rPr>
          <w:rFonts w:ascii="Times New Roman" w:hAnsi="Times New Roman" w:cs="Times New Roman"/>
        </w:rPr>
        <w:t xml:space="preserve"> i plac</w:t>
      </w:r>
      <w:r w:rsidR="00756FB8">
        <w:rPr>
          <w:rFonts w:ascii="Times New Roman" w:hAnsi="Times New Roman" w:cs="Times New Roman"/>
        </w:rPr>
        <w:t>ówek</w:t>
      </w:r>
      <w:r w:rsidRPr="00B62EFB">
        <w:rPr>
          <w:rFonts w:ascii="Times New Roman" w:hAnsi="Times New Roman" w:cs="Times New Roman"/>
        </w:rPr>
        <w:t>:</w:t>
      </w:r>
    </w:p>
    <w:p w14:paraId="59C0832E" w14:textId="69F16EA0" w:rsidR="003038EE" w:rsidRDefault="00AB5930" w:rsidP="003038EE">
      <w:pPr>
        <w:pStyle w:val="Akapitzlist"/>
        <w:numPr>
          <w:ilvl w:val="1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38EE" w:rsidRPr="003038EE">
        <w:rPr>
          <w:rFonts w:ascii="Times New Roman" w:hAnsi="Times New Roman" w:cs="Times New Roman"/>
        </w:rPr>
        <w:t>odmioty lecznicze (waga P</w:t>
      </w:r>
      <w:r w:rsidR="00C30DD9" w:rsidRPr="00C30DD9">
        <w:rPr>
          <w:rFonts w:ascii="Times New Roman" w:hAnsi="Times New Roman" w:cs="Times New Roman"/>
          <w:vertAlign w:val="subscript"/>
        </w:rPr>
        <w:t>39</w:t>
      </w:r>
      <w:r w:rsidR="00C30DD9">
        <w:rPr>
          <w:rFonts w:ascii="Times New Roman" w:hAnsi="Times New Roman" w:cs="Times New Roman"/>
        </w:rPr>
        <w:t xml:space="preserve"> i P</w:t>
      </w:r>
      <w:r w:rsidR="00C30DD9" w:rsidRPr="00C30DD9">
        <w:rPr>
          <w:rFonts w:ascii="Times New Roman" w:hAnsi="Times New Roman" w:cs="Times New Roman"/>
          <w:vertAlign w:val="subscript"/>
        </w:rPr>
        <w:t>40</w:t>
      </w:r>
      <w:r w:rsidR="003038EE" w:rsidRPr="003038EE">
        <w:rPr>
          <w:rFonts w:ascii="Times New Roman" w:hAnsi="Times New Roman" w:cs="Times New Roman"/>
        </w:rPr>
        <w:t xml:space="preserve"> w zakresie szkół i P</w:t>
      </w:r>
      <w:r w:rsidR="00C30DD9" w:rsidRPr="00C30DD9">
        <w:rPr>
          <w:rFonts w:ascii="Times New Roman" w:hAnsi="Times New Roman" w:cs="Times New Roman"/>
          <w:vertAlign w:val="subscript"/>
        </w:rPr>
        <w:t>57</w:t>
      </w:r>
      <w:r w:rsidR="003038EE" w:rsidRPr="003038EE">
        <w:rPr>
          <w:rFonts w:ascii="Times New Roman" w:hAnsi="Times New Roman" w:cs="Times New Roman"/>
        </w:rPr>
        <w:t xml:space="preserve"> w zakresie przedszkoli)</w:t>
      </w:r>
      <w:r w:rsidR="005E0100">
        <w:rPr>
          <w:rFonts w:ascii="Times New Roman" w:hAnsi="Times New Roman" w:cs="Times New Roman"/>
        </w:rPr>
        <w:t>;</w:t>
      </w:r>
    </w:p>
    <w:p w14:paraId="0EC90AC2" w14:textId="1C44872B" w:rsidR="003038EE" w:rsidRPr="003038EE" w:rsidRDefault="003038EE" w:rsidP="00E97097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 w:rsidRPr="003038EE">
        <w:rPr>
          <w:rFonts w:ascii="Times New Roman" w:hAnsi="Times New Roman" w:cs="Times New Roman"/>
        </w:rPr>
        <w:t>W zakresie podmiotów leczniczych z racji ograniczeń związanych z</w:t>
      </w:r>
      <w:r w:rsidR="005E0100">
        <w:rPr>
          <w:rFonts w:ascii="Times New Roman" w:hAnsi="Times New Roman" w:cs="Times New Roman"/>
        </w:rPr>
        <w:t>e stanem epidemii</w:t>
      </w:r>
      <w:r w:rsidRPr="003038EE">
        <w:rPr>
          <w:rFonts w:ascii="Times New Roman" w:hAnsi="Times New Roman" w:cs="Times New Roman"/>
        </w:rPr>
        <w:t xml:space="preserve"> do podziału subwencji na rok 2021 stosowane były dane za okres od </w:t>
      </w:r>
      <w:r w:rsidR="005E0100">
        <w:rPr>
          <w:rFonts w:ascii="Times New Roman" w:hAnsi="Times New Roman" w:cs="Times New Roman"/>
        </w:rPr>
        <w:t xml:space="preserve">dnia </w:t>
      </w:r>
      <w:r w:rsidRPr="003038EE">
        <w:rPr>
          <w:rFonts w:ascii="Times New Roman" w:hAnsi="Times New Roman" w:cs="Times New Roman"/>
        </w:rPr>
        <w:t>1 marca 2019 r. do</w:t>
      </w:r>
      <w:r w:rsidR="005E0100">
        <w:rPr>
          <w:rFonts w:ascii="Times New Roman" w:hAnsi="Times New Roman" w:cs="Times New Roman"/>
        </w:rPr>
        <w:t xml:space="preserve"> dnia</w:t>
      </w:r>
      <w:r w:rsidRPr="003038EE">
        <w:rPr>
          <w:rFonts w:ascii="Times New Roman" w:hAnsi="Times New Roman" w:cs="Times New Roman"/>
        </w:rPr>
        <w:t xml:space="preserve"> 29 lutego 2020 r., tj. z okresu przed wystąpieniem </w:t>
      </w:r>
      <w:r w:rsidR="005E0100">
        <w:rPr>
          <w:rFonts w:ascii="Times New Roman" w:hAnsi="Times New Roman" w:cs="Times New Roman"/>
        </w:rPr>
        <w:t>stanu epidemii</w:t>
      </w:r>
      <w:r w:rsidRPr="003038EE">
        <w:rPr>
          <w:rFonts w:ascii="Times New Roman" w:hAnsi="Times New Roman" w:cs="Times New Roman"/>
        </w:rPr>
        <w:t>. W związku z tym, że podmioty lecznicze</w:t>
      </w:r>
      <w:r w:rsidR="005E0100">
        <w:rPr>
          <w:rFonts w:ascii="Times New Roman" w:hAnsi="Times New Roman" w:cs="Times New Roman"/>
        </w:rPr>
        <w:t>,</w:t>
      </w:r>
      <w:r w:rsidRPr="003038EE">
        <w:rPr>
          <w:rFonts w:ascii="Times New Roman" w:hAnsi="Times New Roman" w:cs="Times New Roman"/>
        </w:rPr>
        <w:t xml:space="preserve"> a zatem również i szkoły przy tych podmiotach</w:t>
      </w:r>
      <w:r w:rsidR="000825E4">
        <w:rPr>
          <w:rFonts w:ascii="Times New Roman" w:hAnsi="Times New Roman" w:cs="Times New Roman"/>
        </w:rPr>
        <w:t>,</w:t>
      </w:r>
      <w:r w:rsidRPr="003038EE">
        <w:rPr>
          <w:rFonts w:ascii="Times New Roman" w:hAnsi="Times New Roman" w:cs="Times New Roman"/>
        </w:rPr>
        <w:t xml:space="preserve"> w okresie </w:t>
      </w:r>
      <w:r w:rsidR="005E0100">
        <w:rPr>
          <w:rFonts w:ascii="Times New Roman" w:hAnsi="Times New Roman" w:cs="Times New Roman"/>
        </w:rPr>
        <w:t>stanu epidemii</w:t>
      </w:r>
      <w:r w:rsidR="005E0100" w:rsidRPr="003038EE">
        <w:rPr>
          <w:rFonts w:ascii="Times New Roman" w:hAnsi="Times New Roman" w:cs="Times New Roman"/>
        </w:rPr>
        <w:t xml:space="preserve"> </w:t>
      </w:r>
      <w:r w:rsidRPr="003038EE">
        <w:rPr>
          <w:rFonts w:ascii="Times New Roman" w:hAnsi="Times New Roman" w:cs="Times New Roman"/>
        </w:rPr>
        <w:t>prowadziły ograniczoną działalność</w:t>
      </w:r>
      <w:r w:rsidR="000825E4">
        <w:rPr>
          <w:rFonts w:ascii="Times New Roman" w:hAnsi="Times New Roman" w:cs="Times New Roman"/>
        </w:rPr>
        <w:t>,</w:t>
      </w:r>
      <w:r w:rsidRPr="003038EE">
        <w:rPr>
          <w:rFonts w:ascii="Times New Roman" w:hAnsi="Times New Roman" w:cs="Times New Roman"/>
        </w:rPr>
        <w:t xml:space="preserve"> </w:t>
      </w:r>
      <w:r w:rsidR="00A53E3C">
        <w:rPr>
          <w:rFonts w:ascii="Times New Roman" w:hAnsi="Times New Roman" w:cs="Times New Roman"/>
        </w:rPr>
        <w:t>przyjęto dane</w:t>
      </w:r>
      <w:r w:rsidRPr="003038EE">
        <w:rPr>
          <w:rFonts w:ascii="Times New Roman" w:hAnsi="Times New Roman" w:cs="Times New Roman"/>
        </w:rPr>
        <w:t xml:space="preserve"> do podziału subwencji na </w:t>
      </w:r>
      <w:r w:rsidR="005E0100">
        <w:rPr>
          <w:rFonts w:ascii="Times New Roman" w:hAnsi="Times New Roman" w:cs="Times New Roman"/>
        </w:rPr>
        <w:t xml:space="preserve">rok </w:t>
      </w:r>
      <w:r w:rsidRPr="003038EE">
        <w:rPr>
          <w:rFonts w:ascii="Times New Roman" w:hAnsi="Times New Roman" w:cs="Times New Roman"/>
        </w:rPr>
        <w:t>2022 taki</w:t>
      </w:r>
      <w:r w:rsidR="00207060">
        <w:rPr>
          <w:rFonts w:ascii="Times New Roman" w:hAnsi="Times New Roman" w:cs="Times New Roman"/>
        </w:rPr>
        <w:t>e</w:t>
      </w:r>
      <w:r w:rsidRPr="003038EE">
        <w:rPr>
          <w:rFonts w:ascii="Times New Roman" w:hAnsi="Times New Roman" w:cs="Times New Roman"/>
        </w:rPr>
        <w:t xml:space="preserve"> jakie były przyjmowane </w:t>
      </w:r>
      <w:r w:rsidR="00207060" w:rsidRPr="003038EE">
        <w:rPr>
          <w:rFonts w:ascii="Times New Roman" w:hAnsi="Times New Roman" w:cs="Times New Roman"/>
        </w:rPr>
        <w:t xml:space="preserve">do podziału subwencji na </w:t>
      </w:r>
      <w:r w:rsidR="00207060">
        <w:rPr>
          <w:rFonts w:ascii="Times New Roman" w:hAnsi="Times New Roman" w:cs="Times New Roman"/>
        </w:rPr>
        <w:t>rok</w:t>
      </w:r>
      <w:r w:rsidR="00207060" w:rsidRPr="003038EE">
        <w:rPr>
          <w:rFonts w:ascii="Times New Roman" w:hAnsi="Times New Roman" w:cs="Times New Roman"/>
        </w:rPr>
        <w:t xml:space="preserve"> </w:t>
      </w:r>
      <w:r w:rsidRPr="003038EE">
        <w:rPr>
          <w:rFonts w:ascii="Times New Roman" w:hAnsi="Times New Roman" w:cs="Times New Roman"/>
        </w:rPr>
        <w:t>2021.</w:t>
      </w:r>
    </w:p>
    <w:p w14:paraId="2169F096" w14:textId="7D494B78" w:rsidR="006E4BBA" w:rsidRPr="0079004A" w:rsidRDefault="003038EE" w:rsidP="0079004A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 w:rsidRPr="003038EE">
        <w:rPr>
          <w:rFonts w:ascii="Times New Roman" w:hAnsi="Times New Roman" w:cs="Times New Roman"/>
        </w:rPr>
        <w:t>W przypadku przyjęcia danych za okres od</w:t>
      </w:r>
      <w:r w:rsidR="00F933AA">
        <w:rPr>
          <w:rFonts w:ascii="Times New Roman" w:hAnsi="Times New Roman" w:cs="Times New Roman"/>
        </w:rPr>
        <w:t xml:space="preserve"> dnia</w:t>
      </w:r>
      <w:r w:rsidR="00E97097">
        <w:rPr>
          <w:rFonts w:ascii="Times New Roman" w:hAnsi="Times New Roman" w:cs="Times New Roman"/>
        </w:rPr>
        <w:t xml:space="preserve"> </w:t>
      </w:r>
      <w:r w:rsidRPr="003038EE">
        <w:rPr>
          <w:rFonts w:ascii="Times New Roman" w:hAnsi="Times New Roman" w:cs="Times New Roman"/>
        </w:rPr>
        <w:t xml:space="preserve">1 września 2020 </w:t>
      </w:r>
      <w:r w:rsidR="00E97097">
        <w:rPr>
          <w:rFonts w:ascii="Times New Roman" w:hAnsi="Times New Roman" w:cs="Times New Roman"/>
        </w:rPr>
        <w:t xml:space="preserve">r. </w:t>
      </w:r>
      <w:r w:rsidRPr="003038EE">
        <w:rPr>
          <w:rFonts w:ascii="Times New Roman" w:hAnsi="Times New Roman" w:cs="Times New Roman"/>
        </w:rPr>
        <w:t xml:space="preserve">do </w:t>
      </w:r>
      <w:r w:rsidR="00F933AA">
        <w:rPr>
          <w:rFonts w:ascii="Times New Roman" w:hAnsi="Times New Roman" w:cs="Times New Roman"/>
        </w:rPr>
        <w:t xml:space="preserve">dnia </w:t>
      </w:r>
      <w:r w:rsidRPr="003038EE">
        <w:rPr>
          <w:rFonts w:ascii="Times New Roman" w:hAnsi="Times New Roman" w:cs="Times New Roman"/>
        </w:rPr>
        <w:t>31 sierpnia 2021 r. liczba uczniów w podmiotach leczniczych w zakresie wagi P</w:t>
      </w:r>
      <w:r w:rsidR="00C30DD9" w:rsidRPr="00C30DD9">
        <w:rPr>
          <w:rFonts w:ascii="Times New Roman" w:hAnsi="Times New Roman" w:cs="Times New Roman"/>
          <w:vertAlign w:val="subscript"/>
        </w:rPr>
        <w:t>39</w:t>
      </w:r>
      <w:r w:rsidRPr="003038EE">
        <w:rPr>
          <w:rFonts w:ascii="Times New Roman" w:hAnsi="Times New Roman" w:cs="Times New Roman"/>
        </w:rPr>
        <w:t xml:space="preserve"> zmniejszyłaby się o</w:t>
      </w:r>
      <w:r w:rsidR="00A53E3C">
        <w:rPr>
          <w:rFonts w:ascii="Times New Roman" w:hAnsi="Times New Roman" w:cs="Times New Roman"/>
        </w:rPr>
        <w:t xml:space="preserve"> ok</w:t>
      </w:r>
      <w:r w:rsidR="00B176DA">
        <w:rPr>
          <w:rFonts w:ascii="Times New Roman" w:hAnsi="Times New Roman" w:cs="Times New Roman"/>
        </w:rPr>
        <w:t>.</w:t>
      </w:r>
      <w:r w:rsidRPr="003038EE">
        <w:rPr>
          <w:rFonts w:ascii="Times New Roman" w:hAnsi="Times New Roman" w:cs="Times New Roman"/>
        </w:rPr>
        <w:t xml:space="preserve"> 30%. W przypadku wagi P</w:t>
      </w:r>
      <w:r w:rsidR="00C30DD9" w:rsidRPr="00C30DD9">
        <w:rPr>
          <w:rFonts w:ascii="Times New Roman" w:hAnsi="Times New Roman" w:cs="Times New Roman"/>
          <w:vertAlign w:val="subscript"/>
        </w:rPr>
        <w:t>40</w:t>
      </w:r>
      <w:r w:rsidR="00C30DD9">
        <w:rPr>
          <w:rFonts w:ascii="Times New Roman" w:hAnsi="Times New Roman" w:cs="Times New Roman"/>
        </w:rPr>
        <w:t xml:space="preserve"> i P</w:t>
      </w:r>
      <w:r w:rsidR="00C30DD9" w:rsidRPr="00C30DD9">
        <w:rPr>
          <w:rFonts w:ascii="Times New Roman" w:hAnsi="Times New Roman" w:cs="Times New Roman"/>
          <w:vertAlign w:val="subscript"/>
        </w:rPr>
        <w:t>57</w:t>
      </w:r>
      <w:r w:rsidRPr="003038EE">
        <w:rPr>
          <w:rFonts w:ascii="Times New Roman" w:hAnsi="Times New Roman" w:cs="Times New Roman"/>
        </w:rPr>
        <w:t xml:space="preserve"> występuje podobny, znaczny trend spadkowy.</w:t>
      </w:r>
      <w:r>
        <w:rPr>
          <w:rFonts w:ascii="Times New Roman" w:hAnsi="Times New Roman" w:cs="Times New Roman"/>
        </w:rPr>
        <w:t xml:space="preserve"> </w:t>
      </w:r>
      <w:r w:rsidR="00BC3F7B" w:rsidRPr="003038EE">
        <w:rPr>
          <w:rFonts w:ascii="Times New Roman" w:hAnsi="Times New Roman" w:cs="Times New Roman"/>
        </w:rPr>
        <w:t xml:space="preserve">Uzasadnia </w:t>
      </w:r>
      <w:r w:rsidR="000C4A1D" w:rsidRPr="003038EE">
        <w:rPr>
          <w:rFonts w:ascii="Times New Roman" w:hAnsi="Times New Roman" w:cs="Times New Roman"/>
        </w:rPr>
        <w:t>to konieczność zmiany sposobu wyliczania tych danych do podziału subwencji</w:t>
      </w:r>
      <w:r w:rsidR="00D82DF8" w:rsidRPr="003038EE">
        <w:rPr>
          <w:rFonts w:ascii="Times New Roman" w:hAnsi="Times New Roman" w:cs="Times New Roman"/>
        </w:rPr>
        <w:t xml:space="preserve"> </w:t>
      </w:r>
      <w:r w:rsidR="00245D6D" w:rsidRPr="003038EE">
        <w:rPr>
          <w:rFonts w:ascii="Times New Roman" w:hAnsi="Times New Roman" w:cs="Times New Roman"/>
        </w:rPr>
        <w:t xml:space="preserve">oświatowej </w:t>
      </w:r>
      <w:r w:rsidR="00A53E3C">
        <w:rPr>
          <w:rFonts w:ascii="Times New Roman" w:hAnsi="Times New Roman" w:cs="Times New Roman"/>
        </w:rPr>
        <w:t xml:space="preserve">na </w:t>
      </w:r>
      <w:r w:rsidR="00E97097">
        <w:rPr>
          <w:rFonts w:ascii="Times New Roman" w:hAnsi="Times New Roman" w:cs="Times New Roman"/>
        </w:rPr>
        <w:t xml:space="preserve">rok </w:t>
      </w:r>
      <w:r w:rsidR="00A53E3C">
        <w:rPr>
          <w:rFonts w:ascii="Times New Roman" w:hAnsi="Times New Roman" w:cs="Times New Roman"/>
        </w:rPr>
        <w:t>2022</w:t>
      </w:r>
      <w:r w:rsidR="00207060">
        <w:rPr>
          <w:rFonts w:ascii="Times New Roman" w:hAnsi="Times New Roman" w:cs="Times New Roman"/>
        </w:rPr>
        <w:t>;</w:t>
      </w:r>
    </w:p>
    <w:p w14:paraId="434C3EAA" w14:textId="7FE1473B" w:rsidR="00C30DD9" w:rsidRDefault="00E97097" w:rsidP="00E97097">
      <w:pPr>
        <w:pStyle w:val="Akapitzlist"/>
        <w:numPr>
          <w:ilvl w:val="1"/>
          <w:numId w:val="12"/>
        </w:numPr>
        <w:spacing w:after="16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30DD9">
        <w:rPr>
          <w:rFonts w:ascii="Times New Roman" w:hAnsi="Times New Roman" w:cs="Times New Roman"/>
        </w:rPr>
        <w:t>omy wczasów dziecięcych (DWD) – waga P</w:t>
      </w:r>
      <w:r w:rsidR="00C30DD9" w:rsidRPr="00C30DD9">
        <w:rPr>
          <w:rFonts w:ascii="Times New Roman" w:hAnsi="Times New Roman" w:cs="Times New Roman"/>
          <w:vertAlign w:val="subscript"/>
        </w:rPr>
        <w:t>61</w:t>
      </w:r>
      <w:r w:rsidR="000825E4" w:rsidRPr="0079004A">
        <w:rPr>
          <w:rFonts w:ascii="Times New Roman" w:hAnsi="Times New Roman" w:cs="Times New Roman"/>
        </w:rPr>
        <w:t>;</w:t>
      </w:r>
    </w:p>
    <w:p w14:paraId="43E48330" w14:textId="636C0D01" w:rsidR="00A53E3C" w:rsidRPr="00A53E3C" w:rsidRDefault="007A0D22" w:rsidP="00E97097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</w:t>
      </w:r>
      <w:r w:rsidRPr="007A0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działaniami podjęte w związku z </w:t>
      </w:r>
      <w:r w:rsidRPr="00FF684A">
        <w:rPr>
          <w:rFonts w:ascii="Times New Roman" w:hAnsi="Times New Roman"/>
          <w:szCs w:val="20"/>
        </w:rPr>
        <w:t>zapobieganiem, przeciwdz</w:t>
      </w:r>
      <w:r>
        <w:rPr>
          <w:rFonts w:ascii="Times New Roman" w:hAnsi="Times New Roman"/>
          <w:szCs w:val="20"/>
        </w:rPr>
        <w:t xml:space="preserve">iałaniem i zwalczaniem </w:t>
      </w:r>
      <w:r>
        <w:rPr>
          <w:rFonts w:ascii="Times New Roman" w:hAnsi="Times New Roman" w:cs="Times New Roman"/>
        </w:rPr>
        <w:t xml:space="preserve">COVID-19 </w:t>
      </w:r>
      <w:r w:rsidR="00F30F87" w:rsidRPr="00F30F87">
        <w:rPr>
          <w:rFonts w:ascii="Times New Roman" w:hAnsi="Times New Roman" w:cs="Times New Roman"/>
        </w:rPr>
        <w:t xml:space="preserve">dane o pobytach w DWD zostaną uwzględnione za okres od dnia 1 marca 2019 r. do dnia 29 lutego 2020 r. </w:t>
      </w:r>
      <w:r w:rsidR="00A53E3C" w:rsidRPr="00A53E3C">
        <w:rPr>
          <w:rFonts w:ascii="Times New Roman" w:hAnsi="Times New Roman" w:cs="Times New Roman"/>
        </w:rPr>
        <w:t xml:space="preserve">W przypadku zastosowania </w:t>
      </w:r>
      <w:r w:rsidR="00A53E3C">
        <w:rPr>
          <w:rFonts w:ascii="Times New Roman" w:hAnsi="Times New Roman" w:cs="Times New Roman"/>
        </w:rPr>
        <w:t>danych za rok szkolny 2020/2021</w:t>
      </w:r>
      <w:r w:rsidR="00A53E3C" w:rsidRPr="00A53E3C">
        <w:rPr>
          <w:rFonts w:ascii="Times New Roman" w:hAnsi="Times New Roman" w:cs="Times New Roman"/>
        </w:rPr>
        <w:t xml:space="preserve"> wystąpiłby spadek liczby wychowanków</w:t>
      </w:r>
      <w:r w:rsidR="00A53E3C">
        <w:rPr>
          <w:rFonts w:ascii="Times New Roman" w:hAnsi="Times New Roman" w:cs="Times New Roman"/>
        </w:rPr>
        <w:t xml:space="preserve"> o ok</w:t>
      </w:r>
      <w:r w:rsidR="00B176DA">
        <w:rPr>
          <w:rFonts w:ascii="Times New Roman" w:hAnsi="Times New Roman" w:cs="Times New Roman"/>
        </w:rPr>
        <w:t>.</w:t>
      </w:r>
      <w:r w:rsidR="00A53E3C">
        <w:rPr>
          <w:rFonts w:ascii="Times New Roman" w:hAnsi="Times New Roman" w:cs="Times New Roman"/>
        </w:rPr>
        <w:t xml:space="preserve"> 50%.</w:t>
      </w:r>
    </w:p>
    <w:p w14:paraId="2DE16C4E" w14:textId="77FBA809" w:rsidR="005E6676" w:rsidRPr="008A7A73" w:rsidRDefault="00A53E3C" w:rsidP="00E97097">
      <w:pPr>
        <w:pStyle w:val="Akapitzlist"/>
        <w:spacing w:after="16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w</w:t>
      </w:r>
      <w:r w:rsidR="005E6676" w:rsidRPr="005E6676">
        <w:rPr>
          <w:rFonts w:ascii="Times New Roman" w:hAnsi="Times New Roman" w:cs="Times New Roman"/>
        </w:rPr>
        <w:t xml:space="preserve"> zakresie </w:t>
      </w:r>
      <w:r w:rsidR="00537C07">
        <w:rPr>
          <w:rFonts w:ascii="Times New Roman" w:hAnsi="Times New Roman" w:cs="Times New Roman"/>
        </w:rPr>
        <w:t>DWD</w:t>
      </w:r>
      <w:r w:rsidR="00B202E7">
        <w:rPr>
          <w:rFonts w:ascii="Times New Roman" w:hAnsi="Times New Roman" w:cs="Times New Roman"/>
        </w:rPr>
        <w:t xml:space="preserve"> do wyliczenia liczby wychowanków</w:t>
      </w:r>
      <w:r w:rsidR="005E6676" w:rsidRPr="005E6676">
        <w:rPr>
          <w:rFonts w:ascii="Times New Roman" w:hAnsi="Times New Roman" w:cs="Times New Roman"/>
        </w:rPr>
        <w:t xml:space="preserve"> zostanie zastosowan</w:t>
      </w:r>
      <w:r w:rsidR="008C6DDA">
        <w:rPr>
          <w:rFonts w:ascii="Times New Roman" w:hAnsi="Times New Roman" w:cs="Times New Roman"/>
        </w:rPr>
        <w:t>e rozwiązanie</w:t>
      </w:r>
      <w:r w:rsidR="005E6676" w:rsidRPr="005E6676">
        <w:rPr>
          <w:rFonts w:ascii="Times New Roman" w:hAnsi="Times New Roman" w:cs="Times New Roman"/>
        </w:rPr>
        <w:t>, któr</w:t>
      </w:r>
      <w:r w:rsidR="00537C07">
        <w:rPr>
          <w:rFonts w:ascii="Times New Roman" w:hAnsi="Times New Roman" w:cs="Times New Roman"/>
        </w:rPr>
        <w:t>e</w:t>
      </w:r>
      <w:r w:rsidR="005E6676" w:rsidRPr="005E6676">
        <w:rPr>
          <w:rFonts w:ascii="Times New Roman" w:hAnsi="Times New Roman" w:cs="Times New Roman"/>
        </w:rPr>
        <w:t xml:space="preserve"> ogranicza długość pobytu</w:t>
      </w:r>
      <w:r w:rsidR="00537C07">
        <w:rPr>
          <w:rFonts w:ascii="Times New Roman" w:hAnsi="Times New Roman" w:cs="Times New Roman"/>
        </w:rPr>
        <w:t xml:space="preserve"> wychowanka</w:t>
      </w:r>
      <w:r w:rsidR="005E6676" w:rsidRPr="005E6676">
        <w:rPr>
          <w:rFonts w:ascii="Times New Roman" w:hAnsi="Times New Roman" w:cs="Times New Roman"/>
        </w:rPr>
        <w:t xml:space="preserve"> w </w:t>
      </w:r>
      <w:r w:rsidR="00537C07">
        <w:rPr>
          <w:rFonts w:ascii="Times New Roman" w:hAnsi="Times New Roman" w:cs="Times New Roman"/>
        </w:rPr>
        <w:t>DWD</w:t>
      </w:r>
      <w:r w:rsidR="005E6676" w:rsidRPr="005E6676">
        <w:rPr>
          <w:rFonts w:ascii="Times New Roman" w:hAnsi="Times New Roman" w:cs="Times New Roman"/>
        </w:rPr>
        <w:t xml:space="preserve"> do okresu od 6 dni do 12 tygodni. </w:t>
      </w:r>
      <w:r w:rsidR="008C6DDA">
        <w:rPr>
          <w:rFonts w:ascii="Times New Roman" w:hAnsi="Times New Roman" w:cs="Times New Roman"/>
        </w:rPr>
        <w:t xml:space="preserve">Zmiany te </w:t>
      </w:r>
      <w:r w:rsidR="00B005DA">
        <w:rPr>
          <w:rFonts w:ascii="Times New Roman" w:hAnsi="Times New Roman" w:cs="Times New Roman"/>
        </w:rPr>
        <w:t>wejdą w ż</w:t>
      </w:r>
      <w:r w:rsidR="00EA0A47">
        <w:rPr>
          <w:rFonts w:ascii="Times New Roman" w:hAnsi="Times New Roman" w:cs="Times New Roman"/>
        </w:rPr>
        <w:t>ycie z dniem 1 stycznia 2021 r.</w:t>
      </w:r>
      <w:r w:rsidR="00B005DA">
        <w:rPr>
          <w:rFonts w:ascii="Times New Roman" w:hAnsi="Times New Roman" w:cs="Times New Roman"/>
        </w:rPr>
        <w:t xml:space="preserve"> i </w:t>
      </w:r>
      <w:r w:rsidR="005E6676" w:rsidRPr="005E6676">
        <w:rPr>
          <w:rFonts w:ascii="Times New Roman" w:hAnsi="Times New Roman" w:cs="Times New Roman"/>
        </w:rPr>
        <w:t>wynik</w:t>
      </w:r>
      <w:r w:rsidR="008C6DDA">
        <w:rPr>
          <w:rFonts w:ascii="Times New Roman" w:hAnsi="Times New Roman" w:cs="Times New Roman"/>
        </w:rPr>
        <w:t>ają</w:t>
      </w:r>
      <w:r w:rsidR="005E6676" w:rsidRPr="005E6676">
        <w:rPr>
          <w:rFonts w:ascii="Times New Roman" w:hAnsi="Times New Roman" w:cs="Times New Roman"/>
        </w:rPr>
        <w:t xml:space="preserve"> z </w:t>
      </w:r>
      <w:r w:rsidR="00B005DA" w:rsidRPr="008A7A73">
        <w:rPr>
          <w:rFonts w:ascii="Times New Roman" w:hAnsi="Times New Roman" w:cs="Times New Roman"/>
        </w:rPr>
        <w:t xml:space="preserve">rozporządzenia </w:t>
      </w:r>
      <w:r w:rsidR="005E6676" w:rsidRPr="008A7A73">
        <w:rPr>
          <w:rFonts w:ascii="Times New Roman" w:hAnsi="Times New Roman" w:cs="Times New Roman"/>
        </w:rPr>
        <w:t>Ministra Edukacji i Nauki z dnia 11 maja 2021 r. zmieniające</w:t>
      </w:r>
      <w:r w:rsidR="00B005DA">
        <w:rPr>
          <w:rFonts w:ascii="Times New Roman" w:hAnsi="Times New Roman" w:cs="Times New Roman"/>
        </w:rPr>
        <w:t>go</w:t>
      </w:r>
      <w:r w:rsidR="005E6676" w:rsidRPr="008A7A73">
        <w:rPr>
          <w:rFonts w:ascii="Times New Roman" w:hAnsi="Times New Roman" w:cs="Times New Roman"/>
        </w:rPr>
        <w:t xml:space="preserve"> rozporządzenie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  <w:r w:rsidR="00B005DA">
        <w:rPr>
          <w:rFonts w:ascii="Times New Roman" w:hAnsi="Times New Roman" w:cs="Times New Roman"/>
        </w:rPr>
        <w:t xml:space="preserve"> (Dz. U. poz. 911).</w:t>
      </w:r>
    </w:p>
    <w:p w14:paraId="29D3E75C" w14:textId="77777777" w:rsidR="00270BB5" w:rsidRPr="00A53E3C" w:rsidRDefault="00270BB5" w:rsidP="00A53E3C">
      <w:pPr>
        <w:pStyle w:val="Akapitzlist"/>
        <w:spacing w:after="160" w:line="276" w:lineRule="auto"/>
        <w:ind w:left="567"/>
        <w:jc w:val="both"/>
        <w:rPr>
          <w:rFonts w:ascii="Times New Roman" w:hAnsi="Times New Roman" w:cs="Times New Roman"/>
        </w:rPr>
      </w:pPr>
    </w:p>
    <w:p w14:paraId="3B47EE12" w14:textId="66330B09" w:rsidR="005E6676" w:rsidRDefault="000C4A1D" w:rsidP="005E6676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Zmiana sposobu </w:t>
      </w:r>
      <w:r w:rsidRPr="001B162C">
        <w:rPr>
          <w:rFonts w:ascii="Times New Roman" w:hAnsi="Times New Roman" w:cs="Times New Roman"/>
        </w:rPr>
        <w:t xml:space="preserve">finansowania w ramach </w:t>
      </w:r>
      <w:r w:rsidRPr="00E01812">
        <w:rPr>
          <w:rFonts w:ascii="Times New Roman" w:hAnsi="Times New Roman" w:cs="Times New Roman"/>
        </w:rPr>
        <w:t>oddziałów przygotowania wojskowego</w:t>
      </w:r>
      <w:r w:rsidR="00C30DD9">
        <w:rPr>
          <w:rFonts w:ascii="Times New Roman" w:hAnsi="Times New Roman" w:cs="Times New Roman"/>
        </w:rPr>
        <w:t xml:space="preserve"> (P</w:t>
      </w:r>
      <w:r w:rsidR="00C30DD9" w:rsidRPr="00C30DD9">
        <w:rPr>
          <w:rFonts w:ascii="Times New Roman" w:hAnsi="Times New Roman" w:cs="Times New Roman"/>
          <w:vertAlign w:val="subscript"/>
        </w:rPr>
        <w:t>43</w:t>
      </w:r>
      <w:r w:rsidR="00C30DD9">
        <w:rPr>
          <w:rFonts w:ascii="Times New Roman" w:hAnsi="Times New Roman" w:cs="Times New Roman"/>
        </w:rPr>
        <w:t>, P</w:t>
      </w:r>
      <w:r w:rsidR="00C30DD9" w:rsidRPr="00C30DD9">
        <w:rPr>
          <w:rFonts w:ascii="Times New Roman" w:hAnsi="Times New Roman" w:cs="Times New Roman"/>
          <w:vertAlign w:val="subscript"/>
        </w:rPr>
        <w:t>44</w:t>
      </w:r>
      <w:r w:rsidR="00C30DD9">
        <w:rPr>
          <w:rFonts w:ascii="Times New Roman" w:hAnsi="Times New Roman" w:cs="Times New Roman"/>
        </w:rPr>
        <w:t>)</w:t>
      </w:r>
      <w:r w:rsidRPr="00E01812">
        <w:rPr>
          <w:rFonts w:ascii="Times New Roman" w:hAnsi="Times New Roman" w:cs="Times New Roman"/>
        </w:rPr>
        <w:t xml:space="preserve"> </w:t>
      </w:r>
    </w:p>
    <w:p w14:paraId="5213CB24" w14:textId="77777777" w:rsidR="001C22D5" w:rsidRDefault="001C22D5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409688C0" w14:textId="1A977798" w:rsidR="005E6676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5E6676">
        <w:rPr>
          <w:rFonts w:ascii="Times New Roman" w:hAnsi="Times New Roman" w:cs="Times New Roman"/>
        </w:rPr>
        <w:t xml:space="preserve">Zgodnie z rozporządzeniem Ministra Obrony Narodowej </w:t>
      </w:r>
      <w:r w:rsidR="00285613" w:rsidRPr="00285613">
        <w:rPr>
          <w:rFonts w:ascii="Times New Roman" w:hAnsi="Times New Roman" w:cs="Times New Roman"/>
        </w:rPr>
        <w:t xml:space="preserve">dnia 21 maja 2020 r. </w:t>
      </w:r>
      <w:r w:rsidRPr="005E6676">
        <w:rPr>
          <w:rFonts w:ascii="Times New Roman" w:hAnsi="Times New Roman" w:cs="Times New Roman"/>
        </w:rPr>
        <w:t>w sprawie szkolenia w oddziale przygotowania wojskowego</w:t>
      </w:r>
      <w:r w:rsidR="00285613">
        <w:rPr>
          <w:rFonts w:ascii="Times New Roman" w:hAnsi="Times New Roman" w:cs="Times New Roman"/>
        </w:rPr>
        <w:t xml:space="preserve"> </w:t>
      </w:r>
      <w:r w:rsidR="00285613" w:rsidRPr="00285613">
        <w:rPr>
          <w:rFonts w:ascii="Times New Roman" w:hAnsi="Times New Roman" w:cs="Times New Roman"/>
        </w:rPr>
        <w:t>(Dz.</w:t>
      </w:r>
      <w:r w:rsidR="00285613">
        <w:rPr>
          <w:rFonts w:ascii="Times New Roman" w:hAnsi="Times New Roman" w:cs="Times New Roman"/>
        </w:rPr>
        <w:t xml:space="preserve"> </w:t>
      </w:r>
      <w:r w:rsidR="00285613" w:rsidRPr="00285613">
        <w:rPr>
          <w:rFonts w:ascii="Times New Roman" w:hAnsi="Times New Roman" w:cs="Times New Roman"/>
        </w:rPr>
        <w:t>U. poz. 977</w:t>
      </w:r>
      <w:r w:rsidR="00285613">
        <w:rPr>
          <w:rFonts w:ascii="Times New Roman" w:hAnsi="Times New Roman" w:cs="Times New Roman"/>
        </w:rPr>
        <w:t>)</w:t>
      </w:r>
      <w:r w:rsidRPr="005E6676">
        <w:rPr>
          <w:rFonts w:ascii="Times New Roman" w:hAnsi="Times New Roman" w:cs="Times New Roman"/>
        </w:rPr>
        <w:t xml:space="preserve"> w roku szkolnym 2021/2022 będą funkcjonować klasy I i II oddziałów przygotowania wojskowego</w:t>
      </w:r>
      <w:r w:rsidR="00927041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a w roku szkolnym 2022/2023 kl</w:t>
      </w:r>
      <w:r w:rsidR="00927041">
        <w:rPr>
          <w:rFonts w:ascii="Times New Roman" w:hAnsi="Times New Roman" w:cs="Times New Roman"/>
        </w:rPr>
        <w:t>asy</w:t>
      </w:r>
      <w:r w:rsidRPr="005E6676">
        <w:rPr>
          <w:rFonts w:ascii="Times New Roman" w:hAnsi="Times New Roman" w:cs="Times New Roman"/>
        </w:rPr>
        <w:t xml:space="preserve"> I</w:t>
      </w:r>
      <w:r w:rsidR="00927041">
        <w:rPr>
          <w:rFonts w:ascii="Times New Roman" w:hAnsi="Times New Roman" w:cs="Times New Roman"/>
        </w:rPr>
        <w:t>–</w:t>
      </w:r>
      <w:r w:rsidRPr="005E6676">
        <w:rPr>
          <w:rFonts w:ascii="Times New Roman" w:hAnsi="Times New Roman" w:cs="Times New Roman"/>
        </w:rPr>
        <w:t>III. Oznacza to</w:t>
      </w:r>
      <w:r w:rsidR="00927041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że w roku budżetowym 2022 przez pierwsze 8 miesięcy będą funkcjonować kl</w:t>
      </w:r>
      <w:r w:rsidR="00927041">
        <w:rPr>
          <w:rFonts w:ascii="Times New Roman" w:hAnsi="Times New Roman" w:cs="Times New Roman"/>
        </w:rPr>
        <w:t>asy</w:t>
      </w:r>
      <w:r w:rsidRPr="005E6676">
        <w:rPr>
          <w:rFonts w:ascii="Times New Roman" w:hAnsi="Times New Roman" w:cs="Times New Roman"/>
        </w:rPr>
        <w:t xml:space="preserve"> I i II</w:t>
      </w:r>
      <w:r w:rsidR="00927041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a przez kolejne 4 miesiące klasy I–III. W klasach I będzie realizowana 1 godzina </w:t>
      </w:r>
      <w:r w:rsidR="00FC550A" w:rsidRPr="00FC550A">
        <w:rPr>
          <w:rFonts w:ascii="Times New Roman" w:hAnsi="Times New Roman" w:cs="Times New Roman"/>
        </w:rPr>
        <w:t>program</w:t>
      </w:r>
      <w:r w:rsidR="00FC550A">
        <w:rPr>
          <w:rFonts w:ascii="Times New Roman" w:hAnsi="Times New Roman" w:cs="Times New Roman"/>
        </w:rPr>
        <w:t>u</w:t>
      </w:r>
      <w:r w:rsidR="00FC550A" w:rsidRPr="00FC550A">
        <w:rPr>
          <w:rFonts w:ascii="Times New Roman" w:hAnsi="Times New Roman" w:cs="Times New Roman"/>
        </w:rPr>
        <w:t xml:space="preserve"> szkolenia realizowan</w:t>
      </w:r>
      <w:r w:rsidR="00FC550A">
        <w:rPr>
          <w:rFonts w:ascii="Times New Roman" w:hAnsi="Times New Roman" w:cs="Times New Roman"/>
        </w:rPr>
        <w:t>ego</w:t>
      </w:r>
      <w:r w:rsidR="00FC550A" w:rsidRPr="00FC550A">
        <w:rPr>
          <w:rFonts w:ascii="Times New Roman" w:hAnsi="Times New Roman" w:cs="Times New Roman"/>
        </w:rPr>
        <w:t xml:space="preserve"> w oddziale przygotowania wojskowego</w:t>
      </w:r>
      <w:r w:rsidR="00FC550A">
        <w:rPr>
          <w:rFonts w:ascii="Times New Roman" w:hAnsi="Times New Roman" w:cs="Times New Roman"/>
        </w:rPr>
        <w:t xml:space="preserve">, </w:t>
      </w:r>
      <w:r w:rsidRPr="005E6676">
        <w:rPr>
          <w:rFonts w:ascii="Times New Roman" w:hAnsi="Times New Roman" w:cs="Times New Roman"/>
        </w:rPr>
        <w:t xml:space="preserve">a w klasie II </w:t>
      </w:r>
      <w:r w:rsidR="00FC550A">
        <w:rPr>
          <w:rFonts w:ascii="Times New Roman" w:hAnsi="Times New Roman" w:cs="Times New Roman"/>
        </w:rPr>
        <w:t>–</w:t>
      </w:r>
      <w:r w:rsidR="00FC550A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2 godziny</w:t>
      </w:r>
      <w:r w:rsidR="0023781E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niezależnie od typu szkoły</w:t>
      </w:r>
      <w:r w:rsidR="00E93305">
        <w:rPr>
          <w:rFonts w:ascii="Times New Roman" w:hAnsi="Times New Roman" w:cs="Times New Roman"/>
        </w:rPr>
        <w:t>.</w:t>
      </w:r>
      <w:r w:rsidRPr="005E6676">
        <w:rPr>
          <w:rFonts w:ascii="Times New Roman" w:hAnsi="Times New Roman" w:cs="Times New Roman"/>
        </w:rPr>
        <w:t xml:space="preserve"> </w:t>
      </w:r>
      <w:r w:rsidR="00E93305">
        <w:rPr>
          <w:rFonts w:ascii="Times New Roman" w:hAnsi="Times New Roman" w:cs="Times New Roman"/>
        </w:rPr>
        <w:t>R</w:t>
      </w:r>
      <w:r w:rsidRPr="005E6676">
        <w:rPr>
          <w:rFonts w:ascii="Times New Roman" w:hAnsi="Times New Roman" w:cs="Times New Roman"/>
        </w:rPr>
        <w:t xml:space="preserve">óżnice </w:t>
      </w:r>
      <w:r w:rsidR="00E93305">
        <w:rPr>
          <w:rFonts w:ascii="Times New Roman" w:hAnsi="Times New Roman" w:cs="Times New Roman"/>
        </w:rPr>
        <w:t xml:space="preserve">w tym zakresie </w:t>
      </w:r>
      <w:r w:rsidRPr="005E6676">
        <w:rPr>
          <w:rFonts w:ascii="Times New Roman" w:hAnsi="Times New Roman" w:cs="Times New Roman"/>
        </w:rPr>
        <w:t xml:space="preserve">pojawią się od </w:t>
      </w:r>
      <w:r w:rsidR="00FC550A">
        <w:rPr>
          <w:rFonts w:ascii="Times New Roman" w:hAnsi="Times New Roman" w:cs="Times New Roman"/>
        </w:rPr>
        <w:t>III</w:t>
      </w:r>
      <w:r w:rsidRPr="005E6676">
        <w:rPr>
          <w:rFonts w:ascii="Times New Roman" w:hAnsi="Times New Roman" w:cs="Times New Roman"/>
        </w:rPr>
        <w:t xml:space="preserve"> klasy.</w:t>
      </w:r>
    </w:p>
    <w:tbl>
      <w:tblPr>
        <w:tblpPr w:leftFromText="141" w:rightFromText="141" w:vertAnchor="text" w:horzAnchor="margin" w:tblpXSpec="center" w:tblpY="217"/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12"/>
        <w:gridCol w:w="1548"/>
      </w:tblGrid>
      <w:tr w:rsidR="005E6676" w:rsidRPr="005E6676" w14:paraId="19D3FD56" w14:textId="77777777" w:rsidTr="005E6676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B575752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Klasa</w:t>
            </w:r>
          </w:p>
        </w:tc>
        <w:tc>
          <w:tcPr>
            <w:tcW w:w="256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BDBBA1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Liczba godz.</w:t>
            </w:r>
          </w:p>
        </w:tc>
      </w:tr>
      <w:tr w:rsidR="005E6676" w:rsidRPr="005E6676" w14:paraId="177737CD" w14:textId="77777777" w:rsidTr="005E6676">
        <w:trPr>
          <w:trHeight w:val="300"/>
        </w:trPr>
        <w:tc>
          <w:tcPr>
            <w:tcW w:w="128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74AA8AA8" w14:textId="77777777" w:rsidR="005E6676" w:rsidRPr="005E6676" w:rsidRDefault="005E6676" w:rsidP="005E6676">
            <w:pPr>
              <w:spacing w:line="276" w:lineRule="auto"/>
              <w:rPr>
                <w:b/>
                <w:bCs/>
                <w:color w:val="3F3F3F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9634A2" w14:textId="77777777" w:rsidR="005E6676" w:rsidRPr="005E6676" w:rsidRDefault="005E6676" w:rsidP="005E6676">
            <w:pPr>
              <w:spacing w:line="276" w:lineRule="auto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Liceum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6E1062" w14:textId="77777777" w:rsidR="005E6676" w:rsidRPr="005E6676" w:rsidRDefault="005E6676" w:rsidP="005E6676">
            <w:pPr>
              <w:spacing w:line="276" w:lineRule="auto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Technikum</w:t>
            </w:r>
          </w:p>
        </w:tc>
      </w:tr>
      <w:tr w:rsidR="005E6676" w:rsidRPr="005E6676" w14:paraId="2C470E46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53A46FCA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AB0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7C4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30</w:t>
            </w:r>
          </w:p>
        </w:tc>
      </w:tr>
      <w:tr w:rsidR="005E6676" w:rsidRPr="005E6676" w14:paraId="6FEB5143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3CFB65A0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II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EEF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834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60</w:t>
            </w:r>
          </w:p>
        </w:tc>
      </w:tr>
      <w:tr w:rsidR="005E6676" w:rsidRPr="005E6676" w14:paraId="26CFF2CD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31997765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lastRenderedPageBreak/>
              <w:t>III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180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41A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30</w:t>
            </w:r>
          </w:p>
        </w:tc>
      </w:tr>
      <w:tr w:rsidR="005E6676" w:rsidRPr="005E6676" w14:paraId="34E0471E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12A275A5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IV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063E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76A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60</w:t>
            </w:r>
          </w:p>
        </w:tc>
      </w:tr>
      <w:tr w:rsidR="005E6676" w:rsidRPr="005E6676" w14:paraId="652DF1CF" w14:textId="77777777" w:rsidTr="005E667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14:paraId="1B151C2C" w14:textId="77777777" w:rsidR="005E6676" w:rsidRPr="005E6676" w:rsidRDefault="005E6676" w:rsidP="005E6676">
            <w:pPr>
              <w:spacing w:line="276" w:lineRule="auto"/>
              <w:jc w:val="center"/>
              <w:rPr>
                <w:b/>
                <w:bCs/>
                <w:color w:val="3F3F3F"/>
              </w:rPr>
            </w:pPr>
            <w:r w:rsidRPr="005E6676">
              <w:rPr>
                <w:b/>
                <w:bCs/>
                <w:color w:val="3F3F3F"/>
              </w:rPr>
              <w:t>V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3E68866" w14:textId="77777777" w:rsidR="005E6676" w:rsidRPr="005E6676" w:rsidRDefault="005E6676" w:rsidP="005E6676">
            <w:pPr>
              <w:spacing w:line="276" w:lineRule="auto"/>
              <w:rPr>
                <w:color w:val="000000"/>
              </w:rPr>
            </w:pPr>
            <w:r w:rsidRPr="005E6676"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E51" w14:textId="77777777" w:rsidR="005E6676" w:rsidRPr="005E6676" w:rsidRDefault="005E6676" w:rsidP="005E6676">
            <w:pPr>
              <w:spacing w:line="276" w:lineRule="auto"/>
              <w:jc w:val="right"/>
              <w:rPr>
                <w:color w:val="000000"/>
              </w:rPr>
            </w:pPr>
            <w:r w:rsidRPr="005E6676">
              <w:rPr>
                <w:color w:val="000000"/>
              </w:rPr>
              <w:t>50</w:t>
            </w:r>
          </w:p>
        </w:tc>
      </w:tr>
    </w:tbl>
    <w:p w14:paraId="2A1FE046" w14:textId="74EDB850" w:rsidR="005E6676" w:rsidRPr="005E6676" w:rsidRDefault="005E6676" w:rsidP="005E6676">
      <w:pPr>
        <w:spacing w:before="240" w:after="160" w:line="276" w:lineRule="auto"/>
        <w:jc w:val="both"/>
      </w:pPr>
    </w:p>
    <w:p w14:paraId="5EC4CAD9" w14:textId="77777777" w:rsidR="005E6676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7A66798E" w14:textId="77777777" w:rsidR="00260B55" w:rsidRDefault="00260B55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7F207B24" w14:textId="6EC04780" w:rsidR="005E6676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5E6676">
        <w:rPr>
          <w:rFonts w:ascii="Times New Roman" w:hAnsi="Times New Roman" w:cs="Times New Roman"/>
        </w:rPr>
        <w:t xml:space="preserve">Na rok szkolny 2020/2021 limit zezwoleń na </w:t>
      </w:r>
      <w:r w:rsidR="00055DE6">
        <w:rPr>
          <w:rFonts w:ascii="Times New Roman" w:hAnsi="Times New Roman" w:cs="Times New Roman"/>
        </w:rPr>
        <w:t>utworzenie</w:t>
      </w:r>
      <w:r w:rsidR="00055DE6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oddziałów przygotowania wojskowego wyniósł 130</w:t>
      </w:r>
      <w:r w:rsidR="00E93305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na rok szkolny 2021/2022 – 150 zezwoleń</w:t>
      </w:r>
      <w:r w:rsidR="00055DE6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natomiast na 2022/2023 planuje się zwiększenie limitu o 40 oddziałów do </w:t>
      </w:r>
      <w:r w:rsidR="00055DE6">
        <w:rPr>
          <w:rFonts w:ascii="Times New Roman" w:hAnsi="Times New Roman" w:cs="Times New Roman"/>
        </w:rPr>
        <w:t xml:space="preserve">łącznej liczby </w:t>
      </w:r>
      <w:r w:rsidRPr="005E6676">
        <w:rPr>
          <w:rFonts w:ascii="Times New Roman" w:hAnsi="Times New Roman" w:cs="Times New Roman"/>
        </w:rPr>
        <w:t xml:space="preserve">190 (szkoły, które </w:t>
      </w:r>
      <w:r w:rsidR="00055DE6">
        <w:rPr>
          <w:rFonts w:ascii="Times New Roman" w:hAnsi="Times New Roman" w:cs="Times New Roman"/>
        </w:rPr>
        <w:t>otrzymały</w:t>
      </w:r>
      <w:r w:rsidR="00055DE6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 xml:space="preserve">już pozytywną decyzję na </w:t>
      </w:r>
      <w:r w:rsidR="00055DE6">
        <w:rPr>
          <w:rFonts w:ascii="Times New Roman" w:hAnsi="Times New Roman" w:cs="Times New Roman"/>
        </w:rPr>
        <w:t>utworzenie</w:t>
      </w:r>
      <w:r w:rsidR="00055DE6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 xml:space="preserve">oddziału począwszy od roku 2020 w kolejnych latach rozpoczynają kształcenie </w:t>
      </w:r>
      <w:r w:rsidR="00055DE6">
        <w:rPr>
          <w:rFonts w:ascii="Times New Roman" w:hAnsi="Times New Roman" w:cs="Times New Roman"/>
        </w:rPr>
        <w:t xml:space="preserve">uczniów </w:t>
      </w:r>
      <w:r w:rsidRPr="005E6676">
        <w:rPr>
          <w:rFonts w:ascii="Times New Roman" w:hAnsi="Times New Roman" w:cs="Times New Roman"/>
        </w:rPr>
        <w:t xml:space="preserve">nowych klas I). </w:t>
      </w:r>
      <w:r w:rsidR="00C3131E">
        <w:rPr>
          <w:rFonts w:ascii="Times New Roman" w:hAnsi="Times New Roman" w:cs="Times New Roman"/>
        </w:rPr>
        <w:t xml:space="preserve">Powyższe zwiększenie limitu wynika z projektu </w:t>
      </w:r>
      <w:r w:rsidR="00C3131E" w:rsidRPr="00C3131E">
        <w:rPr>
          <w:rFonts w:ascii="Times New Roman" w:hAnsi="Times New Roman" w:cs="Times New Roman"/>
        </w:rPr>
        <w:t>rozporządzenia Ministra Obrony Narodowej w sprawie określenia limitu zezwoleń na prowadzenie oddziałów przygotowania wojskowego w roku 2022</w:t>
      </w:r>
      <w:r w:rsidR="00C3131E">
        <w:rPr>
          <w:rFonts w:ascii="Times New Roman" w:hAnsi="Times New Roman" w:cs="Times New Roman"/>
        </w:rPr>
        <w:t xml:space="preserve"> z dnia 7 września 2021 r. skierowanego do uzgodnień międzyresortowych. </w:t>
      </w:r>
      <w:r w:rsidRPr="005E6676">
        <w:rPr>
          <w:rFonts w:ascii="Times New Roman" w:hAnsi="Times New Roman" w:cs="Times New Roman"/>
        </w:rPr>
        <w:t xml:space="preserve">Szacunkowe koszty kształcenia </w:t>
      </w:r>
      <w:r w:rsidR="00B93E68">
        <w:rPr>
          <w:rFonts w:ascii="Times New Roman" w:hAnsi="Times New Roman" w:cs="Times New Roman"/>
        </w:rPr>
        <w:t xml:space="preserve">uczniów w </w:t>
      </w:r>
      <w:r w:rsidRPr="005E6676">
        <w:rPr>
          <w:rFonts w:ascii="Times New Roman" w:hAnsi="Times New Roman" w:cs="Times New Roman"/>
        </w:rPr>
        <w:t>oddział</w:t>
      </w:r>
      <w:r w:rsidR="00B93E68">
        <w:rPr>
          <w:rFonts w:ascii="Times New Roman" w:hAnsi="Times New Roman" w:cs="Times New Roman"/>
        </w:rPr>
        <w:t>ach</w:t>
      </w:r>
      <w:r w:rsidRPr="005E6676">
        <w:rPr>
          <w:rFonts w:ascii="Times New Roman" w:hAnsi="Times New Roman" w:cs="Times New Roman"/>
        </w:rPr>
        <w:t xml:space="preserve"> przygotowania wojskowego w 2022 r. na podstawie powyższych założeń wyniosą ok</w:t>
      </w:r>
      <w:r w:rsidR="00B93E68">
        <w:rPr>
          <w:rFonts w:ascii="Times New Roman" w:hAnsi="Times New Roman" w:cs="Times New Roman"/>
        </w:rPr>
        <w:t>.</w:t>
      </w:r>
      <w:r w:rsidRPr="005E6676">
        <w:rPr>
          <w:rFonts w:ascii="Times New Roman" w:hAnsi="Times New Roman" w:cs="Times New Roman"/>
        </w:rPr>
        <w:t xml:space="preserve"> 2,3 mln zł (licząc koszty wynagrodzenia nauczyciela za 1 godzinę na kwotę ok. 4,3 tys. zł). </w:t>
      </w:r>
    </w:p>
    <w:p w14:paraId="42628B5B" w14:textId="0F54F9D6" w:rsidR="005E6676" w:rsidRPr="00270BB5" w:rsidRDefault="005E6676" w:rsidP="00270BB5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5E6676">
        <w:rPr>
          <w:rFonts w:ascii="Times New Roman" w:hAnsi="Times New Roman" w:cs="Times New Roman"/>
        </w:rPr>
        <w:t xml:space="preserve">W celu uwzględnienia zróżnicowanej liczby godzin nauczania w ramach oddziałów </w:t>
      </w:r>
      <w:r w:rsidR="00B93E68">
        <w:rPr>
          <w:rFonts w:ascii="Times New Roman" w:hAnsi="Times New Roman" w:cs="Times New Roman"/>
        </w:rPr>
        <w:t xml:space="preserve">przygotowania </w:t>
      </w:r>
      <w:r w:rsidRPr="005E6676">
        <w:rPr>
          <w:rFonts w:ascii="Times New Roman" w:hAnsi="Times New Roman" w:cs="Times New Roman"/>
        </w:rPr>
        <w:t>wojskow</w:t>
      </w:r>
      <w:r w:rsidR="00B93E68">
        <w:rPr>
          <w:rFonts w:ascii="Times New Roman" w:hAnsi="Times New Roman" w:cs="Times New Roman"/>
        </w:rPr>
        <w:t>ego</w:t>
      </w:r>
      <w:r w:rsidRPr="005E6676">
        <w:rPr>
          <w:rFonts w:ascii="Times New Roman" w:hAnsi="Times New Roman" w:cs="Times New Roman"/>
        </w:rPr>
        <w:t xml:space="preserve"> w klasach III</w:t>
      </w:r>
      <w:r w:rsidR="00A77ED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w zależności od typu szkoły</w:t>
      </w:r>
      <w:r w:rsidR="00A77ED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proponuje się zastąpienie obecnej wagi P</w:t>
      </w:r>
      <w:r w:rsidRPr="005E6676">
        <w:rPr>
          <w:rFonts w:ascii="Times New Roman" w:hAnsi="Times New Roman" w:cs="Times New Roman"/>
          <w:vertAlign w:val="subscript"/>
        </w:rPr>
        <w:t xml:space="preserve">42 </w:t>
      </w:r>
      <w:r w:rsidR="000C569B" w:rsidRPr="000C569B">
        <w:rPr>
          <w:rFonts w:ascii="Times New Roman" w:hAnsi="Times New Roman" w:cs="Times New Roman"/>
        </w:rPr>
        <w:t>o wartości</w:t>
      </w:r>
      <w:r w:rsidR="00872B2E" w:rsidRPr="000C569B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0,04 dwoma</w:t>
      </w:r>
      <w:r w:rsidR="00B93E68">
        <w:rPr>
          <w:rFonts w:ascii="Times New Roman" w:hAnsi="Times New Roman" w:cs="Times New Roman"/>
        </w:rPr>
        <w:t xml:space="preserve"> odrębnymi wagami</w:t>
      </w:r>
      <w:r w:rsidRPr="005E6676">
        <w:rPr>
          <w:rFonts w:ascii="Times New Roman" w:hAnsi="Times New Roman" w:cs="Times New Roman"/>
        </w:rPr>
        <w:t xml:space="preserve"> w zależności od typu szkoły (</w:t>
      </w:r>
      <w:r w:rsidR="00B93E68">
        <w:rPr>
          <w:rFonts w:ascii="Times New Roman" w:hAnsi="Times New Roman" w:cs="Times New Roman"/>
        </w:rPr>
        <w:t>liceum ogólnokształcące</w:t>
      </w:r>
      <w:r w:rsidR="00A77EDC">
        <w:rPr>
          <w:rFonts w:ascii="Times New Roman" w:hAnsi="Times New Roman" w:cs="Times New Roman"/>
        </w:rPr>
        <w:t xml:space="preserve"> i</w:t>
      </w:r>
      <w:r w:rsidRPr="005E6676">
        <w:rPr>
          <w:rFonts w:ascii="Times New Roman" w:hAnsi="Times New Roman" w:cs="Times New Roman"/>
        </w:rPr>
        <w:t xml:space="preserve"> </w:t>
      </w:r>
      <w:r w:rsidR="00B93E68">
        <w:rPr>
          <w:rFonts w:ascii="Times New Roman" w:hAnsi="Times New Roman" w:cs="Times New Roman"/>
        </w:rPr>
        <w:t>technikum)</w:t>
      </w:r>
      <w:r w:rsidRPr="005E6676">
        <w:rPr>
          <w:rFonts w:ascii="Times New Roman" w:hAnsi="Times New Roman" w:cs="Times New Roman"/>
        </w:rPr>
        <w:t>. Dla uczniów oddziałów</w:t>
      </w:r>
      <w:r w:rsidR="000C1A66">
        <w:rPr>
          <w:rFonts w:ascii="Times New Roman" w:hAnsi="Times New Roman" w:cs="Times New Roman"/>
        </w:rPr>
        <w:t xml:space="preserve"> przygotowania</w:t>
      </w:r>
      <w:r w:rsidRPr="005E6676">
        <w:rPr>
          <w:rFonts w:ascii="Times New Roman" w:hAnsi="Times New Roman" w:cs="Times New Roman"/>
        </w:rPr>
        <w:t xml:space="preserve"> wojskow</w:t>
      </w:r>
      <w:r w:rsidR="000C1A66">
        <w:rPr>
          <w:rFonts w:ascii="Times New Roman" w:hAnsi="Times New Roman" w:cs="Times New Roman"/>
        </w:rPr>
        <w:t>ego</w:t>
      </w:r>
      <w:r w:rsidRPr="005E6676">
        <w:rPr>
          <w:rFonts w:ascii="Times New Roman" w:hAnsi="Times New Roman" w:cs="Times New Roman"/>
        </w:rPr>
        <w:t xml:space="preserve"> w </w:t>
      </w:r>
      <w:r w:rsidR="000C1A66">
        <w:rPr>
          <w:rFonts w:ascii="Times New Roman" w:hAnsi="Times New Roman" w:cs="Times New Roman"/>
        </w:rPr>
        <w:t>liceach ogólnokształcących przewiduje się</w:t>
      </w:r>
      <w:r w:rsidRPr="005E6676">
        <w:rPr>
          <w:rFonts w:ascii="Times New Roman" w:hAnsi="Times New Roman" w:cs="Times New Roman"/>
        </w:rPr>
        <w:t xml:space="preserve"> wag</w:t>
      </w:r>
      <w:r w:rsidR="000C1A66">
        <w:rPr>
          <w:rFonts w:ascii="Times New Roman" w:hAnsi="Times New Roman" w:cs="Times New Roman"/>
        </w:rPr>
        <w:t>ę</w:t>
      </w:r>
      <w:r w:rsidR="00B82D79">
        <w:rPr>
          <w:rFonts w:ascii="Times New Roman" w:hAnsi="Times New Roman" w:cs="Times New Roman"/>
        </w:rPr>
        <w:t xml:space="preserve"> P</w:t>
      </w:r>
      <w:r w:rsidR="00B82D79" w:rsidRPr="00C30DD9">
        <w:rPr>
          <w:rFonts w:ascii="Times New Roman" w:hAnsi="Times New Roman" w:cs="Times New Roman"/>
          <w:vertAlign w:val="subscript"/>
        </w:rPr>
        <w:t>43</w:t>
      </w:r>
      <w:r w:rsidR="00872B2E">
        <w:rPr>
          <w:rFonts w:ascii="Times New Roman" w:hAnsi="Times New Roman" w:cs="Times New Roman"/>
          <w:vertAlign w:val="subscript"/>
        </w:rPr>
        <w:t xml:space="preserve"> </w:t>
      </w:r>
      <w:r w:rsidR="000C569B" w:rsidRPr="000C569B">
        <w:rPr>
          <w:rFonts w:ascii="Times New Roman" w:hAnsi="Times New Roman" w:cs="Times New Roman"/>
        </w:rPr>
        <w:t xml:space="preserve">o wartości </w:t>
      </w:r>
      <w:r w:rsidRPr="005E6676">
        <w:rPr>
          <w:rFonts w:ascii="Times New Roman" w:hAnsi="Times New Roman" w:cs="Times New Roman"/>
        </w:rPr>
        <w:t>0,06</w:t>
      </w:r>
      <w:r w:rsidR="00872B2E">
        <w:rPr>
          <w:rFonts w:ascii="Times New Roman" w:hAnsi="Times New Roman" w:cs="Times New Roman"/>
        </w:rPr>
        <w:t>, a</w:t>
      </w:r>
      <w:r w:rsidRPr="005E6676">
        <w:rPr>
          <w:rFonts w:ascii="Times New Roman" w:hAnsi="Times New Roman" w:cs="Times New Roman"/>
        </w:rPr>
        <w:t xml:space="preserve"> dla uczniów oddziałów </w:t>
      </w:r>
      <w:r w:rsidR="00872B2E">
        <w:rPr>
          <w:rFonts w:ascii="Times New Roman" w:hAnsi="Times New Roman" w:cs="Times New Roman"/>
        </w:rPr>
        <w:t>przygotowania</w:t>
      </w:r>
      <w:r w:rsidR="00872B2E" w:rsidRPr="005E6676">
        <w:rPr>
          <w:rFonts w:ascii="Times New Roman" w:hAnsi="Times New Roman" w:cs="Times New Roman"/>
        </w:rPr>
        <w:t xml:space="preserve"> wojskow</w:t>
      </w:r>
      <w:r w:rsidR="00872B2E">
        <w:rPr>
          <w:rFonts w:ascii="Times New Roman" w:hAnsi="Times New Roman" w:cs="Times New Roman"/>
        </w:rPr>
        <w:t>ego</w:t>
      </w:r>
      <w:r w:rsidRPr="005E6676">
        <w:rPr>
          <w:rFonts w:ascii="Times New Roman" w:hAnsi="Times New Roman" w:cs="Times New Roman"/>
        </w:rPr>
        <w:t xml:space="preserve"> w </w:t>
      </w:r>
      <w:r w:rsidR="00872B2E">
        <w:rPr>
          <w:rFonts w:ascii="Times New Roman" w:hAnsi="Times New Roman" w:cs="Times New Roman"/>
        </w:rPr>
        <w:t>technikach</w:t>
      </w:r>
      <w:r w:rsidR="00872B2E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>wag</w:t>
      </w:r>
      <w:r w:rsidR="00872B2E">
        <w:rPr>
          <w:rFonts w:ascii="Times New Roman" w:hAnsi="Times New Roman" w:cs="Times New Roman"/>
        </w:rPr>
        <w:t>ę</w:t>
      </w:r>
      <w:r w:rsidRPr="005E6676">
        <w:rPr>
          <w:rFonts w:ascii="Times New Roman" w:hAnsi="Times New Roman" w:cs="Times New Roman"/>
        </w:rPr>
        <w:t xml:space="preserve"> </w:t>
      </w:r>
      <w:r w:rsidR="00872B2E" w:rsidRPr="00872B2E">
        <w:rPr>
          <w:rFonts w:ascii="Times New Roman" w:hAnsi="Times New Roman" w:cs="Times New Roman"/>
        </w:rPr>
        <w:t>P</w:t>
      </w:r>
      <w:r w:rsidR="00872B2E" w:rsidRPr="00872B2E">
        <w:rPr>
          <w:rFonts w:ascii="Times New Roman" w:hAnsi="Times New Roman" w:cs="Times New Roman"/>
          <w:vertAlign w:val="subscript"/>
        </w:rPr>
        <w:t>44</w:t>
      </w:r>
      <w:r w:rsidR="00872B2E">
        <w:rPr>
          <w:rFonts w:ascii="Times New Roman" w:hAnsi="Times New Roman" w:cs="Times New Roman"/>
          <w:vertAlign w:val="subscript"/>
        </w:rPr>
        <w:t xml:space="preserve"> </w:t>
      </w:r>
      <w:r w:rsidR="000C569B" w:rsidRPr="000C569B">
        <w:rPr>
          <w:rFonts w:ascii="Times New Roman" w:hAnsi="Times New Roman" w:cs="Times New Roman"/>
        </w:rPr>
        <w:t xml:space="preserve">o wartości </w:t>
      </w:r>
      <w:r w:rsidRPr="005E6676">
        <w:rPr>
          <w:rFonts w:ascii="Times New Roman" w:hAnsi="Times New Roman" w:cs="Times New Roman"/>
        </w:rPr>
        <w:t>0,05 (przy złożeniu że w oddziale uczy się średnio 22 uczniów</w:t>
      </w:r>
      <w:r w:rsidRPr="005E6676">
        <w:rPr>
          <w:rStyle w:val="Odwoanieprzypisudolnego"/>
          <w:rFonts w:ascii="Times New Roman" w:hAnsi="Times New Roman" w:cs="Times New Roman"/>
        </w:rPr>
        <w:footnoteReference w:id="3"/>
      </w:r>
      <w:r w:rsidRPr="005E6676">
        <w:rPr>
          <w:rFonts w:ascii="Times New Roman" w:hAnsi="Times New Roman" w:cs="Times New Roman"/>
        </w:rPr>
        <w:t xml:space="preserve">). Należy jednak wziąć pod uwagę, że naliczanie subwencji </w:t>
      </w:r>
      <w:r w:rsidR="00A77EDC">
        <w:rPr>
          <w:rFonts w:ascii="Times New Roman" w:hAnsi="Times New Roman" w:cs="Times New Roman"/>
        </w:rPr>
        <w:t xml:space="preserve">oświatowej </w:t>
      </w:r>
      <w:r w:rsidRPr="005E6676">
        <w:rPr>
          <w:rFonts w:ascii="Times New Roman" w:hAnsi="Times New Roman" w:cs="Times New Roman"/>
        </w:rPr>
        <w:t xml:space="preserve">na </w:t>
      </w:r>
      <w:r w:rsidR="00200ECE">
        <w:rPr>
          <w:rFonts w:ascii="Times New Roman" w:hAnsi="Times New Roman" w:cs="Times New Roman"/>
        </w:rPr>
        <w:t xml:space="preserve">rok </w:t>
      </w:r>
      <w:r w:rsidRPr="005E6676">
        <w:rPr>
          <w:rFonts w:ascii="Times New Roman" w:hAnsi="Times New Roman" w:cs="Times New Roman"/>
        </w:rPr>
        <w:t>2022 odbywa się na uczniów wykazanych w</w:t>
      </w:r>
      <w:r w:rsidR="00810C8A">
        <w:rPr>
          <w:rFonts w:ascii="Times New Roman" w:hAnsi="Times New Roman" w:cs="Times New Roman"/>
        </w:rPr>
        <w:t>edług danych systemu informacji oświatowej</w:t>
      </w:r>
      <w:r w:rsidRPr="005E6676">
        <w:rPr>
          <w:rFonts w:ascii="Times New Roman" w:hAnsi="Times New Roman" w:cs="Times New Roman"/>
        </w:rPr>
        <w:t xml:space="preserve"> na </w:t>
      </w:r>
      <w:r w:rsidR="00810C8A">
        <w:rPr>
          <w:rFonts w:ascii="Times New Roman" w:hAnsi="Times New Roman" w:cs="Times New Roman"/>
        </w:rPr>
        <w:t xml:space="preserve">dzień </w:t>
      </w:r>
      <w:r w:rsidRPr="005E6676">
        <w:rPr>
          <w:rFonts w:ascii="Times New Roman" w:hAnsi="Times New Roman" w:cs="Times New Roman"/>
        </w:rPr>
        <w:t>30 września 2021 r.</w:t>
      </w:r>
      <w:r w:rsidR="00810C8A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</w:t>
      </w:r>
      <w:r w:rsidR="00683091">
        <w:rPr>
          <w:rFonts w:ascii="Times New Roman" w:hAnsi="Times New Roman" w:cs="Times New Roman"/>
        </w:rPr>
        <w:t>zatem</w:t>
      </w:r>
      <w:r w:rsidRPr="005E6676">
        <w:rPr>
          <w:rFonts w:ascii="Times New Roman" w:hAnsi="Times New Roman" w:cs="Times New Roman"/>
        </w:rPr>
        <w:t xml:space="preserve"> nie uwzględnia się uczniów nowych oddziałów klas I, któr</w:t>
      </w:r>
      <w:r w:rsidR="00683091">
        <w:rPr>
          <w:rFonts w:ascii="Times New Roman" w:hAnsi="Times New Roman" w:cs="Times New Roman"/>
        </w:rPr>
        <w:t>zy</w:t>
      </w:r>
      <w:r w:rsidRPr="005E6676">
        <w:rPr>
          <w:rFonts w:ascii="Times New Roman" w:hAnsi="Times New Roman" w:cs="Times New Roman"/>
        </w:rPr>
        <w:t xml:space="preserve"> rozpoczną kształcenie w roku szkolnym 2022/2023. Dlatego proponuje się </w:t>
      </w:r>
      <w:r w:rsidR="00520C6C">
        <w:rPr>
          <w:rFonts w:ascii="Times New Roman" w:hAnsi="Times New Roman" w:cs="Times New Roman"/>
        </w:rPr>
        <w:t xml:space="preserve">liczbę </w:t>
      </w:r>
      <w:r w:rsidRPr="005E6676">
        <w:rPr>
          <w:rFonts w:ascii="Times New Roman" w:hAnsi="Times New Roman" w:cs="Times New Roman"/>
        </w:rPr>
        <w:t>uczniów klas I wykazanych w przedmiotowych oddziałach</w:t>
      </w:r>
      <w:r w:rsidR="00520C6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wykazanych na </w:t>
      </w:r>
      <w:r w:rsidR="00520C6C">
        <w:rPr>
          <w:rFonts w:ascii="Times New Roman" w:hAnsi="Times New Roman" w:cs="Times New Roman"/>
        </w:rPr>
        <w:t xml:space="preserve">dzień </w:t>
      </w:r>
      <w:r w:rsidRPr="005E6676">
        <w:rPr>
          <w:rFonts w:ascii="Times New Roman" w:hAnsi="Times New Roman" w:cs="Times New Roman"/>
        </w:rPr>
        <w:t>30 września 2021 r.</w:t>
      </w:r>
      <w:r w:rsidR="00520C6C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powiększyć wskaźnikiem 1,33. Ponadto zakłada się, że 40 dodatkowych </w:t>
      </w:r>
      <w:r w:rsidR="0006640B">
        <w:rPr>
          <w:rFonts w:ascii="Times New Roman" w:hAnsi="Times New Roman" w:cs="Times New Roman"/>
        </w:rPr>
        <w:t>zezwoleń</w:t>
      </w:r>
      <w:r w:rsidR="0006640B" w:rsidRPr="005E6676">
        <w:rPr>
          <w:rFonts w:ascii="Times New Roman" w:hAnsi="Times New Roman" w:cs="Times New Roman"/>
        </w:rPr>
        <w:t xml:space="preserve"> </w:t>
      </w:r>
      <w:r w:rsidRPr="005E6676">
        <w:rPr>
          <w:rFonts w:ascii="Times New Roman" w:hAnsi="Times New Roman" w:cs="Times New Roman"/>
        </w:rPr>
        <w:t xml:space="preserve">na </w:t>
      </w:r>
      <w:r w:rsidR="0006640B">
        <w:rPr>
          <w:rFonts w:ascii="Times New Roman" w:hAnsi="Times New Roman" w:cs="Times New Roman"/>
        </w:rPr>
        <w:t>utworzenie</w:t>
      </w:r>
      <w:r w:rsidRPr="005E6676">
        <w:rPr>
          <w:rFonts w:ascii="Times New Roman" w:hAnsi="Times New Roman" w:cs="Times New Roman"/>
        </w:rPr>
        <w:t xml:space="preserve"> oddziałów</w:t>
      </w:r>
      <w:r w:rsidR="00520C6C">
        <w:rPr>
          <w:rFonts w:ascii="Times New Roman" w:hAnsi="Times New Roman" w:cs="Times New Roman"/>
        </w:rPr>
        <w:t xml:space="preserve"> przygotowania wojskowego</w:t>
      </w:r>
      <w:r w:rsidRPr="005E6676">
        <w:rPr>
          <w:rFonts w:ascii="Times New Roman" w:hAnsi="Times New Roman" w:cs="Times New Roman"/>
        </w:rPr>
        <w:t xml:space="preserve"> w roku szkolnym 2022/2023 (ze względu</w:t>
      </w:r>
      <w:r w:rsidR="0006640B">
        <w:rPr>
          <w:rFonts w:ascii="Times New Roman" w:hAnsi="Times New Roman" w:cs="Times New Roman"/>
        </w:rPr>
        <w:t xml:space="preserve"> na to</w:t>
      </w:r>
      <w:r w:rsidRPr="005E6676">
        <w:rPr>
          <w:rFonts w:ascii="Times New Roman" w:hAnsi="Times New Roman" w:cs="Times New Roman"/>
        </w:rPr>
        <w:t xml:space="preserve">, że nieznane jest, w których samorządach się </w:t>
      </w:r>
      <w:r w:rsidR="0006640B">
        <w:rPr>
          <w:rFonts w:ascii="Times New Roman" w:hAnsi="Times New Roman" w:cs="Times New Roman"/>
        </w:rPr>
        <w:t>u</w:t>
      </w:r>
      <w:r w:rsidR="0006640B" w:rsidRPr="005E6676">
        <w:rPr>
          <w:rFonts w:ascii="Times New Roman" w:hAnsi="Times New Roman" w:cs="Times New Roman"/>
        </w:rPr>
        <w:t>tworzą</w:t>
      </w:r>
      <w:r w:rsidRPr="005E6676">
        <w:rPr>
          <w:rFonts w:ascii="Times New Roman" w:hAnsi="Times New Roman" w:cs="Times New Roman"/>
        </w:rPr>
        <w:t>)</w:t>
      </w:r>
      <w:r w:rsidR="0006640B">
        <w:rPr>
          <w:rFonts w:ascii="Times New Roman" w:hAnsi="Times New Roman" w:cs="Times New Roman"/>
        </w:rPr>
        <w:t>,</w:t>
      </w:r>
      <w:r w:rsidRPr="005E6676">
        <w:rPr>
          <w:rFonts w:ascii="Times New Roman" w:hAnsi="Times New Roman" w:cs="Times New Roman"/>
        </w:rPr>
        <w:t xml:space="preserve"> zostanie s</w:t>
      </w:r>
      <w:r w:rsidR="0012685A">
        <w:rPr>
          <w:rFonts w:ascii="Times New Roman" w:hAnsi="Times New Roman" w:cs="Times New Roman"/>
        </w:rPr>
        <w:t>finansowane z rezerwy subwencji</w:t>
      </w:r>
      <w:r w:rsidR="0006640B">
        <w:rPr>
          <w:rFonts w:ascii="Times New Roman" w:hAnsi="Times New Roman" w:cs="Times New Roman"/>
        </w:rPr>
        <w:t xml:space="preserve"> oświatowej</w:t>
      </w:r>
      <w:r w:rsidR="0012685A">
        <w:rPr>
          <w:rFonts w:ascii="Times New Roman" w:hAnsi="Times New Roman" w:cs="Times New Roman"/>
        </w:rPr>
        <w:t>.</w:t>
      </w:r>
    </w:p>
    <w:p w14:paraId="04224EEA" w14:textId="77777777" w:rsidR="005E6676" w:rsidRPr="00B62EFB" w:rsidRDefault="005E6676" w:rsidP="005E6676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39FAE786" w14:textId="4A014FDF" w:rsidR="00E91D8F" w:rsidRDefault="000C4A1D" w:rsidP="00373641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>Kontynuacja finansowania uczniów w</w:t>
      </w:r>
      <w:r w:rsidR="008F6E9A">
        <w:rPr>
          <w:rFonts w:ascii="Times New Roman" w:hAnsi="Times New Roman" w:cs="Times New Roman"/>
        </w:rPr>
        <w:t>edłu</w:t>
      </w:r>
      <w:r w:rsidRPr="00B62EFB">
        <w:rPr>
          <w:rFonts w:ascii="Times New Roman" w:hAnsi="Times New Roman" w:cs="Times New Roman"/>
        </w:rPr>
        <w:t>g prognozy zapotrzebowania na pracowników w</w:t>
      </w:r>
      <w:r w:rsidR="007914E0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 xml:space="preserve">zawodach szkolnictwa branżowego na krajowym i wojewódzkim rynku pracy. </w:t>
      </w:r>
    </w:p>
    <w:p w14:paraId="4AD3FC79" w14:textId="77777777" w:rsidR="00810C7B" w:rsidRPr="0079004A" w:rsidRDefault="00810C7B" w:rsidP="0079004A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4570F871" w14:textId="12FDA94C" w:rsidR="00F233EA" w:rsidRPr="008771D9" w:rsidRDefault="00810C7B" w:rsidP="0012685A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8771D9">
        <w:rPr>
          <w:rFonts w:ascii="Times New Roman" w:hAnsi="Times New Roman" w:cs="Times New Roman"/>
        </w:rPr>
        <w:t xml:space="preserve">Uaktualniono zawody </w:t>
      </w:r>
      <w:r w:rsidR="009953BC">
        <w:rPr>
          <w:rFonts w:ascii="Times New Roman" w:hAnsi="Times New Roman" w:cs="Times New Roman"/>
        </w:rPr>
        <w:t>w opisie</w:t>
      </w:r>
      <w:r w:rsidR="009953BC" w:rsidRPr="008771D9">
        <w:rPr>
          <w:rFonts w:ascii="Times New Roman" w:hAnsi="Times New Roman" w:cs="Times New Roman"/>
        </w:rPr>
        <w:t xml:space="preserve"> </w:t>
      </w:r>
      <w:r w:rsidRPr="008771D9">
        <w:rPr>
          <w:rFonts w:ascii="Times New Roman" w:hAnsi="Times New Roman" w:cs="Times New Roman"/>
        </w:rPr>
        <w:t xml:space="preserve">wag dotyczących kształcenia zawodowego. </w:t>
      </w:r>
      <w:r w:rsidR="00F233EA" w:rsidRPr="008771D9">
        <w:rPr>
          <w:rFonts w:ascii="Times New Roman" w:hAnsi="Times New Roman" w:cs="Times New Roman"/>
        </w:rPr>
        <w:t xml:space="preserve">W roku 2022 w zakresie kształcenia </w:t>
      </w:r>
      <w:r w:rsidR="009953BC">
        <w:rPr>
          <w:rFonts w:ascii="Times New Roman" w:hAnsi="Times New Roman" w:cs="Times New Roman"/>
        </w:rPr>
        <w:t xml:space="preserve">zawodowego </w:t>
      </w:r>
      <w:r w:rsidR="00F233EA" w:rsidRPr="008771D9">
        <w:rPr>
          <w:rFonts w:ascii="Times New Roman" w:hAnsi="Times New Roman" w:cs="Times New Roman"/>
        </w:rPr>
        <w:t>zostały do</w:t>
      </w:r>
      <w:r w:rsidR="009953BC">
        <w:rPr>
          <w:rFonts w:ascii="Times New Roman" w:hAnsi="Times New Roman" w:cs="Times New Roman"/>
        </w:rPr>
        <w:t xml:space="preserve">pisane </w:t>
      </w:r>
      <w:r w:rsidR="00F233EA" w:rsidRPr="008771D9">
        <w:rPr>
          <w:rFonts w:ascii="Times New Roman" w:hAnsi="Times New Roman" w:cs="Times New Roman"/>
        </w:rPr>
        <w:t>4 nowe zawody: podolog, technik dekarstwa, technik robotyk, technik stylista. Proponuje się przypisanie ich do następujących wag:</w:t>
      </w:r>
    </w:p>
    <w:p w14:paraId="19F7DB93" w14:textId="2854800F" w:rsidR="00F233EA" w:rsidRPr="008771D9" w:rsidRDefault="00F233EA" w:rsidP="0079004A">
      <w:pPr>
        <w:pStyle w:val="Akapitzlist"/>
        <w:numPr>
          <w:ilvl w:val="0"/>
          <w:numId w:val="20"/>
        </w:numPr>
        <w:spacing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8771D9">
        <w:rPr>
          <w:rFonts w:ascii="Times New Roman" w:hAnsi="Times New Roman" w:cs="Times New Roman"/>
        </w:rPr>
        <w:t>podolog – P</w:t>
      </w:r>
      <w:r w:rsidR="00C30DD9" w:rsidRPr="00C30DD9">
        <w:rPr>
          <w:rFonts w:ascii="Times New Roman" w:hAnsi="Times New Roman" w:cs="Times New Roman"/>
          <w:vertAlign w:val="subscript"/>
        </w:rPr>
        <w:t>13</w:t>
      </w:r>
      <w:r w:rsidR="0086797C" w:rsidRPr="008771D9">
        <w:rPr>
          <w:rFonts w:ascii="Times New Roman" w:hAnsi="Times New Roman" w:cs="Times New Roman"/>
        </w:rPr>
        <w:t xml:space="preserve"> (wartość wagi 0,23) ok</w:t>
      </w:r>
      <w:r w:rsidR="00B176DA">
        <w:rPr>
          <w:rFonts w:ascii="Times New Roman" w:hAnsi="Times New Roman" w:cs="Times New Roman"/>
        </w:rPr>
        <w:t>.</w:t>
      </w:r>
      <w:r w:rsidR="0086797C" w:rsidRPr="008771D9">
        <w:rPr>
          <w:rFonts w:ascii="Times New Roman" w:hAnsi="Times New Roman" w:cs="Times New Roman"/>
        </w:rPr>
        <w:t xml:space="preserve"> 0,8</w:t>
      </w:r>
      <w:r w:rsidRPr="008771D9">
        <w:rPr>
          <w:rFonts w:ascii="Times New Roman" w:hAnsi="Times New Roman" w:cs="Times New Roman"/>
        </w:rPr>
        <w:t xml:space="preserve"> tys. uczniów;</w:t>
      </w:r>
    </w:p>
    <w:p w14:paraId="54AF45AE" w14:textId="23C13D69" w:rsidR="00F233EA" w:rsidRPr="008771D9" w:rsidRDefault="00C30DD9" w:rsidP="0079004A">
      <w:pPr>
        <w:pStyle w:val="Akapitzlist"/>
        <w:numPr>
          <w:ilvl w:val="0"/>
          <w:numId w:val="20"/>
        </w:numPr>
        <w:spacing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dekarstwa – P</w:t>
      </w:r>
      <w:r w:rsidRPr="00C30DD9">
        <w:rPr>
          <w:rFonts w:ascii="Times New Roman" w:hAnsi="Times New Roman" w:cs="Times New Roman"/>
          <w:vertAlign w:val="subscript"/>
        </w:rPr>
        <w:t>17</w:t>
      </w:r>
      <w:r>
        <w:rPr>
          <w:rFonts w:ascii="Times New Roman" w:hAnsi="Times New Roman" w:cs="Times New Roman"/>
        </w:rPr>
        <w:t xml:space="preserve"> </w:t>
      </w:r>
      <w:r w:rsidR="00F233EA" w:rsidRPr="008771D9">
        <w:rPr>
          <w:rFonts w:ascii="Times New Roman" w:hAnsi="Times New Roman" w:cs="Times New Roman"/>
        </w:rPr>
        <w:t xml:space="preserve">(wartość wagi 0,23) – </w:t>
      </w:r>
      <w:r w:rsidR="008771D9" w:rsidRPr="008771D9">
        <w:rPr>
          <w:rFonts w:ascii="Times New Roman" w:hAnsi="Times New Roman" w:cs="Times New Roman"/>
        </w:rPr>
        <w:t>poniżej 0,1 tys. uczniów</w:t>
      </w:r>
      <w:r w:rsidR="00F233EA" w:rsidRPr="008771D9">
        <w:rPr>
          <w:rFonts w:ascii="Times New Roman" w:hAnsi="Times New Roman" w:cs="Times New Roman"/>
        </w:rPr>
        <w:t>;</w:t>
      </w:r>
    </w:p>
    <w:p w14:paraId="631115A7" w14:textId="4CC182CF" w:rsidR="00F233EA" w:rsidRPr="008771D9" w:rsidRDefault="00F233EA" w:rsidP="0079004A">
      <w:pPr>
        <w:pStyle w:val="Akapitzlist"/>
        <w:numPr>
          <w:ilvl w:val="0"/>
          <w:numId w:val="20"/>
        </w:numPr>
        <w:spacing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8771D9">
        <w:rPr>
          <w:rFonts w:ascii="Times New Roman" w:hAnsi="Times New Roman" w:cs="Times New Roman"/>
        </w:rPr>
        <w:t xml:space="preserve">technik robotyk – </w:t>
      </w:r>
      <w:r w:rsidR="00C30DD9">
        <w:rPr>
          <w:rFonts w:ascii="Times New Roman" w:hAnsi="Times New Roman" w:cs="Times New Roman"/>
        </w:rPr>
        <w:t>P</w:t>
      </w:r>
      <w:r w:rsidR="00C30DD9" w:rsidRPr="00C30DD9">
        <w:rPr>
          <w:rFonts w:ascii="Times New Roman" w:hAnsi="Times New Roman" w:cs="Times New Roman"/>
          <w:vertAlign w:val="subscript"/>
        </w:rPr>
        <w:t>14</w:t>
      </w:r>
      <w:r w:rsidR="008771D9" w:rsidRPr="008771D9">
        <w:rPr>
          <w:rFonts w:ascii="Times New Roman" w:hAnsi="Times New Roman" w:cs="Times New Roman"/>
        </w:rPr>
        <w:t xml:space="preserve"> (wartość wagi 0,4) ok</w:t>
      </w:r>
      <w:r w:rsidR="00B176DA">
        <w:rPr>
          <w:rFonts w:ascii="Times New Roman" w:hAnsi="Times New Roman" w:cs="Times New Roman"/>
        </w:rPr>
        <w:t>.</w:t>
      </w:r>
      <w:r w:rsidR="008771D9" w:rsidRPr="008771D9">
        <w:rPr>
          <w:rFonts w:ascii="Times New Roman" w:hAnsi="Times New Roman" w:cs="Times New Roman"/>
        </w:rPr>
        <w:t xml:space="preserve"> 0,3</w:t>
      </w:r>
      <w:r w:rsidRPr="008771D9">
        <w:rPr>
          <w:rFonts w:ascii="Times New Roman" w:hAnsi="Times New Roman" w:cs="Times New Roman"/>
        </w:rPr>
        <w:t xml:space="preserve"> tys. uczniów;</w:t>
      </w:r>
    </w:p>
    <w:p w14:paraId="29958B51" w14:textId="36C4245A" w:rsidR="00F233EA" w:rsidRPr="008771D9" w:rsidRDefault="00F233EA" w:rsidP="0079004A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8771D9">
        <w:rPr>
          <w:rFonts w:ascii="Times New Roman" w:hAnsi="Times New Roman" w:cs="Times New Roman"/>
        </w:rPr>
        <w:t>technik stylista – P</w:t>
      </w:r>
      <w:r w:rsidR="008771D9" w:rsidRPr="00C30DD9">
        <w:rPr>
          <w:rFonts w:ascii="Times New Roman" w:hAnsi="Times New Roman" w:cs="Times New Roman"/>
          <w:vertAlign w:val="subscript"/>
        </w:rPr>
        <w:t>1</w:t>
      </w:r>
      <w:r w:rsidR="00C30DD9">
        <w:rPr>
          <w:rFonts w:ascii="Times New Roman" w:hAnsi="Times New Roman" w:cs="Times New Roman"/>
          <w:vertAlign w:val="subscript"/>
        </w:rPr>
        <w:t>6</w:t>
      </w:r>
      <w:r w:rsidR="008771D9" w:rsidRPr="008771D9">
        <w:rPr>
          <w:rFonts w:ascii="Times New Roman" w:hAnsi="Times New Roman" w:cs="Times New Roman"/>
        </w:rPr>
        <w:t xml:space="preserve"> (wartość wagi 0,29) ok</w:t>
      </w:r>
      <w:r w:rsidR="00B176DA">
        <w:rPr>
          <w:rFonts w:ascii="Times New Roman" w:hAnsi="Times New Roman" w:cs="Times New Roman"/>
        </w:rPr>
        <w:t>.</w:t>
      </w:r>
      <w:r w:rsidR="008771D9" w:rsidRPr="008771D9">
        <w:rPr>
          <w:rFonts w:ascii="Times New Roman" w:hAnsi="Times New Roman" w:cs="Times New Roman"/>
        </w:rPr>
        <w:t xml:space="preserve"> 0,4</w:t>
      </w:r>
      <w:r w:rsidRPr="008771D9">
        <w:rPr>
          <w:rFonts w:ascii="Times New Roman" w:hAnsi="Times New Roman" w:cs="Times New Roman"/>
        </w:rPr>
        <w:t xml:space="preserve"> tys. uczniów.</w:t>
      </w:r>
    </w:p>
    <w:p w14:paraId="2881B62B" w14:textId="1DB372C7" w:rsidR="00F233EA" w:rsidRPr="00F233EA" w:rsidRDefault="00F233EA" w:rsidP="00F233EA">
      <w:pPr>
        <w:spacing w:line="276" w:lineRule="auto"/>
        <w:ind w:left="283"/>
        <w:jc w:val="both"/>
      </w:pPr>
      <w:r w:rsidRPr="008771D9">
        <w:lastRenderedPageBreak/>
        <w:t>Dodatkowo proponuje się przyporządkowanie do obecnej wagi P</w:t>
      </w:r>
      <w:r w:rsidR="00C30DD9">
        <w:rPr>
          <w:vertAlign w:val="subscript"/>
        </w:rPr>
        <w:t>16</w:t>
      </w:r>
      <w:r w:rsidRPr="008771D9">
        <w:t xml:space="preserve"> zawodu technik przemysłu mody</w:t>
      </w:r>
      <w:r w:rsidR="008771D9" w:rsidRPr="008771D9">
        <w:t xml:space="preserve"> (ok</w:t>
      </w:r>
      <w:r w:rsidR="00B176DA">
        <w:t>.</w:t>
      </w:r>
      <w:r w:rsidR="008771D9" w:rsidRPr="008771D9">
        <w:t xml:space="preserve"> 3,1 tys. uczniów)</w:t>
      </w:r>
      <w:r w:rsidRPr="008771D9">
        <w:t>, w którym pierwsza</w:t>
      </w:r>
      <w:r w:rsidRPr="00F233EA">
        <w:t xml:space="preserve"> z wyodrębnionych kwalifikacji jest tożsama z kwalifikacją wyodrębnioną w zawodzie krawiec (zawód obecnie w wadze P</w:t>
      </w:r>
      <w:r w:rsidR="00C30DD9">
        <w:rPr>
          <w:vertAlign w:val="subscript"/>
        </w:rPr>
        <w:t>16</w:t>
      </w:r>
      <w:r w:rsidRPr="00F233EA">
        <w:t>).</w:t>
      </w:r>
    </w:p>
    <w:p w14:paraId="7F76F856" w14:textId="77777777" w:rsidR="00F233EA" w:rsidRPr="00F233EA" w:rsidRDefault="00F233EA" w:rsidP="00F233EA">
      <w:pPr>
        <w:spacing w:line="276" w:lineRule="auto"/>
        <w:ind w:left="283"/>
        <w:jc w:val="both"/>
      </w:pPr>
    </w:p>
    <w:p w14:paraId="12C90A3C" w14:textId="40FF509D" w:rsidR="00810C7B" w:rsidRPr="0098056C" w:rsidRDefault="00F233EA" w:rsidP="00F233EA">
      <w:pPr>
        <w:spacing w:line="276" w:lineRule="auto"/>
        <w:ind w:left="283"/>
        <w:jc w:val="both"/>
      </w:pPr>
      <w:r w:rsidRPr="00F233EA">
        <w:t>Zawody w</w:t>
      </w:r>
      <w:r w:rsidR="0015762F">
        <w:t>edług</w:t>
      </w:r>
      <w:r w:rsidRPr="00F233EA">
        <w:t xml:space="preserve"> nowej prognozy zostaną naliczone na uczniów klas I szkół </w:t>
      </w:r>
      <w:r w:rsidR="0015762F">
        <w:t xml:space="preserve">prowadzących kształcenie </w:t>
      </w:r>
      <w:r w:rsidRPr="00F233EA">
        <w:t>zawodow</w:t>
      </w:r>
      <w:r w:rsidR="0015762F">
        <w:t>e</w:t>
      </w:r>
      <w:r w:rsidRPr="00F233EA">
        <w:t xml:space="preserve">. Zwiększone finansowanie w ramach subwencji </w:t>
      </w:r>
      <w:r w:rsidR="0015762F">
        <w:t xml:space="preserve">oświatowej </w:t>
      </w:r>
      <w:r w:rsidRPr="00F233EA">
        <w:t xml:space="preserve">wprowadzone w subwencji </w:t>
      </w:r>
      <w:r w:rsidR="00967AE0">
        <w:t>oświatowej w roku</w:t>
      </w:r>
      <w:r w:rsidRPr="00F233EA">
        <w:t xml:space="preserve"> 2019, 2020</w:t>
      </w:r>
      <w:r w:rsidR="0015762F">
        <w:t xml:space="preserve"> </w:t>
      </w:r>
      <w:r w:rsidRPr="00F233EA">
        <w:t xml:space="preserve">i 2021 na zawody, w których jest prognozowane zwiększone zapotrzebowanie na rynku </w:t>
      </w:r>
      <w:r w:rsidRPr="0098056C">
        <w:t>pracy</w:t>
      </w:r>
      <w:r w:rsidR="00E829F3">
        <w:t>,</w:t>
      </w:r>
      <w:r w:rsidRPr="0098056C">
        <w:t xml:space="preserve"> będzie kontynuowane na uczniów w</w:t>
      </w:r>
      <w:r w:rsidR="00E829F3">
        <w:t>e wszystkich</w:t>
      </w:r>
      <w:r w:rsidRPr="0098056C">
        <w:t xml:space="preserve"> klasach, na które je naliczono.</w:t>
      </w:r>
    </w:p>
    <w:p w14:paraId="2B98570B" w14:textId="77777777" w:rsidR="00F233EA" w:rsidRPr="0098056C" w:rsidRDefault="00F233EA" w:rsidP="00F233EA">
      <w:pPr>
        <w:spacing w:line="276" w:lineRule="auto"/>
        <w:ind w:left="283"/>
        <w:jc w:val="both"/>
        <w:rPr>
          <w:szCs w:val="24"/>
        </w:rPr>
      </w:pPr>
    </w:p>
    <w:p w14:paraId="5302E031" w14:textId="1652FA38" w:rsidR="00F233EA" w:rsidRPr="0079004A" w:rsidRDefault="00F233EA" w:rsidP="0079004A">
      <w:pPr>
        <w:pStyle w:val="Tekstpodstawowy31"/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98056C">
        <w:rPr>
          <w:sz w:val="24"/>
          <w:szCs w:val="24"/>
        </w:rPr>
        <w:t>Zwiększenie finansowania Specjalnych Ośrodków Wychowawczych</w:t>
      </w:r>
      <w:r w:rsidR="001D3051">
        <w:rPr>
          <w:sz w:val="24"/>
          <w:szCs w:val="24"/>
        </w:rPr>
        <w:t>, zwanych dalej „</w:t>
      </w:r>
      <w:r w:rsidR="0064340A">
        <w:rPr>
          <w:sz w:val="24"/>
          <w:szCs w:val="24"/>
        </w:rPr>
        <w:t>SOW</w:t>
      </w:r>
      <w:r w:rsidR="001D3051">
        <w:rPr>
          <w:sz w:val="24"/>
          <w:szCs w:val="24"/>
        </w:rPr>
        <w:t>”.</w:t>
      </w:r>
    </w:p>
    <w:p w14:paraId="32B573D9" w14:textId="650E96E8" w:rsidR="004D3C0D" w:rsidRDefault="004D3C0D" w:rsidP="004D3C0D">
      <w:pPr>
        <w:pStyle w:val="Tekstpodstawowy31"/>
        <w:spacing w:after="120" w:line="276" w:lineRule="auto"/>
        <w:ind w:left="284"/>
        <w:jc w:val="both"/>
        <w:rPr>
          <w:sz w:val="24"/>
          <w:szCs w:val="24"/>
          <w:highlight w:val="yellow"/>
        </w:rPr>
      </w:pPr>
      <w:r w:rsidRPr="0098056C">
        <w:rPr>
          <w:sz w:val="24"/>
          <w:szCs w:val="24"/>
        </w:rPr>
        <w:t>Wyodrębniono z wagi P</w:t>
      </w:r>
      <w:r w:rsidR="00C30DD9" w:rsidRPr="00C30DD9">
        <w:rPr>
          <w:sz w:val="24"/>
          <w:szCs w:val="24"/>
          <w:vertAlign w:val="subscript"/>
        </w:rPr>
        <w:t>62</w:t>
      </w:r>
      <w:r w:rsidRPr="0098056C">
        <w:rPr>
          <w:sz w:val="24"/>
          <w:szCs w:val="24"/>
        </w:rPr>
        <w:t xml:space="preserve"> wychowanków SOW i wprowadzono nową wagę w tym </w:t>
      </w:r>
      <w:r w:rsidR="00895842" w:rsidRPr="0098056C">
        <w:rPr>
          <w:sz w:val="24"/>
          <w:szCs w:val="24"/>
        </w:rPr>
        <w:t>zakresie</w:t>
      </w:r>
      <w:r w:rsidRPr="0098056C">
        <w:rPr>
          <w:sz w:val="24"/>
          <w:szCs w:val="24"/>
        </w:rPr>
        <w:t xml:space="preserve"> P</w:t>
      </w:r>
      <w:r w:rsidR="00C30DD9" w:rsidRPr="00C30DD9">
        <w:rPr>
          <w:sz w:val="24"/>
          <w:szCs w:val="24"/>
          <w:vertAlign w:val="subscript"/>
        </w:rPr>
        <w:t>63</w:t>
      </w:r>
      <w:r w:rsidRPr="0098056C">
        <w:rPr>
          <w:sz w:val="24"/>
          <w:szCs w:val="24"/>
        </w:rPr>
        <w:t xml:space="preserve"> o wartości 7,8 (wzrost o 20%). Z analizy wydatków</w:t>
      </w:r>
      <w:r w:rsidR="009F2B02" w:rsidRPr="0098056C">
        <w:rPr>
          <w:sz w:val="24"/>
          <w:szCs w:val="24"/>
        </w:rPr>
        <w:t xml:space="preserve"> i kwot subwencji </w:t>
      </w:r>
      <w:r w:rsidR="00A77D5E">
        <w:rPr>
          <w:sz w:val="24"/>
          <w:szCs w:val="24"/>
        </w:rPr>
        <w:t xml:space="preserve">oświatowej </w:t>
      </w:r>
      <w:r w:rsidR="009F2B02" w:rsidRPr="0098056C">
        <w:rPr>
          <w:sz w:val="24"/>
          <w:szCs w:val="24"/>
        </w:rPr>
        <w:t>naliczanych</w:t>
      </w:r>
      <w:r w:rsidRPr="0098056C">
        <w:rPr>
          <w:sz w:val="24"/>
          <w:szCs w:val="24"/>
        </w:rPr>
        <w:t xml:space="preserve"> w zakresie SOW prowadzonych przez JST</w:t>
      </w:r>
      <w:r w:rsidR="009F2B02" w:rsidRPr="0098056C">
        <w:rPr>
          <w:sz w:val="24"/>
          <w:szCs w:val="24"/>
        </w:rPr>
        <w:t xml:space="preserve"> w roku 2020 </w:t>
      </w:r>
      <w:r w:rsidRPr="0098056C">
        <w:rPr>
          <w:sz w:val="24"/>
          <w:szCs w:val="24"/>
        </w:rPr>
        <w:t>wynika, że</w:t>
      </w:r>
      <w:r>
        <w:rPr>
          <w:sz w:val="24"/>
          <w:szCs w:val="24"/>
        </w:rPr>
        <w:t xml:space="preserve"> kwota subwencji </w:t>
      </w:r>
      <w:r w:rsidR="00130F51">
        <w:rPr>
          <w:sz w:val="24"/>
          <w:szCs w:val="24"/>
        </w:rPr>
        <w:t xml:space="preserve">oświatowej </w:t>
      </w:r>
      <w:r w:rsidR="009F2B02">
        <w:rPr>
          <w:sz w:val="24"/>
          <w:szCs w:val="24"/>
        </w:rPr>
        <w:t>pokrywa ok</w:t>
      </w:r>
      <w:r w:rsidR="00B176DA">
        <w:rPr>
          <w:sz w:val="24"/>
          <w:szCs w:val="24"/>
        </w:rPr>
        <w:t>.</w:t>
      </w:r>
      <w:r w:rsidR="009F2B02">
        <w:rPr>
          <w:sz w:val="24"/>
          <w:szCs w:val="24"/>
        </w:rPr>
        <w:t xml:space="preserve"> 52% wydatków, w związku z powyższym zwiększono wartość wagi naliczanej na wychowanka SOW. W wyniku tej zmiany kwota naliczana na wychowanka wzrośnie o ok</w:t>
      </w:r>
      <w:r w:rsidR="00B176DA">
        <w:rPr>
          <w:sz w:val="24"/>
          <w:szCs w:val="24"/>
        </w:rPr>
        <w:t>.</w:t>
      </w:r>
      <w:r w:rsidR="009F2B02">
        <w:rPr>
          <w:sz w:val="24"/>
          <w:szCs w:val="24"/>
        </w:rPr>
        <w:t xml:space="preserve"> 8 tys.</w:t>
      </w:r>
      <w:r w:rsidR="0064340A">
        <w:rPr>
          <w:sz w:val="24"/>
          <w:szCs w:val="24"/>
        </w:rPr>
        <w:t xml:space="preserve"> zł, a wagą tą zostaną naliczone</w:t>
      </w:r>
      <w:r w:rsidR="009F2B02">
        <w:rPr>
          <w:sz w:val="24"/>
          <w:szCs w:val="24"/>
        </w:rPr>
        <w:t xml:space="preserve"> środki w wysokości 52 mln zł.</w:t>
      </w:r>
    </w:p>
    <w:p w14:paraId="51023BF2" w14:textId="77777777" w:rsidR="008771D9" w:rsidRPr="00F25295" w:rsidRDefault="008771D9" w:rsidP="008771D9">
      <w:pPr>
        <w:pStyle w:val="Tekstpodstawowy31"/>
        <w:spacing w:after="120" w:line="276" w:lineRule="auto"/>
        <w:ind w:left="284"/>
        <w:jc w:val="both"/>
        <w:rPr>
          <w:sz w:val="24"/>
          <w:szCs w:val="24"/>
          <w:highlight w:val="yellow"/>
        </w:rPr>
      </w:pPr>
    </w:p>
    <w:p w14:paraId="76AAFFB6" w14:textId="3D598098" w:rsidR="00F233EA" w:rsidRPr="0098056C" w:rsidRDefault="00F233EA" w:rsidP="00FC74DD">
      <w:pPr>
        <w:pStyle w:val="Tekstpodstawowy31"/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98056C">
        <w:rPr>
          <w:sz w:val="24"/>
          <w:szCs w:val="24"/>
        </w:rPr>
        <w:t>Wskaźniki zwiększające/zmniejszające</w:t>
      </w:r>
      <w:r w:rsidR="00130F51">
        <w:rPr>
          <w:sz w:val="24"/>
          <w:szCs w:val="24"/>
        </w:rPr>
        <w:t>.</w:t>
      </w:r>
    </w:p>
    <w:p w14:paraId="417EDF0A" w14:textId="140F226B" w:rsidR="00895842" w:rsidRPr="0098056C" w:rsidRDefault="00895842" w:rsidP="00895842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  <w:r w:rsidRPr="0098056C">
        <w:rPr>
          <w:sz w:val="24"/>
          <w:szCs w:val="24"/>
        </w:rPr>
        <w:t xml:space="preserve">W związku z zakończeniem w roku szkolnym 2021/2022 edukacji </w:t>
      </w:r>
      <w:r w:rsidR="00A77D5E">
        <w:rPr>
          <w:sz w:val="24"/>
          <w:szCs w:val="24"/>
        </w:rPr>
        <w:t xml:space="preserve">przez uczniów </w:t>
      </w:r>
      <w:r w:rsidRPr="0098056C">
        <w:rPr>
          <w:sz w:val="24"/>
          <w:szCs w:val="24"/>
        </w:rPr>
        <w:t xml:space="preserve">w szkołach </w:t>
      </w:r>
      <w:r w:rsidR="00A77D5E" w:rsidRPr="0098056C">
        <w:rPr>
          <w:sz w:val="24"/>
          <w:szCs w:val="24"/>
        </w:rPr>
        <w:t>ponad</w:t>
      </w:r>
      <w:r w:rsidR="00A77D5E">
        <w:rPr>
          <w:sz w:val="24"/>
          <w:szCs w:val="24"/>
        </w:rPr>
        <w:t>gimnazjalnych</w:t>
      </w:r>
      <w:r w:rsidRPr="0098056C">
        <w:rPr>
          <w:sz w:val="24"/>
          <w:szCs w:val="24"/>
        </w:rPr>
        <w:t>, wprowadzono następujące wskaźniki zmniejszające:</w:t>
      </w:r>
    </w:p>
    <w:p w14:paraId="31AE6494" w14:textId="221EA6A2" w:rsidR="00895842" w:rsidRPr="00895842" w:rsidRDefault="00895842" w:rsidP="0079004A">
      <w:pPr>
        <w:pStyle w:val="Tekstpodstawowy31"/>
        <w:numPr>
          <w:ilvl w:val="0"/>
          <w:numId w:val="21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uczniów </w:t>
      </w:r>
      <w:r w:rsidR="007D6564">
        <w:rPr>
          <w:sz w:val="24"/>
          <w:szCs w:val="24"/>
        </w:rPr>
        <w:t xml:space="preserve">klas III dotychczasowych trzyletnich </w:t>
      </w:r>
      <w:r>
        <w:rPr>
          <w:sz w:val="24"/>
          <w:szCs w:val="24"/>
        </w:rPr>
        <w:t>liceów</w:t>
      </w:r>
      <w:r w:rsidRPr="00895842">
        <w:rPr>
          <w:sz w:val="24"/>
          <w:szCs w:val="24"/>
        </w:rPr>
        <w:t xml:space="preserve"> ogólnokształcąc</w:t>
      </w:r>
      <w:r>
        <w:rPr>
          <w:sz w:val="24"/>
          <w:szCs w:val="24"/>
        </w:rPr>
        <w:t>ych</w:t>
      </w:r>
      <w:r w:rsidR="00CB0DDA">
        <w:rPr>
          <w:sz w:val="24"/>
          <w:szCs w:val="24"/>
        </w:rPr>
        <w:t xml:space="preserve"> – </w:t>
      </w:r>
      <w:r w:rsidRPr="00895842">
        <w:rPr>
          <w:sz w:val="24"/>
          <w:szCs w:val="24"/>
        </w:rPr>
        <w:t>33,33</w:t>
      </w:r>
      <w:r w:rsidR="00CB0DDA" w:rsidRPr="00895842">
        <w:rPr>
          <w:sz w:val="24"/>
          <w:szCs w:val="24"/>
        </w:rPr>
        <w:t>%</w:t>
      </w:r>
      <w:r w:rsidR="00CB0DDA">
        <w:rPr>
          <w:sz w:val="24"/>
          <w:szCs w:val="24"/>
        </w:rPr>
        <w:t>;</w:t>
      </w:r>
    </w:p>
    <w:p w14:paraId="0A55407C" w14:textId="04C20390" w:rsidR="00895842" w:rsidRPr="00895842" w:rsidRDefault="00895842" w:rsidP="0079004A">
      <w:pPr>
        <w:pStyle w:val="Tekstpodstawowy31"/>
        <w:numPr>
          <w:ilvl w:val="0"/>
          <w:numId w:val="21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895842">
        <w:rPr>
          <w:sz w:val="24"/>
          <w:szCs w:val="24"/>
        </w:rPr>
        <w:t>dla</w:t>
      </w:r>
      <w:r>
        <w:rPr>
          <w:sz w:val="24"/>
          <w:szCs w:val="24"/>
        </w:rPr>
        <w:t xml:space="preserve"> uczniów </w:t>
      </w:r>
      <w:r w:rsidR="00CB0DDA">
        <w:rPr>
          <w:sz w:val="24"/>
          <w:szCs w:val="24"/>
        </w:rPr>
        <w:t xml:space="preserve">klas </w:t>
      </w:r>
      <w:r w:rsidR="008A259A">
        <w:rPr>
          <w:sz w:val="24"/>
          <w:szCs w:val="24"/>
        </w:rPr>
        <w:t>IV</w:t>
      </w:r>
      <w:r w:rsidR="00CB0DDA">
        <w:rPr>
          <w:sz w:val="24"/>
          <w:szCs w:val="24"/>
        </w:rPr>
        <w:t xml:space="preserve"> dotychczasowych </w:t>
      </w:r>
      <w:r w:rsidR="008A259A">
        <w:rPr>
          <w:sz w:val="24"/>
          <w:szCs w:val="24"/>
        </w:rPr>
        <w:t>czteroletnich</w:t>
      </w:r>
      <w:r w:rsidR="00807E58">
        <w:rPr>
          <w:sz w:val="24"/>
          <w:szCs w:val="24"/>
        </w:rPr>
        <w:t xml:space="preserve"> </w:t>
      </w:r>
      <w:r>
        <w:rPr>
          <w:sz w:val="24"/>
          <w:szCs w:val="24"/>
        </w:rPr>
        <w:t>liceów plastycznych</w:t>
      </w:r>
      <w:r w:rsidR="00CB0DDA">
        <w:rPr>
          <w:sz w:val="24"/>
          <w:szCs w:val="24"/>
        </w:rPr>
        <w:t xml:space="preserve"> – </w:t>
      </w:r>
      <w:r w:rsidRPr="00895842">
        <w:rPr>
          <w:sz w:val="24"/>
          <w:szCs w:val="24"/>
        </w:rPr>
        <w:t>33,33</w:t>
      </w:r>
      <w:r w:rsidR="00CB0DDA" w:rsidRPr="00895842">
        <w:rPr>
          <w:sz w:val="24"/>
          <w:szCs w:val="24"/>
        </w:rPr>
        <w:t>%</w:t>
      </w:r>
      <w:r w:rsidR="00CB0DDA">
        <w:rPr>
          <w:sz w:val="24"/>
          <w:szCs w:val="24"/>
        </w:rPr>
        <w:t>;</w:t>
      </w:r>
    </w:p>
    <w:p w14:paraId="4D2AD572" w14:textId="182E9497" w:rsidR="00E941AB" w:rsidRDefault="00E941AB" w:rsidP="0079004A">
      <w:pPr>
        <w:pStyle w:val="Tekstpodstawowy31"/>
        <w:numPr>
          <w:ilvl w:val="0"/>
          <w:numId w:val="21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uczniów </w:t>
      </w:r>
      <w:r w:rsidR="00CB0DDA" w:rsidRPr="00895842">
        <w:rPr>
          <w:sz w:val="24"/>
          <w:szCs w:val="24"/>
        </w:rPr>
        <w:t>klas IV</w:t>
      </w:r>
      <w:r w:rsidR="00CB0DDA">
        <w:rPr>
          <w:sz w:val="24"/>
          <w:szCs w:val="24"/>
        </w:rPr>
        <w:t xml:space="preserve"> dotychczasowych czteroletnich </w:t>
      </w:r>
      <w:r>
        <w:rPr>
          <w:sz w:val="24"/>
          <w:szCs w:val="24"/>
        </w:rPr>
        <w:t>techników</w:t>
      </w:r>
      <w:r w:rsidR="00CB0DDA">
        <w:rPr>
          <w:sz w:val="24"/>
          <w:szCs w:val="24"/>
        </w:rPr>
        <w:t xml:space="preserve"> – </w:t>
      </w:r>
      <w:r w:rsidR="00895842" w:rsidRPr="00895842">
        <w:rPr>
          <w:sz w:val="24"/>
          <w:szCs w:val="24"/>
        </w:rPr>
        <w:t>33,33%.</w:t>
      </w:r>
    </w:p>
    <w:p w14:paraId="79EC4206" w14:textId="77777777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  <w:highlight w:val="yellow"/>
        </w:rPr>
      </w:pPr>
    </w:p>
    <w:p w14:paraId="2D249DE8" w14:textId="5ED48F8C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941AB">
        <w:rPr>
          <w:sz w:val="24"/>
          <w:szCs w:val="24"/>
        </w:rPr>
        <w:t xml:space="preserve"> związku z </w:t>
      </w:r>
      <w:r w:rsidR="006A2EC3">
        <w:rPr>
          <w:sz w:val="24"/>
          <w:szCs w:val="24"/>
        </w:rPr>
        <w:t>rozpoczęciem</w:t>
      </w:r>
      <w:r w:rsidR="00EE0919">
        <w:rPr>
          <w:sz w:val="24"/>
          <w:szCs w:val="24"/>
        </w:rPr>
        <w:t>,</w:t>
      </w:r>
      <w:r w:rsidR="006A2EC3">
        <w:rPr>
          <w:sz w:val="24"/>
          <w:szCs w:val="24"/>
        </w:rPr>
        <w:t xml:space="preserve"> </w:t>
      </w:r>
      <w:r w:rsidR="00EE0919" w:rsidRPr="00E941AB">
        <w:rPr>
          <w:sz w:val="24"/>
          <w:szCs w:val="24"/>
        </w:rPr>
        <w:t>od września 2022 r.</w:t>
      </w:r>
      <w:r w:rsidR="00EE0919">
        <w:rPr>
          <w:sz w:val="24"/>
          <w:szCs w:val="24"/>
        </w:rPr>
        <w:t xml:space="preserve">, </w:t>
      </w:r>
      <w:r w:rsidR="006A2EC3">
        <w:rPr>
          <w:sz w:val="24"/>
          <w:szCs w:val="24"/>
        </w:rPr>
        <w:t xml:space="preserve">nauki w szkołach ponadpodstawowych przez zwiększoną liczbę </w:t>
      </w:r>
      <w:r w:rsidR="00807E58">
        <w:rPr>
          <w:sz w:val="24"/>
          <w:szCs w:val="24"/>
        </w:rPr>
        <w:t>absolwentów klas</w:t>
      </w:r>
      <w:r w:rsidR="006A2EC3">
        <w:rPr>
          <w:sz w:val="24"/>
          <w:szCs w:val="24"/>
        </w:rPr>
        <w:t xml:space="preserve"> VIII szkoły podstawowej </w:t>
      </w:r>
      <w:r>
        <w:rPr>
          <w:sz w:val="24"/>
          <w:szCs w:val="24"/>
        </w:rPr>
        <w:t xml:space="preserve">wprowadzono </w:t>
      </w:r>
      <w:r w:rsidR="00EE0919">
        <w:rPr>
          <w:sz w:val="24"/>
          <w:szCs w:val="24"/>
        </w:rPr>
        <w:t xml:space="preserve">następujące </w:t>
      </w:r>
      <w:r>
        <w:rPr>
          <w:sz w:val="24"/>
          <w:szCs w:val="24"/>
        </w:rPr>
        <w:t>wskaźniki:</w:t>
      </w:r>
    </w:p>
    <w:p w14:paraId="1C540638" w14:textId="7C9770A3" w:rsidR="00E941AB" w:rsidRDefault="00E941AB" w:rsidP="00F52ADE">
      <w:pPr>
        <w:pStyle w:val="Tekstpodstawowy31"/>
        <w:numPr>
          <w:ilvl w:val="0"/>
          <w:numId w:val="19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zmniejszające w zakresie uczniów szkół podstawowych </w:t>
      </w:r>
      <w:r w:rsidR="0098056C">
        <w:rPr>
          <w:sz w:val="24"/>
          <w:szCs w:val="24"/>
        </w:rPr>
        <w:t>i ogólnokształcących szkół muzycznych I stopnia – 1,35%</w:t>
      </w:r>
    </w:p>
    <w:p w14:paraId="47596ABB" w14:textId="77777777" w:rsidR="0098056C" w:rsidRDefault="00E941AB" w:rsidP="00F52ADE">
      <w:pPr>
        <w:pStyle w:val="Tekstpodstawowy31"/>
        <w:numPr>
          <w:ilvl w:val="0"/>
          <w:numId w:val="19"/>
        </w:numPr>
        <w:spacing w:line="276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zwiększające w zakresie uczniów</w:t>
      </w:r>
      <w:r w:rsidR="0098056C">
        <w:rPr>
          <w:sz w:val="24"/>
          <w:szCs w:val="24"/>
        </w:rPr>
        <w:t>:</w:t>
      </w:r>
    </w:p>
    <w:p w14:paraId="75BFE9A0" w14:textId="1B93C467" w:rsidR="0098056C" w:rsidRDefault="00F52ADE" w:rsidP="00F52ADE">
      <w:pPr>
        <w:pStyle w:val="Tekstpodstawowy31"/>
        <w:numPr>
          <w:ilvl w:val="1"/>
          <w:numId w:val="19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pięcioletnich </w:t>
      </w:r>
      <w:r w:rsidR="0098056C">
        <w:rPr>
          <w:sz w:val="24"/>
          <w:szCs w:val="24"/>
        </w:rPr>
        <w:t>techników – 8,89%</w:t>
      </w:r>
    </w:p>
    <w:p w14:paraId="15087551" w14:textId="544C8A15" w:rsidR="00E941AB" w:rsidRPr="0098056C" w:rsidRDefault="00F52ADE" w:rsidP="00F52ADE">
      <w:pPr>
        <w:pStyle w:val="Tekstpodstawowy31"/>
        <w:numPr>
          <w:ilvl w:val="1"/>
          <w:numId w:val="19"/>
        </w:numPr>
        <w:spacing w:line="276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czteroletnich </w:t>
      </w:r>
      <w:r w:rsidR="0098056C">
        <w:rPr>
          <w:sz w:val="24"/>
          <w:szCs w:val="24"/>
        </w:rPr>
        <w:t xml:space="preserve">liceów ogólnokształcących i </w:t>
      </w:r>
      <w:r w:rsidR="0098056C" w:rsidRPr="0098056C">
        <w:rPr>
          <w:sz w:val="24"/>
          <w:szCs w:val="24"/>
        </w:rPr>
        <w:t>liceów</w:t>
      </w:r>
      <w:r w:rsidR="005A29BE">
        <w:rPr>
          <w:sz w:val="24"/>
          <w:szCs w:val="24"/>
        </w:rPr>
        <w:t xml:space="preserve"> sztuk</w:t>
      </w:r>
      <w:r w:rsidR="0098056C" w:rsidRPr="0098056C">
        <w:rPr>
          <w:sz w:val="24"/>
          <w:szCs w:val="24"/>
        </w:rPr>
        <w:t xml:space="preserve"> plastycznych </w:t>
      </w:r>
      <w:r>
        <w:rPr>
          <w:sz w:val="24"/>
          <w:szCs w:val="24"/>
        </w:rPr>
        <w:t xml:space="preserve">– </w:t>
      </w:r>
      <w:r w:rsidR="0098056C" w:rsidRPr="0098056C">
        <w:rPr>
          <w:sz w:val="24"/>
          <w:szCs w:val="24"/>
        </w:rPr>
        <w:t>8</w:t>
      </w:r>
      <w:r w:rsidR="0098056C">
        <w:rPr>
          <w:sz w:val="24"/>
          <w:szCs w:val="24"/>
        </w:rPr>
        <w:t>,30%</w:t>
      </w:r>
    </w:p>
    <w:p w14:paraId="4DFDFB0A" w14:textId="77777777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</w:p>
    <w:p w14:paraId="386A89CC" w14:textId="3F7F312D" w:rsidR="00E941AB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Zwiększona liczebność </w:t>
      </w:r>
      <w:r w:rsidR="00807E58">
        <w:rPr>
          <w:sz w:val="24"/>
          <w:szCs w:val="24"/>
        </w:rPr>
        <w:t>absolw</w:t>
      </w:r>
      <w:r w:rsidR="0079004A">
        <w:rPr>
          <w:sz w:val="24"/>
          <w:szCs w:val="24"/>
        </w:rPr>
        <w:t>e</w:t>
      </w:r>
      <w:r w:rsidR="00807E58">
        <w:rPr>
          <w:sz w:val="24"/>
          <w:szCs w:val="24"/>
        </w:rPr>
        <w:t>ntów</w:t>
      </w:r>
      <w:r w:rsidR="00EE0919">
        <w:rPr>
          <w:sz w:val="24"/>
          <w:szCs w:val="24"/>
        </w:rPr>
        <w:t xml:space="preserve"> klasy VIII szkoły podstawowej </w:t>
      </w:r>
      <w:r w:rsidR="0064340A">
        <w:rPr>
          <w:sz w:val="24"/>
          <w:szCs w:val="24"/>
        </w:rPr>
        <w:t>wynika m. in.</w:t>
      </w:r>
      <w:r>
        <w:rPr>
          <w:sz w:val="24"/>
          <w:szCs w:val="24"/>
        </w:rPr>
        <w:t xml:space="preserve"> z tego, że</w:t>
      </w:r>
      <w:r w:rsidR="00FC1B99">
        <w:rPr>
          <w:sz w:val="24"/>
          <w:szCs w:val="24"/>
        </w:rPr>
        <w:t xml:space="preserve"> część</w:t>
      </w:r>
      <w:r>
        <w:rPr>
          <w:sz w:val="24"/>
          <w:szCs w:val="24"/>
        </w:rPr>
        <w:t xml:space="preserve"> dzieci</w:t>
      </w:r>
      <w:r w:rsidR="0064340A">
        <w:rPr>
          <w:sz w:val="24"/>
          <w:szCs w:val="24"/>
        </w:rPr>
        <w:t xml:space="preserve"> z rocznika 2008</w:t>
      </w:r>
      <w:r>
        <w:rPr>
          <w:sz w:val="24"/>
          <w:szCs w:val="24"/>
        </w:rPr>
        <w:t xml:space="preserve"> </w:t>
      </w:r>
      <w:r w:rsidR="00FC1B99">
        <w:rPr>
          <w:sz w:val="24"/>
          <w:szCs w:val="24"/>
        </w:rPr>
        <w:t>wcześniej rozpoczęło</w:t>
      </w:r>
      <w:r w:rsidRPr="00E941AB">
        <w:rPr>
          <w:sz w:val="24"/>
          <w:szCs w:val="24"/>
        </w:rPr>
        <w:t xml:space="preserve"> edukację w szkole podstawowej w związku z tzw. </w:t>
      </w:r>
      <w:r w:rsidR="00955CEA">
        <w:rPr>
          <w:sz w:val="24"/>
          <w:szCs w:val="24"/>
        </w:rPr>
        <w:t>„</w:t>
      </w:r>
      <w:r w:rsidRPr="00E941AB">
        <w:rPr>
          <w:sz w:val="24"/>
          <w:szCs w:val="24"/>
        </w:rPr>
        <w:t>reformą 6-latka</w:t>
      </w:r>
      <w:r w:rsidR="00955CEA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FD2D82">
        <w:rPr>
          <w:sz w:val="24"/>
          <w:szCs w:val="24"/>
        </w:rPr>
        <w:t>Dzieci te w roku szkolnym 2020/2021 uczęszcza</w:t>
      </w:r>
      <w:r w:rsidR="00955CEA">
        <w:rPr>
          <w:sz w:val="24"/>
          <w:szCs w:val="24"/>
        </w:rPr>
        <w:t>ły</w:t>
      </w:r>
      <w:r w:rsidR="00FD2D82">
        <w:rPr>
          <w:sz w:val="24"/>
          <w:szCs w:val="24"/>
        </w:rPr>
        <w:t xml:space="preserve"> do klasy VIII szkoły podstawowej</w:t>
      </w:r>
      <w:r w:rsidR="00955CEA">
        <w:rPr>
          <w:sz w:val="24"/>
          <w:szCs w:val="24"/>
        </w:rPr>
        <w:t>,</w:t>
      </w:r>
      <w:r w:rsidR="00FD2D82">
        <w:rPr>
          <w:sz w:val="24"/>
          <w:szCs w:val="24"/>
        </w:rPr>
        <w:t xml:space="preserve"> a w roku szkolny</w:t>
      </w:r>
      <w:r w:rsidR="00DF6645">
        <w:rPr>
          <w:sz w:val="24"/>
          <w:szCs w:val="24"/>
        </w:rPr>
        <w:t>m</w:t>
      </w:r>
      <w:r w:rsidR="00FD2D82">
        <w:rPr>
          <w:sz w:val="24"/>
          <w:szCs w:val="24"/>
        </w:rPr>
        <w:t xml:space="preserve"> 2021/2022 rozpocz</w:t>
      </w:r>
      <w:r w:rsidR="00955CEA">
        <w:rPr>
          <w:sz w:val="24"/>
          <w:szCs w:val="24"/>
        </w:rPr>
        <w:t>ęły</w:t>
      </w:r>
      <w:r w:rsidR="00FD2D82">
        <w:rPr>
          <w:sz w:val="24"/>
          <w:szCs w:val="24"/>
        </w:rPr>
        <w:t xml:space="preserve"> </w:t>
      </w:r>
      <w:r w:rsidR="00955CEA">
        <w:rPr>
          <w:sz w:val="24"/>
          <w:szCs w:val="24"/>
        </w:rPr>
        <w:t xml:space="preserve">naukę </w:t>
      </w:r>
      <w:r w:rsidR="00FD2D82">
        <w:rPr>
          <w:sz w:val="24"/>
          <w:szCs w:val="24"/>
        </w:rPr>
        <w:t>w szkołach ponadpodstawowych.</w:t>
      </w:r>
    </w:p>
    <w:p w14:paraId="5FBEE9CE" w14:textId="0745FFF2" w:rsidR="0098056C" w:rsidRDefault="0098056C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</w:p>
    <w:p w14:paraId="2378A4BB" w14:textId="28E9C9D6" w:rsidR="0098056C" w:rsidRDefault="0098056C" w:rsidP="00E941AB">
      <w:pPr>
        <w:pStyle w:val="Tekstpodstawowy31"/>
        <w:spacing w:line="276" w:lineRule="auto"/>
        <w:ind w:left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Zmniejszeniem liczebności uczniów szkół podstawowych zostały objęte wyłącznie szkoły</w:t>
      </w:r>
      <w:r w:rsidR="00955CEA">
        <w:rPr>
          <w:sz w:val="24"/>
          <w:szCs w:val="24"/>
        </w:rPr>
        <w:t>,</w:t>
      </w:r>
      <w:r>
        <w:rPr>
          <w:sz w:val="24"/>
          <w:szCs w:val="24"/>
        </w:rPr>
        <w:t xml:space="preserve"> w których występują dwa lub więcej oddziałów klas VIII. Rozwiązanie to ma </w:t>
      </w:r>
      <w:r w:rsidR="00663E57">
        <w:rPr>
          <w:sz w:val="24"/>
          <w:szCs w:val="24"/>
        </w:rPr>
        <w:t>na celu</w:t>
      </w:r>
      <w:r>
        <w:rPr>
          <w:sz w:val="24"/>
          <w:szCs w:val="24"/>
        </w:rPr>
        <w:t xml:space="preserve"> chronić szkoły</w:t>
      </w:r>
      <w:r w:rsidR="00663E57">
        <w:rPr>
          <w:sz w:val="24"/>
          <w:szCs w:val="24"/>
        </w:rPr>
        <w:t>,</w:t>
      </w:r>
      <w:r>
        <w:rPr>
          <w:sz w:val="24"/>
          <w:szCs w:val="24"/>
        </w:rPr>
        <w:t xml:space="preserve"> w których mniejsza liczba uczniów nie spowoduje </w:t>
      </w:r>
      <w:r w:rsidR="00FC1B99">
        <w:rPr>
          <w:sz w:val="24"/>
          <w:szCs w:val="24"/>
        </w:rPr>
        <w:t>zmniejszenia</w:t>
      </w:r>
      <w:r>
        <w:rPr>
          <w:sz w:val="24"/>
          <w:szCs w:val="24"/>
        </w:rPr>
        <w:t xml:space="preserve"> liczby oddziałów.</w:t>
      </w:r>
    </w:p>
    <w:p w14:paraId="61127FAF" w14:textId="77777777" w:rsidR="00E941AB" w:rsidRPr="009763B4" w:rsidRDefault="00E941AB" w:rsidP="00E941AB">
      <w:pPr>
        <w:pStyle w:val="Tekstpodstawowy31"/>
        <w:spacing w:line="276" w:lineRule="auto"/>
        <w:ind w:left="284"/>
        <w:jc w:val="both"/>
        <w:rPr>
          <w:sz w:val="24"/>
          <w:szCs w:val="24"/>
        </w:rPr>
      </w:pPr>
    </w:p>
    <w:p w14:paraId="5CD23264" w14:textId="18D1AFA6" w:rsidR="00663E57" w:rsidRPr="0079004A" w:rsidRDefault="00F233EA" w:rsidP="0079004A">
      <w:pPr>
        <w:pStyle w:val="Tekstpodstawowy31"/>
        <w:numPr>
          <w:ilvl w:val="0"/>
          <w:numId w:val="12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763B4">
        <w:rPr>
          <w:sz w:val="24"/>
          <w:szCs w:val="24"/>
        </w:rPr>
        <w:t>Zmiana w zakresie uwzględniania liczby etatów nauczycieli do wskaźnika D</w:t>
      </w:r>
      <w:r w:rsidRPr="009763B4">
        <w:rPr>
          <w:sz w:val="24"/>
          <w:szCs w:val="24"/>
          <w:vertAlign w:val="subscript"/>
        </w:rPr>
        <w:t>i</w:t>
      </w:r>
      <w:r w:rsidRPr="009763B4">
        <w:rPr>
          <w:sz w:val="24"/>
          <w:szCs w:val="24"/>
        </w:rPr>
        <w:t xml:space="preserve">. </w:t>
      </w:r>
    </w:p>
    <w:p w14:paraId="7750FDA3" w14:textId="443142B2" w:rsidR="00F233EA" w:rsidRDefault="00F233EA" w:rsidP="0079004A">
      <w:pPr>
        <w:pStyle w:val="Tekstpodstawowy31"/>
        <w:spacing w:after="120" w:line="276" w:lineRule="auto"/>
        <w:ind w:left="360"/>
        <w:jc w:val="both"/>
        <w:rPr>
          <w:sz w:val="24"/>
          <w:szCs w:val="24"/>
        </w:rPr>
      </w:pPr>
      <w:r w:rsidRPr="009763B4">
        <w:rPr>
          <w:sz w:val="24"/>
          <w:szCs w:val="24"/>
        </w:rPr>
        <w:t>Do etatów subwencyjnych (nauczyciel dyplomowany) wliczone zostały osoby</w:t>
      </w:r>
      <w:r w:rsidR="00663E57">
        <w:rPr>
          <w:sz w:val="24"/>
          <w:szCs w:val="24"/>
        </w:rPr>
        <w:t xml:space="preserve"> niebędące nauczycielami</w:t>
      </w:r>
      <w:r w:rsidRPr="009763B4">
        <w:rPr>
          <w:sz w:val="24"/>
          <w:szCs w:val="24"/>
        </w:rPr>
        <w:t xml:space="preserve"> zatrudnione na podstawie art. 15 ust. 6 ustawy</w:t>
      </w:r>
      <w:r w:rsidR="00663E57">
        <w:rPr>
          <w:sz w:val="24"/>
          <w:szCs w:val="24"/>
        </w:rPr>
        <w:t xml:space="preserve"> z dnia 14 grudnia 2016 r. –</w:t>
      </w:r>
      <w:r w:rsidRPr="009763B4">
        <w:rPr>
          <w:sz w:val="24"/>
          <w:szCs w:val="24"/>
        </w:rPr>
        <w:t xml:space="preserve"> Prawo </w:t>
      </w:r>
      <w:r w:rsidR="00663E57">
        <w:rPr>
          <w:sz w:val="24"/>
          <w:szCs w:val="24"/>
        </w:rPr>
        <w:t>o</w:t>
      </w:r>
      <w:r w:rsidRPr="009763B4">
        <w:rPr>
          <w:sz w:val="24"/>
          <w:szCs w:val="24"/>
        </w:rPr>
        <w:t>światowe</w:t>
      </w:r>
      <w:r w:rsidR="00663E57">
        <w:rPr>
          <w:sz w:val="24"/>
          <w:szCs w:val="24"/>
        </w:rPr>
        <w:t xml:space="preserve"> (Dz. U. z 2021 r. poz. 1082)</w:t>
      </w:r>
      <w:r w:rsidRPr="009763B4">
        <w:rPr>
          <w:sz w:val="24"/>
          <w:szCs w:val="24"/>
        </w:rPr>
        <w:t>, posiadające przygotowanie zawodowe uznane przez dyrektora szkoły lub placówki za odpowiednie do prowadzenia zajęć z zakresu kształcenia zawodowego.</w:t>
      </w:r>
      <w:r w:rsidR="008771D9" w:rsidRPr="009763B4">
        <w:rPr>
          <w:sz w:val="24"/>
          <w:szCs w:val="24"/>
        </w:rPr>
        <w:t xml:space="preserve"> Zastosowanie takiego rozwiązania wynika z faktu, że </w:t>
      </w:r>
      <w:r w:rsidR="00D52169">
        <w:rPr>
          <w:sz w:val="24"/>
          <w:szCs w:val="24"/>
        </w:rPr>
        <w:t>osoby te</w:t>
      </w:r>
      <w:r w:rsidR="008771D9" w:rsidRPr="009763B4">
        <w:rPr>
          <w:sz w:val="24"/>
          <w:szCs w:val="24"/>
        </w:rPr>
        <w:t xml:space="preserve"> często są wysokiej klasy specjalistami i ich wynagrodzenie jest zbliżone do</w:t>
      </w:r>
      <w:r w:rsidR="00D52169">
        <w:rPr>
          <w:sz w:val="24"/>
          <w:szCs w:val="24"/>
        </w:rPr>
        <w:t xml:space="preserve"> wynagrodzenia </w:t>
      </w:r>
      <w:r w:rsidR="008771D9" w:rsidRPr="009763B4">
        <w:rPr>
          <w:sz w:val="24"/>
          <w:szCs w:val="24"/>
        </w:rPr>
        <w:t xml:space="preserve">nauczyciela dyplomowanego. </w:t>
      </w:r>
      <w:r w:rsidR="004D3C0D" w:rsidRPr="009763B4">
        <w:rPr>
          <w:sz w:val="24"/>
          <w:szCs w:val="24"/>
        </w:rPr>
        <w:t>Liczba etatów</w:t>
      </w:r>
      <w:r w:rsidR="00D52169">
        <w:rPr>
          <w:sz w:val="24"/>
          <w:szCs w:val="24"/>
        </w:rPr>
        <w:t xml:space="preserve"> osób</w:t>
      </w:r>
      <w:r w:rsidR="004D3C0D" w:rsidRPr="009763B4">
        <w:rPr>
          <w:sz w:val="24"/>
          <w:szCs w:val="24"/>
        </w:rPr>
        <w:t xml:space="preserve"> zatrudnionych na podstawie art. 15 ust. 6 </w:t>
      </w:r>
      <w:r w:rsidR="00D52169">
        <w:rPr>
          <w:sz w:val="24"/>
          <w:szCs w:val="24"/>
        </w:rPr>
        <w:t xml:space="preserve">ww. </w:t>
      </w:r>
      <w:r w:rsidR="004D3C0D" w:rsidRPr="009763B4">
        <w:rPr>
          <w:sz w:val="24"/>
          <w:szCs w:val="24"/>
        </w:rPr>
        <w:t>ustawy</w:t>
      </w:r>
      <w:r w:rsidR="00BC7BB0">
        <w:rPr>
          <w:sz w:val="24"/>
          <w:szCs w:val="24"/>
        </w:rPr>
        <w:t xml:space="preserve"> </w:t>
      </w:r>
      <w:r w:rsidR="004D3C0D" w:rsidRPr="009763B4">
        <w:rPr>
          <w:sz w:val="24"/>
          <w:szCs w:val="24"/>
        </w:rPr>
        <w:t>wynosi ok</w:t>
      </w:r>
      <w:r w:rsidR="00B176DA">
        <w:rPr>
          <w:sz w:val="24"/>
          <w:szCs w:val="24"/>
        </w:rPr>
        <w:t>.</w:t>
      </w:r>
      <w:r w:rsidR="004D3C0D" w:rsidRPr="009763B4">
        <w:rPr>
          <w:sz w:val="24"/>
          <w:szCs w:val="24"/>
        </w:rPr>
        <w:t xml:space="preserve"> </w:t>
      </w:r>
      <w:r w:rsidR="006D3EBB">
        <w:rPr>
          <w:sz w:val="24"/>
          <w:szCs w:val="24"/>
        </w:rPr>
        <w:t>1</w:t>
      </w:r>
      <w:r w:rsidR="009763B4" w:rsidRPr="009763B4">
        <w:rPr>
          <w:sz w:val="24"/>
          <w:szCs w:val="24"/>
        </w:rPr>
        <w:t xml:space="preserve"> tys. </w:t>
      </w:r>
      <w:r w:rsidR="00021E6C">
        <w:rPr>
          <w:sz w:val="24"/>
          <w:szCs w:val="24"/>
        </w:rPr>
        <w:t>e</w:t>
      </w:r>
      <w:r w:rsidR="009763B4" w:rsidRPr="009763B4">
        <w:rPr>
          <w:sz w:val="24"/>
          <w:szCs w:val="24"/>
        </w:rPr>
        <w:t>tatów</w:t>
      </w:r>
      <w:r w:rsidR="00021E6C">
        <w:rPr>
          <w:sz w:val="24"/>
          <w:szCs w:val="24"/>
        </w:rPr>
        <w:t>.</w:t>
      </w:r>
    </w:p>
    <w:p w14:paraId="6CE29A4C" w14:textId="77777777" w:rsidR="00021E6C" w:rsidRPr="009763B4" w:rsidRDefault="00021E6C" w:rsidP="0079004A">
      <w:pPr>
        <w:pStyle w:val="Tekstpodstawowy31"/>
        <w:spacing w:after="120" w:line="276" w:lineRule="auto"/>
        <w:ind w:left="360"/>
        <w:jc w:val="both"/>
        <w:rPr>
          <w:sz w:val="24"/>
          <w:szCs w:val="24"/>
        </w:rPr>
      </w:pPr>
    </w:p>
    <w:p w14:paraId="5820A19D" w14:textId="54624FC0" w:rsidR="00F233EA" w:rsidRPr="004D3C0D" w:rsidRDefault="00F233EA" w:rsidP="00021E6C">
      <w:pPr>
        <w:pStyle w:val="Tekstpodstawowy31"/>
        <w:numPr>
          <w:ilvl w:val="0"/>
          <w:numId w:val="12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4D3C0D">
        <w:rPr>
          <w:sz w:val="24"/>
          <w:szCs w:val="24"/>
        </w:rPr>
        <w:t xml:space="preserve">Zwiększenie wartości wagi </w:t>
      </w:r>
      <w:r w:rsidR="00021E6C">
        <w:rPr>
          <w:sz w:val="24"/>
          <w:szCs w:val="24"/>
        </w:rPr>
        <w:t>dla</w:t>
      </w:r>
      <w:r w:rsidR="00021E6C" w:rsidRPr="004D3C0D">
        <w:rPr>
          <w:sz w:val="24"/>
          <w:szCs w:val="24"/>
        </w:rPr>
        <w:t xml:space="preserve"> </w:t>
      </w:r>
      <w:r w:rsidR="00021E6C">
        <w:rPr>
          <w:sz w:val="24"/>
          <w:szCs w:val="24"/>
        </w:rPr>
        <w:t xml:space="preserve">uczniów </w:t>
      </w:r>
      <w:r w:rsidRPr="004D3C0D">
        <w:rPr>
          <w:sz w:val="24"/>
          <w:szCs w:val="24"/>
        </w:rPr>
        <w:t>oddział</w:t>
      </w:r>
      <w:r w:rsidR="00021E6C">
        <w:rPr>
          <w:sz w:val="24"/>
          <w:szCs w:val="24"/>
        </w:rPr>
        <w:t>ów</w:t>
      </w:r>
      <w:r w:rsidRPr="004D3C0D">
        <w:rPr>
          <w:sz w:val="24"/>
          <w:szCs w:val="24"/>
        </w:rPr>
        <w:t xml:space="preserve"> przygotowawcz</w:t>
      </w:r>
      <w:r w:rsidR="00021E6C">
        <w:rPr>
          <w:sz w:val="24"/>
          <w:szCs w:val="24"/>
        </w:rPr>
        <w:t>ych</w:t>
      </w:r>
      <w:r w:rsidRPr="004D3C0D">
        <w:rPr>
          <w:sz w:val="24"/>
          <w:szCs w:val="24"/>
        </w:rPr>
        <w:t xml:space="preserve"> z 0,3 na 0,4</w:t>
      </w:r>
      <w:r w:rsidR="004D3C0D" w:rsidRPr="004D3C0D">
        <w:rPr>
          <w:sz w:val="24"/>
          <w:szCs w:val="24"/>
        </w:rPr>
        <w:t xml:space="preserve"> (waga P</w:t>
      </w:r>
      <w:r w:rsidR="00C30DD9" w:rsidRPr="00C30DD9">
        <w:rPr>
          <w:sz w:val="24"/>
          <w:szCs w:val="24"/>
          <w:vertAlign w:val="subscript"/>
        </w:rPr>
        <w:t>51</w:t>
      </w:r>
      <w:r w:rsidR="004D3C0D" w:rsidRPr="004D3C0D">
        <w:rPr>
          <w:sz w:val="24"/>
          <w:szCs w:val="24"/>
        </w:rPr>
        <w:t>)</w:t>
      </w:r>
      <w:r w:rsidR="00021E6C">
        <w:rPr>
          <w:sz w:val="24"/>
          <w:szCs w:val="24"/>
        </w:rPr>
        <w:t>.</w:t>
      </w:r>
    </w:p>
    <w:p w14:paraId="58AA2723" w14:textId="4AEBDF75" w:rsidR="003A76D8" w:rsidRPr="004D3C0D" w:rsidRDefault="003A76D8" w:rsidP="003A76D8">
      <w:pPr>
        <w:pStyle w:val="Tekstpodstawowy31"/>
        <w:spacing w:after="120" w:line="276" w:lineRule="auto"/>
        <w:ind w:left="284"/>
        <w:jc w:val="both"/>
        <w:rPr>
          <w:sz w:val="24"/>
          <w:szCs w:val="24"/>
        </w:rPr>
      </w:pPr>
      <w:r w:rsidRPr="004D3C0D">
        <w:rPr>
          <w:sz w:val="24"/>
          <w:szCs w:val="24"/>
        </w:rPr>
        <w:t>W wyniku aktualnych wyzwań dotyczących kształcenia osób przybywających z zagranicy spowodowanych kryzysem migracyjnym zwiększono środki naliczone na ucznia w oddziale przygotowawczym o ok</w:t>
      </w:r>
      <w:r w:rsidR="00B176DA">
        <w:rPr>
          <w:sz w:val="24"/>
          <w:szCs w:val="24"/>
        </w:rPr>
        <w:t>.</w:t>
      </w:r>
      <w:r w:rsidRPr="004D3C0D">
        <w:rPr>
          <w:sz w:val="24"/>
          <w:szCs w:val="24"/>
        </w:rPr>
        <w:t xml:space="preserve"> 589 zł na ucznia. Szacuje się, że po zwiększeniu wartości wagi na</w:t>
      </w:r>
      <w:r w:rsidR="008328DC">
        <w:rPr>
          <w:sz w:val="24"/>
          <w:szCs w:val="24"/>
        </w:rPr>
        <w:t xml:space="preserve"> uczniów</w:t>
      </w:r>
      <w:r w:rsidRPr="004D3C0D">
        <w:rPr>
          <w:sz w:val="24"/>
          <w:szCs w:val="24"/>
        </w:rPr>
        <w:t xml:space="preserve"> oddział</w:t>
      </w:r>
      <w:r w:rsidR="008328DC">
        <w:rPr>
          <w:sz w:val="24"/>
          <w:szCs w:val="24"/>
        </w:rPr>
        <w:t>ów</w:t>
      </w:r>
      <w:r w:rsidRPr="004D3C0D">
        <w:rPr>
          <w:sz w:val="24"/>
          <w:szCs w:val="24"/>
        </w:rPr>
        <w:t xml:space="preserve"> przygotowawcz</w:t>
      </w:r>
      <w:r w:rsidR="008328DC">
        <w:rPr>
          <w:sz w:val="24"/>
          <w:szCs w:val="24"/>
        </w:rPr>
        <w:t>ych</w:t>
      </w:r>
      <w:r w:rsidRPr="004D3C0D">
        <w:rPr>
          <w:sz w:val="24"/>
          <w:szCs w:val="24"/>
        </w:rPr>
        <w:t xml:space="preserve"> zostaną naliczone środki w wysokości ok</w:t>
      </w:r>
      <w:r w:rsidR="00B176DA">
        <w:rPr>
          <w:sz w:val="24"/>
          <w:szCs w:val="24"/>
        </w:rPr>
        <w:t>.</w:t>
      </w:r>
      <w:r w:rsidRPr="004D3C0D">
        <w:rPr>
          <w:sz w:val="24"/>
          <w:szCs w:val="24"/>
        </w:rPr>
        <w:t xml:space="preserve"> </w:t>
      </w:r>
      <w:r w:rsidR="004D3C0D" w:rsidRPr="004D3C0D">
        <w:rPr>
          <w:sz w:val="24"/>
          <w:szCs w:val="24"/>
        </w:rPr>
        <w:t>3,3 mln zł</w:t>
      </w:r>
      <w:r w:rsidR="008328DC">
        <w:rPr>
          <w:sz w:val="24"/>
          <w:szCs w:val="24"/>
        </w:rPr>
        <w:t>.</w:t>
      </w:r>
    </w:p>
    <w:p w14:paraId="5B350A6A" w14:textId="77777777" w:rsidR="008771D9" w:rsidRPr="008771D9" w:rsidRDefault="008771D9" w:rsidP="008771D9">
      <w:pPr>
        <w:pStyle w:val="Tekstpodstawowy31"/>
        <w:spacing w:after="120" w:line="276" w:lineRule="auto"/>
        <w:ind w:left="284"/>
        <w:jc w:val="both"/>
        <w:rPr>
          <w:sz w:val="24"/>
          <w:szCs w:val="24"/>
          <w:highlight w:val="yellow"/>
        </w:rPr>
      </w:pPr>
    </w:p>
    <w:p w14:paraId="5F720CD0" w14:textId="5A11DA57" w:rsidR="00E91D8F" w:rsidRDefault="00F233EA" w:rsidP="00E91D8F">
      <w:pPr>
        <w:pStyle w:val="Tekstpodstawowy31"/>
        <w:numPr>
          <w:ilvl w:val="0"/>
          <w:numId w:val="12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3A76D8">
        <w:rPr>
          <w:sz w:val="24"/>
          <w:szCs w:val="24"/>
        </w:rPr>
        <w:t>Zmiana wartości wskaźnika wydatków rzeczowych oraz wydatków płacowych dla pracowników administracji i obsługi W</w:t>
      </w:r>
      <w:r w:rsidRPr="00C30DD9">
        <w:rPr>
          <w:sz w:val="24"/>
          <w:szCs w:val="24"/>
          <w:vertAlign w:val="subscript"/>
        </w:rPr>
        <w:t>r</w:t>
      </w:r>
      <w:r w:rsidRPr="003A76D8">
        <w:rPr>
          <w:sz w:val="24"/>
          <w:szCs w:val="24"/>
        </w:rPr>
        <w:t xml:space="preserve"> z 0,20 na 0,25.</w:t>
      </w:r>
      <w:r w:rsidR="008328DC">
        <w:rPr>
          <w:sz w:val="24"/>
          <w:szCs w:val="24"/>
        </w:rPr>
        <w:t xml:space="preserve"> </w:t>
      </w:r>
    </w:p>
    <w:p w14:paraId="6D2B78D8" w14:textId="10751871" w:rsidR="00585CF6" w:rsidRDefault="00300038" w:rsidP="0079004A">
      <w:pPr>
        <w:pStyle w:val="Tekstpodstawowy31"/>
        <w:spacing w:after="120" w:line="276" w:lineRule="auto"/>
        <w:ind w:left="284"/>
        <w:jc w:val="both"/>
        <w:rPr>
          <w:sz w:val="24"/>
          <w:szCs w:val="24"/>
        </w:rPr>
      </w:pPr>
      <w:r w:rsidRPr="003A76D8">
        <w:rPr>
          <w:sz w:val="24"/>
          <w:szCs w:val="24"/>
        </w:rPr>
        <w:t>Wskaźnik ten decyduje jaka część subwencji oświatowej jest dedykowana na wydatki rzeczowe oraz wydatki płacowe pracowników administracji i obsługi</w:t>
      </w:r>
      <w:r w:rsidR="008328DC">
        <w:rPr>
          <w:sz w:val="24"/>
          <w:szCs w:val="24"/>
        </w:rPr>
        <w:t>. O</w:t>
      </w:r>
      <w:r w:rsidRPr="003A76D8">
        <w:rPr>
          <w:sz w:val="24"/>
          <w:szCs w:val="24"/>
        </w:rPr>
        <w:t xml:space="preserve">znacza to, że ta część subwencji oświatowej zwiększy się z 20% na 25%. Zmiana ta jest podyktowana wzrostem płacy minimalnej oraz </w:t>
      </w:r>
      <w:r w:rsidR="003A76D8" w:rsidRPr="003A76D8">
        <w:rPr>
          <w:sz w:val="24"/>
          <w:szCs w:val="24"/>
        </w:rPr>
        <w:t>rosnącymi kosztami stałymi związanymi z prowadzeniem szkół i placówek.</w:t>
      </w:r>
    </w:p>
    <w:p w14:paraId="58CB9180" w14:textId="77777777" w:rsidR="00D451D8" w:rsidRDefault="00D451D8" w:rsidP="0079004A">
      <w:pPr>
        <w:pStyle w:val="Tekstpodstawowy31"/>
        <w:spacing w:after="120" w:line="276" w:lineRule="auto"/>
        <w:ind w:left="284"/>
        <w:jc w:val="both"/>
        <w:rPr>
          <w:sz w:val="24"/>
          <w:szCs w:val="24"/>
        </w:rPr>
      </w:pPr>
    </w:p>
    <w:p w14:paraId="679C49F9" w14:textId="6F83F61B" w:rsidR="00D451D8" w:rsidRDefault="00D451D8" w:rsidP="00105E33">
      <w:pPr>
        <w:pStyle w:val="Tekstpodstawowy31"/>
        <w:numPr>
          <w:ilvl w:val="0"/>
          <w:numId w:val="1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zmiany o charakterze porządkowym:</w:t>
      </w:r>
    </w:p>
    <w:p w14:paraId="71CED475" w14:textId="77777777" w:rsidR="00D451D8" w:rsidRDefault="00D451D8" w:rsidP="00D451D8">
      <w:pPr>
        <w:pStyle w:val="Tekstpodstawowy31"/>
        <w:numPr>
          <w:ilvl w:val="1"/>
          <w:numId w:val="2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C6DDA">
        <w:rPr>
          <w:sz w:val="24"/>
          <w:szCs w:val="24"/>
        </w:rPr>
        <w:t>otychczasowe szkoły policealne</w:t>
      </w:r>
      <w:r>
        <w:rPr>
          <w:sz w:val="24"/>
          <w:szCs w:val="24"/>
        </w:rPr>
        <w:t>;</w:t>
      </w:r>
    </w:p>
    <w:p w14:paraId="26B98823" w14:textId="77777777" w:rsidR="00D451D8" w:rsidRPr="008C6DDA" w:rsidRDefault="00D451D8" w:rsidP="00D451D8">
      <w:pPr>
        <w:pStyle w:val="Tekstpodstawowy31"/>
        <w:spacing w:after="120" w:line="276" w:lineRule="auto"/>
        <w:ind w:left="785"/>
        <w:jc w:val="both"/>
        <w:rPr>
          <w:sz w:val="24"/>
          <w:szCs w:val="24"/>
        </w:rPr>
      </w:pPr>
      <w:r w:rsidRPr="008C6DDA">
        <w:rPr>
          <w:sz w:val="24"/>
          <w:szCs w:val="24"/>
        </w:rPr>
        <w:t>Z opisu wag poza wagą P</w:t>
      </w:r>
      <w:r w:rsidRPr="008C6DDA">
        <w:rPr>
          <w:sz w:val="24"/>
          <w:szCs w:val="24"/>
          <w:vertAlign w:val="subscript"/>
        </w:rPr>
        <w:t>12</w:t>
      </w:r>
      <w:r w:rsidRPr="008C6DDA">
        <w:rPr>
          <w:sz w:val="24"/>
          <w:szCs w:val="24"/>
        </w:rPr>
        <w:t xml:space="preserve"> tzw. </w:t>
      </w:r>
      <w:r>
        <w:rPr>
          <w:sz w:val="24"/>
          <w:szCs w:val="24"/>
        </w:rPr>
        <w:t>„</w:t>
      </w:r>
      <w:r w:rsidRPr="008C6DDA">
        <w:rPr>
          <w:sz w:val="24"/>
          <w:szCs w:val="24"/>
        </w:rPr>
        <w:t>waga za zdany egzamin</w:t>
      </w:r>
      <w:r>
        <w:rPr>
          <w:sz w:val="24"/>
          <w:szCs w:val="24"/>
        </w:rPr>
        <w:t>”</w:t>
      </w:r>
      <w:r w:rsidRPr="008C6DDA">
        <w:rPr>
          <w:sz w:val="24"/>
          <w:szCs w:val="24"/>
        </w:rPr>
        <w:t xml:space="preserve"> usunięta została dotychczasowa szkoła policealna. </w:t>
      </w:r>
      <w:r>
        <w:rPr>
          <w:sz w:val="24"/>
          <w:szCs w:val="24"/>
        </w:rPr>
        <w:t>S</w:t>
      </w:r>
      <w:r w:rsidRPr="008C6DDA">
        <w:rPr>
          <w:sz w:val="24"/>
          <w:szCs w:val="24"/>
        </w:rPr>
        <w:t xml:space="preserve">zkoły te od roku szkolnego 2021/2022 nie prowadzą </w:t>
      </w:r>
      <w:r>
        <w:rPr>
          <w:sz w:val="24"/>
          <w:szCs w:val="24"/>
        </w:rPr>
        <w:t xml:space="preserve">już </w:t>
      </w:r>
      <w:r w:rsidRPr="008C6DDA">
        <w:rPr>
          <w:sz w:val="24"/>
          <w:szCs w:val="24"/>
        </w:rPr>
        <w:t>działalności</w:t>
      </w:r>
      <w:r>
        <w:rPr>
          <w:sz w:val="24"/>
          <w:szCs w:val="24"/>
        </w:rPr>
        <w:t>.</w:t>
      </w:r>
    </w:p>
    <w:p w14:paraId="36A87577" w14:textId="77777777" w:rsidR="00D451D8" w:rsidRDefault="00D451D8" w:rsidP="00D451D8">
      <w:pPr>
        <w:pStyle w:val="Tekstpodstawowy31"/>
        <w:numPr>
          <w:ilvl w:val="1"/>
          <w:numId w:val="2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C6DDA">
        <w:rPr>
          <w:sz w:val="24"/>
          <w:szCs w:val="24"/>
        </w:rPr>
        <w:t>zkolne schroniska młodzieżowe</w:t>
      </w:r>
      <w:r>
        <w:rPr>
          <w:sz w:val="24"/>
          <w:szCs w:val="24"/>
        </w:rPr>
        <w:t>;</w:t>
      </w:r>
    </w:p>
    <w:p w14:paraId="77AF2C65" w14:textId="77777777" w:rsidR="00D451D8" w:rsidRDefault="00D451D8" w:rsidP="00D451D8">
      <w:pPr>
        <w:pStyle w:val="Tekstpodstawowy31"/>
        <w:spacing w:after="120" w:line="276" w:lineRule="auto"/>
        <w:ind w:left="785"/>
        <w:jc w:val="both"/>
        <w:rPr>
          <w:sz w:val="24"/>
          <w:szCs w:val="24"/>
        </w:rPr>
      </w:pPr>
      <w:r w:rsidRPr="008C6DDA">
        <w:rPr>
          <w:sz w:val="24"/>
          <w:szCs w:val="24"/>
        </w:rPr>
        <w:t>W zakresie szkolnych schronisk młodzieżowych (waga P</w:t>
      </w:r>
      <w:r w:rsidRPr="008C6DDA">
        <w:rPr>
          <w:sz w:val="24"/>
          <w:szCs w:val="24"/>
          <w:vertAlign w:val="subscript"/>
        </w:rPr>
        <w:t>68</w:t>
      </w:r>
      <w:r w:rsidRPr="008C6DDA">
        <w:rPr>
          <w:sz w:val="24"/>
          <w:szCs w:val="24"/>
        </w:rPr>
        <w:t>) wprowadzono rozwiązania dotyczące naliczania uczniów</w:t>
      </w:r>
      <w:r>
        <w:rPr>
          <w:sz w:val="24"/>
          <w:szCs w:val="24"/>
        </w:rPr>
        <w:t xml:space="preserve"> na podstawie najnowszych danych, tj. tak</w:t>
      </w:r>
      <w:r w:rsidRPr="008C6DDA">
        <w:rPr>
          <w:sz w:val="24"/>
          <w:szCs w:val="24"/>
        </w:rPr>
        <w:t xml:space="preserve"> jak były</w:t>
      </w:r>
      <w:r>
        <w:rPr>
          <w:sz w:val="24"/>
          <w:szCs w:val="24"/>
        </w:rPr>
        <w:t xml:space="preserve"> one</w:t>
      </w:r>
      <w:r w:rsidRPr="008C6DDA">
        <w:rPr>
          <w:sz w:val="24"/>
          <w:szCs w:val="24"/>
        </w:rPr>
        <w:t xml:space="preserve"> </w:t>
      </w:r>
      <w:r>
        <w:rPr>
          <w:sz w:val="24"/>
          <w:szCs w:val="24"/>
        </w:rPr>
        <w:t>naliczane</w:t>
      </w:r>
      <w:r w:rsidRPr="008C6DD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podziale</w:t>
      </w:r>
      <w:r w:rsidRPr="008C6DDA">
        <w:rPr>
          <w:sz w:val="24"/>
          <w:szCs w:val="24"/>
        </w:rPr>
        <w:t xml:space="preserve"> subwencji</w:t>
      </w:r>
      <w:r>
        <w:rPr>
          <w:sz w:val="24"/>
          <w:szCs w:val="24"/>
        </w:rPr>
        <w:t xml:space="preserve"> oświatowej</w:t>
      </w:r>
      <w:r w:rsidRPr="008C6DDA">
        <w:rPr>
          <w:sz w:val="24"/>
          <w:szCs w:val="24"/>
        </w:rPr>
        <w:t xml:space="preserve"> przed </w:t>
      </w:r>
      <w:r>
        <w:rPr>
          <w:sz w:val="24"/>
          <w:szCs w:val="24"/>
        </w:rPr>
        <w:t>wystąpieniem stanu epidemii.</w:t>
      </w:r>
    </w:p>
    <w:p w14:paraId="16471A8D" w14:textId="77777777" w:rsidR="00D451D8" w:rsidRDefault="00D451D8" w:rsidP="00D451D8">
      <w:pPr>
        <w:pStyle w:val="Tekstpodstawowy31"/>
        <w:numPr>
          <w:ilvl w:val="1"/>
          <w:numId w:val="22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C6DDA">
        <w:rPr>
          <w:sz w:val="24"/>
          <w:szCs w:val="24"/>
        </w:rPr>
        <w:t>dprawy</w:t>
      </w:r>
      <w:r>
        <w:rPr>
          <w:sz w:val="24"/>
          <w:szCs w:val="24"/>
        </w:rPr>
        <w:t xml:space="preserve"> uregulowane w </w:t>
      </w:r>
      <w:r w:rsidRPr="008C6DDA">
        <w:rPr>
          <w:sz w:val="24"/>
          <w:szCs w:val="24"/>
        </w:rPr>
        <w:t>art. 225 i art. 226 ustawy z dnia 14 grudnia 2016 r. – Przepisy wprowadzające ustawę – Prawo oświatowe</w:t>
      </w:r>
      <w:r>
        <w:rPr>
          <w:sz w:val="24"/>
          <w:szCs w:val="24"/>
        </w:rPr>
        <w:t xml:space="preserve"> (Dz. U. z 2017 r. poz. 60, z późn. zm.);</w:t>
      </w:r>
    </w:p>
    <w:p w14:paraId="40D25070" w14:textId="77777777" w:rsidR="00D451D8" w:rsidRDefault="00D451D8" w:rsidP="00D451D8">
      <w:pPr>
        <w:pStyle w:val="Tekstpodstawowy31"/>
        <w:spacing w:after="120" w:line="276" w:lineRule="auto"/>
        <w:ind w:left="785"/>
        <w:jc w:val="both"/>
        <w:rPr>
          <w:sz w:val="24"/>
          <w:szCs w:val="24"/>
        </w:rPr>
      </w:pPr>
      <w:r w:rsidRPr="008C6DDA">
        <w:rPr>
          <w:sz w:val="24"/>
          <w:szCs w:val="24"/>
        </w:rPr>
        <w:lastRenderedPageBreak/>
        <w:t xml:space="preserve">Wykreślenie </w:t>
      </w:r>
      <w:r>
        <w:rPr>
          <w:sz w:val="24"/>
          <w:szCs w:val="24"/>
        </w:rPr>
        <w:t>w</w:t>
      </w:r>
      <w:r w:rsidRPr="008C6DDA">
        <w:rPr>
          <w:sz w:val="24"/>
          <w:szCs w:val="24"/>
        </w:rPr>
        <w:t xml:space="preserve"> § 2 </w:t>
      </w:r>
      <w:r>
        <w:rPr>
          <w:sz w:val="24"/>
          <w:szCs w:val="24"/>
        </w:rPr>
        <w:t xml:space="preserve">w </w:t>
      </w:r>
      <w:r w:rsidRPr="008C6DDA">
        <w:rPr>
          <w:sz w:val="24"/>
          <w:szCs w:val="24"/>
        </w:rPr>
        <w:t xml:space="preserve">pkt 5 projektu rozporządzenia </w:t>
      </w:r>
      <w:r>
        <w:rPr>
          <w:sz w:val="24"/>
          <w:szCs w:val="24"/>
        </w:rPr>
        <w:t xml:space="preserve">odesłania do </w:t>
      </w:r>
      <w:r w:rsidRPr="008C6DDA">
        <w:rPr>
          <w:sz w:val="24"/>
          <w:szCs w:val="24"/>
        </w:rPr>
        <w:t>art. 225 i art. 226 ustawy z dnia 14 grudnia 2016 r. – Przepisy wprowadzające ustawę – Prawo oświatowe spowodowane jest wygaśnięciem tych przepisów</w:t>
      </w:r>
      <w:r>
        <w:rPr>
          <w:sz w:val="24"/>
          <w:szCs w:val="24"/>
        </w:rPr>
        <w:t xml:space="preserve"> i niewypłacaniem już odpraw na tej podstawie.</w:t>
      </w:r>
    </w:p>
    <w:p w14:paraId="2451F6CA" w14:textId="77777777" w:rsidR="003A76D8" w:rsidRPr="003A76D8" w:rsidRDefault="003A76D8" w:rsidP="003A76D8">
      <w:pPr>
        <w:pStyle w:val="Tekstpodstawowy31"/>
        <w:spacing w:after="120" w:line="276" w:lineRule="auto"/>
        <w:jc w:val="both"/>
        <w:rPr>
          <w:sz w:val="24"/>
          <w:szCs w:val="24"/>
          <w:highlight w:val="yellow"/>
        </w:rPr>
      </w:pPr>
    </w:p>
    <w:p w14:paraId="6432B1AB" w14:textId="5A22D002" w:rsidR="0098056C" w:rsidRDefault="00985692" w:rsidP="002E1B4E">
      <w:pPr>
        <w:pStyle w:val="Tekstpodstawowy31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Proponuje się, aby p</w:t>
      </w:r>
      <w:r w:rsidR="00AD094D" w:rsidRPr="00300038">
        <w:rPr>
          <w:sz w:val="24"/>
          <w:szCs w:val="24"/>
        </w:rPr>
        <w:t>rzedmiotowe</w:t>
      </w:r>
      <w:r w:rsidR="00267589" w:rsidRPr="00300038">
        <w:rPr>
          <w:sz w:val="24"/>
          <w:szCs w:val="24"/>
        </w:rPr>
        <w:t xml:space="preserve"> </w:t>
      </w:r>
      <w:r w:rsidR="004707CF" w:rsidRPr="00300038">
        <w:rPr>
          <w:sz w:val="24"/>
          <w:szCs w:val="24"/>
        </w:rPr>
        <w:t>rozporządzeni</w:t>
      </w:r>
      <w:r w:rsidR="00EB60E3" w:rsidRPr="00300038">
        <w:rPr>
          <w:sz w:val="24"/>
          <w:szCs w:val="24"/>
        </w:rPr>
        <w:t>e</w:t>
      </w:r>
      <w:r w:rsidR="004707CF" w:rsidRPr="00300038">
        <w:rPr>
          <w:sz w:val="24"/>
          <w:szCs w:val="24"/>
        </w:rPr>
        <w:t xml:space="preserve"> we</w:t>
      </w:r>
      <w:r>
        <w:rPr>
          <w:sz w:val="24"/>
          <w:szCs w:val="24"/>
        </w:rPr>
        <w:t>szło</w:t>
      </w:r>
      <w:r w:rsidR="004707CF" w:rsidRPr="00300038">
        <w:rPr>
          <w:sz w:val="24"/>
          <w:szCs w:val="24"/>
        </w:rPr>
        <w:t xml:space="preserve"> </w:t>
      </w:r>
      <w:r w:rsidR="00AE52C6" w:rsidRPr="00300038">
        <w:rPr>
          <w:sz w:val="24"/>
          <w:szCs w:val="24"/>
        </w:rPr>
        <w:t xml:space="preserve">w życie z dniem 1 stycznia </w:t>
      </w:r>
      <w:r w:rsidR="00242321" w:rsidRPr="00300038">
        <w:rPr>
          <w:sz w:val="24"/>
          <w:szCs w:val="24"/>
        </w:rPr>
        <w:t>20</w:t>
      </w:r>
      <w:r w:rsidR="00DD18D8" w:rsidRPr="00300038">
        <w:rPr>
          <w:sz w:val="24"/>
          <w:szCs w:val="24"/>
        </w:rPr>
        <w:t>2</w:t>
      </w:r>
      <w:r w:rsidR="00F25295" w:rsidRPr="00300038">
        <w:rPr>
          <w:sz w:val="24"/>
          <w:szCs w:val="24"/>
        </w:rPr>
        <w:t>2</w:t>
      </w:r>
      <w:r w:rsidR="00242321" w:rsidRPr="00300038">
        <w:rPr>
          <w:sz w:val="24"/>
          <w:szCs w:val="24"/>
        </w:rPr>
        <w:t> </w:t>
      </w:r>
      <w:r w:rsidR="00AE52C6" w:rsidRPr="00300038">
        <w:rPr>
          <w:sz w:val="24"/>
          <w:szCs w:val="24"/>
        </w:rPr>
        <w:t>r.</w:t>
      </w:r>
      <w:r w:rsidR="00D06F96" w:rsidRPr="00300038">
        <w:rPr>
          <w:sz w:val="24"/>
          <w:szCs w:val="24"/>
        </w:rPr>
        <w:t>,</w:t>
      </w:r>
      <w:r w:rsidR="00576955" w:rsidRPr="00300038">
        <w:rPr>
          <w:sz w:val="24"/>
          <w:szCs w:val="24"/>
        </w:rPr>
        <w:t xml:space="preserve"> </w:t>
      </w:r>
      <w:r w:rsidR="004707CF" w:rsidRPr="00300038">
        <w:rPr>
          <w:sz w:val="24"/>
          <w:szCs w:val="24"/>
        </w:rPr>
        <w:t>co</w:t>
      </w:r>
      <w:r w:rsidR="00576955" w:rsidRPr="00300038">
        <w:rPr>
          <w:sz w:val="24"/>
          <w:szCs w:val="24"/>
        </w:rPr>
        <w:t xml:space="preserve"> wynika z charakteru </w:t>
      </w:r>
      <w:r w:rsidR="009D40A3" w:rsidRPr="00300038">
        <w:rPr>
          <w:sz w:val="24"/>
          <w:szCs w:val="24"/>
        </w:rPr>
        <w:t>tego</w:t>
      </w:r>
      <w:r w:rsidR="00576955" w:rsidRPr="00300038">
        <w:rPr>
          <w:sz w:val="24"/>
          <w:szCs w:val="24"/>
        </w:rPr>
        <w:t xml:space="preserve"> rozporządzenia. Określa ono sposób podziału </w:t>
      </w:r>
      <w:r w:rsidR="00576955" w:rsidRPr="00300038">
        <w:rPr>
          <w:bCs/>
          <w:sz w:val="24"/>
          <w:szCs w:val="24"/>
        </w:rPr>
        <w:t xml:space="preserve">części oświatowej subwencji ogólnej, jaki stosowany będzie w roku </w:t>
      </w:r>
      <w:r w:rsidR="00AD77B3" w:rsidRPr="00300038">
        <w:rPr>
          <w:bCs/>
          <w:sz w:val="24"/>
          <w:szCs w:val="24"/>
        </w:rPr>
        <w:t>202</w:t>
      </w:r>
      <w:r w:rsidR="00F25295" w:rsidRPr="00300038">
        <w:rPr>
          <w:bCs/>
          <w:sz w:val="24"/>
          <w:szCs w:val="24"/>
        </w:rPr>
        <w:t>2</w:t>
      </w:r>
      <w:r w:rsidR="00EB60E3" w:rsidRPr="00300038">
        <w:rPr>
          <w:bCs/>
          <w:sz w:val="24"/>
          <w:szCs w:val="24"/>
        </w:rPr>
        <w:t>,</w:t>
      </w:r>
      <w:r w:rsidR="00242321" w:rsidRPr="00300038">
        <w:rPr>
          <w:sz w:val="24"/>
          <w:szCs w:val="24"/>
        </w:rPr>
        <w:t xml:space="preserve"> </w:t>
      </w:r>
      <w:r w:rsidR="00576955" w:rsidRPr="00300038">
        <w:rPr>
          <w:sz w:val="24"/>
          <w:szCs w:val="24"/>
        </w:rPr>
        <w:t xml:space="preserve">przy uwzględnieniu wartości kwotowych wynikających z założeń, które zostaną przyjęte w ustawie budżetowej na rok </w:t>
      </w:r>
      <w:r w:rsidR="00AD77B3" w:rsidRPr="00300038">
        <w:rPr>
          <w:sz w:val="24"/>
          <w:szCs w:val="24"/>
        </w:rPr>
        <w:t>202</w:t>
      </w:r>
      <w:r w:rsidR="00F25295" w:rsidRPr="00300038">
        <w:rPr>
          <w:sz w:val="24"/>
          <w:szCs w:val="24"/>
        </w:rPr>
        <w:t>2</w:t>
      </w:r>
      <w:r w:rsidR="00576955" w:rsidRPr="00300038">
        <w:rPr>
          <w:sz w:val="24"/>
          <w:szCs w:val="24"/>
        </w:rPr>
        <w:t xml:space="preserve">, zatem akt ten powinien obowiązywać od początku roku budżetowego. </w:t>
      </w:r>
    </w:p>
    <w:p w14:paraId="0492CD46" w14:textId="77777777" w:rsidR="00FC6A0D" w:rsidRPr="00300038" w:rsidRDefault="00FC6A0D" w:rsidP="002E1B4E">
      <w:pPr>
        <w:pStyle w:val="Tekstpodstawowy31"/>
        <w:spacing w:after="120" w:line="276" w:lineRule="auto"/>
        <w:jc w:val="both"/>
        <w:rPr>
          <w:sz w:val="24"/>
          <w:szCs w:val="24"/>
        </w:rPr>
      </w:pPr>
    </w:p>
    <w:p w14:paraId="32177A7C" w14:textId="0B8CE0F6" w:rsidR="00EF3C75" w:rsidRPr="00300038" w:rsidRDefault="00EF3C75" w:rsidP="001666D5">
      <w:pPr>
        <w:pStyle w:val="Tekstpodstawowy2"/>
        <w:spacing w:after="0" w:line="276" w:lineRule="auto"/>
        <w:jc w:val="both"/>
        <w:rPr>
          <w:lang w:val="pl-PL"/>
        </w:rPr>
      </w:pPr>
      <w:r w:rsidRPr="00300038">
        <w:t>Zgodnie z art. 5 ustawy z dnia 7 lipca 2005 r. o działalności lobbingowej w procesie stanowienia prawa</w:t>
      </w:r>
      <w:r w:rsidRPr="00300038">
        <w:rPr>
          <w:i/>
        </w:rPr>
        <w:t xml:space="preserve"> </w:t>
      </w:r>
      <w:r w:rsidRPr="00300038">
        <w:t>(</w:t>
      </w:r>
      <w:r w:rsidR="00200A31" w:rsidRPr="00300038">
        <w:t>Dz. U. z 2017 r. poz. 248)</w:t>
      </w:r>
      <w:r w:rsidRPr="00300038">
        <w:t xml:space="preserve"> </w:t>
      </w:r>
      <w:r w:rsidR="0074596A" w:rsidRPr="00300038">
        <w:rPr>
          <w:lang w:val="pl-PL"/>
        </w:rPr>
        <w:t xml:space="preserve">projekt </w:t>
      </w:r>
      <w:r w:rsidR="008752A7" w:rsidRPr="00300038">
        <w:t>rozporządzeni</w:t>
      </w:r>
      <w:r w:rsidR="0074596A" w:rsidRPr="00300038">
        <w:rPr>
          <w:lang w:val="pl-PL"/>
        </w:rPr>
        <w:t>a</w:t>
      </w:r>
      <w:r w:rsidRPr="00300038">
        <w:t xml:space="preserve"> zosta</w:t>
      </w:r>
      <w:r w:rsidR="00F25295" w:rsidRPr="00300038">
        <w:rPr>
          <w:lang w:val="pl-PL"/>
        </w:rPr>
        <w:t>nie</w:t>
      </w:r>
      <w:r w:rsidRPr="00300038">
        <w:t xml:space="preserve"> udostępnion</w:t>
      </w:r>
      <w:r w:rsidR="00867A3B" w:rsidRPr="00300038">
        <w:rPr>
          <w:lang w:val="pl-PL"/>
        </w:rPr>
        <w:t>y</w:t>
      </w:r>
      <w:r w:rsidRPr="00300038">
        <w:t xml:space="preserve"> w Biuletynie Informacji Publicznej na stronie internetowej Ministerstwa Edukacji </w:t>
      </w:r>
      <w:r w:rsidR="00985692">
        <w:rPr>
          <w:lang w:val="pl-PL"/>
        </w:rPr>
        <w:t xml:space="preserve">i </w:t>
      </w:r>
      <w:r w:rsidRPr="00300038">
        <w:t>Na</w:t>
      </w:r>
      <w:r w:rsidR="00985692">
        <w:rPr>
          <w:lang w:val="pl-PL"/>
        </w:rPr>
        <w:t>uki</w:t>
      </w:r>
      <w:r w:rsidRPr="00300038">
        <w:t xml:space="preserve">. </w:t>
      </w:r>
      <w:r w:rsidR="0074596A" w:rsidRPr="00300038">
        <w:rPr>
          <w:lang w:val="pl-PL"/>
        </w:rPr>
        <w:t xml:space="preserve">Projekt </w:t>
      </w:r>
      <w:r w:rsidR="002F4AFD" w:rsidRPr="00300038">
        <w:t>rozporządze</w:t>
      </w:r>
      <w:r w:rsidR="002F4AFD" w:rsidRPr="00300038">
        <w:rPr>
          <w:lang w:val="pl-PL"/>
        </w:rPr>
        <w:t>nia</w:t>
      </w:r>
      <w:r w:rsidR="0099205F" w:rsidRPr="00300038">
        <w:t xml:space="preserve"> zosta</w:t>
      </w:r>
      <w:r w:rsidR="00F25295" w:rsidRPr="00300038">
        <w:rPr>
          <w:lang w:val="pl-PL"/>
        </w:rPr>
        <w:t>nie</w:t>
      </w:r>
      <w:r w:rsidR="0099205F" w:rsidRPr="00300038">
        <w:t xml:space="preserve"> również udostępnion</w:t>
      </w:r>
      <w:r w:rsidR="00EB7130" w:rsidRPr="00300038">
        <w:rPr>
          <w:lang w:val="pl-PL"/>
        </w:rPr>
        <w:t>y</w:t>
      </w:r>
      <w:r w:rsidR="0099205F" w:rsidRPr="00300038">
        <w:t xml:space="preserve"> w Biuletynie Informacji Publicznej na stronie internetowej Rządowego Centrum Legislacji.</w:t>
      </w:r>
      <w:r w:rsidR="000D5542" w:rsidRPr="00300038">
        <w:t xml:space="preserve"> </w:t>
      </w:r>
    </w:p>
    <w:p w14:paraId="49C2B14D" w14:textId="2F4BA0ED" w:rsidR="000C24E7" w:rsidRDefault="009D40A3" w:rsidP="00F62FEE">
      <w:pPr>
        <w:pStyle w:val="Tekstpodstawowy"/>
        <w:spacing w:before="240" w:line="276" w:lineRule="auto"/>
        <w:rPr>
          <w:sz w:val="24"/>
          <w:szCs w:val="24"/>
        </w:rPr>
      </w:pPr>
      <w:r w:rsidRPr="00300038">
        <w:rPr>
          <w:sz w:val="24"/>
          <w:szCs w:val="24"/>
          <w:lang w:val="pl-PL"/>
        </w:rPr>
        <w:t>Rozporządzenie</w:t>
      </w:r>
      <w:r w:rsidRPr="00300038">
        <w:rPr>
          <w:sz w:val="24"/>
          <w:szCs w:val="24"/>
        </w:rPr>
        <w:t xml:space="preserve"> </w:t>
      </w:r>
      <w:r w:rsidR="00EF3C75" w:rsidRPr="00300038">
        <w:rPr>
          <w:sz w:val="24"/>
          <w:szCs w:val="24"/>
        </w:rPr>
        <w:t>nie zawiera przepisów technicznych w rozumieniu rozporządzenia Rady Ministrów z dnia 23 grudnia 2002 r. w sprawie sposobu funkcjonowania krajowego sytemu notyfikacji norm i aktów prawnych (Dz. U. poz. 2039</w:t>
      </w:r>
      <w:r w:rsidR="002B6F87" w:rsidRPr="00300038">
        <w:rPr>
          <w:sz w:val="24"/>
          <w:szCs w:val="24"/>
        </w:rPr>
        <w:t xml:space="preserve"> oraz z 2004 r. poz. 597)</w:t>
      </w:r>
      <w:r w:rsidR="00EF3C75" w:rsidRPr="00300038">
        <w:rPr>
          <w:sz w:val="24"/>
          <w:szCs w:val="24"/>
        </w:rPr>
        <w:t>, w</w:t>
      </w:r>
      <w:r w:rsidR="00FE0451" w:rsidRPr="00300038">
        <w:rPr>
          <w:sz w:val="24"/>
          <w:szCs w:val="24"/>
          <w:lang w:val="pl-PL"/>
        </w:rPr>
        <w:t> </w:t>
      </w:r>
      <w:r w:rsidR="00EF3C75" w:rsidRPr="00300038">
        <w:rPr>
          <w:sz w:val="24"/>
          <w:szCs w:val="24"/>
        </w:rPr>
        <w:t xml:space="preserve">związku z tym nie podlega notyfikacji. </w:t>
      </w:r>
    </w:p>
    <w:p w14:paraId="0AECE609" w14:textId="77777777" w:rsidR="00C53F91" w:rsidRPr="0079004A" w:rsidRDefault="00C53F91" w:rsidP="0079004A">
      <w:pPr>
        <w:spacing w:line="276" w:lineRule="auto"/>
        <w:jc w:val="both"/>
        <w:rPr>
          <w:szCs w:val="24"/>
          <w:lang w:val="x-none" w:eastAsia="x-none"/>
        </w:rPr>
      </w:pPr>
    </w:p>
    <w:p w14:paraId="454D4AA5" w14:textId="7BA1FC56" w:rsidR="00C53F91" w:rsidRPr="0079004A" w:rsidRDefault="00C53F91" w:rsidP="0079004A">
      <w:pPr>
        <w:spacing w:after="240" w:line="276" w:lineRule="auto"/>
        <w:jc w:val="both"/>
        <w:rPr>
          <w:szCs w:val="24"/>
          <w:lang w:val="x-none" w:eastAsia="x-none"/>
        </w:rPr>
      </w:pPr>
      <w:r w:rsidRPr="0079004A">
        <w:rPr>
          <w:szCs w:val="24"/>
          <w:lang w:val="x-none" w:eastAsia="x-none"/>
        </w:rPr>
        <w:t>Przedmiot regulacji nie jest objęty zakresem prawa Unii Europejskiej.</w:t>
      </w:r>
    </w:p>
    <w:p w14:paraId="1EB6F408" w14:textId="0ACB8DB8" w:rsidR="00C53F91" w:rsidRPr="0079004A" w:rsidRDefault="00C53F91" w:rsidP="0079004A">
      <w:pPr>
        <w:spacing w:after="240" w:line="276" w:lineRule="auto"/>
        <w:jc w:val="both"/>
        <w:rPr>
          <w:szCs w:val="24"/>
          <w:lang w:val="x-none" w:eastAsia="x-none"/>
        </w:rPr>
      </w:pPr>
      <w:r w:rsidRPr="0079004A">
        <w:rPr>
          <w:szCs w:val="24"/>
          <w:lang w:val="x-none" w:eastAsia="x-none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4D18B109" w14:textId="229FD9C6" w:rsidR="000C24E7" w:rsidRPr="00300038" w:rsidRDefault="009D40A3" w:rsidP="00F62FEE">
      <w:pPr>
        <w:pStyle w:val="Tekstpodstawowy2"/>
        <w:spacing w:before="240" w:after="0" w:line="276" w:lineRule="auto"/>
        <w:jc w:val="both"/>
      </w:pPr>
      <w:r w:rsidRPr="0079004A">
        <w:t>Rozporządzenie</w:t>
      </w:r>
      <w:r w:rsidRPr="00300038">
        <w:t xml:space="preserve"> </w:t>
      </w:r>
      <w:r w:rsidR="000C24E7" w:rsidRPr="00300038">
        <w:t>nie ma wpływu na działalność mikroprzedsiębiorców, małych i</w:t>
      </w:r>
      <w:r w:rsidR="00FE0451" w:rsidRPr="0079004A">
        <w:t> </w:t>
      </w:r>
      <w:r w:rsidR="000C24E7" w:rsidRPr="00300038">
        <w:t>średnich</w:t>
      </w:r>
      <w:r w:rsidR="000C24E7" w:rsidRPr="0079004A">
        <w:t xml:space="preserve"> </w:t>
      </w:r>
      <w:r w:rsidR="000C24E7" w:rsidRPr="00300038">
        <w:t xml:space="preserve">przedsiębiorców w rozumieniu ustawy z dnia </w:t>
      </w:r>
      <w:r w:rsidR="00200A31" w:rsidRPr="00300038">
        <w:rPr>
          <w:lang w:val="pl-PL"/>
        </w:rPr>
        <w:t>6</w:t>
      </w:r>
      <w:r w:rsidR="00200A31" w:rsidRPr="00300038">
        <w:t xml:space="preserve"> </w:t>
      </w:r>
      <w:r w:rsidR="00200A31" w:rsidRPr="00300038">
        <w:rPr>
          <w:lang w:val="pl-PL"/>
        </w:rPr>
        <w:t>marca</w:t>
      </w:r>
      <w:r w:rsidR="00200A31" w:rsidRPr="00300038">
        <w:t xml:space="preserve"> </w:t>
      </w:r>
      <w:r w:rsidR="000C24E7" w:rsidRPr="00300038">
        <w:t>20</w:t>
      </w:r>
      <w:r w:rsidR="00200A31" w:rsidRPr="00300038">
        <w:rPr>
          <w:lang w:val="pl-PL"/>
        </w:rPr>
        <w:t>18</w:t>
      </w:r>
      <w:r w:rsidR="000C24E7" w:rsidRPr="00300038">
        <w:t xml:space="preserve"> r.</w:t>
      </w:r>
      <w:r w:rsidR="00CA6DBE" w:rsidRPr="00300038">
        <w:rPr>
          <w:lang w:val="pl-PL"/>
        </w:rPr>
        <w:t xml:space="preserve"> –</w:t>
      </w:r>
      <w:r w:rsidR="000C24E7" w:rsidRPr="00300038">
        <w:t xml:space="preserve"> </w:t>
      </w:r>
      <w:r w:rsidR="00200A31" w:rsidRPr="00300038">
        <w:rPr>
          <w:lang w:val="pl-PL"/>
        </w:rPr>
        <w:t>Prawo przedsiębiorców</w:t>
      </w:r>
      <w:r w:rsidR="000C24E7" w:rsidRPr="00300038">
        <w:t xml:space="preserve"> </w:t>
      </w:r>
      <w:r w:rsidR="00200A31" w:rsidRPr="00300038">
        <w:t>(</w:t>
      </w:r>
      <w:r w:rsidR="001A39D5" w:rsidRPr="00300038">
        <w:t>Dz.</w:t>
      </w:r>
      <w:r w:rsidR="00416CFA" w:rsidRPr="00300038">
        <w:rPr>
          <w:lang w:val="pl-PL"/>
        </w:rPr>
        <w:t xml:space="preserve"> </w:t>
      </w:r>
      <w:r w:rsidR="001A39D5" w:rsidRPr="00300038">
        <w:t xml:space="preserve">U. z </w:t>
      </w:r>
      <w:r w:rsidR="00BE0DBB" w:rsidRPr="00300038">
        <w:t>20</w:t>
      </w:r>
      <w:r w:rsidR="00BE0DBB">
        <w:rPr>
          <w:lang w:val="pl-PL"/>
        </w:rPr>
        <w:t>21</w:t>
      </w:r>
      <w:r w:rsidR="00BE0DBB" w:rsidRPr="00300038">
        <w:t xml:space="preserve"> </w:t>
      </w:r>
      <w:r w:rsidR="001A39D5" w:rsidRPr="00300038">
        <w:t xml:space="preserve">r. poz. </w:t>
      </w:r>
      <w:r w:rsidR="00BE0DBB">
        <w:rPr>
          <w:lang w:val="pl-PL"/>
        </w:rPr>
        <w:t>162</w:t>
      </w:r>
      <w:r w:rsidR="00200A31" w:rsidRPr="00300038">
        <w:t>).</w:t>
      </w:r>
    </w:p>
    <w:p w14:paraId="35458AFE" w14:textId="3BCF3C6D" w:rsidR="008607BC" w:rsidRPr="00300038" w:rsidRDefault="008607BC" w:rsidP="00DF03D9">
      <w:pPr>
        <w:pStyle w:val="Tekstpodstawowy2"/>
        <w:spacing w:after="0" w:line="276" w:lineRule="auto"/>
        <w:jc w:val="both"/>
      </w:pPr>
    </w:p>
    <w:p w14:paraId="47F21541" w14:textId="0B0EAB4F" w:rsidR="008607BC" w:rsidRPr="00300038" w:rsidRDefault="00711C93" w:rsidP="00DF03D9">
      <w:pPr>
        <w:pStyle w:val="Tekstpodstawowy2"/>
        <w:spacing w:after="0" w:line="276" w:lineRule="auto"/>
        <w:jc w:val="both"/>
      </w:pPr>
      <w:r w:rsidRPr="00300038">
        <w:t>Odnosząc się do § 12 pkt 1 załącznika do rozporządzenia Prezesa Rady Ministrów z dnia 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14:paraId="1682DE9F" w14:textId="77777777" w:rsidR="00CA6DBE" w:rsidRPr="00300038" w:rsidRDefault="00CA6DBE" w:rsidP="00F62FEE">
      <w:pPr>
        <w:pStyle w:val="Tekstpodstawowy2"/>
        <w:spacing w:before="240" w:after="0" w:line="276" w:lineRule="auto"/>
        <w:jc w:val="both"/>
      </w:pPr>
    </w:p>
    <w:sectPr w:rsidR="00CA6DBE" w:rsidRPr="00300038" w:rsidSect="004D23B3">
      <w:footerReference w:type="even" r:id="rId9"/>
      <w:footerReference w:type="default" r:id="rId10"/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6C6D" w14:textId="77777777" w:rsidR="00F94E4E" w:rsidRDefault="00F94E4E" w:rsidP="00454A44">
      <w:pPr>
        <w:pStyle w:val="Nagwek"/>
      </w:pPr>
      <w:r>
        <w:separator/>
      </w:r>
    </w:p>
  </w:endnote>
  <w:endnote w:type="continuationSeparator" w:id="0">
    <w:p w14:paraId="5559BCAA" w14:textId="77777777" w:rsidR="00F94E4E" w:rsidRDefault="00F94E4E" w:rsidP="00454A44">
      <w:pPr>
        <w:pStyle w:val="Nagwek"/>
      </w:pPr>
      <w:r>
        <w:continuationSeparator/>
      </w:r>
    </w:p>
  </w:endnote>
  <w:endnote w:type="continuationNotice" w:id="1">
    <w:p w14:paraId="31714D6F" w14:textId="77777777" w:rsidR="00F94E4E" w:rsidRDefault="00F9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DDF9" w14:textId="77777777" w:rsidR="005E5F7C" w:rsidRDefault="005E5F7C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48580" w14:textId="77777777" w:rsidR="005E5F7C" w:rsidRDefault="005E5F7C" w:rsidP="007A1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30C" w14:textId="2AA84276" w:rsidR="005E5F7C" w:rsidRDefault="005E5F7C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2F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5DDD3A" w14:textId="77777777" w:rsidR="005E5F7C" w:rsidRDefault="005E5F7C" w:rsidP="007A1E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9008" w14:textId="77777777" w:rsidR="00F94E4E" w:rsidRDefault="00F94E4E" w:rsidP="00454A44">
      <w:pPr>
        <w:pStyle w:val="Nagwek"/>
      </w:pPr>
      <w:r>
        <w:separator/>
      </w:r>
    </w:p>
  </w:footnote>
  <w:footnote w:type="continuationSeparator" w:id="0">
    <w:p w14:paraId="3CB18925" w14:textId="77777777" w:rsidR="00F94E4E" w:rsidRDefault="00F94E4E" w:rsidP="00454A44">
      <w:pPr>
        <w:pStyle w:val="Nagwek"/>
      </w:pPr>
      <w:r>
        <w:continuationSeparator/>
      </w:r>
    </w:p>
  </w:footnote>
  <w:footnote w:type="continuationNotice" w:id="1">
    <w:p w14:paraId="191D828F" w14:textId="77777777" w:rsidR="00F94E4E" w:rsidRDefault="00F94E4E"/>
  </w:footnote>
  <w:footnote w:id="2">
    <w:p w14:paraId="746F4792" w14:textId="46E2F7FF" w:rsidR="005E5F7C" w:rsidRDefault="005E5F7C" w:rsidP="003409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58F3">
        <w:t>Kwota finansowego standardu A może ulec zmianie w przypadku korekty danych o liczbie uczniów</w:t>
      </w:r>
      <w:r>
        <w:t xml:space="preserve">, słuchaczy, </w:t>
      </w:r>
      <w:r w:rsidRPr="009773DC">
        <w:t>wychowanków lub dzieci, które ukończyły 6 lat lub więcej w roku bazowym oraz</w:t>
      </w:r>
      <w:r w:rsidRPr="009E58F3">
        <w:t xml:space="preserve"> liczbie etatów nauczycieli na poszczególnych stopniach awansu zawodowego w roku szkolnym 20</w:t>
      </w:r>
      <w:r>
        <w:t>21</w:t>
      </w:r>
      <w:r w:rsidRPr="009E58F3">
        <w:t>/20</w:t>
      </w:r>
      <w:r>
        <w:t>22</w:t>
      </w:r>
      <w:r w:rsidRPr="009E58F3">
        <w:t xml:space="preserve"> wykazanych w</w:t>
      </w:r>
      <w:r>
        <w:t> </w:t>
      </w:r>
      <w:r w:rsidRPr="009E58F3">
        <w:t>systemie informacji oświatowej (w</w:t>
      </w:r>
      <w:r>
        <w:t>edłu</w:t>
      </w:r>
      <w:r w:rsidRPr="009E58F3">
        <w:t xml:space="preserve">g stanu na </w:t>
      </w:r>
      <w:r>
        <w:t xml:space="preserve">dzień </w:t>
      </w:r>
      <w:r w:rsidRPr="009E58F3">
        <w:t>30 września 20</w:t>
      </w:r>
      <w:r>
        <w:t>21</w:t>
      </w:r>
      <w:r w:rsidRPr="009E58F3">
        <w:t xml:space="preserve"> r. oraz </w:t>
      </w:r>
      <w:r>
        <w:t xml:space="preserve">dzień </w:t>
      </w:r>
      <w:r w:rsidRPr="009E58F3">
        <w:t>10 października 20</w:t>
      </w:r>
      <w:r>
        <w:t>21</w:t>
      </w:r>
      <w:r w:rsidRPr="009E58F3">
        <w:t xml:space="preserve"> r.).</w:t>
      </w:r>
    </w:p>
  </w:footnote>
  <w:footnote w:id="3">
    <w:p w14:paraId="2902ECC3" w14:textId="0E7E3DFA" w:rsidR="005E5F7C" w:rsidRDefault="005E5F7C" w:rsidP="005E6676">
      <w:pPr>
        <w:pStyle w:val="Tekstprzypisudolnego"/>
        <w:jc w:val="both"/>
      </w:pPr>
      <w:r w:rsidRPr="005E6676">
        <w:rPr>
          <w:rStyle w:val="Odwoanieprzypisudolnego"/>
        </w:rPr>
        <w:footnoteRef/>
      </w:r>
      <w:r w:rsidRPr="005E6676">
        <w:t xml:space="preserve"> Liczba 22 uczniów została przyjęta na podstawie </w:t>
      </w:r>
      <w:r>
        <w:t>rozwiązań przewidzianych w r</w:t>
      </w:r>
      <w:r w:rsidRPr="005E6676">
        <w:t>ozporządzeni</w:t>
      </w:r>
      <w:r>
        <w:t>u</w:t>
      </w:r>
      <w:r w:rsidRPr="005E6676">
        <w:t xml:space="preserve"> Ministra Obrony Narodowej</w:t>
      </w:r>
      <w:r w:rsidRPr="005F2BB2">
        <w:rPr>
          <w:sz w:val="24"/>
        </w:rPr>
        <w:t xml:space="preserve"> </w:t>
      </w:r>
      <w:r w:rsidRPr="005F2BB2">
        <w:t>z dnia 7 sierpnia 2020 r.</w:t>
      </w:r>
      <w:r w:rsidRPr="005E6676">
        <w:t xml:space="preserve"> w sprawie wsparcia dla organu prowadzącego oddział przygotowania wojskowego (Dz.</w:t>
      </w:r>
      <w:r>
        <w:t xml:space="preserve"> </w:t>
      </w:r>
      <w:r w:rsidRPr="005E6676">
        <w:t xml:space="preserve">U. poz. 1390). Dotacja </w:t>
      </w:r>
      <w:r>
        <w:t xml:space="preserve">celowa </w:t>
      </w:r>
      <w:r w:rsidRPr="005E6676">
        <w:t>na oddział jest przyznawana jeśli oddział liczy minimum 22 uczniów.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268"/>
    <w:multiLevelType w:val="hybridMultilevel"/>
    <w:tmpl w:val="05668412"/>
    <w:lvl w:ilvl="0" w:tplc="2D1CD95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7BC254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046E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3ED4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89E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86CB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06E0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C4C1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8062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200B7"/>
    <w:multiLevelType w:val="hybridMultilevel"/>
    <w:tmpl w:val="556ECB5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F6390F"/>
    <w:multiLevelType w:val="hybridMultilevel"/>
    <w:tmpl w:val="4FF4A56E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04DBF"/>
    <w:multiLevelType w:val="hybridMultilevel"/>
    <w:tmpl w:val="CB840D72"/>
    <w:lvl w:ilvl="0" w:tplc="4456E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E1D1ED3"/>
    <w:multiLevelType w:val="hybridMultilevel"/>
    <w:tmpl w:val="475E40E4"/>
    <w:lvl w:ilvl="0" w:tplc="275EBE98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F7947"/>
    <w:multiLevelType w:val="hybridMultilevel"/>
    <w:tmpl w:val="D230214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CB76AC"/>
    <w:multiLevelType w:val="hybridMultilevel"/>
    <w:tmpl w:val="F3B64848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1043F6E"/>
    <w:multiLevelType w:val="hybridMultilevel"/>
    <w:tmpl w:val="D8EA45F6"/>
    <w:lvl w:ilvl="0" w:tplc="86308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696A"/>
    <w:multiLevelType w:val="hybridMultilevel"/>
    <w:tmpl w:val="92428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83774"/>
    <w:multiLevelType w:val="hybridMultilevel"/>
    <w:tmpl w:val="45B82EF0"/>
    <w:lvl w:ilvl="0" w:tplc="AEF215B4">
      <w:start w:val="2"/>
      <w:numFmt w:val="bullet"/>
      <w:pStyle w:val="wylicz6-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37CD"/>
    <w:multiLevelType w:val="hybridMultilevel"/>
    <w:tmpl w:val="18083ED4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3B8A7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20CE8E4" w:tentative="1">
      <w:start w:val="1"/>
      <w:numFmt w:val="decimal"/>
      <w:lvlText w:val="%4."/>
      <w:lvlJc w:val="left"/>
      <w:pPr>
        <w:ind w:left="2880" w:hanging="360"/>
      </w:p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0585"/>
    <w:multiLevelType w:val="hybridMultilevel"/>
    <w:tmpl w:val="DCA8C85E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AD12EAD"/>
    <w:multiLevelType w:val="hybridMultilevel"/>
    <w:tmpl w:val="CBC60F1C"/>
    <w:lvl w:ilvl="0" w:tplc="910869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272E"/>
    <w:multiLevelType w:val="hybridMultilevel"/>
    <w:tmpl w:val="7584DCC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5C00918"/>
    <w:multiLevelType w:val="multilevel"/>
    <w:tmpl w:val="C42699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836C64"/>
    <w:multiLevelType w:val="hybridMultilevel"/>
    <w:tmpl w:val="778CD712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3B8A7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20CE8E4" w:tentative="1">
      <w:start w:val="1"/>
      <w:numFmt w:val="decimal"/>
      <w:lvlText w:val="%4."/>
      <w:lvlJc w:val="left"/>
      <w:pPr>
        <w:ind w:left="2880" w:hanging="360"/>
      </w:p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F02"/>
    <w:multiLevelType w:val="hybridMultilevel"/>
    <w:tmpl w:val="5426AE5C"/>
    <w:lvl w:ilvl="0" w:tplc="4456E8D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512F32B6"/>
    <w:multiLevelType w:val="hybridMultilevel"/>
    <w:tmpl w:val="6AAE3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A546B"/>
    <w:multiLevelType w:val="hybridMultilevel"/>
    <w:tmpl w:val="B442F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53857A4"/>
    <w:multiLevelType w:val="hybridMultilevel"/>
    <w:tmpl w:val="DBF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F2344C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B13EA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1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0"/>
  </w:num>
  <w:num w:numId="14">
    <w:abstractNumId w:val="16"/>
  </w:num>
  <w:num w:numId="15">
    <w:abstractNumId w:val="3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13"/>
  </w:num>
  <w:num w:numId="21">
    <w:abstractNumId w:val="5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201fbcd-3908-4282-a74c-ad25e4cea660"/>
    <w:docVar w:name="_AMO_XmlVersion" w:val="Empty"/>
  </w:docVars>
  <w:rsids>
    <w:rsidRoot w:val="00165447"/>
    <w:rsid w:val="0000007F"/>
    <w:rsid w:val="00000E53"/>
    <w:rsid w:val="000027D0"/>
    <w:rsid w:val="00002ADF"/>
    <w:rsid w:val="0000338F"/>
    <w:rsid w:val="0000496A"/>
    <w:rsid w:val="00004EE9"/>
    <w:rsid w:val="00006274"/>
    <w:rsid w:val="000064F0"/>
    <w:rsid w:val="000066B3"/>
    <w:rsid w:val="00006FD1"/>
    <w:rsid w:val="00011578"/>
    <w:rsid w:val="00011835"/>
    <w:rsid w:val="00011DB5"/>
    <w:rsid w:val="00012A63"/>
    <w:rsid w:val="000142BE"/>
    <w:rsid w:val="00020063"/>
    <w:rsid w:val="00020A72"/>
    <w:rsid w:val="00021157"/>
    <w:rsid w:val="00021E6C"/>
    <w:rsid w:val="0002213C"/>
    <w:rsid w:val="000221D0"/>
    <w:rsid w:val="00022A35"/>
    <w:rsid w:val="00023AF8"/>
    <w:rsid w:val="000244E0"/>
    <w:rsid w:val="000274AA"/>
    <w:rsid w:val="0003022E"/>
    <w:rsid w:val="000309C3"/>
    <w:rsid w:val="00031C1E"/>
    <w:rsid w:val="00032115"/>
    <w:rsid w:val="000322C5"/>
    <w:rsid w:val="000361F9"/>
    <w:rsid w:val="00036DEA"/>
    <w:rsid w:val="00036F2B"/>
    <w:rsid w:val="0004003D"/>
    <w:rsid w:val="000412EC"/>
    <w:rsid w:val="000413FA"/>
    <w:rsid w:val="00042DA2"/>
    <w:rsid w:val="0004373F"/>
    <w:rsid w:val="00043CDA"/>
    <w:rsid w:val="00043D9D"/>
    <w:rsid w:val="0004400D"/>
    <w:rsid w:val="00044810"/>
    <w:rsid w:val="00044ADB"/>
    <w:rsid w:val="00044FAA"/>
    <w:rsid w:val="00045987"/>
    <w:rsid w:val="00050E13"/>
    <w:rsid w:val="0005117A"/>
    <w:rsid w:val="00051526"/>
    <w:rsid w:val="000523DA"/>
    <w:rsid w:val="000524A9"/>
    <w:rsid w:val="0005327F"/>
    <w:rsid w:val="000539AE"/>
    <w:rsid w:val="0005480A"/>
    <w:rsid w:val="00055DE6"/>
    <w:rsid w:val="00057E18"/>
    <w:rsid w:val="00060D61"/>
    <w:rsid w:val="00060D91"/>
    <w:rsid w:val="000618C3"/>
    <w:rsid w:val="0006284C"/>
    <w:rsid w:val="00063CE4"/>
    <w:rsid w:val="0006495D"/>
    <w:rsid w:val="00064F7A"/>
    <w:rsid w:val="000660CF"/>
    <w:rsid w:val="00066112"/>
    <w:rsid w:val="0006640B"/>
    <w:rsid w:val="00070112"/>
    <w:rsid w:val="00070116"/>
    <w:rsid w:val="00071545"/>
    <w:rsid w:val="00072DC7"/>
    <w:rsid w:val="000736A1"/>
    <w:rsid w:val="0007420D"/>
    <w:rsid w:val="00074F69"/>
    <w:rsid w:val="00075C90"/>
    <w:rsid w:val="00077641"/>
    <w:rsid w:val="00077B65"/>
    <w:rsid w:val="0008181D"/>
    <w:rsid w:val="0008196B"/>
    <w:rsid w:val="00081B57"/>
    <w:rsid w:val="0008240D"/>
    <w:rsid w:val="000825E4"/>
    <w:rsid w:val="000829D4"/>
    <w:rsid w:val="00083164"/>
    <w:rsid w:val="00086470"/>
    <w:rsid w:val="00087C54"/>
    <w:rsid w:val="00087DE7"/>
    <w:rsid w:val="00090233"/>
    <w:rsid w:val="000927CB"/>
    <w:rsid w:val="00093979"/>
    <w:rsid w:val="00095D32"/>
    <w:rsid w:val="0009626C"/>
    <w:rsid w:val="000964EC"/>
    <w:rsid w:val="00097156"/>
    <w:rsid w:val="000A0C69"/>
    <w:rsid w:val="000A1C1B"/>
    <w:rsid w:val="000A22B9"/>
    <w:rsid w:val="000A2BDA"/>
    <w:rsid w:val="000A3612"/>
    <w:rsid w:val="000A3639"/>
    <w:rsid w:val="000A386E"/>
    <w:rsid w:val="000A3BB6"/>
    <w:rsid w:val="000A451B"/>
    <w:rsid w:val="000A52A8"/>
    <w:rsid w:val="000A6070"/>
    <w:rsid w:val="000A60E0"/>
    <w:rsid w:val="000A61AC"/>
    <w:rsid w:val="000A6DF8"/>
    <w:rsid w:val="000B0629"/>
    <w:rsid w:val="000B0D42"/>
    <w:rsid w:val="000B13A1"/>
    <w:rsid w:val="000B1B36"/>
    <w:rsid w:val="000B2CB2"/>
    <w:rsid w:val="000B2DD4"/>
    <w:rsid w:val="000B31B4"/>
    <w:rsid w:val="000B349F"/>
    <w:rsid w:val="000B3598"/>
    <w:rsid w:val="000B3D4C"/>
    <w:rsid w:val="000B3D9B"/>
    <w:rsid w:val="000B3FA1"/>
    <w:rsid w:val="000B4F3E"/>
    <w:rsid w:val="000B6793"/>
    <w:rsid w:val="000B6BCC"/>
    <w:rsid w:val="000B6D53"/>
    <w:rsid w:val="000B6F08"/>
    <w:rsid w:val="000B76B5"/>
    <w:rsid w:val="000B7C19"/>
    <w:rsid w:val="000C1A66"/>
    <w:rsid w:val="000C2403"/>
    <w:rsid w:val="000C24E7"/>
    <w:rsid w:val="000C2DCB"/>
    <w:rsid w:val="000C3F77"/>
    <w:rsid w:val="000C4251"/>
    <w:rsid w:val="000C4393"/>
    <w:rsid w:val="000C4A1D"/>
    <w:rsid w:val="000C569B"/>
    <w:rsid w:val="000C7706"/>
    <w:rsid w:val="000D473D"/>
    <w:rsid w:val="000D4F48"/>
    <w:rsid w:val="000D5542"/>
    <w:rsid w:val="000D5F08"/>
    <w:rsid w:val="000D64B7"/>
    <w:rsid w:val="000D77BC"/>
    <w:rsid w:val="000D7F79"/>
    <w:rsid w:val="000E07E1"/>
    <w:rsid w:val="000E0918"/>
    <w:rsid w:val="000E0EE6"/>
    <w:rsid w:val="000E154D"/>
    <w:rsid w:val="000E17F1"/>
    <w:rsid w:val="000E1D54"/>
    <w:rsid w:val="000E2232"/>
    <w:rsid w:val="000E2D93"/>
    <w:rsid w:val="000E37C5"/>
    <w:rsid w:val="000E62D6"/>
    <w:rsid w:val="000E660E"/>
    <w:rsid w:val="000E6FE0"/>
    <w:rsid w:val="000E73F5"/>
    <w:rsid w:val="000E7C51"/>
    <w:rsid w:val="000E7D87"/>
    <w:rsid w:val="000F0185"/>
    <w:rsid w:val="000F14B1"/>
    <w:rsid w:val="000F2643"/>
    <w:rsid w:val="000F2B07"/>
    <w:rsid w:val="000F5057"/>
    <w:rsid w:val="000F66A3"/>
    <w:rsid w:val="000F6E03"/>
    <w:rsid w:val="000F712F"/>
    <w:rsid w:val="000F7CB7"/>
    <w:rsid w:val="00101257"/>
    <w:rsid w:val="001015D6"/>
    <w:rsid w:val="00102345"/>
    <w:rsid w:val="0010569C"/>
    <w:rsid w:val="00105BB8"/>
    <w:rsid w:val="00105E33"/>
    <w:rsid w:val="00105ED8"/>
    <w:rsid w:val="00107632"/>
    <w:rsid w:val="00110268"/>
    <w:rsid w:val="00110437"/>
    <w:rsid w:val="00111873"/>
    <w:rsid w:val="0011194C"/>
    <w:rsid w:val="001120AE"/>
    <w:rsid w:val="0011220F"/>
    <w:rsid w:val="001132E4"/>
    <w:rsid w:val="00115A04"/>
    <w:rsid w:val="001162FB"/>
    <w:rsid w:val="00116637"/>
    <w:rsid w:val="00120A13"/>
    <w:rsid w:val="001220E2"/>
    <w:rsid w:val="00123253"/>
    <w:rsid w:val="001236E5"/>
    <w:rsid w:val="0012490F"/>
    <w:rsid w:val="0012555D"/>
    <w:rsid w:val="00125945"/>
    <w:rsid w:val="00125BFF"/>
    <w:rsid w:val="00125CFF"/>
    <w:rsid w:val="001265A9"/>
    <w:rsid w:val="001266F3"/>
    <w:rsid w:val="0012685A"/>
    <w:rsid w:val="00126B91"/>
    <w:rsid w:val="00127F64"/>
    <w:rsid w:val="00130271"/>
    <w:rsid w:val="00130F51"/>
    <w:rsid w:val="00132185"/>
    <w:rsid w:val="001348DC"/>
    <w:rsid w:val="001361B0"/>
    <w:rsid w:val="00137AA7"/>
    <w:rsid w:val="0014017A"/>
    <w:rsid w:val="0014257A"/>
    <w:rsid w:val="00143C75"/>
    <w:rsid w:val="00144D0C"/>
    <w:rsid w:val="00145206"/>
    <w:rsid w:val="001456D8"/>
    <w:rsid w:val="0014587B"/>
    <w:rsid w:val="0014713A"/>
    <w:rsid w:val="001479F3"/>
    <w:rsid w:val="00151E85"/>
    <w:rsid w:val="00151EE9"/>
    <w:rsid w:val="001522EF"/>
    <w:rsid w:val="0015391D"/>
    <w:rsid w:val="00153E7E"/>
    <w:rsid w:val="00153F31"/>
    <w:rsid w:val="001554D9"/>
    <w:rsid w:val="00156BFA"/>
    <w:rsid w:val="0015762F"/>
    <w:rsid w:val="00161E6E"/>
    <w:rsid w:val="00164BF5"/>
    <w:rsid w:val="00165447"/>
    <w:rsid w:val="00165F81"/>
    <w:rsid w:val="00166601"/>
    <w:rsid w:val="001666D5"/>
    <w:rsid w:val="00170A69"/>
    <w:rsid w:val="001711D9"/>
    <w:rsid w:val="00172390"/>
    <w:rsid w:val="00172981"/>
    <w:rsid w:val="00173B3B"/>
    <w:rsid w:val="00174D14"/>
    <w:rsid w:val="00174DF3"/>
    <w:rsid w:val="0017568B"/>
    <w:rsid w:val="00175D39"/>
    <w:rsid w:val="0017767B"/>
    <w:rsid w:val="00177961"/>
    <w:rsid w:val="0018199C"/>
    <w:rsid w:val="00183182"/>
    <w:rsid w:val="0018413F"/>
    <w:rsid w:val="0018436F"/>
    <w:rsid w:val="00184934"/>
    <w:rsid w:val="00184C96"/>
    <w:rsid w:val="001851E5"/>
    <w:rsid w:val="001859A4"/>
    <w:rsid w:val="00185D8D"/>
    <w:rsid w:val="00187E19"/>
    <w:rsid w:val="00187ECA"/>
    <w:rsid w:val="00190223"/>
    <w:rsid w:val="0019033B"/>
    <w:rsid w:val="001903A5"/>
    <w:rsid w:val="001912A1"/>
    <w:rsid w:val="00191BEB"/>
    <w:rsid w:val="00191CCC"/>
    <w:rsid w:val="00191DF1"/>
    <w:rsid w:val="00192FDC"/>
    <w:rsid w:val="00193385"/>
    <w:rsid w:val="00194085"/>
    <w:rsid w:val="001959FA"/>
    <w:rsid w:val="00195A07"/>
    <w:rsid w:val="001965CA"/>
    <w:rsid w:val="001A093F"/>
    <w:rsid w:val="001A0F32"/>
    <w:rsid w:val="001A137B"/>
    <w:rsid w:val="001A1D2B"/>
    <w:rsid w:val="001A38C6"/>
    <w:rsid w:val="001A39D5"/>
    <w:rsid w:val="001A58C1"/>
    <w:rsid w:val="001A780B"/>
    <w:rsid w:val="001A7C0D"/>
    <w:rsid w:val="001A7D07"/>
    <w:rsid w:val="001B0380"/>
    <w:rsid w:val="001B162C"/>
    <w:rsid w:val="001B173C"/>
    <w:rsid w:val="001B1F02"/>
    <w:rsid w:val="001B336B"/>
    <w:rsid w:val="001B437E"/>
    <w:rsid w:val="001B48D6"/>
    <w:rsid w:val="001B4B4C"/>
    <w:rsid w:val="001B4BA9"/>
    <w:rsid w:val="001B581B"/>
    <w:rsid w:val="001B5E37"/>
    <w:rsid w:val="001B6B9D"/>
    <w:rsid w:val="001B78D6"/>
    <w:rsid w:val="001C0E0D"/>
    <w:rsid w:val="001C22D5"/>
    <w:rsid w:val="001C277F"/>
    <w:rsid w:val="001C2E6F"/>
    <w:rsid w:val="001C38BD"/>
    <w:rsid w:val="001C3910"/>
    <w:rsid w:val="001C4260"/>
    <w:rsid w:val="001C4B58"/>
    <w:rsid w:val="001C506B"/>
    <w:rsid w:val="001C51B7"/>
    <w:rsid w:val="001C5314"/>
    <w:rsid w:val="001C6A4C"/>
    <w:rsid w:val="001D3051"/>
    <w:rsid w:val="001D486F"/>
    <w:rsid w:val="001D4D6E"/>
    <w:rsid w:val="001D5EAC"/>
    <w:rsid w:val="001D6C06"/>
    <w:rsid w:val="001D7050"/>
    <w:rsid w:val="001E035A"/>
    <w:rsid w:val="001E24C9"/>
    <w:rsid w:val="001E2988"/>
    <w:rsid w:val="001E312E"/>
    <w:rsid w:val="001E4103"/>
    <w:rsid w:val="001E49A8"/>
    <w:rsid w:val="001E4E1A"/>
    <w:rsid w:val="001E5222"/>
    <w:rsid w:val="001E58E9"/>
    <w:rsid w:val="001E5C78"/>
    <w:rsid w:val="001E5CC6"/>
    <w:rsid w:val="001E62BE"/>
    <w:rsid w:val="001E78A5"/>
    <w:rsid w:val="001F05EB"/>
    <w:rsid w:val="001F1C01"/>
    <w:rsid w:val="001F1E61"/>
    <w:rsid w:val="001F40CE"/>
    <w:rsid w:val="001F43DC"/>
    <w:rsid w:val="001F4571"/>
    <w:rsid w:val="001F45C4"/>
    <w:rsid w:val="001F5417"/>
    <w:rsid w:val="001F6502"/>
    <w:rsid w:val="00200A31"/>
    <w:rsid w:val="00200ECE"/>
    <w:rsid w:val="00202C48"/>
    <w:rsid w:val="00204130"/>
    <w:rsid w:val="00204536"/>
    <w:rsid w:val="00205F04"/>
    <w:rsid w:val="0020648C"/>
    <w:rsid w:val="002069E9"/>
    <w:rsid w:val="00206DB1"/>
    <w:rsid w:val="00207060"/>
    <w:rsid w:val="002070C6"/>
    <w:rsid w:val="0020766E"/>
    <w:rsid w:val="00210FEC"/>
    <w:rsid w:val="00211293"/>
    <w:rsid w:val="00211A54"/>
    <w:rsid w:val="00211FA7"/>
    <w:rsid w:val="002133AF"/>
    <w:rsid w:val="002146CC"/>
    <w:rsid w:val="00216740"/>
    <w:rsid w:val="00221C2E"/>
    <w:rsid w:val="002222C9"/>
    <w:rsid w:val="00223B72"/>
    <w:rsid w:val="00225C16"/>
    <w:rsid w:val="00225C73"/>
    <w:rsid w:val="00226887"/>
    <w:rsid w:val="002269F9"/>
    <w:rsid w:val="00226AD0"/>
    <w:rsid w:val="00231598"/>
    <w:rsid w:val="00231B82"/>
    <w:rsid w:val="0023237D"/>
    <w:rsid w:val="0023332B"/>
    <w:rsid w:val="0023377E"/>
    <w:rsid w:val="00233852"/>
    <w:rsid w:val="002340A8"/>
    <w:rsid w:val="00234ABE"/>
    <w:rsid w:val="002353C1"/>
    <w:rsid w:val="00235B0F"/>
    <w:rsid w:val="00237762"/>
    <w:rsid w:val="00237811"/>
    <w:rsid w:val="0023781E"/>
    <w:rsid w:val="002408D1"/>
    <w:rsid w:val="00240BA1"/>
    <w:rsid w:val="00242321"/>
    <w:rsid w:val="002428E3"/>
    <w:rsid w:val="00243065"/>
    <w:rsid w:val="002436C8"/>
    <w:rsid w:val="00243E6A"/>
    <w:rsid w:val="002451C1"/>
    <w:rsid w:val="00245A9A"/>
    <w:rsid w:val="00245C00"/>
    <w:rsid w:val="00245D6D"/>
    <w:rsid w:val="00246615"/>
    <w:rsid w:val="00247168"/>
    <w:rsid w:val="002475EF"/>
    <w:rsid w:val="00251B0F"/>
    <w:rsid w:val="00251D68"/>
    <w:rsid w:val="0025229E"/>
    <w:rsid w:val="00253DF4"/>
    <w:rsid w:val="002551FE"/>
    <w:rsid w:val="0025522C"/>
    <w:rsid w:val="00255D58"/>
    <w:rsid w:val="002569AB"/>
    <w:rsid w:val="0025793A"/>
    <w:rsid w:val="00257ECD"/>
    <w:rsid w:val="00260B55"/>
    <w:rsid w:val="00261AD2"/>
    <w:rsid w:val="00265CF0"/>
    <w:rsid w:val="002660B7"/>
    <w:rsid w:val="00266C14"/>
    <w:rsid w:val="00267589"/>
    <w:rsid w:val="002701F0"/>
    <w:rsid w:val="00270BB5"/>
    <w:rsid w:val="00272E31"/>
    <w:rsid w:val="00273370"/>
    <w:rsid w:val="002751F2"/>
    <w:rsid w:val="00276144"/>
    <w:rsid w:val="00276213"/>
    <w:rsid w:val="0027786F"/>
    <w:rsid w:val="00277A04"/>
    <w:rsid w:val="002804C2"/>
    <w:rsid w:val="002811C3"/>
    <w:rsid w:val="00282C12"/>
    <w:rsid w:val="00283038"/>
    <w:rsid w:val="00283C54"/>
    <w:rsid w:val="00285613"/>
    <w:rsid w:val="00285650"/>
    <w:rsid w:val="00291517"/>
    <w:rsid w:val="00292CAB"/>
    <w:rsid w:val="0029390D"/>
    <w:rsid w:val="002952D1"/>
    <w:rsid w:val="0029618C"/>
    <w:rsid w:val="00296C4C"/>
    <w:rsid w:val="002974AD"/>
    <w:rsid w:val="00297E99"/>
    <w:rsid w:val="002A0657"/>
    <w:rsid w:val="002A2FE5"/>
    <w:rsid w:val="002A480F"/>
    <w:rsid w:val="002A4AE0"/>
    <w:rsid w:val="002A5298"/>
    <w:rsid w:val="002A5FFE"/>
    <w:rsid w:val="002A647C"/>
    <w:rsid w:val="002A686D"/>
    <w:rsid w:val="002A79E8"/>
    <w:rsid w:val="002A7C70"/>
    <w:rsid w:val="002B2531"/>
    <w:rsid w:val="002B2E21"/>
    <w:rsid w:val="002B3BEA"/>
    <w:rsid w:val="002B4A54"/>
    <w:rsid w:val="002B4B1F"/>
    <w:rsid w:val="002B5C6F"/>
    <w:rsid w:val="002B5CAB"/>
    <w:rsid w:val="002B6593"/>
    <w:rsid w:val="002B6962"/>
    <w:rsid w:val="002B6F87"/>
    <w:rsid w:val="002B7232"/>
    <w:rsid w:val="002B7C89"/>
    <w:rsid w:val="002C0FF1"/>
    <w:rsid w:val="002C13B5"/>
    <w:rsid w:val="002C1EBB"/>
    <w:rsid w:val="002C30B9"/>
    <w:rsid w:val="002C3141"/>
    <w:rsid w:val="002C3198"/>
    <w:rsid w:val="002C3895"/>
    <w:rsid w:val="002C4F27"/>
    <w:rsid w:val="002C50A0"/>
    <w:rsid w:val="002C50A3"/>
    <w:rsid w:val="002C7CCA"/>
    <w:rsid w:val="002C7E12"/>
    <w:rsid w:val="002C7E27"/>
    <w:rsid w:val="002D0B50"/>
    <w:rsid w:val="002D10B9"/>
    <w:rsid w:val="002D125F"/>
    <w:rsid w:val="002D1A19"/>
    <w:rsid w:val="002D2102"/>
    <w:rsid w:val="002D2D7B"/>
    <w:rsid w:val="002D2E55"/>
    <w:rsid w:val="002D3707"/>
    <w:rsid w:val="002D51C7"/>
    <w:rsid w:val="002D5619"/>
    <w:rsid w:val="002D5886"/>
    <w:rsid w:val="002D5E98"/>
    <w:rsid w:val="002D5F88"/>
    <w:rsid w:val="002D690D"/>
    <w:rsid w:val="002D73B6"/>
    <w:rsid w:val="002D7C59"/>
    <w:rsid w:val="002D7F8D"/>
    <w:rsid w:val="002D7FCE"/>
    <w:rsid w:val="002E1B4E"/>
    <w:rsid w:val="002E1C05"/>
    <w:rsid w:val="002E2817"/>
    <w:rsid w:val="002E4DA5"/>
    <w:rsid w:val="002E5A15"/>
    <w:rsid w:val="002E6BF8"/>
    <w:rsid w:val="002E79D7"/>
    <w:rsid w:val="002E7A33"/>
    <w:rsid w:val="002F1775"/>
    <w:rsid w:val="002F1FF5"/>
    <w:rsid w:val="002F31EE"/>
    <w:rsid w:val="002F3E77"/>
    <w:rsid w:val="002F4AFD"/>
    <w:rsid w:val="002F7A87"/>
    <w:rsid w:val="00300038"/>
    <w:rsid w:val="00300DF7"/>
    <w:rsid w:val="00300F7C"/>
    <w:rsid w:val="003018FC"/>
    <w:rsid w:val="00301FB4"/>
    <w:rsid w:val="00302E5E"/>
    <w:rsid w:val="003038EE"/>
    <w:rsid w:val="00303FEA"/>
    <w:rsid w:val="00304A17"/>
    <w:rsid w:val="003054D5"/>
    <w:rsid w:val="0030564E"/>
    <w:rsid w:val="003059B9"/>
    <w:rsid w:val="00311496"/>
    <w:rsid w:val="003115E2"/>
    <w:rsid w:val="003115E8"/>
    <w:rsid w:val="00311EBE"/>
    <w:rsid w:val="0031288A"/>
    <w:rsid w:val="003130BA"/>
    <w:rsid w:val="003138A6"/>
    <w:rsid w:val="0031462A"/>
    <w:rsid w:val="00314D33"/>
    <w:rsid w:val="0031624C"/>
    <w:rsid w:val="00316467"/>
    <w:rsid w:val="00316533"/>
    <w:rsid w:val="00316CE9"/>
    <w:rsid w:val="0031706D"/>
    <w:rsid w:val="00317994"/>
    <w:rsid w:val="00320613"/>
    <w:rsid w:val="00321371"/>
    <w:rsid w:val="00321F22"/>
    <w:rsid w:val="00322158"/>
    <w:rsid w:val="0032376B"/>
    <w:rsid w:val="00323875"/>
    <w:rsid w:val="00324D11"/>
    <w:rsid w:val="003251D9"/>
    <w:rsid w:val="00325D69"/>
    <w:rsid w:val="0032640B"/>
    <w:rsid w:val="00327463"/>
    <w:rsid w:val="003277CD"/>
    <w:rsid w:val="00330EA9"/>
    <w:rsid w:val="0033160D"/>
    <w:rsid w:val="00334227"/>
    <w:rsid w:val="00334508"/>
    <w:rsid w:val="00334528"/>
    <w:rsid w:val="003345EC"/>
    <w:rsid w:val="0033620E"/>
    <w:rsid w:val="00337A1D"/>
    <w:rsid w:val="003402BE"/>
    <w:rsid w:val="00340464"/>
    <w:rsid w:val="00340843"/>
    <w:rsid w:val="00340887"/>
    <w:rsid w:val="0034097A"/>
    <w:rsid w:val="003414BF"/>
    <w:rsid w:val="00342C75"/>
    <w:rsid w:val="00342E7F"/>
    <w:rsid w:val="003433FD"/>
    <w:rsid w:val="00343850"/>
    <w:rsid w:val="00344D52"/>
    <w:rsid w:val="0034763A"/>
    <w:rsid w:val="0035072A"/>
    <w:rsid w:val="00351F73"/>
    <w:rsid w:val="00352AD3"/>
    <w:rsid w:val="003537F0"/>
    <w:rsid w:val="00354883"/>
    <w:rsid w:val="003568CA"/>
    <w:rsid w:val="00356DBD"/>
    <w:rsid w:val="00360635"/>
    <w:rsid w:val="00360945"/>
    <w:rsid w:val="00361C85"/>
    <w:rsid w:val="00362427"/>
    <w:rsid w:val="0036271B"/>
    <w:rsid w:val="003628BE"/>
    <w:rsid w:val="00362B46"/>
    <w:rsid w:val="00362C52"/>
    <w:rsid w:val="00364061"/>
    <w:rsid w:val="0036431A"/>
    <w:rsid w:val="00364C73"/>
    <w:rsid w:val="00365045"/>
    <w:rsid w:val="003662A3"/>
    <w:rsid w:val="00366CE4"/>
    <w:rsid w:val="0036774E"/>
    <w:rsid w:val="00367D18"/>
    <w:rsid w:val="003702CA"/>
    <w:rsid w:val="00370D24"/>
    <w:rsid w:val="0037262F"/>
    <w:rsid w:val="00373617"/>
    <w:rsid w:val="00373641"/>
    <w:rsid w:val="00373948"/>
    <w:rsid w:val="00374D65"/>
    <w:rsid w:val="003751B8"/>
    <w:rsid w:val="00376198"/>
    <w:rsid w:val="00376500"/>
    <w:rsid w:val="003774F4"/>
    <w:rsid w:val="00380C40"/>
    <w:rsid w:val="00383F80"/>
    <w:rsid w:val="00386304"/>
    <w:rsid w:val="00386588"/>
    <w:rsid w:val="00386666"/>
    <w:rsid w:val="00386857"/>
    <w:rsid w:val="0039024D"/>
    <w:rsid w:val="00390275"/>
    <w:rsid w:val="00390941"/>
    <w:rsid w:val="00391E62"/>
    <w:rsid w:val="00392418"/>
    <w:rsid w:val="0039338F"/>
    <w:rsid w:val="003938A6"/>
    <w:rsid w:val="003942AE"/>
    <w:rsid w:val="00396862"/>
    <w:rsid w:val="00396E6D"/>
    <w:rsid w:val="0039763C"/>
    <w:rsid w:val="0039778A"/>
    <w:rsid w:val="003A0270"/>
    <w:rsid w:val="003A08A9"/>
    <w:rsid w:val="003A39A4"/>
    <w:rsid w:val="003A4037"/>
    <w:rsid w:val="003A497F"/>
    <w:rsid w:val="003A4D85"/>
    <w:rsid w:val="003A6AAF"/>
    <w:rsid w:val="003A6ED1"/>
    <w:rsid w:val="003A718C"/>
    <w:rsid w:val="003A73AB"/>
    <w:rsid w:val="003A76D8"/>
    <w:rsid w:val="003B31D7"/>
    <w:rsid w:val="003B3272"/>
    <w:rsid w:val="003B5439"/>
    <w:rsid w:val="003C2982"/>
    <w:rsid w:val="003C3E59"/>
    <w:rsid w:val="003C4582"/>
    <w:rsid w:val="003C64C2"/>
    <w:rsid w:val="003C674C"/>
    <w:rsid w:val="003C6F7F"/>
    <w:rsid w:val="003C773E"/>
    <w:rsid w:val="003D1639"/>
    <w:rsid w:val="003D4C64"/>
    <w:rsid w:val="003D5415"/>
    <w:rsid w:val="003D54BA"/>
    <w:rsid w:val="003D5633"/>
    <w:rsid w:val="003D60EF"/>
    <w:rsid w:val="003D7E61"/>
    <w:rsid w:val="003E1DD9"/>
    <w:rsid w:val="003E205C"/>
    <w:rsid w:val="003E4CE6"/>
    <w:rsid w:val="003E4F7E"/>
    <w:rsid w:val="003E5E13"/>
    <w:rsid w:val="003E672B"/>
    <w:rsid w:val="003F165E"/>
    <w:rsid w:val="003F439B"/>
    <w:rsid w:val="003F4CAF"/>
    <w:rsid w:val="003F5E31"/>
    <w:rsid w:val="00400DBD"/>
    <w:rsid w:val="00401CCE"/>
    <w:rsid w:val="004046AF"/>
    <w:rsid w:val="00404902"/>
    <w:rsid w:val="00407E32"/>
    <w:rsid w:val="00407F10"/>
    <w:rsid w:val="004102F1"/>
    <w:rsid w:val="004116E9"/>
    <w:rsid w:val="004118DE"/>
    <w:rsid w:val="00413071"/>
    <w:rsid w:val="00414CB0"/>
    <w:rsid w:val="00415389"/>
    <w:rsid w:val="00416837"/>
    <w:rsid w:val="00416CFA"/>
    <w:rsid w:val="00421282"/>
    <w:rsid w:val="00421292"/>
    <w:rsid w:val="00421AE1"/>
    <w:rsid w:val="00423177"/>
    <w:rsid w:val="004241C0"/>
    <w:rsid w:val="00424774"/>
    <w:rsid w:val="0042726D"/>
    <w:rsid w:val="00427EC1"/>
    <w:rsid w:val="0043018D"/>
    <w:rsid w:val="004326EC"/>
    <w:rsid w:val="004330AD"/>
    <w:rsid w:val="00433C6C"/>
    <w:rsid w:val="00436DA2"/>
    <w:rsid w:val="00437F2E"/>
    <w:rsid w:val="0044049F"/>
    <w:rsid w:val="00441E4F"/>
    <w:rsid w:val="0044269F"/>
    <w:rsid w:val="00443109"/>
    <w:rsid w:val="004442E2"/>
    <w:rsid w:val="0044462A"/>
    <w:rsid w:val="00444C56"/>
    <w:rsid w:val="00446980"/>
    <w:rsid w:val="00447D6C"/>
    <w:rsid w:val="00450F12"/>
    <w:rsid w:val="00451147"/>
    <w:rsid w:val="00451E6D"/>
    <w:rsid w:val="00451E84"/>
    <w:rsid w:val="004520BD"/>
    <w:rsid w:val="0045260E"/>
    <w:rsid w:val="004528E8"/>
    <w:rsid w:val="004531D3"/>
    <w:rsid w:val="004535A3"/>
    <w:rsid w:val="00453D34"/>
    <w:rsid w:val="00454A44"/>
    <w:rsid w:val="004554FC"/>
    <w:rsid w:val="00455F63"/>
    <w:rsid w:val="00456453"/>
    <w:rsid w:val="0045682E"/>
    <w:rsid w:val="004616A6"/>
    <w:rsid w:val="00462470"/>
    <w:rsid w:val="00462A53"/>
    <w:rsid w:val="00462B64"/>
    <w:rsid w:val="00462EB8"/>
    <w:rsid w:val="004642E3"/>
    <w:rsid w:val="00464BF2"/>
    <w:rsid w:val="00464FAB"/>
    <w:rsid w:val="00465182"/>
    <w:rsid w:val="004707CF"/>
    <w:rsid w:val="004740CC"/>
    <w:rsid w:val="00475006"/>
    <w:rsid w:val="00475C9B"/>
    <w:rsid w:val="004762DC"/>
    <w:rsid w:val="00476D89"/>
    <w:rsid w:val="00476F9C"/>
    <w:rsid w:val="004802DC"/>
    <w:rsid w:val="00481535"/>
    <w:rsid w:val="004855F3"/>
    <w:rsid w:val="004857EF"/>
    <w:rsid w:val="00485E29"/>
    <w:rsid w:val="0048623F"/>
    <w:rsid w:val="00487E62"/>
    <w:rsid w:val="00490E54"/>
    <w:rsid w:val="00491E3C"/>
    <w:rsid w:val="00494DA7"/>
    <w:rsid w:val="00496022"/>
    <w:rsid w:val="00496121"/>
    <w:rsid w:val="00496B0B"/>
    <w:rsid w:val="00497BC6"/>
    <w:rsid w:val="00497E69"/>
    <w:rsid w:val="004A0463"/>
    <w:rsid w:val="004A1E6C"/>
    <w:rsid w:val="004A37AD"/>
    <w:rsid w:val="004A37BE"/>
    <w:rsid w:val="004A4046"/>
    <w:rsid w:val="004A45F4"/>
    <w:rsid w:val="004A4634"/>
    <w:rsid w:val="004A4F0E"/>
    <w:rsid w:val="004A6138"/>
    <w:rsid w:val="004A6528"/>
    <w:rsid w:val="004A6B19"/>
    <w:rsid w:val="004A7FDF"/>
    <w:rsid w:val="004B0421"/>
    <w:rsid w:val="004B0A7E"/>
    <w:rsid w:val="004B1C4B"/>
    <w:rsid w:val="004B29B9"/>
    <w:rsid w:val="004B42AC"/>
    <w:rsid w:val="004B5147"/>
    <w:rsid w:val="004B5612"/>
    <w:rsid w:val="004B60ED"/>
    <w:rsid w:val="004B721A"/>
    <w:rsid w:val="004B7291"/>
    <w:rsid w:val="004B730E"/>
    <w:rsid w:val="004B740F"/>
    <w:rsid w:val="004B7F45"/>
    <w:rsid w:val="004C193A"/>
    <w:rsid w:val="004C1B63"/>
    <w:rsid w:val="004C32BB"/>
    <w:rsid w:val="004C3AB4"/>
    <w:rsid w:val="004C470F"/>
    <w:rsid w:val="004C4D5F"/>
    <w:rsid w:val="004C63C1"/>
    <w:rsid w:val="004C6898"/>
    <w:rsid w:val="004D0390"/>
    <w:rsid w:val="004D0D6C"/>
    <w:rsid w:val="004D2216"/>
    <w:rsid w:val="004D23B3"/>
    <w:rsid w:val="004D3C0D"/>
    <w:rsid w:val="004D73DB"/>
    <w:rsid w:val="004E00D7"/>
    <w:rsid w:val="004E0896"/>
    <w:rsid w:val="004E2E8B"/>
    <w:rsid w:val="004E4458"/>
    <w:rsid w:val="004E6B38"/>
    <w:rsid w:val="004E7DC6"/>
    <w:rsid w:val="004F05D4"/>
    <w:rsid w:val="004F1318"/>
    <w:rsid w:val="004F3649"/>
    <w:rsid w:val="004F44DB"/>
    <w:rsid w:val="004F467D"/>
    <w:rsid w:val="004F54B3"/>
    <w:rsid w:val="004F606C"/>
    <w:rsid w:val="004F6F53"/>
    <w:rsid w:val="004F7709"/>
    <w:rsid w:val="004F7882"/>
    <w:rsid w:val="005012C2"/>
    <w:rsid w:val="00502E7D"/>
    <w:rsid w:val="00503053"/>
    <w:rsid w:val="00504158"/>
    <w:rsid w:val="00505A14"/>
    <w:rsid w:val="00505DF5"/>
    <w:rsid w:val="00510646"/>
    <w:rsid w:val="0051264A"/>
    <w:rsid w:val="00512883"/>
    <w:rsid w:val="00512EEE"/>
    <w:rsid w:val="005131E1"/>
    <w:rsid w:val="005142FD"/>
    <w:rsid w:val="0051478A"/>
    <w:rsid w:val="005156FA"/>
    <w:rsid w:val="00515DE0"/>
    <w:rsid w:val="00515DE2"/>
    <w:rsid w:val="00516EB2"/>
    <w:rsid w:val="00517DE2"/>
    <w:rsid w:val="00520C6C"/>
    <w:rsid w:val="00521055"/>
    <w:rsid w:val="005222C8"/>
    <w:rsid w:val="005226C7"/>
    <w:rsid w:val="00522E55"/>
    <w:rsid w:val="00523379"/>
    <w:rsid w:val="00523E9B"/>
    <w:rsid w:val="00525F6B"/>
    <w:rsid w:val="00527227"/>
    <w:rsid w:val="00527351"/>
    <w:rsid w:val="00527772"/>
    <w:rsid w:val="005302DC"/>
    <w:rsid w:val="00532228"/>
    <w:rsid w:val="00532703"/>
    <w:rsid w:val="00534959"/>
    <w:rsid w:val="005355DF"/>
    <w:rsid w:val="00537C07"/>
    <w:rsid w:val="00541360"/>
    <w:rsid w:val="00541C64"/>
    <w:rsid w:val="00541EC1"/>
    <w:rsid w:val="005426EF"/>
    <w:rsid w:val="00542B6C"/>
    <w:rsid w:val="005438B0"/>
    <w:rsid w:val="00543FAA"/>
    <w:rsid w:val="00544251"/>
    <w:rsid w:val="00544BDC"/>
    <w:rsid w:val="00545160"/>
    <w:rsid w:val="005455FD"/>
    <w:rsid w:val="00545D0B"/>
    <w:rsid w:val="00546B52"/>
    <w:rsid w:val="00546BDF"/>
    <w:rsid w:val="00547FC9"/>
    <w:rsid w:val="00553561"/>
    <w:rsid w:val="00553A10"/>
    <w:rsid w:val="005547EE"/>
    <w:rsid w:val="00554AC8"/>
    <w:rsid w:val="00554D1B"/>
    <w:rsid w:val="00555383"/>
    <w:rsid w:val="00555D84"/>
    <w:rsid w:val="00555FE2"/>
    <w:rsid w:val="00556070"/>
    <w:rsid w:val="00556971"/>
    <w:rsid w:val="00557934"/>
    <w:rsid w:val="005608D7"/>
    <w:rsid w:val="00561716"/>
    <w:rsid w:val="00561CFD"/>
    <w:rsid w:val="00561ECD"/>
    <w:rsid w:val="00562100"/>
    <w:rsid w:val="00564868"/>
    <w:rsid w:val="00565022"/>
    <w:rsid w:val="00565272"/>
    <w:rsid w:val="00565C06"/>
    <w:rsid w:val="00566527"/>
    <w:rsid w:val="00570AF9"/>
    <w:rsid w:val="00570CE8"/>
    <w:rsid w:val="00570F7E"/>
    <w:rsid w:val="005715B8"/>
    <w:rsid w:val="00571627"/>
    <w:rsid w:val="00571752"/>
    <w:rsid w:val="0057200B"/>
    <w:rsid w:val="00572FEE"/>
    <w:rsid w:val="005738C5"/>
    <w:rsid w:val="0057398E"/>
    <w:rsid w:val="00574079"/>
    <w:rsid w:val="00574DDA"/>
    <w:rsid w:val="00574F2C"/>
    <w:rsid w:val="00576955"/>
    <w:rsid w:val="00577458"/>
    <w:rsid w:val="00577A4D"/>
    <w:rsid w:val="00577CD6"/>
    <w:rsid w:val="005816E8"/>
    <w:rsid w:val="0058288A"/>
    <w:rsid w:val="00583C06"/>
    <w:rsid w:val="005841C5"/>
    <w:rsid w:val="00585CF6"/>
    <w:rsid w:val="00587663"/>
    <w:rsid w:val="00587C07"/>
    <w:rsid w:val="0059057A"/>
    <w:rsid w:val="005911D6"/>
    <w:rsid w:val="0059137E"/>
    <w:rsid w:val="005916E5"/>
    <w:rsid w:val="005923A2"/>
    <w:rsid w:val="005935E2"/>
    <w:rsid w:val="005942F1"/>
    <w:rsid w:val="00595861"/>
    <w:rsid w:val="005970DD"/>
    <w:rsid w:val="0059724B"/>
    <w:rsid w:val="005A074C"/>
    <w:rsid w:val="005A0D02"/>
    <w:rsid w:val="005A177E"/>
    <w:rsid w:val="005A1C21"/>
    <w:rsid w:val="005A29BE"/>
    <w:rsid w:val="005A2DF3"/>
    <w:rsid w:val="005A3B99"/>
    <w:rsid w:val="005A4FD5"/>
    <w:rsid w:val="005A5597"/>
    <w:rsid w:val="005A590D"/>
    <w:rsid w:val="005A59E4"/>
    <w:rsid w:val="005A5EDB"/>
    <w:rsid w:val="005A65C4"/>
    <w:rsid w:val="005A686A"/>
    <w:rsid w:val="005A7FD2"/>
    <w:rsid w:val="005B0C6A"/>
    <w:rsid w:val="005B0F3C"/>
    <w:rsid w:val="005B153B"/>
    <w:rsid w:val="005B1568"/>
    <w:rsid w:val="005B2C5E"/>
    <w:rsid w:val="005B4297"/>
    <w:rsid w:val="005B431A"/>
    <w:rsid w:val="005B463E"/>
    <w:rsid w:val="005B490C"/>
    <w:rsid w:val="005B5049"/>
    <w:rsid w:val="005B578B"/>
    <w:rsid w:val="005B7665"/>
    <w:rsid w:val="005C0896"/>
    <w:rsid w:val="005C154B"/>
    <w:rsid w:val="005C16AC"/>
    <w:rsid w:val="005C1C3A"/>
    <w:rsid w:val="005C2065"/>
    <w:rsid w:val="005C25DA"/>
    <w:rsid w:val="005C27DE"/>
    <w:rsid w:val="005C2A7F"/>
    <w:rsid w:val="005C2C3C"/>
    <w:rsid w:val="005C3E23"/>
    <w:rsid w:val="005C4A05"/>
    <w:rsid w:val="005C4C14"/>
    <w:rsid w:val="005C5901"/>
    <w:rsid w:val="005C6A79"/>
    <w:rsid w:val="005C6C36"/>
    <w:rsid w:val="005C6C93"/>
    <w:rsid w:val="005C7AC2"/>
    <w:rsid w:val="005D01EA"/>
    <w:rsid w:val="005D0B48"/>
    <w:rsid w:val="005D10F2"/>
    <w:rsid w:val="005D1313"/>
    <w:rsid w:val="005D1D06"/>
    <w:rsid w:val="005D3326"/>
    <w:rsid w:val="005D3C1C"/>
    <w:rsid w:val="005D3C76"/>
    <w:rsid w:val="005D3F23"/>
    <w:rsid w:val="005D46FD"/>
    <w:rsid w:val="005D554A"/>
    <w:rsid w:val="005D64CB"/>
    <w:rsid w:val="005D69C3"/>
    <w:rsid w:val="005D76AF"/>
    <w:rsid w:val="005E0100"/>
    <w:rsid w:val="005E12EF"/>
    <w:rsid w:val="005E2368"/>
    <w:rsid w:val="005E45E5"/>
    <w:rsid w:val="005E53B1"/>
    <w:rsid w:val="005E5F7C"/>
    <w:rsid w:val="005E6345"/>
    <w:rsid w:val="005E6676"/>
    <w:rsid w:val="005E668F"/>
    <w:rsid w:val="005E6D31"/>
    <w:rsid w:val="005F0946"/>
    <w:rsid w:val="005F1248"/>
    <w:rsid w:val="005F158D"/>
    <w:rsid w:val="005F1FD7"/>
    <w:rsid w:val="005F2BB2"/>
    <w:rsid w:val="005F63AA"/>
    <w:rsid w:val="005F6939"/>
    <w:rsid w:val="005F6D77"/>
    <w:rsid w:val="00600668"/>
    <w:rsid w:val="00600EFC"/>
    <w:rsid w:val="00601328"/>
    <w:rsid w:val="00601492"/>
    <w:rsid w:val="0060204C"/>
    <w:rsid w:val="0060350D"/>
    <w:rsid w:val="00603C0F"/>
    <w:rsid w:val="00603F41"/>
    <w:rsid w:val="00605470"/>
    <w:rsid w:val="006058CD"/>
    <w:rsid w:val="00605A77"/>
    <w:rsid w:val="00605F27"/>
    <w:rsid w:val="00606613"/>
    <w:rsid w:val="006069E1"/>
    <w:rsid w:val="0060702E"/>
    <w:rsid w:val="00607783"/>
    <w:rsid w:val="006111F6"/>
    <w:rsid w:val="006116EC"/>
    <w:rsid w:val="00613EB3"/>
    <w:rsid w:val="0061445F"/>
    <w:rsid w:val="006155EF"/>
    <w:rsid w:val="0061594A"/>
    <w:rsid w:val="006160B0"/>
    <w:rsid w:val="0061655B"/>
    <w:rsid w:val="00616CE5"/>
    <w:rsid w:val="00617941"/>
    <w:rsid w:val="00620B88"/>
    <w:rsid w:val="00621129"/>
    <w:rsid w:val="00621F74"/>
    <w:rsid w:val="00623968"/>
    <w:rsid w:val="00623EE3"/>
    <w:rsid w:val="00624196"/>
    <w:rsid w:val="00625077"/>
    <w:rsid w:val="00625731"/>
    <w:rsid w:val="00625A99"/>
    <w:rsid w:val="0062759F"/>
    <w:rsid w:val="00627756"/>
    <w:rsid w:val="0063014B"/>
    <w:rsid w:val="00632508"/>
    <w:rsid w:val="00632B41"/>
    <w:rsid w:val="00633761"/>
    <w:rsid w:val="00633E78"/>
    <w:rsid w:val="006355F7"/>
    <w:rsid w:val="00635644"/>
    <w:rsid w:val="00636001"/>
    <w:rsid w:val="0063680D"/>
    <w:rsid w:val="00640A62"/>
    <w:rsid w:val="00642166"/>
    <w:rsid w:val="00642330"/>
    <w:rsid w:val="006427A9"/>
    <w:rsid w:val="00642B87"/>
    <w:rsid w:val="00642D6B"/>
    <w:rsid w:val="00643276"/>
    <w:rsid w:val="0064340A"/>
    <w:rsid w:val="006470DF"/>
    <w:rsid w:val="00647E63"/>
    <w:rsid w:val="00650202"/>
    <w:rsid w:val="00650F80"/>
    <w:rsid w:val="006516CC"/>
    <w:rsid w:val="00651C99"/>
    <w:rsid w:val="00652150"/>
    <w:rsid w:val="0065247A"/>
    <w:rsid w:val="00652946"/>
    <w:rsid w:val="00655E7B"/>
    <w:rsid w:val="00663E57"/>
    <w:rsid w:val="006642EF"/>
    <w:rsid w:val="00665E3A"/>
    <w:rsid w:val="00666190"/>
    <w:rsid w:val="00666850"/>
    <w:rsid w:val="00666FA5"/>
    <w:rsid w:val="00671465"/>
    <w:rsid w:val="00672E78"/>
    <w:rsid w:val="00675C13"/>
    <w:rsid w:val="00675C83"/>
    <w:rsid w:val="00675F2B"/>
    <w:rsid w:val="00676D11"/>
    <w:rsid w:val="006810A7"/>
    <w:rsid w:val="00681D6C"/>
    <w:rsid w:val="00683091"/>
    <w:rsid w:val="00684D96"/>
    <w:rsid w:val="00686573"/>
    <w:rsid w:val="006867E2"/>
    <w:rsid w:val="00687AA5"/>
    <w:rsid w:val="00690306"/>
    <w:rsid w:val="006911D8"/>
    <w:rsid w:val="00691F7F"/>
    <w:rsid w:val="00694034"/>
    <w:rsid w:val="006947FC"/>
    <w:rsid w:val="00694BA6"/>
    <w:rsid w:val="00695994"/>
    <w:rsid w:val="00695E8E"/>
    <w:rsid w:val="006962C2"/>
    <w:rsid w:val="00696D66"/>
    <w:rsid w:val="00696FC5"/>
    <w:rsid w:val="0069730F"/>
    <w:rsid w:val="006A0947"/>
    <w:rsid w:val="006A0ADB"/>
    <w:rsid w:val="006A13AF"/>
    <w:rsid w:val="006A1648"/>
    <w:rsid w:val="006A1BD6"/>
    <w:rsid w:val="006A1EC8"/>
    <w:rsid w:val="006A2598"/>
    <w:rsid w:val="006A2838"/>
    <w:rsid w:val="006A2B5F"/>
    <w:rsid w:val="006A2EC3"/>
    <w:rsid w:val="006A38F0"/>
    <w:rsid w:val="006A40A0"/>
    <w:rsid w:val="006A4427"/>
    <w:rsid w:val="006A530D"/>
    <w:rsid w:val="006A707E"/>
    <w:rsid w:val="006A70B2"/>
    <w:rsid w:val="006A7E50"/>
    <w:rsid w:val="006B0384"/>
    <w:rsid w:val="006B15DA"/>
    <w:rsid w:val="006B2732"/>
    <w:rsid w:val="006B2E47"/>
    <w:rsid w:val="006B3636"/>
    <w:rsid w:val="006B44D9"/>
    <w:rsid w:val="006B46DD"/>
    <w:rsid w:val="006B7835"/>
    <w:rsid w:val="006C2217"/>
    <w:rsid w:val="006C3689"/>
    <w:rsid w:val="006C3CF2"/>
    <w:rsid w:val="006C4994"/>
    <w:rsid w:val="006C6B6D"/>
    <w:rsid w:val="006C7303"/>
    <w:rsid w:val="006C7311"/>
    <w:rsid w:val="006D1E03"/>
    <w:rsid w:val="006D250E"/>
    <w:rsid w:val="006D2BE8"/>
    <w:rsid w:val="006D38D4"/>
    <w:rsid w:val="006D3EBB"/>
    <w:rsid w:val="006D519C"/>
    <w:rsid w:val="006D5279"/>
    <w:rsid w:val="006D5A9B"/>
    <w:rsid w:val="006D5CA7"/>
    <w:rsid w:val="006D74EF"/>
    <w:rsid w:val="006E0513"/>
    <w:rsid w:val="006E118E"/>
    <w:rsid w:val="006E22F8"/>
    <w:rsid w:val="006E3B8F"/>
    <w:rsid w:val="006E447E"/>
    <w:rsid w:val="006E4BBA"/>
    <w:rsid w:val="006E53DA"/>
    <w:rsid w:val="006E5488"/>
    <w:rsid w:val="006E5B08"/>
    <w:rsid w:val="006E649E"/>
    <w:rsid w:val="006E6C7C"/>
    <w:rsid w:val="006E73CD"/>
    <w:rsid w:val="006F0D20"/>
    <w:rsid w:val="006F28E3"/>
    <w:rsid w:val="006F3636"/>
    <w:rsid w:val="006F4BFF"/>
    <w:rsid w:val="006F558C"/>
    <w:rsid w:val="006F6052"/>
    <w:rsid w:val="006F62F0"/>
    <w:rsid w:val="006F6581"/>
    <w:rsid w:val="006F6C6D"/>
    <w:rsid w:val="006F76F5"/>
    <w:rsid w:val="006F7820"/>
    <w:rsid w:val="00700712"/>
    <w:rsid w:val="00700C9A"/>
    <w:rsid w:val="007010FD"/>
    <w:rsid w:val="00702C56"/>
    <w:rsid w:val="00705894"/>
    <w:rsid w:val="00706BB3"/>
    <w:rsid w:val="007071ED"/>
    <w:rsid w:val="007075FE"/>
    <w:rsid w:val="00711C93"/>
    <w:rsid w:val="00711E52"/>
    <w:rsid w:val="00712000"/>
    <w:rsid w:val="00712636"/>
    <w:rsid w:val="007139B8"/>
    <w:rsid w:val="00713B86"/>
    <w:rsid w:val="00714B2F"/>
    <w:rsid w:val="00716B86"/>
    <w:rsid w:val="00716D51"/>
    <w:rsid w:val="00717941"/>
    <w:rsid w:val="00720ABF"/>
    <w:rsid w:val="00720D29"/>
    <w:rsid w:val="00720FDB"/>
    <w:rsid w:val="00722451"/>
    <w:rsid w:val="00722A62"/>
    <w:rsid w:val="007232F5"/>
    <w:rsid w:val="007242D1"/>
    <w:rsid w:val="00724E3B"/>
    <w:rsid w:val="00725720"/>
    <w:rsid w:val="007257AF"/>
    <w:rsid w:val="0072648E"/>
    <w:rsid w:val="00727029"/>
    <w:rsid w:val="00727C72"/>
    <w:rsid w:val="00730795"/>
    <w:rsid w:val="0073121E"/>
    <w:rsid w:val="007312B2"/>
    <w:rsid w:val="007315B1"/>
    <w:rsid w:val="00731A54"/>
    <w:rsid w:val="007366FC"/>
    <w:rsid w:val="007375D0"/>
    <w:rsid w:val="00740003"/>
    <w:rsid w:val="00740885"/>
    <w:rsid w:val="00740B75"/>
    <w:rsid w:val="00741858"/>
    <w:rsid w:val="00741B81"/>
    <w:rsid w:val="00742149"/>
    <w:rsid w:val="007426FF"/>
    <w:rsid w:val="00743098"/>
    <w:rsid w:val="00743215"/>
    <w:rsid w:val="0074414A"/>
    <w:rsid w:val="007442DF"/>
    <w:rsid w:val="0074533B"/>
    <w:rsid w:val="0074596A"/>
    <w:rsid w:val="00745A4C"/>
    <w:rsid w:val="00746DCD"/>
    <w:rsid w:val="007472BD"/>
    <w:rsid w:val="007476B8"/>
    <w:rsid w:val="00747F1D"/>
    <w:rsid w:val="007516E0"/>
    <w:rsid w:val="00751B6A"/>
    <w:rsid w:val="00752CF3"/>
    <w:rsid w:val="007546B2"/>
    <w:rsid w:val="00755352"/>
    <w:rsid w:val="0075589E"/>
    <w:rsid w:val="00756FB8"/>
    <w:rsid w:val="00757F9D"/>
    <w:rsid w:val="00761C22"/>
    <w:rsid w:val="0076564C"/>
    <w:rsid w:val="00765B04"/>
    <w:rsid w:val="0076610C"/>
    <w:rsid w:val="0076618E"/>
    <w:rsid w:val="00766331"/>
    <w:rsid w:val="00766723"/>
    <w:rsid w:val="007701AB"/>
    <w:rsid w:val="00771B06"/>
    <w:rsid w:val="00771E22"/>
    <w:rsid w:val="007767F8"/>
    <w:rsid w:val="00777ACE"/>
    <w:rsid w:val="00777FFE"/>
    <w:rsid w:val="007802C8"/>
    <w:rsid w:val="007806F2"/>
    <w:rsid w:val="00780869"/>
    <w:rsid w:val="00780FAF"/>
    <w:rsid w:val="0078259E"/>
    <w:rsid w:val="007828CC"/>
    <w:rsid w:val="00782BCE"/>
    <w:rsid w:val="00783295"/>
    <w:rsid w:val="00784206"/>
    <w:rsid w:val="00785256"/>
    <w:rsid w:val="00786128"/>
    <w:rsid w:val="00786610"/>
    <w:rsid w:val="0078777B"/>
    <w:rsid w:val="007877FE"/>
    <w:rsid w:val="0079004A"/>
    <w:rsid w:val="00790510"/>
    <w:rsid w:val="007914E0"/>
    <w:rsid w:val="00793103"/>
    <w:rsid w:val="0079385E"/>
    <w:rsid w:val="0079401D"/>
    <w:rsid w:val="00794A0A"/>
    <w:rsid w:val="00795757"/>
    <w:rsid w:val="00795EC2"/>
    <w:rsid w:val="007A06EA"/>
    <w:rsid w:val="007A0D22"/>
    <w:rsid w:val="007A1E89"/>
    <w:rsid w:val="007A2891"/>
    <w:rsid w:val="007A2CCD"/>
    <w:rsid w:val="007A3264"/>
    <w:rsid w:val="007A7AD4"/>
    <w:rsid w:val="007A7D42"/>
    <w:rsid w:val="007B0E4C"/>
    <w:rsid w:val="007B1679"/>
    <w:rsid w:val="007B1A64"/>
    <w:rsid w:val="007B2478"/>
    <w:rsid w:val="007B2764"/>
    <w:rsid w:val="007B2900"/>
    <w:rsid w:val="007B37B8"/>
    <w:rsid w:val="007B3DF2"/>
    <w:rsid w:val="007B4144"/>
    <w:rsid w:val="007B4F91"/>
    <w:rsid w:val="007B643C"/>
    <w:rsid w:val="007B7758"/>
    <w:rsid w:val="007C0757"/>
    <w:rsid w:val="007C1371"/>
    <w:rsid w:val="007C17CA"/>
    <w:rsid w:val="007C1916"/>
    <w:rsid w:val="007C1B42"/>
    <w:rsid w:val="007C2FA5"/>
    <w:rsid w:val="007C37A4"/>
    <w:rsid w:val="007C4170"/>
    <w:rsid w:val="007C5CE0"/>
    <w:rsid w:val="007C6547"/>
    <w:rsid w:val="007C7403"/>
    <w:rsid w:val="007D0CBE"/>
    <w:rsid w:val="007D2CCA"/>
    <w:rsid w:val="007D2ED5"/>
    <w:rsid w:val="007D362A"/>
    <w:rsid w:val="007D4453"/>
    <w:rsid w:val="007D4628"/>
    <w:rsid w:val="007D49EC"/>
    <w:rsid w:val="007D6564"/>
    <w:rsid w:val="007D7E2C"/>
    <w:rsid w:val="007E01EB"/>
    <w:rsid w:val="007E02B1"/>
    <w:rsid w:val="007E058C"/>
    <w:rsid w:val="007E0EFD"/>
    <w:rsid w:val="007E2AB6"/>
    <w:rsid w:val="007E2ADD"/>
    <w:rsid w:val="007E40BA"/>
    <w:rsid w:val="007E4205"/>
    <w:rsid w:val="007E4346"/>
    <w:rsid w:val="007E43AC"/>
    <w:rsid w:val="007E54AF"/>
    <w:rsid w:val="007E5904"/>
    <w:rsid w:val="007E6FE0"/>
    <w:rsid w:val="007E70AE"/>
    <w:rsid w:val="007E7B2F"/>
    <w:rsid w:val="007F068B"/>
    <w:rsid w:val="007F1DFB"/>
    <w:rsid w:val="007F2040"/>
    <w:rsid w:val="007F211A"/>
    <w:rsid w:val="007F47C6"/>
    <w:rsid w:val="007F4AED"/>
    <w:rsid w:val="007F4C3D"/>
    <w:rsid w:val="007F4F49"/>
    <w:rsid w:val="007F6362"/>
    <w:rsid w:val="008002F6"/>
    <w:rsid w:val="00802703"/>
    <w:rsid w:val="00803A66"/>
    <w:rsid w:val="008040C4"/>
    <w:rsid w:val="008053FF"/>
    <w:rsid w:val="00806409"/>
    <w:rsid w:val="008078D6"/>
    <w:rsid w:val="00807E58"/>
    <w:rsid w:val="00810704"/>
    <w:rsid w:val="00810C16"/>
    <w:rsid w:val="00810C7B"/>
    <w:rsid w:val="00810C8A"/>
    <w:rsid w:val="00810CEB"/>
    <w:rsid w:val="00812E1C"/>
    <w:rsid w:val="008130A1"/>
    <w:rsid w:val="00813646"/>
    <w:rsid w:val="0081597B"/>
    <w:rsid w:val="00816230"/>
    <w:rsid w:val="00816475"/>
    <w:rsid w:val="008177B4"/>
    <w:rsid w:val="00817D8A"/>
    <w:rsid w:val="0082095E"/>
    <w:rsid w:val="00820E4A"/>
    <w:rsid w:val="0082174F"/>
    <w:rsid w:val="00822F30"/>
    <w:rsid w:val="00823C6F"/>
    <w:rsid w:val="00824B2E"/>
    <w:rsid w:val="00824D19"/>
    <w:rsid w:val="00826825"/>
    <w:rsid w:val="00830023"/>
    <w:rsid w:val="00830E27"/>
    <w:rsid w:val="00831A16"/>
    <w:rsid w:val="00832486"/>
    <w:rsid w:val="008328DC"/>
    <w:rsid w:val="00832BF6"/>
    <w:rsid w:val="00833F95"/>
    <w:rsid w:val="00836B3B"/>
    <w:rsid w:val="008375EC"/>
    <w:rsid w:val="00837787"/>
    <w:rsid w:val="00837D50"/>
    <w:rsid w:val="00841285"/>
    <w:rsid w:val="008426C9"/>
    <w:rsid w:val="00842D04"/>
    <w:rsid w:val="00843F0C"/>
    <w:rsid w:val="0084407F"/>
    <w:rsid w:val="008457D3"/>
    <w:rsid w:val="00846A33"/>
    <w:rsid w:val="00847A4C"/>
    <w:rsid w:val="00847A6B"/>
    <w:rsid w:val="00852786"/>
    <w:rsid w:val="00852B53"/>
    <w:rsid w:val="00853741"/>
    <w:rsid w:val="00854084"/>
    <w:rsid w:val="00855DF2"/>
    <w:rsid w:val="00856B15"/>
    <w:rsid w:val="008572E9"/>
    <w:rsid w:val="00860200"/>
    <w:rsid w:val="008607BC"/>
    <w:rsid w:val="008614FF"/>
    <w:rsid w:val="00862048"/>
    <w:rsid w:val="008627B7"/>
    <w:rsid w:val="00863327"/>
    <w:rsid w:val="008639D4"/>
    <w:rsid w:val="00863C08"/>
    <w:rsid w:val="00863CA9"/>
    <w:rsid w:val="00863D18"/>
    <w:rsid w:val="00864709"/>
    <w:rsid w:val="00864945"/>
    <w:rsid w:val="008659E6"/>
    <w:rsid w:val="00866036"/>
    <w:rsid w:val="008668E0"/>
    <w:rsid w:val="00867277"/>
    <w:rsid w:val="0086797C"/>
    <w:rsid w:val="00867A3B"/>
    <w:rsid w:val="00867D80"/>
    <w:rsid w:val="00867DFA"/>
    <w:rsid w:val="00870CBD"/>
    <w:rsid w:val="00871D5E"/>
    <w:rsid w:val="00872B2E"/>
    <w:rsid w:val="0087322E"/>
    <w:rsid w:val="00874515"/>
    <w:rsid w:val="00874A71"/>
    <w:rsid w:val="00874EB4"/>
    <w:rsid w:val="008752A7"/>
    <w:rsid w:val="008766AE"/>
    <w:rsid w:val="008769B0"/>
    <w:rsid w:val="008771D9"/>
    <w:rsid w:val="0087736C"/>
    <w:rsid w:val="00880154"/>
    <w:rsid w:val="008808AF"/>
    <w:rsid w:val="0088138D"/>
    <w:rsid w:val="00881B3B"/>
    <w:rsid w:val="00881C89"/>
    <w:rsid w:val="0088232F"/>
    <w:rsid w:val="00882841"/>
    <w:rsid w:val="00882A69"/>
    <w:rsid w:val="00883CBB"/>
    <w:rsid w:val="00883ED1"/>
    <w:rsid w:val="0088425D"/>
    <w:rsid w:val="008843EC"/>
    <w:rsid w:val="008849F3"/>
    <w:rsid w:val="00884DC3"/>
    <w:rsid w:val="00885393"/>
    <w:rsid w:val="00885532"/>
    <w:rsid w:val="00885EB3"/>
    <w:rsid w:val="00886E8A"/>
    <w:rsid w:val="008905D5"/>
    <w:rsid w:val="00891480"/>
    <w:rsid w:val="008936C9"/>
    <w:rsid w:val="00893D28"/>
    <w:rsid w:val="0089400A"/>
    <w:rsid w:val="0089492A"/>
    <w:rsid w:val="00895842"/>
    <w:rsid w:val="0089678A"/>
    <w:rsid w:val="00897C54"/>
    <w:rsid w:val="008A0514"/>
    <w:rsid w:val="008A0C9F"/>
    <w:rsid w:val="008A22F4"/>
    <w:rsid w:val="008A259A"/>
    <w:rsid w:val="008A362B"/>
    <w:rsid w:val="008A46EB"/>
    <w:rsid w:val="008A7A73"/>
    <w:rsid w:val="008A7FB4"/>
    <w:rsid w:val="008B04A8"/>
    <w:rsid w:val="008B26AA"/>
    <w:rsid w:val="008B34AE"/>
    <w:rsid w:val="008B359A"/>
    <w:rsid w:val="008B3781"/>
    <w:rsid w:val="008B58FA"/>
    <w:rsid w:val="008B6FB7"/>
    <w:rsid w:val="008C2DFF"/>
    <w:rsid w:val="008C35C4"/>
    <w:rsid w:val="008C42AB"/>
    <w:rsid w:val="008C5468"/>
    <w:rsid w:val="008C6629"/>
    <w:rsid w:val="008C683A"/>
    <w:rsid w:val="008C69D9"/>
    <w:rsid w:val="008C6DDA"/>
    <w:rsid w:val="008C755E"/>
    <w:rsid w:val="008C781A"/>
    <w:rsid w:val="008C78E4"/>
    <w:rsid w:val="008C7A13"/>
    <w:rsid w:val="008D22E5"/>
    <w:rsid w:val="008D2665"/>
    <w:rsid w:val="008D331D"/>
    <w:rsid w:val="008D4856"/>
    <w:rsid w:val="008D4E05"/>
    <w:rsid w:val="008D5128"/>
    <w:rsid w:val="008D5186"/>
    <w:rsid w:val="008D5816"/>
    <w:rsid w:val="008D59F5"/>
    <w:rsid w:val="008D7679"/>
    <w:rsid w:val="008D7CAF"/>
    <w:rsid w:val="008E062A"/>
    <w:rsid w:val="008E0944"/>
    <w:rsid w:val="008E2E84"/>
    <w:rsid w:val="008E4243"/>
    <w:rsid w:val="008E43A9"/>
    <w:rsid w:val="008E4D7A"/>
    <w:rsid w:val="008E61A6"/>
    <w:rsid w:val="008E63FE"/>
    <w:rsid w:val="008E6C6A"/>
    <w:rsid w:val="008E7B49"/>
    <w:rsid w:val="008F01C0"/>
    <w:rsid w:val="008F13DF"/>
    <w:rsid w:val="008F1B3A"/>
    <w:rsid w:val="008F268A"/>
    <w:rsid w:val="008F28DF"/>
    <w:rsid w:val="008F3583"/>
    <w:rsid w:val="008F3C92"/>
    <w:rsid w:val="008F46B2"/>
    <w:rsid w:val="008F6A76"/>
    <w:rsid w:val="008F6E9A"/>
    <w:rsid w:val="008F71BD"/>
    <w:rsid w:val="008F76B6"/>
    <w:rsid w:val="009021F0"/>
    <w:rsid w:val="009035CF"/>
    <w:rsid w:val="009048C0"/>
    <w:rsid w:val="009050F9"/>
    <w:rsid w:val="0090556A"/>
    <w:rsid w:val="009069F1"/>
    <w:rsid w:val="00906E99"/>
    <w:rsid w:val="009078C7"/>
    <w:rsid w:val="00907A1E"/>
    <w:rsid w:val="0091072C"/>
    <w:rsid w:val="00910E75"/>
    <w:rsid w:val="00911D9C"/>
    <w:rsid w:val="0091500A"/>
    <w:rsid w:val="00916864"/>
    <w:rsid w:val="00916E6D"/>
    <w:rsid w:val="0091702F"/>
    <w:rsid w:val="00917B29"/>
    <w:rsid w:val="0092000C"/>
    <w:rsid w:val="00920177"/>
    <w:rsid w:val="00920CB4"/>
    <w:rsid w:val="00921B8A"/>
    <w:rsid w:val="00921BE6"/>
    <w:rsid w:val="00922029"/>
    <w:rsid w:val="009224B3"/>
    <w:rsid w:val="00922BA2"/>
    <w:rsid w:val="0092379F"/>
    <w:rsid w:val="009244D7"/>
    <w:rsid w:val="00924A57"/>
    <w:rsid w:val="00925002"/>
    <w:rsid w:val="00926613"/>
    <w:rsid w:val="00927041"/>
    <w:rsid w:val="00930AB9"/>
    <w:rsid w:val="00931585"/>
    <w:rsid w:val="00933165"/>
    <w:rsid w:val="0093320E"/>
    <w:rsid w:val="009357EF"/>
    <w:rsid w:val="00935FDD"/>
    <w:rsid w:val="0093625B"/>
    <w:rsid w:val="009362D0"/>
    <w:rsid w:val="00936E24"/>
    <w:rsid w:val="00940326"/>
    <w:rsid w:val="009428A6"/>
    <w:rsid w:val="00942AB0"/>
    <w:rsid w:val="009430DC"/>
    <w:rsid w:val="0094413B"/>
    <w:rsid w:val="00945250"/>
    <w:rsid w:val="009453D9"/>
    <w:rsid w:val="00946848"/>
    <w:rsid w:val="00946C35"/>
    <w:rsid w:val="00950AE9"/>
    <w:rsid w:val="0095163B"/>
    <w:rsid w:val="00952176"/>
    <w:rsid w:val="00953373"/>
    <w:rsid w:val="009553AE"/>
    <w:rsid w:val="009554AD"/>
    <w:rsid w:val="00955CEA"/>
    <w:rsid w:val="00955F0B"/>
    <w:rsid w:val="00957A33"/>
    <w:rsid w:val="00960020"/>
    <w:rsid w:val="0096323A"/>
    <w:rsid w:val="0096372F"/>
    <w:rsid w:val="00963E23"/>
    <w:rsid w:val="00963EFA"/>
    <w:rsid w:val="00964C56"/>
    <w:rsid w:val="00965823"/>
    <w:rsid w:val="00966CF2"/>
    <w:rsid w:val="00966ED4"/>
    <w:rsid w:val="00967870"/>
    <w:rsid w:val="00967A70"/>
    <w:rsid w:val="00967AE0"/>
    <w:rsid w:val="00970565"/>
    <w:rsid w:val="009711A8"/>
    <w:rsid w:val="009713F5"/>
    <w:rsid w:val="0097542A"/>
    <w:rsid w:val="009763B4"/>
    <w:rsid w:val="00976A17"/>
    <w:rsid w:val="009773DC"/>
    <w:rsid w:val="0097771D"/>
    <w:rsid w:val="00977EC3"/>
    <w:rsid w:val="0098056C"/>
    <w:rsid w:val="00982B0E"/>
    <w:rsid w:val="00983B8F"/>
    <w:rsid w:val="00985692"/>
    <w:rsid w:val="009857A6"/>
    <w:rsid w:val="00986779"/>
    <w:rsid w:val="0098713B"/>
    <w:rsid w:val="0098730D"/>
    <w:rsid w:val="00990A33"/>
    <w:rsid w:val="00990FC8"/>
    <w:rsid w:val="00991125"/>
    <w:rsid w:val="009914AD"/>
    <w:rsid w:val="00991ED2"/>
    <w:rsid w:val="0099205F"/>
    <w:rsid w:val="00993A67"/>
    <w:rsid w:val="00994110"/>
    <w:rsid w:val="00994AB7"/>
    <w:rsid w:val="009953BC"/>
    <w:rsid w:val="009954F9"/>
    <w:rsid w:val="00996A66"/>
    <w:rsid w:val="00997448"/>
    <w:rsid w:val="009A05F3"/>
    <w:rsid w:val="009A1721"/>
    <w:rsid w:val="009A1D44"/>
    <w:rsid w:val="009A263D"/>
    <w:rsid w:val="009A47FE"/>
    <w:rsid w:val="009A5492"/>
    <w:rsid w:val="009A56C4"/>
    <w:rsid w:val="009A58D6"/>
    <w:rsid w:val="009A6EAA"/>
    <w:rsid w:val="009A73CD"/>
    <w:rsid w:val="009A7A7B"/>
    <w:rsid w:val="009B4250"/>
    <w:rsid w:val="009B4334"/>
    <w:rsid w:val="009B5369"/>
    <w:rsid w:val="009B5EE2"/>
    <w:rsid w:val="009B71E6"/>
    <w:rsid w:val="009C21F5"/>
    <w:rsid w:val="009C3BD7"/>
    <w:rsid w:val="009C473A"/>
    <w:rsid w:val="009C489C"/>
    <w:rsid w:val="009C5CD8"/>
    <w:rsid w:val="009C63ED"/>
    <w:rsid w:val="009D2589"/>
    <w:rsid w:val="009D3C77"/>
    <w:rsid w:val="009D3C7B"/>
    <w:rsid w:val="009D40A3"/>
    <w:rsid w:val="009D40C5"/>
    <w:rsid w:val="009D7288"/>
    <w:rsid w:val="009E0372"/>
    <w:rsid w:val="009E04E1"/>
    <w:rsid w:val="009E25BA"/>
    <w:rsid w:val="009E2C30"/>
    <w:rsid w:val="009E2D1D"/>
    <w:rsid w:val="009E2D39"/>
    <w:rsid w:val="009E58F3"/>
    <w:rsid w:val="009E5FE3"/>
    <w:rsid w:val="009E6182"/>
    <w:rsid w:val="009E64CB"/>
    <w:rsid w:val="009E67D4"/>
    <w:rsid w:val="009E6DDA"/>
    <w:rsid w:val="009F06C6"/>
    <w:rsid w:val="009F0789"/>
    <w:rsid w:val="009F0D3D"/>
    <w:rsid w:val="009F0E27"/>
    <w:rsid w:val="009F0FD6"/>
    <w:rsid w:val="009F11E3"/>
    <w:rsid w:val="009F2B02"/>
    <w:rsid w:val="009F313E"/>
    <w:rsid w:val="009F34E0"/>
    <w:rsid w:val="009F4EB9"/>
    <w:rsid w:val="009F55F4"/>
    <w:rsid w:val="009F6C8B"/>
    <w:rsid w:val="009F709A"/>
    <w:rsid w:val="00A00A79"/>
    <w:rsid w:val="00A01D36"/>
    <w:rsid w:val="00A022A6"/>
    <w:rsid w:val="00A034A4"/>
    <w:rsid w:val="00A047EF"/>
    <w:rsid w:val="00A04CD6"/>
    <w:rsid w:val="00A058CD"/>
    <w:rsid w:val="00A05E68"/>
    <w:rsid w:val="00A062F7"/>
    <w:rsid w:val="00A06731"/>
    <w:rsid w:val="00A07595"/>
    <w:rsid w:val="00A07BC7"/>
    <w:rsid w:val="00A100DA"/>
    <w:rsid w:val="00A11193"/>
    <w:rsid w:val="00A112F1"/>
    <w:rsid w:val="00A1156C"/>
    <w:rsid w:val="00A12034"/>
    <w:rsid w:val="00A13A06"/>
    <w:rsid w:val="00A14FD3"/>
    <w:rsid w:val="00A1588C"/>
    <w:rsid w:val="00A166FF"/>
    <w:rsid w:val="00A2010B"/>
    <w:rsid w:val="00A216C7"/>
    <w:rsid w:val="00A226C1"/>
    <w:rsid w:val="00A227C5"/>
    <w:rsid w:val="00A24503"/>
    <w:rsid w:val="00A26EC0"/>
    <w:rsid w:val="00A30473"/>
    <w:rsid w:val="00A310E2"/>
    <w:rsid w:val="00A311F5"/>
    <w:rsid w:val="00A31821"/>
    <w:rsid w:val="00A320F7"/>
    <w:rsid w:val="00A328AB"/>
    <w:rsid w:val="00A32F6E"/>
    <w:rsid w:val="00A363C3"/>
    <w:rsid w:val="00A36F0B"/>
    <w:rsid w:val="00A40A52"/>
    <w:rsid w:val="00A43006"/>
    <w:rsid w:val="00A4344C"/>
    <w:rsid w:val="00A4390B"/>
    <w:rsid w:val="00A45165"/>
    <w:rsid w:val="00A460B0"/>
    <w:rsid w:val="00A4612B"/>
    <w:rsid w:val="00A46A98"/>
    <w:rsid w:val="00A4749D"/>
    <w:rsid w:val="00A4750E"/>
    <w:rsid w:val="00A47DE2"/>
    <w:rsid w:val="00A50161"/>
    <w:rsid w:val="00A50E02"/>
    <w:rsid w:val="00A528FD"/>
    <w:rsid w:val="00A53173"/>
    <w:rsid w:val="00A53E3C"/>
    <w:rsid w:val="00A550A1"/>
    <w:rsid w:val="00A55100"/>
    <w:rsid w:val="00A5517B"/>
    <w:rsid w:val="00A56730"/>
    <w:rsid w:val="00A56DB8"/>
    <w:rsid w:val="00A56FBD"/>
    <w:rsid w:val="00A571B0"/>
    <w:rsid w:val="00A601E8"/>
    <w:rsid w:val="00A60B4B"/>
    <w:rsid w:val="00A60D07"/>
    <w:rsid w:val="00A628A0"/>
    <w:rsid w:val="00A637BD"/>
    <w:rsid w:val="00A63E1D"/>
    <w:rsid w:val="00A64D19"/>
    <w:rsid w:val="00A657E1"/>
    <w:rsid w:val="00A660D8"/>
    <w:rsid w:val="00A663F4"/>
    <w:rsid w:val="00A66B2F"/>
    <w:rsid w:val="00A67E89"/>
    <w:rsid w:val="00A71387"/>
    <w:rsid w:val="00A722DA"/>
    <w:rsid w:val="00A72C7B"/>
    <w:rsid w:val="00A731E0"/>
    <w:rsid w:val="00A755E9"/>
    <w:rsid w:val="00A75BE1"/>
    <w:rsid w:val="00A76E08"/>
    <w:rsid w:val="00A7716F"/>
    <w:rsid w:val="00A77663"/>
    <w:rsid w:val="00A77BF1"/>
    <w:rsid w:val="00A77D5E"/>
    <w:rsid w:val="00A77EDC"/>
    <w:rsid w:val="00A801CA"/>
    <w:rsid w:val="00A80A13"/>
    <w:rsid w:val="00A82EC4"/>
    <w:rsid w:val="00A83A92"/>
    <w:rsid w:val="00A83D20"/>
    <w:rsid w:val="00A85168"/>
    <w:rsid w:val="00A854D8"/>
    <w:rsid w:val="00A8564E"/>
    <w:rsid w:val="00A85DE9"/>
    <w:rsid w:val="00A87ECE"/>
    <w:rsid w:val="00A92893"/>
    <w:rsid w:val="00A93691"/>
    <w:rsid w:val="00A942A3"/>
    <w:rsid w:val="00A9501D"/>
    <w:rsid w:val="00A95888"/>
    <w:rsid w:val="00A96AD4"/>
    <w:rsid w:val="00A97132"/>
    <w:rsid w:val="00A97390"/>
    <w:rsid w:val="00A97B7E"/>
    <w:rsid w:val="00AA0170"/>
    <w:rsid w:val="00AA08E4"/>
    <w:rsid w:val="00AA364C"/>
    <w:rsid w:val="00AA5234"/>
    <w:rsid w:val="00AA69B1"/>
    <w:rsid w:val="00AA728B"/>
    <w:rsid w:val="00AB231D"/>
    <w:rsid w:val="00AB2CCA"/>
    <w:rsid w:val="00AB3999"/>
    <w:rsid w:val="00AB3E15"/>
    <w:rsid w:val="00AB5930"/>
    <w:rsid w:val="00AB7692"/>
    <w:rsid w:val="00AC1ABC"/>
    <w:rsid w:val="00AC4159"/>
    <w:rsid w:val="00AC4448"/>
    <w:rsid w:val="00AC45F4"/>
    <w:rsid w:val="00AC4CC2"/>
    <w:rsid w:val="00AC5971"/>
    <w:rsid w:val="00AC5F71"/>
    <w:rsid w:val="00AC6A8C"/>
    <w:rsid w:val="00AC71E1"/>
    <w:rsid w:val="00AD0124"/>
    <w:rsid w:val="00AD094D"/>
    <w:rsid w:val="00AD129F"/>
    <w:rsid w:val="00AD12EF"/>
    <w:rsid w:val="00AD1718"/>
    <w:rsid w:val="00AD229C"/>
    <w:rsid w:val="00AD250F"/>
    <w:rsid w:val="00AD27A9"/>
    <w:rsid w:val="00AD3331"/>
    <w:rsid w:val="00AD3DD9"/>
    <w:rsid w:val="00AD588D"/>
    <w:rsid w:val="00AD6355"/>
    <w:rsid w:val="00AD77B3"/>
    <w:rsid w:val="00AD7A25"/>
    <w:rsid w:val="00AE1B18"/>
    <w:rsid w:val="00AE2833"/>
    <w:rsid w:val="00AE3BE9"/>
    <w:rsid w:val="00AE3DD7"/>
    <w:rsid w:val="00AE4C1A"/>
    <w:rsid w:val="00AE52C6"/>
    <w:rsid w:val="00AE553F"/>
    <w:rsid w:val="00AE5781"/>
    <w:rsid w:val="00AE5986"/>
    <w:rsid w:val="00AE60C0"/>
    <w:rsid w:val="00AE709C"/>
    <w:rsid w:val="00AF0119"/>
    <w:rsid w:val="00AF0863"/>
    <w:rsid w:val="00AF1E31"/>
    <w:rsid w:val="00AF1EED"/>
    <w:rsid w:val="00AF1F39"/>
    <w:rsid w:val="00AF204A"/>
    <w:rsid w:val="00AF2F70"/>
    <w:rsid w:val="00AF3248"/>
    <w:rsid w:val="00AF3BCC"/>
    <w:rsid w:val="00AF5BE2"/>
    <w:rsid w:val="00AF7130"/>
    <w:rsid w:val="00AF78CD"/>
    <w:rsid w:val="00B005DA"/>
    <w:rsid w:val="00B0073C"/>
    <w:rsid w:val="00B00ABA"/>
    <w:rsid w:val="00B01282"/>
    <w:rsid w:val="00B01872"/>
    <w:rsid w:val="00B0195C"/>
    <w:rsid w:val="00B01F10"/>
    <w:rsid w:val="00B02D93"/>
    <w:rsid w:val="00B036BE"/>
    <w:rsid w:val="00B05988"/>
    <w:rsid w:val="00B06511"/>
    <w:rsid w:val="00B071F3"/>
    <w:rsid w:val="00B07A51"/>
    <w:rsid w:val="00B100DB"/>
    <w:rsid w:val="00B10424"/>
    <w:rsid w:val="00B1105F"/>
    <w:rsid w:val="00B1136A"/>
    <w:rsid w:val="00B1170B"/>
    <w:rsid w:val="00B11B34"/>
    <w:rsid w:val="00B122B5"/>
    <w:rsid w:val="00B125D0"/>
    <w:rsid w:val="00B1354F"/>
    <w:rsid w:val="00B13FAF"/>
    <w:rsid w:val="00B150CD"/>
    <w:rsid w:val="00B15FF4"/>
    <w:rsid w:val="00B16B98"/>
    <w:rsid w:val="00B17570"/>
    <w:rsid w:val="00B176DA"/>
    <w:rsid w:val="00B17F0B"/>
    <w:rsid w:val="00B202E7"/>
    <w:rsid w:val="00B21250"/>
    <w:rsid w:val="00B21B26"/>
    <w:rsid w:val="00B22062"/>
    <w:rsid w:val="00B2219D"/>
    <w:rsid w:val="00B2221C"/>
    <w:rsid w:val="00B2281E"/>
    <w:rsid w:val="00B22B76"/>
    <w:rsid w:val="00B22E26"/>
    <w:rsid w:val="00B25454"/>
    <w:rsid w:val="00B25785"/>
    <w:rsid w:val="00B30C12"/>
    <w:rsid w:val="00B30E00"/>
    <w:rsid w:val="00B31B57"/>
    <w:rsid w:val="00B3221B"/>
    <w:rsid w:val="00B3311C"/>
    <w:rsid w:val="00B336BD"/>
    <w:rsid w:val="00B33966"/>
    <w:rsid w:val="00B33D19"/>
    <w:rsid w:val="00B34540"/>
    <w:rsid w:val="00B34D8C"/>
    <w:rsid w:val="00B35D5A"/>
    <w:rsid w:val="00B35EE6"/>
    <w:rsid w:val="00B37EEF"/>
    <w:rsid w:val="00B4153A"/>
    <w:rsid w:val="00B41909"/>
    <w:rsid w:val="00B41C70"/>
    <w:rsid w:val="00B4349E"/>
    <w:rsid w:val="00B443B8"/>
    <w:rsid w:val="00B443E6"/>
    <w:rsid w:val="00B4462F"/>
    <w:rsid w:val="00B45154"/>
    <w:rsid w:val="00B4526F"/>
    <w:rsid w:val="00B45CA0"/>
    <w:rsid w:val="00B47C42"/>
    <w:rsid w:val="00B505F8"/>
    <w:rsid w:val="00B50C61"/>
    <w:rsid w:val="00B50FD0"/>
    <w:rsid w:val="00B513BA"/>
    <w:rsid w:val="00B51AD6"/>
    <w:rsid w:val="00B51D4D"/>
    <w:rsid w:val="00B5206C"/>
    <w:rsid w:val="00B52E1D"/>
    <w:rsid w:val="00B55C82"/>
    <w:rsid w:val="00B55E0F"/>
    <w:rsid w:val="00B55EAB"/>
    <w:rsid w:val="00B62EFB"/>
    <w:rsid w:val="00B63046"/>
    <w:rsid w:val="00B63CA0"/>
    <w:rsid w:val="00B64ABA"/>
    <w:rsid w:val="00B654CC"/>
    <w:rsid w:val="00B65743"/>
    <w:rsid w:val="00B6593F"/>
    <w:rsid w:val="00B65CEB"/>
    <w:rsid w:val="00B66471"/>
    <w:rsid w:val="00B66F9A"/>
    <w:rsid w:val="00B70AAE"/>
    <w:rsid w:val="00B71106"/>
    <w:rsid w:val="00B712E4"/>
    <w:rsid w:val="00B7142A"/>
    <w:rsid w:val="00B71E7C"/>
    <w:rsid w:val="00B72958"/>
    <w:rsid w:val="00B739DC"/>
    <w:rsid w:val="00B759F9"/>
    <w:rsid w:val="00B75E6A"/>
    <w:rsid w:val="00B75F9E"/>
    <w:rsid w:val="00B76272"/>
    <w:rsid w:val="00B76B30"/>
    <w:rsid w:val="00B77544"/>
    <w:rsid w:val="00B77C15"/>
    <w:rsid w:val="00B77F02"/>
    <w:rsid w:val="00B81833"/>
    <w:rsid w:val="00B82BFB"/>
    <w:rsid w:val="00B82D79"/>
    <w:rsid w:val="00B84E6F"/>
    <w:rsid w:val="00B86CCF"/>
    <w:rsid w:val="00B903FF"/>
    <w:rsid w:val="00B90ECE"/>
    <w:rsid w:val="00B917ED"/>
    <w:rsid w:val="00B91DC1"/>
    <w:rsid w:val="00B9393F"/>
    <w:rsid w:val="00B93E68"/>
    <w:rsid w:val="00B93E7D"/>
    <w:rsid w:val="00B95189"/>
    <w:rsid w:val="00B955FD"/>
    <w:rsid w:val="00B963BE"/>
    <w:rsid w:val="00B97052"/>
    <w:rsid w:val="00B97B56"/>
    <w:rsid w:val="00BA17A2"/>
    <w:rsid w:val="00BA3B1C"/>
    <w:rsid w:val="00BA494A"/>
    <w:rsid w:val="00BA5F1D"/>
    <w:rsid w:val="00BA6981"/>
    <w:rsid w:val="00BA765D"/>
    <w:rsid w:val="00BA79AF"/>
    <w:rsid w:val="00BB085E"/>
    <w:rsid w:val="00BB10EB"/>
    <w:rsid w:val="00BB150A"/>
    <w:rsid w:val="00BB15A5"/>
    <w:rsid w:val="00BB1E6D"/>
    <w:rsid w:val="00BB2059"/>
    <w:rsid w:val="00BB27E4"/>
    <w:rsid w:val="00BB2ED0"/>
    <w:rsid w:val="00BB37EC"/>
    <w:rsid w:val="00BB3821"/>
    <w:rsid w:val="00BB40FC"/>
    <w:rsid w:val="00BB7C89"/>
    <w:rsid w:val="00BB7F5F"/>
    <w:rsid w:val="00BC02E8"/>
    <w:rsid w:val="00BC0586"/>
    <w:rsid w:val="00BC0613"/>
    <w:rsid w:val="00BC0BC4"/>
    <w:rsid w:val="00BC23CF"/>
    <w:rsid w:val="00BC2D29"/>
    <w:rsid w:val="00BC3F72"/>
    <w:rsid w:val="00BC3F7B"/>
    <w:rsid w:val="00BC459F"/>
    <w:rsid w:val="00BC52DD"/>
    <w:rsid w:val="00BC5517"/>
    <w:rsid w:val="00BC6358"/>
    <w:rsid w:val="00BC686C"/>
    <w:rsid w:val="00BC7BB0"/>
    <w:rsid w:val="00BD17B4"/>
    <w:rsid w:val="00BD196C"/>
    <w:rsid w:val="00BD3A93"/>
    <w:rsid w:val="00BD6185"/>
    <w:rsid w:val="00BD62C5"/>
    <w:rsid w:val="00BD6611"/>
    <w:rsid w:val="00BE0D40"/>
    <w:rsid w:val="00BE0DBB"/>
    <w:rsid w:val="00BE1618"/>
    <w:rsid w:val="00BE1A0A"/>
    <w:rsid w:val="00BE247C"/>
    <w:rsid w:val="00BE277B"/>
    <w:rsid w:val="00BE394D"/>
    <w:rsid w:val="00BE410B"/>
    <w:rsid w:val="00BE51B7"/>
    <w:rsid w:val="00BE61FD"/>
    <w:rsid w:val="00BF0222"/>
    <w:rsid w:val="00BF12E1"/>
    <w:rsid w:val="00BF2D4E"/>
    <w:rsid w:val="00BF35FB"/>
    <w:rsid w:val="00BF3C3C"/>
    <w:rsid w:val="00BF4A86"/>
    <w:rsid w:val="00BF4D7E"/>
    <w:rsid w:val="00BF519F"/>
    <w:rsid w:val="00BF5A33"/>
    <w:rsid w:val="00C03AFD"/>
    <w:rsid w:val="00C05D53"/>
    <w:rsid w:val="00C05E11"/>
    <w:rsid w:val="00C07B08"/>
    <w:rsid w:val="00C1082E"/>
    <w:rsid w:val="00C113A9"/>
    <w:rsid w:val="00C12784"/>
    <w:rsid w:val="00C12A00"/>
    <w:rsid w:val="00C1529E"/>
    <w:rsid w:val="00C16864"/>
    <w:rsid w:val="00C168E1"/>
    <w:rsid w:val="00C176FC"/>
    <w:rsid w:val="00C17850"/>
    <w:rsid w:val="00C17877"/>
    <w:rsid w:val="00C17C45"/>
    <w:rsid w:val="00C17DA5"/>
    <w:rsid w:val="00C204CA"/>
    <w:rsid w:val="00C206E8"/>
    <w:rsid w:val="00C20A25"/>
    <w:rsid w:val="00C20DD8"/>
    <w:rsid w:val="00C215F1"/>
    <w:rsid w:val="00C21DEB"/>
    <w:rsid w:val="00C235A0"/>
    <w:rsid w:val="00C24F57"/>
    <w:rsid w:val="00C27245"/>
    <w:rsid w:val="00C27528"/>
    <w:rsid w:val="00C27889"/>
    <w:rsid w:val="00C3096C"/>
    <w:rsid w:val="00C30DD9"/>
    <w:rsid w:val="00C3131E"/>
    <w:rsid w:val="00C32C67"/>
    <w:rsid w:val="00C333DA"/>
    <w:rsid w:val="00C33ACF"/>
    <w:rsid w:val="00C341D5"/>
    <w:rsid w:val="00C35CF7"/>
    <w:rsid w:val="00C41AA0"/>
    <w:rsid w:val="00C42031"/>
    <w:rsid w:val="00C42FAF"/>
    <w:rsid w:val="00C434D0"/>
    <w:rsid w:val="00C435D9"/>
    <w:rsid w:val="00C439E0"/>
    <w:rsid w:val="00C43C84"/>
    <w:rsid w:val="00C43D29"/>
    <w:rsid w:val="00C44B83"/>
    <w:rsid w:val="00C46C9B"/>
    <w:rsid w:val="00C46D02"/>
    <w:rsid w:val="00C47EB4"/>
    <w:rsid w:val="00C505B3"/>
    <w:rsid w:val="00C50CF3"/>
    <w:rsid w:val="00C5161A"/>
    <w:rsid w:val="00C52E66"/>
    <w:rsid w:val="00C53D80"/>
    <w:rsid w:val="00C53F91"/>
    <w:rsid w:val="00C556B0"/>
    <w:rsid w:val="00C556E1"/>
    <w:rsid w:val="00C56058"/>
    <w:rsid w:val="00C5636B"/>
    <w:rsid w:val="00C56E20"/>
    <w:rsid w:val="00C600B3"/>
    <w:rsid w:val="00C616AD"/>
    <w:rsid w:val="00C62F67"/>
    <w:rsid w:val="00C634F4"/>
    <w:rsid w:val="00C64CEF"/>
    <w:rsid w:val="00C66853"/>
    <w:rsid w:val="00C67DB8"/>
    <w:rsid w:val="00C7047A"/>
    <w:rsid w:val="00C70E1D"/>
    <w:rsid w:val="00C7232B"/>
    <w:rsid w:val="00C7239E"/>
    <w:rsid w:val="00C73396"/>
    <w:rsid w:val="00C73967"/>
    <w:rsid w:val="00C74B26"/>
    <w:rsid w:val="00C7582B"/>
    <w:rsid w:val="00C76223"/>
    <w:rsid w:val="00C772DC"/>
    <w:rsid w:val="00C77E03"/>
    <w:rsid w:val="00C77FD4"/>
    <w:rsid w:val="00C80340"/>
    <w:rsid w:val="00C81860"/>
    <w:rsid w:val="00C821B6"/>
    <w:rsid w:val="00C82A53"/>
    <w:rsid w:val="00C84379"/>
    <w:rsid w:val="00C85935"/>
    <w:rsid w:val="00C86116"/>
    <w:rsid w:val="00C861A1"/>
    <w:rsid w:val="00C86B24"/>
    <w:rsid w:val="00C87674"/>
    <w:rsid w:val="00C87ED3"/>
    <w:rsid w:val="00C91963"/>
    <w:rsid w:val="00C9210D"/>
    <w:rsid w:val="00C93044"/>
    <w:rsid w:val="00C9306B"/>
    <w:rsid w:val="00C94282"/>
    <w:rsid w:val="00C947A3"/>
    <w:rsid w:val="00C955AB"/>
    <w:rsid w:val="00C95653"/>
    <w:rsid w:val="00C96B1B"/>
    <w:rsid w:val="00CA051B"/>
    <w:rsid w:val="00CA11BA"/>
    <w:rsid w:val="00CA20FE"/>
    <w:rsid w:val="00CA22B1"/>
    <w:rsid w:val="00CA2B4C"/>
    <w:rsid w:val="00CA3C30"/>
    <w:rsid w:val="00CA459D"/>
    <w:rsid w:val="00CA4AA9"/>
    <w:rsid w:val="00CA510B"/>
    <w:rsid w:val="00CA54BE"/>
    <w:rsid w:val="00CA6DBE"/>
    <w:rsid w:val="00CA7108"/>
    <w:rsid w:val="00CA720E"/>
    <w:rsid w:val="00CA73F1"/>
    <w:rsid w:val="00CA777F"/>
    <w:rsid w:val="00CB0105"/>
    <w:rsid w:val="00CB0D14"/>
    <w:rsid w:val="00CB0DDA"/>
    <w:rsid w:val="00CB0E52"/>
    <w:rsid w:val="00CB12CD"/>
    <w:rsid w:val="00CB24B3"/>
    <w:rsid w:val="00CB2A4C"/>
    <w:rsid w:val="00CB4C75"/>
    <w:rsid w:val="00CB76E0"/>
    <w:rsid w:val="00CC141F"/>
    <w:rsid w:val="00CC17A3"/>
    <w:rsid w:val="00CC1BBA"/>
    <w:rsid w:val="00CC3254"/>
    <w:rsid w:val="00CC50E0"/>
    <w:rsid w:val="00CC5997"/>
    <w:rsid w:val="00CC607A"/>
    <w:rsid w:val="00CC7AF6"/>
    <w:rsid w:val="00CD0016"/>
    <w:rsid w:val="00CD0377"/>
    <w:rsid w:val="00CD372B"/>
    <w:rsid w:val="00CD3DB2"/>
    <w:rsid w:val="00CD4593"/>
    <w:rsid w:val="00CD64C5"/>
    <w:rsid w:val="00CD6EA0"/>
    <w:rsid w:val="00CE0249"/>
    <w:rsid w:val="00CE04CA"/>
    <w:rsid w:val="00CE2BBE"/>
    <w:rsid w:val="00CE3FF3"/>
    <w:rsid w:val="00CE40E7"/>
    <w:rsid w:val="00CE42F2"/>
    <w:rsid w:val="00CE483D"/>
    <w:rsid w:val="00CE547E"/>
    <w:rsid w:val="00CE5747"/>
    <w:rsid w:val="00CE5865"/>
    <w:rsid w:val="00CE67B6"/>
    <w:rsid w:val="00CE6B48"/>
    <w:rsid w:val="00CE7686"/>
    <w:rsid w:val="00CE7746"/>
    <w:rsid w:val="00CE793F"/>
    <w:rsid w:val="00CE7E1C"/>
    <w:rsid w:val="00CF13CB"/>
    <w:rsid w:val="00CF232B"/>
    <w:rsid w:val="00CF2354"/>
    <w:rsid w:val="00CF31D8"/>
    <w:rsid w:val="00CF39EA"/>
    <w:rsid w:val="00CF3E86"/>
    <w:rsid w:val="00CF4E02"/>
    <w:rsid w:val="00CF52B8"/>
    <w:rsid w:val="00CF6677"/>
    <w:rsid w:val="00CF70F7"/>
    <w:rsid w:val="00D00945"/>
    <w:rsid w:val="00D00B0C"/>
    <w:rsid w:val="00D02101"/>
    <w:rsid w:val="00D02509"/>
    <w:rsid w:val="00D0443F"/>
    <w:rsid w:val="00D05957"/>
    <w:rsid w:val="00D05F95"/>
    <w:rsid w:val="00D06A38"/>
    <w:rsid w:val="00D06F96"/>
    <w:rsid w:val="00D072AF"/>
    <w:rsid w:val="00D108BA"/>
    <w:rsid w:val="00D10DA1"/>
    <w:rsid w:val="00D10DBD"/>
    <w:rsid w:val="00D11289"/>
    <w:rsid w:val="00D11D81"/>
    <w:rsid w:val="00D122E3"/>
    <w:rsid w:val="00D1446D"/>
    <w:rsid w:val="00D14552"/>
    <w:rsid w:val="00D14666"/>
    <w:rsid w:val="00D14D26"/>
    <w:rsid w:val="00D157DA"/>
    <w:rsid w:val="00D15F00"/>
    <w:rsid w:val="00D20F55"/>
    <w:rsid w:val="00D22086"/>
    <w:rsid w:val="00D246DF"/>
    <w:rsid w:val="00D24724"/>
    <w:rsid w:val="00D24850"/>
    <w:rsid w:val="00D24C63"/>
    <w:rsid w:val="00D25F82"/>
    <w:rsid w:val="00D268DF"/>
    <w:rsid w:val="00D278CA"/>
    <w:rsid w:val="00D27E3C"/>
    <w:rsid w:val="00D31781"/>
    <w:rsid w:val="00D31D68"/>
    <w:rsid w:val="00D32755"/>
    <w:rsid w:val="00D33731"/>
    <w:rsid w:val="00D3430D"/>
    <w:rsid w:val="00D346E8"/>
    <w:rsid w:val="00D34D11"/>
    <w:rsid w:val="00D35531"/>
    <w:rsid w:val="00D35CD5"/>
    <w:rsid w:val="00D36827"/>
    <w:rsid w:val="00D371C2"/>
    <w:rsid w:val="00D40411"/>
    <w:rsid w:val="00D40D46"/>
    <w:rsid w:val="00D43451"/>
    <w:rsid w:val="00D451D8"/>
    <w:rsid w:val="00D46B18"/>
    <w:rsid w:val="00D46CFF"/>
    <w:rsid w:val="00D47177"/>
    <w:rsid w:val="00D472E9"/>
    <w:rsid w:val="00D4736E"/>
    <w:rsid w:val="00D52169"/>
    <w:rsid w:val="00D52FCD"/>
    <w:rsid w:val="00D539A9"/>
    <w:rsid w:val="00D53DCE"/>
    <w:rsid w:val="00D54038"/>
    <w:rsid w:val="00D54C75"/>
    <w:rsid w:val="00D551A6"/>
    <w:rsid w:val="00D56584"/>
    <w:rsid w:val="00D57A9D"/>
    <w:rsid w:val="00D636C4"/>
    <w:rsid w:val="00D63FBB"/>
    <w:rsid w:val="00D6485D"/>
    <w:rsid w:val="00D66081"/>
    <w:rsid w:val="00D669F0"/>
    <w:rsid w:val="00D66DD4"/>
    <w:rsid w:val="00D677C1"/>
    <w:rsid w:val="00D67F3B"/>
    <w:rsid w:val="00D711D4"/>
    <w:rsid w:val="00D714F0"/>
    <w:rsid w:val="00D74027"/>
    <w:rsid w:val="00D755E5"/>
    <w:rsid w:val="00D772D2"/>
    <w:rsid w:val="00D777C2"/>
    <w:rsid w:val="00D806B9"/>
    <w:rsid w:val="00D81336"/>
    <w:rsid w:val="00D82DF8"/>
    <w:rsid w:val="00D873E1"/>
    <w:rsid w:val="00D87F52"/>
    <w:rsid w:val="00D91A45"/>
    <w:rsid w:val="00D91EF6"/>
    <w:rsid w:val="00D91F3D"/>
    <w:rsid w:val="00D92787"/>
    <w:rsid w:val="00D92D5A"/>
    <w:rsid w:val="00D92F4C"/>
    <w:rsid w:val="00D932DA"/>
    <w:rsid w:val="00D9383A"/>
    <w:rsid w:val="00D93DA8"/>
    <w:rsid w:val="00D945F1"/>
    <w:rsid w:val="00D94639"/>
    <w:rsid w:val="00D9666B"/>
    <w:rsid w:val="00D97653"/>
    <w:rsid w:val="00DA112A"/>
    <w:rsid w:val="00DA17EF"/>
    <w:rsid w:val="00DA1BA9"/>
    <w:rsid w:val="00DA3DAB"/>
    <w:rsid w:val="00DA4052"/>
    <w:rsid w:val="00DA543F"/>
    <w:rsid w:val="00DA59F7"/>
    <w:rsid w:val="00DA5B5F"/>
    <w:rsid w:val="00DA654D"/>
    <w:rsid w:val="00DA79B5"/>
    <w:rsid w:val="00DA7DC8"/>
    <w:rsid w:val="00DB18DD"/>
    <w:rsid w:val="00DB20A7"/>
    <w:rsid w:val="00DB23F5"/>
    <w:rsid w:val="00DB449F"/>
    <w:rsid w:val="00DB4508"/>
    <w:rsid w:val="00DB5238"/>
    <w:rsid w:val="00DB5778"/>
    <w:rsid w:val="00DC2249"/>
    <w:rsid w:val="00DC23AE"/>
    <w:rsid w:val="00DC2457"/>
    <w:rsid w:val="00DC4847"/>
    <w:rsid w:val="00DC5286"/>
    <w:rsid w:val="00DC5506"/>
    <w:rsid w:val="00DC58E4"/>
    <w:rsid w:val="00DC5CFF"/>
    <w:rsid w:val="00DC797D"/>
    <w:rsid w:val="00DC7D0A"/>
    <w:rsid w:val="00DD017A"/>
    <w:rsid w:val="00DD06E1"/>
    <w:rsid w:val="00DD06EC"/>
    <w:rsid w:val="00DD18D8"/>
    <w:rsid w:val="00DD2E0B"/>
    <w:rsid w:val="00DD663E"/>
    <w:rsid w:val="00DD6DF3"/>
    <w:rsid w:val="00DD7416"/>
    <w:rsid w:val="00DD75AD"/>
    <w:rsid w:val="00DE0C21"/>
    <w:rsid w:val="00DE22EE"/>
    <w:rsid w:val="00DE2ECE"/>
    <w:rsid w:val="00DE2EE3"/>
    <w:rsid w:val="00DE36A0"/>
    <w:rsid w:val="00DE4E84"/>
    <w:rsid w:val="00DE6249"/>
    <w:rsid w:val="00DE71DA"/>
    <w:rsid w:val="00DE7208"/>
    <w:rsid w:val="00DE7449"/>
    <w:rsid w:val="00DE7A00"/>
    <w:rsid w:val="00DF026A"/>
    <w:rsid w:val="00DF03D9"/>
    <w:rsid w:val="00DF06C9"/>
    <w:rsid w:val="00DF265E"/>
    <w:rsid w:val="00DF32DD"/>
    <w:rsid w:val="00DF3CC1"/>
    <w:rsid w:val="00DF4EA0"/>
    <w:rsid w:val="00DF5E33"/>
    <w:rsid w:val="00DF6645"/>
    <w:rsid w:val="00DF67FE"/>
    <w:rsid w:val="00DF6E1A"/>
    <w:rsid w:val="00DF6FCE"/>
    <w:rsid w:val="00DF7229"/>
    <w:rsid w:val="00DF72A7"/>
    <w:rsid w:val="00DF7CDC"/>
    <w:rsid w:val="00DF7DDB"/>
    <w:rsid w:val="00E0091F"/>
    <w:rsid w:val="00E00A28"/>
    <w:rsid w:val="00E00B7D"/>
    <w:rsid w:val="00E01455"/>
    <w:rsid w:val="00E01812"/>
    <w:rsid w:val="00E0246B"/>
    <w:rsid w:val="00E036D9"/>
    <w:rsid w:val="00E04A68"/>
    <w:rsid w:val="00E06670"/>
    <w:rsid w:val="00E06E0A"/>
    <w:rsid w:val="00E07BA6"/>
    <w:rsid w:val="00E123C3"/>
    <w:rsid w:val="00E14EC5"/>
    <w:rsid w:val="00E16924"/>
    <w:rsid w:val="00E16C88"/>
    <w:rsid w:val="00E16CB8"/>
    <w:rsid w:val="00E20502"/>
    <w:rsid w:val="00E21391"/>
    <w:rsid w:val="00E21D07"/>
    <w:rsid w:val="00E22D2A"/>
    <w:rsid w:val="00E22F24"/>
    <w:rsid w:val="00E23334"/>
    <w:rsid w:val="00E23502"/>
    <w:rsid w:val="00E236E5"/>
    <w:rsid w:val="00E25258"/>
    <w:rsid w:val="00E25438"/>
    <w:rsid w:val="00E26DC9"/>
    <w:rsid w:val="00E270E0"/>
    <w:rsid w:val="00E27137"/>
    <w:rsid w:val="00E27A96"/>
    <w:rsid w:val="00E307B7"/>
    <w:rsid w:val="00E31D64"/>
    <w:rsid w:val="00E32087"/>
    <w:rsid w:val="00E32A38"/>
    <w:rsid w:val="00E32B96"/>
    <w:rsid w:val="00E32D3D"/>
    <w:rsid w:val="00E332EB"/>
    <w:rsid w:val="00E33C18"/>
    <w:rsid w:val="00E33C25"/>
    <w:rsid w:val="00E33E8B"/>
    <w:rsid w:val="00E34DC7"/>
    <w:rsid w:val="00E354D3"/>
    <w:rsid w:val="00E354DE"/>
    <w:rsid w:val="00E35771"/>
    <w:rsid w:val="00E36173"/>
    <w:rsid w:val="00E3620F"/>
    <w:rsid w:val="00E369C6"/>
    <w:rsid w:val="00E377A6"/>
    <w:rsid w:val="00E37B5A"/>
    <w:rsid w:val="00E40020"/>
    <w:rsid w:val="00E407D2"/>
    <w:rsid w:val="00E40E87"/>
    <w:rsid w:val="00E4106E"/>
    <w:rsid w:val="00E43471"/>
    <w:rsid w:val="00E44AE2"/>
    <w:rsid w:val="00E44D24"/>
    <w:rsid w:val="00E453FF"/>
    <w:rsid w:val="00E45CA3"/>
    <w:rsid w:val="00E4649F"/>
    <w:rsid w:val="00E469FB"/>
    <w:rsid w:val="00E46CA4"/>
    <w:rsid w:val="00E507A4"/>
    <w:rsid w:val="00E51686"/>
    <w:rsid w:val="00E519EA"/>
    <w:rsid w:val="00E52B5C"/>
    <w:rsid w:val="00E52E45"/>
    <w:rsid w:val="00E55D5D"/>
    <w:rsid w:val="00E57CEE"/>
    <w:rsid w:val="00E62C5F"/>
    <w:rsid w:val="00E637C0"/>
    <w:rsid w:val="00E64733"/>
    <w:rsid w:val="00E67A89"/>
    <w:rsid w:val="00E70B83"/>
    <w:rsid w:val="00E72BC3"/>
    <w:rsid w:val="00E75278"/>
    <w:rsid w:val="00E75B7F"/>
    <w:rsid w:val="00E76598"/>
    <w:rsid w:val="00E76F37"/>
    <w:rsid w:val="00E77CFE"/>
    <w:rsid w:val="00E80CF1"/>
    <w:rsid w:val="00E81718"/>
    <w:rsid w:val="00E829F3"/>
    <w:rsid w:val="00E834C4"/>
    <w:rsid w:val="00E83F37"/>
    <w:rsid w:val="00E84434"/>
    <w:rsid w:val="00E848D0"/>
    <w:rsid w:val="00E90BD2"/>
    <w:rsid w:val="00E911C9"/>
    <w:rsid w:val="00E9156B"/>
    <w:rsid w:val="00E91D8F"/>
    <w:rsid w:val="00E92BB7"/>
    <w:rsid w:val="00E93305"/>
    <w:rsid w:val="00E941AB"/>
    <w:rsid w:val="00E944FE"/>
    <w:rsid w:val="00E94B1A"/>
    <w:rsid w:val="00E94FA4"/>
    <w:rsid w:val="00E9640A"/>
    <w:rsid w:val="00E96EF3"/>
    <w:rsid w:val="00E97097"/>
    <w:rsid w:val="00E97F7B"/>
    <w:rsid w:val="00EA064D"/>
    <w:rsid w:val="00EA0A47"/>
    <w:rsid w:val="00EA5683"/>
    <w:rsid w:val="00EA6616"/>
    <w:rsid w:val="00EA7717"/>
    <w:rsid w:val="00EA78A7"/>
    <w:rsid w:val="00EA78ED"/>
    <w:rsid w:val="00EA794A"/>
    <w:rsid w:val="00EB05BF"/>
    <w:rsid w:val="00EB0E66"/>
    <w:rsid w:val="00EB2990"/>
    <w:rsid w:val="00EB2B47"/>
    <w:rsid w:val="00EB2EB4"/>
    <w:rsid w:val="00EB2EFD"/>
    <w:rsid w:val="00EB37A5"/>
    <w:rsid w:val="00EB4961"/>
    <w:rsid w:val="00EB5231"/>
    <w:rsid w:val="00EB55C4"/>
    <w:rsid w:val="00EB60E3"/>
    <w:rsid w:val="00EB7130"/>
    <w:rsid w:val="00EC003D"/>
    <w:rsid w:val="00EC0C1E"/>
    <w:rsid w:val="00EC133A"/>
    <w:rsid w:val="00EC14CD"/>
    <w:rsid w:val="00EC1836"/>
    <w:rsid w:val="00EC2720"/>
    <w:rsid w:val="00EC3749"/>
    <w:rsid w:val="00EC39C8"/>
    <w:rsid w:val="00EC4950"/>
    <w:rsid w:val="00EC4CF1"/>
    <w:rsid w:val="00EC5AD4"/>
    <w:rsid w:val="00EC5B99"/>
    <w:rsid w:val="00EC5FE3"/>
    <w:rsid w:val="00EC7518"/>
    <w:rsid w:val="00EC76A2"/>
    <w:rsid w:val="00EC78D7"/>
    <w:rsid w:val="00EC7D81"/>
    <w:rsid w:val="00ED0BED"/>
    <w:rsid w:val="00ED10A7"/>
    <w:rsid w:val="00ED3B51"/>
    <w:rsid w:val="00ED46C1"/>
    <w:rsid w:val="00ED4DAF"/>
    <w:rsid w:val="00ED5B1A"/>
    <w:rsid w:val="00ED61D6"/>
    <w:rsid w:val="00ED7E5B"/>
    <w:rsid w:val="00EE0919"/>
    <w:rsid w:val="00EE12BC"/>
    <w:rsid w:val="00EE1E4F"/>
    <w:rsid w:val="00EE2D96"/>
    <w:rsid w:val="00EE4EF0"/>
    <w:rsid w:val="00EE79C5"/>
    <w:rsid w:val="00EE7A39"/>
    <w:rsid w:val="00EE7AF7"/>
    <w:rsid w:val="00EF1D32"/>
    <w:rsid w:val="00EF29C3"/>
    <w:rsid w:val="00EF33E4"/>
    <w:rsid w:val="00EF38B1"/>
    <w:rsid w:val="00EF3C75"/>
    <w:rsid w:val="00EF4672"/>
    <w:rsid w:val="00EF4EE9"/>
    <w:rsid w:val="00EF53BC"/>
    <w:rsid w:val="00EF5E2D"/>
    <w:rsid w:val="00EF6064"/>
    <w:rsid w:val="00EF72E3"/>
    <w:rsid w:val="00F01859"/>
    <w:rsid w:val="00F0317E"/>
    <w:rsid w:val="00F03885"/>
    <w:rsid w:val="00F05162"/>
    <w:rsid w:val="00F05930"/>
    <w:rsid w:val="00F0607D"/>
    <w:rsid w:val="00F06A64"/>
    <w:rsid w:val="00F06B46"/>
    <w:rsid w:val="00F105A5"/>
    <w:rsid w:val="00F1111F"/>
    <w:rsid w:val="00F12015"/>
    <w:rsid w:val="00F134BA"/>
    <w:rsid w:val="00F1480B"/>
    <w:rsid w:val="00F14D63"/>
    <w:rsid w:val="00F15C3E"/>
    <w:rsid w:val="00F1660A"/>
    <w:rsid w:val="00F17264"/>
    <w:rsid w:val="00F176D7"/>
    <w:rsid w:val="00F1792D"/>
    <w:rsid w:val="00F21EA0"/>
    <w:rsid w:val="00F21FFD"/>
    <w:rsid w:val="00F22434"/>
    <w:rsid w:val="00F233EA"/>
    <w:rsid w:val="00F23745"/>
    <w:rsid w:val="00F25295"/>
    <w:rsid w:val="00F252E6"/>
    <w:rsid w:val="00F25CCE"/>
    <w:rsid w:val="00F25D13"/>
    <w:rsid w:val="00F260FA"/>
    <w:rsid w:val="00F2679E"/>
    <w:rsid w:val="00F30F87"/>
    <w:rsid w:val="00F31F15"/>
    <w:rsid w:val="00F32B7E"/>
    <w:rsid w:val="00F332D8"/>
    <w:rsid w:val="00F3350F"/>
    <w:rsid w:val="00F34FF7"/>
    <w:rsid w:val="00F35966"/>
    <w:rsid w:val="00F359BA"/>
    <w:rsid w:val="00F367E9"/>
    <w:rsid w:val="00F416F7"/>
    <w:rsid w:val="00F41999"/>
    <w:rsid w:val="00F42E29"/>
    <w:rsid w:val="00F435C1"/>
    <w:rsid w:val="00F43AF7"/>
    <w:rsid w:val="00F458EA"/>
    <w:rsid w:val="00F5044F"/>
    <w:rsid w:val="00F50796"/>
    <w:rsid w:val="00F51894"/>
    <w:rsid w:val="00F52254"/>
    <w:rsid w:val="00F527F7"/>
    <w:rsid w:val="00F52ADE"/>
    <w:rsid w:val="00F53830"/>
    <w:rsid w:val="00F53C96"/>
    <w:rsid w:val="00F5529D"/>
    <w:rsid w:val="00F55617"/>
    <w:rsid w:val="00F55D84"/>
    <w:rsid w:val="00F560A0"/>
    <w:rsid w:val="00F563EE"/>
    <w:rsid w:val="00F6101E"/>
    <w:rsid w:val="00F61082"/>
    <w:rsid w:val="00F61D3C"/>
    <w:rsid w:val="00F628A0"/>
    <w:rsid w:val="00F62FEE"/>
    <w:rsid w:val="00F63BAE"/>
    <w:rsid w:val="00F64240"/>
    <w:rsid w:val="00F66882"/>
    <w:rsid w:val="00F66B72"/>
    <w:rsid w:val="00F6727D"/>
    <w:rsid w:val="00F6748A"/>
    <w:rsid w:val="00F6778C"/>
    <w:rsid w:val="00F71093"/>
    <w:rsid w:val="00F711C8"/>
    <w:rsid w:val="00F71D08"/>
    <w:rsid w:val="00F71E76"/>
    <w:rsid w:val="00F72CC5"/>
    <w:rsid w:val="00F738EE"/>
    <w:rsid w:val="00F73964"/>
    <w:rsid w:val="00F74BD2"/>
    <w:rsid w:val="00F74DB6"/>
    <w:rsid w:val="00F760ED"/>
    <w:rsid w:val="00F779C0"/>
    <w:rsid w:val="00F805EB"/>
    <w:rsid w:val="00F80650"/>
    <w:rsid w:val="00F80A9B"/>
    <w:rsid w:val="00F81F3C"/>
    <w:rsid w:val="00F82DB1"/>
    <w:rsid w:val="00F84596"/>
    <w:rsid w:val="00F84823"/>
    <w:rsid w:val="00F84CAF"/>
    <w:rsid w:val="00F8575A"/>
    <w:rsid w:val="00F871A0"/>
    <w:rsid w:val="00F8792C"/>
    <w:rsid w:val="00F91EA9"/>
    <w:rsid w:val="00F92223"/>
    <w:rsid w:val="00F92226"/>
    <w:rsid w:val="00F92A0C"/>
    <w:rsid w:val="00F933AA"/>
    <w:rsid w:val="00F93556"/>
    <w:rsid w:val="00F94E4E"/>
    <w:rsid w:val="00F95921"/>
    <w:rsid w:val="00F9655F"/>
    <w:rsid w:val="00F96F9C"/>
    <w:rsid w:val="00F9737F"/>
    <w:rsid w:val="00F975A8"/>
    <w:rsid w:val="00FA0666"/>
    <w:rsid w:val="00FA1420"/>
    <w:rsid w:val="00FA1A5F"/>
    <w:rsid w:val="00FA2FE6"/>
    <w:rsid w:val="00FA310A"/>
    <w:rsid w:val="00FA535D"/>
    <w:rsid w:val="00FA7101"/>
    <w:rsid w:val="00FA780D"/>
    <w:rsid w:val="00FA7C80"/>
    <w:rsid w:val="00FB019F"/>
    <w:rsid w:val="00FB0B61"/>
    <w:rsid w:val="00FB2E5D"/>
    <w:rsid w:val="00FB5DB0"/>
    <w:rsid w:val="00FB762B"/>
    <w:rsid w:val="00FC1287"/>
    <w:rsid w:val="00FC1B99"/>
    <w:rsid w:val="00FC28C1"/>
    <w:rsid w:val="00FC2B58"/>
    <w:rsid w:val="00FC32F7"/>
    <w:rsid w:val="00FC426B"/>
    <w:rsid w:val="00FC43C7"/>
    <w:rsid w:val="00FC550A"/>
    <w:rsid w:val="00FC5AA1"/>
    <w:rsid w:val="00FC6162"/>
    <w:rsid w:val="00FC6A0D"/>
    <w:rsid w:val="00FC6F43"/>
    <w:rsid w:val="00FC74DD"/>
    <w:rsid w:val="00FC7D75"/>
    <w:rsid w:val="00FD06C4"/>
    <w:rsid w:val="00FD1517"/>
    <w:rsid w:val="00FD199B"/>
    <w:rsid w:val="00FD1C30"/>
    <w:rsid w:val="00FD1D8B"/>
    <w:rsid w:val="00FD235F"/>
    <w:rsid w:val="00FD25E0"/>
    <w:rsid w:val="00FD2B54"/>
    <w:rsid w:val="00FD2D82"/>
    <w:rsid w:val="00FD2DC7"/>
    <w:rsid w:val="00FD3104"/>
    <w:rsid w:val="00FD3F2A"/>
    <w:rsid w:val="00FD43D6"/>
    <w:rsid w:val="00FD4B4B"/>
    <w:rsid w:val="00FD5CD3"/>
    <w:rsid w:val="00FD5D91"/>
    <w:rsid w:val="00FD65B8"/>
    <w:rsid w:val="00FE0451"/>
    <w:rsid w:val="00FE3258"/>
    <w:rsid w:val="00FE4964"/>
    <w:rsid w:val="00FE4A0A"/>
    <w:rsid w:val="00FE5C67"/>
    <w:rsid w:val="00FE75AD"/>
    <w:rsid w:val="00FE773E"/>
    <w:rsid w:val="00FF0723"/>
    <w:rsid w:val="00FF1DF0"/>
    <w:rsid w:val="00FF1EC3"/>
    <w:rsid w:val="00FF3060"/>
    <w:rsid w:val="00FF308E"/>
    <w:rsid w:val="00FF3B4E"/>
    <w:rsid w:val="00FF4A5D"/>
    <w:rsid w:val="00FF669C"/>
    <w:rsid w:val="00FF684A"/>
    <w:rsid w:val="00FF708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4EE8"/>
  <w15:chartTrackingRefBased/>
  <w15:docId w15:val="{BF7FEBEC-17B7-4370-875B-465164B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6A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C68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D69C3"/>
    <w:pPr>
      <w:keepNext/>
      <w:jc w:val="center"/>
      <w:outlineLvl w:val="2"/>
    </w:pPr>
    <w:rPr>
      <w:bCs/>
      <w:lang w:val="x-none" w:eastAsia="x-none"/>
    </w:rPr>
  </w:style>
  <w:style w:type="paragraph" w:styleId="Nagwek4">
    <w:name w:val="heading 4"/>
    <w:basedOn w:val="Normalny"/>
    <w:next w:val="Normalny"/>
    <w:qFormat/>
    <w:rsid w:val="00A77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544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link w:val="TekstpodstawowyZnak"/>
    <w:rsid w:val="00165447"/>
    <w:pPr>
      <w:jc w:val="both"/>
    </w:pPr>
    <w:rPr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rsid w:val="00165447"/>
    <w:pPr>
      <w:spacing w:after="120" w:line="480" w:lineRule="auto"/>
    </w:pPr>
    <w:rPr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165447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65447"/>
    <w:pPr>
      <w:spacing w:line="360" w:lineRule="auto"/>
    </w:pPr>
    <w:rPr>
      <w:sz w:val="28"/>
    </w:rPr>
  </w:style>
  <w:style w:type="paragraph" w:customStyle="1" w:styleId="Tekstpodstawowywcity31">
    <w:name w:val="Tekst podstawowy wcięty 31"/>
    <w:basedOn w:val="Normalny"/>
    <w:rsid w:val="00165447"/>
    <w:pPr>
      <w:ind w:left="360" w:firstLine="348"/>
      <w:jc w:val="both"/>
    </w:pPr>
    <w:rPr>
      <w:sz w:val="28"/>
    </w:rPr>
  </w:style>
  <w:style w:type="paragraph" w:styleId="Stopka">
    <w:name w:val="footer"/>
    <w:basedOn w:val="Normalny"/>
    <w:rsid w:val="007A1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E89"/>
  </w:style>
  <w:style w:type="paragraph" w:customStyle="1" w:styleId="2">
    <w:name w:val="2"/>
    <w:basedOn w:val="Normalny"/>
    <w:rsid w:val="00330EA9"/>
    <w:rPr>
      <w:szCs w:val="24"/>
    </w:rPr>
  </w:style>
  <w:style w:type="paragraph" w:customStyle="1" w:styleId="wylicz6-">
    <w:name w:val="wylicz6-"/>
    <w:basedOn w:val="Normalny"/>
    <w:rsid w:val="00955F0B"/>
    <w:pPr>
      <w:numPr>
        <w:numId w:val="1"/>
      </w:numPr>
    </w:pPr>
  </w:style>
  <w:style w:type="character" w:customStyle="1" w:styleId="FontStyle25">
    <w:name w:val="Font Style25"/>
    <w:rsid w:val="008457D3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semiHidden/>
    <w:rsid w:val="002551F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551FE"/>
    <w:rPr>
      <w:szCs w:val="24"/>
    </w:rPr>
  </w:style>
  <w:style w:type="paragraph" w:customStyle="1" w:styleId="ZnakZnakZnakZnakZnakZnak">
    <w:name w:val="Znak Znak Znak Znak Znak Znak"/>
    <w:basedOn w:val="Normalny"/>
    <w:rsid w:val="00C7232B"/>
    <w:rPr>
      <w:szCs w:val="24"/>
    </w:rPr>
  </w:style>
  <w:style w:type="paragraph" w:customStyle="1" w:styleId="Znak1ZnakZnak">
    <w:name w:val="Znak1 Znak Znak"/>
    <w:basedOn w:val="Normalny"/>
    <w:rsid w:val="00F15C3E"/>
    <w:rPr>
      <w:szCs w:val="24"/>
    </w:rPr>
  </w:style>
  <w:style w:type="paragraph" w:customStyle="1" w:styleId="stand1">
    <w:name w:val="stand1"/>
    <w:basedOn w:val="Normalny"/>
    <w:rsid w:val="00546BDF"/>
    <w:pPr>
      <w:spacing w:after="240" w:line="360" w:lineRule="auto"/>
      <w:ind w:left="567" w:firstLine="709"/>
      <w:jc w:val="both"/>
    </w:pPr>
    <w:rPr>
      <w:rFonts w:ascii="Arial" w:hAnsi="Arial" w:cs="Arial"/>
      <w:szCs w:val="24"/>
    </w:rPr>
  </w:style>
  <w:style w:type="paragraph" w:customStyle="1" w:styleId="ZnakZnak1Znak">
    <w:name w:val="Znak Znak1 Znak"/>
    <w:basedOn w:val="Normalny"/>
    <w:rsid w:val="00D40D46"/>
    <w:rPr>
      <w:rFonts w:ascii="Arial" w:hAnsi="Arial" w:cs="Arial"/>
      <w:sz w:val="20"/>
    </w:rPr>
  </w:style>
  <w:style w:type="paragraph" w:customStyle="1" w:styleId="Tama">
    <w:name w:val="Taśma"/>
    <w:basedOn w:val="Normalny"/>
    <w:rsid w:val="00A7716F"/>
    <w:pPr>
      <w:spacing w:line="460" w:lineRule="atLeast"/>
      <w:jc w:val="both"/>
    </w:pPr>
    <w:rPr>
      <w:rFonts w:ascii="Courier New" w:hAnsi="Courier New"/>
      <w:sz w:val="26"/>
      <w:szCs w:val="24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AE2833"/>
    <w:rPr>
      <w:sz w:val="20"/>
    </w:rPr>
  </w:style>
  <w:style w:type="character" w:styleId="Odwoanieprzypisudolnego">
    <w:name w:val="footnote reference"/>
    <w:uiPriority w:val="99"/>
    <w:semiHidden/>
    <w:rsid w:val="00AE2833"/>
    <w:rPr>
      <w:vertAlign w:val="superscript"/>
    </w:rPr>
  </w:style>
  <w:style w:type="paragraph" w:customStyle="1" w:styleId="menfont">
    <w:name w:val="men font"/>
    <w:basedOn w:val="Normalny"/>
    <w:rsid w:val="007257AF"/>
    <w:rPr>
      <w:rFonts w:ascii="Arial" w:hAnsi="Arial" w:cs="Arial"/>
      <w:szCs w:val="24"/>
    </w:rPr>
  </w:style>
  <w:style w:type="paragraph" w:styleId="Mapadokumentu">
    <w:name w:val="Document Map"/>
    <w:basedOn w:val="Normalny"/>
    <w:semiHidden/>
    <w:rsid w:val="00FC7D75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Znak">
    <w:name w:val="Nagłówek Znak"/>
    <w:link w:val="Nagwek"/>
    <w:rsid w:val="00AE52C6"/>
  </w:style>
  <w:style w:type="paragraph" w:styleId="Akapitzlist">
    <w:name w:val="List Paragraph"/>
    <w:basedOn w:val="Normalny"/>
    <w:link w:val="AkapitzlistZnak"/>
    <w:uiPriority w:val="34"/>
    <w:qFormat/>
    <w:rsid w:val="00AE52C6"/>
    <w:pPr>
      <w:ind w:left="720"/>
      <w:contextualSpacing/>
    </w:pPr>
    <w:rPr>
      <w:rFonts w:ascii="Arial" w:hAnsi="Arial" w:cs="Arial"/>
      <w:szCs w:val="24"/>
    </w:rPr>
  </w:style>
  <w:style w:type="character" w:customStyle="1" w:styleId="Tekstpodstawowy2Znak">
    <w:name w:val="Tekst podstawowy 2 Znak"/>
    <w:link w:val="Tekstpodstawowy2"/>
    <w:rsid w:val="00587C07"/>
    <w:rPr>
      <w:sz w:val="24"/>
      <w:szCs w:val="24"/>
    </w:rPr>
  </w:style>
  <w:style w:type="character" w:customStyle="1" w:styleId="Nagwek3Znak">
    <w:name w:val="Nagłówek 3 Znak"/>
    <w:link w:val="Nagwek3"/>
    <w:rsid w:val="00587C07"/>
    <w:rPr>
      <w:bCs/>
      <w:sz w:val="24"/>
    </w:rPr>
  </w:style>
  <w:style w:type="character" w:customStyle="1" w:styleId="TekstpodstawowyZnak">
    <w:name w:val="Tekst podstawowy Znak"/>
    <w:link w:val="Tekstpodstawowy"/>
    <w:rsid w:val="00EF3C75"/>
    <w:rPr>
      <w:sz w:val="28"/>
    </w:rPr>
  </w:style>
  <w:style w:type="character" w:styleId="Odwoaniedokomentarza">
    <w:name w:val="annotation reference"/>
    <w:rsid w:val="003640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40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64061"/>
  </w:style>
  <w:style w:type="paragraph" w:styleId="Tematkomentarza">
    <w:name w:val="annotation subject"/>
    <w:basedOn w:val="Tekstkomentarza"/>
    <w:next w:val="Tekstkomentarza"/>
    <w:link w:val="TematkomentarzaZnak"/>
    <w:rsid w:val="0036406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4061"/>
    <w:rPr>
      <w:b/>
      <w:bCs/>
    </w:rPr>
  </w:style>
  <w:style w:type="character" w:styleId="Pogrubienie">
    <w:name w:val="Strong"/>
    <w:uiPriority w:val="22"/>
    <w:qFormat/>
    <w:rsid w:val="00C77FD4"/>
    <w:rPr>
      <w:b/>
      <w:bCs/>
    </w:rPr>
  </w:style>
  <w:style w:type="paragraph" w:styleId="Tekstprzypisukocowego">
    <w:name w:val="endnote text"/>
    <w:basedOn w:val="Normalny"/>
    <w:link w:val="TekstprzypisukocowegoZnak"/>
    <w:rsid w:val="00D05F9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F95"/>
  </w:style>
  <w:style w:type="character" w:styleId="Odwoanieprzypisukocowego">
    <w:name w:val="endnote reference"/>
    <w:rsid w:val="00D05F95"/>
    <w:rPr>
      <w:vertAlign w:val="superscript"/>
    </w:rPr>
  </w:style>
  <w:style w:type="paragraph" w:customStyle="1" w:styleId="nagjed">
    <w:name w:val="nag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tekstjed">
    <w:name w:val="tekst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ustep">
    <w:name w:val="ustep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ny"/>
    <w:rsid w:val="004707CF"/>
    <w:rPr>
      <w:szCs w:val="24"/>
    </w:rPr>
  </w:style>
  <w:style w:type="paragraph" w:styleId="Poprawka">
    <w:name w:val="Revision"/>
    <w:hidden/>
    <w:uiPriority w:val="99"/>
    <w:semiHidden/>
    <w:rsid w:val="00D63FBB"/>
    <w:rPr>
      <w:sz w:val="24"/>
    </w:rPr>
  </w:style>
  <w:style w:type="character" w:styleId="Wyrnienieintensywne">
    <w:name w:val="Intense Emphasis"/>
    <w:uiPriority w:val="21"/>
    <w:qFormat/>
    <w:rsid w:val="00370D24"/>
    <w:rPr>
      <w:b/>
      <w:bCs/>
      <w:i/>
      <w:iCs/>
      <w:color w:val="4F81BD"/>
    </w:rPr>
  </w:style>
  <w:style w:type="paragraph" w:customStyle="1" w:styleId="PKTpunkt">
    <w:name w:val="PKT – punkt"/>
    <w:uiPriority w:val="16"/>
    <w:qFormat/>
    <w:rsid w:val="0091686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1Znak">
    <w:name w:val="Nagłówek 1 Znak"/>
    <w:link w:val="Nagwek1"/>
    <w:rsid w:val="008C68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A530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0C4A1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4A1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5693-6129-4CAA-948B-32B6426CD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D77FD-A6F3-4EB1-AD48-DB56182D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3077</Words>
  <Characters>18466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adach</dc:creator>
  <cp:keywords/>
  <cp:lastModifiedBy>Bochenek Bartosz</cp:lastModifiedBy>
  <cp:revision>3</cp:revision>
  <cp:lastPrinted>2021-10-18T08:08:00Z</cp:lastPrinted>
  <dcterms:created xsi:type="dcterms:W3CDTF">2021-11-05T16:50:00Z</dcterms:created>
  <dcterms:modified xsi:type="dcterms:W3CDTF">2021-11-05T16:50:00Z</dcterms:modified>
</cp:coreProperties>
</file>