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AB33A5D" w14:textId="16729A5E" w:rsidR="004455D8" w:rsidRPr="004455D8" w:rsidRDefault="004455D8" w:rsidP="004455D8">
      <w:pPr>
        <w:jc w:val="right"/>
        <w:rPr>
          <w:rFonts w:cs="Times New Roman"/>
          <w:bCs/>
          <w:sz w:val="22"/>
          <w:szCs w:val="22"/>
        </w:rPr>
      </w:pPr>
      <w:r w:rsidRPr="004455D8">
        <w:rPr>
          <w:rFonts w:cs="Times New Roman"/>
          <w:bCs/>
          <w:sz w:val="22"/>
          <w:szCs w:val="22"/>
        </w:rPr>
        <w:t>Projekt z dnia</w:t>
      </w:r>
      <w:r w:rsidR="00D66003">
        <w:rPr>
          <w:rFonts w:cs="Times New Roman"/>
          <w:bCs/>
          <w:sz w:val="22"/>
          <w:szCs w:val="22"/>
        </w:rPr>
        <w:t xml:space="preserve"> 1</w:t>
      </w:r>
      <w:r w:rsidR="00AA00E6">
        <w:rPr>
          <w:rFonts w:cs="Times New Roman"/>
          <w:bCs/>
          <w:sz w:val="22"/>
          <w:szCs w:val="22"/>
        </w:rPr>
        <w:t>7</w:t>
      </w:r>
      <w:r w:rsidR="00D66003">
        <w:rPr>
          <w:rFonts w:cs="Times New Roman"/>
          <w:bCs/>
          <w:sz w:val="22"/>
          <w:szCs w:val="22"/>
        </w:rPr>
        <w:t>.11.2021 r.</w:t>
      </w:r>
    </w:p>
    <w:p w14:paraId="1C5015C0" w14:textId="77777777" w:rsidR="004455D8" w:rsidRPr="004455D8" w:rsidRDefault="004455D8" w:rsidP="004455D8">
      <w:pPr>
        <w:jc w:val="right"/>
        <w:rPr>
          <w:rFonts w:cs="Times New Roman"/>
          <w:bCs/>
        </w:rPr>
      </w:pPr>
    </w:p>
    <w:p w14:paraId="5D62AAB0" w14:textId="0561D082" w:rsidR="004455D8" w:rsidRDefault="006C688B" w:rsidP="006C688B">
      <w:pPr>
        <w:jc w:val="center"/>
        <w:rPr>
          <w:rFonts w:cs="Times New Roman"/>
          <w:b/>
          <w:szCs w:val="24"/>
        </w:rPr>
      </w:pPr>
      <w:r>
        <w:rPr>
          <w:rFonts w:cs="Times New Roman"/>
          <w:b/>
          <w:szCs w:val="24"/>
        </w:rPr>
        <w:t>UZASADNIENIE</w:t>
      </w:r>
    </w:p>
    <w:p w14:paraId="02800C3A" w14:textId="77777777" w:rsidR="006C688B" w:rsidRPr="006C688B" w:rsidRDefault="006C688B" w:rsidP="006C688B">
      <w:pPr>
        <w:jc w:val="center"/>
        <w:rPr>
          <w:rFonts w:cs="Times New Roman"/>
          <w:b/>
          <w:szCs w:val="24"/>
        </w:rPr>
      </w:pPr>
    </w:p>
    <w:p w14:paraId="2D3B0E49" w14:textId="77777777" w:rsidR="004455D8" w:rsidRDefault="004455D8" w:rsidP="006C688B">
      <w:pPr>
        <w:spacing w:after="120"/>
        <w:ind w:firstLine="708"/>
        <w:jc w:val="both"/>
        <w:rPr>
          <w:rFonts w:cs="Times New Roman"/>
        </w:rPr>
      </w:pPr>
      <w:r>
        <w:rPr>
          <w:rFonts w:cs="Times New Roman"/>
        </w:rPr>
        <w:t>Zarówno prawo UE, jak również prawo krajowe nakazuje przedsiębiorstwom energetycznym udzielać rzetelnej informacji na temat cen i stawek opłat stosowanych w taryfach na sprzedaż i dystrybucję energię elektrycznej, w tym przede wszystkim konsumentom, czyli odbiorcom energii elektrycznej w gospodarstwach domowych.</w:t>
      </w:r>
    </w:p>
    <w:p w14:paraId="3258B94E" w14:textId="14358A76" w:rsidR="004455D8" w:rsidRDefault="004455D8" w:rsidP="006C688B">
      <w:pPr>
        <w:spacing w:after="12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W szczególności ten obowiązek informacyjny jest istotny w przypadku planowanych podwyżek cen i stawek opłat za energię elektryczną. Takie regulacje zawierają przepisy </w:t>
      </w:r>
      <w:r>
        <w:rPr>
          <w:rFonts w:cs="Times New Roman"/>
        </w:rPr>
        <w:br/>
        <w:t>w zakresie szeroko pojętej ochrony konsumenta (przepisy ogólne) oraz przepisy dotyczące regulacji sektora energetycznego, czyli głównie ustawa – Prawo energetyczne wraz z aktami wykonawczymi.</w:t>
      </w:r>
    </w:p>
    <w:p w14:paraId="10C9BE21" w14:textId="10E1FE67" w:rsidR="004455D8" w:rsidRPr="002D3A8D" w:rsidRDefault="004455D8" w:rsidP="006C688B">
      <w:pPr>
        <w:spacing w:after="120"/>
        <w:ind w:firstLine="708"/>
        <w:jc w:val="both"/>
        <w:rPr>
          <w:rFonts w:cs="Times New Roman"/>
          <w:i/>
        </w:rPr>
      </w:pPr>
      <w:r>
        <w:rPr>
          <w:rFonts w:cs="Times New Roman"/>
        </w:rPr>
        <w:t xml:space="preserve">Zgodnie z art. 5 ust. 6 ustawy </w:t>
      </w:r>
      <w:r w:rsidR="006F1258">
        <w:t xml:space="preserve">z dnia 10 kwietnia 1997 r. </w:t>
      </w:r>
      <w:r w:rsidR="006F1258" w:rsidRPr="004E21C9">
        <w:t>– Prawo energetyczne</w:t>
      </w:r>
      <w:r w:rsidR="006F1258">
        <w:t xml:space="preserve"> (Dz. U. z 2021 r. poz. 716 ze zm.)</w:t>
      </w:r>
      <w:r>
        <w:rPr>
          <w:rFonts w:cs="Times New Roman"/>
        </w:rPr>
        <w:t xml:space="preserve">, </w:t>
      </w:r>
      <w:r w:rsidRPr="002D3A8D">
        <w:rPr>
          <w:rFonts w:cs="Times New Roman"/>
          <w:i/>
        </w:rPr>
        <w:t>sprzedawca paliw gazowych lub energii powinien powiadomić odbiorców, w sposób przejrzysty i zrozumiały, o podwyżce cen lub stawek opłat za dostarczane paliwa gazowe lub energię określonych w zatwierdzonych taryfach, w ciągu jednego okresu rozliczeniowego od dnia tej podwyżki.</w:t>
      </w:r>
    </w:p>
    <w:p w14:paraId="4763BCA4" w14:textId="546A0233" w:rsidR="004455D8" w:rsidRDefault="005D0565" w:rsidP="006C688B">
      <w:pPr>
        <w:spacing w:after="120"/>
        <w:jc w:val="both"/>
        <w:rPr>
          <w:rFonts w:cs="Times New Roman"/>
        </w:rPr>
      </w:pPr>
      <w:r>
        <w:rPr>
          <w:rFonts w:cs="Times New Roman"/>
        </w:rPr>
        <w:tab/>
      </w:r>
      <w:r w:rsidR="004455D8">
        <w:rPr>
          <w:rFonts w:cs="Times New Roman"/>
        </w:rPr>
        <w:t xml:space="preserve">Należy wskazać, że decyzje Prezesa Urzędu Regulacji Energetyki zatwierdzające taryfy wraz z załącznikami, które podlegają publikacji i stanowią informację publiczną, </w:t>
      </w:r>
      <w:r w:rsidR="004455D8">
        <w:rPr>
          <w:rFonts w:cs="Times New Roman"/>
        </w:rPr>
        <w:br/>
        <w:t xml:space="preserve">w szczególności taryfy dla energii elektrycznej dla obiorców w grupach taryfowych G, nie zawierają szczegółowych kalkulacji przyjętej i zatwierdzonej w taryfie ceny energii elektrycznej. Odbiorcy energii elektrycznej powinni być powiadomieni w sposób przejrzysty </w:t>
      </w:r>
      <w:r w:rsidR="004455D8">
        <w:rPr>
          <w:rFonts w:cs="Times New Roman"/>
        </w:rPr>
        <w:br/>
        <w:t xml:space="preserve">i zrozumiały o podwyżce cen lub stawek opłat za dostarczaną energię elektryczną, które zostały zatwierdzone w decyzji taryfowej. </w:t>
      </w:r>
      <w:r w:rsidR="00262DF3">
        <w:rPr>
          <w:rFonts w:cs="Times New Roman"/>
        </w:rPr>
        <w:t>Dodatkowo, p</w:t>
      </w:r>
      <w:r w:rsidR="004455D8">
        <w:rPr>
          <w:rFonts w:cs="Times New Roman"/>
        </w:rPr>
        <w:t xml:space="preserve">rzepisy ustawy – Prawo energetyczne oraz </w:t>
      </w:r>
      <w:bookmarkStart w:id="0" w:name="_Hlk87612260"/>
      <w:r w:rsidR="006F1258">
        <w:rPr>
          <w:rFonts w:cs="Times New Roman"/>
        </w:rPr>
        <w:t xml:space="preserve">rozporządzenia </w:t>
      </w:r>
      <w:r w:rsidR="006F1258" w:rsidRPr="00D57A17">
        <w:t>Ministra Energii z dnia 6 marca 2019 r. w sprawie szczegółowych zasad kształtowania i kalkulacji taryf oraz rozliczeń w obrocie energią elektryczną (Dz. U. z 2019 r. poz. 503</w:t>
      </w:r>
      <w:bookmarkEnd w:id="0"/>
      <w:r w:rsidR="006F1258" w:rsidRPr="00D57A17">
        <w:t xml:space="preserve"> oraz z 2020 r. poz. 2053) (dalej „rozporządzenie taryfowe”)</w:t>
      </w:r>
      <w:r w:rsidR="006F1258">
        <w:t xml:space="preserve"> </w:t>
      </w:r>
      <w:r w:rsidR="004455D8">
        <w:rPr>
          <w:rFonts w:cs="Times New Roman"/>
        </w:rPr>
        <w:t>nie wskazują, co do zasady, jakie informacje i dane powinny się znaleźć na fakturze z tytułu sprzedaży i dystrybucji energii elektrycznej. Dlatego, konieczne jest doszczegółowienie w dodawanym przepisie rozporządzenia taryfowego, obowiązku wskazania przez przedsiębiorstwo energetyczne informacji o strukturze</w:t>
      </w:r>
      <w:r w:rsidR="004455D8" w:rsidRPr="00245389">
        <w:rPr>
          <w:rFonts w:cs="Times New Roman"/>
        </w:rPr>
        <w:t xml:space="preserve"> kosztów uzasadnionyc</w:t>
      </w:r>
      <w:r w:rsidR="004455D8">
        <w:rPr>
          <w:rFonts w:cs="Times New Roman"/>
        </w:rPr>
        <w:t xml:space="preserve">h zakupu energii elektrycznej na fakturze </w:t>
      </w:r>
      <w:r w:rsidR="004455D8">
        <w:rPr>
          <w:rFonts w:cs="Times New Roman"/>
        </w:rPr>
        <w:lastRenderedPageBreak/>
        <w:t>wystawianej i doręczanej w kolejnym okresie rozliczeniowym po wejściu w życie nowej taryfy.</w:t>
      </w:r>
    </w:p>
    <w:p w14:paraId="5848B66B" w14:textId="77777777" w:rsidR="004455D8" w:rsidRDefault="004455D8" w:rsidP="006C688B">
      <w:pPr>
        <w:spacing w:after="120"/>
        <w:ind w:firstLine="708"/>
        <w:jc w:val="both"/>
        <w:rPr>
          <w:rFonts w:cs="Times New Roman"/>
        </w:rPr>
      </w:pPr>
      <w:r>
        <w:rPr>
          <w:rFonts w:cs="Times New Roman"/>
        </w:rPr>
        <w:t xml:space="preserve">Należy także zauważyć, że zgodnie z art. 5 ust. 6a ustawy – Prawo energetyczne, </w:t>
      </w:r>
      <w:r w:rsidRPr="005F5C10">
        <w:rPr>
          <w:rFonts w:cs="Times New Roman"/>
          <w:i/>
        </w:rPr>
        <w:t xml:space="preserve">sprzedawca energii elektrycznej informuje swoich odbiorców o strukturze paliw zużytych lub innych nośników energii służących do wytworzenia energii elektrycznej sprzedanej przez niego </w:t>
      </w:r>
      <w:r>
        <w:rPr>
          <w:rFonts w:cs="Times New Roman"/>
          <w:i/>
        </w:rPr>
        <w:br/>
      </w:r>
      <w:r w:rsidRPr="005F5C10">
        <w:rPr>
          <w:rFonts w:cs="Times New Roman"/>
          <w:i/>
        </w:rPr>
        <w:t xml:space="preserve">w poprzednim roku kalendarzowym oraz o miejscu, w którym są dostępne informacje o wpływie </w:t>
      </w:r>
      <w:r w:rsidRPr="00B85109">
        <w:rPr>
          <w:rFonts w:cs="Times New Roman"/>
          <w:i/>
        </w:rPr>
        <w:t xml:space="preserve">wytwarzania tej energii na środowisko, co najmniej w zakresie emisji dwutlenku węgla </w:t>
      </w:r>
      <w:r w:rsidRPr="00B85109">
        <w:rPr>
          <w:rFonts w:cs="Times New Roman"/>
          <w:i/>
        </w:rPr>
        <w:br/>
        <w:t>i radioaktywnych odpadów</w:t>
      </w:r>
      <w:r w:rsidRPr="002D3A8D">
        <w:rPr>
          <w:rFonts w:cs="Times New Roman"/>
        </w:rPr>
        <w:t>.</w:t>
      </w:r>
      <w:r>
        <w:rPr>
          <w:rFonts w:cs="Times New Roman"/>
        </w:rPr>
        <w:t xml:space="preserve"> Te dane są wskazywane przez przedsiębiorstwo i odbiorca energii ma do nich dostęp. Tym nie mniej, dla konsumentów szczególnie istotną jest informacja </w:t>
      </w:r>
      <w:r>
        <w:rPr>
          <w:rFonts w:cs="Times New Roman"/>
        </w:rPr>
        <w:br/>
        <w:t>o strukturze kosztów, które wpływają na końcową cenę energii elektrycznej.</w:t>
      </w:r>
    </w:p>
    <w:p w14:paraId="507CBD77" w14:textId="66AD6CE7" w:rsidR="00C243C6" w:rsidRPr="00C243C6" w:rsidRDefault="00C243C6" w:rsidP="006C688B">
      <w:pPr>
        <w:widowControl/>
        <w:suppressAutoHyphens/>
        <w:ind w:firstLine="708"/>
        <w:jc w:val="both"/>
        <w:rPr>
          <w:rFonts w:cs="Times New Roman"/>
          <w:bCs/>
          <w:szCs w:val="24"/>
        </w:rPr>
      </w:pPr>
      <w:r w:rsidRPr="00C243C6">
        <w:rPr>
          <w:rFonts w:cs="Times New Roman"/>
          <w:bCs/>
          <w:szCs w:val="24"/>
        </w:rPr>
        <w:t>Projekt rozporządzenia jest zgodny z prawem Unii Europejskiej</w:t>
      </w:r>
      <w:r w:rsidR="0073039F">
        <w:rPr>
          <w:rFonts w:cs="Times New Roman"/>
          <w:bCs/>
          <w:szCs w:val="24"/>
        </w:rPr>
        <w:t>.</w:t>
      </w:r>
      <w:r w:rsidRPr="00C243C6">
        <w:rPr>
          <w:rFonts w:cs="Times New Roman"/>
          <w:bCs/>
          <w:szCs w:val="24"/>
        </w:rPr>
        <w:t xml:space="preserve"> </w:t>
      </w:r>
    </w:p>
    <w:p w14:paraId="5C7D6AF3" w14:textId="4741CE3C" w:rsidR="00C243C6" w:rsidRPr="00C243C6" w:rsidRDefault="00C243C6" w:rsidP="006F1258">
      <w:pPr>
        <w:widowControl/>
        <w:suppressAutoHyphens/>
        <w:ind w:firstLine="708"/>
        <w:jc w:val="both"/>
        <w:rPr>
          <w:rFonts w:cs="Times New Roman"/>
          <w:bCs/>
          <w:szCs w:val="24"/>
        </w:rPr>
      </w:pPr>
      <w:r w:rsidRPr="00C243C6">
        <w:rPr>
          <w:rFonts w:cs="Times New Roman"/>
          <w:bCs/>
          <w:szCs w:val="24"/>
        </w:rPr>
        <w:t>Projekt rozporządzenia nie podlega procedurze notyfikacji aktów prawnych, określonej w przepisach rozporządzenia Rady Ministrów z dnia 23 grudnia 2002 r. w sprawie sposobu funkcjonowania krajowego systemu notyfikacji norm i aktów prawnych (Dz. U. poz. 2039, z późn. zm.).</w:t>
      </w:r>
    </w:p>
    <w:p w14:paraId="527CDB9F" w14:textId="6C00DDE4" w:rsidR="00C243C6" w:rsidRPr="00C243C6" w:rsidRDefault="00C243C6" w:rsidP="006F1258">
      <w:pPr>
        <w:widowControl/>
        <w:suppressAutoHyphens/>
        <w:ind w:firstLine="708"/>
        <w:jc w:val="both"/>
        <w:rPr>
          <w:rFonts w:cs="Times New Roman"/>
          <w:bCs/>
          <w:szCs w:val="24"/>
        </w:rPr>
      </w:pPr>
      <w:r w:rsidRPr="00C243C6">
        <w:rPr>
          <w:rFonts w:cs="Times New Roman"/>
          <w:bCs/>
          <w:szCs w:val="24"/>
        </w:rPr>
        <w:t>Projekt rozporządzenia nie wymaga przedstawienia właściwym instytucjom i organom Unii Europejskiej, w tym Europejskiemu Bankowi Centralnemu, celem uzyskania opinii, dokonania powiadomienia, konsultacji albo uzgodnienia projektu.</w:t>
      </w:r>
    </w:p>
    <w:p w14:paraId="22E28CCD" w14:textId="0D110F8F" w:rsidR="00C243C6" w:rsidRPr="00C243C6" w:rsidRDefault="00C243C6" w:rsidP="006F1258">
      <w:pPr>
        <w:widowControl/>
        <w:suppressAutoHyphens/>
        <w:ind w:firstLine="708"/>
        <w:jc w:val="both"/>
        <w:rPr>
          <w:rFonts w:cs="Times New Roman"/>
          <w:szCs w:val="24"/>
        </w:rPr>
      </w:pPr>
      <w:r w:rsidRPr="00C243C6">
        <w:rPr>
          <w:rFonts w:cs="Times New Roman"/>
          <w:szCs w:val="24"/>
        </w:rPr>
        <w:t>Projektowan</w:t>
      </w:r>
      <w:r>
        <w:rPr>
          <w:rFonts w:cs="Times New Roman"/>
          <w:szCs w:val="24"/>
        </w:rPr>
        <w:t>e</w:t>
      </w:r>
      <w:r w:rsidRPr="00C243C6">
        <w:rPr>
          <w:rFonts w:cs="Times New Roman"/>
          <w:szCs w:val="24"/>
        </w:rPr>
        <w:t xml:space="preserve"> rozporządzenie wchodzi w życie </w:t>
      </w:r>
      <w:r w:rsidRPr="00173F59">
        <w:rPr>
          <w:shd w:val="clear" w:color="auto" w:fill="FFFFFF"/>
        </w:rPr>
        <w:t>z dniem następującym po dniu ogłoszenia</w:t>
      </w:r>
      <w:r w:rsidR="0073039F" w:rsidRPr="0073039F">
        <w:rPr>
          <w:rFonts w:cs="Times New Roman"/>
          <w:szCs w:val="24"/>
        </w:rPr>
        <w:t xml:space="preserve">. </w:t>
      </w:r>
      <w:bookmarkStart w:id="1" w:name="_Hlk88135369"/>
      <w:r w:rsidR="006B0537">
        <w:rPr>
          <w:rFonts w:cs="Times New Roman"/>
          <w:szCs w:val="24"/>
        </w:rPr>
        <w:t xml:space="preserve">Zgodnie z art. 46 ust. 4 pkt 7 ustawy </w:t>
      </w:r>
      <w:r w:rsidR="006B0537">
        <w:t xml:space="preserve">z dnia 10 kwietnia 1997 r. </w:t>
      </w:r>
      <w:r w:rsidR="006B0537">
        <w:rPr>
          <w:rFonts w:cs="Times New Roman"/>
          <w:szCs w:val="24"/>
        </w:rPr>
        <w:t xml:space="preserve">– Prawo energetyczne, rozporządzenie powinno określać sposób prowadzenia rozliczeń z odbiorcami końcowymi, stąd </w:t>
      </w:r>
      <w:r w:rsidR="006B0537">
        <w:rPr>
          <w:rFonts w:cs="Times New Roman"/>
          <w:szCs w:val="24"/>
        </w:rPr>
        <w:t>skrócone</w:t>
      </w:r>
      <w:r w:rsidR="006B0537" w:rsidRPr="00346D57">
        <w:rPr>
          <w:rFonts w:cs="Times New Roman"/>
          <w:szCs w:val="24"/>
        </w:rPr>
        <w:t xml:space="preserve"> </w:t>
      </w:r>
      <w:r w:rsidR="006B0537" w:rsidRPr="006B0537">
        <w:rPr>
          <w:rFonts w:cs="Times New Roman"/>
          <w:i/>
          <w:iCs/>
          <w:szCs w:val="24"/>
        </w:rPr>
        <w:t>vacatio legis</w:t>
      </w:r>
      <w:r w:rsidR="006B0537" w:rsidRPr="00346D57">
        <w:rPr>
          <w:rFonts w:cs="Times New Roman"/>
          <w:szCs w:val="24"/>
        </w:rPr>
        <w:t xml:space="preserve"> </w:t>
      </w:r>
      <w:r w:rsidR="006B0537">
        <w:rPr>
          <w:rFonts w:cs="Times New Roman"/>
          <w:szCs w:val="24"/>
        </w:rPr>
        <w:t xml:space="preserve">wynika z konieczności pilnego doprecyzowania obowiązującej regulacji. </w:t>
      </w:r>
      <w:r w:rsidR="006B0537">
        <w:rPr>
          <w:rFonts w:cs="Times New Roman"/>
          <w:szCs w:val="24"/>
        </w:rPr>
        <w:t>Krótki termin</w:t>
      </w:r>
      <w:r w:rsidR="006B0537">
        <w:rPr>
          <w:rFonts w:cs="Times New Roman"/>
          <w:szCs w:val="24"/>
        </w:rPr>
        <w:t xml:space="preserve"> wejścia w życie niniejszego rozporządzenia </w:t>
      </w:r>
      <w:r w:rsidR="006B0537" w:rsidRPr="00346D57">
        <w:rPr>
          <w:rFonts w:cs="Times New Roman"/>
          <w:szCs w:val="24"/>
        </w:rPr>
        <w:t xml:space="preserve">wpłynie pozytywnie na sytuację </w:t>
      </w:r>
      <w:r w:rsidR="006B0537">
        <w:rPr>
          <w:rFonts w:cs="Times New Roman"/>
          <w:szCs w:val="24"/>
        </w:rPr>
        <w:t>odbiorców końcowych,</w:t>
      </w:r>
      <w:r w:rsidR="006B0537" w:rsidRPr="00346D57">
        <w:rPr>
          <w:rFonts w:cs="Times New Roman"/>
          <w:szCs w:val="24"/>
        </w:rPr>
        <w:t xml:space="preserve"> </w:t>
      </w:r>
      <w:r w:rsidR="006B0537">
        <w:rPr>
          <w:rFonts w:cs="Times New Roman"/>
          <w:szCs w:val="24"/>
        </w:rPr>
        <w:t xml:space="preserve">poprzez zapewnienie im </w:t>
      </w:r>
      <w:r w:rsidR="006B0537">
        <w:rPr>
          <w:rFonts w:cs="Times New Roman"/>
          <w:szCs w:val="24"/>
        </w:rPr>
        <w:t>niezwłoczn</w:t>
      </w:r>
      <w:r w:rsidR="006B0537">
        <w:rPr>
          <w:rFonts w:cs="Times New Roman"/>
          <w:szCs w:val="24"/>
        </w:rPr>
        <w:t>ie</w:t>
      </w:r>
      <w:r w:rsidR="006B0537">
        <w:rPr>
          <w:rFonts w:cs="Times New Roman"/>
          <w:szCs w:val="24"/>
        </w:rPr>
        <w:t xml:space="preserve"> dostęp</w:t>
      </w:r>
      <w:r w:rsidR="006B0537">
        <w:rPr>
          <w:rFonts w:cs="Times New Roman"/>
          <w:szCs w:val="24"/>
        </w:rPr>
        <w:t>u</w:t>
      </w:r>
      <w:r w:rsidR="006B0537">
        <w:rPr>
          <w:rFonts w:cs="Times New Roman"/>
          <w:szCs w:val="24"/>
        </w:rPr>
        <w:t xml:space="preserve"> do niezbędnych informacji o strukturze kosztów, które wpływają na końcową cenę energii elektrycznej uiszczaną przez </w:t>
      </w:r>
      <w:r w:rsidR="006B0537">
        <w:rPr>
          <w:rFonts w:cs="Times New Roman"/>
          <w:szCs w:val="24"/>
        </w:rPr>
        <w:t xml:space="preserve">tych </w:t>
      </w:r>
      <w:r w:rsidR="006B0537">
        <w:rPr>
          <w:rFonts w:cs="Times New Roman"/>
          <w:szCs w:val="24"/>
        </w:rPr>
        <w:t>odbiorców.</w:t>
      </w:r>
    </w:p>
    <w:bookmarkEnd w:id="1"/>
    <w:p w14:paraId="68404D57" w14:textId="77777777" w:rsidR="00C243C6" w:rsidRPr="00C243C6" w:rsidRDefault="00C243C6" w:rsidP="006F1258">
      <w:pPr>
        <w:widowControl/>
        <w:suppressAutoHyphens/>
        <w:ind w:firstLine="708"/>
        <w:jc w:val="both"/>
        <w:rPr>
          <w:rFonts w:cs="Times New Roman"/>
          <w:bCs/>
          <w:szCs w:val="24"/>
        </w:rPr>
      </w:pPr>
      <w:r w:rsidRPr="00C243C6">
        <w:rPr>
          <w:rFonts w:cs="Times New Roman"/>
          <w:bCs/>
          <w:szCs w:val="24"/>
        </w:rPr>
        <w:t>Projekt przedmiotowej regulacji, zgodnie z wymogami określonymi w art. 5  ustawy z dnia 7 lipca 2005 o działalności lobbingowej w procesie stosowania prawa (Dz. U. z 2017 r. poz. 248), zostanie udostępniony w Biuletynie Informacji Publicznej na stronie podmiotowej Rządowego Centrum Legislacji, w serwisie Rządowy Proces Legislacyjny.</w:t>
      </w:r>
    </w:p>
    <w:p w14:paraId="7D90DEFC" w14:textId="5CEE7E18" w:rsidR="00BB6A89" w:rsidRDefault="00BB6A89" w:rsidP="006C688B"/>
    <w:sectPr w:rsidR="00BB6A89" w:rsidSect="001A7F15">
      <w:headerReference w:type="default" r:id="rId6"/>
      <w:footnotePr>
        <w:numRestart w:val="eachSect"/>
      </w:footnotePr>
      <w:pgSz w:w="11906" w:h="16838"/>
      <w:pgMar w:top="1560" w:right="1434" w:bottom="1560" w:left="1418" w:header="709" w:footer="709" w:gutter="0"/>
      <w:cols w:space="708"/>
      <w:titlePg/>
      <w:docGrid w:linePitch="254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47D44AA" w14:textId="77777777" w:rsidR="001D4F18" w:rsidRDefault="001D4F18">
      <w:pPr>
        <w:spacing w:line="240" w:lineRule="auto"/>
      </w:pPr>
      <w:r>
        <w:separator/>
      </w:r>
    </w:p>
  </w:endnote>
  <w:endnote w:type="continuationSeparator" w:id="0">
    <w:p w14:paraId="16B98134" w14:textId="77777777" w:rsidR="001D4F18" w:rsidRDefault="001D4F1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DC9474B" w14:textId="77777777" w:rsidR="001D4F18" w:rsidRDefault="001D4F18">
      <w:pPr>
        <w:spacing w:line="240" w:lineRule="auto"/>
      </w:pPr>
      <w:r>
        <w:separator/>
      </w:r>
    </w:p>
  </w:footnote>
  <w:footnote w:type="continuationSeparator" w:id="0">
    <w:p w14:paraId="67306B64" w14:textId="77777777" w:rsidR="001D4F18" w:rsidRDefault="001D4F18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A69543" w14:textId="77777777" w:rsidR="00DB4683" w:rsidRPr="00B371CC" w:rsidRDefault="004455D8" w:rsidP="00B371CC">
    <w:pPr>
      <w:pStyle w:val="Nagwek"/>
      <w:jc w:val="center"/>
    </w:pPr>
    <w:r>
      <w:t xml:space="preserve">– </w:t>
    </w:r>
    <w:r>
      <w:fldChar w:fldCharType="begin"/>
    </w:r>
    <w:r>
      <w:instrText xml:space="preserve"> PAGE  \* MERGEFORMAT </w:instrText>
    </w:r>
    <w:r>
      <w:fldChar w:fldCharType="separate"/>
    </w:r>
    <w:r>
      <w:rPr>
        <w:noProof/>
      </w:rPr>
      <w:t>2</w:t>
    </w:r>
    <w:r>
      <w:rPr>
        <w:noProof/>
      </w:rPr>
      <w:fldChar w:fldCharType="end"/>
    </w:r>
    <w:r>
      <w:t xml:space="preserve"> –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455D8"/>
    <w:rsid w:val="00027C60"/>
    <w:rsid w:val="00096C5F"/>
    <w:rsid w:val="00184130"/>
    <w:rsid w:val="001D4F18"/>
    <w:rsid w:val="00262DF3"/>
    <w:rsid w:val="002D767A"/>
    <w:rsid w:val="003475AA"/>
    <w:rsid w:val="00370847"/>
    <w:rsid w:val="004455D8"/>
    <w:rsid w:val="00522FBE"/>
    <w:rsid w:val="005D0565"/>
    <w:rsid w:val="0063396A"/>
    <w:rsid w:val="006B0537"/>
    <w:rsid w:val="006C688B"/>
    <w:rsid w:val="006F1258"/>
    <w:rsid w:val="0073039F"/>
    <w:rsid w:val="00750C52"/>
    <w:rsid w:val="00A81CD8"/>
    <w:rsid w:val="00AA00E6"/>
    <w:rsid w:val="00AE1C40"/>
    <w:rsid w:val="00BB6A89"/>
    <w:rsid w:val="00C243C6"/>
    <w:rsid w:val="00D660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0620F8"/>
  <w15:chartTrackingRefBased/>
  <w15:docId w15:val="{A4C30CE7-4C3A-471D-AFD7-90A72FBB3F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455D8"/>
    <w:pPr>
      <w:widowControl w:val="0"/>
      <w:autoSpaceDE w:val="0"/>
      <w:autoSpaceDN w:val="0"/>
      <w:adjustRightInd w:val="0"/>
      <w:spacing w:after="0" w:line="36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semiHidden/>
    <w:rsid w:val="004455D8"/>
    <w:pPr>
      <w:tabs>
        <w:tab w:val="center" w:pos="4536"/>
        <w:tab w:val="right" w:pos="9072"/>
      </w:tabs>
      <w:suppressAutoHyphens/>
      <w:autoSpaceDE/>
      <w:autoSpaceDN/>
      <w:adjustRightInd/>
    </w:pPr>
    <w:rPr>
      <w:rFonts w:ascii="Times" w:eastAsia="Times New Roman" w:hAnsi="Times" w:cs="Times New Roman"/>
      <w:kern w:val="1"/>
      <w:szCs w:val="24"/>
      <w:lang w:eastAsia="ar-SA"/>
    </w:rPr>
  </w:style>
  <w:style w:type="character" w:customStyle="1" w:styleId="NagwekZnak">
    <w:name w:val="Nagłówek Znak"/>
    <w:basedOn w:val="Domylnaczcionkaakapitu"/>
    <w:link w:val="Nagwek"/>
    <w:uiPriority w:val="99"/>
    <w:semiHidden/>
    <w:rsid w:val="004455D8"/>
    <w:rPr>
      <w:rFonts w:ascii="Times" w:eastAsia="Times New Roman" w:hAnsi="Times" w:cs="Times New Roman"/>
      <w:kern w:val="1"/>
      <w:sz w:val="24"/>
      <w:szCs w:val="24"/>
      <w:lang w:eastAsia="ar-SA"/>
    </w:rPr>
  </w:style>
  <w:style w:type="paragraph" w:styleId="Poprawka">
    <w:name w:val="Revision"/>
    <w:hidden/>
    <w:uiPriority w:val="99"/>
    <w:semiHidden/>
    <w:rsid w:val="00C243C6"/>
    <w:pPr>
      <w:spacing w:after="0" w:line="240" w:lineRule="auto"/>
    </w:pPr>
    <w:rPr>
      <w:rFonts w:ascii="Times New Roman" w:eastAsiaTheme="minorEastAsia" w:hAnsi="Times New Roman" w:cs="Arial"/>
      <w:sz w:val="24"/>
      <w:szCs w:val="20"/>
      <w:lang w:eastAsia="pl-PL"/>
    </w:rPr>
  </w:style>
  <w:style w:type="paragraph" w:styleId="Tekstkomentarza">
    <w:name w:val="annotation text"/>
    <w:basedOn w:val="Normalny"/>
    <w:link w:val="TekstkomentarzaZnak"/>
    <w:uiPriority w:val="99"/>
    <w:unhideWhenUsed/>
    <w:rsid w:val="00C243C6"/>
    <w:pPr>
      <w:spacing w:line="240" w:lineRule="auto"/>
    </w:pPr>
    <w:rPr>
      <w:sz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rsid w:val="00C243C6"/>
    <w:rPr>
      <w:rFonts w:ascii="Times New Roman" w:eastAsiaTheme="minorEastAsia" w:hAnsi="Times New Roman" w:cs="Arial"/>
      <w:sz w:val="20"/>
      <w:szCs w:val="20"/>
      <w:lang w:eastAsia="pl-PL"/>
    </w:rPr>
  </w:style>
  <w:style w:type="character" w:styleId="Odwoaniedokomentarza">
    <w:name w:val="annotation reference"/>
    <w:basedOn w:val="Domylnaczcionkaakapitu"/>
    <w:uiPriority w:val="99"/>
    <w:semiHidden/>
    <w:rsid w:val="00C243C6"/>
    <w:rPr>
      <w:sz w:val="16"/>
      <w:szCs w:val="16"/>
    </w:rPr>
  </w:style>
  <w:style w:type="character" w:styleId="Hipercze">
    <w:name w:val="Hyperlink"/>
    <w:uiPriority w:val="99"/>
    <w:semiHidden/>
    <w:unhideWhenUsed/>
    <w:rsid w:val="00C243C6"/>
    <w:rPr>
      <w:color w:val="0000FF"/>
      <w:u w:val="single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3C6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3C6"/>
    <w:rPr>
      <w:rFonts w:ascii="Times New Roman" w:eastAsiaTheme="minorEastAsia" w:hAnsi="Times New Roman" w:cs="Arial"/>
      <w:b/>
      <w:bCs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667</Words>
  <Characters>4005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OLENDER Anna</dc:creator>
  <cp:keywords/>
  <dc:description/>
  <cp:lastModifiedBy>Florkiewicz Ewa</cp:lastModifiedBy>
  <cp:revision>7</cp:revision>
  <dcterms:created xsi:type="dcterms:W3CDTF">2021-11-17T15:30:00Z</dcterms:created>
  <dcterms:modified xsi:type="dcterms:W3CDTF">2021-11-18T12:43:00Z</dcterms:modified>
</cp:coreProperties>
</file>