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60" w:rsidRPr="00EE7D49" w:rsidRDefault="000E2D55" w:rsidP="000E2D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7D49">
        <w:rPr>
          <w:rFonts w:ascii="Arial" w:hAnsi="Arial" w:cs="Arial"/>
          <w:b/>
          <w:sz w:val="24"/>
          <w:szCs w:val="24"/>
        </w:rPr>
        <w:t>UZASADNIENIE</w:t>
      </w:r>
    </w:p>
    <w:p w:rsidR="009D76DE" w:rsidRPr="00C65737" w:rsidRDefault="00DB3D4B" w:rsidP="00D63C90">
      <w:pPr>
        <w:ind w:firstLine="539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Potrzeba </w:t>
      </w:r>
      <w:bookmarkStart w:id="1" w:name="_Hlk81563434"/>
      <w:r w:rsidRPr="00C65737">
        <w:rPr>
          <w:rFonts w:ascii="Arial" w:hAnsi="Arial" w:cs="Arial"/>
        </w:rPr>
        <w:t>nowelizacji rozporządzenia Ministra Spraw Wewnętrznych i</w:t>
      </w:r>
      <w:r w:rsidR="009D76DE" w:rsidRPr="00C65737">
        <w:rPr>
          <w:rFonts w:ascii="Arial" w:hAnsi="Arial" w:cs="Arial"/>
        </w:rPr>
        <w:t> </w:t>
      </w:r>
      <w:r w:rsidR="00A27C1E" w:rsidRPr="00C65737">
        <w:rPr>
          <w:rFonts w:ascii="Arial" w:hAnsi="Arial" w:cs="Arial"/>
        </w:rPr>
        <w:t>A</w:t>
      </w:r>
      <w:r w:rsidRPr="00C65737">
        <w:rPr>
          <w:rFonts w:ascii="Arial" w:hAnsi="Arial" w:cs="Arial"/>
        </w:rPr>
        <w:t>dministracji w</w:t>
      </w:r>
      <w:r w:rsidR="00047F37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 xml:space="preserve">sprawie ochrony przeciwpożarowej budynków, innych obiektów budowlanych i terenów </w:t>
      </w:r>
      <w:bookmarkEnd w:id="1"/>
      <w:r w:rsidRPr="00C65737">
        <w:rPr>
          <w:rFonts w:ascii="Arial" w:hAnsi="Arial" w:cs="Arial"/>
        </w:rPr>
        <w:t>podyktowana jest koniecznością uzupełnienia i uściślenia niektórych jego przepisów, jak również wyelimin</w:t>
      </w:r>
      <w:r w:rsidR="00A27C1E" w:rsidRPr="00C65737">
        <w:rPr>
          <w:rFonts w:ascii="Arial" w:hAnsi="Arial" w:cs="Arial"/>
        </w:rPr>
        <w:t>owania powstałych wątpliwości w </w:t>
      </w:r>
      <w:r w:rsidRPr="00C65737">
        <w:rPr>
          <w:rFonts w:ascii="Arial" w:hAnsi="Arial" w:cs="Arial"/>
        </w:rPr>
        <w:t>zakresie ich stosowania</w:t>
      </w:r>
      <w:r w:rsidR="0038666A" w:rsidRPr="00C65737">
        <w:rPr>
          <w:rFonts w:ascii="Arial" w:hAnsi="Arial" w:cs="Arial"/>
        </w:rPr>
        <w:t>.</w:t>
      </w:r>
      <w:r w:rsidRPr="00C65737">
        <w:rPr>
          <w:rFonts w:ascii="Arial" w:hAnsi="Arial" w:cs="Arial"/>
        </w:rPr>
        <w:t xml:space="preserve"> </w:t>
      </w:r>
    </w:p>
    <w:p w:rsidR="00C9689A" w:rsidRPr="00C65737" w:rsidRDefault="00C9689A" w:rsidP="00D63C90">
      <w:pPr>
        <w:ind w:firstLine="539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Proponowana zmiana § 19 ust. 6 </w:t>
      </w:r>
      <w:r w:rsidR="00BD10FB" w:rsidRPr="00C65737">
        <w:rPr>
          <w:rFonts w:ascii="Arial" w:hAnsi="Arial" w:cs="Arial"/>
        </w:rPr>
        <w:t>rozporządzenia Ministra Spraw Wewnętrznych i</w:t>
      </w:r>
      <w:r w:rsidR="00047F37">
        <w:rPr>
          <w:rFonts w:ascii="Arial" w:hAnsi="Arial" w:cs="Arial"/>
        </w:rPr>
        <w:t> </w:t>
      </w:r>
      <w:r w:rsidR="00BD10FB" w:rsidRPr="00C65737">
        <w:rPr>
          <w:rFonts w:ascii="Arial" w:hAnsi="Arial" w:cs="Arial"/>
        </w:rPr>
        <w:t xml:space="preserve">Administracji z dnia 7 czerwca 2010 r. w sprawie ochrony przeciwpożarowej budynków, innych obiektów budowlanych i terenów (Dz. U. poz. 719 </w:t>
      </w:r>
      <w:r w:rsidR="00145023" w:rsidRPr="00C65737">
        <w:rPr>
          <w:rFonts w:ascii="Arial" w:hAnsi="Arial" w:cs="Arial"/>
        </w:rPr>
        <w:t>oraz</w:t>
      </w:r>
      <w:r w:rsidR="00BD10FB" w:rsidRPr="00C65737">
        <w:rPr>
          <w:rFonts w:ascii="Arial" w:hAnsi="Arial" w:cs="Arial"/>
        </w:rPr>
        <w:t xml:space="preserve"> z 2019 r. poz. 67), zwanego dalej „rozporządzeniem MSWiA</w:t>
      </w:r>
      <w:r w:rsidR="00620D4B" w:rsidRPr="00C65737">
        <w:t xml:space="preserve"> </w:t>
      </w:r>
      <w:r w:rsidR="00620D4B" w:rsidRPr="00C65737">
        <w:rPr>
          <w:rFonts w:ascii="Arial" w:hAnsi="Arial" w:cs="Arial"/>
        </w:rPr>
        <w:t>w sprawie ochrony przeciwpożarowej</w:t>
      </w:r>
      <w:r w:rsidR="00BD10FB" w:rsidRPr="00C65737">
        <w:rPr>
          <w:rFonts w:ascii="Arial" w:hAnsi="Arial" w:cs="Arial"/>
        </w:rPr>
        <w:t xml:space="preserve">”, </w:t>
      </w:r>
      <w:r w:rsidRPr="00C65737">
        <w:rPr>
          <w:rFonts w:ascii="Arial" w:hAnsi="Arial" w:cs="Arial"/>
        </w:rPr>
        <w:t>dotycząca zakresu stosowania zaworów hydrantowych 52 wychodzi naprzeciw postulatom zgłaszanym przez środowisko pożarnicze, a</w:t>
      </w:r>
      <w:r w:rsidR="00AE0F5F" w:rsidRPr="00C65737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w</w:t>
      </w:r>
      <w:r w:rsidR="00AE0F5F" w:rsidRPr="00C65737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 xml:space="preserve">szczególności przez komendy wojewódzkie Państwowej Straży Pożarnej oraz rzeczoznawców do spraw zabezpieczeń przeciwpożarowych. Obowiązujące dotychczas przepisy § 18 i § 20 ust. 2 </w:t>
      </w:r>
      <w:bookmarkStart w:id="2" w:name="_Hlk74911162"/>
      <w:bookmarkStart w:id="3" w:name="_Hlk74911195"/>
      <w:r w:rsidRPr="00C65737">
        <w:rPr>
          <w:rFonts w:ascii="Arial" w:hAnsi="Arial" w:cs="Arial"/>
        </w:rPr>
        <w:t xml:space="preserve">rozporządzenia </w:t>
      </w:r>
      <w:bookmarkEnd w:id="2"/>
      <w:bookmarkEnd w:id="3"/>
      <w:r w:rsidR="00BD10FB" w:rsidRPr="00C65737">
        <w:rPr>
          <w:rFonts w:ascii="Arial" w:hAnsi="Arial" w:cs="Arial"/>
        </w:rPr>
        <w:t>MSWiA</w:t>
      </w:r>
      <w:r w:rsidR="00620D4B" w:rsidRPr="00C65737">
        <w:rPr>
          <w:rFonts w:ascii="Arial" w:hAnsi="Arial" w:cs="Arial"/>
        </w:rPr>
        <w:t xml:space="preserve"> w sprawie ochrony przeciwpożarowej</w:t>
      </w:r>
      <w:r w:rsidRPr="00C65737">
        <w:rPr>
          <w:rFonts w:ascii="Arial" w:hAnsi="Arial" w:cs="Arial"/>
        </w:rPr>
        <w:t>, dotyczące stosowania w budynkach m.in. zaworów hydrantowych 52, generują szereg wątpliwości interpretacyjnych. Z</w:t>
      </w:r>
      <w:r w:rsidR="000E6725" w:rsidRPr="00C65737">
        <w:rPr>
          <w:rFonts w:ascii="Arial" w:hAnsi="Arial" w:cs="Arial"/>
        </w:rPr>
        <w:t xml:space="preserve"> ty</w:t>
      </w:r>
      <w:r w:rsidRPr="00C65737">
        <w:rPr>
          <w:rFonts w:ascii="Arial" w:hAnsi="Arial" w:cs="Arial"/>
        </w:rPr>
        <w:t xml:space="preserve">ch względów koniecznym jest określenie wymagań regulujących jednoznacznie zakres stosowania tego rodzaju punktów poboru wody do celów przeciwpożarowych w budynkach. </w:t>
      </w:r>
      <w:r w:rsidR="00BB653D" w:rsidRPr="00C65737">
        <w:rPr>
          <w:rFonts w:ascii="Arial" w:hAnsi="Arial" w:cs="Arial"/>
        </w:rPr>
        <w:t>Z</w:t>
      </w:r>
      <w:r w:rsidR="009848B3" w:rsidRPr="00C65737">
        <w:rPr>
          <w:rFonts w:ascii="Arial" w:hAnsi="Arial" w:cs="Arial"/>
        </w:rPr>
        <w:t>atem</w:t>
      </w:r>
      <w:r w:rsidRPr="00C65737">
        <w:rPr>
          <w:rFonts w:ascii="Arial" w:hAnsi="Arial" w:cs="Arial"/>
        </w:rPr>
        <w:t xml:space="preserve"> w</w:t>
      </w:r>
      <w:r w:rsidR="00BD10FB" w:rsidRPr="00C65737">
        <w:rPr>
          <w:rFonts w:ascii="Arial" w:hAnsi="Arial" w:cs="Arial"/>
        </w:rPr>
        <w:t xml:space="preserve"> </w:t>
      </w:r>
      <w:r w:rsidRPr="00C65737">
        <w:rPr>
          <w:rFonts w:ascii="Arial" w:hAnsi="Arial" w:cs="Arial"/>
        </w:rPr>
        <w:t>§ 19 rozporządzenia doprecyzowa</w:t>
      </w:r>
      <w:r w:rsidR="00BB653D" w:rsidRPr="00C65737">
        <w:rPr>
          <w:rFonts w:ascii="Arial" w:hAnsi="Arial" w:cs="Arial"/>
        </w:rPr>
        <w:t>no</w:t>
      </w:r>
      <w:r w:rsidRPr="00C65737">
        <w:rPr>
          <w:rFonts w:ascii="Arial" w:hAnsi="Arial" w:cs="Arial"/>
        </w:rPr>
        <w:t>, że zawory hydrantowe 52 powinny być stosowane w</w:t>
      </w:r>
      <w:r w:rsidR="00BB653D" w:rsidRPr="00C65737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budynkach wysokich i</w:t>
      </w:r>
      <w:r w:rsidR="00940005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wysokościowych, mających więcej n</w:t>
      </w:r>
      <w:r w:rsidR="00AE0F5F" w:rsidRPr="00C65737">
        <w:rPr>
          <w:rFonts w:ascii="Arial" w:hAnsi="Arial" w:cs="Arial"/>
        </w:rPr>
        <w:t xml:space="preserve">iż jedną kondygnację nadziemną. </w:t>
      </w:r>
      <w:r w:rsidRPr="00C65737">
        <w:rPr>
          <w:rFonts w:ascii="Arial" w:hAnsi="Arial" w:cs="Arial"/>
        </w:rPr>
        <w:t xml:space="preserve">Przedmiotowe brzmienie </w:t>
      </w:r>
      <w:r w:rsidR="000E6725" w:rsidRPr="00C65737">
        <w:rPr>
          <w:rFonts w:ascii="Arial" w:hAnsi="Arial" w:cs="Arial"/>
        </w:rPr>
        <w:t>przepisu</w:t>
      </w:r>
      <w:r w:rsidRPr="00C65737">
        <w:rPr>
          <w:rFonts w:ascii="Arial" w:hAnsi="Arial" w:cs="Arial"/>
        </w:rPr>
        <w:t xml:space="preserve"> </w:t>
      </w:r>
      <w:r w:rsidR="000E6725" w:rsidRPr="00C65737">
        <w:rPr>
          <w:rFonts w:ascii="Arial" w:hAnsi="Arial" w:cs="Arial"/>
        </w:rPr>
        <w:t xml:space="preserve">zapewnia jednoznaczność funkcjonujących dotychczas wymagań oraz </w:t>
      </w:r>
      <w:r w:rsidRPr="00C65737">
        <w:rPr>
          <w:rFonts w:ascii="Arial" w:hAnsi="Arial" w:cs="Arial"/>
        </w:rPr>
        <w:t xml:space="preserve">uwzględnia regulacje prawne obowiązujące w tym zakresie przed nowelizacją </w:t>
      </w:r>
      <w:r w:rsidR="00BB653D" w:rsidRPr="00C65737">
        <w:rPr>
          <w:rFonts w:ascii="Arial" w:hAnsi="Arial" w:cs="Arial"/>
        </w:rPr>
        <w:t>przepisów w</w:t>
      </w:r>
      <w:r w:rsidR="00940005">
        <w:rPr>
          <w:rFonts w:ascii="Arial" w:hAnsi="Arial" w:cs="Arial"/>
        </w:rPr>
        <w:t> </w:t>
      </w:r>
      <w:r w:rsidR="00BB653D" w:rsidRPr="00C65737">
        <w:rPr>
          <w:rFonts w:ascii="Arial" w:hAnsi="Arial" w:cs="Arial"/>
        </w:rPr>
        <w:t>sprawie ochrony przeciwpożarowej</w:t>
      </w:r>
      <w:r w:rsidRPr="00C65737">
        <w:rPr>
          <w:rFonts w:ascii="Arial" w:hAnsi="Arial" w:cs="Arial"/>
        </w:rPr>
        <w:t xml:space="preserve"> </w:t>
      </w:r>
      <w:r w:rsidR="00BB653D" w:rsidRPr="00C65737">
        <w:rPr>
          <w:rFonts w:ascii="Arial" w:hAnsi="Arial" w:cs="Arial"/>
        </w:rPr>
        <w:t xml:space="preserve">budynków, innych obiektów budowlanych i terenów </w:t>
      </w:r>
      <w:r w:rsidRPr="00C65737">
        <w:rPr>
          <w:rFonts w:ascii="Arial" w:hAnsi="Arial" w:cs="Arial"/>
        </w:rPr>
        <w:t>w</w:t>
      </w:r>
      <w:r w:rsidR="00940005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2010 r</w:t>
      </w:r>
      <w:r w:rsidR="000E6725" w:rsidRPr="00C65737">
        <w:rPr>
          <w:rFonts w:ascii="Arial" w:hAnsi="Arial" w:cs="Arial"/>
        </w:rPr>
        <w:t>. (w</w:t>
      </w:r>
      <w:r w:rsidR="00A031EA" w:rsidRPr="00C65737">
        <w:rPr>
          <w:rFonts w:ascii="Arial" w:hAnsi="Arial" w:cs="Arial"/>
        </w:rPr>
        <w:t> </w:t>
      </w:r>
      <w:r w:rsidR="000E6725" w:rsidRPr="00C65737">
        <w:rPr>
          <w:rFonts w:ascii="Arial" w:hAnsi="Arial" w:cs="Arial"/>
        </w:rPr>
        <w:t xml:space="preserve">2010 r. przepis został uchylony jako zbędne powtórzenie, a zmianę tę </w:t>
      </w:r>
      <w:r w:rsidR="00A031EA" w:rsidRPr="00C65737">
        <w:rPr>
          <w:rFonts w:ascii="Arial" w:hAnsi="Arial" w:cs="Arial"/>
        </w:rPr>
        <w:t>z </w:t>
      </w:r>
      <w:r w:rsidR="000E6725" w:rsidRPr="00C65737">
        <w:rPr>
          <w:rFonts w:ascii="Arial" w:hAnsi="Arial" w:cs="Arial"/>
        </w:rPr>
        <w:t>perspektywy czasu ocenia się negatywnie).</w:t>
      </w:r>
    </w:p>
    <w:p w:rsidR="00BC4147" w:rsidRPr="00C65737" w:rsidRDefault="00C9689A" w:rsidP="00C9689A">
      <w:pPr>
        <w:spacing w:after="0"/>
        <w:ind w:firstLine="539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Natomiast </w:t>
      </w:r>
      <w:r w:rsidR="009848B3" w:rsidRPr="00C65737">
        <w:rPr>
          <w:rFonts w:ascii="Arial" w:hAnsi="Arial" w:cs="Arial"/>
        </w:rPr>
        <w:t>propozycja nowych</w:t>
      </w:r>
      <w:r w:rsidR="00BC4147" w:rsidRPr="00C65737">
        <w:rPr>
          <w:rFonts w:ascii="Arial" w:hAnsi="Arial" w:cs="Arial"/>
        </w:rPr>
        <w:t xml:space="preserve"> przepisów </w:t>
      </w:r>
      <w:bookmarkStart w:id="4" w:name="_Hlk68187747"/>
      <w:r w:rsidR="000C3C04" w:rsidRPr="00C65737">
        <w:rPr>
          <w:rFonts w:ascii="Arial" w:hAnsi="Arial" w:cs="Arial"/>
        </w:rPr>
        <w:t xml:space="preserve">§ 39 ust. 3 – </w:t>
      </w:r>
      <w:r w:rsidR="00607508" w:rsidRPr="00C65737">
        <w:rPr>
          <w:rFonts w:ascii="Arial" w:hAnsi="Arial" w:cs="Arial"/>
        </w:rPr>
        <w:t xml:space="preserve">15 </w:t>
      </w:r>
      <w:r w:rsidR="00BC4147" w:rsidRPr="00C65737">
        <w:rPr>
          <w:rFonts w:ascii="Arial" w:hAnsi="Arial" w:cs="Arial"/>
        </w:rPr>
        <w:t xml:space="preserve">rozporządzenia </w:t>
      </w:r>
      <w:bookmarkEnd w:id="4"/>
      <w:r w:rsidRPr="00C65737">
        <w:rPr>
          <w:rFonts w:ascii="Arial" w:hAnsi="Arial" w:cs="Arial"/>
        </w:rPr>
        <w:t xml:space="preserve">MSWiA </w:t>
      </w:r>
      <w:r w:rsidR="00620D4B" w:rsidRPr="00C65737">
        <w:rPr>
          <w:rFonts w:ascii="Arial" w:hAnsi="Arial" w:cs="Arial"/>
        </w:rPr>
        <w:t>w</w:t>
      </w:r>
      <w:r w:rsidR="00940005">
        <w:rPr>
          <w:rFonts w:ascii="Arial" w:hAnsi="Arial" w:cs="Arial"/>
        </w:rPr>
        <w:t> </w:t>
      </w:r>
      <w:r w:rsidR="00620D4B" w:rsidRPr="00C65737">
        <w:rPr>
          <w:rFonts w:ascii="Arial" w:hAnsi="Arial" w:cs="Arial"/>
        </w:rPr>
        <w:t xml:space="preserve">sprawie ochrony przeciwpożarowej </w:t>
      </w:r>
      <w:r w:rsidR="00BC4147" w:rsidRPr="00C65737">
        <w:rPr>
          <w:rFonts w:ascii="Arial" w:hAnsi="Arial" w:cs="Arial"/>
        </w:rPr>
        <w:t>związan</w:t>
      </w:r>
      <w:r w:rsidR="009848B3" w:rsidRPr="00C65737">
        <w:rPr>
          <w:rFonts w:ascii="Arial" w:hAnsi="Arial" w:cs="Arial"/>
        </w:rPr>
        <w:t>a</w:t>
      </w:r>
      <w:r w:rsidR="00BC4147" w:rsidRPr="00C65737">
        <w:rPr>
          <w:rFonts w:ascii="Arial" w:hAnsi="Arial" w:cs="Arial"/>
        </w:rPr>
        <w:t xml:space="preserve"> </w:t>
      </w:r>
      <w:r w:rsidR="009848B3" w:rsidRPr="00C65737">
        <w:rPr>
          <w:rFonts w:ascii="Arial" w:hAnsi="Arial" w:cs="Arial"/>
        </w:rPr>
        <w:t>jest</w:t>
      </w:r>
      <w:r w:rsidR="00BC4147" w:rsidRPr="00C65737">
        <w:rPr>
          <w:rFonts w:ascii="Arial" w:hAnsi="Arial" w:cs="Arial"/>
        </w:rPr>
        <w:t xml:space="preserve"> z wnioskami Najwyższej Izby Kontroli skierowanymi do Ministra Spraw Wewnętrznych i Administracji z kontroli:</w:t>
      </w:r>
    </w:p>
    <w:p w:rsidR="00BC4147" w:rsidRPr="00C65737" w:rsidRDefault="00BC4147" w:rsidP="00BC414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i/>
        </w:rPr>
      </w:pPr>
      <w:r w:rsidRPr="00C65737">
        <w:rPr>
          <w:rFonts w:ascii="Arial" w:hAnsi="Arial" w:cs="Arial"/>
        </w:rPr>
        <w:t>P/20/089 pn</w:t>
      </w:r>
      <w:r w:rsidRPr="00C65737">
        <w:rPr>
          <w:rFonts w:ascii="Arial" w:hAnsi="Arial" w:cs="Arial"/>
          <w:i/>
        </w:rPr>
        <w:t>. „Nadzór nad gospodarką leśną w lasach niestanowiących własności Skarbu Państwa”</w:t>
      </w:r>
      <w:bookmarkStart w:id="5" w:name="_Hlk70060264"/>
      <w:r w:rsidRPr="00C65737">
        <w:rPr>
          <w:rFonts w:ascii="Arial" w:hAnsi="Arial" w:cs="Arial"/>
        </w:rPr>
        <w:t xml:space="preserve"> o następującej treści: </w:t>
      </w:r>
      <w:r w:rsidRPr="00C65737">
        <w:rPr>
          <w:rFonts w:ascii="Arial" w:hAnsi="Arial" w:cs="Arial"/>
          <w:i/>
        </w:rPr>
        <w:t>„Uzupełnienie uregulowań zawartych w</w:t>
      </w:r>
      <w:r w:rsidR="00AE0F5F" w:rsidRPr="00C65737">
        <w:rPr>
          <w:rFonts w:ascii="Arial" w:hAnsi="Arial" w:cs="Arial"/>
          <w:i/>
        </w:rPr>
        <w:t> </w:t>
      </w:r>
      <w:r w:rsidRPr="00C65737">
        <w:rPr>
          <w:rFonts w:ascii="Arial" w:hAnsi="Arial" w:cs="Arial"/>
          <w:i/>
        </w:rPr>
        <w:t>§</w:t>
      </w:r>
      <w:r w:rsidR="00AE0F5F" w:rsidRPr="00C65737">
        <w:rPr>
          <w:rFonts w:ascii="Arial" w:hAnsi="Arial" w:cs="Arial"/>
          <w:i/>
        </w:rPr>
        <w:t> </w:t>
      </w:r>
      <w:r w:rsidRPr="00C65737">
        <w:rPr>
          <w:rFonts w:ascii="Arial" w:hAnsi="Arial" w:cs="Arial"/>
          <w:i/>
        </w:rPr>
        <w:t>39 ust. 2 pkt 6 rozporządzenia Ministra Spraw Wewnętrznych i Administracji z dnia 7 czerwca 2010 r. w</w:t>
      </w:r>
      <w:r w:rsidR="00940005">
        <w:rPr>
          <w:rFonts w:ascii="Arial" w:hAnsi="Arial" w:cs="Arial"/>
          <w:i/>
        </w:rPr>
        <w:t> </w:t>
      </w:r>
      <w:r w:rsidRPr="00C65737">
        <w:rPr>
          <w:rFonts w:ascii="Arial" w:hAnsi="Arial" w:cs="Arial"/>
          <w:i/>
        </w:rPr>
        <w:t>sprawie ochrony przeciwpożarowej budynków, innych obiektów budowlanych i terenów (Dz. U. nr 109, poz. 719, ze zm.), o wskazanie starosty jako zobowiązanego do uzgodnienia projektu UPUL samoistnie lub wspólnie tworzącego kompleks leśny o</w:t>
      </w:r>
      <w:r w:rsidR="00940005">
        <w:rPr>
          <w:rFonts w:ascii="Arial" w:hAnsi="Arial" w:cs="Arial"/>
          <w:i/>
        </w:rPr>
        <w:t> </w:t>
      </w:r>
      <w:r w:rsidRPr="00C65737">
        <w:rPr>
          <w:rFonts w:ascii="Arial" w:hAnsi="Arial" w:cs="Arial"/>
          <w:i/>
        </w:rPr>
        <w:t xml:space="preserve">powierzchni ponad 300 ha </w:t>
      </w:r>
      <w:bookmarkStart w:id="6" w:name="_Hlk68122554"/>
      <w:r w:rsidRPr="00C65737">
        <w:rPr>
          <w:rFonts w:ascii="Arial" w:hAnsi="Arial" w:cs="Arial"/>
          <w:i/>
        </w:rPr>
        <w:t>w części dotyczącej ochrony przeciwpożarowej, z właściwym miejscowo komendantem wojewódzkim Państwowej Straży Pożarnej</w:t>
      </w:r>
      <w:bookmarkEnd w:id="6"/>
      <w:r w:rsidRPr="00C65737">
        <w:rPr>
          <w:rFonts w:ascii="Arial" w:hAnsi="Arial" w:cs="Arial"/>
          <w:i/>
        </w:rPr>
        <w:t>, dla lasów I i II kategorii zagrożenia pożarowego, w przypadku sporządzania projektu na zlecenie starosty.”</w:t>
      </w:r>
      <w:bookmarkEnd w:id="5"/>
      <w:r w:rsidRPr="00C65737">
        <w:rPr>
          <w:rFonts w:ascii="Arial" w:hAnsi="Arial" w:cs="Arial"/>
          <w:i/>
        </w:rPr>
        <w:t>,</w:t>
      </w:r>
    </w:p>
    <w:p w:rsidR="00BC4147" w:rsidRPr="00C65737" w:rsidRDefault="00BC4147" w:rsidP="00BC414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>P/18/111 pn.</w:t>
      </w:r>
      <w:r w:rsidRPr="00C65737">
        <w:rPr>
          <w:rFonts w:ascii="Arial" w:hAnsi="Arial" w:cs="Arial"/>
          <w:i/>
        </w:rPr>
        <w:t xml:space="preserve"> „Bezpieczeństwo</w:t>
      </w:r>
      <w:r w:rsidRPr="00C65737">
        <w:rPr>
          <w:rFonts w:ascii="Arial" w:hAnsi="Arial" w:cs="Arial"/>
        </w:rPr>
        <w:t xml:space="preserve"> przeciwpożarowe lasów państwowych” o następującej treści: </w:t>
      </w:r>
      <w:r w:rsidRPr="00C65737">
        <w:rPr>
          <w:rFonts w:ascii="Arial" w:hAnsi="Arial" w:cs="Arial"/>
          <w:i/>
        </w:rPr>
        <w:t>„Rozważenie zmiany treści § 39 ust. 4 rozporządzenia z dnia 7 czerwca 2010 r. w</w:t>
      </w:r>
      <w:r w:rsidR="00940005">
        <w:rPr>
          <w:rFonts w:ascii="Arial" w:hAnsi="Arial" w:cs="Arial"/>
          <w:i/>
        </w:rPr>
        <w:t> </w:t>
      </w:r>
      <w:r w:rsidRPr="00C65737">
        <w:rPr>
          <w:rFonts w:ascii="Arial" w:hAnsi="Arial" w:cs="Arial"/>
          <w:i/>
        </w:rPr>
        <w:t>sprawie ochrony przeciwpożarowej budynków, innych obiektów budowlanych i terenów (Dz. U. Nr 109, poz. 719, ze zm.), umożliwiającej utworzenie większej niż dotychczas liczby zbiorników w obrębie powierzchni chronionej.”.</w:t>
      </w:r>
    </w:p>
    <w:p w:rsidR="00BC4147" w:rsidRPr="00C65737" w:rsidRDefault="000C3C04" w:rsidP="009848B3">
      <w:pPr>
        <w:spacing w:after="0"/>
        <w:ind w:firstLine="539"/>
        <w:jc w:val="both"/>
        <w:rPr>
          <w:rFonts w:ascii="Arial" w:hAnsi="Arial" w:cs="Arial"/>
        </w:rPr>
      </w:pPr>
      <w:bookmarkStart w:id="7" w:name="_Hlk68244453"/>
      <w:r w:rsidRPr="00C65737">
        <w:rPr>
          <w:rFonts w:ascii="Arial" w:hAnsi="Arial" w:cs="Arial"/>
        </w:rPr>
        <w:t>W</w:t>
      </w:r>
      <w:r w:rsidR="00BC4147" w:rsidRPr="00C65737">
        <w:rPr>
          <w:rFonts w:ascii="Arial" w:hAnsi="Arial" w:cs="Arial"/>
        </w:rPr>
        <w:t xml:space="preserve"> projektowanym § 39 ust. 3 rozporządzenia </w:t>
      </w:r>
      <w:r w:rsidR="00BD10FB" w:rsidRPr="00C65737">
        <w:rPr>
          <w:rFonts w:ascii="Arial" w:hAnsi="Arial" w:cs="Arial"/>
        </w:rPr>
        <w:t>MSWiA</w:t>
      </w:r>
      <w:r w:rsidR="00BC4147" w:rsidRPr="00C65737">
        <w:rPr>
          <w:rFonts w:ascii="Arial" w:hAnsi="Arial" w:cs="Arial"/>
        </w:rPr>
        <w:t xml:space="preserve"> </w:t>
      </w:r>
      <w:bookmarkEnd w:id="7"/>
      <w:r w:rsidR="00620D4B" w:rsidRPr="00C65737">
        <w:rPr>
          <w:rFonts w:ascii="Arial" w:hAnsi="Arial" w:cs="Arial"/>
        </w:rPr>
        <w:t xml:space="preserve">w sprawie ochrony przeciwpożarowej </w:t>
      </w:r>
      <w:r w:rsidR="00BC4147" w:rsidRPr="00C65737">
        <w:rPr>
          <w:rFonts w:ascii="Arial" w:hAnsi="Arial" w:cs="Arial"/>
        </w:rPr>
        <w:t>określono, że starosta w</w:t>
      </w:r>
      <w:r w:rsidR="00620D4B" w:rsidRPr="00C65737">
        <w:rPr>
          <w:rFonts w:ascii="Arial" w:hAnsi="Arial" w:cs="Arial"/>
        </w:rPr>
        <w:t xml:space="preserve"> </w:t>
      </w:r>
      <w:r w:rsidR="00BC4147" w:rsidRPr="00C65737">
        <w:rPr>
          <w:rFonts w:ascii="Arial" w:hAnsi="Arial" w:cs="Arial"/>
        </w:rPr>
        <w:t xml:space="preserve">odniesieniu do lasów I i II kategorii zagrożenia pożarowego, niestanowiących własności Skarbu Państwa, należących do osób fizycznych lub wspólnot gruntowych oraz tworzących samoistnie lub wspólnie kompleks leśny o powierzchni </w:t>
      </w:r>
      <w:r w:rsidR="00BC4147" w:rsidRPr="00C65737">
        <w:rPr>
          <w:rFonts w:ascii="Arial" w:hAnsi="Arial" w:cs="Arial"/>
        </w:rPr>
        <w:lastRenderedPageBreak/>
        <w:t xml:space="preserve">ponad 300 ha, dokonuje uzgodnienia projektu uproszczonego planu urządzenia lasu, zwanego dalej </w:t>
      </w:r>
      <w:r w:rsidR="00BC4147" w:rsidRPr="00C65737">
        <w:rPr>
          <w:rFonts w:ascii="Arial" w:hAnsi="Arial" w:cs="Arial"/>
          <w:i/>
        </w:rPr>
        <w:t>„UPUL”,</w:t>
      </w:r>
      <w:r w:rsidR="00BC4147" w:rsidRPr="00C65737">
        <w:rPr>
          <w:rFonts w:ascii="Arial" w:hAnsi="Arial" w:cs="Arial"/>
        </w:rPr>
        <w:t xml:space="preserve"> o którym mowa w</w:t>
      </w:r>
      <w:r w:rsidR="00AE0F5F" w:rsidRPr="00C65737">
        <w:rPr>
          <w:rFonts w:ascii="Arial" w:hAnsi="Arial" w:cs="Arial"/>
        </w:rPr>
        <w:t> </w:t>
      </w:r>
      <w:r w:rsidR="00BC4147" w:rsidRPr="00C65737">
        <w:rPr>
          <w:rFonts w:ascii="Arial" w:hAnsi="Arial" w:cs="Arial"/>
        </w:rPr>
        <w:t>ust.</w:t>
      </w:r>
      <w:r w:rsidR="00AE0F5F" w:rsidRPr="00C65737">
        <w:rPr>
          <w:rFonts w:ascii="Arial" w:hAnsi="Arial" w:cs="Arial"/>
        </w:rPr>
        <w:t> </w:t>
      </w:r>
      <w:r w:rsidR="00BC4147" w:rsidRPr="00C65737">
        <w:rPr>
          <w:rFonts w:ascii="Arial" w:hAnsi="Arial" w:cs="Arial"/>
        </w:rPr>
        <w:t>2</w:t>
      </w:r>
      <w:r w:rsidR="00AE0F5F" w:rsidRPr="00C65737">
        <w:rPr>
          <w:rFonts w:ascii="Arial" w:hAnsi="Arial" w:cs="Arial"/>
        </w:rPr>
        <w:t> </w:t>
      </w:r>
      <w:r w:rsidR="00BC4147" w:rsidRPr="00C65737">
        <w:rPr>
          <w:rFonts w:ascii="Arial" w:hAnsi="Arial" w:cs="Arial"/>
        </w:rPr>
        <w:t xml:space="preserve">pkt 6, </w:t>
      </w:r>
      <w:bookmarkStart w:id="8" w:name="_Hlk71119860"/>
      <w:r w:rsidR="00BC4147" w:rsidRPr="00C65737">
        <w:rPr>
          <w:rFonts w:ascii="Arial" w:hAnsi="Arial" w:cs="Arial"/>
        </w:rPr>
        <w:t>z właściwym miejscowo komendantem wojewódzkim Państwowej Straży Pożarnej</w:t>
      </w:r>
      <w:bookmarkEnd w:id="8"/>
      <w:r w:rsidR="00BC4147" w:rsidRPr="00C65737">
        <w:rPr>
          <w:rFonts w:ascii="Arial" w:hAnsi="Arial" w:cs="Arial"/>
        </w:rPr>
        <w:t>,</w:t>
      </w:r>
      <w:r w:rsidR="00BC4147" w:rsidRPr="00C65737">
        <w:t xml:space="preserve"> </w:t>
      </w:r>
      <w:r w:rsidR="00BC4147" w:rsidRPr="00C65737">
        <w:rPr>
          <w:rFonts w:ascii="Arial" w:hAnsi="Arial" w:cs="Arial"/>
        </w:rPr>
        <w:t xml:space="preserve">w części dotyczącej ochrony przeciwpożarowej. Przepis ten </w:t>
      </w:r>
      <w:r w:rsidR="009848B3" w:rsidRPr="00C65737">
        <w:rPr>
          <w:rFonts w:ascii="Arial" w:hAnsi="Arial" w:cs="Arial"/>
        </w:rPr>
        <w:t>wskazuje podmiot właściwy do</w:t>
      </w:r>
      <w:r w:rsidR="00BC4147" w:rsidRPr="00C65737">
        <w:rPr>
          <w:rFonts w:ascii="Arial" w:hAnsi="Arial" w:cs="Arial"/>
        </w:rPr>
        <w:t xml:space="preserve"> dokonywania przedmiotowych uzgodnień z</w:t>
      </w:r>
      <w:r w:rsidR="00940005">
        <w:rPr>
          <w:rFonts w:ascii="Arial" w:hAnsi="Arial" w:cs="Arial"/>
        </w:rPr>
        <w:t> </w:t>
      </w:r>
      <w:r w:rsidR="00BC4147" w:rsidRPr="00C65737">
        <w:rPr>
          <w:rFonts w:ascii="Arial" w:hAnsi="Arial" w:cs="Arial"/>
        </w:rPr>
        <w:t>uwzględnieniem roli przypisanej ustawowo staroście w procesie sporządzania, konsultacji i</w:t>
      </w:r>
      <w:r w:rsidR="00940005">
        <w:rPr>
          <w:rFonts w:ascii="Arial" w:hAnsi="Arial" w:cs="Arial"/>
        </w:rPr>
        <w:t> </w:t>
      </w:r>
      <w:r w:rsidR="00BC4147" w:rsidRPr="00C65737">
        <w:rPr>
          <w:rFonts w:ascii="Arial" w:hAnsi="Arial" w:cs="Arial"/>
        </w:rPr>
        <w:t>zatwierdzania UPUL.</w:t>
      </w:r>
    </w:p>
    <w:p w:rsidR="00BC4147" w:rsidRPr="00C65737" w:rsidRDefault="00BC4147" w:rsidP="009848B3">
      <w:pPr>
        <w:spacing w:after="0"/>
        <w:ind w:firstLine="54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Z dotychczasowego brzmienia przepisu </w:t>
      </w:r>
      <w:bookmarkStart w:id="9" w:name="_Hlk71120117"/>
      <w:r w:rsidRPr="00C65737">
        <w:rPr>
          <w:rFonts w:ascii="Arial" w:hAnsi="Arial" w:cs="Arial"/>
        </w:rPr>
        <w:t>§ 39 ust. 2</w:t>
      </w:r>
      <w:r w:rsidRPr="00C65737">
        <w:rPr>
          <w:rFonts w:ascii="Arial" w:hAnsi="Arial" w:cs="Arial"/>
          <w:i/>
        </w:rPr>
        <w:t xml:space="preserve"> </w:t>
      </w:r>
      <w:r w:rsidRPr="00C65737">
        <w:rPr>
          <w:rFonts w:ascii="Arial" w:hAnsi="Arial" w:cs="Arial"/>
        </w:rPr>
        <w:t>rozporządzenia MSWiA w sprawie ochrony przeciwpożarowej</w:t>
      </w:r>
      <w:bookmarkEnd w:id="9"/>
      <w:r w:rsidRPr="00C65737">
        <w:rPr>
          <w:rFonts w:ascii="Arial" w:hAnsi="Arial" w:cs="Arial"/>
        </w:rPr>
        <w:t xml:space="preserve"> wynika, że uzgodnienia te muszą być dokonywane bezpośrednio przez właścicieli, zarządców lub użytkowników tych lasów.</w:t>
      </w:r>
    </w:p>
    <w:p w:rsidR="00BC4147" w:rsidRPr="00C65737" w:rsidRDefault="00BC4147" w:rsidP="009848B3">
      <w:pPr>
        <w:spacing w:after="0"/>
        <w:ind w:firstLine="539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Natomiast, zgodnie z obowiązującymi przepisami ustawy z dnia 28 września </w:t>
      </w:r>
      <w:r w:rsidRPr="00C65737">
        <w:rPr>
          <w:rFonts w:ascii="Arial" w:hAnsi="Arial" w:cs="Arial"/>
        </w:rPr>
        <w:br/>
        <w:t xml:space="preserve">1991 r. o lasach (Dz. U. z </w:t>
      </w:r>
      <w:r w:rsidR="00A031EA" w:rsidRPr="00C65737">
        <w:rPr>
          <w:rFonts w:ascii="Arial" w:hAnsi="Arial" w:cs="Arial"/>
        </w:rPr>
        <w:t xml:space="preserve">2021 </w:t>
      </w:r>
      <w:r w:rsidRPr="00C65737">
        <w:rPr>
          <w:rFonts w:ascii="Arial" w:hAnsi="Arial" w:cs="Arial"/>
        </w:rPr>
        <w:t>r. poz.</w:t>
      </w:r>
      <w:r w:rsidR="00A031EA" w:rsidRPr="00C65737">
        <w:rPr>
          <w:rFonts w:ascii="Arial" w:hAnsi="Arial" w:cs="Arial"/>
        </w:rPr>
        <w:t xml:space="preserve"> 1275</w:t>
      </w:r>
      <w:r w:rsidR="00AE0F5F" w:rsidRPr="00C65737">
        <w:rPr>
          <w:rFonts w:ascii="Arial" w:hAnsi="Arial" w:cs="Arial"/>
        </w:rPr>
        <w:t>, z późn. zm.</w:t>
      </w:r>
      <w:r w:rsidRPr="00C65737">
        <w:rPr>
          <w:rFonts w:ascii="Arial" w:hAnsi="Arial" w:cs="Arial"/>
        </w:rPr>
        <w:t>) to starosta:</w:t>
      </w:r>
    </w:p>
    <w:p w:rsidR="00BC4147" w:rsidRPr="00C65737" w:rsidRDefault="00BC4147" w:rsidP="009848B3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>zleca sporządzenie uproszczonego planu urządzenia lasu dla lasów niestanowiących własności Skarbu Państwa, należących do osób fizycznych i wspólnot gruntowych (</w:t>
      </w:r>
      <w:r w:rsidRPr="00C65737">
        <w:rPr>
          <w:rFonts w:ascii="Arial" w:hAnsi="Arial" w:cs="Arial"/>
          <w:i/>
        </w:rPr>
        <w:t>vide</w:t>
      </w:r>
      <w:r w:rsidRPr="00C65737">
        <w:rPr>
          <w:rFonts w:ascii="Arial" w:hAnsi="Arial" w:cs="Arial"/>
        </w:rPr>
        <w:t xml:space="preserve"> art. 21 ust. 1 pkt 2),</w:t>
      </w:r>
    </w:p>
    <w:p w:rsidR="00BC4147" w:rsidRPr="00C65737" w:rsidRDefault="00BC4147" w:rsidP="009848B3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wydaje decyzje w sprawie uznania lub nieuznania zastrzeżeń lub wniosków do UPUL składanych przez właścicieli lasów po wyłożeniu projektu UPUL do publicznego wglądu </w:t>
      </w:r>
      <w:bookmarkStart w:id="10" w:name="_Hlk71116522"/>
      <w:r w:rsidRPr="00C65737">
        <w:rPr>
          <w:rFonts w:ascii="Arial" w:hAnsi="Arial" w:cs="Arial"/>
        </w:rPr>
        <w:t>(</w:t>
      </w:r>
      <w:r w:rsidRPr="00C65737">
        <w:rPr>
          <w:rFonts w:ascii="Arial" w:hAnsi="Arial" w:cs="Arial"/>
          <w:i/>
        </w:rPr>
        <w:t>vide</w:t>
      </w:r>
      <w:r w:rsidRPr="00C65737">
        <w:rPr>
          <w:rFonts w:ascii="Arial" w:hAnsi="Arial" w:cs="Arial"/>
        </w:rPr>
        <w:t xml:space="preserve"> art. 21 ust. 5)</w:t>
      </w:r>
      <w:bookmarkEnd w:id="10"/>
      <w:r w:rsidRPr="00C65737">
        <w:rPr>
          <w:rFonts w:ascii="Arial" w:hAnsi="Arial" w:cs="Arial"/>
        </w:rPr>
        <w:t>,</w:t>
      </w:r>
    </w:p>
    <w:p w:rsidR="00BC4147" w:rsidRPr="00C65737" w:rsidRDefault="00BC4147" w:rsidP="009848B3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>zatwierdza UPUL (</w:t>
      </w:r>
      <w:r w:rsidRPr="00C65737">
        <w:rPr>
          <w:rFonts w:ascii="Arial" w:hAnsi="Arial" w:cs="Arial"/>
          <w:i/>
        </w:rPr>
        <w:t>vide</w:t>
      </w:r>
      <w:r w:rsidRPr="00C65737">
        <w:rPr>
          <w:rFonts w:ascii="Arial" w:hAnsi="Arial" w:cs="Arial"/>
        </w:rPr>
        <w:t xml:space="preserve"> art. 22 ust. 2).</w:t>
      </w:r>
    </w:p>
    <w:p w:rsidR="00BC4147" w:rsidRPr="00C65737" w:rsidRDefault="00BC4147" w:rsidP="009848B3">
      <w:pPr>
        <w:spacing w:after="0"/>
        <w:ind w:firstLine="539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W związku z powyższymi uregulowaniami właściciele lasów </w:t>
      </w:r>
      <w:r w:rsidR="00A27C1E" w:rsidRPr="00C65737">
        <w:rPr>
          <w:rFonts w:ascii="Arial" w:hAnsi="Arial" w:cs="Arial"/>
        </w:rPr>
        <w:t xml:space="preserve">niestanowiących własności Skarbu Państwa </w:t>
      </w:r>
      <w:r w:rsidRPr="00C65737">
        <w:rPr>
          <w:rFonts w:ascii="Arial" w:hAnsi="Arial" w:cs="Arial"/>
        </w:rPr>
        <w:t>nie dysponują projektem UPUL. Przed zatwierdzeniem UPUL przez starostę mają jedynie prawo do wnoszenia uwag i zastrzeżeń do tego projektu, w terminie 30 dni od daty jego wyłożenia do publicznego wglądu (</w:t>
      </w:r>
      <w:r w:rsidRPr="00C65737">
        <w:rPr>
          <w:rFonts w:ascii="Arial" w:hAnsi="Arial" w:cs="Arial"/>
          <w:i/>
        </w:rPr>
        <w:t>vide</w:t>
      </w:r>
      <w:r w:rsidRPr="00C65737">
        <w:rPr>
          <w:rFonts w:ascii="Arial" w:hAnsi="Arial" w:cs="Arial"/>
        </w:rPr>
        <w:t xml:space="preserve"> art. 21 ust. 4 i 5).</w:t>
      </w:r>
    </w:p>
    <w:p w:rsidR="00BC4147" w:rsidRPr="00C65737" w:rsidRDefault="00BC4147" w:rsidP="009848B3">
      <w:pPr>
        <w:spacing w:after="0"/>
        <w:ind w:firstLine="54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>Ustalenia kontroli NIK wskazują, że w tym stanie prawnym starostowie często zatwierdzali UPUL pomimo braku wymaganych uzgodnień z PSP</w:t>
      </w:r>
      <w:bookmarkStart w:id="11" w:name="mip55418278"/>
      <w:bookmarkEnd w:id="11"/>
      <w:r w:rsidRPr="00C65737">
        <w:rPr>
          <w:rFonts w:ascii="Arial" w:hAnsi="Arial" w:cs="Arial"/>
        </w:rPr>
        <w:t xml:space="preserve">, o których mowa </w:t>
      </w:r>
      <w:r w:rsidRPr="00C65737">
        <w:rPr>
          <w:rFonts w:ascii="Arial" w:hAnsi="Arial" w:cs="Arial"/>
        </w:rPr>
        <w:br/>
        <w:t>w § 39 ust. 2</w:t>
      </w:r>
      <w:r w:rsidR="00AE0F5F" w:rsidRPr="00C65737">
        <w:rPr>
          <w:rFonts w:ascii="Arial" w:hAnsi="Arial" w:cs="Arial"/>
        </w:rPr>
        <w:t xml:space="preserve"> pkt</w:t>
      </w:r>
      <w:r w:rsidRPr="00C65737">
        <w:rPr>
          <w:rFonts w:ascii="Arial" w:hAnsi="Arial" w:cs="Arial"/>
        </w:rPr>
        <w:t xml:space="preserve"> 6 rozporządzenia MSWiA</w:t>
      </w:r>
      <w:r w:rsidR="00620D4B" w:rsidRPr="00C65737">
        <w:t xml:space="preserve"> </w:t>
      </w:r>
      <w:r w:rsidR="00620D4B" w:rsidRPr="00C65737">
        <w:rPr>
          <w:rFonts w:ascii="Arial" w:hAnsi="Arial" w:cs="Arial"/>
        </w:rPr>
        <w:t>w sprawie ochrony przeciwpożarowej</w:t>
      </w:r>
      <w:r w:rsidRPr="00C65737">
        <w:rPr>
          <w:rFonts w:ascii="Arial" w:hAnsi="Arial" w:cs="Arial"/>
        </w:rPr>
        <w:t>. Mogło to wynikać nie tylko z braku spójności pr</w:t>
      </w:r>
      <w:r w:rsidR="00A27C1E" w:rsidRPr="00C65737">
        <w:rPr>
          <w:rFonts w:ascii="Arial" w:hAnsi="Arial" w:cs="Arial"/>
        </w:rPr>
        <w:t>zepisów, lecz także z faktu, że </w:t>
      </w:r>
      <w:r w:rsidRPr="00C65737">
        <w:rPr>
          <w:rFonts w:ascii="Arial" w:hAnsi="Arial" w:cs="Arial"/>
        </w:rPr>
        <w:t>w przypadku UPUL niejednokrotnie mamy do czynienia z lasami składającymi się z wielu mniejszych działek (gruntów leśnych) mających różnych właścicieli. Tego rodzaju rozdrobnienie dotyczy w</w:t>
      </w:r>
      <w:r w:rsidR="00A81424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 xml:space="preserve">szczególności lasów </w:t>
      </w:r>
      <w:r w:rsidR="00AE0F5F" w:rsidRPr="00C65737">
        <w:rPr>
          <w:rFonts w:ascii="Arial" w:hAnsi="Arial" w:cs="Arial"/>
        </w:rPr>
        <w:t>lub ich części</w:t>
      </w:r>
      <w:r w:rsidRPr="00C65737">
        <w:rPr>
          <w:rFonts w:ascii="Arial" w:hAnsi="Arial" w:cs="Arial"/>
        </w:rPr>
        <w:t xml:space="preserve"> niestanowiących własności Skarbu Państwa (tzw. </w:t>
      </w:r>
      <w:r w:rsidRPr="00C65737">
        <w:rPr>
          <w:rFonts w:ascii="Arial" w:hAnsi="Arial" w:cs="Arial"/>
          <w:i/>
        </w:rPr>
        <w:t>„lasów prywatnych”</w:t>
      </w:r>
      <w:r w:rsidRPr="00C65737">
        <w:rPr>
          <w:rFonts w:ascii="Arial" w:hAnsi="Arial" w:cs="Arial"/>
        </w:rPr>
        <w:t>)</w:t>
      </w:r>
      <w:r w:rsidR="00A031EA" w:rsidRPr="00C65737">
        <w:rPr>
          <w:rStyle w:val="Odwoanieprzypisudolnego"/>
          <w:rFonts w:ascii="Arial" w:hAnsi="Arial" w:cs="Arial"/>
        </w:rPr>
        <w:footnoteReference w:id="1"/>
      </w:r>
      <w:r w:rsidRPr="00C65737">
        <w:rPr>
          <w:rFonts w:ascii="Arial" w:hAnsi="Arial" w:cs="Arial"/>
        </w:rPr>
        <w:t xml:space="preserve">. W omawianych przypadkach dodatkowym problemem bywa nieustalony stan prawny gruntów (np. z uwagi na nierozstrzygnięte sprawy </w:t>
      </w:r>
      <w:r w:rsidR="00A27C1E" w:rsidRPr="00C65737">
        <w:rPr>
          <w:rFonts w:ascii="Arial" w:hAnsi="Arial" w:cs="Arial"/>
        </w:rPr>
        <w:t>dotyczące ich własności, m.</w:t>
      </w:r>
      <w:r w:rsidRPr="00C65737">
        <w:rPr>
          <w:rFonts w:ascii="Arial" w:hAnsi="Arial" w:cs="Arial"/>
        </w:rPr>
        <w:t xml:space="preserve">in. spadkowe). </w:t>
      </w:r>
    </w:p>
    <w:p w:rsidR="00BC4147" w:rsidRPr="00C65737" w:rsidRDefault="00BC4147" w:rsidP="00BC4147">
      <w:pPr>
        <w:ind w:firstLine="54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W kontekście powyższego zaproponowane brzmienie przepisu § 39 ust. 3 z jednej strony usprawni proces uzgadniania projektów UPUL, w części dotyczącej ochrony przeciwpożarowej, z właściwymi miejscowo komendantami wojewódzkimi Państwowej Straży Pożarnej, a z drugiej zapewni zgodność omawianych przepisów rozporządzenia MSWiA </w:t>
      </w:r>
      <w:bookmarkStart w:id="12" w:name="_Hlk74911459"/>
      <w:r w:rsidRPr="00C65737">
        <w:rPr>
          <w:rFonts w:ascii="Arial" w:hAnsi="Arial" w:cs="Arial"/>
        </w:rPr>
        <w:t>w</w:t>
      </w:r>
      <w:r w:rsidR="00940005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sprawie ochrony przeciwpożarowej</w:t>
      </w:r>
      <w:bookmarkEnd w:id="12"/>
      <w:r w:rsidRPr="00C65737">
        <w:rPr>
          <w:rFonts w:ascii="Arial" w:hAnsi="Arial" w:cs="Arial"/>
        </w:rPr>
        <w:t xml:space="preserve"> z ww. przepisami ustawy o lasach. Jednocześnie projektowany przepis konsumuje wspomniany powyżej wniosek NIK z kontroli P/20/089. </w:t>
      </w:r>
    </w:p>
    <w:p w:rsidR="00BC4147" w:rsidRPr="00C65737" w:rsidRDefault="00BC4147" w:rsidP="00EE0BD1">
      <w:pPr>
        <w:spacing w:after="0"/>
        <w:ind w:firstLine="539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>Z kolei projektowane przepisy § 39 ust. 4</w:t>
      </w:r>
      <w:r w:rsidR="002149BE" w:rsidRPr="00C65737">
        <w:rPr>
          <w:rFonts w:ascii="Arial" w:hAnsi="Arial" w:cs="Arial"/>
        </w:rPr>
        <w:t>–</w:t>
      </w:r>
      <w:r w:rsidR="00607508" w:rsidRPr="00C65737">
        <w:rPr>
          <w:rFonts w:ascii="Arial" w:hAnsi="Arial" w:cs="Arial"/>
        </w:rPr>
        <w:t xml:space="preserve">15 </w:t>
      </w:r>
      <w:r w:rsidRPr="00C65737">
        <w:rPr>
          <w:rFonts w:ascii="Arial" w:hAnsi="Arial" w:cs="Arial"/>
        </w:rPr>
        <w:t>stanowią doprecyzowanie oraz uzupełnienie, z uwzględnieniem drugiego z rozpatrywanych wniosków NIK (z kontroli P/18/111), dotychczasowych uregulowań prawnych w zakresie źródeł wody do celów przeciwpożarowych w lasach, które samoistnie lub wspólnie tworzą kompleks leśny o powierzchni ponad 300 ha. W ramach proponowanych zmian:</w:t>
      </w:r>
    </w:p>
    <w:p w:rsidR="00BC4147" w:rsidRPr="00C65737" w:rsidRDefault="00BC4147" w:rsidP="00BC414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shd w:val="clear" w:color="auto" w:fill="FFFFFF"/>
        </w:rPr>
      </w:pPr>
      <w:r w:rsidRPr="00C65737">
        <w:rPr>
          <w:rFonts w:ascii="Arial" w:hAnsi="Arial" w:cs="Arial"/>
        </w:rPr>
        <w:lastRenderedPageBreak/>
        <w:t xml:space="preserve">w ust. 4 wymieniono, co może stanowić źródła wody do celów przeciwpożarowych w tych lasach oraz jaki zapas wody lub wydajność powinny te źródła zapewniać; w porównaniu do dotychczasowego brzmienia § 39 ust. 4 doprecyzowano, iż takim źródłem wody jest sieć wodociągowa przeciwpożarowa z hydrantami zewnętrznymi o wydajności nie mniejszej niż </w:t>
      </w:r>
      <w:r w:rsidR="00736443" w:rsidRPr="00C65737">
        <w:rPr>
          <w:rFonts w:ascii="Arial" w:hAnsi="Arial" w:cs="Arial"/>
        </w:rPr>
        <w:t xml:space="preserve">10 </w:t>
      </w:r>
      <w:r w:rsidRPr="00C65737">
        <w:rPr>
          <w:rFonts w:ascii="Arial" w:hAnsi="Arial" w:cs="Arial"/>
        </w:rPr>
        <w:t>dm</w:t>
      </w:r>
      <w:r w:rsidRPr="00C65737">
        <w:rPr>
          <w:rFonts w:ascii="Arial" w:hAnsi="Arial" w:cs="Arial"/>
          <w:vertAlign w:val="superscript"/>
        </w:rPr>
        <w:t>3</w:t>
      </w:r>
      <w:r w:rsidRPr="00C65737">
        <w:rPr>
          <w:rFonts w:ascii="Arial" w:hAnsi="Arial" w:cs="Arial"/>
        </w:rPr>
        <w:t>/</w:t>
      </w:r>
      <w:r w:rsidRPr="00C65737">
        <w:rPr>
          <w:rFonts w:ascii="Arial" w:hAnsi="Arial" w:cs="Arial"/>
          <w:vertAlign w:val="subscript"/>
        </w:rPr>
        <w:t>s</w:t>
      </w:r>
      <w:r w:rsidRPr="00C65737">
        <w:rPr>
          <w:rFonts w:ascii="Arial" w:hAnsi="Arial" w:cs="Arial"/>
        </w:rPr>
        <w:t xml:space="preserve"> oraz uwzględniono w katalogu tych źródeł studnię z pompą oraz z</w:t>
      </w:r>
      <w:r w:rsidR="00047F37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hydrantem zewnętrznym o wydajności nie mniejszej niż 10 dm</w:t>
      </w:r>
      <w:r w:rsidRPr="00C65737">
        <w:rPr>
          <w:rFonts w:ascii="Arial" w:hAnsi="Arial" w:cs="Arial"/>
          <w:vertAlign w:val="superscript"/>
        </w:rPr>
        <w:t>3</w:t>
      </w:r>
      <w:r w:rsidRPr="00C65737">
        <w:rPr>
          <w:rFonts w:ascii="Arial" w:hAnsi="Arial" w:cs="Arial"/>
        </w:rPr>
        <w:t>/</w:t>
      </w:r>
      <w:r w:rsidRPr="00C65737">
        <w:rPr>
          <w:rFonts w:ascii="Arial" w:hAnsi="Arial" w:cs="Arial"/>
          <w:vertAlign w:val="subscript"/>
        </w:rPr>
        <w:t>s</w:t>
      </w:r>
      <w:r w:rsidRPr="00C65737">
        <w:rPr>
          <w:rFonts w:ascii="Arial" w:eastAsia="Calibri" w:hAnsi="Arial" w:cs="Arial"/>
          <w:i/>
        </w:rPr>
        <w:t xml:space="preserve"> </w:t>
      </w:r>
      <w:r w:rsidRPr="00C65737">
        <w:rPr>
          <w:rFonts w:ascii="Arial" w:hAnsi="Arial" w:cs="Arial"/>
        </w:rPr>
        <w:t>lub innym punktem poboru wody o tej wydajności z nasadą tłoczną typu 75 albo 110 (nasady zdefiniowano w</w:t>
      </w:r>
      <w:r w:rsidR="00047F37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 xml:space="preserve">Polskiej Normie </w:t>
      </w:r>
      <w:r w:rsidRPr="00C65737">
        <w:rPr>
          <w:rFonts w:ascii="Arial" w:hAnsi="Arial" w:cs="Arial"/>
          <w:i/>
        </w:rPr>
        <w:t>PN-M-51038:2015 Sprzęt pożarniczy – Nasady</w:t>
      </w:r>
      <w:r w:rsidRPr="00C65737">
        <w:rPr>
          <w:rFonts w:ascii="Arial" w:hAnsi="Arial" w:cs="Arial"/>
        </w:rPr>
        <w:t>);</w:t>
      </w:r>
    </w:p>
    <w:p w:rsidR="00BC4147" w:rsidRPr="00C65737" w:rsidRDefault="00BC4147" w:rsidP="00BC414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shd w:val="clear" w:color="auto" w:fill="FFFFFF"/>
        </w:rPr>
      </w:pPr>
      <w:r w:rsidRPr="00C65737">
        <w:rPr>
          <w:rFonts w:ascii="Arial" w:hAnsi="Arial" w:cs="Arial"/>
        </w:rPr>
        <w:t xml:space="preserve">w ust. 5, wzorując się na wymaganiach dla przeciwpożarowych zbiorników wodnych zawartych w Polskiej Normie </w:t>
      </w:r>
      <w:r w:rsidRPr="00C65737">
        <w:rPr>
          <w:rFonts w:ascii="Arial" w:hAnsi="Arial" w:cs="Arial"/>
          <w:i/>
        </w:rPr>
        <w:t>PN-B 02857:2017 „Ochrona przeciwpożarowa budynków. Przeciwpożarowe zbiorniki wodne. Wymagania ogólne”</w:t>
      </w:r>
      <w:r w:rsidRPr="00C65737">
        <w:rPr>
          <w:rFonts w:ascii="Arial" w:hAnsi="Arial" w:cs="Arial"/>
        </w:rPr>
        <w:t>, określono, że zbiorniki sztuczne w lasach mogą składać się z jednego lub grupy pojemników połączonych przewodami o</w:t>
      </w:r>
      <w:r w:rsidR="00047F37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średnicy co najmniej 300 mm, w sposób umożliwiający dostęp do wymaganego zapasu wody z każdego stanowiska czerpania wody, w który wyposażony jest zbiornik;</w:t>
      </w:r>
    </w:p>
    <w:p w:rsidR="00BC4147" w:rsidRPr="00C65737" w:rsidRDefault="00BC4147" w:rsidP="00BC414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>do ust. 6 przeniesiono z dotychczasowego ust. 3 wymagania dotyczące stanowisk czerpania wody, doprecyzowując, że źródła wody do celów przeciwpożarowych, o których mowa w projektowanym ust. 4 pkt 1</w:t>
      </w:r>
      <w:r w:rsidR="002149BE" w:rsidRPr="00C65737">
        <w:rPr>
          <w:rFonts w:ascii="Arial" w:hAnsi="Arial" w:cs="Arial"/>
        </w:rPr>
        <w:t>–</w:t>
      </w:r>
      <w:r w:rsidRPr="00C65737">
        <w:rPr>
          <w:rFonts w:ascii="Arial" w:hAnsi="Arial" w:cs="Arial"/>
        </w:rPr>
        <w:t>3, powinny być wyposażone w stanowiska czerpania wody umożliwiające pobieranie wody z wykorzystaniem autopomp lub motopomp pożarniczych (parametry techniczne tych urządzeń określono m.in. w załączniku do rozporządzenia Ministra Spraw Wewnętrznych i Administracji z dnia 20 czerwca 2007 r. w sprawie wykazu wyrobów służących zapewnieniu bezpieczeństwa publicznego lub ochronie zdrowia i życia oraz mienia, a także zasad wydawania dopuszczenia tych wyrobów do użytkowania</w:t>
      </w:r>
      <w:r w:rsidR="002149BE" w:rsidRPr="00C65737">
        <w:rPr>
          <w:rFonts w:ascii="Arial" w:hAnsi="Arial" w:cs="Arial"/>
        </w:rPr>
        <w:t xml:space="preserve"> (Dz. U. z 2009 r. poz. 1002, z</w:t>
      </w:r>
      <w:r w:rsidRPr="00C65737">
        <w:rPr>
          <w:rFonts w:ascii="Arial" w:hAnsi="Arial" w:cs="Arial"/>
        </w:rPr>
        <w:t xml:space="preserve"> </w:t>
      </w:r>
      <w:r w:rsidR="002149BE" w:rsidRPr="00C65737">
        <w:rPr>
          <w:rFonts w:ascii="Arial" w:hAnsi="Arial" w:cs="Arial"/>
        </w:rPr>
        <w:t xml:space="preserve">późn. </w:t>
      </w:r>
      <w:r w:rsidRPr="00C65737">
        <w:rPr>
          <w:rFonts w:ascii="Arial" w:hAnsi="Arial" w:cs="Arial"/>
        </w:rPr>
        <w:t>zm.));</w:t>
      </w:r>
    </w:p>
    <w:p w:rsidR="00BC4147" w:rsidRPr="00C65737" w:rsidRDefault="00BC4147" w:rsidP="00BC414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>w ust. 7 określono, że w przypadku źródeł wody do celów przeciwpożarowych wykonanych w postaci dwóch zbiorników sztucznych, każdy z zapasem wody co najmniej 25 m</w:t>
      </w:r>
      <w:r w:rsidRPr="00C65737">
        <w:rPr>
          <w:rFonts w:ascii="Arial" w:hAnsi="Arial" w:cs="Arial"/>
          <w:vertAlign w:val="superscript"/>
        </w:rPr>
        <w:t>3</w:t>
      </w:r>
      <w:r w:rsidRPr="00C65737">
        <w:rPr>
          <w:rFonts w:ascii="Arial" w:hAnsi="Arial" w:cs="Arial"/>
        </w:rPr>
        <w:t xml:space="preserve"> oraz z własnym stanowiskiem czerpania wody, stanowiska te powinny być połączone utwardzonym dojściem, o długości nieprzekraczającej 50 m i szerokości co najmniej 1,5 m, umożliwiającym transport motopompy (niezależnie od obowiązku doprowadzenia do tych stanowisk dojazdów pożarowych); regulacja ta ma zapewnić odpowiednie połączenie stanowisk w ramach jednego źródła i właściwe warunki do jego obsługi przez strażaków jednostek ochrony przeciwpożarowej;</w:t>
      </w:r>
    </w:p>
    <w:p w:rsidR="00BC4147" w:rsidRPr="00C65737" w:rsidRDefault="00BC4147" w:rsidP="00BC414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w ust. 8 i 9 określono wymagania dotyczące </w:t>
      </w:r>
      <w:r w:rsidR="0038666A" w:rsidRPr="00C65737">
        <w:rPr>
          <w:rFonts w:ascii="Arial" w:hAnsi="Arial" w:cs="Arial"/>
        </w:rPr>
        <w:t>pompy obsługującej studnię, o której mowa w projektowanym ust. 4 pkt 5</w:t>
      </w:r>
      <w:r w:rsidR="0078701C" w:rsidRPr="00C65737">
        <w:rPr>
          <w:rFonts w:ascii="Arial" w:hAnsi="Arial" w:cs="Arial"/>
        </w:rPr>
        <w:t>,</w:t>
      </w:r>
      <w:r w:rsidR="0038666A" w:rsidRPr="00C65737">
        <w:rPr>
          <w:rFonts w:ascii="Arial" w:hAnsi="Arial" w:cs="Arial"/>
        </w:rPr>
        <w:t xml:space="preserve"> oraz </w:t>
      </w:r>
      <w:r w:rsidRPr="00C65737">
        <w:rPr>
          <w:rFonts w:ascii="Arial" w:hAnsi="Arial" w:cs="Arial"/>
        </w:rPr>
        <w:t xml:space="preserve">zasilania w energię elektryczną </w:t>
      </w:r>
      <w:r w:rsidR="0038666A" w:rsidRPr="00C65737">
        <w:rPr>
          <w:rFonts w:ascii="Arial" w:hAnsi="Arial" w:cs="Arial"/>
        </w:rPr>
        <w:t xml:space="preserve">jej </w:t>
      </w:r>
      <w:r w:rsidRPr="00C65737">
        <w:rPr>
          <w:rFonts w:ascii="Arial" w:hAnsi="Arial" w:cs="Arial"/>
        </w:rPr>
        <w:t>silnika, wskazując:</w:t>
      </w:r>
    </w:p>
    <w:p w:rsidR="00BC4147" w:rsidRPr="00C65737" w:rsidRDefault="00BC4147" w:rsidP="00BC4147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w ust. 8 na konieczność zapewnienia zasilania tego silnika z co najmniej agregatu prądotwórczego z zapasem paliwa wystarczającym do prowadzenia działań ratowniczych (wymóg zapewnienia </w:t>
      </w:r>
      <w:r w:rsidRPr="00C65737">
        <w:rPr>
          <w:rFonts w:ascii="Arial" w:eastAsia="Calibri" w:hAnsi="Arial" w:cs="Arial"/>
        </w:rPr>
        <w:t>zapasu paliwa wystarczającego na 4 godziny pracy przy pełnym obciążeniu jest rozwiązaniem typowym, stosowanym np. w</w:t>
      </w:r>
      <w:r w:rsidR="00047F37">
        <w:rPr>
          <w:rFonts w:ascii="Arial" w:eastAsia="Calibri" w:hAnsi="Arial" w:cs="Arial"/>
        </w:rPr>
        <w:t> </w:t>
      </w:r>
      <w:r w:rsidRPr="00C65737">
        <w:rPr>
          <w:rFonts w:ascii="Arial" w:eastAsia="Calibri" w:hAnsi="Arial" w:cs="Arial"/>
        </w:rPr>
        <w:t>pompowniach przeciwpożarowych zasilających w wodę hydranty zewnętrzne),</w:t>
      </w:r>
    </w:p>
    <w:p w:rsidR="00BC4147" w:rsidRPr="00C65737" w:rsidRDefault="00BC4147" w:rsidP="00BC4147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>w ust. 9 na konieczność zapewnienia takiego dostępu do tego agregatu, który umożliwi szybkie podjęcie działań ratowniczych, przy czym sposób i zasady zapewnienia tego dostępu należy uzgodnić z właściwym miejscowo komendantem powiatowym (miejskim) Państwowej Straży Pożarnej;</w:t>
      </w:r>
    </w:p>
    <w:p w:rsidR="00BC4147" w:rsidRPr="00C65737" w:rsidRDefault="00BC4147" w:rsidP="00BC414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shd w:val="clear" w:color="auto" w:fill="FFFFFF"/>
        </w:rPr>
      </w:pPr>
      <w:r w:rsidRPr="00C65737">
        <w:rPr>
          <w:rFonts w:ascii="Arial" w:hAnsi="Arial" w:cs="Arial"/>
        </w:rPr>
        <w:t xml:space="preserve">w ust. 10 określono </w:t>
      </w:r>
      <w:r w:rsidR="009848B3" w:rsidRPr="00C65737">
        <w:rPr>
          <w:rFonts w:ascii="Arial" w:hAnsi="Arial" w:cs="Arial"/>
        </w:rPr>
        <w:t xml:space="preserve">wymóg dotyczący </w:t>
      </w:r>
      <w:r w:rsidRPr="00C65737">
        <w:rPr>
          <w:rFonts w:ascii="Arial" w:hAnsi="Arial" w:cs="Arial"/>
        </w:rPr>
        <w:t>koniecznoś</w:t>
      </w:r>
      <w:r w:rsidR="009848B3" w:rsidRPr="00C65737">
        <w:rPr>
          <w:rFonts w:ascii="Arial" w:hAnsi="Arial" w:cs="Arial"/>
        </w:rPr>
        <w:t>ci</w:t>
      </w:r>
      <w:r w:rsidRPr="00C65737">
        <w:rPr>
          <w:rFonts w:ascii="Arial" w:hAnsi="Arial" w:cs="Arial"/>
        </w:rPr>
        <w:t xml:space="preserve"> zapewnienia dojazdu pożarowego do hydrantów zewnętrznych</w:t>
      </w:r>
      <w:r w:rsidR="00F926AC" w:rsidRPr="00C65737">
        <w:rPr>
          <w:rFonts w:ascii="Arial" w:hAnsi="Arial" w:cs="Arial"/>
        </w:rPr>
        <w:t xml:space="preserve"> lub innych punktów poboru wody oraz</w:t>
      </w:r>
      <w:r w:rsidRPr="00C65737">
        <w:rPr>
          <w:rFonts w:ascii="Arial" w:hAnsi="Arial" w:cs="Arial"/>
        </w:rPr>
        <w:t xml:space="preserve"> stanowisk czerpania wody</w:t>
      </w:r>
      <w:r w:rsidR="00F926AC" w:rsidRPr="00C65737">
        <w:rPr>
          <w:rFonts w:ascii="Arial" w:hAnsi="Arial" w:cs="Arial"/>
        </w:rPr>
        <w:t>, jak również</w:t>
      </w:r>
      <w:r w:rsidRPr="00C65737">
        <w:rPr>
          <w:rFonts w:ascii="Arial" w:hAnsi="Arial" w:cs="Arial"/>
        </w:rPr>
        <w:t xml:space="preserve"> możliwości przejazdu pojazdu pożarniczego podczas </w:t>
      </w:r>
      <w:r w:rsidR="00F926AC" w:rsidRPr="00C65737">
        <w:rPr>
          <w:rFonts w:ascii="Arial" w:hAnsi="Arial" w:cs="Arial"/>
        </w:rPr>
        <w:t xml:space="preserve">pobierania </w:t>
      </w:r>
      <w:r w:rsidRPr="00C65737">
        <w:rPr>
          <w:rFonts w:ascii="Arial" w:hAnsi="Arial" w:cs="Arial"/>
        </w:rPr>
        <w:t>wody</w:t>
      </w:r>
      <w:r w:rsidR="00851C6E" w:rsidRPr="00C65737">
        <w:rPr>
          <w:rFonts w:ascii="Arial" w:hAnsi="Arial" w:cs="Arial"/>
        </w:rPr>
        <w:t xml:space="preserve"> do celów gaśniczych</w:t>
      </w:r>
      <w:r w:rsidRPr="00C65737">
        <w:rPr>
          <w:rFonts w:ascii="Arial" w:hAnsi="Arial" w:cs="Arial"/>
        </w:rPr>
        <w:t xml:space="preserve"> </w:t>
      </w:r>
      <w:r w:rsidR="00F926AC" w:rsidRPr="00C65737">
        <w:rPr>
          <w:rFonts w:ascii="Arial" w:hAnsi="Arial" w:cs="Arial"/>
        </w:rPr>
        <w:t>(wymóg ten służy zapewnieniu warunków</w:t>
      </w:r>
      <w:r w:rsidR="00594A04" w:rsidRPr="00C65737">
        <w:rPr>
          <w:rFonts w:ascii="Arial" w:hAnsi="Arial" w:cs="Arial"/>
        </w:rPr>
        <w:t xml:space="preserve"> do przejazdu pojazdów pożarniczych</w:t>
      </w:r>
      <w:r w:rsidR="00851C6E" w:rsidRPr="00C65737">
        <w:rPr>
          <w:rFonts w:ascii="Arial" w:hAnsi="Arial" w:cs="Arial"/>
        </w:rPr>
        <w:t>, w szczególności odpowiedniej szerokości drogi</w:t>
      </w:r>
      <w:r w:rsidR="00594A04" w:rsidRPr="00C65737">
        <w:rPr>
          <w:rFonts w:ascii="Arial" w:hAnsi="Arial" w:cs="Arial"/>
        </w:rPr>
        <w:t xml:space="preserve"> w miejscu pobierania wody </w:t>
      </w:r>
      <w:r w:rsidR="00594A04" w:rsidRPr="00C65737">
        <w:rPr>
          <w:rFonts w:ascii="Arial" w:hAnsi="Arial" w:cs="Arial"/>
        </w:rPr>
        <w:lastRenderedPageBreak/>
        <w:t>przez inny pojazd lub z wykorzystaniem motopompy pożarniczej,</w:t>
      </w:r>
      <w:r w:rsidR="00851C6E" w:rsidRPr="00C65737">
        <w:rPr>
          <w:rFonts w:ascii="Arial" w:hAnsi="Arial" w:cs="Arial"/>
        </w:rPr>
        <w:t xml:space="preserve"> </w:t>
      </w:r>
      <w:r w:rsidR="00F926AC" w:rsidRPr="00C65737">
        <w:rPr>
          <w:rFonts w:ascii="Arial" w:hAnsi="Arial" w:cs="Arial"/>
        </w:rPr>
        <w:t xml:space="preserve">w celu uniknięcia zatorów </w:t>
      </w:r>
      <w:r w:rsidR="00851C6E" w:rsidRPr="00C65737">
        <w:rPr>
          <w:rFonts w:ascii="Arial" w:hAnsi="Arial" w:cs="Arial"/>
        </w:rPr>
        <w:t>na drodze</w:t>
      </w:r>
      <w:r w:rsidR="00F926AC" w:rsidRPr="00C65737">
        <w:rPr>
          <w:rFonts w:ascii="Arial" w:hAnsi="Arial" w:cs="Arial"/>
        </w:rPr>
        <w:t>)</w:t>
      </w:r>
      <w:r w:rsidRPr="00C65737">
        <w:rPr>
          <w:rFonts w:ascii="Arial" w:hAnsi="Arial" w:cs="Arial"/>
        </w:rPr>
        <w:t>;</w:t>
      </w:r>
    </w:p>
    <w:p w:rsidR="00BC4147" w:rsidRPr="00C65737" w:rsidRDefault="00BC4147" w:rsidP="00BC414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shd w:val="clear" w:color="auto" w:fill="FFFFFF"/>
        </w:rPr>
      </w:pPr>
      <w:r w:rsidRPr="00C65737">
        <w:rPr>
          <w:rFonts w:ascii="Arial" w:hAnsi="Arial" w:cs="Arial"/>
        </w:rPr>
        <w:t>w ust. 11 określono wymagania dotyczące zapewnienia odpowiedniej liczby i rozmieszczenia źródeł wody do celów przeciwpożarowych oraz stanowisk czerpania wody i hydrantów zewnętrznych, uwzględniając przy tym dotychczasowy przepis § 39 ust. 4; dla lasów III kategorii zagrożenia pożarowego zmodyfikowano zakres uzgodnień z</w:t>
      </w:r>
      <w:r w:rsidR="00047F37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komendantem powiatowym (miejskim) Państwowej Straży Pożarnej;</w:t>
      </w:r>
    </w:p>
    <w:p w:rsidR="009848B3" w:rsidRPr="00C65737" w:rsidRDefault="00BC4147" w:rsidP="00BC414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  <w:shd w:val="clear" w:color="auto" w:fill="FFFFFF"/>
        </w:rPr>
      </w:pPr>
      <w:r w:rsidRPr="00C65737">
        <w:rPr>
          <w:rFonts w:ascii="Arial" w:hAnsi="Arial" w:cs="Arial"/>
        </w:rPr>
        <w:t>w ust. 12 i 13 określono wymagania dotyczące poddawania źródeł wody do celów przeciwpożarowych oraz rozwiązań technicznych przewidzianych do poboru wody z tych źródeł przeglądom i czynnościom konserwacyjnym, przy czym</w:t>
      </w:r>
      <w:r w:rsidR="009848B3" w:rsidRPr="00C65737">
        <w:rPr>
          <w:rFonts w:ascii="Arial" w:hAnsi="Arial" w:cs="Arial"/>
        </w:rPr>
        <w:t>:</w:t>
      </w:r>
    </w:p>
    <w:p w:rsidR="009848B3" w:rsidRPr="00C65737" w:rsidRDefault="009848B3" w:rsidP="009848B3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w przypadku zbiorników sztucznych oraz studni, stanowiących źródła wody do celów przeciwpożarowych, a także rozwiązań technicznych przewidzianych do poboru wody z </w:t>
      </w:r>
      <w:r w:rsidR="0038666A" w:rsidRPr="00C65737">
        <w:rPr>
          <w:rFonts w:ascii="Arial" w:hAnsi="Arial" w:cs="Arial"/>
        </w:rPr>
        <w:t xml:space="preserve">tego rodzaju </w:t>
      </w:r>
      <w:r w:rsidRPr="00C65737">
        <w:rPr>
          <w:rFonts w:ascii="Arial" w:hAnsi="Arial" w:cs="Arial"/>
        </w:rPr>
        <w:t xml:space="preserve">źródeł wskazano, że powinny one być poddawane </w:t>
      </w:r>
      <w:r w:rsidR="000E6725" w:rsidRPr="00C65737">
        <w:rPr>
          <w:rFonts w:ascii="Arial" w:hAnsi="Arial" w:cs="Arial"/>
        </w:rPr>
        <w:t>przeglądom technicznym i czynnościom konserwacyjnym, zapewniającym ich sprawne i</w:t>
      </w:r>
      <w:r w:rsidR="00047F37">
        <w:rPr>
          <w:rFonts w:ascii="Arial" w:hAnsi="Arial" w:cs="Arial"/>
        </w:rPr>
        <w:t> </w:t>
      </w:r>
      <w:r w:rsidR="000E6725" w:rsidRPr="00C65737">
        <w:rPr>
          <w:rFonts w:ascii="Arial" w:hAnsi="Arial" w:cs="Arial"/>
        </w:rPr>
        <w:t xml:space="preserve">niezawodne funkcjonowanie </w:t>
      </w:r>
      <w:r w:rsidRPr="00C65737">
        <w:rPr>
          <w:rFonts w:ascii="Arial" w:hAnsi="Arial" w:cs="Arial"/>
        </w:rPr>
        <w:t xml:space="preserve">co najmniej raz w roku, w okresie od dnia 1 marca, nie wcześniej jednak niż po ustąpieniu pokrywy śnieżnej, do dnia 30 kwietnia, </w:t>
      </w:r>
    </w:p>
    <w:p w:rsidR="00BC4147" w:rsidRPr="00C65737" w:rsidRDefault="00BC4147" w:rsidP="009848B3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w przypadku zbiorników naturalnych oraz cieków wodnych ze stanowiskami czerpania wody wskazano, że powinny one być poddawane przeglądom nie rzadziej niż raz </w:t>
      </w:r>
      <w:r w:rsidR="00736443" w:rsidRPr="00C65737">
        <w:rPr>
          <w:rFonts w:ascii="Arial" w:hAnsi="Arial" w:cs="Arial"/>
        </w:rPr>
        <w:t xml:space="preserve">w </w:t>
      </w:r>
      <w:r w:rsidRPr="00C65737">
        <w:rPr>
          <w:rFonts w:ascii="Arial" w:hAnsi="Arial" w:cs="Arial"/>
        </w:rPr>
        <w:t>miesiącu w okresie od 1 marca do 30 września, w zakresie potwierdzającym możliwość poboru z nich wody w wymaganej ilości na wypadek pożaru (np. w</w:t>
      </w:r>
      <w:r w:rsidR="00047F37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kontekście możliwości ich zamulenia, zanieczyszczenia, zarośnięcia lub ubytku wody);</w:t>
      </w:r>
    </w:p>
    <w:p w:rsidR="00BC4147" w:rsidRPr="00C65737" w:rsidRDefault="00BC4147" w:rsidP="00BC4147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w ust. </w:t>
      </w:r>
      <w:r w:rsidR="00607508" w:rsidRPr="00C65737">
        <w:rPr>
          <w:rFonts w:ascii="Arial" w:hAnsi="Arial" w:cs="Arial"/>
        </w:rPr>
        <w:t xml:space="preserve">14 </w:t>
      </w:r>
      <w:r w:rsidRPr="00C65737">
        <w:rPr>
          <w:rFonts w:ascii="Arial" w:hAnsi="Arial" w:cs="Arial"/>
        </w:rPr>
        <w:t>zawarto postanowienia dotychczasowego ust. 6;</w:t>
      </w:r>
    </w:p>
    <w:p w:rsidR="00BC4147" w:rsidRPr="00C65737" w:rsidRDefault="00BC4147" w:rsidP="00D63C90">
      <w:pPr>
        <w:pStyle w:val="Akapitzlist"/>
        <w:numPr>
          <w:ilvl w:val="0"/>
          <w:numId w:val="19"/>
        </w:numPr>
        <w:ind w:left="425" w:hanging="425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w ust. </w:t>
      </w:r>
      <w:r w:rsidR="00607508" w:rsidRPr="00C65737">
        <w:rPr>
          <w:rFonts w:ascii="Arial" w:hAnsi="Arial" w:cs="Arial"/>
        </w:rPr>
        <w:t xml:space="preserve">15 </w:t>
      </w:r>
      <w:r w:rsidRPr="00C65737">
        <w:rPr>
          <w:rFonts w:ascii="Arial" w:hAnsi="Arial" w:cs="Arial"/>
        </w:rPr>
        <w:t>zawarto wymagania określone w dotychczasowym ust. 5, przy czym zrezygnowano z wymogu uzgodnienia z właściwym miejscowo komendantem powiatowym (miejskim) Państwowej Straży Pożarnej realizacji obowiązku umieszczania przy wjazdach do lasów oraz przy parkingach leśnych tablic informacyjnych i</w:t>
      </w:r>
      <w:r w:rsidR="00047F37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ostrzegawczych dotyczących zabezpieczania przeciwpożarowego lasu</w:t>
      </w:r>
      <w:r w:rsidR="009848B3" w:rsidRPr="00C65737">
        <w:rPr>
          <w:rFonts w:ascii="Arial" w:hAnsi="Arial" w:cs="Arial"/>
        </w:rPr>
        <w:t xml:space="preserve"> oraz ograniczono obowiązek do ogólnodostępnych wjazdów do lasów z dróg publicznych</w:t>
      </w:r>
      <w:r w:rsidR="00D428ED" w:rsidRPr="00C65737">
        <w:rPr>
          <w:rFonts w:ascii="Arial" w:hAnsi="Arial" w:cs="Arial"/>
        </w:rPr>
        <w:t xml:space="preserve"> oraz parkingów leśnych</w:t>
      </w:r>
      <w:r w:rsidR="00F44B75" w:rsidRPr="00C65737">
        <w:rPr>
          <w:rFonts w:ascii="Arial" w:hAnsi="Arial" w:cs="Arial"/>
        </w:rPr>
        <w:t>.</w:t>
      </w:r>
    </w:p>
    <w:p w:rsidR="000D1313" w:rsidRPr="00C65737" w:rsidRDefault="00607508" w:rsidP="00074FD2">
      <w:pPr>
        <w:ind w:firstLine="54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W </w:t>
      </w:r>
      <w:r w:rsidR="00AA7F38" w:rsidRPr="00C65737">
        <w:rPr>
          <w:rFonts w:ascii="Arial" w:hAnsi="Arial" w:cs="Arial"/>
        </w:rPr>
        <w:t>§ 2</w:t>
      </w:r>
      <w:r w:rsidRPr="00C65737">
        <w:rPr>
          <w:rFonts w:ascii="Arial" w:hAnsi="Arial" w:cs="Arial"/>
        </w:rPr>
        <w:t xml:space="preserve"> projektowanego rozporządzenia </w:t>
      </w:r>
      <w:r w:rsidR="00D428ED" w:rsidRPr="00C65737">
        <w:rPr>
          <w:rFonts w:ascii="Arial" w:hAnsi="Arial" w:cs="Arial"/>
        </w:rPr>
        <w:t>zawarto</w:t>
      </w:r>
      <w:r w:rsidRPr="00C65737">
        <w:rPr>
          <w:rFonts w:ascii="Arial" w:hAnsi="Arial" w:cs="Arial"/>
        </w:rPr>
        <w:t xml:space="preserve"> przepisy przejściow</w:t>
      </w:r>
      <w:r w:rsidR="00074FD2" w:rsidRPr="00C65737">
        <w:rPr>
          <w:rFonts w:ascii="Arial" w:hAnsi="Arial" w:cs="Arial"/>
        </w:rPr>
        <w:t xml:space="preserve">y, zgodnie z którym </w:t>
      </w:r>
      <w:r w:rsidR="00024A60" w:rsidRPr="00C65737">
        <w:rPr>
          <w:rFonts w:ascii="Arial" w:hAnsi="Arial" w:cs="Arial"/>
        </w:rPr>
        <w:t xml:space="preserve">w okresie </w:t>
      </w:r>
      <w:r w:rsidR="00DA0DBB" w:rsidRPr="00C65737">
        <w:rPr>
          <w:rFonts w:ascii="Arial" w:hAnsi="Arial" w:cs="Arial"/>
        </w:rPr>
        <w:t>3 lat</w:t>
      </w:r>
      <w:r w:rsidR="00074FD2" w:rsidRPr="00C65737">
        <w:rPr>
          <w:rFonts w:ascii="Arial" w:hAnsi="Arial" w:cs="Arial"/>
        </w:rPr>
        <w:t xml:space="preserve"> od dnia wejścia w życie rozporządzenia, zamiast wymagań </w:t>
      </w:r>
      <w:r w:rsidR="00BA7BA3" w:rsidRPr="00C65737">
        <w:rPr>
          <w:rFonts w:ascii="Arial" w:hAnsi="Arial" w:cs="Arial"/>
        </w:rPr>
        <w:t>dotyczących</w:t>
      </w:r>
      <w:r w:rsidR="00074FD2" w:rsidRPr="00C65737">
        <w:rPr>
          <w:rFonts w:ascii="Arial" w:hAnsi="Arial" w:cs="Arial"/>
        </w:rPr>
        <w:t xml:space="preserve"> źródeł wody do celów przeciwpożarowych w lasach, o których mowa w § 39 ust. </w:t>
      </w:r>
      <w:r w:rsidR="00C65737" w:rsidRPr="00C65737">
        <w:rPr>
          <w:rFonts w:ascii="Arial" w:hAnsi="Arial" w:cs="Arial"/>
        </w:rPr>
        <w:t>4–</w:t>
      </w:r>
      <w:r w:rsidR="00074FD2" w:rsidRPr="00C65737">
        <w:rPr>
          <w:rFonts w:ascii="Arial" w:hAnsi="Arial" w:cs="Arial"/>
        </w:rPr>
        <w:t xml:space="preserve">11 zmienianego rozporządzenia, w brzmieniu nadanym § 1 pkt 1 lit. a i b, można stosować wymagania, o których mowa w § 39 ust. 3 i 4 zmienianego rozporządzenia, w brzmieniu dotychczasowym. </w:t>
      </w:r>
    </w:p>
    <w:p w:rsidR="00607508" w:rsidRPr="00C65737" w:rsidRDefault="00145023" w:rsidP="00074FD2">
      <w:pPr>
        <w:ind w:firstLine="54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>Projekt nie zawiera przepisów technicznych, nie podlega zatem notyfikacji zgodnie z</w:t>
      </w:r>
      <w:r w:rsidR="00047F37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trybem przewidzianym w rozporządzeniu Rady Ministrów z dnia 23 grudnia 2002 r. w sprawie sposobu funkcjonowania krajowego systemu notyfikacji norm i</w:t>
      </w:r>
      <w:r w:rsidR="005668C7" w:rsidRPr="00C65737">
        <w:rPr>
          <w:rFonts w:ascii="Arial" w:hAnsi="Arial" w:cs="Arial"/>
        </w:rPr>
        <w:t xml:space="preserve"> </w:t>
      </w:r>
      <w:r w:rsidRPr="00C65737">
        <w:rPr>
          <w:rFonts w:ascii="Arial" w:hAnsi="Arial" w:cs="Arial"/>
        </w:rPr>
        <w:t>aktów prawnych (Dz</w:t>
      </w:r>
      <w:r w:rsidR="005668C7" w:rsidRPr="00C65737">
        <w:rPr>
          <w:rFonts w:ascii="Arial" w:hAnsi="Arial" w:cs="Arial"/>
        </w:rPr>
        <w:t>.</w:t>
      </w:r>
      <w:r w:rsidR="00A81424">
        <w:rPr>
          <w:rFonts w:ascii="Arial" w:hAnsi="Arial" w:cs="Arial"/>
        </w:rPr>
        <w:t> </w:t>
      </w:r>
      <w:r w:rsidRPr="00C65737">
        <w:rPr>
          <w:rFonts w:ascii="Arial" w:hAnsi="Arial" w:cs="Arial"/>
        </w:rPr>
        <w:t>U. poz</w:t>
      </w:r>
      <w:r w:rsidR="005668C7" w:rsidRPr="00C65737">
        <w:rPr>
          <w:rFonts w:ascii="Arial" w:hAnsi="Arial" w:cs="Arial"/>
        </w:rPr>
        <w:t xml:space="preserve">. </w:t>
      </w:r>
      <w:r w:rsidRPr="00C65737">
        <w:rPr>
          <w:rFonts w:ascii="Arial" w:hAnsi="Arial" w:cs="Arial"/>
        </w:rPr>
        <w:t>2039 oraz z 2004 r. poz. 597).</w:t>
      </w:r>
    </w:p>
    <w:p w:rsidR="00145023" w:rsidRPr="00C65737" w:rsidRDefault="00145023" w:rsidP="00145023">
      <w:pPr>
        <w:ind w:firstLine="54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 xml:space="preserve">Przedmiotowy projekt z uwagi na swój charakter nie zawiera regulacji dotyczących majątkowych praw i obowiązków przedsiębiorców lub praw i obowiązków przedsiębiorców wobec organów administracji publicznej, a zatem nie podlega obowiązkowi dokonania oceny przewidywanego wpływu proponowanych rozwiązań na działalność mikro, małych i średnich przedsiębiorców, stosownie do przepisów ustawy z dnia 6 marca 2018 r. – Prawo przedsiębiorców (Dz. U. z 2021 r. poz. 162). </w:t>
      </w:r>
    </w:p>
    <w:p w:rsidR="00C65737" w:rsidRPr="00C65737" w:rsidRDefault="00C65737" w:rsidP="00145023">
      <w:pPr>
        <w:ind w:firstLine="54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lastRenderedPageBreak/>
        <w:t>W ocenie projektodawcy przedmiotowa regulacja nie jest objęta prawem Unii Europejskiej i nie podlega obowiązkowi przedstawienia właściwym organom i instytucjom Unii Europejskiej, w tym Europejskiemu Bankowi Centralnemu, w celu uzyskania opinii, dokonania powiadomienia, konsultacji albo uzgodnienia.</w:t>
      </w:r>
    </w:p>
    <w:p w:rsidR="00145023" w:rsidRPr="00C65737" w:rsidRDefault="00C65737" w:rsidP="00145023">
      <w:pPr>
        <w:ind w:firstLine="54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>Projekt został</w:t>
      </w:r>
      <w:r w:rsidR="00145023" w:rsidRPr="00C65737">
        <w:rPr>
          <w:rFonts w:ascii="Arial" w:hAnsi="Arial" w:cs="Arial"/>
        </w:rPr>
        <w:t xml:space="preserve"> udostępniony w Biuletynie Informacji Publicznej na stronie internetowej Rządowego Centrum Legislacji w zakła</w:t>
      </w:r>
      <w:r w:rsidR="0098289C">
        <w:rPr>
          <w:rFonts w:ascii="Arial" w:hAnsi="Arial" w:cs="Arial"/>
        </w:rPr>
        <w:t xml:space="preserve">dce Rządowy Proces Legislacyjny, </w:t>
      </w:r>
      <w:r w:rsidR="00145023" w:rsidRPr="00C65737">
        <w:rPr>
          <w:rFonts w:ascii="Arial" w:hAnsi="Arial" w:cs="Arial"/>
        </w:rPr>
        <w:t xml:space="preserve">zgodnie z </w:t>
      </w:r>
      <w:r w:rsidR="005668C7" w:rsidRPr="00C65737">
        <w:rPr>
          <w:rFonts w:ascii="Arial" w:hAnsi="Arial" w:cs="Arial"/>
        </w:rPr>
        <w:t xml:space="preserve">§ </w:t>
      </w:r>
      <w:r w:rsidR="00145023" w:rsidRPr="00C65737">
        <w:rPr>
          <w:rFonts w:ascii="Arial" w:hAnsi="Arial" w:cs="Arial"/>
        </w:rPr>
        <w:t xml:space="preserve">52 uchwały </w:t>
      </w:r>
      <w:r w:rsidR="005668C7" w:rsidRPr="00C65737">
        <w:rPr>
          <w:rFonts w:ascii="Arial" w:hAnsi="Arial" w:cs="Arial"/>
        </w:rPr>
        <w:t xml:space="preserve">nr </w:t>
      </w:r>
      <w:r w:rsidR="00145023" w:rsidRPr="00C65737">
        <w:rPr>
          <w:rFonts w:ascii="Arial" w:hAnsi="Arial" w:cs="Arial"/>
        </w:rPr>
        <w:t xml:space="preserve">190 Rady Ministrów z dnia 29 października 2013 r. – Regulamin pracy Rady Ministrów (M.P. z </w:t>
      </w:r>
      <w:r w:rsidR="005668C7" w:rsidRPr="00C65737">
        <w:rPr>
          <w:rFonts w:ascii="Arial" w:hAnsi="Arial" w:cs="Arial"/>
        </w:rPr>
        <w:t xml:space="preserve">2016 </w:t>
      </w:r>
      <w:r w:rsidR="00145023" w:rsidRPr="00C65737">
        <w:rPr>
          <w:rFonts w:ascii="Arial" w:hAnsi="Arial" w:cs="Arial"/>
        </w:rPr>
        <w:t>r. poz</w:t>
      </w:r>
      <w:r w:rsidR="005668C7" w:rsidRPr="00C65737">
        <w:rPr>
          <w:rFonts w:ascii="Arial" w:hAnsi="Arial" w:cs="Arial"/>
        </w:rPr>
        <w:t xml:space="preserve">. </w:t>
      </w:r>
      <w:r w:rsidR="00145023" w:rsidRPr="00C65737">
        <w:rPr>
          <w:rFonts w:ascii="Arial" w:hAnsi="Arial" w:cs="Arial"/>
        </w:rPr>
        <w:t>1006, z późn. zm.) oraz stosownie do wymogów art</w:t>
      </w:r>
      <w:r w:rsidR="005668C7" w:rsidRPr="00C65737">
        <w:rPr>
          <w:rFonts w:ascii="Arial" w:hAnsi="Arial" w:cs="Arial"/>
        </w:rPr>
        <w:t xml:space="preserve">. </w:t>
      </w:r>
      <w:r w:rsidR="00145023" w:rsidRPr="00C65737">
        <w:rPr>
          <w:rFonts w:ascii="Arial" w:hAnsi="Arial" w:cs="Arial"/>
        </w:rPr>
        <w:t xml:space="preserve">5 ustawy z dnia 7 lipca </w:t>
      </w:r>
      <w:r w:rsidR="005668C7" w:rsidRPr="00C65737">
        <w:rPr>
          <w:rFonts w:ascii="Arial" w:hAnsi="Arial" w:cs="Arial"/>
        </w:rPr>
        <w:t xml:space="preserve">2005 </w:t>
      </w:r>
      <w:r w:rsidR="00145023" w:rsidRPr="00C65737">
        <w:rPr>
          <w:rFonts w:ascii="Arial" w:hAnsi="Arial" w:cs="Arial"/>
        </w:rPr>
        <w:t>r. o działalności lobbingowej w procesie stanowienia prawa (Dz</w:t>
      </w:r>
      <w:r w:rsidR="005668C7" w:rsidRPr="00C65737">
        <w:rPr>
          <w:rFonts w:ascii="Arial" w:hAnsi="Arial" w:cs="Arial"/>
        </w:rPr>
        <w:t xml:space="preserve">. </w:t>
      </w:r>
      <w:r w:rsidR="00145023" w:rsidRPr="00C65737">
        <w:rPr>
          <w:rFonts w:ascii="Arial" w:hAnsi="Arial" w:cs="Arial"/>
        </w:rPr>
        <w:t xml:space="preserve">U. z </w:t>
      </w:r>
      <w:r w:rsidR="0098289C">
        <w:rPr>
          <w:rFonts w:ascii="Arial" w:hAnsi="Arial" w:cs="Arial"/>
        </w:rPr>
        <w:t>2017 </w:t>
      </w:r>
      <w:r w:rsidR="00145023" w:rsidRPr="00C65737">
        <w:rPr>
          <w:rFonts w:ascii="Arial" w:hAnsi="Arial" w:cs="Arial"/>
        </w:rPr>
        <w:t>r. poz</w:t>
      </w:r>
      <w:r w:rsidR="005668C7" w:rsidRPr="00C65737">
        <w:rPr>
          <w:rFonts w:ascii="Arial" w:hAnsi="Arial" w:cs="Arial"/>
        </w:rPr>
        <w:t xml:space="preserve">. </w:t>
      </w:r>
      <w:r w:rsidR="00145023" w:rsidRPr="00C65737">
        <w:rPr>
          <w:rFonts w:ascii="Arial" w:hAnsi="Arial" w:cs="Arial"/>
        </w:rPr>
        <w:t>248).</w:t>
      </w:r>
    </w:p>
    <w:p w:rsidR="00145023" w:rsidRPr="00C65737" w:rsidRDefault="00145023" w:rsidP="00145023">
      <w:pPr>
        <w:ind w:firstLine="540"/>
        <w:jc w:val="both"/>
        <w:rPr>
          <w:rFonts w:ascii="Arial" w:hAnsi="Arial" w:cs="Arial"/>
        </w:rPr>
      </w:pPr>
      <w:r w:rsidRPr="00C65737">
        <w:rPr>
          <w:rFonts w:ascii="Arial" w:hAnsi="Arial" w:cs="Arial"/>
        </w:rPr>
        <w:t>Projekt nie podlegał dokonaniu oceny OSR przez koordynatora OSR w trybie § 32 uchwały nr 190 Rady Ministrów z dnia 29 października 2013 r. – Regulamin pracy Rady Ministrów.</w:t>
      </w:r>
    </w:p>
    <w:sectPr w:rsidR="00145023" w:rsidRPr="00C65737" w:rsidSect="00C84C4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04" w:rsidRDefault="001B6C04" w:rsidP="00AF1ADC">
      <w:pPr>
        <w:spacing w:after="0" w:line="240" w:lineRule="auto"/>
      </w:pPr>
      <w:r>
        <w:separator/>
      </w:r>
    </w:p>
  </w:endnote>
  <w:endnote w:type="continuationSeparator" w:id="0">
    <w:p w:rsidR="001B6C04" w:rsidRDefault="001B6C04" w:rsidP="00AF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04" w:rsidRDefault="001B6C04" w:rsidP="00AF1ADC">
      <w:pPr>
        <w:spacing w:after="0" w:line="240" w:lineRule="auto"/>
      </w:pPr>
      <w:r>
        <w:separator/>
      </w:r>
    </w:p>
  </w:footnote>
  <w:footnote w:type="continuationSeparator" w:id="0">
    <w:p w:rsidR="001B6C04" w:rsidRDefault="001B6C04" w:rsidP="00AF1ADC">
      <w:pPr>
        <w:spacing w:after="0" w:line="240" w:lineRule="auto"/>
      </w:pPr>
      <w:r>
        <w:continuationSeparator/>
      </w:r>
    </w:p>
  </w:footnote>
  <w:footnote w:id="1">
    <w:p w:rsidR="00047F37" w:rsidRDefault="00047F37" w:rsidP="003C6C9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543F93">
        <w:rPr>
          <w:rFonts w:ascii="Arial" w:hAnsi="Arial" w:cs="Arial"/>
        </w:rPr>
        <w:t>Na podstawie danych zawartych w informacji o wynikach kontroli P/20/089 (str. 67) w 24 objętych kontrolą powiatach łączna liczba właścicieli (współwłaścicieli) lasów niepaństwowych wynosiła 330</w:t>
      </w:r>
      <w:r w:rsidR="0098289C">
        <w:rPr>
          <w:rFonts w:ascii="Arial" w:hAnsi="Arial" w:cs="Arial"/>
        </w:rPr>
        <w:t> </w:t>
      </w:r>
      <w:r w:rsidRPr="00543F93">
        <w:rPr>
          <w:rFonts w:ascii="Arial" w:hAnsi="Arial" w:cs="Arial"/>
        </w:rPr>
        <w:t>456</w:t>
      </w:r>
      <w:r w:rsidR="0098289C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3085"/>
      <w:docPartObj>
        <w:docPartGallery w:val="Page Numbers (Top of Page)"/>
        <w:docPartUnique/>
      </w:docPartObj>
    </w:sdtPr>
    <w:sdtEndPr>
      <w:rPr>
        <w:rFonts w:ascii="Arial" w:hAnsi="Arial" w:cs="Arial"/>
        <w:szCs w:val="24"/>
      </w:rPr>
    </w:sdtEndPr>
    <w:sdtContent>
      <w:p w:rsidR="00047F37" w:rsidRPr="00C84C48" w:rsidRDefault="00047F37">
        <w:pPr>
          <w:pStyle w:val="Nagwek"/>
          <w:jc w:val="center"/>
          <w:rPr>
            <w:rFonts w:ascii="Arial" w:hAnsi="Arial" w:cs="Arial"/>
            <w:szCs w:val="24"/>
          </w:rPr>
        </w:pPr>
        <w:r w:rsidRPr="00C84C48">
          <w:rPr>
            <w:rFonts w:ascii="Arial" w:hAnsi="Arial" w:cs="Arial"/>
            <w:szCs w:val="24"/>
          </w:rPr>
          <w:fldChar w:fldCharType="begin"/>
        </w:r>
        <w:r w:rsidRPr="00C84C48">
          <w:rPr>
            <w:rFonts w:ascii="Arial" w:hAnsi="Arial" w:cs="Arial"/>
            <w:szCs w:val="24"/>
          </w:rPr>
          <w:instrText>PAGE   \* MERGEFORMAT</w:instrText>
        </w:r>
        <w:r w:rsidRPr="00C84C48">
          <w:rPr>
            <w:rFonts w:ascii="Arial" w:hAnsi="Arial" w:cs="Arial"/>
            <w:szCs w:val="24"/>
          </w:rPr>
          <w:fldChar w:fldCharType="separate"/>
        </w:r>
        <w:r w:rsidR="00A96082">
          <w:rPr>
            <w:rFonts w:ascii="Arial" w:hAnsi="Arial" w:cs="Arial"/>
            <w:noProof/>
            <w:szCs w:val="24"/>
          </w:rPr>
          <w:t>5</w:t>
        </w:r>
        <w:r w:rsidRPr="00C84C48">
          <w:rPr>
            <w:rFonts w:ascii="Arial" w:hAnsi="Arial" w:cs="Arial"/>
            <w:szCs w:val="24"/>
          </w:rPr>
          <w:fldChar w:fldCharType="end"/>
        </w:r>
      </w:p>
    </w:sdtContent>
  </w:sdt>
  <w:p w:rsidR="00047F37" w:rsidRDefault="00047F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CD2"/>
    <w:multiLevelType w:val="hybridMultilevel"/>
    <w:tmpl w:val="54944D54"/>
    <w:lvl w:ilvl="0" w:tplc="87544A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C53B2C"/>
    <w:multiLevelType w:val="hybridMultilevel"/>
    <w:tmpl w:val="6EAC1F22"/>
    <w:lvl w:ilvl="0" w:tplc="FF7E4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2B58F6"/>
    <w:multiLevelType w:val="hybridMultilevel"/>
    <w:tmpl w:val="437E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5A27"/>
    <w:multiLevelType w:val="hybridMultilevel"/>
    <w:tmpl w:val="C72EA722"/>
    <w:lvl w:ilvl="0" w:tplc="B71C5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2378"/>
    <w:multiLevelType w:val="hybridMultilevel"/>
    <w:tmpl w:val="D94263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1F2E85"/>
    <w:multiLevelType w:val="hybridMultilevel"/>
    <w:tmpl w:val="CB70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1E77"/>
    <w:multiLevelType w:val="hybridMultilevel"/>
    <w:tmpl w:val="F8BCE3FC"/>
    <w:lvl w:ilvl="0" w:tplc="FF7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5BBE"/>
    <w:multiLevelType w:val="hybridMultilevel"/>
    <w:tmpl w:val="1F82101E"/>
    <w:lvl w:ilvl="0" w:tplc="6E78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FF1D12"/>
    <w:multiLevelType w:val="hybridMultilevel"/>
    <w:tmpl w:val="F44CC0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92B7E"/>
    <w:multiLevelType w:val="hybridMultilevel"/>
    <w:tmpl w:val="E3F0F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03316"/>
    <w:multiLevelType w:val="hybridMultilevel"/>
    <w:tmpl w:val="1584A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31854"/>
    <w:multiLevelType w:val="hybridMultilevel"/>
    <w:tmpl w:val="193085A8"/>
    <w:lvl w:ilvl="0" w:tplc="FF7E4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137155"/>
    <w:multiLevelType w:val="hybridMultilevel"/>
    <w:tmpl w:val="1584A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D02A2"/>
    <w:multiLevelType w:val="hybridMultilevel"/>
    <w:tmpl w:val="774E4E20"/>
    <w:lvl w:ilvl="0" w:tplc="FF7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35C9"/>
    <w:multiLevelType w:val="hybridMultilevel"/>
    <w:tmpl w:val="D542FB70"/>
    <w:lvl w:ilvl="0" w:tplc="60F61B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12133"/>
    <w:multiLevelType w:val="hybridMultilevel"/>
    <w:tmpl w:val="B73634C8"/>
    <w:lvl w:ilvl="0" w:tplc="4664EBC8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5940442B"/>
    <w:multiLevelType w:val="hybridMultilevel"/>
    <w:tmpl w:val="E842AC00"/>
    <w:lvl w:ilvl="0" w:tplc="FF7E4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E823E4"/>
    <w:multiLevelType w:val="hybridMultilevel"/>
    <w:tmpl w:val="17321772"/>
    <w:lvl w:ilvl="0" w:tplc="FF7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45947"/>
    <w:multiLevelType w:val="hybridMultilevel"/>
    <w:tmpl w:val="9E6C2754"/>
    <w:lvl w:ilvl="0" w:tplc="FF7E4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C64471"/>
    <w:multiLevelType w:val="hybridMultilevel"/>
    <w:tmpl w:val="C7B288B2"/>
    <w:lvl w:ilvl="0" w:tplc="E6C0DD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42268"/>
    <w:multiLevelType w:val="hybridMultilevel"/>
    <w:tmpl w:val="498AC3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BE3169D"/>
    <w:multiLevelType w:val="hybridMultilevel"/>
    <w:tmpl w:val="62A48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127BCB"/>
    <w:multiLevelType w:val="hybridMultilevel"/>
    <w:tmpl w:val="12F0FDDA"/>
    <w:lvl w:ilvl="0" w:tplc="7B387C40">
      <w:start w:val="1"/>
      <w:numFmt w:val="decimal"/>
      <w:lvlText w:val="%1)"/>
      <w:lvlJc w:val="left"/>
      <w:pPr>
        <w:ind w:left="735" w:hanging="37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7"/>
  </w:num>
  <w:num w:numId="5">
    <w:abstractNumId w:val="6"/>
  </w:num>
  <w:num w:numId="6">
    <w:abstractNumId w:val="13"/>
  </w:num>
  <w:num w:numId="7">
    <w:abstractNumId w:val="18"/>
  </w:num>
  <w:num w:numId="8">
    <w:abstractNumId w:val="1"/>
  </w:num>
  <w:num w:numId="9">
    <w:abstractNumId w:val="19"/>
  </w:num>
  <w:num w:numId="10">
    <w:abstractNumId w:val="5"/>
  </w:num>
  <w:num w:numId="11">
    <w:abstractNumId w:val="14"/>
  </w:num>
  <w:num w:numId="12">
    <w:abstractNumId w:val="4"/>
  </w:num>
  <w:num w:numId="13">
    <w:abstractNumId w:val="11"/>
  </w:num>
  <w:num w:numId="14">
    <w:abstractNumId w:val="20"/>
  </w:num>
  <w:num w:numId="15">
    <w:abstractNumId w:val="16"/>
  </w:num>
  <w:num w:numId="16">
    <w:abstractNumId w:val="8"/>
  </w:num>
  <w:num w:numId="17">
    <w:abstractNumId w:val="7"/>
  </w:num>
  <w:num w:numId="18">
    <w:abstractNumId w:val="22"/>
  </w:num>
  <w:num w:numId="19">
    <w:abstractNumId w:val="10"/>
  </w:num>
  <w:num w:numId="20">
    <w:abstractNumId w:val="3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91"/>
    <w:rsid w:val="000012E0"/>
    <w:rsid w:val="000050E3"/>
    <w:rsid w:val="000142E0"/>
    <w:rsid w:val="000172E9"/>
    <w:rsid w:val="00024A60"/>
    <w:rsid w:val="000258D0"/>
    <w:rsid w:val="00027276"/>
    <w:rsid w:val="00037A83"/>
    <w:rsid w:val="00044599"/>
    <w:rsid w:val="00045E28"/>
    <w:rsid w:val="00047F37"/>
    <w:rsid w:val="00053255"/>
    <w:rsid w:val="000539B1"/>
    <w:rsid w:val="00057369"/>
    <w:rsid w:val="00063DF8"/>
    <w:rsid w:val="00065603"/>
    <w:rsid w:val="0007129F"/>
    <w:rsid w:val="00074FD2"/>
    <w:rsid w:val="000A0362"/>
    <w:rsid w:val="000A30EF"/>
    <w:rsid w:val="000A4583"/>
    <w:rsid w:val="000A68B7"/>
    <w:rsid w:val="000B05B9"/>
    <w:rsid w:val="000B15C6"/>
    <w:rsid w:val="000B27AA"/>
    <w:rsid w:val="000B2865"/>
    <w:rsid w:val="000B70CC"/>
    <w:rsid w:val="000C3C04"/>
    <w:rsid w:val="000D1313"/>
    <w:rsid w:val="000E2D55"/>
    <w:rsid w:val="000E51F1"/>
    <w:rsid w:val="000E6725"/>
    <w:rsid w:val="000E6748"/>
    <w:rsid w:val="000F3843"/>
    <w:rsid w:val="0010472A"/>
    <w:rsid w:val="001062C6"/>
    <w:rsid w:val="00120D0D"/>
    <w:rsid w:val="00122F97"/>
    <w:rsid w:val="001256C5"/>
    <w:rsid w:val="00132549"/>
    <w:rsid w:val="00141BF4"/>
    <w:rsid w:val="00143F6D"/>
    <w:rsid w:val="00145023"/>
    <w:rsid w:val="001817E2"/>
    <w:rsid w:val="00182C30"/>
    <w:rsid w:val="00184DE6"/>
    <w:rsid w:val="00190672"/>
    <w:rsid w:val="00194E75"/>
    <w:rsid w:val="00195CFD"/>
    <w:rsid w:val="00196C82"/>
    <w:rsid w:val="001B6C04"/>
    <w:rsid w:val="001B76AB"/>
    <w:rsid w:val="001B7FB3"/>
    <w:rsid w:val="001C2351"/>
    <w:rsid w:val="001E2656"/>
    <w:rsid w:val="001E2FAE"/>
    <w:rsid w:val="001E7457"/>
    <w:rsid w:val="00201E65"/>
    <w:rsid w:val="002033E5"/>
    <w:rsid w:val="00204138"/>
    <w:rsid w:val="002149BE"/>
    <w:rsid w:val="00217AEB"/>
    <w:rsid w:val="00227A00"/>
    <w:rsid w:val="00255469"/>
    <w:rsid w:val="00277FBF"/>
    <w:rsid w:val="0028081F"/>
    <w:rsid w:val="002918B9"/>
    <w:rsid w:val="002A6F37"/>
    <w:rsid w:val="002B04BB"/>
    <w:rsid w:val="002B437B"/>
    <w:rsid w:val="002C1ABD"/>
    <w:rsid w:val="002C6833"/>
    <w:rsid w:val="002C6DE1"/>
    <w:rsid w:val="002C7831"/>
    <w:rsid w:val="002E214D"/>
    <w:rsid w:val="002E27A4"/>
    <w:rsid w:val="002E7C94"/>
    <w:rsid w:val="002F446A"/>
    <w:rsid w:val="00316E4A"/>
    <w:rsid w:val="003379D8"/>
    <w:rsid w:val="00377CED"/>
    <w:rsid w:val="0038666A"/>
    <w:rsid w:val="00393B21"/>
    <w:rsid w:val="00396F9E"/>
    <w:rsid w:val="003975F9"/>
    <w:rsid w:val="003A3C2F"/>
    <w:rsid w:val="003A3DAF"/>
    <w:rsid w:val="003B540D"/>
    <w:rsid w:val="003B7586"/>
    <w:rsid w:val="003C6C93"/>
    <w:rsid w:val="003D2782"/>
    <w:rsid w:val="003D7D77"/>
    <w:rsid w:val="003F0E70"/>
    <w:rsid w:val="003F55D1"/>
    <w:rsid w:val="004026B1"/>
    <w:rsid w:val="004034D9"/>
    <w:rsid w:val="00404CF1"/>
    <w:rsid w:val="0041398B"/>
    <w:rsid w:val="00416691"/>
    <w:rsid w:val="004210F3"/>
    <w:rsid w:val="00423E7B"/>
    <w:rsid w:val="00426E28"/>
    <w:rsid w:val="004354DF"/>
    <w:rsid w:val="00437148"/>
    <w:rsid w:val="0044304C"/>
    <w:rsid w:val="004439AD"/>
    <w:rsid w:val="004530B1"/>
    <w:rsid w:val="00456A65"/>
    <w:rsid w:val="004572DB"/>
    <w:rsid w:val="00461FAC"/>
    <w:rsid w:val="00462FC2"/>
    <w:rsid w:val="00470195"/>
    <w:rsid w:val="0048198B"/>
    <w:rsid w:val="00485498"/>
    <w:rsid w:val="00485B7E"/>
    <w:rsid w:val="004907B6"/>
    <w:rsid w:val="004C6907"/>
    <w:rsid w:val="004F0A91"/>
    <w:rsid w:val="005206DF"/>
    <w:rsid w:val="005258E7"/>
    <w:rsid w:val="005350AA"/>
    <w:rsid w:val="0054030B"/>
    <w:rsid w:val="00540CF4"/>
    <w:rsid w:val="00543F93"/>
    <w:rsid w:val="005521AB"/>
    <w:rsid w:val="005668C7"/>
    <w:rsid w:val="0056703E"/>
    <w:rsid w:val="005703B0"/>
    <w:rsid w:val="00570BB1"/>
    <w:rsid w:val="00573A9A"/>
    <w:rsid w:val="0057524A"/>
    <w:rsid w:val="00575417"/>
    <w:rsid w:val="00587B89"/>
    <w:rsid w:val="00591F01"/>
    <w:rsid w:val="00592CFC"/>
    <w:rsid w:val="00594A04"/>
    <w:rsid w:val="005A1A4E"/>
    <w:rsid w:val="005A2A7A"/>
    <w:rsid w:val="005A4A8C"/>
    <w:rsid w:val="005A615C"/>
    <w:rsid w:val="005B1748"/>
    <w:rsid w:val="005B1F0D"/>
    <w:rsid w:val="005B356C"/>
    <w:rsid w:val="005C3B53"/>
    <w:rsid w:val="005E6FC2"/>
    <w:rsid w:val="005E7B73"/>
    <w:rsid w:val="005F1061"/>
    <w:rsid w:val="005F7165"/>
    <w:rsid w:val="00601C2B"/>
    <w:rsid w:val="006044BB"/>
    <w:rsid w:val="00607508"/>
    <w:rsid w:val="006078B5"/>
    <w:rsid w:val="00620533"/>
    <w:rsid w:val="00620D4B"/>
    <w:rsid w:val="00625F28"/>
    <w:rsid w:val="00631AC0"/>
    <w:rsid w:val="00646039"/>
    <w:rsid w:val="00666FB7"/>
    <w:rsid w:val="006719FE"/>
    <w:rsid w:val="006720AF"/>
    <w:rsid w:val="006729EB"/>
    <w:rsid w:val="00681E07"/>
    <w:rsid w:val="00683615"/>
    <w:rsid w:val="00685B55"/>
    <w:rsid w:val="006B4AAB"/>
    <w:rsid w:val="006B6CFA"/>
    <w:rsid w:val="006C7A8C"/>
    <w:rsid w:val="006E22C4"/>
    <w:rsid w:val="006E4B9D"/>
    <w:rsid w:val="006E4F50"/>
    <w:rsid w:val="006F3104"/>
    <w:rsid w:val="006F6E68"/>
    <w:rsid w:val="006F7912"/>
    <w:rsid w:val="00707168"/>
    <w:rsid w:val="0071036F"/>
    <w:rsid w:val="00710F73"/>
    <w:rsid w:val="007229B8"/>
    <w:rsid w:val="007316CB"/>
    <w:rsid w:val="00731830"/>
    <w:rsid w:val="00736443"/>
    <w:rsid w:val="00737114"/>
    <w:rsid w:val="007374B5"/>
    <w:rsid w:val="00765E44"/>
    <w:rsid w:val="007718F8"/>
    <w:rsid w:val="00776269"/>
    <w:rsid w:val="00786EB2"/>
    <w:rsid w:val="0078701C"/>
    <w:rsid w:val="0079398C"/>
    <w:rsid w:val="00794210"/>
    <w:rsid w:val="0079785E"/>
    <w:rsid w:val="007A663F"/>
    <w:rsid w:val="007B1A83"/>
    <w:rsid w:val="007C0A71"/>
    <w:rsid w:val="007C671C"/>
    <w:rsid w:val="007C75D8"/>
    <w:rsid w:val="007D5717"/>
    <w:rsid w:val="00804D15"/>
    <w:rsid w:val="00817865"/>
    <w:rsid w:val="00851C6E"/>
    <w:rsid w:val="00855962"/>
    <w:rsid w:val="00866269"/>
    <w:rsid w:val="00866E86"/>
    <w:rsid w:val="00866F9F"/>
    <w:rsid w:val="00875322"/>
    <w:rsid w:val="00875F4D"/>
    <w:rsid w:val="0089548A"/>
    <w:rsid w:val="008974AB"/>
    <w:rsid w:val="008B5F0C"/>
    <w:rsid w:val="008E637C"/>
    <w:rsid w:val="008F24B6"/>
    <w:rsid w:val="008F5ABD"/>
    <w:rsid w:val="008F69A8"/>
    <w:rsid w:val="008F7B7A"/>
    <w:rsid w:val="00906FCB"/>
    <w:rsid w:val="00912A7C"/>
    <w:rsid w:val="00917B62"/>
    <w:rsid w:val="00925650"/>
    <w:rsid w:val="0093235D"/>
    <w:rsid w:val="00940005"/>
    <w:rsid w:val="00970AE8"/>
    <w:rsid w:val="0098289C"/>
    <w:rsid w:val="00984220"/>
    <w:rsid w:val="009848B3"/>
    <w:rsid w:val="009A4037"/>
    <w:rsid w:val="009B5F5F"/>
    <w:rsid w:val="009B70E3"/>
    <w:rsid w:val="009C068D"/>
    <w:rsid w:val="009C3AA7"/>
    <w:rsid w:val="009D76DE"/>
    <w:rsid w:val="009E4BFB"/>
    <w:rsid w:val="009E5A18"/>
    <w:rsid w:val="009E6111"/>
    <w:rsid w:val="009E77EE"/>
    <w:rsid w:val="009F4A75"/>
    <w:rsid w:val="009F76FF"/>
    <w:rsid w:val="00A031EA"/>
    <w:rsid w:val="00A07A41"/>
    <w:rsid w:val="00A14EF2"/>
    <w:rsid w:val="00A21736"/>
    <w:rsid w:val="00A27C1E"/>
    <w:rsid w:val="00A3681F"/>
    <w:rsid w:val="00A43196"/>
    <w:rsid w:val="00A64F12"/>
    <w:rsid w:val="00A704F2"/>
    <w:rsid w:val="00A81424"/>
    <w:rsid w:val="00A879F4"/>
    <w:rsid w:val="00A96082"/>
    <w:rsid w:val="00AA098C"/>
    <w:rsid w:val="00AA6080"/>
    <w:rsid w:val="00AA7F38"/>
    <w:rsid w:val="00AB7C15"/>
    <w:rsid w:val="00AC025A"/>
    <w:rsid w:val="00AC5E15"/>
    <w:rsid w:val="00AD1607"/>
    <w:rsid w:val="00AD4BDE"/>
    <w:rsid w:val="00AD6DE9"/>
    <w:rsid w:val="00AE009D"/>
    <w:rsid w:val="00AE0F5F"/>
    <w:rsid w:val="00AF0122"/>
    <w:rsid w:val="00AF031C"/>
    <w:rsid w:val="00AF1ADC"/>
    <w:rsid w:val="00AF7D9A"/>
    <w:rsid w:val="00B043F0"/>
    <w:rsid w:val="00B10B30"/>
    <w:rsid w:val="00B1182B"/>
    <w:rsid w:val="00B11B0C"/>
    <w:rsid w:val="00B37482"/>
    <w:rsid w:val="00B40634"/>
    <w:rsid w:val="00B45C41"/>
    <w:rsid w:val="00B53C8E"/>
    <w:rsid w:val="00B56373"/>
    <w:rsid w:val="00B57FF6"/>
    <w:rsid w:val="00B608A2"/>
    <w:rsid w:val="00B674D3"/>
    <w:rsid w:val="00B80AF5"/>
    <w:rsid w:val="00B840AB"/>
    <w:rsid w:val="00B873B7"/>
    <w:rsid w:val="00B92C0B"/>
    <w:rsid w:val="00B9617D"/>
    <w:rsid w:val="00BA2A2F"/>
    <w:rsid w:val="00BA7BA3"/>
    <w:rsid w:val="00BB653D"/>
    <w:rsid w:val="00BB771E"/>
    <w:rsid w:val="00BC4147"/>
    <w:rsid w:val="00BD10FB"/>
    <w:rsid w:val="00BD3378"/>
    <w:rsid w:val="00BE299E"/>
    <w:rsid w:val="00BE2A50"/>
    <w:rsid w:val="00BE403E"/>
    <w:rsid w:val="00BF2A3B"/>
    <w:rsid w:val="00BF489A"/>
    <w:rsid w:val="00BF4FCA"/>
    <w:rsid w:val="00C02B35"/>
    <w:rsid w:val="00C24C37"/>
    <w:rsid w:val="00C445D7"/>
    <w:rsid w:val="00C445F5"/>
    <w:rsid w:val="00C459EE"/>
    <w:rsid w:val="00C46BFC"/>
    <w:rsid w:val="00C47775"/>
    <w:rsid w:val="00C57AEF"/>
    <w:rsid w:val="00C640C0"/>
    <w:rsid w:val="00C65737"/>
    <w:rsid w:val="00C7235A"/>
    <w:rsid w:val="00C826AD"/>
    <w:rsid w:val="00C84C48"/>
    <w:rsid w:val="00C93A2D"/>
    <w:rsid w:val="00C93ADA"/>
    <w:rsid w:val="00C9689A"/>
    <w:rsid w:val="00CA6598"/>
    <w:rsid w:val="00CC04AA"/>
    <w:rsid w:val="00CC625A"/>
    <w:rsid w:val="00CE64D3"/>
    <w:rsid w:val="00CF55D3"/>
    <w:rsid w:val="00CF6D50"/>
    <w:rsid w:val="00D0048D"/>
    <w:rsid w:val="00D02C35"/>
    <w:rsid w:val="00D04612"/>
    <w:rsid w:val="00D07106"/>
    <w:rsid w:val="00D31844"/>
    <w:rsid w:val="00D31D9F"/>
    <w:rsid w:val="00D409E3"/>
    <w:rsid w:val="00D422BC"/>
    <w:rsid w:val="00D428ED"/>
    <w:rsid w:val="00D52C22"/>
    <w:rsid w:val="00D63C90"/>
    <w:rsid w:val="00D643F6"/>
    <w:rsid w:val="00D751D8"/>
    <w:rsid w:val="00D77D16"/>
    <w:rsid w:val="00D85FAF"/>
    <w:rsid w:val="00D87F04"/>
    <w:rsid w:val="00D94C7B"/>
    <w:rsid w:val="00DA0DBB"/>
    <w:rsid w:val="00DB0B21"/>
    <w:rsid w:val="00DB10D4"/>
    <w:rsid w:val="00DB2B4D"/>
    <w:rsid w:val="00DB3D4B"/>
    <w:rsid w:val="00DC2497"/>
    <w:rsid w:val="00DC2EAE"/>
    <w:rsid w:val="00DC76FA"/>
    <w:rsid w:val="00DE0761"/>
    <w:rsid w:val="00DE29FB"/>
    <w:rsid w:val="00DF1E41"/>
    <w:rsid w:val="00DF40FA"/>
    <w:rsid w:val="00E205FF"/>
    <w:rsid w:val="00E229A7"/>
    <w:rsid w:val="00E31671"/>
    <w:rsid w:val="00E34163"/>
    <w:rsid w:val="00E41C82"/>
    <w:rsid w:val="00E41E4F"/>
    <w:rsid w:val="00E460B0"/>
    <w:rsid w:val="00E46E2B"/>
    <w:rsid w:val="00E60364"/>
    <w:rsid w:val="00E67555"/>
    <w:rsid w:val="00E67819"/>
    <w:rsid w:val="00E82C4F"/>
    <w:rsid w:val="00EA221F"/>
    <w:rsid w:val="00EB39B9"/>
    <w:rsid w:val="00EC01CB"/>
    <w:rsid w:val="00EC07D3"/>
    <w:rsid w:val="00EC3077"/>
    <w:rsid w:val="00EC7F2C"/>
    <w:rsid w:val="00ED7A56"/>
    <w:rsid w:val="00EE0BD1"/>
    <w:rsid w:val="00EE104F"/>
    <w:rsid w:val="00EE37FC"/>
    <w:rsid w:val="00EE7576"/>
    <w:rsid w:val="00EE7D49"/>
    <w:rsid w:val="00F02954"/>
    <w:rsid w:val="00F02F3A"/>
    <w:rsid w:val="00F03BCD"/>
    <w:rsid w:val="00F10226"/>
    <w:rsid w:val="00F10260"/>
    <w:rsid w:val="00F22C7A"/>
    <w:rsid w:val="00F2720D"/>
    <w:rsid w:val="00F36687"/>
    <w:rsid w:val="00F37F45"/>
    <w:rsid w:val="00F40847"/>
    <w:rsid w:val="00F440D3"/>
    <w:rsid w:val="00F44B75"/>
    <w:rsid w:val="00F4678D"/>
    <w:rsid w:val="00F526E0"/>
    <w:rsid w:val="00F56940"/>
    <w:rsid w:val="00F56DA0"/>
    <w:rsid w:val="00F56EAC"/>
    <w:rsid w:val="00F62A56"/>
    <w:rsid w:val="00F63097"/>
    <w:rsid w:val="00F6647E"/>
    <w:rsid w:val="00F70E0D"/>
    <w:rsid w:val="00F75656"/>
    <w:rsid w:val="00F8335F"/>
    <w:rsid w:val="00F926AC"/>
    <w:rsid w:val="00F96ABE"/>
    <w:rsid w:val="00FA454B"/>
    <w:rsid w:val="00FB2FAD"/>
    <w:rsid w:val="00FB473D"/>
    <w:rsid w:val="00FC23A9"/>
    <w:rsid w:val="00FD31BC"/>
    <w:rsid w:val="00FD4BE1"/>
    <w:rsid w:val="00FE0BB8"/>
    <w:rsid w:val="00FE5C8A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1163-A6E0-48B6-9DDB-2388D80E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D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7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78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78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8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8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3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A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A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C48"/>
  </w:style>
  <w:style w:type="paragraph" w:styleId="Stopka">
    <w:name w:val="footer"/>
    <w:basedOn w:val="Normalny"/>
    <w:link w:val="StopkaZnak"/>
    <w:uiPriority w:val="99"/>
    <w:unhideWhenUsed/>
    <w:rsid w:val="00C8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C48"/>
  </w:style>
  <w:style w:type="paragraph" w:customStyle="1" w:styleId="akapitlewy">
    <w:name w:val="akapitlewy"/>
    <w:basedOn w:val="Normalny"/>
    <w:rsid w:val="0014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1450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1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1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740D-E7F1-429F-AD64-9F3B52D3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2089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Wizner</dc:creator>
  <cp:lastModifiedBy>Warmijak Dorota</cp:lastModifiedBy>
  <cp:revision>2</cp:revision>
  <cp:lastPrinted>2021-09-07T13:24:00Z</cp:lastPrinted>
  <dcterms:created xsi:type="dcterms:W3CDTF">2021-11-05T08:15:00Z</dcterms:created>
  <dcterms:modified xsi:type="dcterms:W3CDTF">2021-11-05T08:15:00Z</dcterms:modified>
</cp:coreProperties>
</file>