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310"/>
        <w:gridCol w:w="32"/>
        <w:gridCol w:w="677"/>
        <w:gridCol w:w="141"/>
        <w:gridCol w:w="236"/>
        <w:gridCol w:w="615"/>
        <w:gridCol w:w="207"/>
        <w:gridCol w:w="217"/>
        <w:gridCol w:w="570"/>
        <w:gridCol w:w="80"/>
        <w:gridCol w:w="71"/>
        <w:gridCol w:w="419"/>
        <w:gridCol w:w="113"/>
        <w:gridCol w:w="405"/>
        <w:gridCol w:w="51"/>
        <w:gridCol w:w="266"/>
        <w:gridCol w:w="304"/>
        <w:gridCol w:w="317"/>
        <w:gridCol w:w="253"/>
        <w:gridCol w:w="555"/>
        <w:gridCol w:w="15"/>
        <w:gridCol w:w="1537"/>
        <w:gridCol w:w="10"/>
      </w:tblGrid>
      <w:tr w:rsidR="00B71E1D" w:rsidRPr="008B4FE6" w14:paraId="384C51BA" w14:textId="77777777" w:rsidTr="00564E66">
        <w:trPr>
          <w:gridAfter w:val="1"/>
          <w:wAfter w:w="10" w:type="dxa"/>
          <w:trHeight w:val="4673"/>
        </w:trPr>
        <w:tc>
          <w:tcPr>
            <w:tcW w:w="6632" w:type="dxa"/>
            <w:gridSpan w:val="15"/>
          </w:tcPr>
          <w:p w14:paraId="3A6E35CF" w14:textId="2BB40037" w:rsidR="00B71E1D" w:rsidRPr="005725F4" w:rsidRDefault="00B71E1D" w:rsidP="00716B38">
            <w:pPr>
              <w:spacing w:before="120" w:line="240" w:lineRule="auto"/>
              <w:ind w:hanging="45"/>
              <w:rPr>
                <w:rFonts w:ascii="Times New Roman" w:eastAsiaTheme="minorHAnsi" w:hAnsi="Times New Roman"/>
                <w:sz w:val="24"/>
                <w:szCs w:val="24"/>
              </w:rPr>
            </w:pPr>
            <w:bookmarkStart w:id="0" w:name="t1"/>
            <w:r w:rsidRPr="005725F4">
              <w:rPr>
                <w:rFonts w:ascii="Times New Roman" w:eastAsiaTheme="minorHAnsi" w:hAnsi="Times New Roman"/>
                <w:sz w:val="24"/>
                <w:szCs w:val="24"/>
              </w:rPr>
              <w:t>Nazwa projektu</w:t>
            </w:r>
          </w:p>
          <w:p w14:paraId="31131EB1" w14:textId="0BAC101B" w:rsidR="00613807" w:rsidRPr="005725F4" w:rsidRDefault="007C224D" w:rsidP="00613807">
            <w:pPr>
              <w:pStyle w:val="Bezodstpw"/>
              <w:rPr>
                <w:rFonts w:ascii="Times New Roman" w:eastAsiaTheme="minorHAnsi" w:hAnsi="Times New Roman"/>
                <w:sz w:val="24"/>
                <w:szCs w:val="24"/>
              </w:rPr>
            </w:pPr>
            <w:r w:rsidRPr="005725F4">
              <w:rPr>
                <w:rFonts w:ascii="Times New Roman" w:eastAsiaTheme="minorHAnsi" w:hAnsi="Times New Roman"/>
                <w:sz w:val="24"/>
                <w:szCs w:val="24"/>
              </w:rPr>
              <w:t xml:space="preserve">Ustawa o zmianie </w:t>
            </w:r>
            <w:r w:rsidR="005D7454" w:rsidRPr="005725F4">
              <w:rPr>
                <w:rFonts w:ascii="Times New Roman" w:eastAsiaTheme="minorHAnsi" w:hAnsi="Times New Roman"/>
                <w:sz w:val="24"/>
                <w:szCs w:val="24"/>
              </w:rPr>
              <w:t>ustawy o podatku akcyzowym</w:t>
            </w:r>
            <w:r w:rsidR="000316DA">
              <w:rPr>
                <w:rFonts w:ascii="Times New Roman" w:eastAsiaTheme="minorHAnsi" w:hAnsi="Times New Roman"/>
                <w:sz w:val="24"/>
                <w:szCs w:val="24"/>
              </w:rPr>
              <w:t xml:space="preserve"> oraz </w:t>
            </w:r>
            <w:r w:rsidR="000316DA" w:rsidRPr="005725F4">
              <w:rPr>
                <w:rFonts w:ascii="Times New Roman" w:eastAsiaTheme="minorHAnsi" w:hAnsi="Times New Roman"/>
                <w:sz w:val="24"/>
                <w:szCs w:val="24"/>
              </w:rPr>
              <w:t>ustawy o podatku od sprzedaży detalicznej</w:t>
            </w:r>
            <w:r w:rsidR="007B78FB" w:rsidRPr="005725F4">
              <w:rPr>
                <w:rFonts w:ascii="Times New Roman" w:eastAsiaTheme="minorHAnsi" w:hAnsi="Times New Roman"/>
                <w:sz w:val="24"/>
                <w:szCs w:val="24"/>
              </w:rPr>
              <w:t>.</w:t>
            </w:r>
          </w:p>
          <w:p w14:paraId="458D33A2" w14:textId="77777777" w:rsidR="00B71E1D" w:rsidRPr="005725F4" w:rsidRDefault="00B71E1D" w:rsidP="00716B38">
            <w:pPr>
              <w:spacing w:before="120" w:line="240" w:lineRule="auto"/>
              <w:ind w:hanging="45"/>
              <w:rPr>
                <w:rFonts w:ascii="Times New Roman" w:eastAsiaTheme="minorHAnsi" w:hAnsi="Times New Roman"/>
                <w:sz w:val="24"/>
                <w:szCs w:val="24"/>
              </w:rPr>
            </w:pPr>
            <w:r w:rsidRPr="005725F4">
              <w:rPr>
                <w:rFonts w:ascii="Times New Roman" w:eastAsiaTheme="minorHAnsi" w:hAnsi="Times New Roman"/>
                <w:sz w:val="24"/>
                <w:szCs w:val="24"/>
              </w:rPr>
              <w:t>Ministerstwo wiodące i ministerstwa współpracujące</w:t>
            </w:r>
          </w:p>
          <w:bookmarkEnd w:id="0"/>
          <w:p w14:paraId="5502A4B1" w14:textId="77777777" w:rsidR="00B71E1D" w:rsidRPr="005725F4" w:rsidRDefault="00113267" w:rsidP="00716B38">
            <w:pPr>
              <w:spacing w:line="240" w:lineRule="auto"/>
              <w:ind w:hanging="34"/>
              <w:rPr>
                <w:rFonts w:ascii="Times New Roman" w:eastAsiaTheme="minorHAnsi" w:hAnsi="Times New Roman"/>
                <w:sz w:val="24"/>
                <w:szCs w:val="24"/>
              </w:rPr>
            </w:pPr>
            <w:r w:rsidRPr="005725F4">
              <w:rPr>
                <w:rFonts w:ascii="Times New Roman" w:eastAsiaTheme="minorHAnsi" w:hAnsi="Times New Roman"/>
                <w:sz w:val="24"/>
                <w:szCs w:val="24"/>
              </w:rPr>
              <w:t>Ministerstwo Finansów</w:t>
            </w:r>
          </w:p>
          <w:p w14:paraId="61750825" w14:textId="77777777" w:rsidR="00113267" w:rsidRPr="005725F4" w:rsidRDefault="00113267" w:rsidP="00716B38">
            <w:pPr>
              <w:spacing w:line="240" w:lineRule="auto"/>
              <w:rPr>
                <w:rFonts w:ascii="Times New Roman" w:eastAsiaTheme="minorHAnsi" w:hAnsi="Times New Roman"/>
                <w:sz w:val="24"/>
                <w:szCs w:val="24"/>
              </w:rPr>
            </w:pPr>
          </w:p>
          <w:p w14:paraId="61C65838" w14:textId="77777777" w:rsidR="00B71E1D" w:rsidRPr="005725F4" w:rsidRDefault="00B71E1D" w:rsidP="00716B38">
            <w:pPr>
              <w:spacing w:line="240" w:lineRule="auto"/>
              <w:rPr>
                <w:rFonts w:ascii="Times New Roman" w:eastAsiaTheme="minorHAnsi" w:hAnsi="Times New Roman"/>
                <w:sz w:val="24"/>
                <w:szCs w:val="24"/>
              </w:rPr>
            </w:pPr>
            <w:r w:rsidRPr="005725F4">
              <w:rPr>
                <w:rFonts w:ascii="Times New Roman" w:eastAsiaTheme="minorHAnsi" w:hAnsi="Times New Roman"/>
                <w:sz w:val="24"/>
                <w:szCs w:val="24"/>
              </w:rPr>
              <w:t xml:space="preserve">Osoba odpowiedzialna za projekt w randze Ministra, Sekretarza Stanu lub Podsekretarza Stanu </w:t>
            </w:r>
          </w:p>
          <w:p w14:paraId="113341F3" w14:textId="4D2AF4AE" w:rsidR="006C3EF5" w:rsidRPr="005725F4" w:rsidRDefault="00D82F41" w:rsidP="00716B38">
            <w:pPr>
              <w:spacing w:before="120" w:line="240" w:lineRule="auto"/>
              <w:ind w:hanging="45"/>
              <w:rPr>
                <w:rFonts w:ascii="Times New Roman" w:eastAsiaTheme="minorHAnsi" w:hAnsi="Times New Roman"/>
                <w:sz w:val="24"/>
                <w:szCs w:val="24"/>
              </w:rPr>
            </w:pPr>
            <w:r>
              <w:rPr>
                <w:rFonts w:ascii="Times New Roman" w:eastAsiaTheme="minorHAnsi" w:hAnsi="Times New Roman"/>
                <w:sz w:val="24"/>
                <w:szCs w:val="24"/>
              </w:rPr>
              <w:t>Tadeusz Kościński</w:t>
            </w:r>
            <w:r w:rsidR="006C3EF5" w:rsidRPr="005725F4">
              <w:rPr>
                <w:rFonts w:ascii="Times New Roman" w:eastAsiaTheme="minorHAnsi" w:hAnsi="Times New Roman"/>
                <w:sz w:val="24"/>
                <w:szCs w:val="24"/>
              </w:rPr>
              <w:t xml:space="preserve">, </w:t>
            </w:r>
            <w:r>
              <w:rPr>
                <w:rFonts w:ascii="Times New Roman" w:eastAsiaTheme="minorHAnsi" w:hAnsi="Times New Roman"/>
                <w:sz w:val="24"/>
                <w:szCs w:val="24"/>
              </w:rPr>
              <w:t>Minister</w:t>
            </w:r>
            <w:r w:rsidR="006C3EF5" w:rsidRPr="005725F4">
              <w:rPr>
                <w:rFonts w:ascii="Times New Roman" w:eastAsiaTheme="minorHAnsi" w:hAnsi="Times New Roman"/>
                <w:sz w:val="24"/>
                <w:szCs w:val="24"/>
              </w:rPr>
              <w:t xml:space="preserve"> Finansów</w:t>
            </w:r>
          </w:p>
          <w:p w14:paraId="7675C670" w14:textId="77777777" w:rsidR="00B71E1D" w:rsidRDefault="00B71E1D" w:rsidP="00716B38">
            <w:pPr>
              <w:spacing w:before="120" w:line="240" w:lineRule="auto"/>
              <w:ind w:hanging="45"/>
              <w:rPr>
                <w:rFonts w:ascii="Times New Roman" w:eastAsiaTheme="minorHAnsi" w:hAnsi="Times New Roman"/>
                <w:sz w:val="24"/>
                <w:szCs w:val="24"/>
              </w:rPr>
            </w:pPr>
            <w:r w:rsidRPr="005725F4">
              <w:rPr>
                <w:rFonts w:ascii="Times New Roman" w:eastAsiaTheme="minorHAnsi" w:hAnsi="Times New Roman"/>
                <w:sz w:val="24"/>
                <w:szCs w:val="24"/>
              </w:rPr>
              <w:t>Kontakt do opiekuna merytorycznego projektu</w:t>
            </w:r>
            <w:r w:rsidR="00564E66">
              <w:rPr>
                <w:rFonts w:ascii="Times New Roman" w:eastAsiaTheme="minorHAnsi" w:hAnsi="Times New Roman"/>
                <w:sz w:val="24"/>
                <w:szCs w:val="24"/>
              </w:rPr>
              <w:t>:</w:t>
            </w:r>
          </w:p>
          <w:p w14:paraId="648CE14C" w14:textId="77777777" w:rsidR="00564E66" w:rsidRPr="005725F4" w:rsidRDefault="00564E66" w:rsidP="00716B38">
            <w:pPr>
              <w:spacing w:before="120" w:line="240" w:lineRule="auto"/>
              <w:ind w:hanging="45"/>
              <w:rPr>
                <w:rFonts w:ascii="Times New Roman" w:eastAsiaTheme="minorHAnsi" w:hAnsi="Times New Roman"/>
                <w:sz w:val="24"/>
                <w:szCs w:val="24"/>
              </w:rPr>
            </w:pPr>
          </w:p>
          <w:p w14:paraId="020B4723" w14:textId="77777777" w:rsidR="00564E66" w:rsidRDefault="00564E66" w:rsidP="00113267">
            <w:pPr>
              <w:autoSpaceDE w:val="0"/>
              <w:autoSpaceDN w:val="0"/>
              <w:adjustRightInd w:val="0"/>
              <w:spacing w:line="240" w:lineRule="auto"/>
              <w:rPr>
                <w:rFonts w:ascii="Times New Roman" w:eastAsiaTheme="minorHAnsi" w:hAnsi="Times New Roman"/>
                <w:sz w:val="24"/>
                <w:szCs w:val="24"/>
              </w:rPr>
            </w:pPr>
            <w:bookmarkStart w:id="1" w:name="t3"/>
            <w:r w:rsidRPr="005725F4">
              <w:rPr>
                <w:rFonts w:ascii="Times New Roman" w:eastAsiaTheme="minorHAnsi" w:hAnsi="Times New Roman"/>
                <w:sz w:val="24"/>
                <w:szCs w:val="24"/>
              </w:rPr>
              <w:t xml:space="preserve">Maria Rutka, Dyrektor Departamentu Podatku Akcyzowego </w:t>
            </w:r>
            <w:r w:rsidRPr="005725F4">
              <w:rPr>
                <w:rFonts w:ascii="Times New Roman" w:eastAsiaTheme="minorHAnsi" w:hAnsi="Times New Roman"/>
                <w:sz w:val="24"/>
                <w:szCs w:val="24"/>
              </w:rPr>
              <w:br/>
              <w:t>w Ministerstwie Finansów, tel. (022) 694-39-46,</w:t>
            </w:r>
            <w:r w:rsidRPr="005725F4">
              <w:rPr>
                <w:rFonts w:ascii="Times New Roman" w:eastAsiaTheme="minorHAnsi" w:hAnsi="Times New Roman"/>
                <w:sz w:val="24"/>
                <w:szCs w:val="24"/>
              </w:rPr>
              <w:br/>
              <w:t xml:space="preserve">e-mail: </w:t>
            </w:r>
            <w:hyperlink r:id="rId6" w:history="1">
              <w:r w:rsidRPr="005725F4">
                <w:rPr>
                  <w:rFonts w:ascii="Times New Roman" w:eastAsiaTheme="minorHAnsi" w:hAnsi="Times New Roman"/>
                  <w:sz w:val="24"/>
                  <w:szCs w:val="24"/>
                </w:rPr>
                <w:t>maria.rutka@mf.gov.pl</w:t>
              </w:r>
            </w:hyperlink>
          </w:p>
          <w:p w14:paraId="219B7965" w14:textId="77777777" w:rsidR="00564E66" w:rsidRDefault="00564E66" w:rsidP="00113267">
            <w:pPr>
              <w:autoSpaceDE w:val="0"/>
              <w:autoSpaceDN w:val="0"/>
              <w:adjustRightInd w:val="0"/>
              <w:spacing w:line="240" w:lineRule="auto"/>
              <w:rPr>
                <w:rFonts w:ascii="Times New Roman" w:eastAsiaTheme="minorHAnsi" w:hAnsi="Times New Roman"/>
                <w:sz w:val="24"/>
                <w:szCs w:val="24"/>
              </w:rPr>
            </w:pPr>
          </w:p>
          <w:p w14:paraId="1BFA48BF" w14:textId="05B4C8CF" w:rsidR="00113267" w:rsidRPr="005725F4" w:rsidRDefault="007F5285" w:rsidP="00113267">
            <w:pPr>
              <w:autoSpaceDE w:val="0"/>
              <w:autoSpaceDN w:val="0"/>
              <w:adjustRightInd w:val="0"/>
              <w:spacing w:line="240" w:lineRule="auto"/>
              <w:rPr>
                <w:rFonts w:ascii="Times New Roman" w:eastAsiaTheme="minorHAnsi" w:hAnsi="Times New Roman"/>
                <w:sz w:val="24"/>
                <w:szCs w:val="24"/>
              </w:rPr>
            </w:pPr>
            <w:r w:rsidRPr="005725F4">
              <w:rPr>
                <w:rFonts w:ascii="Times New Roman" w:eastAsiaTheme="minorHAnsi" w:hAnsi="Times New Roman"/>
                <w:sz w:val="24"/>
                <w:szCs w:val="24"/>
              </w:rPr>
              <w:t xml:space="preserve">Monika </w:t>
            </w:r>
            <w:proofErr w:type="spellStart"/>
            <w:r w:rsidRPr="005725F4">
              <w:rPr>
                <w:rFonts w:ascii="Times New Roman" w:eastAsiaTheme="minorHAnsi" w:hAnsi="Times New Roman"/>
                <w:sz w:val="24"/>
                <w:szCs w:val="24"/>
              </w:rPr>
              <w:t>Derejko</w:t>
            </w:r>
            <w:proofErr w:type="spellEnd"/>
            <w:r w:rsidRPr="005725F4">
              <w:rPr>
                <w:rFonts w:ascii="Times New Roman" w:eastAsiaTheme="minorHAnsi" w:hAnsi="Times New Roman"/>
                <w:sz w:val="24"/>
                <w:szCs w:val="24"/>
              </w:rPr>
              <w:t>-Kotowska naczelnik wydziału,</w:t>
            </w:r>
            <w:r w:rsidR="007C224D" w:rsidRPr="005725F4">
              <w:rPr>
                <w:rFonts w:ascii="Times New Roman" w:eastAsiaTheme="minorHAnsi" w:hAnsi="Times New Roman"/>
                <w:sz w:val="24"/>
                <w:szCs w:val="24"/>
              </w:rPr>
              <w:t xml:space="preserve"> </w:t>
            </w:r>
            <w:r w:rsidR="00113267" w:rsidRPr="005725F4">
              <w:rPr>
                <w:rFonts w:ascii="Times New Roman" w:eastAsiaTheme="minorHAnsi" w:hAnsi="Times New Roman"/>
                <w:sz w:val="24"/>
                <w:szCs w:val="24"/>
              </w:rPr>
              <w:t>Departamentu Podatków</w:t>
            </w:r>
            <w:r w:rsidR="00FD3C6B" w:rsidRPr="005725F4">
              <w:rPr>
                <w:rFonts w:ascii="Times New Roman" w:eastAsiaTheme="minorHAnsi" w:hAnsi="Times New Roman"/>
                <w:sz w:val="24"/>
                <w:szCs w:val="24"/>
              </w:rPr>
              <w:t xml:space="preserve"> </w:t>
            </w:r>
            <w:r w:rsidR="00113267" w:rsidRPr="005725F4">
              <w:rPr>
                <w:rFonts w:ascii="Times New Roman" w:eastAsiaTheme="minorHAnsi" w:hAnsi="Times New Roman"/>
                <w:sz w:val="24"/>
                <w:szCs w:val="24"/>
              </w:rPr>
              <w:t>Sektorowych, Lokalnych oraz Podatku od Gier w Ministerstwie</w:t>
            </w:r>
            <w:r w:rsidR="005725F4">
              <w:rPr>
                <w:rFonts w:ascii="Times New Roman" w:eastAsiaTheme="minorHAnsi" w:hAnsi="Times New Roman"/>
                <w:sz w:val="24"/>
                <w:szCs w:val="24"/>
              </w:rPr>
              <w:t xml:space="preserve"> </w:t>
            </w:r>
            <w:r w:rsidR="00113267" w:rsidRPr="005725F4">
              <w:rPr>
                <w:rFonts w:ascii="Times New Roman" w:eastAsiaTheme="minorHAnsi" w:hAnsi="Times New Roman"/>
                <w:sz w:val="24"/>
                <w:szCs w:val="24"/>
              </w:rPr>
              <w:t>Finansów</w:t>
            </w:r>
          </w:p>
          <w:p w14:paraId="453ADBED" w14:textId="03885E6F" w:rsidR="006C3EF5" w:rsidRPr="004457AF" w:rsidRDefault="00113267" w:rsidP="00564E66">
            <w:pPr>
              <w:spacing w:line="240" w:lineRule="auto"/>
              <w:ind w:hanging="34"/>
              <w:rPr>
                <w:rFonts w:ascii="Times New Roman" w:eastAsiaTheme="minorHAnsi" w:hAnsi="Times New Roman"/>
                <w:sz w:val="24"/>
                <w:szCs w:val="24"/>
                <w:lang w:val="de-DE"/>
              </w:rPr>
            </w:pPr>
            <w:r w:rsidRPr="004457AF">
              <w:rPr>
                <w:rFonts w:ascii="Times New Roman" w:eastAsiaTheme="minorHAnsi" w:hAnsi="Times New Roman"/>
                <w:sz w:val="24"/>
                <w:szCs w:val="24"/>
                <w:lang w:val="de-DE"/>
              </w:rPr>
              <w:t xml:space="preserve">tel. (22) 694-58-04, </w:t>
            </w:r>
            <w:proofErr w:type="spellStart"/>
            <w:r w:rsidRPr="004457AF">
              <w:rPr>
                <w:rFonts w:ascii="Times New Roman" w:eastAsiaTheme="minorHAnsi" w:hAnsi="Times New Roman"/>
                <w:sz w:val="24"/>
                <w:szCs w:val="24"/>
                <w:lang w:val="de-DE"/>
              </w:rPr>
              <w:t>e-mail</w:t>
            </w:r>
            <w:proofErr w:type="spellEnd"/>
            <w:r w:rsidRPr="004457AF">
              <w:rPr>
                <w:rFonts w:ascii="Times New Roman" w:eastAsiaTheme="minorHAnsi" w:hAnsi="Times New Roman"/>
                <w:sz w:val="24"/>
                <w:szCs w:val="24"/>
                <w:lang w:val="de-DE"/>
              </w:rPr>
              <w:t xml:space="preserve">: </w:t>
            </w:r>
            <w:hyperlink r:id="rId7" w:history="1">
              <w:r w:rsidR="006C3EF5" w:rsidRPr="004457AF">
                <w:rPr>
                  <w:rFonts w:ascii="Times New Roman" w:hAnsi="Times New Roman"/>
                  <w:lang w:val="de-DE"/>
                </w:rPr>
                <w:t>sekretariat.ps@mf.gov.pl</w:t>
              </w:r>
            </w:hyperlink>
            <w:bookmarkEnd w:id="1"/>
          </w:p>
        </w:tc>
        <w:tc>
          <w:tcPr>
            <w:tcW w:w="4306" w:type="dxa"/>
            <w:gridSpan w:val="12"/>
            <w:shd w:val="clear" w:color="auto" w:fill="FFFFFF"/>
          </w:tcPr>
          <w:p w14:paraId="7E13F40D" w14:textId="19D0BB87" w:rsidR="00B71E1D" w:rsidRPr="00CB116B" w:rsidRDefault="00B71E1D" w:rsidP="00716B38">
            <w:pPr>
              <w:spacing w:line="240" w:lineRule="auto"/>
              <w:rPr>
                <w:rFonts w:ascii="Times New Roman" w:hAnsi="Times New Roman"/>
                <w:b/>
                <w:sz w:val="24"/>
                <w:szCs w:val="24"/>
              </w:rPr>
            </w:pPr>
            <w:r w:rsidRPr="00CB116B">
              <w:rPr>
                <w:rFonts w:ascii="Times New Roman" w:hAnsi="Times New Roman"/>
                <w:b/>
                <w:sz w:val="24"/>
                <w:szCs w:val="24"/>
              </w:rPr>
              <w:t>Data sporządzenia</w:t>
            </w:r>
            <w:r w:rsidRPr="00CB116B">
              <w:rPr>
                <w:rFonts w:ascii="Times New Roman" w:hAnsi="Times New Roman"/>
                <w:b/>
                <w:sz w:val="24"/>
                <w:szCs w:val="24"/>
              </w:rPr>
              <w:br/>
            </w:r>
            <w:r w:rsidR="001A0B0D">
              <w:rPr>
                <w:rFonts w:ascii="Times New Roman" w:hAnsi="Times New Roman"/>
                <w:sz w:val="24"/>
                <w:szCs w:val="24"/>
              </w:rPr>
              <w:t>25</w:t>
            </w:r>
            <w:r w:rsidR="007B78FB">
              <w:rPr>
                <w:rFonts w:ascii="Times New Roman" w:hAnsi="Times New Roman"/>
                <w:sz w:val="24"/>
                <w:szCs w:val="24"/>
              </w:rPr>
              <w:t xml:space="preserve"> listopada </w:t>
            </w:r>
            <w:r w:rsidR="00613807">
              <w:rPr>
                <w:rFonts w:ascii="Times New Roman" w:hAnsi="Times New Roman"/>
                <w:sz w:val="24"/>
                <w:szCs w:val="24"/>
              </w:rPr>
              <w:t>202</w:t>
            </w:r>
            <w:r w:rsidR="007B78FB">
              <w:rPr>
                <w:rFonts w:ascii="Times New Roman" w:hAnsi="Times New Roman"/>
                <w:sz w:val="24"/>
                <w:szCs w:val="24"/>
              </w:rPr>
              <w:t>1</w:t>
            </w:r>
            <w:r w:rsidR="00613807">
              <w:rPr>
                <w:rFonts w:ascii="Times New Roman" w:hAnsi="Times New Roman"/>
                <w:sz w:val="24"/>
                <w:szCs w:val="24"/>
              </w:rPr>
              <w:t xml:space="preserve"> r.</w:t>
            </w:r>
          </w:p>
          <w:p w14:paraId="5E869892" w14:textId="77777777" w:rsidR="00B71E1D" w:rsidRPr="00CB116B" w:rsidRDefault="00B71E1D" w:rsidP="00716B38">
            <w:pPr>
              <w:spacing w:line="240" w:lineRule="auto"/>
              <w:rPr>
                <w:rFonts w:ascii="Times New Roman" w:hAnsi="Times New Roman"/>
                <w:b/>
                <w:sz w:val="24"/>
                <w:szCs w:val="24"/>
              </w:rPr>
            </w:pPr>
          </w:p>
          <w:p w14:paraId="6C9810FF" w14:textId="77777777" w:rsidR="00B71E1D" w:rsidRPr="00CB116B" w:rsidRDefault="00B71E1D" w:rsidP="00716B38">
            <w:pPr>
              <w:spacing w:line="240" w:lineRule="auto"/>
              <w:rPr>
                <w:rFonts w:ascii="Times New Roman" w:hAnsi="Times New Roman"/>
                <w:b/>
                <w:sz w:val="24"/>
                <w:szCs w:val="24"/>
              </w:rPr>
            </w:pPr>
            <w:r w:rsidRPr="00CB116B">
              <w:rPr>
                <w:rFonts w:ascii="Times New Roman" w:hAnsi="Times New Roman"/>
                <w:b/>
                <w:sz w:val="24"/>
                <w:szCs w:val="24"/>
              </w:rPr>
              <w:t xml:space="preserve">Źródło: </w:t>
            </w:r>
            <w:bookmarkStart w:id="2" w:name="Lista1"/>
          </w:p>
          <w:bookmarkEnd w:id="2"/>
          <w:p w14:paraId="20D0FF6C" w14:textId="77777777" w:rsidR="00B71E1D" w:rsidRPr="00CB116B" w:rsidRDefault="000A1F34" w:rsidP="00716B38">
            <w:pPr>
              <w:spacing w:line="240" w:lineRule="auto"/>
              <w:rPr>
                <w:rFonts w:ascii="Times New Roman" w:hAnsi="Times New Roman"/>
                <w:sz w:val="24"/>
                <w:szCs w:val="24"/>
              </w:rPr>
            </w:pPr>
            <w:r w:rsidRPr="00CB116B">
              <w:rPr>
                <w:rFonts w:ascii="Times New Roman" w:hAnsi="Times New Roman"/>
                <w:sz w:val="24"/>
                <w:szCs w:val="24"/>
              </w:rPr>
              <w:t xml:space="preserve">Inicjatywa własna </w:t>
            </w:r>
          </w:p>
          <w:p w14:paraId="0CE3A496" w14:textId="77777777" w:rsidR="00B71E1D" w:rsidRPr="00CB116B" w:rsidRDefault="00B71E1D" w:rsidP="00716B38">
            <w:pPr>
              <w:spacing w:line="240" w:lineRule="auto"/>
              <w:rPr>
                <w:rFonts w:ascii="Times New Roman" w:hAnsi="Times New Roman"/>
                <w:sz w:val="24"/>
                <w:szCs w:val="24"/>
              </w:rPr>
            </w:pPr>
          </w:p>
          <w:p w14:paraId="142DB383" w14:textId="39A3C6FE" w:rsidR="00B71E1D" w:rsidRPr="00CB116B" w:rsidRDefault="00B71E1D" w:rsidP="00613807">
            <w:pPr>
              <w:rPr>
                <w:rFonts w:ascii="Times New Roman" w:hAnsi="Times New Roman"/>
                <w:color w:val="000000"/>
                <w:sz w:val="24"/>
                <w:szCs w:val="24"/>
              </w:rPr>
            </w:pPr>
            <w:r w:rsidRPr="00CB116B">
              <w:rPr>
                <w:rFonts w:ascii="Times New Roman" w:hAnsi="Times New Roman"/>
                <w:b/>
                <w:color w:val="000000"/>
                <w:sz w:val="24"/>
                <w:szCs w:val="24"/>
              </w:rPr>
              <w:t xml:space="preserve">Nr w wykazie </w:t>
            </w:r>
            <w:r w:rsidR="007A657A">
              <w:rPr>
                <w:rFonts w:ascii="Times New Roman" w:hAnsi="Times New Roman"/>
                <w:b/>
                <w:color w:val="000000"/>
                <w:sz w:val="24"/>
                <w:szCs w:val="24"/>
              </w:rPr>
              <w:t>pra</w:t>
            </w:r>
            <w:bookmarkStart w:id="3" w:name="_GoBack"/>
            <w:bookmarkEnd w:id="3"/>
            <w:r w:rsidR="007A657A">
              <w:rPr>
                <w:rFonts w:ascii="Times New Roman" w:hAnsi="Times New Roman"/>
                <w:b/>
                <w:color w:val="000000"/>
                <w:sz w:val="24"/>
                <w:szCs w:val="24"/>
              </w:rPr>
              <w:t>c: UD 315</w:t>
            </w:r>
          </w:p>
        </w:tc>
      </w:tr>
      <w:tr w:rsidR="00B71E1D" w:rsidRPr="0022687A" w14:paraId="7D7B4E4E" w14:textId="77777777" w:rsidTr="005725F4">
        <w:trPr>
          <w:gridAfter w:val="1"/>
          <w:wAfter w:w="10" w:type="dxa"/>
          <w:trHeight w:val="142"/>
        </w:trPr>
        <w:tc>
          <w:tcPr>
            <w:tcW w:w="10938" w:type="dxa"/>
            <w:gridSpan w:val="27"/>
            <w:shd w:val="clear" w:color="auto" w:fill="99CCFF"/>
          </w:tcPr>
          <w:p w14:paraId="62E81BB1" w14:textId="77777777" w:rsidR="00B71E1D" w:rsidRPr="00627221" w:rsidRDefault="00B71E1D" w:rsidP="00716B38">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B71E1D" w:rsidRPr="008B4FE6" w14:paraId="5FA236CE" w14:textId="77777777" w:rsidTr="005725F4">
        <w:trPr>
          <w:gridAfter w:val="1"/>
          <w:wAfter w:w="10" w:type="dxa"/>
          <w:trHeight w:val="333"/>
        </w:trPr>
        <w:tc>
          <w:tcPr>
            <w:tcW w:w="10938" w:type="dxa"/>
            <w:gridSpan w:val="27"/>
            <w:shd w:val="clear" w:color="auto" w:fill="99CCFF"/>
            <w:vAlign w:val="center"/>
          </w:tcPr>
          <w:p w14:paraId="7E7813F2" w14:textId="77777777" w:rsidR="00B71E1D" w:rsidRPr="008B4FE6" w:rsidRDefault="00B71E1D" w:rsidP="00B71E1D">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4" w:name="Wybór1"/>
            <w:bookmarkEnd w:id="4"/>
          </w:p>
        </w:tc>
      </w:tr>
      <w:tr w:rsidR="00B71E1D" w:rsidRPr="00CF7D35" w14:paraId="152E9C5A" w14:textId="77777777" w:rsidTr="005725F4">
        <w:trPr>
          <w:gridAfter w:val="1"/>
          <w:wAfter w:w="10" w:type="dxa"/>
          <w:trHeight w:val="142"/>
        </w:trPr>
        <w:tc>
          <w:tcPr>
            <w:tcW w:w="10938" w:type="dxa"/>
            <w:gridSpan w:val="27"/>
            <w:shd w:val="clear" w:color="auto" w:fill="FFFFFF"/>
          </w:tcPr>
          <w:p w14:paraId="6D1D5B78" w14:textId="42E5F4F0" w:rsidR="00FD3C6B" w:rsidRDefault="007C224D" w:rsidP="00EB7391">
            <w:pPr>
              <w:pStyle w:val="Bezodstpw"/>
              <w:jc w:val="both"/>
              <w:rPr>
                <w:rFonts w:ascii="Times New Roman" w:hAnsi="Times New Roman"/>
              </w:rPr>
            </w:pPr>
            <w:r>
              <w:rPr>
                <w:rFonts w:ascii="Times New Roman" w:hAnsi="Times New Roman"/>
              </w:rPr>
              <w:t>Jednym z pośrednich skutków t</w:t>
            </w:r>
            <w:r w:rsidR="004C2CC1">
              <w:rPr>
                <w:rFonts w:ascii="Times New Roman" w:hAnsi="Times New Roman"/>
              </w:rPr>
              <w:t xml:space="preserve">rwającej </w:t>
            </w:r>
            <w:r>
              <w:rPr>
                <w:rFonts w:ascii="Times New Roman" w:hAnsi="Times New Roman"/>
              </w:rPr>
              <w:t>pandemii</w:t>
            </w:r>
            <w:r w:rsidR="007B78FB">
              <w:rPr>
                <w:rFonts w:ascii="Times New Roman" w:hAnsi="Times New Roman"/>
              </w:rPr>
              <w:t xml:space="preserve"> COVID-</w:t>
            </w:r>
            <w:r>
              <w:rPr>
                <w:rFonts w:ascii="Times New Roman" w:hAnsi="Times New Roman"/>
              </w:rPr>
              <w:t>19 jest wzrost cen</w:t>
            </w:r>
            <w:r w:rsidR="007B78FB">
              <w:rPr>
                <w:rFonts w:ascii="Times New Roman" w:hAnsi="Times New Roman"/>
              </w:rPr>
              <w:t xml:space="preserve"> towarów</w:t>
            </w:r>
            <w:r w:rsidR="0065298C">
              <w:rPr>
                <w:rFonts w:ascii="Times New Roman" w:hAnsi="Times New Roman"/>
              </w:rPr>
              <w:t>, w szczególności cen paliw</w:t>
            </w:r>
            <w:r w:rsidR="007B78FB">
              <w:rPr>
                <w:rFonts w:ascii="Times New Roman" w:hAnsi="Times New Roman"/>
              </w:rPr>
              <w:t>.</w:t>
            </w:r>
            <w:r>
              <w:rPr>
                <w:rFonts w:ascii="Times New Roman" w:hAnsi="Times New Roman"/>
              </w:rPr>
              <w:t xml:space="preserve"> W celu przeciwdziałania negatywnym skutkom Rada Ministrów przedłożyła pakiet działań antyinflacyjnych. </w:t>
            </w:r>
            <w:r w:rsidR="00DE0428">
              <w:rPr>
                <w:rFonts w:ascii="Times New Roman" w:hAnsi="Times New Roman"/>
              </w:rPr>
              <w:t xml:space="preserve">Wśród </w:t>
            </w:r>
            <w:r>
              <w:rPr>
                <w:rFonts w:ascii="Times New Roman" w:hAnsi="Times New Roman"/>
              </w:rPr>
              <w:t xml:space="preserve">proponowanych </w:t>
            </w:r>
            <w:r w:rsidR="00EB7391">
              <w:rPr>
                <w:rFonts w:ascii="Times New Roman" w:hAnsi="Times New Roman"/>
              </w:rPr>
              <w:t>rozwiązań znajduje się czasowa obniżka</w:t>
            </w:r>
            <w:r w:rsidR="00EB7391" w:rsidRPr="001A0B0D">
              <w:rPr>
                <w:rFonts w:ascii="Times New Roman" w:hAnsi="Times New Roman"/>
              </w:rPr>
              <w:t xml:space="preserve"> akcyzy na paliwa silnikowe</w:t>
            </w:r>
            <w:r w:rsidR="00EB7391">
              <w:rPr>
                <w:rFonts w:ascii="Times New Roman" w:hAnsi="Times New Roman"/>
              </w:rPr>
              <w:t xml:space="preserve"> oraz w</w:t>
            </w:r>
            <w:r w:rsidR="00EB7391">
              <w:rPr>
                <w:rFonts w:ascii="Times New Roman" w:hAnsi="Times New Roman"/>
                <w:color w:val="000000"/>
                <w:spacing w:val="-2"/>
              </w:rPr>
              <w:t>prowadzenie zwolnienia</w:t>
            </w:r>
            <w:r w:rsidR="00EB7391" w:rsidRPr="00F22390">
              <w:rPr>
                <w:rFonts w:ascii="Times New Roman" w:hAnsi="Times New Roman"/>
                <w:color w:val="000000"/>
                <w:spacing w:val="-2"/>
              </w:rPr>
              <w:t xml:space="preserve"> </w:t>
            </w:r>
            <w:r w:rsidR="00EB7391">
              <w:rPr>
                <w:rFonts w:ascii="Times New Roman" w:hAnsi="Times New Roman"/>
                <w:color w:val="000000"/>
                <w:spacing w:val="-2"/>
              </w:rPr>
              <w:t xml:space="preserve">od akcyzy dla sprzedaży energii elektrycznej </w:t>
            </w:r>
            <w:r w:rsidR="00EB7391" w:rsidRPr="00F22390">
              <w:rPr>
                <w:rFonts w:ascii="Times New Roman" w:hAnsi="Times New Roman"/>
                <w:color w:val="000000"/>
                <w:spacing w:val="-2"/>
              </w:rPr>
              <w:t>wykorzystywanej przez gospodarstwa domowe</w:t>
            </w:r>
            <w:r w:rsidR="00EB7391">
              <w:rPr>
                <w:rFonts w:ascii="Times New Roman" w:hAnsi="Times New Roman"/>
                <w:color w:val="000000"/>
                <w:spacing w:val="-2"/>
              </w:rPr>
              <w:t xml:space="preserve"> oraz obniżenie stawki akcyzy na energię elektryczną. </w:t>
            </w:r>
            <w:r w:rsidR="00EB7391" w:rsidRPr="00F22390">
              <w:rPr>
                <w:rFonts w:ascii="Times New Roman" w:hAnsi="Times New Roman"/>
                <w:color w:val="000000"/>
              </w:rPr>
              <w:t xml:space="preserve">Należy podkreślić, że wzrost cen surowców energetycznych na rynkach światowych jest główną przyczyną wzrostu inflacji w Polsce i </w:t>
            </w:r>
            <w:r w:rsidR="00EB7391">
              <w:rPr>
                <w:rFonts w:ascii="Times New Roman" w:hAnsi="Times New Roman"/>
                <w:color w:val="000000"/>
              </w:rPr>
              <w:t>innych krajach unijnych. O</w:t>
            </w:r>
            <w:r w:rsidR="00EB7391" w:rsidRPr="00F22390">
              <w:rPr>
                <w:rFonts w:ascii="Times New Roman" w:hAnsi="Times New Roman"/>
                <w:color w:val="000000"/>
              </w:rPr>
              <w:t xml:space="preserve">graniczenie wzrostu cen paliw powinno się przyczynić do stabilizacji cen także w innych obszarach gospodarki, </w:t>
            </w:r>
            <w:r w:rsidR="00EB7391">
              <w:rPr>
                <w:rFonts w:ascii="Times New Roman" w:hAnsi="Times New Roman"/>
                <w:color w:val="000000"/>
              </w:rPr>
              <w:t xml:space="preserve">w </w:t>
            </w:r>
            <w:r w:rsidR="00EB7391" w:rsidRPr="00F22390">
              <w:rPr>
                <w:rFonts w:ascii="Times New Roman" w:hAnsi="Times New Roman"/>
                <w:color w:val="000000"/>
              </w:rPr>
              <w:t>tym cen żywności.</w:t>
            </w:r>
            <w:r w:rsidR="00EB7391">
              <w:rPr>
                <w:rFonts w:ascii="Times New Roman" w:hAnsi="Times New Roman"/>
                <w:color w:val="000000"/>
              </w:rPr>
              <w:t xml:space="preserve"> </w:t>
            </w:r>
            <w:r w:rsidR="00EB7391" w:rsidRPr="00F22390">
              <w:rPr>
                <w:rFonts w:ascii="Times New Roman" w:hAnsi="Times New Roman"/>
                <w:color w:val="000000"/>
              </w:rPr>
              <w:t>Giełdowe notowania energii elektrycznej w ciągu roku wzrosły o blisko 40%. To prze</w:t>
            </w:r>
            <w:r w:rsidR="00EB7391">
              <w:rPr>
                <w:rFonts w:ascii="Times New Roman" w:hAnsi="Times New Roman"/>
                <w:color w:val="000000"/>
              </w:rPr>
              <w:t>k</w:t>
            </w:r>
            <w:r w:rsidR="00EB7391" w:rsidRPr="00F22390">
              <w:rPr>
                <w:rFonts w:ascii="Times New Roman" w:hAnsi="Times New Roman"/>
                <w:color w:val="000000"/>
              </w:rPr>
              <w:t>ł</w:t>
            </w:r>
            <w:r w:rsidR="00EB7391">
              <w:rPr>
                <w:rFonts w:ascii="Times New Roman" w:hAnsi="Times New Roman"/>
                <w:color w:val="000000"/>
              </w:rPr>
              <w:t>ada</w:t>
            </w:r>
            <w:r w:rsidR="00EB7391" w:rsidRPr="00F22390">
              <w:rPr>
                <w:rFonts w:ascii="Times New Roman" w:hAnsi="Times New Roman"/>
                <w:color w:val="000000"/>
              </w:rPr>
              <w:t xml:space="preserve"> się na wzrost stawek dla gospodarstw domowych</w:t>
            </w:r>
            <w:r w:rsidR="00EB7391">
              <w:rPr>
                <w:rFonts w:ascii="Times New Roman" w:hAnsi="Times New Roman"/>
                <w:color w:val="000000"/>
              </w:rPr>
              <w:t>.</w:t>
            </w:r>
            <w:r w:rsidR="00EB7391" w:rsidRPr="00F22390">
              <w:rPr>
                <w:rFonts w:ascii="Times New Roman" w:hAnsi="Times New Roman"/>
                <w:color w:val="000000"/>
              </w:rPr>
              <w:t xml:space="preserve"> Szac</w:t>
            </w:r>
            <w:r w:rsidR="00EB7391">
              <w:rPr>
                <w:rFonts w:ascii="Times New Roman" w:hAnsi="Times New Roman"/>
                <w:color w:val="000000"/>
              </w:rPr>
              <w:t>uje się</w:t>
            </w:r>
            <w:r w:rsidR="00EB7391" w:rsidRPr="00F22390">
              <w:rPr>
                <w:rFonts w:ascii="Times New Roman" w:hAnsi="Times New Roman"/>
                <w:color w:val="000000"/>
              </w:rPr>
              <w:t xml:space="preserve">, że rachunki za energię elektryczną dla gospodarstw domowych </w:t>
            </w:r>
            <w:r w:rsidR="00EB7391">
              <w:rPr>
                <w:rFonts w:ascii="Times New Roman" w:hAnsi="Times New Roman"/>
                <w:color w:val="000000"/>
              </w:rPr>
              <w:t xml:space="preserve">mogłyby </w:t>
            </w:r>
            <w:r w:rsidR="00EB7391" w:rsidRPr="00F22390">
              <w:rPr>
                <w:rFonts w:ascii="Times New Roman" w:hAnsi="Times New Roman"/>
                <w:color w:val="000000"/>
              </w:rPr>
              <w:t>wzrosną</w:t>
            </w:r>
            <w:r w:rsidR="00EB7391">
              <w:rPr>
                <w:rFonts w:ascii="Times New Roman" w:hAnsi="Times New Roman"/>
                <w:color w:val="000000"/>
              </w:rPr>
              <w:t>ć</w:t>
            </w:r>
            <w:r w:rsidR="00EB7391" w:rsidRPr="00F22390">
              <w:rPr>
                <w:rFonts w:ascii="Times New Roman" w:hAnsi="Times New Roman"/>
                <w:color w:val="000000"/>
              </w:rPr>
              <w:t xml:space="preserve"> o 10-15%.</w:t>
            </w:r>
            <w:r w:rsidR="00EB7391">
              <w:rPr>
                <w:rFonts w:ascii="Times New Roman" w:hAnsi="Times New Roman"/>
                <w:color w:val="000000"/>
              </w:rPr>
              <w:t xml:space="preserve"> Wzrost cen</w:t>
            </w:r>
            <w:r w:rsidR="00EB7391" w:rsidRPr="00F22390">
              <w:rPr>
                <w:rFonts w:ascii="Times New Roman" w:hAnsi="Times New Roman"/>
                <w:color w:val="000000"/>
              </w:rPr>
              <w:t xml:space="preserve"> energii elektrycznej wykorzystywanej przez gospodarstwa domowe </w:t>
            </w:r>
            <w:r w:rsidR="00EB7391">
              <w:rPr>
                <w:rFonts w:ascii="Times New Roman" w:hAnsi="Times New Roman"/>
                <w:color w:val="000000"/>
              </w:rPr>
              <w:t>w szczycie grzewczym, w przypadku grup słabszych ekonomicznie</w:t>
            </w:r>
            <w:r w:rsidR="00EB7391" w:rsidRPr="00F22390">
              <w:rPr>
                <w:rFonts w:ascii="Times New Roman" w:hAnsi="Times New Roman"/>
                <w:color w:val="000000"/>
              </w:rPr>
              <w:t xml:space="preserve"> </w:t>
            </w:r>
            <w:r w:rsidR="00EB7391">
              <w:rPr>
                <w:rFonts w:ascii="Times New Roman" w:hAnsi="Times New Roman"/>
                <w:color w:val="000000"/>
              </w:rPr>
              <w:t>może znacząco odbić się na ich sytuacji materialnej</w:t>
            </w:r>
            <w:r w:rsidR="00EB7391" w:rsidRPr="00F22390">
              <w:rPr>
                <w:rFonts w:ascii="Times New Roman" w:hAnsi="Times New Roman"/>
                <w:color w:val="000000"/>
              </w:rPr>
              <w:t>.</w:t>
            </w:r>
          </w:p>
          <w:p w14:paraId="4E224E9C" w14:textId="4B291804" w:rsidR="000120AB" w:rsidRPr="00DD7635" w:rsidRDefault="000120AB" w:rsidP="00BA31A2">
            <w:pPr>
              <w:pStyle w:val="Bezodstpw"/>
              <w:jc w:val="both"/>
            </w:pPr>
          </w:p>
        </w:tc>
      </w:tr>
      <w:tr w:rsidR="00B71E1D" w:rsidRPr="008B4FE6" w14:paraId="48471574" w14:textId="77777777" w:rsidTr="005725F4">
        <w:trPr>
          <w:gridAfter w:val="1"/>
          <w:wAfter w:w="10" w:type="dxa"/>
          <w:trHeight w:val="142"/>
        </w:trPr>
        <w:tc>
          <w:tcPr>
            <w:tcW w:w="10938" w:type="dxa"/>
            <w:gridSpan w:val="27"/>
            <w:tcBorders>
              <w:bottom w:val="single" w:sz="4" w:space="0" w:color="auto"/>
            </w:tcBorders>
            <w:shd w:val="clear" w:color="auto" w:fill="99CCFF"/>
            <w:vAlign w:val="center"/>
          </w:tcPr>
          <w:p w14:paraId="3830EED4" w14:textId="77777777" w:rsidR="00B71E1D" w:rsidRPr="008B4FE6" w:rsidRDefault="00B71E1D" w:rsidP="00B71E1D">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B71E1D" w:rsidRPr="008B4FE6" w14:paraId="139BE349" w14:textId="77777777" w:rsidTr="005725F4">
        <w:trPr>
          <w:gridAfter w:val="1"/>
          <w:wAfter w:w="10" w:type="dxa"/>
          <w:trHeight w:val="142"/>
        </w:trPr>
        <w:tc>
          <w:tcPr>
            <w:tcW w:w="10938" w:type="dxa"/>
            <w:gridSpan w:val="27"/>
            <w:tcBorders>
              <w:bottom w:val="nil"/>
            </w:tcBorders>
            <w:shd w:val="clear" w:color="auto" w:fill="auto"/>
          </w:tcPr>
          <w:p w14:paraId="1031EB41" w14:textId="028B2A8C" w:rsidR="00FD3D91" w:rsidRDefault="001A0B0D" w:rsidP="005725F4">
            <w:pPr>
              <w:jc w:val="both"/>
              <w:rPr>
                <w:rFonts w:ascii="Times New Roman" w:hAnsi="Times New Roman"/>
                <w:color w:val="000000"/>
                <w:spacing w:val="-2"/>
              </w:rPr>
            </w:pPr>
            <w:r>
              <w:rPr>
                <w:rFonts w:ascii="Times New Roman" w:hAnsi="Times New Roman"/>
                <w:color w:val="000000"/>
                <w:spacing w:val="-2"/>
              </w:rPr>
              <w:t>Projekt przewiduje c</w:t>
            </w:r>
            <w:r w:rsidRPr="00F22390">
              <w:rPr>
                <w:rFonts w:ascii="Times New Roman" w:hAnsi="Times New Roman"/>
                <w:color w:val="000000"/>
                <w:spacing w:val="-2"/>
              </w:rPr>
              <w:t xml:space="preserve">zasowe obniżki akcyzy na paliwa silnikowe </w:t>
            </w:r>
            <w:r>
              <w:rPr>
                <w:rFonts w:ascii="Times New Roman" w:hAnsi="Times New Roman"/>
                <w:color w:val="000000"/>
                <w:spacing w:val="-2"/>
              </w:rPr>
              <w:t>(olej napędowy, benzyny silnikowe, LPG)</w:t>
            </w:r>
            <w:r w:rsidR="00FD3D91">
              <w:rPr>
                <w:rFonts w:ascii="Times New Roman" w:hAnsi="Times New Roman"/>
                <w:color w:val="000000"/>
                <w:spacing w:val="-2"/>
              </w:rPr>
              <w:t xml:space="preserve">, </w:t>
            </w:r>
            <w:r w:rsidR="00FD3D91">
              <w:rPr>
                <w:rFonts w:ascii="Times New Roman" w:hAnsi="Times New Roman"/>
              </w:rPr>
              <w:t xml:space="preserve"> w</w:t>
            </w:r>
            <w:r w:rsidR="00FD3D91">
              <w:rPr>
                <w:rFonts w:ascii="Times New Roman" w:hAnsi="Times New Roman"/>
                <w:color w:val="000000"/>
                <w:spacing w:val="-2"/>
              </w:rPr>
              <w:t>prowadzenie zwolnienia</w:t>
            </w:r>
            <w:r w:rsidR="00FD3D91" w:rsidRPr="00F22390">
              <w:rPr>
                <w:rFonts w:ascii="Times New Roman" w:hAnsi="Times New Roman"/>
                <w:color w:val="000000"/>
                <w:spacing w:val="-2"/>
              </w:rPr>
              <w:t xml:space="preserve"> </w:t>
            </w:r>
            <w:r w:rsidR="00FD3D91">
              <w:rPr>
                <w:rFonts w:ascii="Times New Roman" w:hAnsi="Times New Roman"/>
                <w:color w:val="000000"/>
                <w:spacing w:val="-2"/>
              </w:rPr>
              <w:t xml:space="preserve">od akcyzy dla sprzedaży energii elektrycznej </w:t>
            </w:r>
            <w:r w:rsidR="00FD3D91" w:rsidRPr="00F22390">
              <w:rPr>
                <w:rFonts w:ascii="Times New Roman" w:hAnsi="Times New Roman"/>
                <w:color w:val="000000"/>
                <w:spacing w:val="-2"/>
              </w:rPr>
              <w:t>wykorzystywanej przez gospodarstwa domowe</w:t>
            </w:r>
            <w:r w:rsidR="00FD3D91">
              <w:rPr>
                <w:rFonts w:ascii="Times New Roman" w:hAnsi="Times New Roman"/>
                <w:color w:val="000000"/>
                <w:spacing w:val="-2"/>
              </w:rPr>
              <w:t xml:space="preserve"> oraz czasowe obniżenie stawki akcyzy na energię elektryczną.</w:t>
            </w:r>
          </w:p>
          <w:p w14:paraId="6A2EACD8" w14:textId="4F232301" w:rsidR="00EB7391" w:rsidRPr="002807D5" w:rsidRDefault="00555C6E" w:rsidP="00EB7391">
            <w:pPr>
              <w:jc w:val="both"/>
              <w:rPr>
                <w:rFonts w:ascii="Times New Roman" w:hAnsi="Times New Roman"/>
                <w:color w:val="000000"/>
                <w:spacing w:val="-2"/>
              </w:rPr>
            </w:pPr>
            <w:r>
              <w:rPr>
                <w:rFonts w:ascii="Times New Roman" w:hAnsi="Times New Roman"/>
              </w:rPr>
              <w:t xml:space="preserve">Innym proponowanym rozwiązaniem jest wprowadzenie czasowego wyłączenia </w:t>
            </w:r>
            <w:r w:rsidRPr="002807D5">
              <w:rPr>
                <w:rFonts w:ascii="Times New Roman" w:hAnsi="Times New Roman"/>
              </w:rPr>
              <w:t>z opodatkowania podatkiem od sprzedaży detalicznej sprzedaży paliw</w:t>
            </w:r>
            <w:r>
              <w:rPr>
                <w:rFonts w:ascii="Times New Roman" w:hAnsi="Times New Roman"/>
              </w:rPr>
              <w:t xml:space="preserve"> </w:t>
            </w:r>
            <w:r w:rsidRPr="002807D5">
              <w:rPr>
                <w:rFonts w:ascii="Times New Roman" w:hAnsi="Times New Roman"/>
              </w:rPr>
              <w:t>w okresie od 1 stycznia do 31 maja 2022 rok</w:t>
            </w:r>
            <w:r>
              <w:rPr>
                <w:rFonts w:ascii="Times New Roman" w:hAnsi="Times New Roman"/>
              </w:rPr>
              <w:t xml:space="preserve">u. </w:t>
            </w:r>
            <w:r w:rsidR="00EB7391">
              <w:rPr>
                <w:rFonts w:ascii="Times New Roman" w:hAnsi="Times New Roman"/>
                <w:color w:val="000000"/>
                <w:spacing w:val="-2"/>
              </w:rPr>
              <w:t xml:space="preserve">Projekt przewiduje czasowe wyłączenie z opodatkowania </w:t>
            </w:r>
            <w:r>
              <w:rPr>
                <w:rFonts w:ascii="Times New Roman" w:hAnsi="Times New Roman"/>
                <w:color w:val="000000"/>
                <w:spacing w:val="-2"/>
              </w:rPr>
              <w:t xml:space="preserve">tym </w:t>
            </w:r>
            <w:r w:rsidR="00EB7391" w:rsidRPr="002807D5">
              <w:rPr>
                <w:rFonts w:ascii="Times New Roman" w:hAnsi="Times New Roman"/>
                <w:color w:val="000000"/>
                <w:spacing w:val="-2"/>
              </w:rPr>
              <w:t>podatkiem sprzedaż</w:t>
            </w:r>
            <w:r w:rsidR="00EB7391">
              <w:rPr>
                <w:rFonts w:ascii="Times New Roman" w:hAnsi="Times New Roman"/>
                <w:color w:val="000000"/>
                <w:spacing w:val="-2"/>
              </w:rPr>
              <w:t>y</w:t>
            </w:r>
            <w:r w:rsidR="00EB7391" w:rsidRPr="002807D5">
              <w:rPr>
                <w:rFonts w:ascii="Times New Roman" w:hAnsi="Times New Roman"/>
                <w:color w:val="000000"/>
                <w:spacing w:val="-2"/>
              </w:rPr>
              <w:t xml:space="preserve"> detaliczn</w:t>
            </w:r>
            <w:r w:rsidR="00EB7391">
              <w:rPr>
                <w:rFonts w:ascii="Times New Roman" w:hAnsi="Times New Roman"/>
                <w:color w:val="000000"/>
                <w:spacing w:val="-2"/>
              </w:rPr>
              <w:t>ej</w:t>
            </w:r>
            <w:r w:rsidR="00EB7391" w:rsidRPr="002807D5">
              <w:rPr>
                <w:rFonts w:ascii="Times New Roman" w:hAnsi="Times New Roman"/>
                <w:color w:val="000000"/>
                <w:spacing w:val="-2"/>
              </w:rPr>
              <w:t xml:space="preserve">: </w:t>
            </w:r>
          </w:p>
          <w:p w14:paraId="1BA9C6AB" w14:textId="77777777" w:rsidR="00EB7391" w:rsidRPr="002807D5" w:rsidRDefault="00EB7391" w:rsidP="00EB7391">
            <w:pPr>
              <w:jc w:val="both"/>
              <w:rPr>
                <w:rFonts w:ascii="Times New Roman" w:hAnsi="Times New Roman"/>
                <w:color w:val="000000"/>
                <w:spacing w:val="-2"/>
              </w:rPr>
            </w:pPr>
            <w:r w:rsidRPr="002807D5">
              <w:rPr>
                <w:rFonts w:ascii="Times New Roman" w:hAnsi="Times New Roman"/>
                <w:color w:val="000000"/>
                <w:spacing w:val="-2"/>
              </w:rPr>
              <w:t>1)  benzyn silnikowych, o których mowa w art. 89 ust. 1 pkt 2 ustawy o podatku akcyzowym,</w:t>
            </w:r>
          </w:p>
          <w:p w14:paraId="5B374CAF" w14:textId="77777777" w:rsidR="00EB7391" w:rsidRPr="002807D5" w:rsidRDefault="00EB7391" w:rsidP="00EB7391">
            <w:pPr>
              <w:jc w:val="both"/>
              <w:rPr>
                <w:rFonts w:ascii="Times New Roman" w:hAnsi="Times New Roman"/>
                <w:color w:val="000000"/>
                <w:spacing w:val="-2"/>
              </w:rPr>
            </w:pPr>
            <w:r>
              <w:rPr>
                <w:rFonts w:ascii="Times New Roman" w:hAnsi="Times New Roman"/>
                <w:color w:val="000000"/>
                <w:spacing w:val="-2"/>
              </w:rPr>
              <w:t>2)  </w:t>
            </w:r>
            <w:r w:rsidRPr="002807D5">
              <w:rPr>
                <w:rFonts w:ascii="Times New Roman" w:hAnsi="Times New Roman"/>
                <w:color w:val="000000"/>
                <w:spacing w:val="-2"/>
              </w:rPr>
              <w:t>olejów napędowych, o których mowa w art. 89 ust. 1 pkt 6</w:t>
            </w:r>
            <w:r>
              <w:rPr>
                <w:rFonts w:ascii="Times New Roman" w:hAnsi="Times New Roman"/>
                <w:color w:val="000000"/>
                <w:spacing w:val="-2"/>
              </w:rPr>
              <w:t xml:space="preserve"> </w:t>
            </w:r>
            <w:r w:rsidRPr="002807D5">
              <w:rPr>
                <w:rFonts w:ascii="Times New Roman" w:hAnsi="Times New Roman"/>
                <w:color w:val="000000"/>
                <w:spacing w:val="-2"/>
              </w:rPr>
              <w:t>ustawy o podatku akcyzowym,</w:t>
            </w:r>
          </w:p>
          <w:p w14:paraId="7385C91C" w14:textId="77777777" w:rsidR="00EB7391" w:rsidRPr="002807D5" w:rsidRDefault="00EB7391" w:rsidP="00EB7391">
            <w:pPr>
              <w:jc w:val="both"/>
              <w:rPr>
                <w:rFonts w:ascii="Times New Roman" w:hAnsi="Times New Roman"/>
                <w:color w:val="000000"/>
                <w:spacing w:val="-2"/>
              </w:rPr>
            </w:pPr>
            <w:r>
              <w:rPr>
                <w:rFonts w:ascii="Times New Roman" w:hAnsi="Times New Roman"/>
                <w:color w:val="000000"/>
                <w:spacing w:val="-2"/>
              </w:rPr>
              <w:t>3)  </w:t>
            </w:r>
            <w:r w:rsidRPr="002807D5">
              <w:rPr>
                <w:rFonts w:ascii="Times New Roman" w:hAnsi="Times New Roman"/>
                <w:color w:val="000000"/>
                <w:spacing w:val="-2"/>
              </w:rPr>
              <w:t>biokomponentów stanowiących samoistne paliwa, o których mowa w art. 89 ust. 1 pkt 8</w:t>
            </w:r>
            <w:r>
              <w:rPr>
                <w:rFonts w:ascii="Times New Roman" w:hAnsi="Times New Roman"/>
                <w:color w:val="000000"/>
                <w:spacing w:val="-2"/>
              </w:rPr>
              <w:t xml:space="preserve"> </w:t>
            </w:r>
            <w:r w:rsidRPr="002807D5">
              <w:rPr>
                <w:rFonts w:ascii="Times New Roman" w:hAnsi="Times New Roman"/>
                <w:color w:val="000000"/>
                <w:spacing w:val="-2"/>
              </w:rPr>
              <w:t>ustawy o podatku akcyzowym,</w:t>
            </w:r>
          </w:p>
          <w:p w14:paraId="5C3F872D" w14:textId="77777777" w:rsidR="00EB7391" w:rsidRDefault="00EB7391" w:rsidP="00EB7391">
            <w:pPr>
              <w:jc w:val="both"/>
              <w:rPr>
                <w:rFonts w:ascii="Times New Roman" w:hAnsi="Times New Roman"/>
                <w:color w:val="000000"/>
                <w:spacing w:val="-2"/>
              </w:rPr>
            </w:pPr>
            <w:r>
              <w:rPr>
                <w:rFonts w:ascii="Times New Roman" w:hAnsi="Times New Roman"/>
                <w:color w:val="000000"/>
                <w:spacing w:val="-2"/>
              </w:rPr>
              <w:t>4)  </w:t>
            </w:r>
            <w:r w:rsidRPr="002807D5">
              <w:rPr>
                <w:rFonts w:ascii="Times New Roman" w:hAnsi="Times New Roman"/>
                <w:color w:val="000000"/>
                <w:spacing w:val="-2"/>
              </w:rPr>
              <w:t>gazów przeznaczonych do napędu silników spalinowych, o których mowa w art. 89 ust. 1 pkt 12 lit. a-b</w:t>
            </w:r>
            <w:r>
              <w:rPr>
                <w:rFonts w:ascii="Times New Roman" w:hAnsi="Times New Roman"/>
                <w:color w:val="000000"/>
                <w:spacing w:val="-2"/>
              </w:rPr>
              <w:t xml:space="preserve"> </w:t>
            </w:r>
            <w:r w:rsidRPr="002807D5">
              <w:rPr>
                <w:rFonts w:ascii="Times New Roman" w:hAnsi="Times New Roman"/>
                <w:color w:val="000000"/>
                <w:spacing w:val="-2"/>
              </w:rPr>
              <w:t>ustawy o podatku akcyzowym</w:t>
            </w:r>
            <w:r>
              <w:rPr>
                <w:rFonts w:ascii="Times New Roman" w:hAnsi="Times New Roman"/>
                <w:color w:val="000000"/>
                <w:spacing w:val="-2"/>
              </w:rPr>
              <w:t>.</w:t>
            </w:r>
          </w:p>
          <w:p w14:paraId="3FF618C3" w14:textId="77777777" w:rsidR="00D549AD" w:rsidRDefault="00D549AD" w:rsidP="00EB7391">
            <w:pPr>
              <w:jc w:val="both"/>
              <w:rPr>
                <w:rFonts w:ascii="Times New Roman" w:hAnsi="Times New Roman"/>
                <w:color w:val="000000"/>
                <w:spacing w:val="-2"/>
              </w:rPr>
            </w:pPr>
            <w:r w:rsidRPr="00B163D9">
              <w:rPr>
                <w:rFonts w:ascii="Times New Roman" w:hAnsi="Times New Roman"/>
                <w:color w:val="000000"/>
                <w:spacing w:val="-2"/>
              </w:rPr>
              <w:t>W projekcie przewiduje się również nałożenie do dnia 31 maja 2022 r. na sprzedawców dokonujących sprzedaży paliw silnikowych obowiązku zamieszczania przy kasie rejestrującej lokalu przedsiębiorstwa, w którym dokonywana jest sprzedaż tych paliw, informacji o obniżeniu akcyzy na paliwa silnikowe i niepodleganiu sprzedaży paliw silnikowych podatkowi od sprzedaży detalicznej.</w:t>
            </w:r>
          </w:p>
          <w:p w14:paraId="5F20D10C" w14:textId="77777777" w:rsidR="00555C6E" w:rsidRPr="00F22390" w:rsidRDefault="00555C6E" w:rsidP="00555C6E">
            <w:pPr>
              <w:jc w:val="both"/>
              <w:rPr>
                <w:rFonts w:ascii="Times New Roman" w:hAnsi="Times New Roman"/>
                <w:color w:val="000000"/>
                <w:spacing w:val="-2"/>
              </w:rPr>
            </w:pPr>
            <w:r>
              <w:rPr>
                <w:rFonts w:ascii="Times New Roman" w:hAnsi="Times New Roman"/>
                <w:color w:val="000000"/>
                <w:spacing w:val="-2"/>
              </w:rPr>
              <w:t xml:space="preserve">Rekomendowane działania </w:t>
            </w:r>
            <w:r w:rsidRPr="00F22390">
              <w:rPr>
                <w:rFonts w:ascii="Times New Roman" w:hAnsi="Times New Roman"/>
                <w:color w:val="000000"/>
                <w:spacing w:val="-2"/>
              </w:rPr>
              <w:t>mają doprowadzić do zahamowania wzrostu cen paliw na stacjach paliw</w:t>
            </w:r>
            <w:r>
              <w:rPr>
                <w:rFonts w:ascii="Times New Roman" w:hAnsi="Times New Roman"/>
                <w:color w:val="000000"/>
                <w:spacing w:val="-2"/>
              </w:rPr>
              <w:t>,</w:t>
            </w:r>
            <w:r w:rsidRPr="00F22390">
              <w:rPr>
                <w:rFonts w:ascii="Times New Roman" w:hAnsi="Times New Roman"/>
                <w:color w:val="000000"/>
                <w:spacing w:val="-2"/>
              </w:rPr>
              <w:t xml:space="preserve"> a zatem również pomóc w walce z inflacją. Należy podkreślić, że wzrost cen surowców energetycznych na rynkach światowych jest główną przyczyną wzrostu inflacji w Polsce i innych krajach unijnych. Zatem</w:t>
            </w:r>
            <w:r>
              <w:rPr>
                <w:rFonts w:ascii="Times New Roman" w:hAnsi="Times New Roman"/>
                <w:color w:val="000000"/>
                <w:spacing w:val="-2"/>
              </w:rPr>
              <w:t>,</w:t>
            </w:r>
            <w:r w:rsidRPr="00F22390">
              <w:rPr>
                <w:rFonts w:ascii="Times New Roman" w:hAnsi="Times New Roman"/>
                <w:color w:val="000000"/>
                <w:spacing w:val="-2"/>
              </w:rPr>
              <w:t xml:space="preserve"> ograniczenie wzrostu cen paliw powinno się przyczynić do stabilizacji cen także w innych obszarach gospodarki, tym cen żywności.</w:t>
            </w:r>
          </w:p>
          <w:p w14:paraId="09009BE5" w14:textId="77777777" w:rsidR="00555C6E" w:rsidRDefault="00555C6E" w:rsidP="00555C6E">
            <w:pPr>
              <w:jc w:val="both"/>
              <w:rPr>
                <w:rFonts w:ascii="Times New Roman" w:hAnsi="Times New Roman"/>
                <w:color w:val="000000"/>
                <w:spacing w:val="-2"/>
              </w:rPr>
            </w:pPr>
            <w:r>
              <w:rPr>
                <w:rFonts w:ascii="Times New Roman" w:hAnsi="Times New Roman"/>
                <w:color w:val="000000"/>
                <w:spacing w:val="-2"/>
              </w:rPr>
              <w:lastRenderedPageBreak/>
              <w:t>Wprowadzenie zwolnienia</w:t>
            </w:r>
            <w:r w:rsidRPr="00F22390">
              <w:rPr>
                <w:rFonts w:ascii="Times New Roman" w:hAnsi="Times New Roman"/>
                <w:color w:val="000000"/>
                <w:spacing w:val="-2"/>
              </w:rPr>
              <w:t xml:space="preserve"> dla energii elektrycznej wykorzystywanej przez gospodarstwa domowe pozwoli na zmniejszenie kosztów po stronie tej grupy odbiorców.</w:t>
            </w:r>
          </w:p>
          <w:p w14:paraId="00994941" w14:textId="0C31A4D7" w:rsidR="00555C6E" w:rsidRPr="00B37C80" w:rsidRDefault="00555C6E" w:rsidP="00EB7391">
            <w:pPr>
              <w:jc w:val="both"/>
              <w:rPr>
                <w:rFonts w:ascii="Times New Roman" w:hAnsi="Times New Roman"/>
                <w:color w:val="000000"/>
                <w:spacing w:val="-2"/>
              </w:rPr>
            </w:pPr>
          </w:p>
        </w:tc>
      </w:tr>
      <w:tr w:rsidR="00B71E1D" w:rsidRPr="008B4FE6" w14:paraId="4F16F8E0" w14:textId="77777777" w:rsidTr="005725F4">
        <w:trPr>
          <w:gridAfter w:val="1"/>
          <w:wAfter w:w="10" w:type="dxa"/>
          <w:trHeight w:val="307"/>
        </w:trPr>
        <w:tc>
          <w:tcPr>
            <w:tcW w:w="10938" w:type="dxa"/>
            <w:gridSpan w:val="27"/>
            <w:tcBorders>
              <w:top w:val="nil"/>
            </w:tcBorders>
            <w:shd w:val="clear" w:color="auto" w:fill="99CCFF"/>
            <w:vAlign w:val="center"/>
          </w:tcPr>
          <w:p w14:paraId="5E6B227D" w14:textId="77777777" w:rsidR="00B71E1D" w:rsidRPr="008B4FE6" w:rsidRDefault="00B71E1D" w:rsidP="00B71E1D">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B71E1D" w:rsidRPr="008B4FE6" w14:paraId="066654EB" w14:textId="77777777" w:rsidTr="005725F4">
        <w:trPr>
          <w:gridAfter w:val="1"/>
          <w:wAfter w:w="10" w:type="dxa"/>
          <w:trHeight w:val="142"/>
        </w:trPr>
        <w:tc>
          <w:tcPr>
            <w:tcW w:w="10938" w:type="dxa"/>
            <w:gridSpan w:val="27"/>
            <w:shd w:val="clear" w:color="auto" w:fill="auto"/>
          </w:tcPr>
          <w:p w14:paraId="0D7A5B8B" w14:textId="77777777" w:rsidR="001A0B0D" w:rsidRDefault="001A0B0D" w:rsidP="0065298C">
            <w:pPr>
              <w:spacing w:line="240" w:lineRule="auto"/>
              <w:jc w:val="both"/>
              <w:rPr>
                <w:rFonts w:ascii="Times New Roman" w:hAnsi="Times New Roman"/>
              </w:rPr>
            </w:pPr>
            <w:r>
              <w:rPr>
                <w:rFonts w:ascii="Times New Roman" w:hAnsi="Times New Roman"/>
              </w:rPr>
              <w:t>Brak jest danych na temat czasowej obniżki</w:t>
            </w:r>
            <w:r w:rsidRPr="001A0B0D">
              <w:rPr>
                <w:rFonts w:ascii="Times New Roman" w:hAnsi="Times New Roman"/>
              </w:rPr>
              <w:t xml:space="preserve"> akcyzy na paliwa silnikowe</w:t>
            </w:r>
            <w:r>
              <w:rPr>
                <w:rFonts w:ascii="Times New Roman" w:hAnsi="Times New Roman"/>
              </w:rPr>
              <w:t xml:space="preserve"> </w:t>
            </w:r>
            <w:r w:rsidR="00FD3D91">
              <w:rPr>
                <w:rFonts w:ascii="Times New Roman" w:hAnsi="Times New Roman"/>
              </w:rPr>
              <w:t>oraz w</w:t>
            </w:r>
            <w:r w:rsidR="00FD3D91">
              <w:rPr>
                <w:rFonts w:ascii="Times New Roman" w:hAnsi="Times New Roman"/>
                <w:color w:val="000000"/>
                <w:spacing w:val="-2"/>
              </w:rPr>
              <w:t>prowadzenia zwolnienia</w:t>
            </w:r>
            <w:r w:rsidR="00FD3D91" w:rsidRPr="00F22390">
              <w:rPr>
                <w:rFonts w:ascii="Times New Roman" w:hAnsi="Times New Roman"/>
                <w:color w:val="000000"/>
                <w:spacing w:val="-2"/>
              </w:rPr>
              <w:t xml:space="preserve"> dla energii elektrycznej wykorzystywanej przez gospodarstwa domowe</w:t>
            </w:r>
            <w:r w:rsidR="00FD3D91">
              <w:rPr>
                <w:rFonts w:ascii="Times New Roman" w:hAnsi="Times New Roman"/>
              </w:rPr>
              <w:t xml:space="preserve"> </w:t>
            </w:r>
            <w:r>
              <w:rPr>
                <w:rFonts w:ascii="Times New Roman" w:hAnsi="Times New Roman"/>
              </w:rPr>
              <w:t>w innych krajach członkowskich OECD/UE.</w:t>
            </w:r>
          </w:p>
          <w:p w14:paraId="2EF4F4F6" w14:textId="40C5C364" w:rsidR="00EB7391" w:rsidRPr="00DD7635" w:rsidRDefault="00EB7391" w:rsidP="0065298C">
            <w:pPr>
              <w:spacing w:line="240" w:lineRule="auto"/>
              <w:jc w:val="both"/>
              <w:rPr>
                <w:rFonts w:ascii="Times New Roman" w:hAnsi="Times New Roman"/>
              </w:rPr>
            </w:pPr>
            <w:r w:rsidRPr="002807D5">
              <w:rPr>
                <w:rFonts w:ascii="Times New Roman" w:hAnsi="Times New Roman"/>
              </w:rPr>
              <w:t xml:space="preserve">Materia </w:t>
            </w:r>
            <w:r>
              <w:rPr>
                <w:rFonts w:ascii="Times New Roman" w:hAnsi="Times New Roman"/>
              </w:rPr>
              <w:t xml:space="preserve">dotycząca </w:t>
            </w:r>
            <w:r>
              <w:rPr>
                <w:rFonts w:ascii="Times New Roman" w:hAnsi="Times New Roman"/>
                <w:color w:val="000000"/>
                <w:spacing w:val="-2"/>
              </w:rPr>
              <w:t>ustawy o podatku od sprzedaży detalicznej</w:t>
            </w:r>
            <w:r>
              <w:rPr>
                <w:rFonts w:ascii="Times New Roman" w:hAnsi="Times New Roman"/>
              </w:rPr>
              <w:t xml:space="preserve"> </w:t>
            </w:r>
            <w:r w:rsidRPr="002807D5">
              <w:rPr>
                <w:rFonts w:ascii="Times New Roman" w:hAnsi="Times New Roman"/>
              </w:rPr>
              <w:t>nie jest regulowana w prawie wspólnotowym i nie podlega harmonizacji.</w:t>
            </w:r>
          </w:p>
        </w:tc>
      </w:tr>
      <w:tr w:rsidR="00B71E1D" w:rsidRPr="008B4FE6" w14:paraId="53F88BAC" w14:textId="77777777" w:rsidTr="005725F4">
        <w:trPr>
          <w:gridAfter w:val="1"/>
          <w:wAfter w:w="10" w:type="dxa"/>
          <w:trHeight w:val="359"/>
        </w:trPr>
        <w:tc>
          <w:tcPr>
            <w:tcW w:w="10938" w:type="dxa"/>
            <w:gridSpan w:val="27"/>
            <w:shd w:val="clear" w:color="auto" w:fill="99CCFF"/>
            <w:vAlign w:val="center"/>
          </w:tcPr>
          <w:p w14:paraId="1ED45CCB" w14:textId="77777777" w:rsidR="00B71E1D" w:rsidRPr="008B4FE6" w:rsidRDefault="00B71E1D" w:rsidP="00B71E1D">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B71E1D" w:rsidRPr="008B4FE6" w14:paraId="6E8E126C" w14:textId="77777777" w:rsidTr="005725F4">
        <w:trPr>
          <w:gridAfter w:val="1"/>
          <w:wAfter w:w="10" w:type="dxa"/>
          <w:trHeight w:val="142"/>
        </w:trPr>
        <w:tc>
          <w:tcPr>
            <w:tcW w:w="2668" w:type="dxa"/>
            <w:gridSpan w:val="3"/>
            <w:shd w:val="clear" w:color="auto" w:fill="auto"/>
          </w:tcPr>
          <w:p w14:paraId="01131A9B" w14:textId="77777777" w:rsidR="00B71E1D" w:rsidRPr="008B4FE6" w:rsidRDefault="00B71E1D" w:rsidP="00716B38">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898" w:type="dxa"/>
            <w:gridSpan w:val="5"/>
            <w:shd w:val="clear" w:color="auto" w:fill="auto"/>
          </w:tcPr>
          <w:p w14:paraId="54F06CF9" w14:textId="77777777" w:rsidR="00B71E1D" w:rsidRPr="008B4FE6" w:rsidRDefault="00B71E1D" w:rsidP="00716B38">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3391" w:type="dxa"/>
            <w:gridSpan w:val="13"/>
            <w:shd w:val="clear" w:color="auto" w:fill="auto"/>
          </w:tcPr>
          <w:p w14:paraId="26915CEF" w14:textId="77777777" w:rsidR="00B71E1D" w:rsidRPr="008B4FE6" w:rsidRDefault="00B71E1D" w:rsidP="00716B38">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31A6FEEA" w14:textId="77777777" w:rsidR="00B71E1D" w:rsidRPr="008B4FE6" w:rsidRDefault="00B71E1D" w:rsidP="00716B38">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EB7391" w:rsidRPr="008B4FE6" w14:paraId="2386EF16" w14:textId="77777777" w:rsidTr="005725F4">
        <w:trPr>
          <w:gridAfter w:val="1"/>
          <w:wAfter w:w="10" w:type="dxa"/>
          <w:trHeight w:val="142"/>
        </w:trPr>
        <w:tc>
          <w:tcPr>
            <w:tcW w:w="2668" w:type="dxa"/>
            <w:gridSpan w:val="3"/>
            <w:shd w:val="clear" w:color="auto" w:fill="auto"/>
          </w:tcPr>
          <w:p w14:paraId="3D2FACF7" w14:textId="29644FAE" w:rsidR="00EB7391" w:rsidRDefault="00EB7391" w:rsidP="00EB7391">
            <w:pPr>
              <w:spacing w:line="240" w:lineRule="auto"/>
              <w:rPr>
                <w:rFonts w:ascii="Times New Roman" w:hAnsi="Times New Roman"/>
                <w:color w:val="000000"/>
              </w:rPr>
            </w:pPr>
            <w:r>
              <w:rPr>
                <w:rFonts w:ascii="Times New Roman" w:hAnsi="Times New Roman"/>
                <w:color w:val="000000"/>
                <w:spacing w:val="-2"/>
              </w:rPr>
              <w:t>Gospodarstwa domowe</w:t>
            </w:r>
          </w:p>
        </w:tc>
        <w:tc>
          <w:tcPr>
            <w:tcW w:w="1898" w:type="dxa"/>
            <w:gridSpan w:val="5"/>
            <w:shd w:val="clear" w:color="auto" w:fill="auto"/>
          </w:tcPr>
          <w:p w14:paraId="690B54FF" w14:textId="085183BB" w:rsidR="00EB7391" w:rsidRDefault="00EB7391" w:rsidP="00EB7391">
            <w:pPr>
              <w:spacing w:line="240" w:lineRule="auto"/>
              <w:rPr>
                <w:rFonts w:ascii="Times New Roman" w:hAnsi="Times New Roman"/>
                <w:color w:val="000000"/>
                <w:spacing w:val="-2"/>
              </w:rPr>
            </w:pPr>
            <w:r w:rsidRPr="00FF4D1D">
              <w:rPr>
                <w:rFonts w:ascii="Times New Roman" w:hAnsi="Times New Roman"/>
                <w:color w:val="000000"/>
                <w:spacing w:val="-2"/>
              </w:rPr>
              <w:t>14 732 600</w:t>
            </w:r>
          </w:p>
        </w:tc>
        <w:tc>
          <w:tcPr>
            <w:tcW w:w="3391" w:type="dxa"/>
            <w:gridSpan w:val="13"/>
            <w:shd w:val="clear" w:color="auto" w:fill="auto"/>
          </w:tcPr>
          <w:p w14:paraId="72C8AF99" w14:textId="3A375548" w:rsidR="00EB7391" w:rsidRDefault="00EB7391" w:rsidP="00EB7391">
            <w:pPr>
              <w:spacing w:line="240" w:lineRule="auto"/>
              <w:rPr>
                <w:rFonts w:ascii="Times New Roman" w:hAnsi="Times New Roman"/>
                <w:color w:val="000000"/>
                <w:spacing w:val="-2"/>
              </w:rPr>
            </w:pPr>
            <w:r>
              <w:rPr>
                <w:rFonts w:ascii="Times New Roman" w:eastAsiaTheme="minorHAnsi" w:hAnsi="Times New Roman"/>
                <w:color w:val="000000"/>
              </w:rPr>
              <w:t>GUS</w:t>
            </w:r>
          </w:p>
        </w:tc>
        <w:tc>
          <w:tcPr>
            <w:tcW w:w="2981" w:type="dxa"/>
            <w:gridSpan w:val="6"/>
            <w:shd w:val="clear" w:color="auto" w:fill="auto"/>
          </w:tcPr>
          <w:p w14:paraId="18056F2E" w14:textId="77CF7568" w:rsidR="00EB7391" w:rsidRDefault="00EB7391" w:rsidP="00EB7391">
            <w:pPr>
              <w:spacing w:line="240" w:lineRule="auto"/>
              <w:rPr>
                <w:rFonts w:ascii="Times New Roman" w:hAnsi="Times New Roman"/>
                <w:color w:val="000000"/>
                <w:spacing w:val="-2"/>
              </w:rPr>
            </w:pPr>
            <w:r>
              <w:rPr>
                <w:rFonts w:ascii="Times New Roman" w:hAnsi="Times New Roman"/>
                <w:color w:val="000000"/>
                <w:spacing w:val="-2"/>
              </w:rPr>
              <w:t>Zakłada się spadek cen energii elektrycznej poprzez zwolnienie z akcyzy energii elektrycznej</w:t>
            </w:r>
          </w:p>
        </w:tc>
      </w:tr>
      <w:tr w:rsidR="00EB7391" w:rsidRPr="008B4FE6" w14:paraId="00D8FBE0" w14:textId="77777777" w:rsidTr="005725F4">
        <w:trPr>
          <w:gridAfter w:val="1"/>
          <w:wAfter w:w="10" w:type="dxa"/>
          <w:trHeight w:val="142"/>
        </w:trPr>
        <w:tc>
          <w:tcPr>
            <w:tcW w:w="2668" w:type="dxa"/>
            <w:gridSpan w:val="3"/>
            <w:shd w:val="clear" w:color="auto" w:fill="auto"/>
          </w:tcPr>
          <w:p w14:paraId="6403F3DB" w14:textId="4524BC76" w:rsidR="00EB7391" w:rsidRDefault="00EB7391" w:rsidP="00EB7391">
            <w:pPr>
              <w:spacing w:line="240" w:lineRule="auto"/>
              <w:rPr>
                <w:rFonts w:ascii="Times New Roman" w:hAnsi="Times New Roman"/>
                <w:color w:val="000000"/>
                <w:spacing w:val="-2"/>
              </w:rPr>
            </w:pPr>
            <w:r>
              <w:rPr>
                <w:rFonts w:ascii="Times New Roman" w:hAnsi="Times New Roman"/>
                <w:color w:val="000000"/>
              </w:rPr>
              <w:t>Konsumenci paliw silnikowych i autogazu (LPG) zarówno przedsiębiorcy, jak również odbiorcy indywidualni</w:t>
            </w:r>
          </w:p>
        </w:tc>
        <w:tc>
          <w:tcPr>
            <w:tcW w:w="1898" w:type="dxa"/>
            <w:gridSpan w:val="5"/>
            <w:shd w:val="clear" w:color="auto" w:fill="auto"/>
          </w:tcPr>
          <w:p w14:paraId="06AEF9E5" w14:textId="2D5EE38B" w:rsidR="00EB7391" w:rsidRDefault="00EB7391" w:rsidP="00EB7391">
            <w:pPr>
              <w:spacing w:line="240" w:lineRule="auto"/>
              <w:rPr>
                <w:rFonts w:ascii="Times New Roman" w:hAnsi="Times New Roman"/>
                <w:color w:val="000000"/>
                <w:spacing w:val="-2"/>
              </w:rPr>
            </w:pPr>
            <w:r>
              <w:rPr>
                <w:rFonts w:ascii="Times New Roman" w:hAnsi="Times New Roman"/>
                <w:color w:val="000000"/>
                <w:spacing w:val="-2"/>
              </w:rPr>
              <w:t>Brak danych</w:t>
            </w:r>
          </w:p>
        </w:tc>
        <w:tc>
          <w:tcPr>
            <w:tcW w:w="3391" w:type="dxa"/>
            <w:gridSpan w:val="13"/>
            <w:shd w:val="clear" w:color="auto" w:fill="auto"/>
          </w:tcPr>
          <w:p w14:paraId="01B577CC" w14:textId="2C4C1BD2" w:rsidR="00EB7391" w:rsidRPr="00DE0428" w:rsidRDefault="00EB7391" w:rsidP="00EB7391">
            <w:pPr>
              <w:spacing w:line="240" w:lineRule="auto"/>
              <w:rPr>
                <w:rFonts w:ascii="Times New Roman" w:eastAsiaTheme="minorHAnsi" w:hAnsi="Times New Roman"/>
                <w:color w:val="000000"/>
              </w:rPr>
            </w:pPr>
            <w:r>
              <w:rPr>
                <w:rFonts w:ascii="Times New Roman" w:hAnsi="Times New Roman"/>
                <w:color w:val="000000"/>
                <w:spacing w:val="-2"/>
              </w:rPr>
              <w:t>Brak danych</w:t>
            </w:r>
          </w:p>
        </w:tc>
        <w:tc>
          <w:tcPr>
            <w:tcW w:w="2981" w:type="dxa"/>
            <w:gridSpan w:val="6"/>
            <w:shd w:val="clear" w:color="auto" w:fill="auto"/>
          </w:tcPr>
          <w:p w14:paraId="29C18A07" w14:textId="2969D349" w:rsidR="00EB7391" w:rsidRPr="002F71D7" w:rsidRDefault="00EB7391" w:rsidP="00EB7391">
            <w:pPr>
              <w:spacing w:line="240" w:lineRule="auto"/>
              <w:rPr>
                <w:rFonts w:ascii="Times New Roman" w:hAnsi="Times New Roman"/>
              </w:rPr>
            </w:pPr>
            <w:r>
              <w:rPr>
                <w:rFonts w:ascii="Times New Roman" w:hAnsi="Times New Roman"/>
                <w:color w:val="000000"/>
                <w:spacing w:val="-2"/>
              </w:rPr>
              <w:t>Obniżenie stawek akcyzy na paliwa silnikowe powinno spowodować spadek ich cen na stacjach paliw Obniżenie stawek akcyzy na paliwa silnikowe powinno spowodować spadek ich cen na stacjach paliw</w:t>
            </w:r>
          </w:p>
        </w:tc>
      </w:tr>
      <w:tr w:rsidR="00EB7391" w:rsidRPr="008B4FE6" w14:paraId="29AB8E60" w14:textId="77777777" w:rsidTr="005725F4">
        <w:trPr>
          <w:gridAfter w:val="1"/>
          <w:wAfter w:w="10" w:type="dxa"/>
          <w:trHeight w:val="142"/>
        </w:trPr>
        <w:tc>
          <w:tcPr>
            <w:tcW w:w="2668" w:type="dxa"/>
            <w:gridSpan w:val="3"/>
            <w:shd w:val="clear" w:color="auto" w:fill="auto"/>
          </w:tcPr>
          <w:p w14:paraId="06513D04" w14:textId="5B04EE22" w:rsidR="00EB7391" w:rsidRDefault="00EB7391" w:rsidP="00EB7391">
            <w:pPr>
              <w:spacing w:line="240" w:lineRule="auto"/>
              <w:rPr>
                <w:rFonts w:ascii="Times New Roman" w:hAnsi="Times New Roman"/>
                <w:color w:val="000000"/>
              </w:rPr>
            </w:pPr>
            <w:r>
              <w:rPr>
                <w:rFonts w:ascii="Times New Roman" w:hAnsi="Times New Roman"/>
                <w:color w:val="000000"/>
              </w:rPr>
              <w:t>Konsumenci energii elektrycznej zarówno przedsiębiorcy, jak również odbiorcy indywidualni</w:t>
            </w:r>
          </w:p>
        </w:tc>
        <w:tc>
          <w:tcPr>
            <w:tcW w:w="1898" w:type="dxa"/>
            <w:gridSpan w:val="5"/>
            <w:shd w:val="clear" w:color="auto" w:fill="auto"/>
          </w:tcPr>
          <w:p w14:paraId="759E898F" w14:textId="67307E71" w:rsidR="00EB7391" w:rsidRDefault="00EB7391" w:rsidP="00EB7391">
            <w:pPr>
              <w:spacing w:line="240" w:lineRule="auto"/>
              <w:rPr>
                <w:rFonts w:ascii="Times New Roman" w:hAnsi="Times New Roman"/>
                <w:color w:val="000000"/>
                <w:spacing w:val="-2"/>
              </w:rPr>
            </w:pPr>
            <w:r>
              <w:rPr>
                <w:rFonts w:ascii="Times New Roman" w:hAnsi="Times New Roman"/>
                <w:color w:val="000000"/>
                <w:spacing w:val="-2"/>
              </w:rPr>
              <w:t>Brak danych</w:t>
            </w:r>
          </w:p>
        </w:tc>
        <w:tc>
          <w:tcPr>
            <w:tcW w:w="3391" w:type="dxa"/>
            <w:gridSpan w:val="13"/>
            <w:shd w:val="clear" w:color="auto" w:fill="auto"/>
          </w:tcPr>
          <w:p w14:paraId="5E101B3F" w14:textId="4A6FAB10" w:rsidR="00EB7391" w:rsidRDefault="00EB7391" w:rsidP="00EB7391">
            <w:pPr>
              <w:spacing w:line="240" w:lineRule="auto"/>
              <w:rPr>
                <w:rFonts w:ascii="Times New Roman" w:hAnsi="Times New Roman"/>
                <w:color w:val="000000"/>
                <w:spacing w:val="-2"/>
              </w:rPr>
            </w:pPr>
            <w:r>
              <w:rPr>
                <w:rFonts w:ascii="Times New Roman" w:hAnsi="Times New Roman"/>
                <w:color w:val="000000"/>
                <w:spacing w:val="-2"/>
              </w:rPr>
              <w:t>Brak danych</w:t>
            </w:r>
          </w:p>
        </w:tc>
        <w:tc>
          <w:tcPr>
            <w:tcW w:w="2981" w:type="dxa"/>
            <w:gridSpan w:val="6"/>
            <w:shd w:val="clear" w:color="auto" w:fill="auto"/>
          </w:tcPr>
          <w:p w14:paraId="2AF23A19" w14:textId="390261E0" w:rsidR="00EB7391" w:rsidRDefault="00EB7391" w:rsidP="00EB7391">
            <w:pPr>
              <w:spacing w:line="240" w:lineRule="auto"/>
              <w:rPr>
                <w:rFonts w:ascii="Times New Roman" w:hAnsi="Times New Roman"/>
                <w:color w:val="000000"/>
                <w:spacing w:val="-2"/>
              </w:rPr>
            </w:pPr>
            <w:r>
              <w:rPr>
                <w:rFonts w:ascii="Times New Roman" w:hAnsi="Times New Roman"/>
                <w:color w:val="000000"/>
                <w:spacing w:val="-2"/>
              </w:rPr>
              <w:t>Obniżenie stawki akcyzy na energię elektryczną powinno spowodować nieznaczny spadek jej ceny</w:t>
            </w:r>
          </w:p>
        </w:tc>
      </w:tr>
      <w:tr w:rsidR="00EB7391" w:rsidRPr="008B4FE6" w14:paraId="0DCB22FB" w14:textId="77777777" w:rsidTr="005725F4">
        <w:trPr>
          <w:gridAfter w:val="1"/>
          <w:wAfter w:w="10" w:type="dxa"/>
          <w:trHeight w:val="142"/>
        </w:trPr>
        <w:tc>
          <w:tcPr>
            <w:tcW w:w="2668" w:type="dxa"/>
            <w:gridSpan w:val="3"/>
            <w:shd w:val="clear" w:color="auto" w:fill="auto"/>
          </w:tcPr>
          <w:p w14:paraId="5B65BB02" w14:textId="77777777" w:rsidR="00EB7391" w:rsidRDefault="00EB7391" w:rsidP="00EB7391">
            <w:pPr>
              <w:spacing w:line="240" w:lineRule="auto"/>
              <w:rPr>
                <w:rFonts w:ascii="Times New Roman" w:hAnsi="Times New Roman"/>
                <w:color w:val="000000"/>
                <w:spacing w:val="-2"/>
              </w:rPr>
            </w:pPr>
            <w:r>
              <w:rPr>
                <w:rFonts w:ascii="Times New Roman" w:hAnsi="Times New Roman"/>
                <w:color w:val="000000"/>
                <w:spacing w:val="-2"/>
              </w:rPr>
              <w:t>Podatnicy podatku od sprzedaży detalicznej z sektora paliw</w:t>
            </w:r>
          </w:p>
          <w:p w14:paraId="68C42CA4" w14:textId="77777777" w:rsidR="00EB7391" w:rsidRPr="008B4FE6" w:rsidRDefault="00EB7391" w:rsidP="00EB7391">
            <w:pPr>
              <w:spacing w:line="240" w:lineRule="auto"/>
              <w:rPr>
                <w:rFonts w:ascii="Times New Roman" w:hAnsi="Times New Roman"/>
                <w:color w:val="000000"/>
                <w:spacing w:val="-2"/>
              </w:rPr>
            </w:pPr>
          </w:p>
        </w:tc>
        <w:tc>
          <w:tcPr>
            <w:tcW w:w="1898" w:type="dxa"/>
            <w:gridSpan w:val="5"/>
            <w:shd w:val="clear" w:color="auto" w:fill="auto"/>
          </w:tcPr>
          <w:p w14:paraId="48F18584" w14:textId="77777777" w:rsidR="00EB7391" w:rsidRDefault="00EB7391" w:rsidP="00EB7391">
            <w:pPr>
              <w:spacing w:line="240" w:lineRule="auto"/>
              <w:rPr>
                <w:rFonts w:ascii="Times New Roman" w:hAnsi="Times New Roman"/>
                <w:color w:val="000000"/>
                <w:spacing w:val="-2"/>
              </w:rPr>
            </w:pPr>
            <w:r>
              <w:rPr>
                <w:rFonts w:ascii="Times New Roman" w:hAnsi="Times New Roman"/>
                <w:color w:val="000000"/>
                <w:spacing w:val="-2"/>
              </w:rPr>
              <w:t>13 podmiotów</w:t>
            </w:r>
          </w:p>
          <w:p w14:paraId="749BEF0B" w14:textId="77777777" w:rsidR="00EB7391" w:rsidRPr="00B37C80" w:rsidRDefault="00EB7391" w:rsidP="00EB7391">
            <w:pPr>
              <w:spacing w:line="240" w:lineRule="auto"/>
              <w:rPr>
                <w:rFonts w:ascii="Times New Roman" w:hAnsi="Times New Roman"/>
                <w:color w:val="000000"/>
                <w:spacing w:val="-2"/>
              </w:rPr>
            </w:pPr>
          </w:p>
        </w:tc>
        <w:tc>
          <w:tcPr>
            <w:tcW w:w="3391" w:type="dxa"/>
            <w:gridSpan w:val="13"/>
            <w:shd w:val="clear" w:color="auto" w:fill="auto"/>
          </w:tcPr>
          <w:p w14:paraId="1D2E6DE3" w14:textId="77777777" w:rsidR="00EB7391" w:rsidRPr="00DE0428" w:rsidRDefault="00EB7391" w:rsidP="00EB7391">
            <w:pPr>
              <w:spacing w:line="240" w:lineRule="auto"/>
              <w:rPr>
                <w:rFonts w:ascii="Times New Roman" w:eastAsiaTheme="minorHAnsi" w:hAnsi="Times New Roman"/>
                <w:color w:val="000000"/>
              </w:rPr>
            </w:pPr>
            <w:r w:rsidRPr="00DE0428">
              <w:rPr>
                <w:rFonts w:ascii="Times New Roman" w:eastAsiaTheme="minorHAnsi" w:hAnsi="Times New Roman"/>
                <w:color w:val="000000"/>
              </w:rPr>
              <w:t>Własne – Ministerstwa Finansów</w:t>
            </w:r>
          </w:p>
        </w:tc>
        <w:tc>
          <w:tcPr>
            <w:tcW w:w="2981" w:type="dxa"/>
            <w:gridSpan w:val="6"/>
            <w:shd w:val="clear" w:color="auto" w:fill="auto"/>
          </w:tcPr>
          <w:p w14:paraId="6F50E76D" w14:textId="6454BDCA" w:rsidR="00EB7391" w:rsidRPr="00DE0428" w:rsidRDefault="00EB7391" w:rsidP="00EB7391">
            <w:pPr>
              <w:spacing w:line="240" w:lineRule="auto"/>
            </w:pPr>
            <w:r w:rsidRPr="002F71D7">
              <w:rPr>
                <w:rFonts w:ascii="Times New Roman" w:hAnsi="Times New Roman"/>
              </w:rPr>
              <w:t>Zmiany przyczynią się do  zmniejszenia presji cenowej na rynku sprzedaży detalicznej paliw</w:t>
            </w:r>
            <w:r>
              <w:t>.</w:t>
            </w:r>
          </w:p>
        </w:tc>
      </w:tr>
      <w:tr w:rsidR="00EB7391" w:rsidRPr="008B4FE6" w14:paraId="76185164" w14:textId="77777777" w:rsidTr="00A960D3">
        <w:trPr>
          <w:gridAfter w:val="1"/>
          <w:wAfter w:w="10" w:type="dxa"/>
          <w:trHeight w:val="142"/>
        </w:trPr>
        <w:tc>
          <w:tcPr>
            <w:tcW w:w="2668" w:type="dxa"/>
            <w:gridSpan w:val="3"/>
            <w:shd w:val="clear" w:color="auto" w:fill="auto"/>
          </w:tcPr>
          <w:p w14:paraId="4509BDB1" w14:textId="1202BCD3" w:rsidR="00EB7391" w:rsidRDefault="00D549AD" w:rsidP="00EB7391">
            <w:pPr>
              <w:spacing w:line="240" w:lineRule="auto"/>
              <w:rPr>
                <w:rFonts w:ascii="Times New Roman" w:hAnsi="Times New Roman"/>
                <w:color w:val="000000"/>
                <w:spacing w:val="-2"/>
              </w:rPr>
            </w:pPr>
            <w:r>
              <w:rPr>
                <w:rFonts w:ascii="Times New Roman" w:hAnsi="Times New Roman"/>
                <w:color w:val="000000"/>
                <w:spacing w:val="-2"/>
              </w:rPr>
              <w:t>Przedsiębiorcy dokonujący sprzedaży  paliw silnikowych</w:t>
            </w:r>
          </w:p>
        </w:tc>
        <w:tc>
          <w:tcPr>
            <w:tcW w:w="1898" w:type="dxa"/>
            <w:gridSpan w:val="5"/>
            <w:shd w:val="clear" w:color="auto" w:fill="auto"/>
          </w:tcPr>
          <w:p w14:paraId="21BF0638" w14:textId="0E12ADDE" w:rsidR="00EB7391" w:rsidRDefault="00EB7391" w:rsidP="003E5312">
            <w:pPr>
              <w:spacing w:line="240" w:lineRule="auto"/>
              <w:rPr>
                <w:rFonts w:ascii="Times New Roman" w:hAnsi="Times New Roman"/>
                <w:color w:val="000000"/>
                <w:spacing w:val="-2"/>
              </w:rPr>
            </w:pPr>
            <w:r>
              <w:rPr>
                <w:rFonts w:ascii="Times New Roman" w:hAnsi="Times New Roman"/>
                <w:color w:val="000000"/>
                <w:spacing w:val="-2"/>
              </w:rPr>
              <w:t xml:space="preserve">Ok.3900 </w:t>
            </w:r>
          </w:p>
        </w:tc>
        <w:tc>
          <w:tcPr>
            <w:tcW w:w="3391" w:type="dxa"/>
            <w:gridSpan w:val="13"/>
            <w:shd w:val="clear" w:color="auto" w:fill="auto"/>
          </w:tcPr>
          <w:p w14:paraId="385E60CB" w14:textId="7DA4CE80" w:rsidR="00EB7391" w:rsidRPr="00DE0428" w:rsidRDefault="00D549AD" w:rsidP="00EB7391">
            <w:pPr>
              <w:spacing w:line="240" w:lineRule="auto"/>
              <w:rPr>
                <w:rFonts w:ascii="Times New Roman" w:eastAsiaTheme="minorHAnsi" w:hAnsi="Times New Roman"/>
                <w:color w:val="000000"/>
              </w:rPr>
            </w:pPr>
            <w:r w:rsidRPr="00B163D9">
              <w:rPr>
                <w:rFonts w:ascii="Times New Roman" w:eastAsiaTheme="minorHAnsi" w:hAnsi="Times New Roman"/>
                <w:color w:val="000000"/>
              </w:rPr>
              <w:t>Dane URE o liczbie operatorów stacji benzynowych</w:t>
            </w:r>
          </w:p>
        </w:tc>
        <w:tc>
          <w:tcPr>
            <w:tcW w:w="2981" w:type="dxa"/>
            <w:gridSpan w:val="6"/>
            <w:shd w:val="clear" w:color="auto" w:fill="auto"/>
          </w:tcPr>
          <w:p w14:paraId="17B42C68" w14:textId="3692EED3" w:rsidR="00EB7391" w:rsidRPr="002F71D7" w:rsidRDefault="00D549AD" w:rsidP="00EB7391">
            <w:pPr>
              <w:spacing w:line="240" w:lineRule="auto"/>
              <w:rPr>
                <w:rFonts w:ascii="Times New Roman" w:hAnsi="Times New Roman"/>
              </w:rPr>
            </w:pPr>
            <w:r w:rsidRPr="00B163D9">
              <w:rPr>
                <w:rFonts w:ascii="Times New Roman" w:hAnsi="Times New Roman"/>
              </w:rPr>
              <w:t>Nałożenie obowiązku informacyjnego o czasowym obniżeniu akcyzy na paliwa silnikowe i wyłączeniu  sprzedaży paliw z podatku od sprzedaży detalicznej.</w:t>
            </w:r>
          </w:p>
        </w:tc>
      </w:tr>
      <w:tr w:rsidR="00EB7391" w:rsidRPr="008B4FE6" w14:paraId="16C7859F" w14:textId="77777777" w:rsidTr="005725F4">
        <w:trPr>
          <w:gridAfter w:val="1"/>
          <w:wAfter w:w="10" w:type="dxa"/>
          <w:trHeight w:val="302"/>
        </w:trPr>
        <w:tc>
          <w:tcPr>
            <w:tcW w:w="10938" w:type="dxa"/>
            <w:gridSpan w:val="27"/>
            <w:shd w:val="clear" w:color="auto" w:fill="99CCFF"/>
            <w:vAlign w:val="center"/>
          </w:tcPr>
          <w:p w14:paraId="6883790B" w14:textId="77777777" w:rsidR="00EB7391" w:rsidRPr="008B4FE6" w:rsidRDefault="00EB7391" w:rsidP="00EB7391">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EB7391" w:rsidRPr="008B4FE6" w14:paraId="50F7EE68" w14:textId="77777777" w:rsidTr="005725F4">
        <w:trPr>
          <w:gridAfter w:val="1"/>
          <w:wAfter w:w="10" w:type="dxa"/>
          <w:trHeight w:val="342"/>
        </w:trPr>
        <w:tc>
          <w:tcPr>
            <w:tcW w:w="10938" w:type="dxa"/>
            <w:gridSpan w:val="27"/>
            <w:shd w:val="clear" w:color="auto" w:fill="FFFFFF"/>
          </w:tcPr>
          <w:p w14:paraId="7F5DEA71" w14:textId="34CC2E36" w:rsidR="00EB7391" w:rsidRPr="00B37C80" w:rsidRDefault="00EB7391" w:rsidP="004457AF">
            <w:pPr>
              <w:spacing w:line="240" w:lineRule="auto"/>
              <w:jc w:val="both"/>
              <w:rPr>
                <w:rFonts w:ascii="Times New Roman" w:hAnsi="Times New Roman"/>
                <w:color w:val="000000"/>
                <w:spacing w:val="-2"/>
              </w:rPr>
            </w:pPr>
            <w:r>
              <w:rPr>
                <w:rFonts w:ascii="Times New Roman" w:hAnsi="Times New Roman"/>
                <w:color w:val="000000"/>
                <w:spacing w:val="-2"/>
              </w:rPr>
              <w:t>Ze względu na wagę społeczną i gospodarczą proponowanych zmian oraz pilny charakter interwencji wynikającej ze zbliżającego się szczytu okresu grzewczego nie prowadzono konsultacji. Projekt jest odpowiedzią na postulaty społeczne związane z  podwyżkami cen na paliwa silnikowe i energię elektryczną.</w:t>
            </w:r>
          </w:p>
        </w:tc>
      </w:tr>
      <w:tr w:rsidR="00EB7391" w:rsidRPr="008B4FE6" w14:paraId="5BAC1DEF" w14:textId="77777777" w:rsidTr="005725F4">
        <w:trPr>
          <w:gridAfter w:val="1"/>
          <w:wAfter w:w="10" w:type="dxa"/>
          <w:trHeight w:val="363"/>
        </w:trPr>
        <w:tc>
          <w:tcPr>
            <w:tcW w:w="10938" w:type="dxa"/>
            <w:gridSpan w:val="27"/>
            <w:shd w:val="clear" w:color="auto" w:fill="99CCFF"/>
            <w:vAlign w:val="center"/>
          </w:tcPr>
          <w:p w14:paraId="5281E146" w14:textId="77777777" w:rsidR="00EB7391" w:rsidRPr="008B4FE6" w:rsidRDefault="00EB7391" w:rsidP="00EB7391">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EB7391" w:rsidRPr="008B4FE6" w14:paraId="2AB2F342" w14:textId="77777777" w:rsidTr="005725F4">
        <w:trPr>
          <w:gridAfter w:val="1"/>
          <w:wAfter w:w="10" w:type="dxa"/>
          <w:trHeight w:val="142"/>
        </w:trPr>
        <w:tc>
          <w:tcPr>
            <w:tcW w:w="3133" w:type="dxa"/>
            <w:gridSpan w:val="4"/>
            <w:vMerge w:val="restart"/>
            <w:shd w:val="clear" w:color="auto" w:fill="FFFFFF"/>
          </w:tcPr>
          <w:p w14:paraId="75053C0D" w14:textId="77777777" w:rsidR="00EB7391" w:rsidRPr="00C53F26" w:rsidRDefault="00EB7391" w:rsidP="00EB7391">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Pr>
                <w:rFonts w:ascii="Times New Roman" w:hAnsi="Times New Roman"/>
                <w:color w:val="000000"/>
                <w:sz w:val="21"/>
                <w:szCs w:val="21"/>
              </w:rPr>
              <w:t>2020</w:t>
            </w:r>
            <w:r w:rsidRPr="006F78C4">
              <w:rPr>
                <w:rFonts w:ascii="Times New Roman" w:hAnsi="Times New Roman"/>
                <w:color w:val="000000"/>
                <w:sz w:val="21"/>
                <w:szCs w:val="21"/>
              </w:rPr>
              <w:t xml:space="preserve"> r.)</w:t>
            </w:r>
          </w:p>
        </w:tc>
        <w:tc>
          <w:tcPr>
            <w:tcW w:w="7805" w:type="dxa"/>
            <w:gridSpan w:val="23"/>
            <w:shd w:val="clear" w:color="auto" w:fill="FFFFFF"/>
          </w:tcPr>
          <w:p w14:paraId="64DDC3F1" w14:textId="77777777" w:rsidR="00EB7391" w:rsidRPr="00C53F26" w:rsidRDefault="00EB7391" w:rsidP="00EB7391">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EB7391" w:rsidRPr="008B4FE6" w14:paraId="087B7589" w14:textId="77777777" w:rsidTr="005725F4">
        <w:trPr>
          <w:gridAfter w:val="1"/>
          <w:wAfter w:w="10" w:type="dxa"/>
          <w:trHeight w:val="142"/>
        </w:trPr>
        <w:tc>
          <w:tcPr>
            <w:tcW w:w="3133" w:type="dxa"/>
            <w:gridSpan w:val="4"/>
            <w:vMerge/>
            <w:shd w:val="clear" w:color="auto" w:fill="FFFFFF"/>
          </w:tcPr>
          <w:p w14:paraId="2E2AE460" w14:textId="77777777" w:rsidR="00EB7391" w:rsidRPr="00C53F26" w:rsidRDefault="00EB7391" w:rsidP="00EB7391">
            <w:pPr>
              <w:spacing w:before="40" w:after="40" w:line="240" w:lineRule="auto"/>
              <w:rPr>
                <w:rFonts w:ascii="Times New Roman" w:hAnsi="Times New Roman"/>
                <w:i/>
                <w:color w:val="000000"/>
                <w:sz w:val="21"/>
                <w:szCs w:val="21"/>
              </w:rPr>
            </w:pPr>
          </w:p>
        </w:tc>
        <w:tc>
          <w:tcPr>
            <w:tcW w:w="724" w:type="dxa"/>
            <w:gridSpan w:val="2"/>
            <w:shd w:val="clear" w:color="auto" w:fill="FFFFFF"/>
          </w:tcPr>
          <w:p w14:paraId="3E87EF99"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850" w:type="dxa"/>
            <w:gridSpan w:val="3"/>
            <w:shd w:val="clear" w:color="auto" w:fill="FFFFFF"/>
          </w:tcPr>
          <w:p w14:paraId="7FFF8750"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236" w:type="dxa"/>
            <w:shd w:val="clear" w:color="auto" w:fill="FFFFFF"/>
          </w:tcPr>
          <w:p w14:paraId="08F6F3E3"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615" w:type="dxa"/>
            <w:shd w:val="clear" w:color="auto" w:fill="FFFFFF"/>
          </w:tcPr>
          <w:p w14:paraId="04F70DA1"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424" w:type="dxa"/>
            <w:gridSpan w:val="2"/>
            <w:shd w:val="clear" w:color="auto" w:fill="FFFFFF"/>
          </w:tcPr>
          <w:p w14:paraId="14D29BE1"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6EB2B7AA"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593CE60C"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10524CC7"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40582FC8"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22DDC0F"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gridSpan w:val="2"/>
            <w:shd w:val="clear" w:color="auto" w:fill="FFFFFF"/>
          </w:tcPr>
          <w:p w14:paraId="045FDB1C" w14:textId="77777777" w:rsidR="00EB7391" w:rsidRPr="00C53F26" w:rsidRDefault="00EB7391" w:rsidP="00EB739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shd w:val="clear" w:color="auto" w:fill="FFFFFF"/>
          </w:tcPr>
          <w:p w14:paraId="6C65625D" w14:textId="77777777" w:rsidR="00EB7391" w:rsidRPr="00C53F26" w:rsidRDefault="00EB7391" w:rsidP="00EB7391">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EB7391" w:rsidRPr="008B4FE6" w14:paraId="7355132E" w14:textId="77777777" w:rsidTr="005725F4">
        <w:trPr>
          <w:trHeight w:val="321"/>
        </w:trPr>
        <w:tc>
          <w:tcPr>
            <w:tcW w:w="3133" w:type="dxa"/>
            <w:gridSpan w:val="4"/>
            <w:shd w:val="clear" w:color="auto" w:fill="FFFFFF"/>
            <w:vAlign w:val="center"/>
          </w:tcPr>
          <w:p w14:paraId="0358C40B" w14:textId="77777777"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724" w:type="dxa"/>
            <w:gridSpan w:val="2"/>
            <w:shd w:val="clear" w:color="auto" w:fill="FFFFFF"/>
          </w:tcPr>
          <w:p w14:paraId="7F65811B" w14:textId="497DAEC3" w:rsidR="00EB7391" w:rsidRPr="00294832" w:rsidRDefault="00EB7391" w:rsidP="002D66C0">
            <w:pPr>
              <w:rPr>
                <w:rFonts w:ascii="Times New Roman" w:hAnsi="Times New Roman"/>
                <w:sz w:val="16"/>
                <w:szCs w:val="16"/>
              </w:rPr>
            </w:pPr>
            <w:r w:rsidRPr="00294832">
              <w:rPr>
                <w:rFonts w:ascii="Times New Roman" w:hAnsi="Times New Roman"/>
                <w:color w:val="000000"/>
                <w:sz w:val="16"/>
                <w:szCs w:val="16"/>
              </w:rPr>
              <w:t>-</w:t>
            </w:r>
            <w:r w:rsidR="002D66C0">
              <w:rPr>
                <w:rFonts w:ascii="Times New Roman" w:hAnsi="Times New Roman"/>
                <w:color w:val="000000"/>
                <w:sz w:val="16"/>
                <w:szCs w:val="16"/>
              </w:rPr>
              <w:t>133</w:t>
            </w:r>
            <w:r>
              <w:rPr>
                <w:rFonts w:ascii="Times New Roman" w:hAnsi="Times New Roman"/>
                <w:color w:val="000000"/>
                <w:sz w:val="16"/>
                <w:szCs w:val="16"/>
              </w:rPr>
              <w:t>,</w:t>
            </w:r>
            <w:r w:rsidR="002D66C0">
              <w:rPr>
                <w:rFonts w:ascii="Times New Roman" w:hAnsi="Times New Roman"/>
                <w:color w:val="000000"/>
                <w:sz w:val="16"/>
                <w:szCs w:val="16"/>
              </w:rPr>
              <w:t>9</w:t>
            </w:r>
          </w:p>
        </w:tc>
        <w:tc>
          <w:tcPr>
            <w:tcW w:w="850" w:type="dxa"/>
            <w:gridSpan w:val="3"/>
            <w:shd w:val="clear" w:color="auto" w:fill="FFFFFF"/>
          </w:tcPr>
          <w:p w14:paraId="7416E1F7" w14:textId="468E62D2" w:rsidR="00EB7391" w:rsidRPr="00294832" w:rsidRDefault="00EB7391" w:rsidP="002D66C0">
            <w:pPr>
              <w:rPr>
                <w:rFonts w:ascii="Times New Roman" w:hAnsi="Times New Roman"/>
                <w:sz w:val="16"/>
                <w:szCs w:val="16"/>
              </w:rPr>
            </w:pPr>
            <w:r>
              <w:rPr>
                <w:rFonts w:ascii="Times New Roman" w:hAnsi="Times New Roman"/>
                <w:color w:val="000000"/>
                <w:sz w:val="16"/>
                <w:szCs w:val="16"/>
              </w:rPr>
              <w:t>-</w:t>
            </w:r>
            <w:r w:rsidR="002D66C0">
              <w:rPr>
                <w:rFonts w:ascii="Times New Roman" w:hAnsi="Times New Roman"/>
                <w:color w:val="000000"/>
                <w:sz w:val="16"/>
                <w:szCs w:val="16"/>
              </w:rPr>
              <w:t>1419,8</w:t>
            </w:r>
          </w:p>
        </w:tc>
        <w:tc>
          <w:tcPr>
            <w:tcW w:w="236" w:type="dxa"/>
            <w:shd w:val="clear" w:color="auto" w:fill="FFFFFF"/>
          </w:tcPr>
          <w:p w14:paraId="2CE7B5F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503DB574"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6A66F75C"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0B2C648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411A7726"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2F59C54C"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21F2BBF1"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7820E364"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20C0612D"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0F5CB9EB" w14:textId="5F71EBC0" w:rsidR="00EB7391" w:rsidRPr="00294832" w:rsidRDefault="00EB7391" w:rsidP="002D66C0">
            <w:pPr>
              <w:rPr>
                <w:rFonts w:ascii="Times New Roman" w:hAnsi="Times New Roman"/>
                <w:sz w:val="16"/>
                <w:szCs w:val="16"/>
              </w:rPr>
            </w:pPr>
            <w:r w:rsidRPr="00294832">
              <w:rPr>
                <w:rFonts w:ascii="Times New Roman" w:hAnsi="Times New Roman"/>
                <w:color w:val="000000"/>
                <w:sz w:val="16"/>
                <w:szCs w:val="16"/>
              </w:rPr>
              <w:t>-</w:t>
            </w:r>
            <w:r w:rsidR="002D66C0">
              <w:rPr>
                <w:rFonts w:ascii="Times New Roman" w:hAnsi="Times New Roman"/>
                <w:color w:val="000000"/>
                <w:sz w:val="16"/>
                <w:szCs w:val="16"/>
              </w:rPr>
              <w:t>1553,7</w:t>
            </w:r>
          </w:p>
        </w:tc>
      </w:tr>
      <w:tr w:rsidR="00EB7391" w:rsidRPr="008B4FE6" w14:paraId="7137F2F3" w14:textId="77777777" w:rsidTr="005725F4">
        <w:trPr>
          <w:trHeight w:val="321"/>
        </w:trPr>
        <w:tc>
          <w:tcPr>
            <w:tcW w:w="3133" w:type="dxa"/>
            <w:gridSpan w:val="4"/>
            <w:shd w:val="clear" w:color="auto" w:fill="FFFFFF"/>
            <w:vAlign w:val="center"/>
          </w:tcPr>
          <w:p w14:paraId="21CDCF5D" w14:textId="688055D9"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r>
              <w:rPr>
                <w:rFonts w:ascii="Times New Roman" w:hAnsi="Times New Roman"/>
                <w:color w:val="000000"/>
                <w:sz w:val="21"/>
                <w:szCs w:val="21"/>
              </w:rPr>
              <w:t xml:space="preserve"> </w:t>
            </w:r>
          </w:p>
        </w:tc>
        <w:tc>
          <w:tcPr>
            <w:tcW w:w="724" w:type="dxa"/>
            <w:gridSpan w:val="2"/>
            <w:shd w:val="clear" w:color="auto" w:fill="FFFFFF"/>
          </w:tcPr>
          <w:p w14:paraId="6F98DBCE" w14:textId="306E204F" w:rsidR="00EB7391" w:rsidRPr="00294832" w:rsidRDefault="00EB7391" w:rsidP="002D66C0">
            <w:pPr>
              <w:rPr>
                <w:rFonts w:ascii="Times New Roman" w:hAnsi="Times New Roman"/>
                <w:sz w:val="16"/>
                <w:szCs w:val="16"/>
              </w:rPr>
            </w:pPr>
            <w:r>
              <w:rPr>
                <w:rFonts w:ascii="Times New Roman" w:hAnsi="Times New Roman"/>
                <w:sz w:val="16"/>
                <w:szCs w:val="16"/>
              </w:rPr>
              <w:t>-</w:t>
            </w:r>
            <w:r w:rsidR="002D66C0">
              <w:rPr>
                <w:rFonts w:ascii="Times New Roman" w:hAnsi="Times New Roman"/>
                <w:sz w:val="16"/>
                <w:szCs w:val="16"/>
              </w:rPr>
              <w:t>133,9</w:t>
            </w:r>
          </w:p>
        </w:tc>
        <w:tc>
          <w:tcPr>
            <w:tcW w:w="850" w:type="dxa"/>
            <w:gridSpan w:val="3"/>
            <w:shd w:val="clear" w:color="auto" w:fill="FFFFFF"/>
          </w:tcPr>
          <w:p w14:paraId="56355071" w14:textId="0BDA3E56" w:rsidR="00EB7391" w:rsidRDefault="00EB7391" w:rsidP="00EB7391">
            <w:pPr>
              <w:rPr>
                <w:rFonts w:ascii="Times New Roman" w:hAnsi="Times New Roman"/>
                <w:color w:val="000000"/>
                <w:sz w:val="16"/>
                <w:szCs w:val="16"/>
              </w:rPr>
            </w:pPr>
            <w:r>
              <w:rPr>
                <w:rFonts w:ascii="Times New Roman" w:hAnsi="Times New Roman"/>
                <w:color w:val="000000"/>
                <w:sz w:val="16"/>
                <w:szCs w:val="16"/>
              </w:rPr>
              <w:t>-14</w:t>
            </w:r>
            <w:r w:rsidR="002D66C0">
              <w:rPr>
                <w:rFonts w:ascii="Times New Roman" w:hAnsi="Times New Roman"/>
                <w:color w:val="000000"/>
                <w:sz w:val="16"/>
                <w:szCs w:val="16"/>
              </w:rPr>
              <w:t>26,1</w:t>
            </w:r>
          </w:p>
          <w:p w14:paraId="565BDA63" w14:textId="65A14F84" w:rsidR="00EB7391" w:rsidRPr="00294832" w:rsidRDefault="00EB7391" w:rsidP="00EB7391">
            <w:pPr>
              <w:rPr>
                <w:rFonts w:ascii="Times New Roman" w:hAnsi="Times New Roman"/>
                <w:sz w:val="16"/>
                <w:szCs w:val="16"/>
              </w:rPr>
            </w:pPr>
          </w:p>
        </w:tc>
        <w:tc>
          <w:tcPr>
            <w:tcW w:w="236" w:type="dxa"/>
            <w:shd w:val="clear" w:color="auto" w:fill="FFFFFF"/>
          </w:tcPr>
          <w:p w14:paraId="1CD5F1EA"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56AE71B4"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7D4CDC1B"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08A4F039"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3AA06A4A"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371A5979"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08E74077"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2AA0CFFA"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76576CE1"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12F8E362" w14:textId="4E960F3B" w:rsidR="00EB7391" w:rsidRPr="00294832" w:rsidRDefault="00EB7391" w:rsidP="002D66C0">
            <w:pPr>
              <w:rPr>
                <w:rFonts w:ascii="Times New Roman" w:hAnsi="Times New Roman"/>
                <w:sz w:val="16"/>
                <w:szCs w:val="16"/>
              </w:rPr>
            </w:pPr>
            <w:r w:rsidRPr="00294832">
              <w:rPr>
                <w:rFonts w:ascii="Times New Roman" w:hAnsi="Times New Roman"/>
                <w:sz w:val="16"/>
                <w:szCs w:val="16"/>
              </w:rPr>
              <w:t>-</w:t>
            </w:r>
            <w:r w:rsidR="002D66C0">
              <w:rPr>
                <w:rFonts w:ascii="Times New Roman" w:hAnsi="Times New Roman"/>
                <w:sz w:val="16"/>
                <w:szCs w:val="16"/>
              </w:rPr>
              <w:t>1560</w:t>
            </w:r>
          </w:p>
        </w:tc>
      </w:tr>
      <w:tr w:rsidR="00EB7391" w:rsidRPr="008B4FE6" w14:paraId="76171017" w14:textId="77777777" w:rsidTr="005725F4">
        <w:trPr>
          <w:trHeight w:val="344"/>
        </w:trPr>
        <w:tc>
          <w:tcPr>
            <w:tcW w:w="3133" w:type="dxa"/>
            <w:gridSpan w:val="4"/>
            <w:shd w:val="clear" w:color="auto" w:fill="FFFFFF"/>
            <w:vAlign w:val="center"/>
          </w:tcPr>
          <w:p w14:paraId="231C4372" w14:textId="77777777"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r>
              <w:rPr>
                <w:rFonts w:ascii="Times New Roman" w:hAnsi="Times New Roman"/>
                <w:color w:val="000000"/>
                <w:sz w:val="21"/>
                <w:szCs w:val="21"/>
              </w:rPr>
              <w:t xml:space="preserve"> (CIT)</w:t>
            </w:r>
          </w:p>
        </w:tc>
        <w:tc>
          <w:tcPr>
            <w:tcW w:w="724" w:type="dxa"/>
            <w:gridSpan w:val="2"/>
            <w:shd w:val="clear" w:color="auto" w:fill="FFFFFF"/>
          </w:tcPr>
          <w:p w14:paraId="0E543D7D" w14:textId="49CD1836" w:rsidR="00EB7391" w:rsidRPr="00294832" w:rsidRDefault="00EB7391" w:rsidP="00EB7391">
            <w:pPr>
              <w:rPr>
                <w:rFonts w:ascii="Times New Roman" w:hAnsi="Times New Roman"/>
                <w:sz w:val="16"/>
                <w:szCs w:val="16"/>
              </w:rPr>
            </w:pPr>
            <w:r>
              <w:rPr>
                <w:rFonts w:ascii="Times New Roman" w:hAnsi="Times New Roman"/>
                <w:color w:val="000000"/>
                <w:sz w:val="16"/>
                <w:szCs w:val="16"/>
              </w:rPr>
              <w:t>0</w:t>
            </w:r>
          </w:p>
        </w:tc>
        <w:tc>
          <w:tcPr>
            <w:tcW w:w="850" w:type="dxa"/>
            <w:gridSpan w:val="3"/>
            <w:shd w:val="clear" w:color="auto" w:fill="FFFFFF"/>
          </w:tcPr>
          <w:p w14:paraId="50C7AC6A" w14:textId="5C269F90" w:rsidR="00EB7391" w:rsidRPr="00294832" w:rsidRDefault="00EB7391" w:rsidP="00EB7391">
            <w:pPr>
              <w:rPr>
                <w:rFonts w:ascii="Times New Roman" w:hAnsi="Times New Roman"/>
                <w:sz w:val="16"/>
                <w:szCs w:val="16"/>
              </w:rPr>
            </w:pPr>
            <w:r>
              <w:rPr>
                <w:rFonts w:ascii="Times New Roman" w:hAnsi="Times New Roman"/>
                <w:color w:val="000000"/>
                <w:sz w:val="16"/>
                <w:szCs w:val="16"/>
              </w:rPr>
              <w:t>6,3</w:t>
            </w:r>
          </w:p>
        </w:tc>
        <w:tc>
          <w:tcPr>
            <w:tcW w:w="236" w:type="dxa"/>
            <w:shd w:val="clear" w:color="auto" w:fill="FFFFFF"/>
          </w:tcPr>
          <w:p w14:paraId="172E4DB4"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6667BB2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34836298"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2F6A2721"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166BE286"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43DDF7BC"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3575C4F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0211C6CC"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7F0420C6"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5C6A53A0"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6,3</w:t>
            </w:r>
          </w:p>
        </w:tc>
      </w:tr>
      <w:tr w:rsidR="00EB7391" w:rsidRPr="008B4FE6" w14:paraId="20C19DF2" w14:textId="77777777" w:rsidTr="005725F4">
        <w:trPr>
          <w:trHeight w:val="344"/>
        </w:trPr>
        <w:tc>
          <w:tcPr>
            <w:tcW w:w="3133" w:type="dxa"/>
            <w:gridSpan w:val="4"/>
            <w:shd w:val="clear" w:color="auto" w:fill="FFFFFF"/>
            <w:vAlign w:val="center"/>
          </w:tcPr>
          <w:p w14:paraId="6DD142EE" w14:textId="77777777"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724" w:type="dxa"/>
            <w:gridSpan w:val="2"/>
            <w:shd w:val="clear" w:color="auto" w:fill="FFFFFF"/>
          </w:tcPr>
          <w:p w14:paraId="100198FA"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850" w:type="dxa"/>
            <w:gridSpan w:val="3"/>
            <w:shd w:val="clear" w:color="auto" w:fill="FFFFFF"/>
          </w:tcPr>
          <w:p w14:paraId="285673AE"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236" w:type="dxa"/>
            <w:shd w:val="clear" w:color="auto" w:fill="FFFFFF"/>
          </w:tcPr>
          <w:p w14:paraId="17A0B148"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0ABDCD2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2E753621"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61AA505A"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5DD967A8"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786A8580"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299067CD"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23EAF752"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081EC216"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1F086970"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r>
      <w:tr w:rsidR="00EB7391" w:rsidRPr="008B4FE6" w14:paraId="0AC37DBF" w14:textId="77777777" w:rsidTr="005725F4">
        <w:trPr>
          <w:trHeight w:val="330"/>
        </w:trPr>
        <w:tc>
          <w:tcPr>
            <w:tcW w:w="3133" w:type="dxa"/>
            <w:gridSpan w:val="4"/>
            <w:shd w:val="clear" w:color="auto" w:fill="FFFFFF"/>
            <w:vAlign w:val="center"/>
          </w:tcPr>
          <w:p w14:paraId="3ED4FF7E" w14:textId="77777777"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724" w:type="dxa"/>
            <w:gridSpan w:val="2"/>
            <w:shd w:val="clear" w:color="auto" w:fill="FFFFFF"/>
          </w:tcPr>
          <w:p w14:paraId="0C5A4F8E"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850" w:type="dxa"/>
            <w:gridSpan w:val="3"/>
            <w:shd w:val="clear" w:color="auto" w:fill="FFFFFF"/>
          </w:tcPr>
          <w:p w14:paraId="7FAAB8B3"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236" w:type="dxa"/>
            <w:shd w:val="clear" w:color="auto" w:fill="FFFFFF"/>
          </w:tcPr>
          <w:p w14:paraId="537C9B1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6E57C3E8"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38039EB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7DEC504E"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6DD1B64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214A71AD"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3FF7B00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1C28962C"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5C15CE1B"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4B90BD8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r>
      <w:tr w:rsidR="00EB7391" w:rsidRPr="008B4FE6" w14:paraId="4AECF81C" w14:textId="77777777" w:rsidTr="005725F4">
        <w:trPr>
          <w:trHeight w:val="330"/>
        </w:trPr>
        <w:tc>
          <w:tcPr>
            <w:tcW w:w="3133" w:type="dxa"/>
            <w:gridSpan w:val="4"/>
            <w:shd w:val="clear" w:color="auto" w:fill="FFFFFF"/>
            <w:vAlign w:val="center"/>
          </w:tcPr>
          <w:p w14:paraId="08BBC77B" w14:textId="77777777"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724" w:type="dxa"/>
            <w:gridSpan w:val="2"/>
            <w:shd w:val="clear" w:color="auto" w:fill="FFFFFF"/>
          </w:tcPr>
          <w:p w14:paraId="26E06AEA"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850" w:type="dxa"/>
            <w:gridSpan w:val="3"/>
            <w:shd w:val="clear" w:color="auto" w:fill="FFFFFF"/>
          </w:tcPr>
          <w:p w14:paraId="0A725373"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236" w:type="dxa"/>
            <w:shd w:val="clear" w:color="auto" w:fill="FFFFFF"/>
          </w:tcPr>
          <w:p w14:paraId="5EF81E58"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6FB0FF51"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743FAF19"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4A2D48D8"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46505C90"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13FBCED7"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3E3ACF5E"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71322B01"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2CA8A7B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5D3810E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r>
      <w:tr w:rsidR="00EB7391" w:rsidRPr="008B4FE6" w14:paraId="0A92E795" w14:textId="77777777" w:rsidTr="005725F4">
        <w:trPr>
          <w:trHeight w:val="351"/>
        </w:trPr>
        <w:tc>
          <w:tcPr>
            <w:tcW w:w="3133" w:type="dxa"/>
            <w:gridSpan w:val="4"/>
            <w:shd w:val="clear" w:color="auto" w:fill="FFFFFF"/>
            <w:vAlign w:val="center"/>
          </w:tcPr>
          <w:p w14:paraId="7FF7189E" w14:textId="77777777"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724" w:type="dxa"/>
            <w:gridSpan w:val="2"/>
            <w:shd w:val="clear" w:color="auto" w:fill="FFFFFF"/>
          </w:tcPr>
          <w:p w14:paraId="45786C6B"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850" w:type="dxa"/>
            <w:gridSpan w:val="3"/>
            <w:shd w:val="clear" w:color="auto" w:fill="FFFFFF"/>
          </w:tcPr>
          <w:p w14:paraId="37E42B00"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236" w:type="dxa"/>
            <w:shd w:val="clear" w:color="auto" w:fill="FFFFFF"/>
          </w:tcPr>
          <w:p w14:paraId="47526894"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3F82DDD7"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1A856669"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0AB693CD"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1950E828"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4FE70159"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6C2BA3B9"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6134DBBA"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43DE6196"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45528A5D"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r>
      <w:tr w:rsidR="00EB7391" w:rsidRPr="008B4FE6" w14:paraId="362849B2" w14:textId="77777777" w:rsidTr="005725F4">
        <w:trPr>
          <w:trHeight w:val="351"/>
        </w:trPr>
        <w:tc>
          <w:tcPr>
            <w:tcW w:w="3133" w:type="dxa"/>
            <w:gridSpan w:val="4"/>
            <w:shd w:val="clear" w:color="auto" w:fill="FFFFFF"/>
            <w:vAlign w:val="center"/>
          </w:tcPr>
          <w:p w14:paraId="40CAF1C8" w14:textId="77777777"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724" w:type="dxa"/>
            <w:gridSpan w:val="2"/>
            <w:shd w:val="clear" w:color="auto" w:fill="FFFFFF"/>
          </w:tcPr>
          <w:p w14:paraId="44AA5767"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850" w:type="dxa"/>
            <w:gridSpan w:val="3"/>
            <w:shd w:val="clear" w:color="auto" w:fill="FFFFFF"/>
          </w:tcPr>
          <w:p w14:paraId="55E7EAC6"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236" w:type="dxa"/>
            <w:shd w:val="clear" w:color="auto" w:fill="FFFFFF"/>
          </w:tcPr>
          <w:p w14:paraId="3D269E66"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0D977B2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075D8289"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296567A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32477AF8"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7B454020"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2ABA0922"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3DFD1A6B"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31EB5623"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2C54395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r>
      <w:tr w:rsidR="002D66C0" w:rsidRPr="008B4FE6" w14:paraId="46F7B2C3" w14:textId="77777777" w:rsidTr="005725F4">
        <w:trPr>
          <w:trHeight w:val="360"/>
        </w:trPr>
        <w:tc>
          <w:tcPr>
            <w:tcW w:w="3133" w:type="dxa"/>
            <w:gridSpan w:val="4"/>
            <w:shd w:val="clear" w:color="auto" w:fill="FFFFFF"/>
            <w:vAlign w:val="center"/>
          </w:tcPr>
          <w:p w14:paraId="42A00702" w14:textId="77777777" w:rsidR="002D66C0" w:rsidRPr="00C53F26" w:rsidRDefault="002D66C0" w:rsidP="002D66C0">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724" w:type="dxa"/>
            <w:gridSpan w:val="2"/>
            <w:shd w:val="clear" w:color="auto" w:fill="FFFFFF"/>
          </w:tcPr>
          <w:p w14:paraId="1039AD4C" w14:textId="6DD327CB"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w:t>
            </w:r>
            <w:r>
              <w:rPr>
                <w:rFonts w:ascii="Times New Roman" w:hAnsi="Times New Roman"/>
                <w:color w:val="000000"/>
                <w:sz w:val="16"/>
                <w:szCs w:val="16"/>
              </w:rPr>
              <w:t>133,9</w:t>
            </w:r>
          </w:p>
        </w:tc>
        <w:tc>
          <w:tcPr>
            <w:tcW w:w="850" w:type="dxa"/>
            <w:gridSpan w:val="3"/>
            <w:shd w:val="clear" w:color="auto" w:fill="FFFFFF"/>
          </w:tcPr>
          <w:p w14:paraId="0FBA00B9" w14:textId="58AA7D06" w:rsidR="002D66C0" w:rsidRPr="00294832" w:rsidRDefault="002D66C0" w:rsidP="002D66C0">
            <w:pPr>
              <w:rPr>
                <w:rFonts w:ascii="Times New Roman" w:hAnsi="Times New Roman"/>
                <w:sz w:val="16"/>
                <w:szCs w:val="16"/>
              </w:rPr>
            </w:pPr>
            <w:r>
              <w:rPr>
                <w:rFonts w:ascii="Times New Roman" w:hAnsi="Times New Roman"/>
                <w:color w:val="000000"/>
                <w:sz w:val="16"/>
                <w:szCs w:val="16"/>
              </w:rPr>
              <w:t>-1419,8</w:t>
            </w:r>
          </w:p>
        </w:tc>
        <w:tc>
          <w:tcPr>
            <w:tcW w:w="236" w:type="dxa"/>
            <w:shd w:val="clear" w:color="auto" w:fill="FFFFFF"/>
          </w:tcPr>
          <w:p w14:paraId="6DBA70F4" w14:textId="1F8B26C6"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248C1FE0" w14:textId="385B3A5E"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2EAFA91F" w14:textId="1EDB0A15"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23F7CE73" w14:textId="541E8A9D"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74B7D07D" w14:textId="32B891B6"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4AC64CE3" w14:textId="6DBAC370"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34807582" w14:textId="30E8951A"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3F28DC49" w14:textId="65ACD232"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1D97B11E" w14:textId="3208BA81"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5F728225" w14:textId="13E7C7C0"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w:t>
            </w:r>
            <w:r>
              <w:rPr>
                <w:rFonts w:ascii="Times New Roman" w:hAnsi="Times New Roman"/>
                <w:color w:val="000000"/>
                <w:sz w:val="16"/>
                <w:szCs w:val="16"/>
              </w:rPr>
              <w:t>1553,7</w:t>
            </w:r>
          </w:p>
        </w:tc>
      </w:tr>
      <w:tr w:rsidR="002D66C0" w:rsidRPr="008B4FE6" w14:paraId="38CB5B55" w14:textId="77777777" w:rsidTr="005725F4">
        <w:trPr>
          <w:trHeight w:val="360"/>
        </w:trPr>
        <w:tc>
          <w:tcPr>
            <w:tcW w:w="3133" w:type="dxa"/>
            <w:gridSpan w:val="4"/>
            <w:shd w:val="clear" w:color="auto" w:fill="FFFFFF"/>
            <w:vAlign w:val="center"/>
          </w:tcPr>
          <w:p w14:paraId="2791BD35" w14:textId="77777777" w:rsidR="002D66C0" w:rsidRPr="00C53F26" w:rsidRDefault="002D66C0" w:rsidP="002D66C0">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724" w:type="dxa"/>
            <w:gridSpan w:val="2"/>
            <w:shd w:val="clear" w:color="auto" w:fill="FFFFFF"/>
          </w:tcPr>
          <w:p w14:paraId="1D144FFB" w14:textId="3DE6BEE8" w:rsidR="002D66C0" w:rsidRPr="00294832" w:rsidRDefault="002D66C0" w:rsidP="002D66C0">
            <w:pPr>
              <w:rPr>
                <w:rFonts w:ascii="Times New Roman" w:hAnsi="Times New Roman"/>
                <w:sz w:val="16"/>
                <w:szCs w:val="16"/>
              </w:rPr>
            </w:pPr>
            <w:r>
              <w:rPr>
                <w:rFonts w:ascii="Times New Roman" w:hAnsi="Times New Roman"/>
                <w:sz w:val="16"/>
                <w:szCs w:val="16"/>
              </w:rPr>
              <w:t>-133,9</w:t>
            </w:r>
          </w:p>
        </w:tc>
        <w:tc>
          <w:tcPr>
            <w:tcW w:w="850" w:type="dxa"/>
            <w:gridSpan w:val="3"/>
            <w:shd w:val="clear" w:color="auto" w:fill="FFFFFF"/>
          </w:tcPr>
          <w:p w14:paraId="151E379F" w14:textId="77777777" w:rsidR="002D66C0" w:rsidRDefault="002D66C0" w:rsidP="002D66C0">
            <w:pPr>
              <w:rPr>
                <w:rFonts w:ascii="Times New Roman" w:hAnsi="Times New Roman"/>
                <w:color w:val="000000"/>
                <w:sz w:val="16"/>
                <w:szCs w:val="16"/>
              </w:rPr>
            </w:pPr>
            <w:r>
              <w:rPr>
                <w:rFonts w:ascii="Times New Roman" w:hAnsi="Times New Roman"/>
                <w:color w:val="000000"/>
                <w:sz w:val="16"/>
                <w:szCs w:val="16"/>
              </w:rPr>
              <w:t>-1426,1</w:t>
            </w:r>
          </w:p>
          <w:p w14:paraId="39EE0C6B" w14:textId="5428C261" w:rsidR="002D66C0" w:rsidRPr="00294832" w:rsidRDefault="002D66C0" w:rsidP="002D66C0">
            <w:pPr>
              <w:rPr>
                <w:rFonts w:ascii="Times New Roman" w:hAnsi="Times New Roman"/>
                <w:sz w:val="16"/>
                <w:szCs w:val="16"/>
              </w:rPr>
            </w:pPr>
          </w:p>
        </w:tc>
        <w:tc>
          <w:tcPr>
            <w:tcW w:w="236" w:type="dxa"/>
            <w:shd w:val="clear" w:color="auto" w:fill="FFFFFF"/>
          </w:tcPr>
          <w:p w14:paraId="7C5F3E55" w14:textId="42A2122D"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6CE73E6F" w14:textId="5EA02256"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7E531664" w14:textId="40521CDA"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548EF416" w14:textId="2929A858"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0B36D047" w14:textId="3E2C06F2"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50E0F6EE" w14:textId="3A1336A0"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616DD8B5" w14:textId="0E236142"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4E1F8633" w14:textId="7E56DF3D"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2A6C2254" w14:textId="65BF2530" w:rsidR="002D66C0" w:rsidRPr="00294832" w:rsidRDefault="002D66C0" w:rsidP="002D66C0">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116DB527" w14:textId="7102905B" w:rsidR="002D66C0" w:rsidRPr="00294832" w:rsidRDefault="002D66C0" w:rsidP="002D66C0">
            <w:pPr>
              <w:rPr>
                <w:rFonts w:ascii="Times New Roman" w:hAnsi="Times New Roman"/>
                <w:sz w:val="16"/>
                <w:szCs w:val="16"/>
              </w:rPr>
            </w:pPr>
            <w:r w:rsidRPr="00294832">
              <w:rPr>
                <w:rFonts w:ascii="Times New Roman" w:hAnsi="Times New Roman"/>
                <w:sz w:val="16"/>
                <w:szCs w:val="16"/>
              </w:rPr>
              <w:t>-</w:t>
            </w:r>
            <w:r>
              <w:rPr>
                <w:rFonts w:ascii="Times New Roman" w:hAnsi="Times New Roman"/>
                <w:sz w:val="16"/>
                <w:szCs w:val="16"/>
              </w:rPr>
              <w:t>1560</w:t>
            </w:r>
          </w:p>
        </w:tc>
      </w:tr>
      <w:tr w:rsidR="00EB7391" w:rsidRPr="008B4FE6" w14:paraId="305A8E3A" w14:textId="77777777" w:rsidTr="005725F4">
        <w:trPr>
          <w:trHeight w:val="357"/>
        </w:trPr>
        <w:tc>
          <w:tcPr>
            <w:tcW w:w="3133" w:type="dxa"/>
            <w:gridSpan w:val="4"/>
            <w:shd w:val="clear" w:color="auto" w:fill="FFFFFF"/>
            <w:vAlign w:val="center"/>
          </w:tcPr>
          <w:p w14:paraId="6C7B8E43" w14:textId="77777777"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JST</w:t>
            </w:r>
          </w:p>
        </w:tc>
        <w:tc>
          <w:tcPr>
            <w:tcW w:w="724" w:type="dxa"/>
            <w:gridSpan w:val="2"/>
            <w:shd w:val="clear" w:color="auto" w:fill="FFFFFF"/>
          </w:tcPr>
          <w:p w14:paraId="5B0D9DFE" w14:textId="719DEF84" w:rsidR="00EB7391" w:rsidRPr="00294832" w:rsidRDefault="00EB7391" w:rsidP="00EB7391">
            <w:pPr>
              <w:rPr>
                <w:rFonts w:ascii="Times New Roman" w:hAnsi="Times New Roman"/>
                <w:sz w:val="16"/>
                <w:szCs w:val="16"/>
              </w:rPr>
            </w:pPr>
          </w:p>
        </w:tc>
        <w:tc>
          <w:tcPr>
            <w:tcW w:w="850" w:type="dxa"/>
            <w:gridSpan w:val="3"/>
            <w:shd w:val="clear" w:color="auto" w:fill="FFFFFF"/>
          </w:tcPr>
          <w:p w14:paraId="34730AA4" w14:textId="52FA91B7" w:rsidR="00EB7391" w:rsidRPr="00294832" w:rsidRDefault="00EB7391" w:rsidP="00EB7391">
            <w:pPr>
              <w:rPr>
                <w:rFonts w:ascii="Times New Roman" w:hAnsi="Times New Roman"/>
                <w:sz w:val="16"/>
                <w:szCs w:val="16"/>
              </w:rPr>
            </w:pPr>
            <w:r>
              <w:rPr>
                <w:rFonts w:ascii="Times New Roman" w:hAnsi="Times New Roman"/>
                <w:color w:val="000000"/>
                <w:sz w:val="16"/>
                <w:szCs w:val="16"/>
              </w:rPr>
              <w:t>6,3</w:t>
            </w:r>
          </w:p>
        </w:tc>
        <w:tc>
          <w:tcPr>
            <w:tcW w:w="236" w:type="dxa"/>
            <w:shd w:val="clear" w:color="auto" w:fill="FFFFFF"/>
          </w:tcPr>
          <w:p w14:paraId="3C6C0899"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1792B950"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72DC02D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7D659E3C"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3E74638D"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121BE687"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53677566"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430FB846"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4D1D36B0"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74C7CEEF" w14:textId="77777777" w:rsidR="00EB7391" w:rsidRPr="00294832" w:rsidRDefault="00EB7391" w:rsidP="00EB7391">
            <w:pPr>
              <w:rPr>
                <w:rFonts w:ascii="Times New Roman" w:hAnsi="Times New Roman"/>
                <w:sz w:val="16"/>
                <w:szCs w:val="16"/>
              </w:rPr>
            </w:pPr>
            <w:r>
              <w:rPr>
                <w:rFonts w:ascii="Times New Roman" w:hAnsi="Times New Roman"/>
                <w:color w:val="000000"/>
                <w:sz w:val="16"/>
                <w:szCs w:val="16"/>
              </w:rPr>
              <w:t>6,3</w:t>
            </w:r>
          </w:p>
        </w:tc>
      </w:tr>
      <w:tr w:rsidR="00EB7391" w:rsidRPr="008B4FE6" w14:paraId="68557D0E" w14:textId="77777777" w:rsidTr="005725F4">
        <w:trPr>
          <w:trHeight w:val="357"/>
        </w:trPr>
        <w:tc>
          <w:tcPr>
            <w:tcW w:w="3133" w:type="dxa"/>
            <w:gridSpan w:val="4"/>
            <w:shd w:val="clear" w:color="auto" w:fill="FFFFFF"/>
            <w:vAlign w:val="center"/>
          </w:tcPr>
          <w:p w14:paraId="1D0F1406" w14:textId="77777777"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724" w:type="dxa"/>
            <w:gridSpan w:val="2"/>
            <w:shd w:val="clear" w:color="auto" w:fill="FFFFFF"/>
          </w:tcPr>
          <w:p w14:paraId="667FF28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850" w:type="dxa"/>
            <w:gridSpan w:val="3"/>
            <w:shd w:val="clear" w:color="auto" w:fill="FFFFFF"/>
          </w:tcPr>
          <w:p w14:paraId="5589439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236" w:type="dxa"/>
            <w:shd w:val="clear" w:color="auto" w:fill="FFFFFF"/>
          </w:tcPr>
          <w:p w14:paraId="0DF40547"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615" w:type="dxa"/>
            <w:shd w:val="clear" w:color="auto" w:fill="FFFFFF"/>
          </w:tcPr>
          <w:p w14:paraId="657B3874"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424" w:type="dxa"/>
            <w:gridSpan w:val="2"/>
            <w:shd w:val="clear" w:color="auto" w:fill="FFFFFF"/>
          </w:tcPr>
          <w:p w14:paraId="433194CE"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shd w:val="clear" w:color="auto" w:fill="FFFFFF"/>
          </w:tcPr>
          <w:p w14:paraId="6026746E"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3"/>
            <w:shd w:val="clear" w:color="auto" w:fill="FFFFFF"/>
          </w:tcPr>
          <w:p w14:paraId="3E4D98BF"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69" w:type="dxa"/>
            <w:gridSpan w:val="3"/>
            <w:shd w:val="clear" w:color="auto" w:fill="FFFFFF"/>
          </w:tcPr>
          <w:p w14:paraId="41E9A9BC"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3C215CAD"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70" w:type="dxa"/>
            <w:gridSpan w:val="2"/>
            <w:shd w:val="clear" w:color="auto" w:fill="FFFFFF"/>
          </w:tcPr>
          <w:p w14:paraId="66ED2858"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555" w:type="dxa"/>
            <w:shd w:val="clear" w:color="auto" w:fill="FFFFFF"/>
          </w:tcPr>
          <w:p w14:paraId="3331AD75" w14:textId="77777777" w:rsidR="00EB7391" w:rsidRPr="00294832" w:rsidRDefault="00EB7391" w:rsidP="00EB7391">
            <w:pPr>
              <w:rPr>
                <w:rFonts w:ascii="Times New Roman" w:hAnsi="Times New Roman"/>
                <w:sz w:val="16"/>
                <w:szCs w:val="16"/>
              </w:rPr>
            </w:pPr>
            <w:r w:rsidRPr="00294832">
              <w:rPr>
                <w:rFonts w:ascii="Times New Roman" w:hAnsi="Times New Roman"/>
                <w:color w:val="000000"/>
                <w:sz w:val="16"/>
                <w:szCs w:val="16"/>
              </w:rPr>
              <w:t>0</w:t>
            </w:r>
          </w:p>
        </w:tc>
        <w:tc>
          <w:tcPr>
            <w:tcW w:w="1562" w:type="dxa"/>
            <w:gridSpan w:val="3"/>
            <w:shd w:val="clear" w:color="auto" w:fill="FFFFFF"/>
          </w:tcPr>
          <w:p w14:paraId="13D83427" w14:textId="77777777" w:rsidR="00EB7391" w:rsidRPr="00294832" w:rsidRDefault="00EB7391" w:rsidP="00EB7391">
            <w:pPr>
              <w:spacing w:line="240" w:lineRule="auto"/>
              <w:rPr>
                <w:rFonts w:ascii="Times New Roman" w:hAnsi="Times New Roman"/>
                <w:color w:val="000000"/>
                <w:sz w:val="16"/>
                <w:szCs w:val="16"/>
              </w:rPr>
            </w:pPr>
            <w:r w:rsidRPr="00294832">
              <w:rPr>
                <w:rFonts w:ascii="Times New Roman" w:hAnsi="Times New Roman"/>
                <w:color w:val="000000"/>
                <w:sz w:val="16"/>
                <w:szCs w:val="16"/>
              </w:rPr>
              <w:t>0</w:t>
            </w:r>
          </w:p>
        </w:tc>
      </w:tr>
      <w:tr w:rsidR="00EB7391" w:rsidRPr="008B4FE6" w14:paraId="191B24E3" w14:textId="77777777" w:rsidTr="005725F4">
        <w:trPr>
          <w:gridAfter w:val="1"/>
          <w:wAfter w:w="10" w:type="dxa"/>
          <w:trHeight w:val="348"/>
        </w:trPr>
        <w:tc>
          <w:tcPr>
            <w:tcW w:w="2243" w:type="dxa"/>
            <w:gridSpan w:val="2"/>
            <w:shd w:val="clear" w:color="auto" w:fill="FFFFFF"/>
            <w:vAlign w:val="center"/>
          </w:tcPr>
          <w:p w14:paraId="2E6C661F" w14:textId="71B4EF92" w:rsidR="00EB7391" w:rsidRPr="00C53F26" w:rsidRDefault="00EB7391" w:rsidP="00EB7391">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5" w:type="dxa"/>
            <w:gridSpan w:val="25"/>
            <w:shd w:val="clear" w:color="auto" w:fill="FFFFFF"/>
            <w:vAlign w:val="center"/>
          </w:tcPr>
          <w:p w14:paraId="0F966E89" w14:textId="77777777" w:rsidR="00EB7391" w:rsidRPr="00B37C80" w:rsidRDefault="00EB7391" w:rsidP="00EB7391">
            <w:pPr>
              <w:spacing w:line="240" w:lineRule="auto"/>
              <w:jc w:val="both"/>
              <w:rPr>
                <w:rFonts w:ascii="Times New Roman" w:hAnsi="Times New Roman"/>
                <w:color w:val="000000"/>
                <w:sz w:val="21"/>
                <w:szCs w:val="21"/>
              </w:rPr>
            </w:pPr>
          </w:p>
        </w:tc>
      </w:tr>
      <w:tr w:rsidR="00EB7391" w:rsidRPr="008B4FE6" w14:paraId="2A97D2B4" w14:textId="77777777" w:rsidTr="005725F4">
        <w:trPr>
          <w:gridAfter w:val="1"/>
          <w:wAfter w:w="10" w:type="dxa"/>
          <w:trHeight w:val="1926"/>
        </w:trPr>
        <w:tc>
          <w:tcPr>
            <w:tcW w:w="2243" w:type="dxa"/>
            <w:gridSpan w:val="2"/>
            <w:shd w:val="clear" w:color="auto" w:fill="FFFFFF"/>
          </w:tcPr>
          <w:p w14:paraId="4162C4E6" w14:textId="77777777" w:rsidR="00EB7391" w:rsidRPr="00C53F26"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5" w:type="dxa"/>
            <w:gridSpan w:val="25"/>
            <w:shd w:val="clear" w:color="auto" w:fill="FFFFFF"/>
          </w:tcPr>
          <w:p w14:paraId="44D9E55E" w14:textId="77777777" w:rsidR="00EB7391" w:rsidRDefault="00EB7391" w:rsidP="00EB7391">
            <w:pPr>
              <w:spacing w:line="240" w:lineRule="auto"/>
              <w:jc w:val="both"/>
              <w:rPr>
                <w:rFonts w:ascii="Times New Roman" w:hAnsi="Times New Roman"/>
                <w:color w:val="000000"/>
                <w:sz w:val="21"/>
                <w:szCs w:val="21"/>
              </w:rPr>
            </w:pPr>
            <w:r>
              <w:rPr>
                <w:rFonts w:ascii="Times New Roman" w:hAnsi="Times New Roman"/>
                <w:color w:val="000000"/>
                <w:sz w:val="21"/>
                <w:szCs w:val="21"/>
              </w:rPr>
              <w:t>Obniżenie stawek akcyzy na paliwa silnikowe od 20 grudnia 2021 r. może nie wpłynąć na zmianę cen paliw na stacjach do końca 2021 r., gdyż stacje paliw będą jeszcze wyprzedawać zapasy z wcześniejszych dostaw. Zatem, z dużym prawdopodobieństwem ceny na stacjach paliw spadną dopiero w 2022 r. Obniżenie stawek akcyzy na paliwa silnikowe i energię elektryczną oraz zwolnienie z akcyzy energii elektrycznej dla gospodarstw domowych będzie wyłącznym kosztem budżetu państwa.</w:t>
            </w:r>
          </w:p>
          <w:p w14:paraId="05287A62" w14:textId="77777777" w:rsidR="00EB7391" w:rsidRDefault="00EB7391" w:rsidP="00EB7391">
            <w:pPr>
              <w:pStyle w:val="Default"/>
              <w:jc w:val="both"/>
              <w:rPr>
                <w:sz w:val="22"/>
                <w:szCs w:val="22"/>
              </w:rPr>
            </w:pPr>
            <w:r>
              <w:rPr>
                <w:sz w:val="22"/>
                <w:szCs w:val="22"/>
              </w:rPr>
              <w:t xml:space="preserve">Projektowane rozwiązanie spowoduje ubytek dochodów budżetu państwa z tytułu podatku od sprzedaży detalicznej w kwocie ok. 146 mln zł. Szacunku dokonano na podstawie danych z deklaracji na podatek od sprzedaży detalicznej złożonych przez podmioty sektora paliwowego we wrześniu 2021 r. (dane POLTAX). Jednocześnie w obliczeniach  uwzględniono założenia do prognozy dochodów ogółem z podatku od sprzedaży detalicznej w 2022 r., a także szacunkową wartość sprzedaży innych towarów podlegających opodatkowaniu tym podatkiem przez przedsiębiorców branży paliwowej, która nie zostanie objęta wyłączeniem. </w:t>
            </w:r>
          </w:p>
          <w:p w14:paraId="7CEBB85F" w14:textId="77777777" w:rsidR="00EB7391" w:rsidRDefault="00EB7391" w:rsidP="00EB7391">
            <w:pPr>
              <w:pStyle w:val="Default"/>
              <w:jc w:val="both"/>
              <w:rPr>
                <w:sz w:val="22"/>
                <w:szCs w:val="22"/>
              </w:rPr>
            </w:pPr>
            <w:r w:rsidRPr="004C2CC1">
              <w:rPr>
                <w:sz w:val="22"/>
                <w:szCs w:val="22"/>
              </w:rPr>
              <w:t>Ze względu na kosztowy charakter podatku od sprzedaży detalicznej w podatkach dochodowych w skutkach wykazano wpływ na dochody z tego tytułu. Jednocześnie przyjęto, że skutek ten wystąpi w podatku CIT</w:t>
            </w:r>
            <w:r>
              <w:rPr>
                <w:sz w:val="22"/>
                <w:szCs w:val="22"/>
              </w:rPr>
              <w:t>.</w:t>
            </w:r>
          </w:p>
          <w:p w14:paraId="7F52E7E9" w14:textId="4EF873B9" w:rsidR="00EB7391" w:rsidRPr="004C2CC1" w:rsidRDefault="00EB7391" w:rsidP="00EB7391">
            <w:pPr>
              <w:spacing w:line="240" w:lineRule="auto"/>
              <w:jc w:val="both"/>
            </w:pPr>
            <w:r>
              <w:rPr>
                <w:rFonts w:ascii="Times New Roman" w:hAnsi="Times New Roman"/>
                <w:color w:val="000000"/>
                <w:sz w:val="21"/>
                <w:szCs w:val="21"/>
              </w:rPr>
              <w:t>Do obliczeń przyjęto dane z systemu ZEFIR (paliwa silnikowe) i dane GUS oraz dane o dochodach budżetowych (energia elektryczna).</w:t>
            </w:r>
          </w:p>
        </w:tc>
      </w:tr>
      <w:tr w:rsidR="00EB7391" w:rsidRPr="008B4FE6" w14:paraId="124929B8" w14:textId="77777777" w:rsidTr="005725F4">
        <w:trPr>
          <w:gridAfter w:val="1"/>
          <w:wAfter w:w="10" w:type="dxa"/>
          <w:trHeight w:val="345"/>
        </w:trPr>
        <w:tc>
          <w:tcPr>
            <w:tcW w:w="10938" w:type="dxa"/>
            <w:gridSpan w:val="27"/>
            <w:shd w:val="clear" w:color="auto" w:fill="99CCFF"/>
          </w:tcPr>
          <w:p w14:paraId="1D7AFD03" w14:textId="77777777" w:rsidR="00EB7391" w:rsidRPr="008B4FE6" w:rsidRDefault="00EB7391" w:rsidP="00EB7391">
            <w:pPr>
              <w:numPr>
                <w:ilvl w:val="0"/>
                <w:numId w:val="1"/>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EB7391" w:rsidRPr="008B4FE6" w14:paraId="69DD2E90" w14:textId="77777777" w:rsidTr="005725F4">
        <w:trPr>
          <w:gridAfter w:val="1"/>
          <w:wAfter w:w="10" w:type="dxa"/>
          <w:trHeight w:val="142"/>
        </w:trPr>
        <w:tc>
          <w:tcPr>
            <w:tcW w:w="10938" w:type="dxa"/>
            <w:gridSpan w:val="27"/>
            <w:shd w:val="clear" w:color="auto" w:fill="FFFFFF"/>
          </w:tcPr>
          <w:p w14:paraId="1BD23237" w14:textId="77777777" w:rsidR="00EB7391" w:rsidRPr="00301959" w:rsidRDefault="00EB7391" w:rsidP="00EB7391">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EB7391" w:rsidRPr="008B4FE6" w14:paraId="3219E209" w14:textId="77777777" w:rsidTr="005725F4">
        <w:trPr>
          <w:gridAfter w:val="1"/>
          <w:wAfter w:w="10" w:type="dxa"/>
          <w:trHeight w:val="142"/>
        </w:trPr>
        <w:tc>
          <w:tcPr>
            <w:tcW w:w="3889" w:type="dxa"/>
            <w:gridSpan w:val="7"/>
            <w:shd w:val="clear" w:color="auto" w:fill="FFFFFF"/>
          </w:tcPr>
          <w:p w14:paraId="65502832"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677" w:type="dxa"/>
            <w:shd w:val="clear" w:color="auto" w:fill="FFFFFF"/>
          </w:tcPr>
          <w:p w14:paraId="4F22F6DB" w14:textId="77777777" w:rsidR="00EB7391" w:rsidRPr="00301959" w:rsidRDefault="00EB7391" w:rsidP="00EB739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1199" w:type="dxa"/>
            <w:gridSpan w:val="4"/>
            <w:shd w:val="clear" w:color="auto" w:fill="FFFFFF"/>
          </w:tcPr>
          <w:p w14:paraId="0B651098" w14:textId="77777777" w:rsidR="00EB7391" w:rsidRPr="00301959" w:rsidRDefault="00EB7391" w:rsidP="00EB739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3F3A5350" w14:textId="77777777" w:rsidR="00EB7391" w:rsidRPr="00301959" w:rsidRDefault="00EB7391" w:rsidP="00EB739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3B9AF177" w14:textId="77777777" w:rsidR="00EB7391" w:rsidRPr="00301959" w:rsidRDefault="00EB7391" w:rsidP="00EB739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422E2E0F" w14:textId="77777777" w:rsidR="00EB7391" w:rsidRPr="00301959" w:rsidRDefault="00EB7391" w:rsidP="00EB739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808" w:type="dxa"/>
            <w:gridSpan w:val="2"/>
            <w:shd w:val="clear" w:color="auto" w:fill="FFFFFF"/>
          </w:tcPr>
          <w:p w14:paraId="00A9C866" w14:textId="77777777" w:rsidR="00EB7391" w:rsidRPr="00301959" w:rsidRDefault="00EB7391" w:rsidP="00EB739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552" w:type="dxa"/>
            <w:gridSpan w:val="2"/>
            <w:shd w:val="clear" w:color="auto" w:fill="FFFFFF"/>
          </w:tcPr>
          <w:p w14:paraId="0C79A775" w14:textId="77777777" w:rsidR="00EB7391" w:rsidRPr="001B3460" w:rsidRDefault="00EB7391" w:rsidP="00EB7391">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EB7391" w:rsidRPr="008B4FE6" w14:paraId="095CBA0D" w14:textId="77777777" w:rsidTr="005725F4">
        <w:trPr>
          <w:gridAfter w:val="1"/>
          <w:wAfter w:w="10" w:type="dxa"/>
          <w:trHeight w:val="142"/>
        </w:trPr>
        <w:tc>
          <w:tcPr>
            <w:tcW w:w="1596" w:type="dxa"/>
            <w:vMerge w:val="restart"/>
            <w:shd w:val="clear" w:color="auto" w:fill="FFFFFF"/>
          </w:tcPr>
          <w:p w14:paraId="260150E5" w14:textId="77777777" w:rsidR="00EB7391" w:rsidRDefault="00EB7391" w:rsidP="00EB7391">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1B892651" w14:textId="77777777" w:rsidR="00EB7391" w:rsidRDefault="00EB7391" w:rsidP="00EB7391">
            <w:pPr>
              <w:rPr>
                <w:rFonts w:ascii="Times New Roman" w:hAnsi="Times New Roman"/>
                <w:spacing w:val="-2"/>
                <w:sz w:val="21"/>
                <w:szCs w:val="21"/>
              </w:rPr>
            </w:pPr>
            <w:r>
              <w:rPr>
                <w:rFonts w:ascii="Times New Roman" w:hAnsi="Times New Roman"/>
                <w:spacing w:val="-2"/>
                <w:sz w:val="21"/>
                <w:szCs w:val="21"/>
              </w:rPr>
              <w:t xml:space="preserve">(w mln zł, </w:t>
            </w:r>
          </w:p>
          <w:p w14:paraId="778FA755" w14:textId="77777777" w:rsidR="00EB7391" w:rsidRPr="00301959" w:rsidRDefault="00EB7391" w:rsidP="00EB7391">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5D136F63"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677" w:type="dxa"/>
            <w:shd w:val="clear" w:color="auto" w:fill="FFFFFF"/>
          </w:tcPr>
          <w:p w14:paraId="4DA502CE" w14:textId="3ACAE232" w:rsidR="00EB7391" w:rsidRDefault="00EB7391" w:rsidP="00EB7391">
            <w:r>
              <w:rPr>
                <w:rFonts w:ascii="Times New Roman" w:hAnsi="Times New Roman"/>
                <w:color w:val="000000"/>
                <w:sz w:val="21"/>
                <w:szCs w:val="21"/>
              </w:rPr>
              <w:t>0</w:t>
            </w:r>
          </w:p>
        </w:tc>
        <w:tc>
          <w:tcPr>
            <w:tcW w:w="1199" w:type="dxa"/>
            <w:gridSpan w:val="4"/>
            <w:shd w:val="clear" w:color="auto" w:fill="FFFFFF"/>
          </w:tcPr>
          <w:p w14:paraId="4E696A82" w14:textId="14545E9A" w:rsidR="00EB7391" w:rsidRDefault="00EB7391" w:rsidP="00EB7391">
            <w:r>
              <w:rPr>
                <w:rFonts w:ascii="Times New Roman" w:hAnsi="Times New Roman"/>
                <w:color w:val="000000"/>
                <w:sz w:val="21"/>
                <w:szCs w:val="21"/>
              </w:rPr>
              <w:t>118,3</w:t>
            </w:r>
          </w:p>
        </w:tc>
        <w:tc>
          <w:tcPr>
            <w:tcW w:w="938" w:type="dxa"/>
            <w:gridSpan w:val="4"/>
            <w:shd w:val="clear" w:color="auto" w:fill="FFFFFF"/>
          </w:tcPr>
          <w:p w14:paraId="3D27D69E" w14:textId="77777777" w:rsidR="00EB7391" w:rsidRDefault="00EB7391" w:rsidP="00EB7391">
            <w:r w:rsidRPr="00873FAB">
              <w:rPr>
                <w:rFonts w:ascii="Times New Roman" w:hAnsi="Times New Roman"/>
                <w:color w:val="000000"/>
                <w:sz w:val="21"/>
                <w:szCs w:val="21"/>
              </w:rPr>
              <w:t>0</w:t>
            </w:r>
          </w:p>
        </w:tc>
        <w:tc>
          <w:tcPr>
            <w:tcW w:w="937" w:type="dxa"/>
            <w:gridSpan w:val="3"/>
            <w:shd w:val="clear" w:color="auto" w:fill="FFFFFF"/>
          </w:tcPr>
          <w:p w14:paraId="3C6139A0" w14:textId="77777777" w:rsidR="00EB7391" w:rsidRDefault="00EB7391" w:rsidP="00EB7391">
            <w:r w:rsidRPr="00873FAB">
              <w:rPr>
                <w:rFonts w:ascii="Times New Roman" w:hAnsi="Times New Roman"/>
                <w:color w:val="000000"/>
                <w:sz w:val="21"/>
                <w:szCs w:val="21"/>
              </w:rPr>
              <w:t>0</w:t>
            </w:r>
          </w:p>
        </w:tc>
        <w:tc>
          <w:tcPr>
            <w:tcW w:w="938" w:type="dxa"/>
            <w:gridSpan w:val="4"/>
            <w:shd w:val="clear" w:color="auto" w:fill="FFFFFF"/>
          </w:tcPr>
          <w:p w14:paraId="78EC7AE0" w14:textId="77777777" w:rsidR="00EB7391" w:rsidRDefault="00EB7391" w:rsidP="00EB7391">
            <w:r w:rsidRPr="00873FAB">
              <w:rPr>
                <w:rFonts w:ascii="Times New Roman" w:hAnsi="Times New Roman"/>
                <w:color w:val="000000"/>
                <w:sz w:val="21"/>
                <w:szCs w:val="21"/>
              </w:rPr>
              <w:t>0</w:t>
            </w:r>
          </w:p>
        </w:tc>
        <w:tc>
          <w:tcPr>
            <w:tcW w:w="808" w:type="dxa"/>
            <w:gridSpan w:val="2"/>
            <w:shd w:val="clear" w:color="auto" w:fill="FFFFFF"/>
          </w:tcPr>
          <w:p w14:paraId="2332D5B8" w14:textId="77777777" w:rsidR="00EB7391" w:rsidRDefault="00EB7391" w:rsidP="00EB7391">
            <w:r w:rsidRPr="00873FAB">
              <w:rPr>
                <w:rFonts w:ascii="Times New Roman" w:hAnsi="Times New Roman"/>
                <w:color w:val="000000"/>
                <w:sz w:val="21"/>
                <w:szCs w:val="21"/>
              </w:rPr>
              <w:t>0</w:t>
            </w:r>
          </w:p>
        </w:tc>
        <w:tc>
          <w:tcPr>
            <w:tcW w:w="1552" w:type="dxa"/>
            <w:gridSpan w:val="2"/>
            <w:shd w:val="clear" w:color="auto" w:fill="FFFFFF"/>
          </w:tcPr>
          <w:p w14:paraId="703DAE83" w14:textId="77777777" w:rsidR="00EB7391" w:rsidRPr="00B37C80" w:rsidRDefault="00EB7391" w:rsidP="00EB7391">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118,3</w:t>
            </w:r>
          </w:p>
        </w:tc>
      </w:tr>
      <w:tr w:rsidR="00EB7391" w:rsidRPr="008B4FE6" w14:paraId="0F2C0F9D" w14:textId="77777777" w:rsidTr="005725F4">
        <w:trPr>
          <w:gridAfter w:val="1"/>
          <w:wAfter w:w="10" w:type="dxa"/>
          <w:trHeight w:val="142"/>
        </w:trPr>
        <w:tc>
          <w:tcPr>
            <w:tcW w:w="1596" w:type="dxa"/>
            <w:vMerge/>
            <w:shd w:val="clear" w:color="auto" w:fill="FFFFFF"/>
          </w:tcPr>
          <w:p w14:paraId="455A2BE9" w14:textId="77777777" w:rsidR="00EB7391" w:rsidRPr="00301959" w:rsidRDefault="00EB7391" w:rsidP="00EB7391">
            <w:pPr>
              <w:spacing w:line="240" w:lineRule="auto"/>
              <w:rPr>
                <w:rFonts w:ascii="Times New Roman" w:hAnsi="Times New Roman"/>
                <w:color w:val="000000"/>
                <w:sz w:val="21"/>
                <w:szCs w:val="21"/>
              </w:rPr>
            </w:pPr>
          </w:p>
        </w:tc>
        <w:tc>
          <w:tcPr>
            <w:tcW w:w="2293" w:type="dxa"/>
            <w:gridSpan w:val="6"/>
            <w:shd w:val="clear" w:color="auto" w:fill="FFFFFF"/>
          </w:tcPr>
          <w:p w14:paraId="2F536369"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677" w:type="dxa"/>
            <w:shd w:val="clear" w:color="auto" w:fill="FFFFFF"/>
          </w:tcPr>
          <w:p w14:paraId="2D197DD9" w14:textId="77777777" w:rsidR="00EB7391" w:rsidRDefault="00EB7391" w:rsidP="00EB7391">
            <w:r w:rsidRPr="00873FAB">
              <w:rPr>
                <w:rFonts w:ascii="Times New Roman" w:hAnsi="Times New Roman"/>
                <w:color w:val="000000"/>
                <w:sz w:val="21"/>
                <w:szCs w:val="21"/>
              </w:rPr>
              <w:t>0</w:t>
            </w:r>
          </w:p>
        </w:tc>
        <w:tc>
          <w:tcPr>
            <w:tcW w:w="1199" w:type="dxa"/>
            <w:gridSpan w:val="4"/>
            <w:shd w:val="clear" w:color="auto" w:fill="FFFFFF"/>
          </w:tcPr>
          <w:p w14:paraId="45FDCB58" w14:textId="77777777" w:rsidR="00EB7391" w:rsidRDefault="00EB7391" w:rsidP="00EB7391">
            <w:r w:rsidRPr="00873FAB">
              <w:rPr>
                <w:rFonts w:ascii="Times New Roman" w:hAnsi="Times New Roman"/>
                <w:color w:val="000000"/>
                <w:sz w:val="21"/>
                <w:szCs w:val="21"/>
              </w:rPr>
              <w:t>0</w:t>
            </w:r>
          </w:p>
        </w:tc>
        <w:tc>
          <w:tcPr>
            <w:tcW w:w="938" w:type="dxa"/>
            <w:gridSpan w:val="4"/>
            <w:shd w:val="clear" w:color="auto" w:fill="FFFFFF"/>
          </w:tcPr>
          <w:p w14:paraId="346EBCD2" w14:textId="77777777" w:rsidR="00EB7391" w:rsidRDefault="00EB7391" w:rsidP="00EB7391">
            <w:r w:rsidRPr="00873FAB">
              <w:rPr>
                <w:rFonts w:ascii="Times New Roman" w:hAnsi="Times New Roman"/>
                <w:color w:val="000000"/>
                <w:sz w:val="21"/>
                <w:szCs w:val="21"/>
              </w:rPr>
              <w:t>0</w:t>
            </w:r>
          </w:p>
        </w:tc>
        <w:tc>
          <w:tcPr>
            <w:tcW w:w="937" w:type="dxa"/>
            <w:gridSpan w:val="3"/>
            <w:shd w:val="clear" w:color="auto" w:fill="FFFFFF"/>
          </w:tcPr>
          <w:p w14:paraId="174E9391" w14:textId="77777777" w:rsidR="00EB7391" w:rsidRDefault="00EB7391" w:rsidP="00EB7391">
            <w:r w:rsidRPr="00873FAB">
              <w:rPr>
                <w:rFonts w:ascii="Times New Roman" w:hAnsi="Times New Roman"/>
                <w:color w:val="000000"/>
                <w:sz w:val="21"/>
                <w:szCs w:val="21"/>
              </w:rPr>
              <w:t>0</w:t>
            </w:r>
          </w:p>
        </w:tc>
        <w:tc>
          <w:tcPr>
            <w:tcW w:w="938" w:type="dxa"/>
            <w:gridSpan w:val="4"/>
            <w:shd w:val="clear" w:color="auto" w:fill="FFFFFF"/>
          </w:tcPr>
          <w:p w14:paraId="3C7FDBE5" w14:textId="77777777" w:rsidR="00EB7391" w:rsidRDefault="00EB7391" w:rsidP="00EB7391">
            <w:r w:rsidRPr="00873FAB">
              <w:rPr>
                <w:rFonts w:ascii="Times New Roman" w:hAnsi="Times New Roman"/>
                <w:color w:val="000000"/>
                <w:sz w:val="21"/>
                <w:szCs w:val="21"/>
              </w:rPr>
              <w:t>0</w:t>
            </w:r>
          </w:p>
        </w:tc>
        <w:tc>
          <w:tcPr>
            <w:tcW w:w="808" w:type="dxa"/>
            <w:gridSpan w:val="2"/>
            <w:shd w:val="clear" w:color="auto" w:fill="FFFFFF"/>
          </w:tcPr>
          <w:p w14:paraId="1023BF34" w14:textId="77777777" w:rsidR="00EB7391" w:rsidRDefault="00EB7391" w:rsidP="00EB7391">
            <w:r w:rsidRPr="00873FAB">
              <w:rPr>
                <w:rFonts w:ascii="Times New Roman" w:hAnsi="Times New Roman"/>
                <w:color w:val="000000"/>
                <w:sz w:val="21"/>
                <w:szCs w:val="21"/>
              </w:rPr>
              <w:t>0</w:t>
            </w:r>
          </w:p>
        </w:tc>
        <w:tc>
          <w:tcPr>
            <w:tcW w:w="1552" w:type="dxa"/>
            <w:gridSpan w:val="2"/>
            <w:shd w:val="clear" w:color="auto" w:fill="FFFFFF"/>
          </w:tcPr>
          <w:p w14:paraId="466AEDA8" w14:textId="77777777" w:rsidR="00EB7391" w:rsidRPr="00B37C80" w:rsidRDefault="00EB7391" w:rsidP="00EB7391">
            <w:pPr>
              <w:spacing w:line="240" w:lineRule="auto"/>
              <w:rPr>
                <w:rFonts w:ascii="Times New Roman" w:hAnsi="Times New Roman"/>
                <w:color w:val="000000"/>
                <w:spacing w:val="-2"/>
                <w:sz w:val="21"/>
                <w:szCs w:val="21"/>
              </w:rPr>
            </w:pPr>
          </w:p>
        </w:tc>
      </w:tr>
      <w:tr w:rsidR="00EB7391" w:rsidRPr="008B4FE6" w14:paraId="1B3506DD" w14:textId="77777777" w:rsidTr="005725F4">
        <w:trPr>
          <w:gridAfter w:val="1"/>
          <w:wAfter w:w="10" w:type="dxa"/>
          <w:trHeight w:val="142"/>
        </w:trPr>
        <w:tc>
          <w:tcPr>
            <w:tcW w:w="1596" w:type="dxa"/>
            <w:vMerge/>
            <w:shd w:val="clear" w:color="auto" w:fill="FFFFFF"/>
          </w:tcPr>
          <w:p w14:paraId="285FBBC0" w14:textId="77777777" w:rsidR="00EB7391" w:rsidRPr="00301959" w:rsidRDefault="00EB7391" w:rsidP="00EB7391">
            <w:pPr>
              <w:spacing w:line="240" w:lineRule="auto"/>
              <w:rPr>
                <w:rFonts w:ascii="Times New Roman" w:hAnsi="Times New Roman"/>
                <w:color w:val="000000"/>
                <w:sz w:val="21"/>
                <w:szCs w:val="21"/>
              </w:rPr>
            </w:pPr>
          </w:p>
        </w:tc>
        <w:tc>
          <w:tcPr>
            <w:tcW w:w="2293" w:type="dxa"/>
            <w:gridSpan w:val="6"/>
            <w:shd w:val="clear" w:color="auto" w:fill="FFFFFF"/>
          </w:tcPr>
          <w:p w14:paraId="7BB273B0" w14:textId="77777777" w:rsidR="00EB7391" w:rsidRPr="00301959" w:rsidRDefault="00EB7391" w:rsidP="00EB7391">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677" w:type="dxa"/>
            <w:shd w:val="clear" w:color="auto" w:fill="FFFFFF"/>
          </w:tcPr>
          <w:p w14:paraId="080D16F6" w14:textId="77777777" w:rsidR="00EB7391" w:rsidRDefault="00EB7391" w:rsidP="00EB7391">
            <w:r w:rsidRPr="00873FAB">
              <w:rPr>
                <w:rFonts w:ascii="Times New Roman" w:hAnsi="Times New Roman"/>
                <w:color w:val="000000"/>
                <w:sz w:val="21"/>
                <w:szCs w:val="21"/>
              </w:rPr>
              <w:t>0</w:t>
            </w:r>
          </w:p>
        </w:tc>
        <w:tc>
          <w:tcPr>
            <w:tcW w:w="1199" w:type="dxa"/>
            <w:gridSpan w:val="4"/>
            <w:shd w:val="clear" w:color="auto" w:fill="FFFFFF"/>
          </w:tcPr>
          <w:p w14:paraId="79367DC2" w14:textId="77777777" w:rsidR="00EB7391" w:rsidRDefault="00EB7391" w:rsidP="00EB7391">
            <w:r w:rsidRPr="00873FAB">
              <w:rPr>
                <w:rFonts w:ascii="Times New Roman" w:hAnsi="Times New Roman"/>
                <w:color w:val="000000"/>
                <w:sz w:val="21"/>
                <w:szCs w:val="21"/>
              </w:rPr>
              <w:t>0</w:t>
            </w:r>
          </w:p>
        </w:tc>
        <w:tc>
          <w:tcPr>
            <w:tcW w:w="938" w:type="dxa"/>
            <w:gridSpan w:val="4"/>
            <w:shd w:val="clear" w:color="auto" w:fill="FFFFFF"/>
          </w:tcPr>
          <w:p w14:paraId="3A8363A1" w14:textId="77777777" w:rsidR="00EB7391" w:rsidRDefault="00EB7391" w:rsidP="00EB7391">
            <w:r w:rsidRPr="00873FAB">
              <w:rPr>
                <w:rFonts w:ascii="Times New Roman" w:hAnsi="Times New Roman"/>
                <w:color w:val="000000"/>
                <w:sz w:val="21"/>
                <w:szCs w:val="21"/>
              </w:rPr>
              <w:t>0</w:t>
            </w:r>
          </w:p>
        </w:tc>
        <w:tc>
          <w:tcPr>
            <w:tcW w:w="937" w:type="dxa"/>
            <w:gridSpan w:val="3"/>
            <w:shd w:val="clear" w:color="auto" w:fill="FFFFFF"/>
          </w:tcPr>
          <w:p w14:paraId="5D91DD8B" w14:textId="77777777" w:rsidR="00EB7391" w:rsidRDefault="00EB7391" w:rsidP="00EB7391">
            <w:r w:rsidRPr="00873FAB">
              <w:rPr>
                <w:rFonts w:ascii="Times New Roman" w:hAnsi="Times New Roman"/>
                <w:color w:val="000000"/>
                <w:sz w:val="21"/>
                <w:szCs w:val="21"/>
              </w:rPr>
              <w:t>0</w:t>
            </w:r>
          </w:p>
        </w:tc>
        <w:tc>
          <w:tcPr>
            <w:tcW w:w="938" w:type="dxa"/>
            <w:gridSpan w:val="4"/>
            <w:shd w:val="clear" w:color="auto" w:fill="FFFFFF"/>
          </w:tcPr>
          <w:p w14:paraId="3FED1754" w14:textId="77777777" w:rsidR="00EB7391" w:rsidRDefault="00EB7391" w:rsidP="00EB7391">
            <w:r w:rsidRPr="00873FAB">
              <w:rPr>
                <w:rFonts w:ascii="Times New Roman" w:hAnsi="Times New Roman"/>
                <w:color w:val="000000"/>
                <w:sz w:val="21"/>
                <w:szCs w:val="21"/>
              </w:rPr>
              <w:t>0</w:t>
            </w:r>
          </w:p>
        </w:tc>
        <w:tc>
          <w:tcPr>
            <w:tcW w:w="808" w:type="dxa"/>
            <w:gridSpan w:val="2"/>
            <w:shd w:val="clear" w:color="auto" w:fill="FFFFFF"/>
          </w:tcPr>
          <w:p w14:paraId="05A4D8B2" w14:textId="77777777" w:rsidR="00EB7391" w:rsidRDefault="00EB7391" w:rsidP="00EB7391">
            <w:r w:rsidRPr="00873FAB">
              <w:rPr>
                <w:rFonts w:ascii="Times New Roman" w:hAnsi="Times New Roman"/>
                <w:color w:val="000000"/>
                <w:sz w:val="21"/>
                <w:szCs w:val="21"/>
              </w:rPr>
              <w:t>0</w:t>
            </w:r>
          </w:p>
        </w:tc>
        <w:tc>
          <w:tcPr>
            <w:tcW w:w="1552" w:type="dxa"/>
            <w:gridSpan w:val="2"/>
            <w:shd w:val="clear" w:color="auto" w:fill="FFFFFF"/>
          </w:tcPr>
          <w:p w14:paraId="2019DCB6" w14:textId="77777777" w:rsidR="00EB7391" w:rsidRPr="00B37C80" w:rsidRDefault="00EB7391" w:rsidP="00EB7391">
            <w:pPr>
              <w:spacing w:line="240" w:lineRule="auto"/>
              <w:rPr>
                <w:rFonts w:ascii="Times New Roman" w:hAnsi="Times New Roman"/>
                <w:color w:val="000000"/>
                <w:spacing w:val="-2"/>
                <w:sz w:val="21"/>
                <w:szCs w:val="21"/>
              </w:rPr>
            </w:pPr>
          </w:p>
        </w:tc>
      </w:tr>
      <w:tr w:rsidR="00EB7391" w:rsidRPr="008B4FE6" w14:paraId="32931CE9" w14:textId="77777777" w:rsidTr="005725F4">
        <w:trPr>
          <w:gridAfter w:val="1"/>
          <w:wAfter w:w="10" w:type="dxa"/>
          <w:trHeight w:val="142"/>
        </w:trPr>
        <w:tc>
          <w:tcPr>
            <w:tcW w:w="1596" w:type="dxa"/>
            <w:vMerge/>
            <w:shd w:val="clear" w:color="auto" w:fill="FFFFFF"/>
          </w:tcPr>
          <w:p w14:paraId="5C551078" w14:textId="77777777" w:rsidR="00EB7391" w:rsidRPr="00301959" w:rsidRDefault="00EB7391" w:rsidP="00EB7391">
            <w:pPr>
              <w:spacing w:line="240" w:lineRule="auto"/>
              <w:rPr>
                <w:rFonts w:ascii="Times New Roman" w:hAnsi="Times New Roman"/>
                <w:color w:val="000000"/>
                <w:sz w:val="21"/>
                <w:szCs w:val="21"/>
              </w:rPr>
            </w:pPr>
          </w:p>
        </w:tc>
        <w:tc>
          <w:tcPr>
            <w:tcW w:w="2293" w:type="dxa"/>
            <w:gridSpan w:val="6"/>
            <w:shd w:val="clear" w:color="auto" w:fill="FFFFFF"/>
          </w:tcPr>
          <w:p w14:paraId="4665B0AC"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677" w:type="dxa"/>
            <w:shd w:val="clear" w:color="auto" w:fill="FFFFFF"/>
          </w:tcPr>
          <w:p w14:paraId="46379199" w14:textId="77777777" w:rsidR="00EB7391" w:rsidRDefault="00EB7391" w:rsidP="00EB7391">
            <w:r w:rsidRPr="00873FAB">
              <w:rPr>
                <w:rFonts w:ascii="Times New Roman" w:hAnsi="Times New Roman"/>
                <w:color w:val="000000"/>
                <w:sz w:val="21"/>
                <w:szCs w:val="21"/>
              </w:rPr>
              <w:t>0</w:t>
            </w:r>
          </w:p>
        </w:tc>
        <w:tc>
          <w:tcPr>
            <w:tcW w:w="1199" w:type="dxa"/>
            <w:gridSpan w:val="4"/>
            <w:shd w:val="clear" w:color="auto" w:fill="FFFFFF"/>
          </w:tcPr>
          <w:p w14:paraId="5CD96FA0" w14:textId="77777777" w:rsidR="00EB7391" w:rsidRDefault="00EB7391" w:rsidP="00EB7391">
            <w:r w:rsidRPr="00873FAB">
              <w:rPr>
                <w:rFonts w:ascii="Times New Roman" w:hAnsi="Times New Roman"/>
                <w:color w:val="000000"/>
                <w:sz w:val="21"/>
                <w:szCs w:val="21"/>
              </w:rPr>
              <w:t>0</w:t>
            </w:r>
          </w:p>
        </w:tc>
        <w:tc>
          <w:tcPr>
            <w:tcW w:w="938" w:type="dxa"/>
            <w:gridSpan w:val="4"/>
            <w:shd w:val="clear" w:color="auto" w:fill="FFFFFF"/>
          </w:tcPr>
          <w:p w14:paraId="1C9C2D30" w14:textId="77777777" w:rsidR="00EB7391" w:rsidRDefault="00EB7391" w:rsidP="00EB7391">
            <w:r w:rsidRPr="00873FAB">
              <w:rPr>
                <w:rFonts w:ascii="Times New Roman" w:hAnsi="Times New Roman"/>
                <w:color w:val="000000"/>
                <w:sz w:val="21"/>
                <w:szCs w:val="21"/>
              </w:rPr>
              <w:t>0</w:t>
            </w:r>
          </w:p>
        </w:tc>
        <w:tc>
          <w:tcPr>
            <w:tcW w:w="937" w:type="dxa"/>
            <w:gridSpan w:val="3"/>
            <w:shd w:val="clear" w:color="auto" w:fill="FFFFFF"/>
          </w:tcPr>
          <w:p w14:paraId="2E7E38AB" w14:textId="77777777" w:rsidR="00EB7391" w:rsidRDefault="00EB7391" w:rsidP="00EB7391">
            <w:r w:rsidRPr="00873FAB">
              <w:rPr>
                <w:rFonts w:ascii="Times New Roman" w:hAnsi="Times New Roman"/>
                <w:color w:val="000000"/>
                <w:sz w:val="21"/>
                <w:szCs w:val="21"/>
              </w:rPr>
              <w:t>0</w:t>
            </w:r>
          </w:p>
        </w:tc>
        <w:tc>
          <w:tcPr>
            <w:tcW w:w="938" w:type="dxa"/>
            <w:gridSpan w:val="4"/>
            <w:shd w:val="clear" w:color="auto" w:fill="FFFFFF"/>
          </w:tcPr>
          <w:p w14:paraId="3B50D4BC" w14:textId="77777777" w:rsidR="00EB7391" w:rsidRDefault="00EB7391" w:rsidP="00EB7391">
            <w:r w:rsidRPr="00873FAB">
              <w:rPr>
                <w:rFonts w:ascii="Times New Roman" w:hAnsi="Times New Roman"/>
                <w:color w:val="000000"/>
                <w:sz w:val="21"/>
                <w:szCs w:val="21"/>
              </w:rPr>
              <w:t>0</w:t>
            </w:r>
          </w:p>
        </w:tc>
        <w:tc>
          <w:tcPr>
            <w:tcW w:w="808" w:type="dxa"/>
            <w:gridSpan w:val="2"/>
            <w:shd w:val="clear" w:color="auto" w:fill="FFFFFF"/>
          </w:tcPr>
          <w:p w14:paraId="26FDF741" w14:textId="77777777" w:rsidR="00EB7391" w:rsidRDefault="00EB7391" w:rsidP="00EB7391">
            <w:r w:rsidRPr="00873FAB">
              <w:rPr>
                <w:rFonts w:ascii="Times New Roman" w:hAnsi="Times New Roman"/>
                <w:color w:val="000000"/>
                <w:sz w:val="21"/>
                <w:szCs w:val="21"/>
              </w:rPr>
              <w:t>0</w:t>
            </w:r>
          </w:p>
        </w:tc>
        <w:tc>
          <w:tcPr>
            <w:tcW w:w="1552" w:type="dxa"/>
            <w:gridSpan w:val="2"/>
            <w:shd w:val="clear" w:color="auto" w:fill="FFFFFF"/>
          </w:tcPr>
          <w:p w14:paraId="780352F9" w14:textId="77777777" w:rsidR="00EB7391" w:rsidRPr="00B37C80" w:rsidRDefault="00EB7391" w:rsidP="00EB7391">
            <w:pPr>
              <w:spacing w:line="240" w:lineRule="auto"/>
              <w:rPr>
                <w:rFonts w:ascii="Times New Roman" w:hAnsi="Times New Roman"/>
                <w:color w:val="000000"/>
                <w:spacing w:val="-2"/>
                <w:sz w:val="21"/>
                <w:szCs w:val="21"/>
              </w:rPr>
            </w:pPr>
          </w:p>
        </w:tc>
      </w:tr>
      <w:tr w:rsidR="00EB7391" w:rsidRPr="008B4FE6" w14:paraId="65EC9EF1" w14:textId="77777777" w:rsidTr="005725F4">
        <w:trPr>
          <w:gridAfter w:val="1"/>
          <w:wAfter w:w="10" w:type="dxa"/>
          <w:trHeight w:val="142"/>
        </w:trPr>
        <w:tc>
          <w:tcPr>
            <w:tcW w:w="1596" w:type="dxa"/>
            <w:vMerge w:val="restart"/>
            <w:shd w:val="clear" w:color="auto" w:fill="FFFFFF"/>
          </w:tcPr>
          <w:p w14:paraId="50C8D343"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435D8928"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9" w:type="dxa"/>
            <w:gridSpan w:val="20"/>
            <w:shd w:val="clear" w:color="auto" w:fill="FFFFFF"/>
          </w:tcPr>
          <w:p w14:paraId="766398DF" w14:textId="77777777" w:rsidR="00EB7391" w:rsidRPr="000120AB" w:rsidRDefault="00EB7391" w:rsidP="00EB7391">
            <w:pPr>
              <w:spacing w:line="240" w:lineRule="auto"/>
              <w:rPr>
                <w:rFonts w:ascii="Times New Roman" w:hAnsi="Times New Roman"/>
                <w:color w:val="000000"/>
                <w:spacing w:val="-2"/>
              </w:rPr>
            </w:pPr>
            <w:r>
              <w:rPr>
                <w:rFonts w:ascii="Times New Roman" w:hAnsi="Times New Roman"/>
                <w:color w:val="000000"/>
                <w:spacing w:val="-2"/>
              </w:rPr>
              <w:t>Pozytywny</w:t>
            </w:r>
          </w:p>
        </w:tc>
      </w:tr>
      <w:tr w:rsidR="00EB7391" w:rsidRPr="008B4FE6" w14:paraId="43595BF9" w14:textId="77777777" w:rsidTr="005725F4">
        <w:trPr>
          <w:gridAfter w:val="1"/>
          <w:wAfter w:w="10" w:type="dxa"/>
          <w:trHeight w:val="142"/>
        </w:trPr>
        <w:tc>
          <w:tcPr>
            <w:tcW w:w="1596" w:type="dxa"/>
            <w:vMerge/>
            <w:shd w:val="clear" w:color="auto" w:fill="FFFFFF"/>
          </w:tcPr>
          <w:p w14:paraId="419A6E2D" w14:textId="77777777" w:rsidR="00EB7391" w:rsidRPr="00301959" w:rsidRDefault="00EB7391" w:rsidP="00EB7391">
            <w:pPr>
              <w:spacing w:line="240" w:lineRule="auto"/>
              <w:rPr>
                <w:rFonts w:ascii="Times New Roman" w:hAnsi="Times New Roman"/>
                <w:color w:val="000000"/>
                <w:sz w:val="21"/>
                <w:szCs w:val="21"/>
              </w:rPr>
            </w:pPr>
          </w:p>
        </w:tc>
        <w:tc>
          <w:tcPr>
            <w:tcW w:w="2293" w:type="dxa"/>
            <w:gridSpan w:val="6"/>
            <w:shd w:val="clear" w:color="auto" w:fill="FFFFFF"/>
          </w:tcPr>
          <w:p w14:paraId="5C817A08"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9" w:type="dxa"/>
            <w:gridSpan w:val="20"/>
            <w:shd w:val="clear" w:color="auto" w:fill="FFFFFF"/>
          </w:tcPr>
          <w:p w14:paraId="6E335BE5" w14:textId="77777777" w:rsidR="00EB7391" w:rsidRPr="000120AB" w:rsidRDefault="00EB7391" w:rsidP="00EB7391">
            <w:pPr>
              <w:spacing w:line="240" w:lineRule="auto"/>
              <w:rPr>
                <w:rFonts w:ascii="Times New Roman" w:hAnsi="Times New Roman"/>
                <w:color w:val="000000"/>
                <w:spacing w:val="-2"/>
              </w:rPr>
            </w:pPr>
            <w:r>
              <w:rPr>
                <w:rFonts w:ascii="Times New Roman" w:hAnsi="Times New Roman"/>
                <w:color w:val="000000"/>
                <w:spacing w:val="-2"/>
              </w:rPr>
              <w:t>Pozytywny</w:t>
            </w:r>
          </w:p>
        </w:tc>
      </w:tr>
      <w:tr w:rsidR="00EB7391" w:rsidRPr="008B4FE6" w14:paraId="42230162" w14:textId="77777777" w:rsidTr="005725F4">
        <w:trPr>
          <w:gridAfter w:val="1"/>
          <w:wAfter w:w="10" w:type="dxa"/>
          <w:trHeight w:val="596"/>
        </w:trPr>
        <w:tc>
          <w:tcPr>
            <w:tcW w:w="1596" w:type="dxa"/>
            <w:vMerge/>
            <w:shd w:val="clear" w:color="auto" w:fill="FFFFFF"/>
          </w:tcPr>
          <w:p w14:paraId="562A3BFE" w14:textId="77777777" w:rsidR="00EB7391" w:rsidRPr="00301959" w:rsidRDefault="00EB7391" w:rsidP="00EB7391">
            <w:pPr>
              <w:spacing w:line="240" w:lineRule="auto"/>
              <w:rPr>
                <w:rFonts w:ascii="Times New Roman" w:hAnsi="Times New Roman"/>
                <w:color w:val="000000"/>
                <w:sz w:val="21"/>
                <w:szCs w:val="21"/>
              </w:rPr>
            </w:pPr>
          </w:p>
        </w:tc>
        <w:tc>
          <w:tcPr>
            <w:tcW w:w="2293" w:type="dxa"/>
            <w:gridSpan w:val="6"/>
            <w:shd w:val="clear" w:color="auto" w:fill="FFFFFF"/>
          </w:tcPr>
          <w:p w14:paraId="2D4C65A0" w14:textId="77777777" w:rsidR="00EB7391" w:rsidRPr="00301959" w:rsidRDefault="00EB7391" w:rsidP="00EB7391">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9" w:type="dxa"/>
            <w:gridSpan w:val="20"/>
            <w:shd w:val="clear" w:color="auto" w:fill="FFFFFF"/>
          </w:tcPr>
          <w:p w14:paraId="66E3899C" w14:textId="77777777" w:rsidR="00EB7391" w:rsidRPr="000120AB" w:rsidRDefault="00EB7391" w:rsidP="00EB7391">
            <w:pPr>
              <w:spacing w:line="240" w:lineRule="auto"/>
              <w:rPr>
                <w:rFonts w:ascii="Times New Roman" w:hAnsi="Times New Roman"/>
                <w:color w:val="000000"/>
                <w:spacing w:val="-2"/>
              </w:rPr>
            </w:pPr>
            <w:r>
              <w:rPr>
                <w:rFonts w:ascii="Times New Roman" w:hAnsi="Times New Roman"/>
                <w:color w:val="000000"/>
                <w:spacing w:val="-2"/>
              </w:rPr>
              <w:t>Pozytywny</w:t>
            </w:r>
          </w:p>
        </w:tc>
      </w:tr>
      <w:tr w:rsidR="00EB7391" w:rsidRPr="008B4FE6" w14:paraId="5349A5DF" w14:textId="77777777" w:rsidTr="005725F4">
        <w:trPr>
          <w:gridAfter w:val="1"/>
          <w:wAfter w:w="10" w:type="dxa"/>
          <w:trHeight w:val="240"/>
        </w:trPr>
        <w:tc>
          <w:tcPr>
            <w:tcW w:w="1596" w:type="dxa"/>
            <w:vMerge/>
            <w:shd w:val="clear" w:color="auto" w:fill="FFFFFF"/>
          </w:tcPr>
          <w:p w14:paraId="53F8F307" w14:textId="77777777" w:rsidR="00EB7391" w:rsidRPr="00301959" w:rsidRDefault="00EB7391" w:rsidP="00EB7391">
            <w:pPr>
              <w:spacing w:line="240" w:lineRule="auto"/>
              <w:rPr>
                <w:rFonts w:ascii="Times New Roman" w:hAnsi="Times New Roman"/>
                <w:color w:val="000000"/>
                <w:sz w:val="21"/>
                <w:szCs w:val="21"/>
              </w:rPr>
            </w:pPr>
          </w:p>
        </w:tc>
        <w:tc>
          <w:tcPr>
            <w:tcW w:w="2293" w:type="dxa"/>
            <w:gridSpan w:val="6"/>
            <w:shd w:val="clear" w:color="auto" w:fill="FFFFFF"/>
          </w:tcPr>
          <w:p w14:paraId="10903900" w14:textId="77777777" w:rsidR="00EB7391" w:rsidRPr="00301959" w:rsidRDefault="00EB7391" w:rsidP="00EB7391">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9" w:type="dxa"/>
            <w:gridSpan w:val="20"/>
            <w:shd w:val="clear" w:color="auto" w:fill="FFFFFF"/>
          </w:tcPr>
          <w:p w14:paraId="07E7663B" w14:textId="77777777" w:rsidR="00EB7391" w:rsidRPr="00B37C80" w:rsidRDefault="00EB7391" w:rsidP="00EB7391">
            <w:pPr>
              <w:tabs>
                <w:tab w:val="left" w:pos="3000"/>
              </w:tabs>
              <w:rPr>
                <w:rFonts w:ascii="Times New Roman" w:hAnsi="Times New Roman"/>
                <w:color w:val="000000"/>
                <w:spacing w:val="-2"/>
                <w:sz w:val="21"/>
                <w:szCs w:val="21"/>
              </w:rPr>
            </w:pPr>
          </w:p>
        </w:tc>
      </w:tr>
      <w:tr w:rsidR="00EB7391" w:rsidRPr="008B4FE6" w14:paraId="20416EC2" w14:textId="77777777" w:rsidTr="005725F4">
        <w:trPr>
          <w:gridAfter w:val="1"/>
          <w:wAfter w:w="10" w:type="dxa"/>
          <w:trHeight w:val="142"/>
        </w:trPr>
        <w:tc>
          <w:tcPr>
            <w:tcW w:w="1596" w:type="dxa"/>
            <w:vMerge w:val="restart"/>
            <w:shd w:val="clear" w:color="auto" w:fill="FFFFFF"/>
          </w:tcPr>
          <w:p w14:paraId="4B6D3DF1"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38EE2FE7"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9" w:type="dxa"/>
            <w:gridSpan w:val="20"/>
            <w:shd w:val="clear" w:color="auto" w:fill="FFFFFF"/>
          </w:tcPr>
          <w:p w14:paraId="24B0733B" w14:textId="77777777" w:rsidR="00EB7391" w:rsidRPr="00B37C80" w:rsidRDefault="00EB7391" w:rsidP="00EB7391">
            <w:pPr>
              <w:spacing w:line="240" w:lineRule="auto"/>
              <w:rPr>
                <w:rFonts w:ascii="Times New Roman" w:hAnsi="Times New Roman"/>
                <w:color w:val="000000"/>
                <w:spacing w:val="-2"/>
                <w:sz w:val="21"/>
                <w:szCs w:val="21"/>
              </w:rPr>
            </w:pPr>
          </w:p>
        </w:tc>
      </w:tr>
      <w:tr w:rsidR="00EB7391" w:rsidRPr="008B4FE6" w14:paraId="3F20D1FC" w14:textId="77777777" w:rsidTr="005725F4">
        <w:trPr>
          <w:gridAfter w:val="1"/>
          <w:wAfter w:w="10" w:type="dxa"/>
          <w:trHeight w:val="142"/>
        </w:trPr>
        <w:tc>
          <w:tcPr>
            <w:tcW w:w="1596" w:type="dxa"/>
            <w:vMerge/>
            <w:shd w:val="clear" w:color="auto" w:fill="FFFFFF"/>
          </w:tcPr>
          <w:p w14:paraId="0942D788" w14:textId="77777777" w:rsidR="00EB7391" w:rsidRPr="00301959" w:rsidRDefault="00EB7391" w:rsidP="00EB7391">
            <w:pPr>
              <w:spacing w:line="240" w:lineRule="auto"/>
              <w:rPr>
                <w:rFonts w:ascii="Times New Roman" w:hAnsi="Times New Roman"/>
                <w:color w:val="000000"/>
                <w:sz w:val="21"/>
                <w:szCs w:val="21"/>
              </w:rPr>
            </w:pPr>
          </w:p>
        </w:tc>
        <w:tc>
          <w:tcPr>
            <w:tcW w:w="2293" w:type="dxa"/>
            <w:gridSpan w:val="6"/>
            <w:shd w:val="clear" w:color="auto" w:fill="FFFFFF"/>
          </w:tcPr>
          <w:p w14:paraId="645321B8"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9" w:type="dxa"/>
            <w:gridSpan w:val="20"/>
            <w:shd w:val="clear" w:color="auto" w:fill="FFFFFF"/>
          </w:tcPr>
          <w:p w14:paraId="64417B37" w14:textId="77777777" w:rsidR="00EB7391" w:rsidRPr="00B37C80" w:rsidRDefault="00EB7391" w:rsidP="00EB7391">
            <w:pPr>
              <w:spacing w:line="240" w:lineRule="auto"/>
              <w:rPr>
                <w:rFonts w:ascii="Times New Roman" w:hAnsi="Times New Roman"/>
                <w:color w:val="000000"/>
                <w:spacing w:val="-2"/>
                <w:sz w:val="21"/>
                <w:szCs w:val="21"/>
              </w:rPr>
            </w:pPr>
          </w:p>
        </w:tc>
      </w:tr>
      <w:tr w:rsidR="00EB7391" w:rsidRPr="008B4FE6" w14:paraId="27FAA783" w14:textId="77777777" w:rsidTr="005725F4">
        <w:trPr>
          <w:gridAfter w:val="1"/>
          <w:wAfter w:w="10" w:type="dxa"/>
          <w:trHeight w:val="1384"/>
        </w:trPr>
        <w:tc>
          <w:tcPr>
            <w:tcW w:w="2243" w:type="dxa"/>
            <w:gridSpan w:val="2"/>
            <w:shd w:val="clear" w:color="auto" w:fill="FFFFFF"/>
          </w:tcPr>
          <w:p w14:paraId="692484B0" w14:textId="77777777" w:rsidR="00EB7391" w:rsidRPr="00301959" w:rsidRDefault="00EB7391" w:rsidP="00EB739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5" w:type="dxa"/>
            <w:gridSpan w:val="25"/>
            <w:shd w:val="clear" w:color="auto" w:fill="FFFFFF"/>
            <w:vAlign w:val="center"/>
          </w:tcPr>
          <w:p w14:paraId="39035377" w14:textId="77777777" w:rsidR="00EB7391" w:rsidRPr="004042B5" w:rsidRDefault="00EB7391" w:rsidP="00EB7391">
            <w:pPr>
              <w:pStyle w:val="Default"/>
              <w:jc w:val="both"/>
              <w:rPr>
                <w:rFonts w:eastAsia="Calibri"/>
                <w:color w:val="auto"/>
                <w:sz w:val="22"/>
                <w:szCs w:val="22"/>
              </w:rPr>
            </w:pPr>
            <w:r>
              <w:rPr>
                <w:rFonts w:eastAsia="Calibri"/>
                <w:color w:val="auto"/>
                <w:sz w:val="22"/>
                <w:szCs w:val="22"/>
              </w:rPr>
              <w:t xml:space="preserve">Z uwagi na czasowy okres obowiązywania rozwiązania, brak zasadniczego </w:t>
            </w:r>
            <w:r w:rsidRPr="004042B5">
              <w:rPr>
                <w:rFonts w:eastAsia="Calibri"/>
                <w:color w:val="auto"/>
                <w:sz w:val="22"/>
                <w:szCs w:val="22"/>
              </w:rPr>
              <w:t>wpływu na konkurencyjność gospodarki i przedsiębiorczość, w tym funkcjonowanie przedsi</w:t>
            </w:r>
            <w:r>
              <w:rPr>
                <w:rFonts w:eastAsia="Calibri"/>
                <w:color w:val="auto"/>
                <w:sz w:val="22"/>
                <w:szCs w:val="22"/>
              </w:rPr>
              <w:t>ę</w:t>
            </w:r>
            <w:r w:rsidRPr="004042B5">
              <w:rPr>
                <w:rFonts w:eastAsia="Calibri"/>
                <w:color w:val="auto"/>
                <w:sz w:val="22"/>
                <w:szCs w:val="22"/>
              </w:rPr>
              <w:t>bior</w:t>
            </w:r>
            <w:r>
              <w:rPr>
                <w:rFonts w:eastAsia="Calibri"/>
                <w:color w:val="auto"/>
                <w:sz w:val="22"/>
                <w:szCs w:val="22"/>
              </w:rPr>
              <w:t>stw</w:t>
            </w:r>
            <w:r w:rsidRPr="004042B5">
              <w:rPr>
                <w:rFonts w:eastAsia="Calibri"/>
                <w:color w:val="auto"/>
                <w:sz w:val="22"/>
                <w:szCs w:val="22"/>
              </w:rPr>
              <w:t xml:space="preserve">. </w:t>
            </w:r>
          </w:p>
          <w:p w14:paraId="4FA5DBEA" w14:textId="2DE5F805" w:rsidR="00EB7391" w:rsidRDefault="00EB7391" w:rsidP="00EB7391">
            <w:pPr>
              <w:autoSpaceDE w:val="0"/>
              <w:jc w:val="both"/>
              <w:rPr>
                <w:rFonts w:ascii="Times New Roman" w:hAnsi="Times New Roman"/>
              </w:rPr>
            </w:pPr>
            <w:r>
              <w:rPr>
                <w:rFonts w:ascii="Times New Roman" w:hAnsi="Times New Roman"/>
              </w:rPr>
              <w:t xml:space="preserve">Ustawa z uwagi na przeciwdziałanie nadmiernemu wzrostowi cen paliw będzie mieć pozytywny wpływ </w:t>
            </w:r>
            <w:r w:rsidRPr="004042B5">
              <w:rPr>
                <w:rFonts w:ascii="Times New Roman" w:hAnsi="Times New Roman"/>
              </w:rPr>
              <w:t>na sytuację ekonomiczną i społeczną rodziny, obywateli oraz gospodarstwa domowe</w:t>
            </w:r>
            <w:r>
              <w:rPr>
                <w:rFonts w:ascii="Times New Roman" w:hAnsi="Times New Roman"/>
              </w:rPr>
              <w:t>.</w:t>
            </w:r>
            <w:r w:rsidRPr="004042B5">
              <w:rPr>
                <w:rFonts w:ascii="Times New Roman" w:hAnsi="Times New Roman"/>
              </w:rPr>
              <w:t xml:space="preserve"> </w:t>
            </w:r>
          </w:p>
          <w:p w14:paraId="78F72E7A" w14:textId="77777777" w:rsidR="00EB7391" w:rsidRPr="00301959" w:rsidRDefault="00EB7391" w:rsidP="00EB7391">
            <w:pPr>
              <w:spacing w:line="240" w:lineRule="auto"/>
              <w:jc w:val="both"/>
              <w:rPr>
                <w:rFonts w:ascii="Times New Roman" w:hAnsi="Times New Roman"/>
                <w:color w:val="000000"/>
                <w:sz w:val="21"/>
                <w:szCs w:val="21"/>
              </w:rPr>
            </w:pPr>
            <w:r w:rsidRPr="00A51AB2">
              <w:rPr>
                <w:rFonts w:ascii="Times New Roman" w:hAnsi="Times New Roman"/>
                <w:color w:val="000000"/>
                <w:sz w:val="21"/>
                <w:szCs w:val="21"/>
              </w:rPr>
              <w:t>Z</w:t>
            </w:r>
            <w:r>
              <w:rPr>
                <w:rFonts w:ascii="Times New Roman" w:hAnsi="Times New Roman"/>
                <w:color w:val="000000"/>
                <w:sz w:val="21"/>
                <w:szCs w:val="21"/>
              </w:rPr>
              <w:t>mniejs</w:t>
            </w:r>
            <w:r w:rsidRPr="00A51AB2">
              <w:rPr>
                <w:rFonts w:ascii="Times New Roman" w:hAnsi="Times New Roman"/>
                <w:color w:val="000000"/>
                <w:sz w:val="21"/>
                <w:szCs w:val="21"/>
              </w:rPr>
              <w:t xml:space="preserve">zenie obciążeń w zakresie podatku akcyzowego z uwagi na </w:t>
            </w:r>
            <w:r>
              <w:rPr>
                <w:rFonts w:ascii="Times New Roman" w:hAnsi="Times New Roman"/>
                <w:color w:val="000000"/>
                <w:sz w:val="21"/>
                <w:szCs w:val="21"/>
              </w:rPr>
              <w:t>czasowe obniżenie opodatkowania akcyzą paliw silnikowych, w przypadku pełnego przeniesienia obniżek na ceny wyrobów wyniesie:</w:t>
            </w:r>
          </w:p>
          <w:p w14:paraId="3DBEE9C5" w14:textId="77777777" w:rsidR="00EB7391" w:rsidRPr="005A35A2" w:rsidRDefault="00EB7391" w:rsidP="00EB7391">
            <w:pPr>
              <w:spacing w:line="240" w:lineRule="auto"/>
              <w:jc w:val="both"/>
              <w:rPr>
                <w:rFonts w:ascii="Times New Roman" w:hAnsi="Times New Roman"/>
                <w:color w:val="000000"/>
                <w:sz w:val="21"/>
                <w:szCs w:val="21"/>
              </w:rPr>
            </w:pPr>
            <w:r w:rsidRPr="005A35A2">
              <w:rPr>
                <w:rFonts w:ascii="Times New Roman" w:hAnsi="Times New Roman"/>
                <w:color w:val="000000"/>
                <w:sz w:val="21"/>
                <w:szCs w:val="21"/>
              </w:rPr>
              <w:t>•</w:t>
            </w:r>
            <w:r w:rsidRPr="005A35A2">
              <w:rPr>
                <w:rFonts w:ascii="Times New Roman" w:hAnsi="Times New Roman"/>
                <w:color w:val="000000"/>
                <w:sz w:val="21"/>
                <w:szCs w:val="21"/>
              </w:rPr>
              <w:tab/>
              <w:t>olej napędowy i biokomponenty stanowiące samoistne paliwa:</w:t>
            </w:r>
          </w:p>
          <w:p w14:paraId="601AF053" w14:textId="03BDE389" w:rsidR="00EB7391" w:rsidRPr="005A35A2" w:rsidRDefault="00EB7391" w:rsidP="00EB7391">
            <w:pPr>
              <w:spacing w:line="240" w:lineRule="auto"/>
              <w:jc w:val="both"/>
              <w:rPr>
                <w:rFonts w:ascii="Times New Roman" w:hAnsi="Times New Roman"/>
                <w:color w:val="000000"/>
                <w:sz w:val="21"/>
                <w:szCs w:val="21"/>
              </w:rPr>
            </w:pPr>
            <w:r>
              <w:rPr>
                <w:rFonts w:ascii="Times New Roman" w:hAnsi="Times New Roman"/>
                <w:color w:val="000000"/>
                <w:sz w:val="21"/>
                <w:szCs w:val="21"/>
              </w:rPr>
              <w:t>20</w:t>
            </w:r>
            <w:r w:rsidRPr="005A35A2">
              <w:rPr>
                <w:rFonts w:ascii="Times New Roman" w:hAnsi="Times New Roman"/>
                <w:color w:val="000000"/>
                <w:sz w:val="21"/>
                <w:szCs w:val="21"/>
              </w:rPr>
              <w:t xml:space="preserve"> grudnia 2021 – 31 grudnia 2021 o 8 gr/l  z VAT 10 gr/l,</w:t>
            </w:r>
          </w:p>
          <w:p w14:paraId="04827E1E" w14:textId="74386677" w:rsidR="00EB7391" w:rsidRPr="005A35A2" w:rsidRDefault="00EB7391" w:rsidP="00EB7391">
            <w:pPr>
              <w:spacing w:line="240" w:lineRule="auto"/>
              <w:jc w:val="both"/>
              <w:rPr>
                <w:rFonts w:ascii="Times New Roman" w:hAnsi="Times New Roman"/>
                <w:color w:val="000000"/>
                <w:sz w:val="21"/>
                <w:szCs w:val="21"/>
              </w:rPr>
            </w:pPr>
            <w:r w:rsidRPr="005A35A2">
              <w:rPr>
                <w:rFonts w:ascii="Times New Roman" w:hAnsi="Times New Roman"/>
                <w:color w:val="000000"/>
                <w:sz w:val="21"/>
                <w:szCs w:val="21"/>
              </w:rPr>
              <w:t xml:space="preserve">1 stycznia 2022 – </w:t>
            </w:r>
            <w:r w:rsidR="002D66C0">
              <w:rPr>
                <w:rFonts w:ascii="Times New Roman" w:hAnsi="Times New Roman"/>
                <w:color w:val="000000"/>
                <w:sz w:val="21"/>
                <w:szCs w:val="21"/>
              </w:rPr>
              <w:t>31</w:t>
            </w:r>
            <w:r w:rsidR="002D66C0" w:rsidRPr="005A35A2">
              <w:rPr>
                <w:rFonts w:ascii="Times New Roman" w:hAnsi="Times New Roman"/>
                <w:color w:val="000000"/>
                <w:sz w:val="21"/>
                <w:szCs w:val="21"/>
              </w:rPr>
              <w:t xml:space="preserve"> </w:t>
            </w:r>
            <w:r w:rsidRPr="005A35A2">
              <w:rPr>
                <w:rFonts w:ascii="Times New Roman" w:hAnsi="Times New Roman"/>
                <w:color w:val="000000"/>
                <w:sz w:val="21"/>
                <w:szCs w:val="21"/>
              </w:rPr>
              <w:t>maja 2022 r. o 5 gr/l z VAT o 6 gr/l.</w:t>
            </w:r>
          </w:p>
          <w:p w14:paraId="1D2CEFD6" w14:textId="77777777" w:rsidR="00EB7391" w:rsidRPr="005A35A2" w:rsidRDefault="00EB7391" w:rsidP="00EB7391">
            <w:pPr>
              <w:spacing w:line="240" w:lineRule="auto"/>
              <w:jc w:val="both"/>
              <w:rPr>
                <w:rFonts w:ascii="Times New Roman" w:hAnsi="Times New Roman"/>
                <w:color w:val="000000"/>
                <w:sz w:val="21"/>
                <w:szCs w:val="21"/>
              </w:rPr>
            </w:pPr>
            <w:r w:rsidRPr="005A35A2">
              <w:rPr>
                <w:rFonts w:ascii="Times New Roman" w:hAnsi="Times New Roman"/>
                <w:color w:val="000000"/>
                <w:sz w:val="21"/>
                <w:szCs w:val="21"/>
              </w:rPr>
              <w:t>•</w:t>
            </w:r>
            <w:r w:rsidRPr="005A35A2">
              <w:rPr>
                <w:rFonts w:ascii="Times New Roman" w:hAnsi="Times New Roman"/>
                <w:color w:val="000000"/>
                <w:sz w:val="21"/>
                <w:szCs w:val="21"/>
              </w:rPr>
              <w:tab/>
              <w:t xml:space="preserve">benzyny silnikowe:  </w:t>
            </w:r>
          </w:p>
          <w:p w14:paraId="5FF99B4A" w14:textId="6182191A" w:rsidR="00EB7391" w:rsidRPr="005A35A2" w:rsidRDefault="00EB7391" w:rsidP="00EB7391">
            <w:pPr>
              <w:spacing w:line="240" w:lineRule="auto"/>
              <w:jc w:val="both"/>
              <w:rPr>
                <w:rFonts w:ascii="Times New Roman" w:hAnsi="Times New Roman"/>
                <w:color w:val="000000"/>
                <w:sz w:val="21"/>
                <w:szCs w:val="21"/>
              </w:rPr>
            </w:pPr>
            <w:r>
              <w:rPr>
                <w:rFonts w:ascii="Times New Roman" w:hAnsi="Times New Roman"/>
                <w:color w:val="000000"/>
                <w:sz w:val="21"/>
                <w:szCs w:val="21"/>
              </w:rPr>
              <w:t>20</w:t>
            </w:r>
            <w:r w:rsidRPr="005A35A2">
              <w:rPr>
                <w:rFonts w:ascii="Times New Roman" w:hAnsi="Times New Roman"/>
                <w:color w:val="000000"/>
                <w:sz w:val="21"/>
                <w:szCs w:val="21"/>
              </w:rPr>
              <w:t xml:space="preserve"> grudnia 2021 – 31 grudnia 2021 o 14 gr/l  z VAT 17 gr/l,</w:t>
            </w:r>
          </w:p>
          <w:p w14:paraId="05C748B8" w14:textId="04AAA07D" w:rsidR="00EB7391" w:rsidRPr="005A35A2" w:rsidRDefault="00EB7391" w:rsidP="00EB7391">
            <w:pPr>
              <w:spacing w:line="240" w:lineRule="auto"/>
              <w:jc w:val="both"/>
              <w:rPr>
                <w:rFonts w:ascii="Times New Roman" w:hAnsi="Times New Roman"/>
                <w:color w:val="000000"/>
                <w:sz w:val="21"/>
                <w:szCs w:val="21"/>
              </w:rPr>
            </w:pPr>
            <w:r w:rsidRPr="005A35A2">
              <w:rPr>
                <w:rFonts w:ascii="Times New Roman" w:hAnsi="Times New Roman"/>
                <w:color w:val="000000"/>
                <w:sz w:val="21"/>
                <w:szCs w:val="21"/>
              </w:rPr>
              <w:t xml:space="preserve"> 1 stycznia 2022 – </w:t>
            </w:r>
            <w:r w:rsidR="002D66C0">
              <w:rPr>
                <w:rFonts w:ascii="Times New Roman" w:hAnsi="Times New Roman"/>
                <w:color w:val="000000"/>
                <w:sz w:val="21"/>
                <w:szCs w:val="21"/>
              </w:rPr>
              <w:t>31</w:t>
            </w:r>
            <w:r w:rsidR="002D66C0" w:rsidRPr="005A35A2">
              <w:rPr>
                <w:rFonts w:ascii="Times New Roman" w:hAnsi="Times New Roman"/>
                <w:color w:val="000000"/>
                <w:sz w:val="21"/>
                <w:szCs w:val="21"/>
              </w:rPr>
              <w:t xml:space="preserve"> </w:t>
            </w:r>
            <w:r w:rsidRPr="005A35A2">
              <w:rPr>
                <w:rFonts w:ascii="Times New Roman" w:hAnsi="Times New Roman"/>
                <w:color w:val="000000"/>
                <w:sz w:val="21"/>
                <w:szCs w:val="21"/>
              </w:rPr>
              <w:t>maja 2022 r. o 11 gr/l z VAT o 14 gr/l.</w:t>
            </w:r>
          </w:p>
          <w:p w14:paraId="493D5E5C" w14:textId="77777777" w:rsidR="00EB7391" w:rsidRPr="005A35A2" w:rsidRDefault="00EB7391" w:rsidP="00EB7391">
            <w:pPr>
              <w:spacing w:line="240" w:lineRule="auto"/>
              <w:jc w:val="both"/>
              <w:rPr>
                <w:rFonts w:ascii="Times New Roman" w:hAnsi="Times New Roman"/>
                <w:color w:val="000000"/>
                <w:sz w:val="21"/>
                <w:szCs w:val="21"/>
              </w:rPr>
            </w:pPr>
            <w:r w:rsidRPr="005A35A2">
              <w:rPr>
                <w:rFonts w:ascii="Times New Roman" w:hAnsi="Times New Roman"/>
                <w:color w:val="000000"/>
                <w:sz w:val="21"/>
                <w:szCs w:val="21"/>
              </w:rPr>
              <w:t>•</w:t>
            </w:r>
            <w:r w:rsidRPr="005A35A2">
              <w:rPr>
                <w:rFonts w:ascii="Times New Roman" w:hAnsi="Times New Roman"/>
                <w:color w:val="000000"/>
                <w:sz w:val="21"/>
                <w:szCs w:val="21"/>
              </w:rPr>
              <w:tab/>
              <w:t>gaz skroplony (LPG):</w:t>
            </w:r>
          </w:p>
          <w:p w14:paraId="5259CD02" w14:textId="317A8B2A" w:rsidR="00EB7391" w:rsidRPr="005A35A2" w:rsidRDefault="00EB7391" w:rsidP="00EB7391">
            <w:pPr>
              <w:spacing w:line="240" w:lineRule="auto"/>
              <w:jc w:val="both"/>
              <w:rPr>
                <w:rFonts w:ascii="Times New Roman" w:hAnsi="Times New Roman"/>
                <w:color w:val="000000"/>
                <w:sz w:val="21"/>
                <w:szCs w:val="21"/>
              </w:rPr>
            </w:pPr>
            <w:r>
              <w:rPr>
                <w:rFonts w:ascii="Times New Roman" w:hAnsi="Times New Roman"/>
                <w:color w:val="000000"/>
                <w:sz w:val="21"/>
                <w:szCs w:val="21"/>
              </w:rPr>
              <w:t>20</w:t>
            </w:r>
            <w:r w:rsidRPr="005A35A2">
              <w:rPr>
                <w:rFonts w:ascii="Times New Roman" w:hAnsi="Times New Roman"/>
                <w:color w:val="000000"/>
                <w:sz w:val="21"/>
                <w:szCs w:val="21"/>
              </w:rPr>
              <w:t xml:space="preserve"> grudnia 2021 – 31 grudnia 2021 o 15 gr/l  z VAT 18 gr/l,</w:t>
            </w:r>
          </w:p>
          <w:p w14:paraId="5A1A9A8B" w14:textId="22758718" w:rsidR="00EB7391" w:rsidRDefault="00EB7391" w:rsidP="00EB7391">
            <w:pPr>
              <w:spacing w:line="240" w:lineRule="auto"/>
              <w:jc w:val="both"/>
              <w:rPr>
                <w:rFonts w:ascii="Times New Roman" w:hAnsi="Times New Roman"/>
                <w:color w:val="000000"/>
                <w:sz w:val="21"/>
                <w:szCs w:val="21"/>
              </w:rPr>
            </w:pPr>
            <w:r w:rsidRPr="005A35A2">
              <w:rPr>
                <w:rFonts w:ascii="Times New Roman" w:hAnsi="Times New Roman"/>
                <w:color w:val="000000"/>
                <w:sz w:val="21"/>
                <w:szCs w:val="21"/>
              </w:rPr>
              <w:t xml:space="preserve">1 stycznia 2022 – </w:t>
            </w:r>
            <w:r w:rsidR="002D66C0">
              <w:rPr>
                <w:rFonts w:ascii="Times New Roman" w:hAnsi="Times New Roman"/>
                <w:color w:val="000000"/>
                <w:sz w:val="21"/>
                <w:szCs w:val="21"/>
              </w:rPr>
              <w:t>31</w:t>
            </w:r>
            <w:r w:rsidR="002D66C0" w:rsidRPr="005A35A2">
              <w:rPr>
                <w:rFonts w:ascii="Times New Roman" w:hAnsi="Times New Roman"/>
                <w:color w:val="000000"/>
                <w:sz w:val="21"/>
                <w:szCs w:val="21"/>
              </w:rPr>
              <w:t xml:space="preserve"> </w:t>
            </w:r>
            <w:r w:rsidRPr="005A35A2">
              <w:rPr>
                <w:rFonts w:ascii="Times New Roman" w:hAnsi="Times New Roman"/>
                <w:color w:val="000000"/>
                <w:sz w:val="21"/>
                <w:szCs w:val="21"/>
              </w:rPr>
              <w:t>maja 2022 r. o 15 gr/l z VAT o 18 gr/l.</w:t>
            </w:r>
          </w:p>
          <w:p w14:paraId="49A7B803" w14:textId="4CAFE367" w:rsidR="00EB7391" w:rsidRDefault="00EB7391" w:rsidP="00EB7391">
            <w:pPr>
              <w:spacing w:line="240" w:lineRule="auto"/>
              <w:jc w:val="both"/>
              <w:rPr>
                <w:rFonts w:ascii="Times New Roman" w:hAnsi="Times New Roman"/>
                <w:color w:val="000000"/>
                <w:sz w:val="21"/>
                <w:szCs w:val="21"/>
              </w:rPr>
            </w:pPr>
            <w:r w:rsidRPr="005A35A2">
              <w:rPr>
                <w:rFonts w:ascii="Times New Roman" w:hAnsi="Times New Roman"/>
                <w:color w:val="000000"/>
                <w:sz w:val="21"/>
                <w:szCs w:val="21"/>
              </w:rPr>
              <w:t>•</w:t>
            </w:r>
            <w:r w:rsidRPr="005A35A2">
              <w:rPr>
                <w:rFonts w:ascii="Times New Roman" w:hAnsi="Times New Roman"/>
                <w:color w:val="000000"/>
                <w:sz w:val="21"/>
                <w:szCs w:val="21"/>
              </w:rPr>
              <w:tab/>
            </w:r>
            <w:r>
              <w:rPr>
                <w:rFonts w:ascii="Times New Roman" w:hAnsi="Times New Roman"/>
                <w:color w:val="000000"/>
                <w:sz w:val="21"/>
                <w:szCs w:val="21"/>
              </w:rPr>
              <w:t>energia elektryczna</w:t>
            </w:r>
          </w:p>
          <w:p w14:paraId="58E5A3D8" w14:textId="6BD195F0" w:rsidR="00EB7391" w:rsidRDefault="00EB7391" w:rsidP="00EB7391">
            <w:pPr>
              <w:spacing w:line="240" w:lineRule="auto"/>
              <w:jc w:val="both"/>
              <w:rPr>
                <w:rFonts w:ascii="Times New Roman" w:hAnsi="Times New Roman"/>
                <w:color w:val="000000"/>
                <w:sz w:val="21"/>
                <w:szCs w:val="21"/>
              </w:rPr>
            </w:pPr>
            <w:r w:rsidRPr="00F83AEB">
              <w:rPr>
                <w:rFonts w:ascii="Times New Roman" w:hAnsi="Times New Roman"/>
                <w:color w:val="000000"/>
                <w:sz w:val="21"/>
                <w:szCs w:val="21"/>
              </w:rPr>
              <w:t xml:space="preserve">1 stycznia 2022 – </w:t>
            </w:r>
            <w:r>
              <w:rPr>
                <w:rFonts w:ascii="Times New Roman" w:hAnsi="Times New Roman"/>
                <w:color w:val="000000"/>
                <w:sz w:val="21"/>
                <w:szCs w:val="21"/>
              </w:rPr>
              <w:t>3</w:t>
            </w:r>
            <w:r w:rsidRPr="00F83AEB">
              <w:rPr>
                <w:rFonts w:ascii="Times New Roman" w:hAnsi="Times New Roman"/>
                <w:color w:val="000000"/>
                <w:sz w:val="21"/>
                <w:szCs w:val="21"/>
              </w:rPr>
              <w:t xml:space="preserve">1 </w:t>
            </w:r>
            <w:r w:rsidR="002D66C0">
              <w:rPr>
                <w:rFonts w:ascii="Times New Roman" w:hAnsi="Times New Roman"/>
                <w:color w:val="000000"/>
                <w:sz w:val="21"/>
                <w:szCs w:val="21"/>
              </w:rPr>
              <w:t>maja</w:t>
            </w:r>
            <w:r w:rsidR="002D66C0" w:rsidRPr="00F83AEB">
              <w:rPr>
                <w:rFonts w:ascii="Times New Roman" w:hAnsi="Times New Roman"/>
                <w:color w:val="000000"/>
                <w:sz w:val="21"/>
                <w:szCs w:val="21"/>
              </w:rPr>
              <w:t xml:space="preserve"> </w:t>
            </w:r>
            <w:r w:rsidRPr="00F83AEB">
              <w:rPr>
                <w:rFonts w:ascii="Times New Roman" w:hAnsi="Times New Roman"/>
                <w:color w:val="000000"/>
                <w:sz w:val="21"/>
                <w:szCs w:val="21"/>
              </w:rPr>
              <w:t xml:space="preserve">2022 r. o </w:t>
            </w:r>
            <w:r>
              <w:rPr>
                <w:rFonts w:ascii="Times New Roman" w:hAnsi="Times New Roman"/>
                <w:color w:val="000000"/>
                <w:sz w:val="21"/>
                <w:szCs w:val="21"/>
              </w:rPr>
              <w:t>40</w:t>
            </w:r>
            <w:r w:rsidRPr="00F83AEB">
              <w:rPr>
                <w:rFonts w:ascii="Times New Roman" w:hAnsi="Times New Roman"/>
                <w:color w:val="000000"/>
                <w:sz w:val="21"/>
                <w:szCs w:val="21"/>
              </w:rPr>
              <w:t xml:space="preserve"> gr/</w:t>
            </w:r>
            <w:r>
              <w:rPr>
                <w:rFonts w:ascii="Times New Roman" w:hAnsi="Times New Roman"/>
                <w:color w:val="000000"/>
                <w:sz w:val="21"/>
                <w:szCs w:val="21"/>
              </w:rPr>
              <w:t>MWh</w:t>
            </w:r>
            <w:r w:rsidRPr="00F83AEB">
              <w:rPr>
                <w:rFonts w:ascii="Times New Roman" w:hAnsi="Times New Roman"/>
                <w:color w:val="000000"/>
                <w:sz w:val="21"/>
                <w:szCs w:val="21"/>
              </w:rPr>
              <w:t xml:space="preserve"> z VAT o </w:t>
            </w:r>
            <w:r>
              <w:rPr>
                <w:rFonts w:ascii="Times New Roman" w:hAnsi="Times New Roman"/>
                <w:color w:val="000000"/>
                <w:sz w:val="21"/>
                <w:szCs w:val="21"/>
              </w:rPr>
              <w:t>49 gr/MWh</w:t>
            </w:r>
          </w:p>
          <w:p w14:paraId="7CCB8D5A" w14:textId="77777777" w:rsidR="00EB7391" w:rsidRPr="00301959" w:rsidRDefault="00EB7391" w:rsidP="00EB7391">
            <w:pPr>
              <w:autoSpaceDE w:val="0"/>
              <w:jc w:val="both"/>
              <w:rPr>
                <w:rFonts w:ascii="Times New Roman" w:hAnsi="Times New Roman"/>
                <w:color w:val="000000"/>
                <w:sz w:val="21"/>
                <w:szCs w:val="21"/>
              </w:rPr>
            </w:pPr>
            <w:r w:rsidRPr="00F83AEB">
              <w:rPr>
                <w:rFonts w:ascii="Times New Roman" w:hAnsi="Times New Roman"/>
                <w:color w:val="000000"/>
                <w:sz w:val="21"/>
                <w:szCs w:val="21"/>
              </w:rPr>
              <w:lastRenderedPageBreak/>
              <w:t xml:space="preserve">zwolnienie z akcyzy energii elektrycznej dla gospodarstw domowych </w:t>
            </w:r>
            <w:r>
              <w:rPr>
                <w:rFonts w:ascii="Times New Roman" w:hAnsi="Times New Roman"/>
                <w:color w:val="000000"/>
                <w:sz w:val="21"/>
                <w:szCs w:val="21"/>
              </w:rPr>
              <w:t>w zależności od wielkości zużycia 5zł/MWh</w:t>
            </w:r>
          </w:p>
        </w:tc>
      </w:tr>
      <w:tr w:rsidR="00EB7391" w:rsidRPr="008B4FE6" w14:paraId="51C5A153" w14:textId="77777777" w:rsidTr="005725F4">
        <w:trPr>
          <w:gridAfter w:val="1"/>
          <w:wAfter w:w="10" w:type="dxa"/>
          <w:trHeight w:val="342"/>
        </w:trPr>
        <w:tc>
          <w:tcPr>
            <w:tcW w:w="10938" w:type="dxa"/>
            <w:gridSpan w:val="27"/>
            <w:shd w:val="clear" w:color="auto" w:fill="99CCFF"/>
            <w:vAlign w:val="center"/>
          </w:tcPr>
          <w:p w14:paraId="55F92322" w14:textId="77777777" w:rsidR="00EB7391" w:rsidRPr="008B4FE6" w:rsidRDefault="00EB7391" w:rsidP="00EB7391">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EB7391" w:rsidRPr="008B4FE6" w14:paraId="6D9D22D3" w14:textId="77777777" w:rsidTr="005725F4">
        <w:trPr>
          <w:gridAfter w:val="1"/>
          <w:wAfter w:w="10" w:type="dxa"/>
          <w:trHeight w:val="151"/>
        </w:trPr>
        <w:tc>
          <w:tcPr>
            <w:tcW w:w="10938" w:type="dxa"/>
            <w:gridSpan w:val="27"/>
            <w:shd w:val="clear" w:color="auto" w:fill="FFFFFF"/>
          </w:tcPr>
          <w:p w14:paraId="25CABC0E" w14:textId="614B43AE" w:rsidR="00EB7391" w:rsidRPr="008B4FE6" w:rsidRDefault="00EB7391" w:rsidP="00EB739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w:t>
            </w:r>
            <w:r w:rsidRPr="001A5FDA">
              <w:rPr>
                <w:rFonts w:ascii="Times New Roman" w:hAnsi="Times New Roman"/>
                <w:color w:val="000000"/>
                <w:spacing w:val="-2"/>
              </w:rPr>
              <w:t>nie dotyczy</w:t>
            </w:r>
          </w:p>
        </w:tc>
      </w:tr>
      <w:tr w:rsidR="00EB7391" w:rsidRPr="008B4FE6" w14:paraId="6BADFAB5" w14:textId="77777777" w:rsidTr="005725F4">
        <w:trPr>
          <w:gridAfter w:val="1"/>
          <w:wAfter w:w="10" w:type="dxa"/>
          <w:trHeight w:val="946"/>
        </w:trPr>
        <w:tc>
          <w:tcPr>
            <w:tcW w:w="4566" w:type="dxa"/>
            <w:gridSpan w:val="8"/>
            <w:shd w:val="clear" w:color="auto" w:fill="FFFFFF"/>
          </w:tcPr>
          <w:p w14:paraId="404DEC44" w14:textId="77777777" w:rsidR="00EB7391" w:rsidRDefault="00EB7391" w:rsidP="00EB7391">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6372" w:type="dxa"/>
            <w:gridSpan w:val="19"/>
            <w:shd w:val="clear" w:color="auto" w:fill="FFFFFF"/>
          </w:tcPr>
          <w:p w14:paraId="086DD109" w14:textId="77777777" w:rsidR="00EB7391" w:rsidRDefault="00EB7391" w:rsidP="00EB7391">
            <w:pPr>
              <w:spacing w:line="240" w:lineRule="auto"/>
              <w:rPr>
                <w:rFonts w:ascii="Times New Roman" w:hAnsi="Times New Roman"/>
                <w:color w:val="000000"/>
              </w:rPr>
            </w:pPr>
            <w:r>
              <w:rPr>
                <w:rFonts w:ascii="Times New Roman" w:hAnsi="Times New Roman"/>
                <w:color w:val="000000"/>
              </w:rPr>
              <w:t>X   tak</w:t>
            </w:r>
          </w:p>
          <w:p w14:paraId="77F9020F" w14:textId="1F705224" w:rsidR="00EB7391" w:rsidRDefault="00EB7391" w:rsidP="00EB739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39BB90C7" w14:textId="77777777" w:rsidR="00EB7391" w:rsidRDefault="00EB7391" w:rsidP="00EB7391">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EB7391" w:rsidRPr="008B4FE6" w14:paraId="5887160C" w14:textId="77777777" w:rsidTr="005725F4">
        <w:trPr>
          <w:gridAfter w:val="1"/>
          <w:wAfter w:w="10" w:type="dxa"/>
          <w:trHeight w:val="1245"/>
        </w:trPr>
        <w:tc>
          <w:tcPr>
            <w:tcW w:w="4566" w:type="dxa"/>
            <w:gridSpan w:val="8"/>
            <w:shd w:val="clear" w:color="auto" w:fill="FFFFFF"/>
          </w:tcPr>
          <w:p w14:paraId="0C77D87C" w14:textId="77777777" w:rsidR="00EB7391" w:rsidRPr="008B4FE6" w:rsidRDefault="00EB7391" w:rsidP="00EB739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6CB8C1B8" w14:textId="77777777" w:rsidR="00EB7391" w:rsidRPr="008B4FE6" w:rsidRDefault="00EB7391" w:rsidP="00EB739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06ECA449" w14:textId="77777777" w:rsidR="00EB7391" w:rsidRDefault="00EB7391" w:rsidP="00EB739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3F67427C" w14:textId="77777777" w:rsidR="00EB7391" w:rsidRPr="008B4FE6" w:rsidRDefault="00EB7391" w:rsidP="00EB7391">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6372" w:type="dxa"/>
            <w:gridSpan w:val="19"/>
            <w:shd w:val="clear" w:color="auto" w:fill="FFFFFF"/>
          </w:tcPr>
          <w:p w14:paraId="776E7133" w14:textId="77777777" w:rsidR="00EB7391" w:rsidRPr="008B4FE6" w:rsidRDefault="00EB7391" w:rsidP="00EB7391">
            <w:pPr>
              <w:spacing w:line="240" w:lineRule="auto"/>
              <w:rPr>
                <w:rFonts w:ascii="Times New Roman" w:hAnsi="Times New Roman"/>
                <w:color w:val="000000"/>
                <w:spacing w:val="-2"/>
              </w:rPr>
            </w:pPr>
            <w:r>
              <w:rPr>
                <w:rFonts w:ascii="Times New Roman" w:hAnsi="Times New Roman"/>
                <w:color w:val="000000"/>
              </w:rPr>
              <w:t xml:space="preserve">X </w:t>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62F9AFC8" w14:textId="77777777" w:rsidR="00EB7391" w:rsidRPr="008B4FE6" w:rsidRDefault="00EB7391" w:rsidP="00EB7391">
            <w:pPr>
              <w:spacing w:line="240" w:lineRule="auto"/>
              <w:rPr>
                <w:rFonts w:ascii="Times New Roman" w:hAnsi="Times New Roman"/>
                <w:color w:val="000000"/>
                <w:spacing w:val="-2"/>
              </w:rPr>
            </w:pPr>
            <w:r>
              <w:rPr>
                <w:rFonts w:ascii="Times New Roman" w:hAnsi="Times New Roman"/>
                <w:color w:val="000000"/>
              </w:rPr>
              <w:t xml:space="preserve">X </w:t>
            </w:r>
            <w:r w:rsidRPr="008B4FE6">
              <w:rPr>
                <w:rFonts w:ascii="Times New Roman" w:hAnsi="Times New Roman"/>
                <w:color w:val="000000"/>
                <w:spacing w:val="-2"/>
              </w:rPr>
              <w:t>zwiększenie liczby procedur</w:t>
            </w:r>
          </w:p>
          <w:p w14:paraId="1FD9680C" w14:textId="77777777" w:rsidR="00EB7391" w:rsidRPr="008B4FE6" w:rsidRDefault="00EB7391" w:rsidP="00EB739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72794669" w14:textId="77777777" w:rsidR="00EB7391" w:rsidRPr="008B4FE6" w:rsidRDefault="00EB7391" w:rsidP="00EB739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318F10DF" w14:textId="77777777" w:rsidR="00EB7391" w:rsidRPr="008B4FE6" w:rsidRDefault="00EB7391" w:rsidP="00EB7391">
            <w:pPr>
              <w:spacing w:line="240" w:lineRule="auto"/>
              <w:rPr>
                <w:rFonts w:ascii="Times New Roman" w:hAnsi="Times New Roman"/>
                <w:color w:val="000000"/>
              </w:rPr>
            </w:pPr>
          </w:p>
        </w:tc>
      </w:tr>
      <w:tr w:rsidR="00EB7391" w:rsidRPr="008B4FE6" w14:paraId="124A8955" w14:textId="77777777" w:rsidTr="005725F4">
        <w:trPr>
          <w:gridAfter w:val="1"/>
          <w:wAfter w:w="10" w:type="dxa"/>
          <w:trHeight w:val="870"/>
        </w:trPr>
        <w:tc>
          <w:tcPr>
            <w:tcW w:w="4566" w:type="dxa"/>
            <w:gridSpan w:val="8"/>
            <w:shd w:val="clear" w:color="auto" w:fill="FFFFFF"/>
          </w:tcPr>
          <w:p w14:paraId="5165BECC" w14:textId="77777777" w:rsidR="00EB7391" w:rsidRPr="008B4FE6" w:rsidRDefault="00EB7391" w:rsidP="00EB7391">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6372" w:type="dxa"/>
            <w:gridSpan w:val="19"/>
            <w:shd w:val="clear" w:color="auto" w:fill="FFFFFF"/>
          </w:tcPr>
          <w:p w14:paraId="358DF71A" w14:textId="474A9DF9" w:rsidR="00EB7391" w:rsidRDefault="00EB7391" w:rsidP="00EB7391">
            <w:pPr>
              <w:spacing w:line="240" w:lineRule="auto"/>
              <w:rPr>
                <w:rFonts w:ascii="Times New Roman" w:hAnsi="Times New Roman"/>
                <w:color w:val="000000"/>
              </w:rPr>
            </w:pPr>
            <w:r>
              <w:rPr>
                <w:rFonts w:ascii="Times New Roman" w:hAnsi="Times New Roman"/>
                <w:color w:val="000000"/>
              </w:rPr>
              <w:t>X   tak</w:t>
            </w: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224D8095" w14:textId="77777777" w:rsidR="00EB7391" w:rsidRPr="008B4FE6" w:rsidRDefault="00EB7391" w:rsidP="00EB739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EB7391" w:rsidRPr="008B4FE6" w14:paraId="402F2E4B" w14:textId="77777777" w:rsidTr="00286169">
        <w:trPr>
          <w:gridAfter w:val="1"/>
          <w:wAfter w:w="10" w:type="dxa"/>
          <w:trHeight w:val="870"/>
        </w:trPr>
        <w:tc>
          <w:tcPr>
            <w:tcW w:w="10938" w:type="dxa"/>
            <w:gridSpan w:val="27"/>
            <w:shd w:val="clear" w:color="auto" w:fill="FFFFFF"/>
          </w:tcPr>
          <w:p w14:paraId="546EF80F" w14:textId="2EB02672" w:rsidR="00EB7391" w:rsidRPr="004457AF" w:rsidRDefault="00EB7391" w:rsidP="004457AF">
            <w:pPr>
              <w:spacing w:line="240" w:lineRule="auto"/>
              <w:jc w:val="both"/>
              <w:rPr>
                <w:rFonts w:ascii="Times New Roman" w:hAnsi="Times New Roman"/>
                <w:color w:val="000000"/>
                <w:spacing w:val="-2"/>
              </w:rPr>
            </w:pPr>
            <w:r w:rsidRPr="005725F4">
              <w:rPr>
                <w:rFonts w:ascii="Times New Roman" w:hAnsi="Times New Roman"/>
                <w:color w:val="000000"/>
                <w:spacing w:val="-2"/>
              </w:rPr>
              <w:t xml:space="preserve">Komentarz: </w:t>
            </w:r>
            <w:r w:rsidR="00D549AD" w:rsidRPr="00B163D9">
              <w:rPr>
                <w:rFonts w:ascii="Times New Roman" w:hAnsi="Times New Roman"/>
                <w:color w:val="000000"/>
                <w:spacing w:val="-2"/>
              </w:rPr>
              <w:t>ustawa nakłada na sprzedawców dokonujących sprzedaży paliw silnikowych obowiązek zamieszczania przy kasie rejestrującej lokalu przedsiębiorstwa, w którym dokonywana jest sprzedaż tych paliw, informacji o obniżeniu akcyzy na paliwa silnikowe i niepodleganiu sprzedaży paliw silnikowych podatkowi od sprzedaży detalicznej.</w:t>
            </w:r>
          </w:p>
        </w:tc>
      </w:tr>
      <w:tr w:rsidR="00EB7391" w:rsidRPr="008B4FE6" w14:paraId="38D18B39" w14:textId="77777777" w:rsidTr="005725F4">
        <w:trPr>
          <w:gridAfter w:val="1"/>
          <w:wAfter w:w="10" w:type="dxa"/>
          <w:trHeight w:val="142"/>
        </w:trPr>
        <w:tc>
          <w:tcPr>
            <w:tcW w:w="10938" w:type="dxa"/>
            <w:gridSpan w:val="27"/>
            <w:shd w:val="clear" w:color="auto" w:fill="99CCFF"/>
          </w:tcPr>
          <w:p w14:paraId="09AC7A03" w14:textId="77777777" w:rsidR="00EB7391" w:rsidRPr="008B4FE6" w:rsidRDefault="00EB7391" w:rsidP="00EB7391">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EB7391" w:rsidRPr="008B4FE6" w14:paraId="7932E0EB" w14:textId="77777777" w:rsidTr="005725F4">
        <w:trPr>
          <w:gridAfter w:val="1"/>
          <w:wAfter w:w="10" w:type="dxa"/>
          <w:trHeight w:val="142"/>
        </w:trPr>
        <w:tc>
          <w:tcPr>
            <w:tcW w:w="10938" w:type="dxa"/>
            <w:gridSpan w:val="27"/>
            <w:shd w:val="clear" w:color="auto" w:fill="auto"/>
          </w:tcPr>
          <w:p w14:paraId="23FB4280" w14:textId="744006D5" w:rsidR="00EB7391" w:rsidRPr="008B4FE6" w:rsidRDefault="00EB7391" w:rsidP="00537082">
            <w:pPr>
              <w:spacing w:line="240" w:lineRule="auto"/>
              <w:jc w:val="both"/>
              <w:rPr>
                <w:rFonts w:ascii="Times New Roman" w:hAnsi="Times New Roman"/>
                <w:color w:val="000000"/>
              </w:rPr>
            </w:pPr>
            <w:r w:rsidRPr="005A35A2">
              <w:rPr>
                <w:rFonts w:ascii="Times New Roman" w:hAnsi="Times New Roman"/>
                <w:color w:val="000000"/>
              </w:rPr>
              <w:t xml:space="preserve">Zakres projektowanej nowelizacji wpłynie </w:t>
            </w:r>
            <w:r>
              <w:rPr>
                <w:rFonts w:ascii="Times New Roman" w:hAnsi="Times New Roman"/>
                <w:color w:val="000000"/>
              </w:rPr>
              <w:t xml:space="preserve">korzystnie </w:t>
            </w:r>
            <w:r w:rsidRPr="005A35A2">
              <w:rPr>
                <w:rFonts w:ascii="Times New Roman" w:hAnsi="Times New Roman"/>
                <w:color w:val="000000"/>
              </w:rPr>
              <w:t>na rynek pracy</w:t>
            </w:r>
            <w:r>
              <w:rPr>
                <w:rFonts w:ascii="Times New Roman" w:hAnsi="Times New Roman"/>
                <w:color w:val="000000"/>
              </w:rPr>
              <w:t>.</w:t>
            </w:r>
          </w:p>
        </w:tc>
      </w:tr>
      <w:tr w:rsidR="00EB7391" w:rsidRPr="008B4FE6" w14:paraId="7AD822F2" w14:textId="77777777" w:rsidTr="005725F4">
        <w:trPr>
          <w:gridAfter w:val="1"/>
          <w:wAfter w:w="10" w:type="dxa"/>
          <w:trHeight w:val="142"/>
        </w:trPr>
        <w:tc>
          <w:tcPr>
            <w:tcW w:w="10938" w:type="dxa"/>
            <w:gridSpan w:val="27"/>
            <w:shd w:val="clear" w:color="auto" w:fill="99CCFF"/>
          </w:tcPr>
          <w:p w14:paraId="2FEB8EF5" w14:textId="77777777" w:rsidR="00EB7391" w:rsidRPr="008B4FE6" w:rsidRDefault="00EB7391" w:rsidP="00EB7391">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EB7391" w:rsidRPr="008B4FE6" w14:paraId="1EB8D894" w14:textId="77777777" w:rsidTr="005725F4">
        <w:trPr>
          <w:gridAfter w:val="1"/>
          <w:wAfter w:w="10" w:type="dxa"/>
          <w:trHeight w:val="1031"/>
        </w:trPr>
        <w:tc>
          <w:tcPr>
            <w:tcW w:w="3547" w:type="dxa"/>
            <w:gridSpan w:val="5"/>
            <w:shd w:val="clear" w:color="auto" w:fill="FFFFFF"/>
          </w:tcPr>
          <w:p w14:paraId="50C184DD" w14:textId="77777777" w:rsidR="00EB7391" w:rsidRPr="008B4FE6" w:rsidRDefault="00EB7391" w:rsidP="00EB7391">
            <w:pPr>
              <w:spacing w:line="240" w:lineRule="auto"/>
              <w:rPr>
                <w:rFonts w:ascii="Times New Roman" w:hAnsi="Times New Roman"/>
                <w:color w:val="000000"/>
              </w:rPr>
            </w:pPr>
          </w:p>
          <w:p w14:paraId="2B13024E" w14:textId="77777777" w:rsidR="00EB7391" w:rsidRPr="008B4FE6" w:rsidRDefault="00EB7391" w:rsidP="00EB739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75B2A651" w14:textId="77777777" w:rsidR="00EB7391" w:rsidRDefault="00EB7391" w:rsidP="00EB739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sytuacja i rozwój regionalny</w:t>
            </w:r>
          </w:p>
          <w:p w14:paraId="134C3305" w14:textId="49777EDA" w:rsidR="00D549AD" w:rsidRPr="008B4FE6" w:rsidRDefault="00D549AD" w:rsidP="00EB739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w:t>
            </w:r>
            <w:r>
              <w:rPr>
                <w:rFonts w:ascii="Times New Roman" w:hAnsi="Times New Roman"/>
                <w:spacing w:val="-2"/>
              </w:rPr>
              <w:t>sądy powszechne, administracyjne lub wojskowe</w:t>
            </w:r>
          </w:p>
        </w:tc>
        <w:tc>
          <w:tcPr>
            <w:tcW w:w="3688" w:type="dxa"/>
            <w:gridSpan w:val="13"/>
            <w:shd w:val="clear" w:color="auto" w:fill="FFFFFF"/>
          </w:tcPr>
          <w:p w14:paraId="6D4E01A2" w14:textId="77777777" w:rsidR="00EB7391" w:rsidRPr="008B4FE6" w:rsidRDefault="00EB7391" w:rsidP="00EB7391">
            <w:pPr>
              <w:spacing w:line="240" w:lineRule="auto"/>
              <w:rPr>
                <w:rFonts w:ascii="Times New Roman" w:hAnsi="Times New Roman"/>
                <w:color w:val="000000"/>
              </w:rPr>
            </w:pPr>
          </w:p>
          <w:p w14:paraId="64A1943E" w14:textId="77777777" w:rsidR="00EB7391" w:rsidRPr="008B4FE6" w:rsidRDefault="00EB7391" w:rsidP="00EB739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25C0FA0C" w14:textId="77777777" w:rsidR="00EB7391" w:rsidRPr="008B4FE6" w:rsidRDefault="00EB7391" w:rsidP="00EB7391">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703" w:type="dxa"/>
            <w:gridSpan w:val="9"/>
            <w:shd w:val="clear" w:color="auto" w:fill="FFFFFF"/>
          </w:tcPr>
          <w:p w14:paraId="77456AEF" w14:textId="77777777" w:rsidR="00EB7391" w:rsidRPr="008B4FE6" w:rsidRDefault="00EB7391" w:rsidP="00EB7391">
            <w:pPr>
              <w:spacing w:line="240" w:lineRule="auto"/>
              <w:rPr>
                <w:rFonts w:ascii="Times New Roman" w:hAnsi="Times New Roman"/>
                <w:color w:val="000000"/>
              </w:rPr>
            </w:pPr>
          </w:p>
          <w:p w14:paraId="3D244517" w14:textId="77777777" w:rsidR="00EB7391" w:rsidRDefault="00EB7391" w:rsidP="00EB739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337B5D58" w14:textId="77777777" w:rsidR="00EB7391" w:rsidRPr="008B4FE6" w:rsidRDefault="00EB7391" w:rsidP="00EB739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7A657A">
              <w:rPr>
                <w:rFonts w:ascii="Times New Roman" w:hAnsi="Times New Roman"/>
                <w:color w:val="000000"/>
              </w:rPr>
            </w:r>
            <w:r w:rsidR="007A657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EB7391" w:rsidRPr="008B4FE6" w14:paraId="0A5E5C78" w14:textId="77777777" w:rsidTr="005725F4">
        <w:trPr>
          <w:gridAfter w:val="1"/>
          <w:wAfter w:w="10" w:type="dxa"/>
          <w:trHeight w:val="667"/>
        </w:trPr>
        <w:tc>
          <w:tcPr>
            <w:tcW w:w="2243" w:type="dxa"/>
            <w:gridSpan w:val="2"/>
            <w:shd w:val="clear" w:color="auto" w:fill="FFFFFF"/>
            <w:vAlign w:val="center"/>
          </w:tcPr>
          <w:p w14:paraId="345976EA" w14:textId="77777777" w:rsidR="00EB7391" w:rsidRPr="008B4FE6" w:rsidRDefault="00EB7391" w:rsidP="00EB7391">
            <w:pPr>
              <w:spacing w:line="240" w:lineRule="auto"/>
              <w:rPr>
                <w:rFonts w:ascii="Times New Roman" w:hAnsi="Times New Roman"/>
                <w:color w:val="000000"/>
              </w:rPr>
            </w:pPr>
            <w:r w:rsidRPr="008B4FE6">
              <w:rPr>
                <w:rFonts w:ascii="Times New Roman" w:hAnsi="Times New Roman"/>
                <w:color w:val="000000"/>
              </w:rPr>
              <w:t>Omówienie wpływu</w:t>
            </w:r>
          </w:p>
        </w:tc>
        <w:tc>
          <w:tcPr>
            <w:tcW w:w="8695" w:type="dxa"/>
            <w:gridSpan w:val="25"/>
            <w:shd w:val="clear" w:color="auto" w:fill="FFFFFF"/>
            <w:vAlign w:val="center"/>
          </w:tcPr>
          <w:p w14:paraId="55F09A5A" w14:textId="0D6B903F" w:rsidR="00EB7391" w:rsidRPr="008B4FE6" w:rsidRDefault="00EB7391" w:rsidP="00C902CF">
            <w:pPr>
              <w:pStyle w:val="Default"/>
              <w:jc w:val="both"/>
              <w:rPr>
                <w:spacing w:val="-2"/>
              </w:rPr>
            </w:pPr>
            <w:r>
              <w:rPr>
                <w:sz w:val="22"/>
                <w:szCs w:val="22"/>
              </w:rPr>
              <w:t xml:space="preserve">Brak wpływu na ww. obszary. </w:t>
            </w:r>
          </w:p>
        </w:tc>
      </w:tr>
      <w:tr w:rsidR="00EB7391" w:rsidRPr="008B4FE6" w14:paraId="75C9AC5B" w14:textId="77777777" w:rsidTr="005725F4">
        <w:trPr>
          <w:gridAfter w:val="1"/>
          <w:wAfter w:w="10" w:type="dxa"/>
          <w:trHeight w:val="142"/>
        </w:trPr>
        <w:tc>
          <w:tcPr>
            <w:tcW w:w="10938" w:type="dxa"/>
            <w:gridSpan w:val="27"/>
            <w:shd w:val="clear" w:color="auto" w:fill="99CCFF"/>
          </w:tcPr>
          <w:p w14:paraId="610E1F0A" w14:textId="77777777" w:rsidR="00EB7391" w:rsidRPr="00627221" w:rsidRDefault="00EB7391" w:rsidP="00EB7391">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EB7391" w:rsidRPr="008B4FE6" w14:paraId="173C6DDA" w14:textId="77777777" w:rsidTr="005725F4">
        <w:trPr>
          <w:gridAfter w:val="1"/>
          <w:wAfter w:w="10" w:type="dxa"/>
          <w:trHeight w:val="142"/>
        </w:trPr>
        <w:tc>
          <w:tcPr>
            <w:tcW w:w="10938" w:type="dxa"/>
            <w:gridSpan w:val="27"/>
            <w:shd w:val="clear" w:color="auto" w:fill="FFFFFF"/>
          </w:tcPr>
          <w:p w14:paraId="54E60436" w14:textId="4A9FD668" w:rsidR="00EB7391" w:rsidRPr="00B37C80" w:rsidRDefault="00EB7391" w:rsidP="00555C6E">
            <w:pPr>
              <w:pStyle w:val="Default"/>
              <w:jc w:val="both"/>
              <w:rPr>
                <w:spacing w:val="-2"/>
              </w:rPr>
            </w:pPr>
            <w:r>
              <w:rPr>
                <w:sz w:val="22"/>
                <w:szCs w:val="22"/>
              </w:rPr>
              <w:t xml:space="preserve">Zakłada się, że ustawa wejdzie w życie z dniem następującym po dniu ogłoszenia. </w:t>
            </w:r>
            <w:r w:rsidRPr="00EB7391">
              <w:rPr>
                <w:sz w:val="22"/>
                <w:szCs w:val="22"/>
              </w:rPr>
              <w:t xml:space="preserve">Zmiany zawarte w nowo dodawanym art. 164a ust. 2-4 ustawy </w:t>
            </w:r>
            <w:r w:rsidR="00555C6E">
              <w:rPr>
                <w:sz w:val="22"/>
                <w:szCs w:val="22"/>
              </w:rPr>
              <w:t xml:space="preserve">o podatku </w:t>
            </w:r>
            <w:r w:rsidRPr="00EB7391">
              <w:rPr>
                <w:sz w:val="22"/>
                <w:szCs w:val="22"/>
              </w:rPr>
              <w:t>akcyzow</w:t>
            </w:r>
            <w:r w:rsidR="00555C6E">
              <w:rPr>
                <w:sz w:val="22"/>
                <w:szCs w:val="22"/>
              </w:rPr>
              <w:t>ym</w:t>
            </w:r>
            <w:r w:rsidRPr="00EB7391">
              <w:rPr>
                <w:sz w:val="22"/>
                <w:szCs w:val="22"/>
              </w:rPr>
              <w:t xml:space="preserve"> oraz w ustawie o podatku od sprzedaży detalicznej (art. 2) </w:t>
            </w:r>
            <w:r w:rsidR="00555C6E">
              <w:rPr>
                <w:sz w:val="22"/>
                <w:szCs w:val="22"/>
              </w:rPr>
              <w:t xml:space="preserve">będą mieć zastosowanie </w:t>
            </w:r>
            <w:r w:rsidRPr="00EB7391">
              <w:rPr>
                <w:sz w:val="22"/>
                <w:szCs w:val="22"/>
              </w:rPr>
              <w:t xml:space="preserve"> od 1 stycznia 2022 r., natomiast zmiany zawarte w nowo dodawanym art. 164a ust. 1 ustawy </w:t>
            </w:r>
            <w:r w:rsidR="00555C6E">
              <w:rPr>
                <w:sz w:val="22"/>
                <w:szCs w:val="22"/>
              </w:rPr>
              <w:t xml:space="preserve">o podatku </w:t>
            </w:r>
            <w:r w:rsidRPr="00EB7391">
              <w:rPr>
                <w:sz w:val="22"/>
                <w:szCs w:val="22"/>
              </w:rPr>
              <w:t>akcyzow</w:t>
            </w:r>
            <w:r w:rsidR="00555C6E">
              <w:rPr>
                <w:sz w:val="22"/>
                <w:szCs w:val="22"/>
              </w:rPr>
              <w:t>ym</w:t>
            </w:r>
            <w:r w:rsidRPr="00EB7391">
              <w:rPr>
                <w:sz w:val="22"/>
                <w:szCs w:val="22"/>
              </w:rPr>
              <w:t xml:space="preserve"> </w:t>
            </w:r>
            <w:r w:rsidR="00555C6E">
              <w:rPr>
                <w:sz w:val="22"/>
                <w:szCs w:val="22"/>
              </w:rPr>
              <w:t xml:space="preserve">– </w:t>
            </w:r>
            <w:r w:rsidRPr="00EB7391">
              <w:rPr>
                <w:sz w:val="22"/>
                <w:szCs w:val="22"/>
              </w:rPr>
              <w:t>od</w:t>
            </w:r>
            <w:r w:rsidR="00555C6E">
              <w:rPr>
                <w:sz w:val="22"/>
                <w:szCs w:val="22"/>
              </w:rPr>
              <w:t xml:space="preserve"> </w:t>
            </w:r>
            <w:r w:rsidRPr="00EB7391">
              <w:rPr>
                <w:sz w:val="22"/>
                <w:szCs w:val="22"/>
              </w:rPr>
              <w:t>20 grudnia 2021 r.</w:t>
            </w:r>
          </w:p>
        </w:tc>
      </w:tr>
      <w:tr w:rsidR="00EB7391" w:rsidRPr="008B4FE6" w14:paraId="6540EA7D" w14:textId="77777777" w:rsidTr="005725F4">
        <w:trPr>
          <w:gridAfter w:val="1"/>
          <w:wAfter w:w="10" w:type="dxa"/>
          <w:trHeight w:val="142"/>
        </w:trPr>
        <w:tc>
          <w:tcPr>
            <w:tcW w:w="10938" w:type="dxa"/>
            <w:gridSpan w:val="27"/>
            <w:shd w:val="clear" w:color="auto" w:fill="99CCFF"/>
          </w:tcPr>
          <w:p w14:paraId="044EFCB2" w14:textId="77777777" w:rsidR="00EB7391" w:rsidRPr="008B4FE6" w:rsidRDefault="00EB7391" w:rsidP="00EB7391">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EB7391" w:rsidRPr="008B4FE6" w14:paraId="4E0511F8" w14:textId="77777777" w:rsidTr="005725F4">
        <w:trPr>
          <w:gridAfter w:val="1"/>
          <w:wAfter w:w="10" w:type="dxa"/>
          <w:trHeight w:val="142"/>
        </w:trPr>
        <w:tc>
          <w:tcPr>
            <w:tcW w:w="10938" w:type="dxa"/>
            <w:gridSpan w:val="27"/>
            <w:shd w:val="clear" w:color="auto" w:fill="FFFFFF"/>
          </w:tcPr>
          <w:p w14:paraId="0DF4E806" w14:textId="77777777" w:rsidR="00EB7391" w:rsidRDefault="00EB7391" w:rsidP="00EB7391">
            <w:pPr>
              <w:spacing w:line="240" w:lineRule="auto"/>
              <w:jc w:val="both"/>
              <w:rPr>
                <w:rFonts w:ascii="Times New Roman" w:hAnsi="Times New Roman"/>
                <w:color w:val="000000"/>
                <w:spacing w:val="-2"/>
              </w:rPr>
            </w:pPr>
            <w:r>
              <w:rPr>
                <w:rFonts w:ascii="Times New Roman" w:hAnsi="Times New Roman"/>
                <w:color w:val="000000"/>
                <w:spacing w:val="-2"/>
              </w:rPr>
              <w:t>W zakresie zmian w ustawie o podatku akcyzowym, z</w:t>
            </w:r>
            <w:r w:rsidRPr="005A35A2">
              <w:rPr>
                <w:rFonts w:ascii="Times New Roman" w:hAnsi="Times New Roman"/>
                <w:color w:val="000000"/>
                <w:spacing w:val="-2"/>
              </w:rPr>
              <w:t xml:space="preserve"> uwagi na charakter proponowanych zmian</w:t>
            </w:r>
            <w:r>
              <w:rPr>
                <w:rFonts w:ascii="Times New Roman" w:hAnsi="Times New Roman"/>
                <w:color w:val="000000"/>
                <w:spacing w:val="-2"/>
              </w:rPr>
              <w:t>,</w:t>
            </w:r>
            <w:r w:rsidRPr="005A35A2">
              <w:rPr>
                <w:rFonts w:ascii="Times New Roman" w:hAnsi="Times New Roman"/>
                <w:color w:val="000000"/>
                <w:spacing w:val="-2"/>
              </w:rPr>
              <w:t xml:space="preserve"> zostanie przeprowadzona wyłącznie ewaluacja punktowa na wewnętrzne potrzeby Ministra Finansów</w:t>
            </w:r>
          </w:p>
          <w:p w14:paraId="120B13D8" w14:textId="0775D3F3" w:rsidR="00555C6E" w:rsidRPr="00B37C80" w:rsidRDefault="00555C6E" w:rsidP="00EB7391">
            <w:pPr>
              <w:spacing w:line="240" w:lineRule="auto"/>
              <w:jc w:val="both"/>
              <w:rPr>
                <w:rFonts w:ascii="Times New Roman" w:hAnsi="Times New Roman"/>
                <w:color w:val="000000"/>
                <w:spacing w:val="-2"/>
              </w:rPr>
            </w:pPr>
            <w:r>
              <w:rPr>
                <w:rFonts w:ascii="Times New Roman" w:hAnsi="Times New Roman"/>
                <w:color w:val="000000"/>
                <w:spacing w:val="-2"/>
              </w:rPr>
              <w:t>W zakresie zmian w ustawie o podatku od sprzedaży detalicznej nie przewiduje się mechanizmów ewaluacji efektów projektu.</w:t>
            </w:r>
          </w:p>
        </w:tc>
      </w:tr>
      <w:tr w:rsidR="00EB7391" w:rsidRPr="008B4FE6" w14:paraId="19F2D45E" w14:textId="77777777" w:rsidTr="005725F4">
        <w:trPr>
          <w:gridAfter w:val="1"/>
          <w:wAfter w:w="10" w:type="dxa"/>
          <w:trHeight w:val="142"/>
        </w:trPr>
        <w:tc>
          <w:tcPr>
            <w:tcW w:w="10938" w:type="dxa"/>
            <w:gridSpan w:val="27"/>
            <w:shd w:val="clear" w:color="auto" w:fill="99CCFF"/>
          </w:tcPr>
          <w:p w14:paraId="338F4264" w14:textId="77777777" w:rsidR="00EB7391" w:rsidRPr="008B4FE6" w:rsidRDefault="00EB7391" w:rsidP="00EB7391">
            <w:pPr>
              <w:numPr>
                <w:ilvl w:val="0"/>
                <w:numId w:val="1"/>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EB7391" w:rsidRPr="008B4FE6" w14:paraId="5AAF6FCB" w14:textId="77777777" w:rsidTr="005725F4">
        <w:trPr>
          <w:gridAfter w:val="1"/>
          <w:wAfter w:w="10" w:type="dxa"/>
          <w:trHeight w:val="142"/>
        </w:trPr>
        <w:tc>
          <w:tcPr>
            <w:tcW w:w="10938" w:type="dxa"/>
            <w:gridSpan w:val="27"/>
            <w:shd w:val="clear" w:color="auto" w:fill="FFFFFF"/>
          </w:tcPr>
          <w:p w14:paraId="3FA5E783" w14:textId="28BB20CC" w:rsidR="00EB7391" w:rsidRPr="000120AB" w:rsidRDefault="00EB7391" w:rsidP="00EB7391">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1760AB78" w14:textId="77777777" w:rsidR="009D68AB" w:rsidRDefault="009D68AB" w:rsidP="004F271D"/>
    <w:sectPr w:rsidR="009D68AB" w:rsidSect="00716B38">
      <w:pgSz w:w="11906" w:h="16838"/>
      <w:pgMar w:top="568" w:right="707" w:bottom="568" w:left="720" w:header="708" w:footer="2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DC35D54"/>
    <w:multiLevelType w:val="hybridMultilevel"/>
    <w:tmpl w:val="DAFC9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19534E"/>
    <w:multiLevelType w:val="hybridMultilevel"/>
    <w:tmpl w:val="063A3F94"/>
    <w:lvl w:ilvl="0" w:tplc="51FA50D2">
      <w:start w:val="1"/>
      <w:numFmt w:val="decimal"/>
      <w:lvlText w:val="%1)"/>
      <w:lvlJc w:val="left"/>
      <w:pPr>
        <w:ind w:left="720" w:hanging="360"/>
      </w:pPr>
      <w:rPr>
        <w:color w:val="00B0F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3F63C0"/>
    <w:multiLevelType w:val="hybridMultilevel"/>
    <w:tmpl w:val="04FC7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646C11"/>
    <w:multiLevelType w:val="hybridMultilevel"/>
    <w:tmpl w:val="EFD0A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8">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
  </w:num>
  <w:num w:numId="6">
    <w:abstractNumId w:val="10"/>
  </w:num>
  <w:num w:numId="7">
    <w:abstractNumId w:val="9"/>
  </w:num>
  <w:num w:numId="8">
    <w:abstractNumId w:val="5"/>
  </w:num>
  <w:num w:numId="9">
    <w:abstractNumId w:val="6"/>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1D"/>
    <w:rsid w:val="000120AB"/>
    <w:rsid w:val="000316DA"/>
    <w:rsid w:val="00041C20"/>
    <w:rsid w:val="00053724"/>
    <w:rsid w:val="000634CF"/>
    <w:rsid w:val="00084293"/>
    <w:rsid w:val="0009113C"/>
    <w:rsid w:val="000977A4"/>
    <w:rsid w:val="000A1F34"/>
    <w:rsid w:val="000B5132"/>
    <w:rsid w:val="000D5902"/>
    <w:rsid w:val="000D7B0B"/>
    <w:rsid w:val="000F4D91"/>
    <w:rsid w:val="00100908"/>
    <w:rsid w:val="00113267"/>
    <w:rsid w:val="00116811"/>
    <w:rsid w:val="0013489A"/>
    <w:rsid w:val="0017255D"/>
    <w:rsid w:val="001A0B0D"/>
    <w:rsid w:val="001A1618"/>
    <w:rsid w:val="001C4458"/>
    <w:rsid w:val="001D05C4"/>
    <w:rsid w:val="001D5A63"/>
    <w:rsid w:val="001E49DA"/>
    <w:rsid w:val="001F62AB"/>
    <w:rsid w:val="00232513"/>
    <w:rsid w:val="002807D5"/>
    <w:rsid w:val="00293C6F"/>
    <w:rsid w:val="00294832"/>
    <w:rsid w:val="00297843"/>
    <w:rsid w:val="002A4A85"/>
    <w:rsid w:val="002A66A2"/>
    <w:rsid w:val="002D66C0"/>
    <w:rsid w:val="002F71D7"/>
    <w:rsid w:val="00304D9D"/>
    <w:rsid w:val="00306549"/>
    <w:rsid w:val="00321603"/>
    <w:rsid w:val="00345FDF"/>
    <w:rsid w:val="003605CC"/>
    <w:rsid w:val="00363C29"/>
    <w:rsid w:val="0038391D"/>
    <w:rsid w:val="0038674B"/>
    <w:rsid w:val="003C66E2"/>
    <w:rsid w:val="003D4FF3"/>
    <w:rsid w:val="003E5312"/>
    <w:rsid w:val="00403E4F"/>
    <w:rsid w:val="004042B5"/>
    <w:rsid w:val="00416248"/>
    <w:rsid w:val="004457AF"/>
    <w:rsid w:val="004615FB"/>
    <w:rsid w:val="004629AE"/>
    <w:rsid w:val="004B6898"/>
    <w:rsid w:val="004C2CC1"/>
    <w:rsid w:val="004F271D"/>
    <w:rsid w:val="004F742F"/>
    <w:rsid w:val="00537082"/>
    <w:rsid w:val="00551A83"/>
    <w:rsid w:val="00555C6E"/>
    <w:rsid w:val="00564E66"/>
    <w:rsid w:val="005725F4"/>
    <w:rsid w:val="00572A2C"/>
    <w:rsid w:val="0058278B"/>
    <w:rsid w:val="005D2EBF"/>
    <w:rsid w:val="005D5C5E"/>
    <w:rsid w:val="005D7454"/>
    <w:rsid w:val="005E3EB0"/>
    <w:rsid w:val="006028FE"/>
    <w:rsid w:val="00613807"/>
    <w:rsid w:val="00624B20"/>
    <w:rsid w:val="0064667A"/>
    <w:rsid w:val="0065298C"/>
    <w:rsid w:val="006620BB"/>
    <w:rsid w:val="006740DE"/>
    <w:rsid w:val="006B37B9"/>
    <w:rsid w:val="006C3EF5"/>
    <w:rsid w:val="006C59C8"/>
    <w:rsid w:val="00716B38"/>
    <w:rsid w:val="00725BDF"/>
    <w:rsid w:val="00732652"/>
    <w:rsid w:val="00761B71"/>
    <w:rsid w:val="0078519E"/>
    <w:rsid w:val="007A657A"/>
    <w:rsid w:val="007B78FB"/>
    <w:rsid w:val="007C224D"/>
    <w:rsid w:val="007D33D8"/>
    <w:rsid w:val="007E1388"/>
    <w:rsid w:val="007F289E"/>
    <w:rsid w:val="007F3C34"/>
    <w:rsid w:val="007F5285"/>
    <w:rsid w:val="0080309F"/>
    <w:rsid w:val="00837E1F"/>
    <w:rsid w:val="00843B78"/>
    <w:rsid w:val="00864E94"/>
    <w:rsid w:val="00881D1D"/>
    <w:rsid w:val="008D4400"/>
    <w:rsid w:val="008E6806"/>
    <w:rsid w:val="00904A4C"/>
    <w:rsid w:val="00913129"/>
    <w:rsid w:val="009710DF"/>
    <w:rsid w:val="00981AB2"/>
    <w:rsid w:val="009D68AB"/>
    <w:rsid w:val="009D746E"/>
    <w:rsid w:val="00A76A1F"/>
    <w:rsid w:val="00A960D3"/>
    <w:rsid w:val="00AF1D06"/>
    <w:rsid w:val="00B11D28"/>
    <w:rsid w:val="00B12ED5"/>
    <w:rsid w:val="00B26807"/>
    <w:rsid w:val="00B56C85"/>
    <w:rsid w:val="00B6355A"/>
    <w:rsid w:val="00B71E1D"/>
    <w:rsid w:val="00B77780"/>
    <w:rsid w:val="00BA31A2"/>
    <w:rsid w:val="00C06221"/>
    <w:rsid w:val="00C1122A"/>
    <w:rsid w:val="00C120F6"/>
    <w:rsid w:val="00C243AE"/>
    <w:rsid w:val="00C25752"/>
    <w:rsid w:val="00C37581"/>
    <w:rsid w:val="00C40F3F"/>
    <w:rsid w:val="00C76763"/>
    <w:rsid w:val="00C902CF"/>
    <w:rsid w:val="00CB116B"/>
    <w:rsid w:val="00CF4A37"/>
    <w:rsid w:val="00CF7D35"/>
    <w:rsid w:val="00D139C3"/>
    <w:rsid w:val="00D24131"/>
    <w:rsid w:val="00D327A5"/>
    <w:rsid w:val="00D549AD"/>
    <w:rsid w:val="00D67C22"/>
    <w:rsid w:val="00D82F41"/>
    <w:rsid w:val="00DA3294"/>
    <w:rsid w:val="00DA6892"/>
    <w:rsid w:val="00DC0E37"/>
    <w:rsid w:val="00DD7635"/>
    <w:rsid w:val="00DE0428"/>
    <w:rsid w:val="00DF4AE4"/>
    <w:rsid w:val="00E321C0"/>
    <w:rsid w:val="00E41831"/>
    <w:rsid w:val="00E52F22"/>
    <w:rsid w:val="00E864B4"/>
    <w:rsid w:val="00E869B0"/>
    <w:rsid w:val="00E90C60"/>
    <w:rsid w:val="00E95172"/>
    <w:rsid w:val="00EB7391"/>
    <w:rsid w:val="00ED4B17"/>
    <w:rsid w:val="00EE2F53"/>
    <w:rsid w:val="00EE6B70"/>
    <w:rsid w:val="00EF3F64"/>
    <w:rsid w:val="00F54C62"/>
    <w:rsid w:val="00FB30D6"/>
    <w:rsid w:val="00FC78B0"/>
    <w:rsid w:val="00FC7EBB"/>
    <w:rsid w:val="00FD3C6B"/>
    <w:rsid w:val="00FD3D91"/>
    <w:rsid w:val="00FE1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2D3C"/>
  <w15:docId w15:val="{918E0257-FCCE-449D-B2DC-3251F5E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1E1D"/>
    <w:pPr>
      <w:spacing w:after="0"/>
    </w:pPr>
    <w:rPr>
      <w:rFonts w:ascii="Calibri" w:eastAsia="Calibri" w:hAnsi="Calibri" w:cs="Times New Roman"/>
    </w:rPr>
  </w:style>
  <w:style w:type="paragraph" w:styleId="Nagwek1">
    <w:name w:val="heading 1"/>
    <w:basedOn w:val="Normalny"/>
    <w:next w:val="Normalny"/>
    <w:link w:val="Nagwek1Znak"/>
    <w:qFormat/>
    <w:rsid w:val="00B71E1D"/>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1E1D"/>
    <w:rPr>
      <w:rFonts w:ascii="Arial" w:eastAsia="Times New Roman" w:hAnsi="Arial" w:cs="Arial"/>
      <w:b/>
      <w:bCs/>
      <w:kern w:val="32"/>
      <w:sz w:val="32"/>
      <w:szCs w:val="32"/>
      <w:lang w:eastAsia="pl-PL"/>
    </w:rPr>
  </w:style>
  <w:style w:type="character" w:styleId="Hipercze">
    <w:name w:val="Hyperlink"/>
    <w:uiPriority w:val="99"/>
    <w:unhideWhenUsed/>
    <w:rsid w:val="00B71E1D"/>
    <w:rPr>
      <w:color w:val="0000FF"/>
      <w:u w:val="single"/>
    </w:rPr>
  </w:style>
  <w:style w:type="paragraph" w:customStyle="1" w:styleId="Default">
    <w:name w:val="Default"/>
    <w:rsid w:val="007F289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11D28"/>
    <w:pPr>
      <w:ind w:left="720"/>
      <w:contextualSpacing/>
    </w:pPr>
  </w:style>
  <w:style w:type="paragraph" w:styleId="Tekstdymka">
    <w:name w:val="Balloon Text"/>
    <w:basedOn w:val="Normalny"/>
    <w:link w:val="TekstdymkaZnak"/>
    <w:uiPriority w:val="99"/>
    <w:semiHidden/>
    <w:unhideWhenUsed/>
    <w:rsid w:val="007E138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388"/>
    <w:rPr>
      <w:rFonts w:ascii="Tahoma" w:eastAsia="Calibri" w:hAnsi="Tahoma" w:cs="Tahoma"/>
      <w:sz w:val="16"/>
      <w:szCs w:val="16"/>
    </w:rPr>
  </w:style>
  <w:style w:type="paragraph" w:customStyle="1" w:styleId="TYTUAKTUprzedmiotregulacjiustawylubrozporzdzenia">
    <w:name w:val="TYTUŁ_AKTU – przedmiot regulacji ustawy lub rozporządzenia"/>
    <w:next w:val="Normalny"/>
    <w:uiPriority w:val="6"/>
    <w:qFormat/>
    <w:rsid w:val="00613807"/>
    <w:pPr>
      <w:keepNext/>
      <w:suppressAutoHyphens/>
      <w:spacing w:before="120" w:after="360" w:line="360" w:lineRule="auto"/>
      <w:jc w:val="center"/>
    </w:pPr>
    <w:rPr>
      <w:rFonts w:ascii="Times" w:eastAsiaTheme="minorEastAsia" w:hAnsi="Times" w:cs="Arial"/>
      <w:b/>
      <w:bCs/>
      <w:sz w:val="24"/>
      <w:szCs w:val="24"/>
      <w:lang w:eastAsia="pl-PL"/>
    </w:rPr>
  </w:style>
  <w:style w:type="paragraph" w:styleId="Bezodstpw">
    <w:name w:val="No Spacing"/>
    <w:uiPriority w:val="1"/>
    <w:qFormat/>
    <w:rsid w:val="00613807"/>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1A0B0D"/>
    <w:rPr>
      <w:sz w:val="16"/>
      <w:szCs w:val="16"/>
    </w:rPr>
  </w:style>
  <w:style w:type="paragraph" w:styleId="Tekstkomentarza">
    <w:name w:val="annotation text"/>
    <w:basedOn w:val="Normalny"/>
    <w:link w:val="TekstkomentarzaZnak"/>
    <w:uiPriority w:val="99"/>
    <w:semiHidden/>
    <w:unhideWhenUsed/>
    <w:rsid w:val="001A0B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0B0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A0B0D"/>
    <w:rPr>
      <w:b/>
      <w:bCs/>
    </w:rPr>
  </w:style>
  <w:style w:type="character" w:customStyle="1" w:styleId="TematkomentarzaZnak">
    <w:name w:val="Temat komentarza Znak"/>
    <w:basedOn w:val="TekstkomentarzaZnak"/>
    <w:link w:val="Tematkomentarza"/>
    <w:uiPriority w:val="99"/>
    <w:semiHidden/>
    <w:rsid w:val="001A0B0D"/>
    <w:rPr>
      <w:rFonts w:ascii="Calibri" w:eastAsia="Calibri" w:hAnsi="Calibri" w:cs="Times New Roman"/>
      <w:b/>
      <w:bCs/>
      <w:sz w:val="20"/>
      <w:szCs w:val="20"/>
    </w:rPr>
  </w:style>
  <w:style w:type="paragraph" w:customStyle="1" w:styleId="ZARTzmartartykuempunktem">
    <w:name w:val="Z/ART(§) – zm. art. (§) artykułem (punktem)"/>
    <w:basedOn w:val="Normalny"/>
    <w:uiPriority w:val="30"/>
    <w:qFormat/>
    <w:rsid w:val="00DF4AE4"/>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4083">
      <w:bodyDiv w:val="1"/>
      <w:marLeft w:val="0"/>
      <w:marRight w:val="0"/>
      <w:marTop w:val="0"/>
      <w:marBottom w:val="0"/>
      <w:divBdr>
        <w:top w:val="none" w:sz="0" w:space="0" w:color="auto"/>
        <w:left w:val="none" w:sz="0" w:space="0" w:color="auto"/>
        <w:bottom w:val="none" w:sz="0" w:space="0" w:color="auto"/>
        <w:right w:val="none" w:sz="0" w:space="0" w:color="auto"/>
      </w:divBdr>
    </w:div>
    <w:div w:id="312806010">
      <w:bodyDiv w:val="1"/>
      <w:marLeft w:val="0"/>
      <w:marRight w:val="0"/>
      <w:marTop w:val="0"/>
      <w:marBottom w:val="0"/>
      <w:divBdr>
        <w:top w:val="none" w:sz="0" w:space="0" w:color="auto"/>
        <w:left w:val="none" w:sz="0" w:space="0" w:color="auto"/>
        <w:bottom w:val="none" w:sz="0" w:space="0" w:color="auto"/>
        <w:right w:val="none" w:sz="0" w:space="0" w:color="auto"/>
      </w:divBdr>
    </w:div>
    <w:div w:id="1820265021">
      <w:bodyDiv w:val="1"/>
      <w:marLeft w:val="0"/>
      <w:marRight w:val="0"/>
      <w:marTop w:val="0"/>
      <w:marBottom w:val="0"/>
      <w:divBdr>
        <w:top w:val="none" w:sz="0" w:space="0" w:color="auto"/>
        <w:left w:val="none" w:sz="0" w:space="0" w:color="auto"/>
        <w:bottom w:val="none" w:sz="0" w:space="0" w:color="auto"/>
        <w:right w:val="none" w:sz="0" w:space="0" w:color="auto"/>
      </w:divBdr>
    </w:div>
    <w:div w:id="18814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ps@mf.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rutka@mf.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1832-DD03-41F5-A3FC-CB671E0C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1843</Words>
  <Characters>11061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 Anna</dc:creator>
  <cp:lastModifiedBy>Wojdak Jacek</cp:lastModifiedBy>
  <cp:revision>5</cp:revision>
  <cp:lastPrinted>2017-11-23T12:29:00Z</cp:lastPrinted>
  <dcterms:created xsi:type="dcterms:W3CDTF">2021-11-30T11:56:00Z</dcterms:created>
  <dcterms:modified xsi:type="dcterms:W3CDTF">2021-12-01T09:14:00Z</dcterms:modified>
</cp:coreProperties>
</file>