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646"/>
        <w:gridCol w:w="63"/>
        <w:gridCol w:w="534"/>
        <w:gridCol w:w="33"/>
        <w:gridCol w:w="673"/>
        <w:gridCol w:w="35"/>
        <w:gridCol w:w="307"/>
        <w:gridCol w:w="236"/>
        <w:gridCol w:w="166"/>
        <w:gridCol w:w="674"/>
        <w:gridCol w:w="35"/>
        <w:gridCol w:w="111"/>
        <w:gridCol w:w="598"/>
        <w:gridCol w:w="55"/>
        <w:gridCol w:w="653"/>
        <w:gridCol w:w="214"/>
        <w:gridCol w:w="71"/>
        <w:gridCol w:w="424"/>
        <w:gridCol w:w="108"/>
        <w:gridCol w:w="405"/>
        <w:gridCol w:w="196"/>
        <w:gridCol w:w="126"/>
        <w:gridCol w:w="583"/>
        <w:gridCol w:w="33"/>
        <w:gridCol w:w="675"/>
        <w:gridCol w:w="567"/>
        <w:gridCol w:w="142"/>
        <w:gridCol w:w="985"/>
        <w:gridCol w:w="10"/>
      </w:tblGrid>
      <w:tr w:rsidR="006A701A" w:rsidRPr="008B4FE6" w14:paraId="077ABF1E" w14:textId="77777777" w:rsidTr="00AB4835">
        <w:trPr>
          <w:gridAfter w:val="1"/>
          <w:wAfter w:w="10" w:type="dxa"/>
          <w:trHeight w:val="1611"/>
        </w:trPr>
        <w:tc>
          <w:tcPr>
            <w:tcW w:w="6622" w:type="dxa"/>
            <w:gridSpan w:val="17"/>
            <w:shd w:val="clear" w:color="auto" w:fill="auto"/>
          </w:tcPr>
          <w:p w14:paraId="7A37C68E" w14:textId="77777777" w:rsidR="006A701A" w:rsidRPr="008B4FE6" w:rsidRDefault="006A701A" w:rsidP="00CA64E6">
            <w:pPr>
              <w:spacing w:line="240" w:lineRule="auto"/>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703569EB" w14:textId="5652E50A" w:rsidR="006430F5" w:rsidRDefault="00343748">
            <w:pPr>
              <w:spacing w:line="240" w:lineRule="auto"/>
              <w:rPr>
                <w:rFonts w:ascii="Times New Roman" w:hAnsi="Times New Roman"/>
                <w:color w:val="000000"/>
              </w:rPr>
            </w:pPr>
            <w:r>
              <w:rPr>
                <w:rFonts w:ascii="Times New Roman" w:hAnsi="Times New Roman"/>
                <w:color w:val="000000"/>
              </w:rPr>
              <w:t>R</w:t>
            </w:r>
            <w:r w:rsidR="00CD724C">
              <w:rPr>
                <w:rFonts w:ascii="Times New Roman" w:hAnsi="Times New Roman"/>
                <w:color w:val="000000"/>
              </w:rPr>
              <w:t>ozporządzenie Ministra Finansów</w:t>
            </w:r>
            <w:r w:rsidR="00263E94">
              <w:rPr>
                <w:rFonts w:ascii="Times New Roman" w:hAnsi="Times New Roman"/>
                <w:color w:val="000000"/>
              </w:rPr>
              <w:t xml:space="preserve"> </w:t>
            </w:r>
            <w:r w:rsidR="00D24CE1">
              <w:rPr>
                <w:rFonts w:ascii="Times New Roman" w:hAnsi="Times New Roman"/>
                <w:color w:val="000000"/>
              </w:rPr>
              <w:t xml:space="preserve">w sprawie </w:t>
            </w:r>
            <w:r>
              <w:rPr>
                <w:rFonts w:ascii="Times New Roman" w:hAnsi="Times New Roman"/>
                <w:color w:val="000000"/>
              </w:rPr>
              <w:t xml:space="preserve">zwolnień z obowiązku </w:t>
            </w:r>
            <w:r w:rsidR="0092275B">
              <w:rPr>
                <w:rFonts w:ascii="Times New Roman" w:hAnsi="Times New Roman"/>
                <w:color w:val="000000"/>
              </w:rPr>
              <w:t xml:space="preserve">prowadzenia ewidencji </w:t>
            </w:r>
            <w:r w:rsidR="003A59B8">
              <w:rPr>
                <w:rFonts w:ascii="Times New Roman" w:hAnsi="Times New Roman"/>
                <w:color w:val="000000"/>
              </w:rPr>
              <w:t xml:space="preserve">sprzedaży przy </w:t>
            </w:r>
            <w:r w:rsidR="00CF55F8">
              <w:rPr>
                <w:rFonts w:ascii="Times New Roman" w:hAnsi="Times New Roman"/>
                <w:color w:val="000000"/>
              </w:rPr>
              <w:t>zastosowaniu</w:t>
            </w:r>
            <w:r w:rsidR="001B066D">
              <w:rPr>
                <w:rFonts w:ascii="Times New Roman" w:hAnsi="Times New Roman"/>
                <w:color w:val="000000"/>
              </w:rPr>
              <w:t xml:space="preserve"> kas rejestrujących</w:t>
            </w:r>
          </w:p>
          <w:p w14:paraId="48C934D0" w14:textId="4C2D439F" w:rsidR="006A701A" w:rsidRPr="008B4FE6" w:rsidRDefault="00D24CE1">
            <w:pPr>
              <w:spacing w:line="240" w:lineRule="auto"/>
              <w:rPr>
                <w:rFonts w:ascii="Times New Roman" w:hAnsi="Times New Roman"/>
                <w:color w:val="000000"/>
              </w:rPr>
            </w:pPr>
            <w:r>
              <w:rPr>
                <w:rFonts w:ascii="Times New Roman" w:hAnsi="Times New Roman"/>
                <w:color w:val="000000"/>
              </w:rPr>
              <w:t xml:space="preserve"> </w:t>
            </w:r>
          </w:p>
          <w:p w14:paraId="69FBF9E2" w14:textId="77777777" w:rsidR="006A701A" w:rsidRPr="008B4FE6" w:rsidRDefault="006A701A" w:rsidP="00CA64E6">
            <w:pPr>
              <w:spacing w:line="240" w:lineRule="auto"/>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02AE49A4" w14:textId="77777777" w:rsidR="001B066D" w:rsidRDefault="00CD724C">
            <w:pPr>
              <w:spacing w:line="240" w:lineRule="auto"/>
              <w:rPr>
                <w:rFonts w:ascii="Times New Roman" w:hAnsi="Times New Roman"/>
                <w:color w:val="000000"/>
              </w:rPr>
            </w:pPr>
            <w:r>
              <w:rPr>
                <w:rFonts w:ascii="Times New Roman" w:hAnsi="Times New Roman"/>
                <w:color w:val="000000"/>
              </w:rPr>
              <w:t>Ministerstwo Finansów</w:t>
            </w:r>
          </w:p>
          <w:p w14:paraId="734BD9B0" w14:textId="77777777" w:rsidR="00343748" w:rsidRDefault="00343748">
            <w:pPr>
              <w:spacing w:line="240" w:lineRule="auto"/>
              <w:rPr>
                <w:rFonts w:ascii="Times New Roman" w:hAnsi="Times New Roman"/>
                <w:b/>
              </w:rPr>
            </w:pPr>
          </w:p>
          <w:p w14:paraId="3FEB2F39" w14:textId="77777777" w:rsidR="001B3460" w:rsidRPr="001B066D" w:rsidRDefault="001B3460">
            <w:pPr>
              <w:spacing w:line="240" w:lineRule="auto"/>
              <w:rPr>
                <w:rFonts w:ascii="Times New Roman" w:hAnsi="Times New Roman"/>
                <w:color w:val="000000"/>
              </w:rPr>
            </w:pPr>
            <w:r w:rsidRPr="001B066D">
              <w:rPr>
                <w:rFonts w:ascii="Times New Roman" w:hAnsi="Times New Roman"/>
                <w:b/>
              </w:rPr>
              <w:t xml:space="preserve">Osoba odpowiedzialna za projekt w randze Ministra, Sekretarza Stanu lub Podsekretarza Stanu </w:t>
            </w:r>
          </w:p>
          <w:p w14:paraId="53488E1A" w14:textId="1ACD69E5" w:rsidR="00C13A9F" w:rsidRDefault="00014568">
            <w:pPr>
              <w:spacing w:line="240" w:lineRule="auto"/>
              <w:rPr>
                <w:rFonts w:ascii="Times New Roman" w:hAnsi="Times New Roman"/>
              </w:rPr>
            </w:pPr>
            <w:r>
              <w:rPr>
                <w:rFonts w:ascii="Times New Roman" w:hAnsi="Times New Roman"/>
              </w:rPr>
              <w:t xml:space="preserve">Pan </w:t>
            </w:r>
            <w:r w:rsidR="00263E94">
              <w:rPr>
                <w:rFonts w:ascii="Times New Roman" w:hAnsi="Times New Roman"/>
              </w:rPr>
              <w:t>Jan Sarnowski,</w:t>
            </w:r>
            <w:r w:rsidR="00C13A9F">
              <w:rPr>
                <w:rFonts w:ascii="Times New Roman" w:hAnsi="Times New Roman"/>
              </w:rPr>
              <w:t xml:space="preserve"> Podsekretarz Stanu w Ministerstwie Finansów </w:t>
            </w:r>
          </w:p>
          <w:p w14:paraId="7F881049" w14:textId="77777777" w:rsidR="006430F5" w:rsidRDefault="006430F5">
            <w:pPr>
              <w:spacing w:line="240" w:lineRule="auto"/>
              <w:rPr>
                <w:rFonts w:ascii="Times New Roman" w:hAnsi="Times New Roman"/>
              </w:rPr>
            </w:pPr>
          </w:p>
          <w:p w14:paraId="015384F3" w14:textId="77777777" w:rsidR="006A701A" w:rsidRPr="008B4FE6" w:rsidRDefault="006A701A" w:rsidP="00CA64E6">
            <w:pPr>
              <w:spacing w:line="240" w:lineRule="auto"/>
              <w:rPr>
                <w:rFonts w:ascii="Times New Roman" w:hAnsi="Times New Roman"/>
                <w:b/>
                <w:color w:val="000000"/>
              </w:rPr>
            </w:pPr>
            <w:r w:rsidRPr="008B4FE6">
              <w:rPr>
                <w:rFonts w:ascii="Times New Roman" w:hAnsi="Times New Roman"/>
                <w:b/>
                <w:color w:val="000000"/>
              </w:rPr>
              <w:t>Kontakt do opiekuna merytorycznego projektu</w:t>
            </w:r>
          </w:p>
          <w:p w14:paraId="04EC2757" w14:textId="6DA71BBD" w:rsidR="00600942" w:rsidRDefault="00301479">
            <w:pPr>
              <w:spacing w:line="240" w:lineRule="auto"/>
              <w:rPr>
                <w:rFonts w:ascii="Times New Roman" w:hAnsi="Times New Roman"/>
                <w:color w:val="000000"/>
              </w:rPr>
            </w:pPr>
            <w:r>
              <w:rPr>
                <w:rFonts w:ascii="Times New Roman" w:hAnsi="Times New Roman"/>
                <w:color w:val="000000"/>
              </w:rPr>
              <w:t>Pan Paweł Selera</w:t>
            </w:r>
          </w:p>
          <w:p w14:paraId="4E751756" w14:textId="441884C1" w:rsidR="00A01577" w:rsidRDefault="00C13A9F">
            <w:pPr>
              <w:spacing w:line="240" w:lineRule="auto"/>
              <w:rPr>
                <w:rFonts w:ascii="Times New Roman" w:hAnsi="Times New Roman"/>
                <w:color w:val="000000"/>
              </w:rPr>
            </w:pPr>
            <w:r>
              <w:rPr>
                <w:rFonts w:ascii="Times New Roman" w:hAnsi="Times New Roman"/>
                <w:color w:val="000000"/>
              </w:rPr>
              <w:t>Dyrektor Departam</w:t>
            </w:r>
            <w:r w:rsidR="00A01577">
              <w:rPr>
                <w:rFonts w:ascii="Times New Roman" w:hAnsi="Times New Roman"/>
                <w:color w:val="000000"/>
              </w:rPr>
              <w:t>entu Podatku od Towarów i Usług</w:t>
            </w:r>
            <w:r>
              <w:rPr>
                <w:rFonts w:ascii="Times New Roman" w:hAnsi="Times New Roman"/>
                <w:color w:val="000000"/>
              </w:rPr>
              <w:t>;</w:t>
            </w:r>
            <w:r w:rsidR="00CF0F58">
              <w:rPr>
                <w:rFonts w:ascii="Times New Roman" w:hAnsi="Times New Roman"/>
                <w:color w:val="000000"/>
              </w:rPr>
              <w:t xml:space="preserve"> </w:t>
            </w:r>
          </w:p>
          <w:p w14:paraId="746A3563" w14:textId="7D0D129C" w:rsidR="006A701A" w:rsidRPr="00A01577" w:rsidRDefault="00016DD8" w:rsidP="00CA64E6">
            <w:pPr>
              <w:spacing w:after="120" w:line="240" w:lineRule="auto"/>
              <w:rPr>
                <w:rFonts w:ascii="Times New Roman" w:hAnsi="Times New Roman"/>
                <w:color w:val="000000"/>
                <w:lang w:val="en-GB"/>
              </w:rPr>
            </w:pPr>
            <w:r w:rsidRPr="00A01577">
              <w:rPr>
                <w:rFonts w:ascii="Times New Roman" w:hAnsi="Times New Roman"/>
                <w:color w:val="000000"/>
                <w:lang w:val="en-GB"/>
              </w:rPr>
              <w:t xml:space="preserve">tel.: </w:t>
            </w:r>
            <w:r w:rsidR="00CF0F58" w:rsidRPr="00A01577">
              <w:rPr>
                <w:rFonts w:ascii="Times New Roman" w:hAnsi="Times New Roman"/>
                <w:color w:val="000000"/>
                <w:lang w:val="en-GB"/>
              </w:rPr>
              <w:t>694-</w:t>
            </w:r>
            <w:r w:rsidR="009A747E" w:rsidRPr="00A01577">
              <w:rPr>
                <w:rFonts w:ascii="Times New Roman" w:hAnsi="Times New Roman"/>
                <w:color w:val="000000"/>
                <w:lang w:val="en-GB"/>
              </w:rPr>
              <w:t>36-21</w:t>
            </w:r>
            <w:r w:rsidR="00CF0F58" w:rsidRPr="00A01577">
              <w:rPr>
                <w:rFonts w:ascii="Times New Roman" w:hAnsi="Times New Roman"/>
                <w:color w:val="000000"/>
                <w:lang w:val="en-GB"/>
              </w:rPr>
              <w:t>;</w:t>
            </w:r>
            <w:r w:rsidR="001B066D" w:rsidRPr="00A01577">
              <w:rPr>
                <w:rFonts w:ascii="Times New Roman" w:hAnsi="Times New Roman"/>
                <w:color w:val="000000"/>
                <w:lang w:val="en-GB"/>
              </w:rPr>
              <w:t xml:space="preserve"> </w:t>
            </w:r>
            <w:r w:rsidRPr="00A01577">
              <w:rPr>
                <w:rFonts w:ascii="Times New Roman" w:hAnsi="Times New Roman"/>
                <w:color w:val="000000"/>
                <w:lang w:val="en-GB"/>
              </w:rPr>
              <w:t xml:space="preserve"> email: </w:t>
            </w:r>
            <w:r w:rsidR="00014568" w:rsidRPr="00A01577">
              <w:rPr>
                <w:rFonts w:ascii="Times New Roman" w:hAnsi="Times New Roman"/>
                <w:color w:val="000000"/>
                <w:lang w:val="en-GB"/>
              </w:rPr>
              <w:t>Sekretariat.PT@mf.gov.pl</w:t>
            </w:r>
          </w:p>
        </w:tc>
        <w:tc>
          <w:tcPr>
            <w:tcW w:w="4315" w:type="dxa"/>
            <w:gridSpan w:val="12"/>
            <w:shd w:val="clear" w:color="auto" w:fill="auto"/>
          </w:tcPr>
          <w:p w14:paraId="298F1AEA" w14:textId="0983254F" w:rsidR="001B3460" w:rsidRPr="00642825" w:rsidRDefault="001B3460" w:rsidP="00343748">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A54A2E">
              <w:rPr>
                <w:rFonts w:ascii="Times New Roman" w:hAnsi="Times New Roman"/>
                <w:sz w:val="21"/>
                <w:szCs w:val="21"/>
              </w:rPr>
              <w:t>2</w:t>
            </w:r>
            <w:r w:rsidR="00AB4835">
              <w:rPr>
                <w:rFonts w:ascii="Times New Roman" w:hAnsi="Times New Roman"/>
                <w:sz w:val="21"/>
                <w:szCs w:val="21"/>
              </w:rPr>
              <w:t>3</w:t>
            </w:r>
            <w:r w:rsidR="00897182">
              <w:rPr>
                <w:rFonts w:ascii="Times New Roman" w:hAnsi="Times New Roman"/>
                <w:sz w:val="21"/>
                <w:szCs w:val="21"/>
              </w:rPr>
              <w:t xml:space="preserve"> listopada</w:t>
            </w:r>
            <w:r w:rsidR="00D175F7">
              <w:rPr>
                <w:rFonts w:ascii="Times New Roman" w:hAnsi="Times New Roman"/>
                <w:sz w:val="21"/>
                <w:szCs w:val="21"/>
              </w:rPr>
              <w:t xml:space="preserve"> </w:t>
            </w:r>
            <w:r w:rsidR="00CD724C" w:rsidRPr="000E3CD9">
              <w:rPr>
                <w:rFonts w:ascii="Times New Roman" w:hAnsi="Times New Roman"/>
                <w:sz w:val="21"/>
                <w:szCs w:val="21"/>
              </w:rPr>
              <w:t>20</w:t>
            </w:r>
            <w:r w:rsidR="00263E94">
              <w:rPr>
                <w:rFonts w:ascii="Times New Roman" w:hAnsi="Times New Roman"/>
                <w:sz w:val="21"/>
                <w:szCs w:val="21"/>
              </w:rPr>
              <w:t>21</w:t>
            </w:r>
            <w:r w:rsidR="00CD724C" w:rsidRPr="000E3CD9">
              <w:rPr>
                <w:rFonts w:ascii="Times New Roman" w:hAnsi="Times New Roman"/>
                <w:sz w:val="21"/>
                <w:szCs w:val="21"/>
              </w:rPr>
              <w:t xml:space="preserve"> r.</w:t>
            </w:r>
          </w:p>
          <w:p w14:paraId="720857E6" w14:textId="77777777" w:rsidR="00F76884" w:rsidRDefault="00F76884" w:rsidP="00343748">
            <w:pPr>
              <w:spacing w:line="240" w:lineRule="auto"/>
              <w:rPr>
                <w:rFonts w:ascii="Times New Roman" w:hAnsi="Times New Roman"/>
                <w:b/>
              </w:rPr>
            </w:pPr>
          </w:p>
          <w:p w14:paraId="45210B0A" w14:textId="77777777" w:rsidR="00F76884" w:rsidRPr="0065019F" w:rsidRDefault="00F76884" w:rsidP="00343748">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720EE674" w14:textId="5E280C5A" w:rsidR="00F76884" w:rsidRPr="0065019F" w:rsidRDefault="007C0CB3" w:rsidP="00343748">
            <w:pPr>
              <w:spacing w:line="240" w:lineRule="auto"/>
              <w:rPr>
                <w:rFonts w:ascii="Times New Roman" w:hAnsi="Times New Roman"/>
              </w:rPr>
            </w:pPr>
            <w:r>
              <w:rPr>
                <w:rFonts w:ascii="Times New Roman" w:hAnsi="Times New Roman"/>
              </w:rPr>
              <w:t>A</w:t>
            </w:r>
            <w:r w:rsidR="00412B3D" w:rsidRPr="00412B3D">
              <w:rPr>
                <w:rFonts w:ascii="Times New Roman" w:hAnsi="Times New Roman"/>
              </w:rPr>
              <w:t>rt. 111 ust. 8 oraz art. 145a ust. 17 ustawy z dnia 11 marca 2004 r.</w:t>
            </w:r>
            <w:r w:rsidR="00412B3D">
              <w:rPr>
                <w:rFonts w:ascii="Times New Roman" w:hAnsi="Times New Roman"/>
              </w:rPr>
              <w:t xml:space="preserve"> o podatku od towarów i usług (</w:t>
            </w:r>
            <w:r w:rsidR="00412B3D" w:rsidRPr="00412B3D">
              <w:rPr>
                <w:rFonts w:ascii="Times New Roman" w:hAnsi="Times New Roman"/>
              </w:rPr>
              <w:t>Dz. U. z 2021 r. poz. 685, z późn. zm.</w:t>
            </w:r>
            <w:r w:rsidR="00412B3D">
              <w:rPr>
                <w:rFonts w:ascii="Times New Roman" w:hAnsi="Times New Roman"/>
              </w:rPr>
              <w:t>)</w:t>
            </w:r>
          </w:p>
          <w:p w14:paraId="2A1EF2C1" w14:textId="16F0893D" w:rsidR="005172F1" w:rsidRPr="004316D4" w:rsidRDefault="005172F1" w:rsidP="005172F1">
            <w:pPr>
              <w:spacing w:before="120" w:line="240" w:lineRule="auto"/>
              <w:rPr>
                <w:rFonts w:ascii="Times New Roman" w:hAnsi="Times New Roman"/>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r>
              <w:rPr>
                <w:rFonts w:ascii="Times New Roman" w:hAnsi="Times New Roman"/>
                <w:b/>
                <w:color w:val="000000"/>
              </w:rPr>
              <w:t>legislacyjnych</w:t>
            </w:r>
            <w:r w:rsidR="00263E94">
              <w:rPr>
                <w:rFonts w:ascii="Times New Roman" w:hAnsi="Times New Roman"/>
                <w:b/>
                <w:color w:val="000000"/>
              </w:rPr>
              <w:t>:</w:t>
            </w:r>
            <w:r w:rsidRPr="004316D4">
              <w:rPr>
                <w:rFonts w:ascii="Times New Roman" w:hAnsi="Times New Roman"/>
                <w:b/>
                <w:color w:val="000000"/>
              </w:rPr>
              <w:t xml:space="preserve"> </w:t>
            </w:r>
          </w:p>
          <w:p w14:paraId="1D6A0627" w14:textId="494E279F" w:rsidR="006A701A" w:rsidRPr="003805D4" w:rsidRDefault="00B05BF8" w:rsidP="00343748">
            <w:pPr>
              <w:spacing w:line="240" w:lineRule="auto"/>
              <w:rPr>
                <w:rFonts w:ascii="Times New Roman" w:hAnsi="Times New Roman"/>
                <w:color w:val="000000"/>
                <w:sz w:val="24"/>
                <w:szCs w:val="24"/>
              </w:rPr>
            </w:pPr>
            <w:r>
              <w:rPr>
                <w:rFonts w:ascii="Times New Roman" w:hAnsi="Times New Roman"/>
                <w:color w:val="000000"/>
                <w:sz w:val="24"/>
                <w:szCs w:val="24"/>
              </w:rPr>
              <w:t>467</w:t>
            </w:r>
          </w:p>
        </w:tc>
      </w:tr>
      <w:tr w:rsidR="006A701A" w:rsidRPr="0022687A" w14:paraId="7D6E5271" w14:textId="77777777" w:rsidTr="00AB4835">
        <w:trPr>
          <w:gridAfter w:val="1"/>
          <w:wAfter w:w="10" w:type="dxa"/>
          <w:trHeight w:val="142"/>
        </w:trPr>
        <w:tc>
          <w:tcPr>
            <w:tcW w:w="10937" w:type="dxa"/>
            <w:gridSpan w:val="29"/>
            <w:shd w:val="clear" w:color="auto" w:fill="auto"/>
          </w:tcPr>
          <w:p w14:paraId="0B02972D" w14:textId="77777777" w:rsidR="006A701A" w:rsidRPr="00627221" w:rsidRDefault="006A701A" w:rsidP="00343748">
            <w:pPr>
              <w:spacing w:line="240" w:lineRule="auto"/>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7F34AB6A" w14:textId="77777777" w:rsidTr="00AB4835">
        <w:trPr>
          <w:gridAfter w:val="1"/>
          <w:wAfter w:w="10" w:type="dxa"/>
          <w:trHeight w:val="333"/>
        </w:trPr>
        <w:tc>
          <w:tcPr>
            <w:tcW w:w="10937" w:type="dxa"/>
            <w:gridSpan w:val="29"/>
            <w:shd w:val="clear" w:color="auto" w:fill="auto"/>
            <w:vAlign w:val="center"/>
          </w:tcPr>
          <w:p w14:paraId="0C5DA2A1" w14:textId="77777777" w:rsidR="006A701A" w:rsidRPr="008B4FE6" w:rsidRDefault="003D12F6" w:rsidP="00343748">
            <w:pPr>
              <w:numPr>
                <w:ilvl w:val="0"/>
                <w:numId w:val="3"/>
              </w:numPr>
              <w:spacing w:before="60" w:after="60" w:line="240" w:lineRule="auto"/>
              <w:ind w:left="45" w:hanging="45"/>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2D581BCE" w14:textId="77777777" w:rsidTr="00AB4835">
        <w:trPr>
          <w:gridAfter w:val="1"/>
          <w:wAfter w:w="10" w:type="dxa"/>
          <w:trHeight w:val="142"/>
        </w:trPr>
        <w:tc>
          <w:tcPr>
            <w:tcW w:w="10937" w:type="dxa"/>
            <w:gridSpan w:val="29"/>
            <w:shd w:val="clear" w:color="auto" w:fill="auto"/>
          </w:tcPr>
          <w:p w14:paraId="008FF289" w14:textId="247CAA28" w:rsidR="006A701A" w:rsidRPr="00122016" w:rsidRDefault="0013030C" w:rsidP="00412B3D">
            <w:pPr>
              <w:spacing w:before="120" w:after="120" w:line="240" w:lineRule="auto"/>
              <w:jc w:val="both"/>
              <w:rPr>
                <w:rFonts w:ascii="Times New Roman" w:hAnsi="Times New Roman"/>
                <w:color w:val="000000"/>
              </w:rPr>
            </w:pPr>
            <w:r w:rsidRPr="009408DC">
              <w:rPr>
                <w:rFonts w:ascii="Times New Roman" w:eastAsia="Times New Roman" w:hAnsi="Times New Roman"/>
                <w:lang w:eastAsia="pl-PL"/>
              </w:rPr>
              <w:t xml:space="preserve">Na podstawie delegacji ustawowej (art. 111 ust. 8 </w:t>
            </w:r>
            <w:r w:rsidR="00263E94" w:rsidRPr="009408DC">
              <w:rPr>
                <w:rFonts w:ascii="Times New Roman" w:eastAsia="Times New Roman" w:hAnsi="Times New Roman"/>
                <w:lang w:eastAsia="pl-PL"/>
              </w:rPr>
              <w:t xml:space="preserve">oraz art. 145a ust. 17 </w:t>
            </w:r>
            <w:r w:rsidRPr="009408DC">
              <w:rPr>
                <w:rFonts w:ascii="Times New Roman" w:hAnsi="Times New Roman"/>
                <w:color w:val="000000"/>
              </w:rPr>
              <w:t>ustawy z dnia 11 marca 2004 r. o podatku od towarów i usług)</w:t>
            </w:r>
            <w:r w:rsidR="00263E94" w:rsidRPr="009408DC">
              <w:rPr>
                <w:rFonts w:ascii="Times New Roman" w:hAnsi="Times New Roman"/>
                <w:color w:val="000000"/>
              </w:rPr>
              <w:t xml:space="preserve"> - </w:t>
            </w:r>
            <w:r w:rsidR="003A59B8">
              <w:rPr>
                <w:rFonts w:ascii="Times New Roman" w:hAnsi="Times New Roman"/>
                <w:color w:val="000000"/>
              </w:rPr>
              <w:t>wydaje się</w:t>
            </w:r>
            <w:r w:rsidR="00263E94" w:rsidRPr="009408DC">
              <w:rPr>
                <w:rFonts w:ascii="Times New Roman" w:hAnsi="Times New Roman"/>
                <w:color w:val="000000"/>
              </w:rPr>
              <w:t xml:space="preserve"> nowe rozporządzenie.</w:t>
            </w:r>
            <w:r w:rsidRPr="009408DC">
              <w:rPr>
                <w:rFonts w:ascii="Times New Roman" w:eastAsia="Times New Roman" w:hAnsi="Times New Roman"/>
                <w:lang w:eastAsia="pl-PL"/>
              </w:rPr>
              <w:t xml:space="preserve"> </w:t>
            </w:r>
            <w:r w:rsidR="00263E94" w:rsidRPr="009408DC">
              <w:rPr>
                <w:rFonts w:ascii="Times New Roman" w:hAnsi="Times New Roman"/>
              </w:rPr>
              <w:t xml:space="preserve">Zakres zwolnień </w:t>
            </w:r>
            <w:r w:rsidR="007E145D">
              <w:rPr>
                <w:rFonts w:ascii="Times New Roman" w:hAnsi="Times New Roman"/>
              </w:rPr>
              <w:t>z obowiązku</w:t>
            </w:r>
            <w:r w:rsidR="007E145D" w:rsidRPr="009408DC">
              <w:rPr>
                <w:rFonts w:ascii="Times New Roman" w:hAnsi="Times New Roman"/>
              </w:rPr>
              <w:t xml:space="preserve"> </w:t>
            </w:r>
            <w:r w:rsidR="00263E94" w:rsidRPr="009408DC">
              <w:rPr>
                <w:rFonts w:ascii="Times New Roman" w:hAnsi="Times New Roman"/>
              </w:rPr>
              <w:t xml:space="preserve">ewidencji przy zastosowaniu kas rejestrujących został wyznaczony rozporządzeniem Ministra Finansów z dnia 28 grudnia 2018 r. w sprawie zwolnień z obowiązku prowadzenia ewidencji </w:t>
            </w:r>
            <w:r w:rsidR="000306D7" w:rsidRPr="003A59B8">
              <w:rPr>
                <w:rFonts w:ascii="Times New Roman" w:hAnsi="Times New Roman"/>
              </w:rPr>
              <w:t xml:space="preserve">sprzedaży </w:t>
            </w:r>
            <w:r w:rsidR="00263E94" w:rsidRPr="009408DC">
              <w:rPr>
                <w:rFonts w:ascii="Times New Roman" w:hAnsi="Times New Roman"/>
              </w:rPr>
              <w:t>przy zastosowaniu kas rejestrujących (Dz. U. poz. 2519, z</w:t>
            </w:r>
            <w:r w:rsidR="003A59B8">
              <w:rPr>
                <w:rFonts w:ascii="Times New Roman" w:hAnsi="Times New Roman"/>
              </w:rPr>
              <w:t xml:space="preserve"> późn.</w:t>
            </w:r>
            <w:r w:rsidR="00263E94" w:rsidRPr="009408DC">
              <w:rPr>
                <w:rFonts w:ascii="Times New Roman" w:hAnsi="Times New Roman"/>
              </w:rPr>
              <w:t xml:space="preserve"> zm.)</w:t>
            </w:r>
            <w:r w:rsidR="00897182">
              <w:rPr>
                <w:rFonts w:ascii="Times New Roman" w:hAnsi="Times New Roman"/>
              </w:rPr>
              <w:t>.</w:t>
            </w:r>
            <w:r w:rsidR="00263E94" w:rsidRPr="009408DC">
              <w:rPr>
                <w:rFonts w:ascii="Times New Roman" w:hAnsi="Times New Roman"/>
              </w:rPr>
              <w:t xml:space="preserve"> </w:t>
            </w:r>
            <w:r w:rsidRPr="009408DC">
              <w:rPr>
                <w:rFonts w:ascii="Times New Roman" w:eastAsia="Times New Roman" w:hAnsi="Times New Roman"/>
                <w:lang w:eastAsia="pl-PL"/>
              </w:rPr>
              <w:t>Rozporządzenie to przewiduje zwolnienia o charakterze czasowym (tj. do dnia 31 grudnia 20</w:t>
            </w:r>
            <w:r w:rsidR="00263E94" w:rsidRPr="009408DC">
              <w:rPr>
                <w:rFonts w:ascii="Times New Roman" w:eastAsia="Times New Roman" w:hAnsi="Times New Roman"/>
                <w:lang w:eastAsia="pl-PL"/>
              </w:rPr>
              <w:t>2</w:t>
            </w:r>
            <w:r w:rsidR="000E13DA">
              <w:rPr>
                <w:rFonts w:ascii="Times New Roman" w:eastAsia="Times New Roman" w:hAnsi="Times New Roman"/>
                <w:lang w:eastAsia="pl-PL"/>
              </w:rPr>
              <w:t>1</w:t>
            </w:r>
            <w:r w:rsidRPr="009408DC">
              <w:rPr>
                <w:rFonts w:ascii="Times New Roman" w:eastAsia="Times New Roman" w:hAnsi="Times New Roman"/>
                <w:lang w:eastAsia="pl-PL"/>
              </w:rPr>
              <w:t xml:space="preserve"> r.), co oznacza, że konieczne jest wydanie nowego rozporządzenia w tym zakresie.</w:t>
            </w:r>
            <w:r w:rsidR="00AB583F">
              <w:rPr>
                <w:rFonts w:ascii="Times New Roman" w:eastAsia="Times New Roman" w:hAnsi="Times New Roman"/>
                <w:lang w:eastAsia="pl-PL"/>
              </w:rPr>
              <w:t xml:space="preserve"> </w:t>
            </w:r>
          </w:p>
        </w:tc>
      </w:tr>
      <w:tr w:rsidR="006A701A" w:rsidRPr="008B4FE6" w14:paraId="41E23B9E" w14:textId="77777777" w:rsidTr="00AB4835">
        <w:trPr>
          <w:gridAfter w:val="1"/>
          <w:wAfter w:w="10" w:type="dxa"/>
          <w:trHeight w:val="142"/>
        </w:trPr>
        <w:tc>
          <w:tcPr>
            <w:tcW w:w="10937" w:type="dxa"/>
            <w:gridSpan w:val="29"/>
            <w:shd w:val="clear" w:color="auto" w:fill="auto"/>
            <w:vAlign w:val="center"/>
          </w:tcPr>
          <w:p w14:paraId="282F83DB"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2377A890" w14:textId="77777777" w:rsidTr="00AB4835">
        <w:trPr>
          <w:gridAfter w:val="1"/>
          <w:wAfter w:w="10" w:type="dxa"/>
          <w:trHeight w:val="142"/>
        </w:trPr>
        <w:tc>
          <w:tcPr>
            <w:tcW w:w="10937" w:type="dxa"/>
            <w:gridSpan w:val="29"/>
            <w:shd w:val="clear" w:color="auto" w:fill="auto"/>
          </w:tcPr>
          <w:p w14:paraId="65094199" w14:textId="7260CFAF" w:rsidR="005B6F12" w:rsidRPr="00AB4835" w:rsidRDefault="005B6F12" w:rsidP="00CA64E6">
            <w:pPr>
              <w:spacing w:before="120" w:after="120" w:line="240" w:lineRule="auto"/>
              <w:jc w:val="both"/>
              <w:rPr>
                <w:rFonts w:ascii="Times New Roman" w:hAnsi="Times New Roman"/>
                <w:color w:val="000000"/>
                <w:spacing w:val="-2"/>
              </w:rPr>
            </w:pPr>
            <w:r w:rsidRPr="00CA3072">
              <w:rPr>
                <w:rFonts w:ascii="Times New Roman" w:hAnsi="Times New Roman"/>
                <w:color w:val="000000"/>
                <w:spacing w:val="-2"/>
              </w:rPr>
              <w:t xml:space="preserve">Generalnie zakres zwolnień z obowiązku prowadzenia ewidencji </w:t>
            </w:r>
            <w:r w:rsidR="000306D7" w:rsidRPr="00AB4835">
              <w:rPr>
                <w:rFonts w:ascii="Times New Roman" w:hAnsi="Times New Roman"/>
                <w:color w:val="000000"/>
                <w:spacing w:val="-2"/>
              </w:rPr>
              <w:t xml:space="preserve">sprzedaży </w:t>
            </w:r>
            <w:r w:rsidRPr="00CA3072">
              <w:rPr>
                <w:rFonts w:ascii="Times New Roman" w:hAnsi="Times New Roman"/>
                <w:color w:val="000000"/>
                <w:spacing w:val="-2"/>
              </w:rPr>
              <w:t xml:space="preserve">przy zastosowaniu kas rejestrujących zostanie przedłużony na </w:t>
            </w:r>
            <w:r>
              <w:rPr>
                <w:rFonts w:ascii="Times New Roman" w:hAnsi="Times New Roman"/>
                <w:color w:val="000000"/>
                <w:spacing w:val="-2"/>
              </w:rPr>
              <w:t xml:space="preserve">okres </w:t>
            </w:r>
            <w:r w:rsidR="000E13DA">
              <w:rPr>
                <w:rFonts w:ascii="Times New Roman" w:hAnsi="Times New Roman"/>
                <w:color w:val="000000"/>
                <w:spacing w:val="-2"/>
              </w:rPr>
              <w:t>2</w:t>
            </w:r>
            <w:r>
              <w:rPr>
                <w:rFonts w:ascii="Times New Roman" w:hAnsi="Times New Roman"/>
                <w:color w:val="000000"/>
                <w:spacing w:val="-2"/>
              </w:rPr>
              <w:t xml:space="preserve"> </w:t>
            </w:r>
            <w:r w:rsidR="00021AEB">
              <w:rPr>
                <w:rFonts w:ascii="Times New Roman" w:hAnsi="Times New Roman"/>
                <w:color w:val="000000"/>
                <w:spacing w:val="-2"/>
              </w:rPr>
              <w:t>lat</w:t>
            </w:r>
            <w:r w:rsidRPr="00CA3072">
              <w:rPr>
                <w:rFonts w:ascii="Times New Roman" w:hAnsi="Times New Roman"/>
                <w:color w:val="000000"/>
                <w:spacing w:val="-2"/>
              </w:rPr>
              <w:t xml:space="preserve"> (</w:t>
            </w:r>
            <w:r>
              <w:rPr>
                <w:rFonts w:ascii="Times New Roman" w:hAnsi="Times New Roman"/>
                <w:color w:val="000000"/>
                <w:spacing w:val="-2"/>
              </w:rPr>
              <w:t>20</w:t>
            </w:r>
            <w:r w:rsidR="00704515">
              <w:rPr>
                <w:rFonts w:ascii="Times New Roman" w:hAnsi="Times New Roman"/>
                <w:color w:val="000000"/>
                <w:spacing w:val="-2"/>
              </w:rPr>
              <w:t>22</w:t>
            </w:r>
            <w:r w:rsidR="00021AEB">
              <w:rPr>
                <w:rFonts w:ascii="Times New Roman" w:hAnsi="Times New Roman"/>
                <w:color w:val="000000"/>
                <w:spacing w:val="-2"/>
              </w:rPr>
              <w:t>-202</w:t>
            </w:r>
            <w:r w:rsidR="000E13DA">
              <w:rPr>
                <w:rFonts w:ascii="Times New Roman" w:hAnsi="Times New Roman"/>
                <w:color w:val="000000"/>
                <w:spacing w:val="-2"/>
              </w:rPr>
              <w:t>3</w:t>
            </w:r>
            <w:r w:rsidRPr="00CA3072">
              <w:rPr>
                <w:rFonts w:ascii="Times New Roman" w:hAnsi="Times New Roman"/>
                <w:color w:val="000000"/>
                <w:spacing w:val="-2"/>
              </w:rPr>
              <w:t xml:space="preserve">) przy </w:t>
            </w:r>
            <w:r w:rsidRPr="00AB4835">
              <w:rPr>
                <w:rFonts w:ascii="Times New Roman" w:hAnsi="Times New Roman"/>
                <w:color w:val="000000"/>
                <w:spacing w:val="-2"/>
              </w:rPr>
              <w:t xml:space="preserve">utrzymaniu na dotychczasowym poziomie kryterium </w:t>
            </w:r>
            <w:r w:rsidR="003A59B8" w:rsidRPr="00AB4835">
              <w:rPr>
                <w:rFonts w:ascii="Times New Roman" w:hAnsi="Times New Roman"/>
                <w:color w:val="000000"/>
                <w:spacing w:val="-2"/>
              </w:rPr>
              <w:t>wielkości sprzedaży</w:t>
            </w:r>
            <w:r w:rsidRPr="00AB4835">
              <w:rPr>
                <w:rFonts w:ascii="Times New Roman" w:hAnsi="Times New Roman"/>
                <w:color w:val="000000"/>
                <w:spacing w:val="-2"/>
              </w:rPr>
              <w:t>, tj. 20 000 zł dla podmiotów kontynuujących, jak i dla rozpoczynających działalność gospodarczą (dla tych ostatnich liczone w proporcji).</w:t>
            </w:r>
          </w:p>
          <w:p w14:paraId="7A71F866" w14:textId="69F17EA0" w:rsidR="00CD06A0" w:rsidRPr="00323045" w:rsidRDefault="004A5724" w:rsidP="00AB4835">
            <w:pPr>
              <w:spacing w:before="120" w:after="120" w:line="240" w:lineRule="auto"/>
              <w:jc w:val="both"/>
              <w:rPr>
                <w:rFonts w:ascii="Times New Roman" w:hAnsi="Times New Roman"/>
                <w:color w:val="000000"/>
                <w:spacing w:val="-2"/>
              </w:rPr>
            </w:pPr>
            <w:r w:rsidRPr="00323045">
              <w:rPr>
                <w:rFonts w:ascii="Times New Roman" w:hAnsi="Times New Roman"/>
                <w:color w:val="000000"/>
                <w:spacing w:val="-2"/>
              </w:rPr>
              <w:t>W zakresie zwolnień przedmiotowych</w:t>
            </w:r>
            <w:r w:rsidR="00CD06A0" w:rsidRPr="00323045">
              <w:rPr>
                <w:rFonts w:ascii="Times New Roman" w:hAnsi="Times New Roman"/>
                <w:color w:val="000000"/>
                <w:spacing w:val="-2"/>
              </w:rPr>
              <w:t xml:space="preserve"> zrezygnowano z</w:t>
            </w:r>
            <w:r w:rsidR="00AE3492" w:rsidRPr="00323045">
              <w:rPr>
                <w:rFonts w:ascii="Times New Roman" w:hAnsi="Times New Roman"/>
                <w:color w:val="000000"/>
                <w:spacing w:val="-2"/>
              </w:rPr>
              <w:t xml:space="preserve">e zwolnień wskazanych w poz. 40 </w:t>
            </w:r>
            <w:r w:rsidR="00412B3D">
              <w:rPr>
                <w:rFonts w:ascii="Times New Roman" w:hAnsi="Times New Roman"/>
                <w:color w:val="000000"/>
                <w:spacing w:val="-2"/>
              </w:rPr>
              <w:t xml:space="preserve">dotychczasowego </w:t>
            </w:r>
            <w:r w:rsidR="00AE3492" w:rsidRPr="00323045">
              <w:rPr>
                <w:rFonts w:ascii="Times New Roman" w:hAnsi="Times New Roman"/>
                <w:color w:val="000000"/>
                <w:spacing w:val="-2"/>
              </w:rPr>
              <w:t xml:space="preserve">rozporządzenia </w:t>
            </w:r>
            <w:r w:rsidR="009D795D">
              <w:rPr>
                <w:rFonts w:ascii="Times New Roman" w:hAnsi="Times New Roman"/>
                <w:color w:val="000000"/>
                <w:spacing w:val="-2"/>
              </w:rPr>
              <w:t>w zakresie myjni automatycznych.</w:t>
            </w:r>
            <w:r w:rsidR="00AE3492" w:rsidRPr="00323045">
              <w:rPr>
                <w:rFonts w:ascii="Times New Roman" w:hAnsi="Times New Roman"/>
                <w:color w:val="000000"/>
                <w:spacing w:val="-2"/>
              </w:rPr>
              <w:t xml:space="preserve"> </w:t>
            </w:r>
            <w:r w:rsidR="00CD06A0" w:rsidRPr="00323045">
              <w:rPr>
                <w:rFonts w:ascii="Times New Roman" w:hAnsi="Times New Roman"/>
                <w:color w:val="000000"/>
                <w:spacing w:val="-2"/>
              </w:rPr>
              <w:t>Przedmiotowy projekt rozporządzenia obejmuje bezwzględnym obowiązkiem ewidencjonowania usługi mycia, czyszczenia samochodów i po</w:t>
            </w:r>
            <w:r w:rsidR="00323045" w:rsidRPr="00323045">
              <w:rPr>
                <w:rFonts w:ascii="Times New Roman" w:hAnsi="Times New Roman"/>
                <w:color w:val="000000"/>
                <w:spacing w:val="-2"/>
              </w:rPr>
              <w:t xml:space="preserve">dobne usługi (PKWiU 45.20.30.0), w tym </w:t>
            </w:r>
            <w:r w:rsidR="00323045" w:rsidRPr="00323045">
              <w:rPr>
                <w:rFonts w:ascii="Times New Roman" w:hAnsi="Times New Roman"/>
                <w:spacing w:val="-2"/>
              </w:rPr>
              <w:t>przy użyciu urządzeń obsługiwanych przez klienta, które w systemie bezobsługowym przyjmują należność w bilonie lub banknotach, lub innej formie (bezgotówkowej)</w:t>
            </w:r>
            <w:r w:rsidR="00323045">
              <w:rPr>
                <w:rFonts w:ascii="Times New Roman" w:hAnsi="Times New Roman"/>
                <w:spacing w:val="-2"/>
              </w:rPr>
              <w:t>.</w:t>
            </w:r>
          </w:p>
          <w:p w14:paraId="0C1BD99A" w14:textId="6ED5E013" w:rsidR="00BD15EF" w:rsidRPr="00AB4835" w:rsidRDefault="00F95E49" w:rsidP="00323045">
            <w:pPr>
              <w:spacing w:after="120" w:line="240" w:lineRule="auto"/>
              <w:jc w:val="both"/>
              <w:rPr>
                <w:rFonts w:ascii="Times New Roman" w:hAnsi="Times New Roman"/>
                <w:color w:val="000000"/>
                <w:spacing w:val="-2"/>
              </w:rPr>
            </w:pPr>
            <w:r w:rsidRPr="00AB4835">
              <w:rPr>
                <w:rFonts w:ascii="Times New Roman" w:hAnsi="Times New Roman"/>
                <w:color w:val="000000"/>
                <w:spacing w:val="-2"/>
              </w:rPr>
              <w:t>Proponuj</w:t>
            </w:r>
            <w:r w:rsidR="00323045">
              <w:rPr>
                <w:rFonts w:ascii="Times New Roman" w:hAnsi="Times New Roman"/>
                <w:color w:val="000000"/>
                <w:spacing w:val="-2"/>
              </w:rPr>
              <w:t>e się, aby likwidacja powyższego</w:t>
            </w:r>
            <w:r w:rsidRPr="00AB4835">
              <w:rPr>
                <w:rFonts w:ascii="Times New Roman" w:hAnsi="Times New Roman"/>
                <w:color w:val="000000"/>
                <w:spacing w:val="-2"/>
              </w:rPr>
              <w:t xml:space="preserve"> zwolnie</w:t>
            </w:r>
            <w:r w:rsidR="00323045">
              <w:rPr>
                <w:rFonts w:ascii="Times New Roman" w:hAnsi="Times New Roman"/>
                <w:color w:val="000000"/>
                <w:spacing w:val="-2"/>
              </w:rPr>
              <w:t>nia</w:t>
            </w:r>
            <w:r w:rsidRPr="00AB4835">
              <w:rPr>
                <w:rFonts w:ascii="Times New Roman" w:hAnsi="Times New Roman"/>
                <w:color w:val="000000"/>
                <w:spacing w:val="-2"/>
              </w:rPr>
              <w:t xml:space="preserve"> z </w:t>
            </w:r>
            <w:r w:rsidR="00942B0D" w:rsidRPr="00AB4835">
              <w:rPr>
                <w:rFonts w:ascii="Times New Roman" w:hAnsi="Times New Roman"/>
                <w:color w:val="000000"/>
                <w:spacing w:val="-2"/>
              </w:rPr>
              <w:t xml:space="preserve">obowiązku </w:t>
            </w:r>
            <w:r w:rsidRPr="00AB4835">
              <w:rPr>
                <w:rFonts w:ascii="Times New Roman" w:hAnsi="Times New Roman"/>
                <w:color w:val="000000"/>
                <w:spacing w:val="-2"/>
              </w:rPr>
              <w:t>ewidencj</w:t>
            </w:r>
            <w:r w:rsidR="0032429D" w:rsidRPr="00AB4835">
              <w:rPr>
                <w:rFonts w:ascii="Times New Roman" w:hAnsi="Times New Roman"/>
                <w:color w:val="000000"/>
                <w:spacing w:val="-2"/>
              </w:rPr>
              <w:t xml:space="preserve">onowania </w:t>
            </w:r>
            <w:r w:rsidR="000306D7" w:rsidRPr="00AB4835">
              <w:rPr>
                <w:rFonts w:ascii="Times New Roman" w:hAnsi="Times New Roman"/>
                <w:color w:val="000000"/>
                <w:spacing w:val="-2"/>
              </w:rPr>
              <w:t xml:space="preserve">sprzedaży </w:t>
            </w:r>
            <w:r w:rsidRPr="00AB4835">
              <w:rPr>
                <w:rFonts w:ascii="Times New Roman" w:hAnsi="Times New Roman"/>
                <w:color w:val="000000"/>
                <w:spacing w:val="-2"/>
              </w:rPr>
              <w:t xml:space="preserve">przy zastosowaniu kas rejestrujących </w:t>
            </w:r>
            <w:r w:rsidR="006E09A2" w:rsidRPr="00AB4835">
              <w:rPr>
                <w:rFonts w:ascii="Times New Roman" w:hAnsi="Times New Roman"/>
                <w:color w:val="000000"/>
                <w:spacing w:val="-2"/>
              </w:rPr>
              <w:t xml:space="preserve">nastąpiła ze skutkiem od </w:t>
            </w:r>
            <w:r w:rsidR="00AE3492" w:rsidRPr="00AB4835">
              <w:rPr>
                <w:rFonts w:ascii="Times New Roman" w:hAnsi="Times New Roman"/>
                <w:color w:val="000000"/>
                <w:spacing w:val="-2"/>
              </w:rPr>
              <w:t>dnia</w:t>
            </w:r>
            <w:r w:rsidR="006E09A2" w:rsidRPr="00AB4835">
              <w:rPr>
                <w:rFonts w:ascii="Times New Roman" w:hAnsi="Times New Roman"/>
                <w:color w:val="000000"/>
                <w:spacing w:val="-2"/>
              </w:rPr>
              <w:t xml:space="preserve"> </w:t>
            </w:r>
            <w:r w:rsidR="00AE3492" w:rsidRPr="00AB4835">
              <w:rPr>
                <w:rFonts w:ascii="Times New Roman" w:hAnsi="Times New Roman"/>
                <w:color w:val="000000"/>
                <w:spacing w:val="-2"/>
              </w:rPr>
              <w:t>1</w:t>
            </w:r>
            <w:r w:rsidRPr="00AB4835">
              <w:rPr>
                <w:rFonts w:ascii="Times New Roman" w:hAnsi="Times New Roman"/>
                <w:color w:val="000000"/>
                <w:spacing w:val="-2"/>
              </w:rPr>
              <w:t xml:space="preserve"> </w:t>
            </w:r>
            <w:r w:rsidR="000E13DA" w:rsidRPr="00AB4835">
              <w:rPr>
                <w:rFonts w:ascii="Times New Roman" w:hAnsi="Times New Roman"/>
                <w:color w:val="000000"/>
                <w:spacing w:val="-2"/>
              </w:rPr>
              <w:t>lipca</w:t>
            </w:r>
            <w:r w:rsidRPr="00AB4835">
              <w:rPr>
                <w:rFonts w:ascii="Times New Roman" w:hAnsi="Times New Roman"/>
                <w:color w:val="000000"/>
                <w:spacing w:val="-2"/>
              </w:rPr>
              <w:t xml:space="preserve"> 20</w:t>
            </w:r>
            <w:r w:rsidR="00AE3492" w:rsidRPr="00AB4835">
              <w:rPr>
                <w:rFonts w:ascii="Times New Roman" w:hAnsi="Times New Roman"/>
                <w:color w:val="000000"/>
                <w:spacing w:val="-2"/>
              </w:rPr>
              <w:t>22</w:t>
            </w:r>
            <w:r w:rsidRPr="00AB4835">
              <w:rPr>
                <w:rFonts w:ascii="Times New Roman" w:hAnsi="Times New Roman"/>
                <w:color w:val="000000"/>
                <w:spacing w:val="-2"/>
              </w:rPr>
              <w:t xml:space="preserve"> r. </w:t>
            </w:r>
          </w:p>
        </w:tc>
      </w:tr>
      <w:tr w:rsidR="006A701A" w:rsidRPr="008B4FE6" w14:paraId="165D1BF6" w14:textId="77777777" w:rsidTr="00AB4835">
        <w:trPr>
          <w:gridAfter w:val="1"/>
          <w:wAfter w:w="10" w:type="dxa"/>
          <w:trHeight w:val="307"/>
        </w:trPr>
        <w:tc>
          <w:tcPr>
            <w:tcW w:w="10937" w:type="dxa"/>
            <w:gridSpan w:val="29"/>
            <w:shd w:val="clear" w:color="auto" w:fill="auto"/>
            <w:vAlign w:val="center"/>
          </w:tcPr>
          <w:p w14:paraId="408A57F5"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08D6A7D1" w14:textId="77777777" w:rsidTr="00AB4835">
        <w:trPr>
          <w:gridAfter w:val="1"/>
          <w:wAfter w:w="10" w:type="dxa"/>
          <w:trHeight w:val="142"/>
        </w:trPr>
        <w:tc>
          <w:tcPr>
            <w:tcW w:w="10937" w:type="dxa"/>
            <w:gridSpan w:val="29"/>
            <w:shd w:val="clear" w:color="auto" w:fill="auto"/>
          </w:tcPr>
          <w:p w14:paraId="18156BD6" w14:textId="6DD195B5" w:rsidR="00891ACF" w:rsidRPr="00891ACF" w:rsidRDefault="00891ACF" w:rsidP="00CA64E6">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Brak danych dotyczących uregulowań kwestii wykorzystywania </w:t>
            </w:r>
            <w:r w:rsidR="00BF785D">
              <w:rPr>
                <w:rFonts w:ascii="Times New Roman" w:hAnsi="Times New Roman"/>
                <w:color w:val="000000"/>
                <w:spacing w:val="-2"/>
              </w:rPr>
              <w:t xml:space="preserve">kas rejestrujących </w:t>
            </w:r>
            <w:r>
              <w:rPr>
                <w:rFonts w:ascii="Times New Roman" w:hAnsi="Times New Roman"/>
                <w:color w:val="000000"/>
                <w:spacing w:val="-2"/>
              </w:rPr>
              <w:t xml:space="preserve">w innych krajach członkowskich Unii Europejskiej. </w:t>
            </w:r>
            <w:r w:rsidR="001D42B3">
              <w:rPr>
                <w:rFonts w:ascii="Times New Roman" w:hAnsi="Times New Roman"/>
                <w:color w:val="000000"/>
                <w:spacing w:val="-2"/>
              </w:rPr>
              <w:t xml:space="preserve">Kwestia zwolnień </w:t>
            </w:r>
            <w:r w:rsidR="00942B0D">
              <w:rPr>
                <w:rFonts w:ascii="Times New Roman" w:hAnsi="Times New Roman"/>
                <w:color w:val="000000"/>
                <w:spacing w:val="-2"/>
              </w:rPr>
              <w:t xml:space="preserve">z </w:t>
            </w:r>
            <w:r w:rsidR="001D42B3">
              <w:rPr>
                <w:rFonts w:ascii="Times New Roman" w:hAnsi="Times New Roman"/>
                <w:color w:val="000000"/>
                <w:spacing w:val="-2"/>
              </w:rPr>
              <w:t xml:space="preserve">obowiązku stosowania kas rejestrujących nie podlega harmonizacji w ramach UE. </w:t>
            </w:r>
          </w:p>
        </w:tc>
      </w:tr>
      <w:tr w:rsidR="006A701A" w:rsidRPr="008B4FE6" w14:paraId="0894AF99" w14:textId="77777777" w:rsidTr="00AB4835">
        <w:trPr>
          <w:gridAfter w:val="1"/>
          <w:wAfter w:w="10" w:type="dxa"/>
          <w:trHeight w:val="359"/>
        </w:trPr>
        <w:tc>
          <w:tcPr>
            <w:tcW w:w="10937" w:type="dxa"/>
            <w:gridSpan w:val="29"/>
            <w:shd w:val="clear" w:color="auto" w:fill="auto"/>
            <w:vAlign w:val="center"/>
          </w:tcPr>
          <w:p w14:paraId="2DF0C3CF"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77295A4E" w14:textId="77777777" w:rsidTr="00AB4835">
        <w:trPr>
          <w:gridAfter w:val="1"/>
          <w:wAfter w:w="10" w:type="dxa"/>
          <w:trHeight w:val="142"/>
        </w:trPr>
        <w:tc>
          <w:tcPr>
            <w:tcW w:w="2832" w:type="dxa"/>
            <w:gridSpan w:val="4"/>
            <w:tcBorders>
              <w:bottom w:val="single" w:sz="4" w:space="0" w:color="auto"/>
            </w:tcBorders>
            <w:shd w:val="clear" w:color="auto" w:fill="auto"/>
          </w:tcPr>
          <w:p w14:paraId="4B213A6D"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124" w:type="dxa"/>
            <w:gridSpan w:val="7"/>
            <w:tcBorders>
              <w:bottom w:val="single" w:sz="4" w:space="0" w:color="auto"/>
            </w:tcBorders>
            <w:shd w:val="clear" w:color="auto" w:fill="auto"/>
          </w:tcPr>
          <w:p w14:paraId="54CB4A21"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tcBorders>
              <w:bottom w:val="single" w:sz="4" w:space="0" w:color="auto"/>
            </w:tcBorders>
            <w:shd w:val="clear" w:color="auto" w:fill="auto"/>
          </w:tcPr>
          <w:p w14:paraId="15E7A85C"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5" w:type="dxa"/>
            <w:gridSpan w:val="6"/>
            <w:tcBorders>
              <w:bottom w:val="single" w:sz="4" w:space="0" w:color="auto"/>
            </w:tcBorders>
            <w:shd w:val="clear" w:color="auto" w:fill="auto"/>
          </w:tcPr>
          <w:p w14:paraId="73329920"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8576B3" w:rsidRPr="008B4FE6" w14:paraId="1D715DF9" w14:textId="57B47989" w:rsidTr="00AB4835">
        <w:trPr>
          <w:gridAfter w:val="1"/>
          <w:wAfter w:w="10" w:type="dxa"/>
          <w:trHeight w:val="841"/>
        </w:trPr>
        <w:tc>
          <w:tcPr>
            <w:tcW w:w="2832" w:type="dxa"/>
            <w:gridSpan w:val="4"/>
            <w:tcBorders>
              <w:bottom w:val="single" w:sz="4" w:space="0" w:color="auto"/>
            </w:tcBorders>
            <w:shd w:val="clear" w:color="auto" w:fill="auto"/>
          </w:tcPr>
          <w:p w14:paraId="5A0C1AEA" w14:textId="4842ED81" w:rsidR="008576B3" w:rsidRPr="008576B3" w:rsidRDefault="008576B3" w:rsidP="00021AEB">
            <w:pPr>
              <w:spacing w:line="240" w:lineRule="auto"/>
              <w:jc w:val="both"/>
              <w:rPr>
                <w:rFonts w:ascii="Times New Roman" w:hAnsi="Times New Roman"/>
                <w:color w:val="000000"/>
                <w:spacing w:val="-2"/>
              </w:rPr>
            </w:pPr>
            <w:r w:rsidRPr="008576B3">
              <w:rPr>
                <w:rFonts w:ascii="Times New Roman" w:hAnsi="Times New Roman"/>
              </w:rPr>
              <w:lastRenderedPageBreak/>
              <w:t xml:space="preserve">Podmioty dokonujące </w:t>
            </w:r>
            <w:r w:rsidR="00AE3492">
              <w:rPr>
                <w:rFonts w:ascii="Times New Roman" w:hAnsi="Times New Roman"/>
              </w:rPr>
              <w:t xml:space="preserve">dostawy oraz </w:t>
            </w:r>
            <w:r w:rsidRPr="008576B3">
              <w:rPr>
                <w:rFonts w:ascii="Times New Roman" w:hAnsi="Times New Roman"/>
              </w:rPr>
              <w:t>świadczenia usług na rzecz osób fizycznych nieprowadzących działalności gospodarczej oraz rolników ryczałtowych</w:t>
            </w:r>
          </w:p>
        </w:tc>
        <w:tc>
          <w:tcPr>
            <w:tcW w:w="2124" w:type="dxa"/>
            <w:gridSpan w:val="7"/>
            <w:tcBorders>
              <w:bottom w:val="single" w:sz="4" w:space="0" w:color="auto"/>
            </w:tcBorders>
            <w:shd w:val="clear" w:color="auto" w:fill="auto"/>
          </w:tcPr>
          <w:p w14:paraId="7EEDB156" w14:textId="101FE1F2" w:rsidR="008576B3" w:rsidRPr="00362BA1" w:rsidRDefault="008C46C7" w:rsidP="008C46C7">
            <w:pPr>
              <w:spacing w:line="240" w:lineRule="auto"/>
              <w:rPr>
                <w:rFonts w:ascii="Times New Roman" w:hAnsi="Times New Roman"/>
                <w:spacing w:val="-2"/>
              </w:rPr>
            </w:pPr>
            <w:r>
              <w:rPr>
                <w:rFonts w:ascii="Times New Roman" w:hAnsi="Times New Roman"/>
                <w:spacing w:val="-2"/>
              </w:rPr>
              <w:t>Ponad</w:t>
            </w:r>
            <w:r w:rsidR="0088142D" w:rsidRPr="00CA64E6">
              <w:rPr>
                <w:rFonts w:ascii="Times New Roman" w:hAnsi="Times New Roman"/>
                <w:spacing w:val="-2"/>
              </w:rPr>
              <w:t xml:space="preserve"> 5</w:t>
            </w:r>
            <w:r w:rsidR="0088142D" w:rsidRPr="00AE3114">
              <w:rPr>
                <w:rFonts w:ascii="Times New Roman" w:hAnsi="Times New Roman"/>
                <w:spacing w:val="-2"/>
              </w:rPr>
              <w:t xml:space="preserve"> tys. </w:t>
            </w:r>
            <w:r w:rsidR="0088142D" w:rsidRPr="00CA64E6">
              <w:rPr>
                <w:rFonts w:ascii="Times New Roman" w:hAnsi="Times New Roman"/>
                <w:spacing w:val="-2"/>
              </w:rPr>
              <w:t xml:space="preserve">podmiotów objętych obowiązkiem ewidencjonowania, tj. </w:t>
            </w:r>
            <w:r w:rsidR="00CD06A0">
              <w:rPr>
                <w:rFonts w:ascii="Times New Roman" w:hAnsi="Times New Roman"/>
                <w:spacing w:val="-2"/>
              </w:rPr>
              <w:t xml:space="preserve">świadczących usługi w zakresie </w:t>
            </w:r>
            <w:r w:rsidR="0088142D" w:rsidRPr="00CA64E6">
              <w:rPr>
                <w:rFonts w:ascii="Times New Roman" w:hAnsi="Times New Roman"/>
                <w:spacing w:val="-2"/>
              </w:rPr>
              <w:t xml:space="preserve">mycia, czyszczenia samochodów i podobnych usług </w:t>
            </w:r>
          </w:p>
        </w:tc>
        <w:tc>
          <w:tcPr>
            <w:tcW w:w="2996" w:type="dxa"/>
            <w:gridSpan w:val="12"/>
            <w:tcBorders>
              <w:bottom w:val="single" w:sz="4" w:space="0" w:color="auto"/>
            </w:tcBorders>
            <w:shd w:val="clear" w:color="auto" w:fill="auto"/>
          </w:tcPr>
          <w:p w14:paraId="24814B1B" w14:textId="49D3D0D4" w:rsidR="008576B3" w:rsidRPr="00362BA1" w:rsidRDefault="0088142D" w:rsidP="00903F29">
            <w:pPr>
              <w:spacing w:line="240" w:lineRule="auto"/>
              <w:jc w:val="both"/>
              <w:rPr>
                <w:rFonts w:ascii="Times New Roman" w:hAnsi="Times New Roman"/>
                <w:spacing w:val="-2"/>
              </w:rPr>
            </w:pPr>
            <w:r>
              <w:rPr>
                <w:rFonts w:ascii="Times New Roman" w:hAnsi="Times New Roman"/>
                <w:spacing w:val="-2"/>
              </w:rPr>
              <w:t>Hurtownia danych SPR i CEKR</w:t>
            </w:r>
          </w:p>
        </w:tc>
        <w:tc>
          <w:tcPr>
            <w:tcW w:w="2985" w:type="dxa"/>
            <w:gridSpan w:val="6"/>
            <w:tcBorders>
              <w:bottom w:val="single" w:sz="4" w:space="0" w:color="auto"/>
            </w:tcBorders>
            <w:shd w:val="clear" w:color="auto" w:fill="auto"/>
          </w:tcPr>
          <w:p w14:paraId="41A76A8A" w14:textId="080E40E2" w:rsidR="008576B3" w:rsidRPr="004B0C48" w:rsidRDefault="008576B3" w:rsidP="007E145D">
            <w:pPr>
              <w:spacing w:line="240" w:lineRule="auto"/>
              <w:jc w:val="both"/>
              <w:rPr>
                <w:rFonts w:ascii="Times New Roman" w:hAnsi="Times New Roman"/>
              </w:rPr>
            </w:pPr>
            <w:r w:rsidRPr="008576B3">
              <w:rPr>
                <w:rFonts w:ascii="Times New Roman" w:hAnsi="Times New Roman"/>
              </w:rPr>
              <w:t xml:space="preserve">Obowiązek prowadzenia ewidencji </w:t>
            </w:r>
            <w:r w:rsidR="00AE3492">
              <w:rPr>
                <w:rFonts w:ascii="Times New Roman" w:hAnsi="Times New Roman"/>
              </w:rPr>
              <w:t xml:space="preserve">sprzedaży </w:t>
            </w:r>
            <w:r w:rsidRPr="008576B3">
              <w:rPr>
                <w:rFonts w:ascii="Times New Roman" w:hAnsi="Times New Roman"/>
              </w:rPr>
              <w:t>przy zastosowaniu kas rejestrujących.</w:t>
            </w:r>
          </w:p>
        </w:tc>
      </w:tr>
      <w:tr w:rsidR="006A701A" w:rsidRPr="008B4FE6" w14:paraId="1E69DC9D" w14:textId="77777777" w:rsidTr="00AB4835">
        <w:trPr>
          <w:gridAfter w:val="1"/>
          <w:wAfter w:w="10" w:type="dxa"/>
          <w:trHeight w:val="302"/>
        </w:trPr>
        <w:tc>
          <w:tcPr>
            <w:tcW w:w="10937" w:type="dxa"/>
            <w:gridSpan w:val="29"/>
            <w:shd w:val="clear" w:color="auto" w:fill="auto"/>
            <w:vAlign w:val="center"/>
          </w:tcPr>
          <w:p w14:paraId="212EE091"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534EE40D" w14:textId="77777777" w:rsidTr="00AB4835">
        <w:trPr>
          <w:gridAfter w:val="1"/>
          <w:wAfter w:w="10" w:type="dxa"/>
          <w:trHeight w:val="342"/>
        </w:trPr>
        <w:tc>
          <w:tcPr>
            <w:tcW w:w="10937" w:type="dxa"/>
            <w:gridSpan w:val="29"/>
            <w:shd w:val="clear" w:color="auto" w:fill="auto"/>
          </w:tcPr>
          <w:p w14:paraId="76ADD886" w14:textId="1168AFCA" w:rsidR="00147AA7" w:rsidRPr="00B0072D" w:rsidRDefault="00CB25AC" w:rsidP="006407B1">
            <w:pPr>
              <w:tabs>
                <w:tab w:val="left" w:pos="0"/>
                <w:tab w:val="left" w:pos="360"/>
              </w:tabs>
              <w:spacing w:line="240" w:lineRule="auto"/>
              <w:jc w:val="both"/>
              <w:rPr>
                <w:rFonts w:ascii="Times New Roman" w:hAnsi="Times New Roman"/>
              </w:rPr>
            </w:pPr>
            <w:r w:rsidRPr="00B0072D">
              <w:rPr>
                <w:rFonts w:ascii="Times New Roman" w:hAnsi="Times New Roman"/>
                <w:color w:val="000000"/>
                <w:spacing w:val="-2"/>
              </w:rPr>
              <w:t xml:space="preserve">Projekt rozporządzenia </w:t>
            </w:r>
            <w:r w:rsidR="003A59B8" w:rsidRPr="00B0072D">
              <w:rPr>
                <w:rFonts w:ascii="Times New Roman" w:hAnsi="Times New Roman"/>
                <w:color w:val="000000"/>
                <w:spacing w:val="-2"/>
              </w:rPr>
              <w:t>zosta</w:t>
            </w:r>
            <w:r w:rsidR="003A59B8">
              <w:rPr>
                <w:rFonts w:ascii="Times New Roman" w:hAnsi="Times New Roman"/>
                <w:color w:val="000000"/>
                <w:spacing w:val="-2"/>
              </w:rPr>
              <w:t>ł</w:t>
            </w:r>
            <w:r w:rsidR="003A59B8" w:rsidRPr="00B0072D">
              <w:rPr>
                <w:rFonts w:ascii="Times New Roman" w:hAnsi="Times New Roman"/>
                <w:color w:val="000000"/>
                <w:spacing w:val="-2"/>
              </w:rPr>
              <w:t xml:space="preserve"> </w:t>
            </w:r>
            <w:r w:rsidRPr="00B0072D">
              <w:rPr>
                <w:rFonts w:ascii="Times New Roman" w:hAnsi="Times New Roman"/>
                <w:color w:val="000000"/>
                <w:spacing w:val="-2"/>
              </w:rPr>
              <w:t xml:space="preserve">przekazany do konsultacji publicznych równolegle z uzgodnieniami zewnętrznymi do następujących podmiotów i organizacji: </w:t>
            </w:r>
            <w:r w:rsidRPr="00B0072D">
              <w:rPr>
                <w:rFonts w:ascii="Times New Roman" w:eastAsia="Times New Roman" w:hAnsi="Times New Roman"/>
                <w:lang w:eastAsia="pl-PL"/>
              </w:rPr>
              <w:t>Business Centre Club, Stowarzyszenie Księgowych w Polsce, Naczelna Izba Adwokacka, Fundacja Rozwoju Rachunkowości w Polsce, Polska Izba Biegłych Rewidentów, Naczelna Rada Zrzeszeń Handlu i Usług, Krajowa Izba Doradców Podatkowych, Krajowa Izba Gospodarcza, Pracodawcy Rzeczypospolitej Polskiej,  Konfederacja  LEWIATAN, Krajowa Rada Radców Prawnych, Polska Rada Biznesu, Polska Izba Handlu, Związek Rzemiosła Polskiego, Rada Krajowa Federacji Konsumentów, Zrzeszenie Prawników Polskich, Krajowa Izba Gospodarcza Elektroniki i Telekomunikacji, Naczelna Izba Lekarska, Krajowa Rada Notarialna, Naczelna Izba Aptekarska, Polska Organizacja Handlu i Dystrybucji, Związek Przedsiębiorców i Pracodawców, Polski Związek Niewidomych, Federacja Przedsiębiorców Polskich, Organizacja Pracodawców Branży Fiskalnej, Polskie Stowarzyszenie Vendingu, Krajowa Rada Komornicza</w:t>
            </w:r>
            <w:r w:rsidR="00147AA7" w:rsidRPr="00B0072D">
              <w:rPr>
                <w:rFonts w:ascii="Times New Roman" w:eastAsia="Times New Roman" w:hAnsi="Times New Roman"/>
                <w:lang w:eastAsia="pl-PL"/>
              </w:rPr>
              <w:t xml:space="preserve">, </w:t>
            </w:r>
            <w:r w:rsidR="00147AA7" w:rsidRPr="00B0072D">
              <w:rPr>
                <w:rFonts w:ascii="Times New Roman" w:hAnsi="Times New Roman"/>
              </w:rPr>
              <w:t>BKF Myjnie Sp. z o.o., Hydropress Spółka Europejska</w:t>
            </w:r>
            <w:r w:rsidR="00B0072D">
              <w:rPr>
                <w:rFonts w:ascii="Times New Roman" w:hAnsi="Times New Roman"/>
              </w:rPr>
              <w:t>,</w:t>
            </w:r>
            <w:r w:rsidR="00147AA7" w:rsidRPr="00B0072D">
              <w:rPr>
                <w:rFonts w:ascii="Times New Roman" w:hAnsi="Times New Roman"/>
              </w:rPr>
              <w:t xml:space="preserve"> Eurowash Sp. z o.o. EHRLE Sp. z o.o.</w:t>
            </w:r>
            <w:r w:rsidR="00B0072D" w:rsidRPr="00B0072D">
              <w:rPr>
                <w:rFonts w:ascii="Times New Roman" w:hAnsi="Times New Roman"/>
              </w:rPr>
              <w:t>, Televend Paweł Ożga</w:t>
            </w:r>
            <w:r w:rsidR="00B0072D">
              <w:rPr>
                <w:rFonts w:ascii="Times New Roman" w:hAnsi="Times New Roman"/>
              </w:rPr>
              <w:t>.</w:t>
            </w:r>
          </w:p>
          <w:tbl>
            <w:tblPr>
              <w:tblW w:w="0" w:type="auto"/>
              <w:tblLayout w:type="fixed"/>
              <w:tblCellMar>
                <w:left w:w="0" w:type="dxa"/>
                <w:right w:w="0" w:type="dxa"/>
              </w:tblCellMar>
              <w:tblLook w:val="04A0" w:firstRow="1" w:lastRow="0" w:firstColumn="1" w:lastColumn="0" w:noHBand="0" w:noVBand="1"/>
            </w:tblPr>
            <w:tblGrid>
              <w:gridCol w:w="6738"/>
            </w:tblGrid>
            <w:tr w:rsidR="00147AA7" w:rsidRPr="00B0072D" w14:paraId="0BF6C4E3" w14:textId="77777777" w:rsidTr="00147AA7">
              <w:tc>
                <w:tcPr>
                  <w:tcW w:w="6738" w:type="dxa"/>
                  <w:vAlign w:val="center"/>
                  <w:hideMark/>
                </w:tcPr>
                <w:p w14:paraId="06587E6D" w14:textId="35059C19" w:rsidR="00147AA7" w:rsidRPr="00B0072D" w:rsidRDefault="00147AA7" w:rsidP="00147AA7">
                  <w:pPr>
                    <w:spacing w:before="100" w:beforeAutospacing="1" w:line="280" w:lineRule="atLeast"/>
                    <w:rPr>
                      <w:rFonts w:ascii="Times New Roman" w:hAnsi="Times New Roman"/>
                      <w:sz w:val="24"/>
                      <w:szCs w:val="24"/>
                      <w:lang w:eastAsia="pl-PL"/>
                    </w:rPr>
                  </w:pPr>
                </w:p>
              </w:tc>
            </w:tr>
          </w:tbl>
          <w:p w14:paraId="0649ABC2" w14:textId="34CA6F06" w:rsidR="006A701A" w:rsidRPr="00B37C80" w:rsidRDefault="00CB25AC" w:rsidP="003A59B8">
            <w:pPr>
              <w:tabs>
                <w:tab w:val="left" w:pos="0"/>
                <w:tab w:val="left" w:pos="360"/>
              </w:tabs>
              <w:spacing w:line="240" w:lineRule="auto"/>
              <w:jc w:val="both"/>
              <w:rPr>
                <w:rFonts w:ascii="Times New Roman" w:hAnsi="Times New Roman"/>
                <w:color w:val="000000"/>
                <w:spacing w:val="-2"/>
              </w:rPr>
            </w:pPr>
            <w:r w:rsidRPr="00B0072D">
              <w:rPr>
                <w:rFonts w:ascii="Times New Roman" w:eastAsia="Times New Roman" w:hAnsi="Times New Roman"/>
                <w:lang w:eastAsia="pl-PL"/>
              </w:rPr>
              <w:t xml:space="preserve">Projekt rozporządzenia </w:t>
            </w:r>
            <w:r w:rsidR="003A59B8" w:rsidRPr="00B0072D">
              <w:rPr>
                <w:rFonts w:ascii="Times New Roman" w:eastAsia="Times New Roman" w:hAnsi="Times New Roman"/>
                <w:lang w:eastAsia="pl-PL"/>
              </w:rPr>
              <w:t>zosta</w:t>
            </w:r>
            <w:r w:rsidR="003A59B8">
              <w:rPr>
                <w:rFonts w:ascii="Times New Roman" w:eastAsia="Times New Roman" w:hAnsi="Times New Roman"/>
                <w:lang w:eastAsia="pl-PL"/>
              </w:rPr>
              <w:t>ł</w:t>
            </w:r>
            <w:r w:rsidR="003A59B8" w:rsidRPr="00B0072D">
              <w:rPr>
                <w:rFonts w:ascii="Times New Roman" w:eastAsia="Times New Roman" w:hAnsi="Times New Roman"/>
                <w:lang w:eastAsia="pl-PL"/>
              </w:rPr>
              <w:t xml:space="preserve"> </w:t>
            </w:r>
            <w:r w:rsidRPr="00B0072D">
              <w:rPr>
                <w:rFonts w:ascii="Times New Roman" w:eastAsia="Times New Roman" w:hAnsi="Times New Roman"/>
                <w:lang w:eastAsia="pl-PL"/>
              </w:rPr>
              <w:t>również przekazany do zaopiniowania do Komisji Wspólnej Rządu i Samorządu Terytorialnego oraz do Rady Dialogu Społecznego.</w:t>
            </w:r>
            <w:r w:rsidR="00784F4F">
              <w:rPr>
                <w:rFonts w:ascii="Times New Roman" w:eastAsia="Times New Roman" w:hAnsi="Times New Roman"/>
                <w:lang w:eastAsia="pl-PL"/>
              </w:rPr>
              <w:t xml:space="preserve"> </w:t>
            </w:r>
          </w:p>
        </w:tc>
      </w:tr>
      <w:tr w:rsidR="006A701A" w:rsidRPr="008B4FE6" w14:paraId="688D7DC3" w14:textId="77777777" w:rsidTr="00AB4835">
        <w:trPr>
          <w:gridAfter w:val="1"/>
          <w:wAfter w:w="10" w:type="dxa"/>
          <w:trHeight w:val="363"/>
        </w:trPr>
        <w:tc>
          <w:tcPr>
            <w:tcW w:w="10937" w:type="dxa"/>
            <w:gridSpan w:val="29"/>
            <w:shd w:val="clear" w:color="auto" w:fill="auto"/>
            <w:vAlign w:val="center"/>
          </w:tcPr>
          <w:p w14:paraId="148FB7DE"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14:paraId="1A95F805" w14:textId="77777777" w:rsidTr="00AB4835">
        <w:trPr>
          <w:gridAfter w:val="1"/>
          <w:wAfter w:w="10" w:type="dxa"/>
          <w:trHeight w:val="142"/>
        </w:trPr>
        <w:tc>
          <w:tcPr>
            <w:tcW w:w="2298" w:type="dxa"/>
            <w:gridSpan w:val="3"/>
            <w:vMerge w:val="restart"/>
            <w:shd w:val="clear" w:color="auto" w:fill="auto"/>
          </w:tcPr>
          <w:p w14:paraId="171E91EF" w14:textId="45545BEA" w:rsidR="00260F33" w:rsidRPr="00C53F26" w:rsidRDefault="0088142D" w:rsidP="00821717">
            <w:pPr>
              <w:spacing w:before="40" w:after="40"/>
              <w:rPr>
                <w:rFonts w:ascii="Times New Roman" w:hAnsi="Times New Roman"/>
                <w:i/>
                <w:color w:val="000000"/>
                <w:sz w:val="21"/>
                <w:szCs w:val="21"/>
              </w:rPr>
            </w:pPr>
            <w:r>
              <w:rPr>
                <w:rFonts w:ascii="Times New Roman" w:hAnsi="Times New Roman"/>
                <w:i/>
                <w:color w:val="000000"/>
                <w:sz w:val="21"/>
                <w:szCs w:val="21"/>
              </w:rPr>
              <w:t>Ceny stałe z 2019 r.</w:t>
            </w:r>
          </w:p>
        </w:tc>
        <w:tc>
          <w:tcPr>
            <w:tcW w:w="8639" w:type="dxa"/>
            <w:gridSpan w:val="26"/>
            <w:shd w:val="clear" w:color="auto" w:fill="auto"/>
          </w:tcPr>
          <w:p w14:paraId="0AD14D7A"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95401A" w:rsidRPr="00362BA1" w14:paraId="4B35061E" w14:textId="77777777" w:rsidTr="00AB4835">
        <w:trPr>
          <w:gridAfter w:val="1"/>
          <w:wAfter w:w="10" w:type="dxa"/>
          <w:trHeight w:val="142"/>
        </w:trPr>
        <w:tc>
          <w:tcPr>
            <w:tcW w:w="2298" w:type="dxa"/>
            <w:gridSpan w:val="3"/>
            <w:vMerge/>
            <w:shd w:val="clear" w:color="auto" w:fill="auto"/>
          </w:tcPr>
          <w:p w14:paraId="0658A239" w14:textId="77777777" w:rsidR="00554A2D" w:rsidRPr="00C53F26" w:rsidRDefault="00554A2D" w:rsidP="00A52ADB">
            <w:pPr>
              <w:spacing w:before="40" w:after="40" w:line="240" w:lineRule="auto"/>
              <w:rPr>
                <w:rFonts w:ascii="Times New Roman" w:hAnsi="Times New Roman"/>
                <w:i/>
                <w:color w:val="000000"/>
                <w:sz w:val="21"/>
                <w:szCs w:val="21"/>
              </w:rPr>
            </w:pPr>
          </w:p>
        </w:tc>
        <w:tc>
          <w:tcPr>
            <w:tcW w:w="567" w:type="dxa"/>
            <w:gridSpan w:val="2"/>
            <w:shd w:val="clear" w:color="auto" w:fill="auto"/>
            <w:vAlign w:val="center"/>
          </w:tcPr>
          <w:p w14:paraId="11542659" w14:textId="373C7D38"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w:t>
            </w:r>
            <w:r w:rsidR="0088142D">
              <w:rPr>
                <w:rFonts w:ascii="Times New Roman" w:hAnsi="Times New Roman"/>
                <w:b/>
                <w:sz w:val="16"/>
                <w:szCs w:val="16"/>
              </w:rPr>
              <w:t>21</w:t>
            </w:r>
          </w:p>
        </w:tc>
        <w:tc>
          <w:tcPr>
            <w:tcW w:w="708" w:type="dxa"/>
            <w:gridSpan w:val="2"/>
            <w:shd w:val="clear" w:color="auto" w:fill="auto"/>
            <w:vAlign w:val="center"/>
          </w:tcPr>
          <w:p w14:paraId="644FDC4D" w14:textId="269CA889"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w:t>
            </w:r>
            <w:r w:rsidR="00B207B7">
              <w:rPr>
                <w:rFonts w:ascii="Times New Roman" w:hAnsi="Times New Roman"/>
                <w:b/>
                <w:sz w:val="16"/>
                <w:szCs w:val="16"/>
              </w:rPr>
              <w:t>02</w:t>
            </w:r>
            <w:r w:rsidR="0088142D">
              <w:rPr>
                <w:rFonts w:ascii="Times New Roman" w:hAnsi="Times New Roman"/>
                <w:b/>
                <w:sz w:val="16"/>
                <w:szCs w:val="16"/>
              </w:rPr>
              <w:t>2</w:t>
            </w:r>
          </w:p>
        </w:tc>
        <w:tc>
          <w:tcPr>
            <w:tcW w:w="709" w:type="dxa"/>
            <w:gridSpan w:val="3"/>
            <w:shd w:val="clear" w:color="auto" w:fill="auto"/>
            <w:vAlign w:val="center"/>
          </w:tcPr>
          <w:p w14:paraId="66C36A1C" w14:textId="62FA456B"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202</w:t>
            </w:r>
            <w:r w:rsidR="0088142D">
              <w:rPr>
                <w:rFonts w:ascii="Times New Roman" w:hAnsi="Times New Roman"/>
                <w:b/>
                <w:sz w:val="16"/>
                <w:szCs w:val="16"/>
              </w:rPr>
              <w:t>3</w:t>
            </w:r>
          </w:p>
        </w:tc>
        <w:tc>
          <w:tcPr>
            <w:tcW w:w="709" w:type="dxa"/>
            <w:gridSpan w:val="2"/>
            <w:shd w:val="clear" w:color="auto" w:fill="auto"/>
            <w:vAlign w:val="center"/>
          </w:tcPr>
          <w:p w14:paraId="71CAA2D7" w14:textId="3645F5CF"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202</w:t>
            </w:r>
            <w:r w:rsidR="0088142D">
              <w:rPr>
                <w:rFonts w:ascii="Times New Roman" w:hAnsi="Times New Roman"/>
                <w:b/>
                <w:sz w:val="16"/>
                <w:szCs w:val="16"/>
              </w:rPr>
              <w:t>4</w:t>
            </w:r>
          </w:p>
        </w:tc>
        <w:tc>
          <w:tcPr>
            <w:tcW w:w="709" w:type="dxa"/>
            <w:gridSpan w:val="2"/>
            <w:shd w:val="clear" w:color="auto" w:fill="auto"/>
            <w:vAlign w:val="center"/>
          </w:tcPr>
          <w:p w14:paraId="05D5F6D0" w14:textId="34F3DB2B"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202</w:t>
            </w:r>
            <w:r w:rsidR="0088142D">
              <w:rPr>
                <w:rFonts w:ascii="Times New Roman" w:hAnsi="Times New Roman"/>
                <w:b/>
                <w:sz w:val="16"/>
                <w:szCs w:val="16"/>
              </w:rPr>
              <w:t>5</w:t>
            </w:r>
          </w:p>
        </w:tc>
        <w:tc>
          <w:tcPr>
            <w:tcW w:w="708" w:type="dxa"/>
            <w:gridSpan w:val="2"/>
            <w:shd w:val="clear" w:color="auto" w:fill="auto"/>
            <w:vAlign w:val="center"/>
          </w:tcPr>
          <w:p w14:paraId="7C6A41D5" w14:textId="0A2BD9B7" w:rsidR="00554A2D" w:rsidRPr="00362BA1" w:rsidRDefault="00554A2D">
            <w:pPr>
              <w:spacing w:line="240" w:lineRule="auto"/>
              <w:jc w:val="center"/>
              <w:rPr>
                <w:rFonts w:ascii="Times New Roman" w:hAnsi="Times New Roman"/>
                <w:b/>
                <w:sz w:val="16"/>
                <w:szCs w:val="16"/>
              </w:rPr>
            </w:pPr>
            <w:r w:rsidRPr="00362BA1">
              <w:rPr>
                <w:rFonts w:ascii="Times New Roman" w:hAnsi="Times New Roman"/>
                <w:b/>
                <w:sz w:val="16"/>
                <w:szCs w:val="16"/>
              </w:rPr>
              <w:t>202</w:t>
            </w:r>
            <w:r w:rsidR="0088142D">
              <w:rPr>
                <w:rFonts w:ascii="Times New Roman" w:hAnsi="Times New Roman"/>
                <w:b/>
                <w:sz w:val="16"/>
                <w:szCs w:val="16"/>
              </w:rPr>
              <w:t>6</w:t>
            </w:r>
          </w:p>
        </w:tc>
        <w:tc>
          <w:tcPr>
            <w:tcW w:w="709" w:type="dxa"/>
            <w:gridSpan w:val="3"/>
            <w:shd w:val="clear" w:color="auto" w:fill="auto"/>
            <w:vAlign w:val="center"/>
          </w:tcPr>
          <w:p w14:paraId="136C7208" w14:textId="4F4BF3D5"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202</w:t>
            </w:r>
            <w:r w:rsidR="0088142D">
              <w:rPr>
                <w:rFonts w:ascii="Times New Roman" w:hAnsi="Times New Roman"/>
                <w:b/>
                <w:sz w:val="16"/>
                <w:szCs w:val="16"/>
              </w:rPr>
              <w:t>7</w:t>
            </w:r>
          </w:p>
        </w:tc>
        <w:tc>
          <w:tcPr>
            <w:tcW w:w="709" w:type="dxa"/>
            <w:gridSpan w:val="3"/>
            <w:shd w:val="clear" w:color="auto" w:fill="auto"/>
            <w:vAlign w:val="center"/>
          </w:tcPr>
          <w:p w14:paraId="425F54E1" w14:textId="2FD60E9E"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202</w:t>
            </w:r>
            <w:r w:rsidR="0088142D">
              <w:rPr>
                <w:rFonts w:ascii="Times New Roman" w:hAnsi="Times New Roman"/>
                <w:b/>
                <w:sz w:val="16"/>
                <w:szCs w:val="16"/>
              </w:rPr>
              <w:t>8</w:t>
            </w:r>
          </w:p>
        </w:tc>
        <w:tc>
          <w:tcPr>
            <w:tcW w:w="709" w:type="dxa"/>
            <w:gridSpan w:val="2"/>
            <w:shd w:val="clear" w:color="auto" w:fill="auto"/>
            <w:vAlign w:val="center"/>
          </w:tcPr>
          <w:p w14:paraId="5E480983" w14:textId="41FB8DE1"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202</w:t>
            </w:r>
            <w:r w:rsidR="0088142D">
              <w:rPr>
                <w:rFonts w:ascii="Times New Roman" w:hAnsi="Times New Roman"/>
                <w:b/>
                <w:sz w:val="16"/>
                <w:szCs w:val="16"/>
              </w:rPr>
              <w:t>9</w:t>
            </w:r>
          </w:p>
        </w:tc>
        <w:tc>
          <w:tcPr>
            <w:tcW w:w="708" w:type="dxa"/>
            <w:gridSpan w:val="2"/>
            <w:shd w:val="clear" w:color="auto" w:fill="auto"/>
            <w:vAlign w:val="center"/>
          </w:tcPr>
          <w:p w14:paraId="0CA1D543" w14:textId="1A993F2F"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w:t>
            </w:r>
            <w:r w:rsidR="0088142D">
              <w:rPr>
                <w:rFonts w:ascii="Times New Roman" w:hAnsi="Times New Roman"/>
                <w:b/>
                <w:sz w:val="16"/>
                <w:szCs w:val="16"/>
              </w:rPr>
              <w:t>30</w:t>
            </w:r>
          </w:p>
        </w:tc>
        <w:tc>
          <w:tcPr>
            <w:tcW w:w="709" w:type="dxa"/>
            <w:gridSpan w:val="2"/>
            <w:shd w:val="clear" w:color="auto" w:fill="auto"/>
            <w:vAlign w:val="center"/>
          </w:tcPr>
          <w:p w14:paraId="377F29AE" w14:textId="6A56C1DA" w:rsidR="00554A2D" w:rsidRPr="00362BA1" w:rsidRDefault="00554A2D" w:rsidP="00B207B7">
            <w:pPr>
              <w:spacing w:line="240" w:lineRule="auto"/>
              <w:jc w:val="center"/>
              <w:rPr>
                <w:rFonts w:ascii="Times New Roman" w:hAnsi="Times New Roman"/>
                <w:b/>
                <w:sz w:val="16"/>
                <w:szCs w:val="16"/>
              </w:rPr>
            </w:pPr>
            <w:r w:rsidRPr="00362BA1">
              <w:rPr>
                <w:rFonts w:ascii="Times New Roman" w:hAnsi="Times New Roman"/>
                <w:b/>
                <w:sz w:val="16"/>
                <w:szCs w:val="16"/>
              </w:rPr>
              <w:t>20</w:t>
            </w:r>
            <w:r w:rsidR="0088142D">
              <w:rPr>
                <w:rFonts w:ascii="Times New Roman" w:hAnsi="Times New Roman"/>
                <w:b/>
                <w:sz w:val="16"/>
                <w:szCs w:val="16"/>
              </w:rPr>
              <w:t>31</w:t>
            </w:r>
          </w:p>
        </w:tc>
        <w:tc>
          <w:tcPr>
            <w:tcW w:w="985" w:type="dxa"/>
            <w:shd w:val="clear" w:color="auto" w:fill="auto"/>
          </w:tcPr>
          <w:p w14:paraId="246ED6D9" w14:textId="44C51B3C" w:rsidR="00554A2D" w:rsidRPr="00362BA1" w:rsidRDefault="00554A2D">
            <w:pPr>
              <w:spacing w:before="40" w:after="40" w:line="240" w:lineRule="auto"/>
              <w:jc w:val="center"/>
              <w:rPr>
                <w:rFonts w:ascii="Times New Roman" w:hAnsi="Times New Roman"/>
                <w:i/>
                <w:spacing w:val="-2"/>
                <w:sz w:val="21"/>
                <w:szCs w:val="21"/>
              </w:rPr>
            </w:pPr>
            <w:r w:rsidRPr="00CA64E6">
              <w:rPr>
                <w:rFonts w:ascii="Times New Roman" w:hAnsi="Times New Roman"/>
                <w:i/>
                <w:spacing w:val="-2"/>
                <w:sz w:val="18"/>
                <w:szCs w:val="18"/>
              </w:rPr>
              <w:t xml:space="preserve">Łącznie </w:t>
            </w:r>
            <w:r w:rsidR="0095401A">
              <w:rPr>
                <w:rFonts w:ascii="Times New Roman" w:hAnsi="Times New Roman"/>
                <w:i/>
                <w:spacing w:val="-2"/>
                <w:sz w:val="18"/>
                <w:szCs w:val="18"/>
              </w:rPr>
              <w:t xml:space="preserve">          </w:t>
            </w:r>
            <w:r w:rsidRPr="00CA64E6">
              <w:rPr>
                <w:rFonts w:ascii="Times New Roman" w:hAnsi="Times New Roman"/>
                <w:i/>
                <w:spacing w:val="-2"/>
                <w:sz w:val="18"/>
                <w:szCs w:val="18"/>
              </w:rPr>
              <w:t>(20</w:t>
            </w:r>
            <w:r w:rsidR="0095401A" w:rsidRPr="00CA64E6">
              <w:rPr>
                <w:rFonts w:ascii="Times New Roman" w:hAnsi="Times New Roman"/>
                <w:i/>
                <w:spacing w:val="-2"/>
                <w:sz w:val="18"/>
                <w:szCs w:val="18"/>
              </w:rPr>
              <w:t>22</w:t>
            </w:r>
            <w:r w:rsidRPr="00CA64E6">
              <w:rPr>
                <w:rFonts w:ascii="Times New Roman" w:hAnsi="Times New Roman"/>
                <w:i/>
                <w:spacing w:val="-2"/>
                <w:sz w:val="18"/>
                <w:szCs w:val="18"/>
              </w:rPr>
              <w:t>-20</w:t>
            </w:r>
            <w:r w:rsidR="0095401A" w:rsidRPr="00CA64E6">
              <w:rPr>
                <w:rFonts w:ascii="Times New Roman" w:hAnsi="Times New Roman"/>
                <w:i/>
                <w:spacing w:val="-2"/>
                <w:sz w:val="18"/>
                <w:szCs w:val="18"/>
              </w:rPr>
              <w:t>31</w:t>
            </w:r>
            <w:r w:rsidRPr="00362BA1">
              <w:rPr>
                <w:rFonts w:ascii="Times New Roman" w:hAnsi="Times New Roman"/>
                <w:i/>
                <w:spacing w:val="-2"/>
                <w:sz w:val="21"/>
                <w:szCs w:val="21"/>
              </w:rPr>
              <w:t>)</w:t>
            </w:r>
          </w:p>
        </w:tc>
      </w:tr>
      <w:tr w:rsidR="00AA7867" w:rsidRPr="00B74D50" w14:paraId="5A5FFB66" w14:textId="77777777" w:rsidTr="00AA7867">
        <w:trPr>
          <w:trHeight w:val="321"/>
        </w:trPr>
        <w:tc>
          <w:tcPr>
            <w:tcW w:w="2298" w:type="dxa"/>
            <w:gridSpan w:val="3"/>
            <w:shd w:val="clear" w:color="auto" w:fill="auto"/>
            <w:vAlign w:val="center"/>
          </w:tcPr>
          <w:p w14:paraId="4C388B15" w14:textId="77777777" w:rsidR="00AA7867" w:rsidRPr="000600E4" w:rsidRDefault="00AA7867" w:rsidP="00AA7867">
            <w:pPr>
              <w:spacing w:line="240" w:lineRule="auto"/>
              <w:rPr>
                <w:rFonts w:ascii="Times New Roman" w:hAnsi="Times New Roman"/>
                <w:color w:val="000000"/>
                <w:sz w:val="21"/>
                <w:szCs w:val="21"/>
              </w:rPr>
            </w:pPr>
            <w:r w:rsidRPr="000600E4">
              <w:rPr>
                <w:rFonts w:ascii="Times New Roman" w:hAnsi="Times New Roman"/>
                <w:b/>
                <w:color w:val="000000"/>
                <w:sz w:val="21"/>
                <w:szCs w:val="21"/>
              </w:rPr>
              <w:t>Dochody ogółem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C8AD5" w14:textId="5951A991"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DA6DDEE" w14:textId="19C1D7AE"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6,7</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259CB10E" w14:textId="7A794CFB"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26,9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7412567" w14:textId="6A7B98D4"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944A68C" w14:textId="618B8281"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9B649AA" w14:textId="554B7838"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3134BB73" w14:textId="517C7360"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4F080990" w14:textId="26CBFE14"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263AA8A" w14:textId="5946A82F"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4921FB6" w14:textId="7F95A0BF"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34D77012" w14:textId="28C7A901"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0,0</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14:paraId="47F3430C" w14:textId="5C375D06" w:rsidR="00AA7867" w:rsidRPr="00AB4835" w:rsidRDefault="00AA7867" w:rsidP="00AA7867">
            <w:pPr>
              <w:spacing w:line="240" w:lineRule="auto"/>
              <w:jc w:val="center"/>
              <w:rPr>
                <w:rFonts w:ascii="Times New Roman" w:hAnsi="Times New Roman"/>
                <w:b/>
                <w:bCs/>
                <w:sz w:val="20"/>
                <w:szCs w:val="20"/>
              </w:rPr>
            </w:pPr>
            <w:r w:rsidRPr="00AB4835">
              <w:rPr>
                <w:rFonts w:ascii="Times New Roman" w:hAnsi="Times New Roman"/>
                <w:b/>
                <w:bCs/>
                <w:color w:val="000000"/>
                <w:sz w:val="20"/>
                <w:szCs w:val="20"/>
              </w:rPr>
              <w:t>33,6</w:t>
            </w:r>
          </w:p>
        </w:tc>
      </w:tr>
      <w:tr w:rsidR="00AA7867" w:rsidRPr="008B4FE6" w14:paraId="504BFBFF" w14:textId="77777777" w:rsidTr="00AB4835">
        <w:trPr>
          <w:trHeight w:val="321"/>
        </w:trPr>
        <w:tc>
          <w:tcPr>
            <w:tcW w:w="2298" w:type="dxa"/>
            <w:gridSpan w:val="3"/>
            <w:shd w:val="clear" w:color="auto" w:fill="auto"/>
            <w:vAlign w:val="center"/>
          </w:tcPr>
          <w:p w14:paraId="2F3C624E" w14:textId="1344093F" w:rsidR="00AA7867" w:rsidRPr="000600E4" w:rsidRDefault="00AA7867" w:rsidP="00AA7867">
            <w:pPr>
              <w:spacing w:line="240" w:lineRule="auto"/>
              <w:rPr>
                <w:rFonts w:ascii="Times New Roman" w:hAnsi="Times New Roman"/>
                <w:color w:val="000000"/>
                <w:sz w:val="21"/>
                <w:szCs w:val="21"/>
              </w:rPr>
            </w:pPr>
            <w:r w:rsidRPr="000600E4">
              <w:rPr>
                <w:rFonts w:ascii="Times New Roman" w:hAnsi="Times New Roman"/>
                <w:color w:val="000000"/>
                <w:sz w:val="21"/>
                <w:szCs w:val="21"/>
              </w:rPr>
              <w:t>budżet państwa</w:t>
            </w:r>
            <w:r>
              <w:rPr>
                <w:rFonts w:ascii="Times New Roman" w:hAnsi="Times New Roman"/>
                <w:color w:val="000000"/>
                <w:sz w:val="21"/>
                <w:szCs w:val="21"/>
              </w:rPr>
              <w:t xml:space="preserve"> (efekt netto)</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3A94138B" w14:textId="260BDB34"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DBE80BA" w14:textId="0318EB7C"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6,7</w:t>
            </w:r>
          </w:p>
        </w:tc>
        <w:tc>
          <w:tcPr>
            <w:tcW w:w="709" w:type="dxa"/>
            <w:gridSpan w:val="3"/>
            <w:tcBorders>
              <w:top w:val="nil"/>
              <w:left w:val="nil"/>
              <w:bottom w:val="single" w:sz="4" w:space="0" w:color="auto"/>
              <w:right w:val="single" w:sz="4" w:space="0" w:color="auto"/>
            </w:tcBorders>
            <w:shd w:val="clear" w:color="auto" w:fill="auto"/>
            <w:vAlign w:val="center"/>
          </w:tcPr>
          <w:p w14:paraId="705D597A" w14:textId="44C19FE5"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26,9</w:t>
            </w:r>
          </w:p>
        </w:tc>
        <w:tc>
          <w:tcPr>
            <w:tcW w:w="709" w:type="dxa"/>
            <w:gridSpan w:val="2"/>
            <w:tcBorders>
              <w:top w:val="nil"/>
              <w:left w:val="nil"/>
              <w:bottom w:val="single" w:sz="4" w:space="0" w:color="auto"/>
              <w:right w:val="single" w:sz="4" w:space="0" w:color="auto"/>
            </w:tcBorders>
            <w:shd w:val="clear" w:color="auto" w:fill="auto"/>
            <w:vAlign w:val="center"/>
          </w:tcPr>
          <w:p w14:paraId="483E8B77" w14:textId="0B79F4E4"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22792EAC" w14:textId="0978EAAF"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1E00392E" w14:textId="07BCB24C"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099E5223" w14:textId="38BAA46C"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19C1B394" w14:textId="72C7D3A5"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3712E459" w14:textId="21F23281"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ACEEAEB" w14:textId="7D1C6CF6"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1F17293E" w14:textId="2CEA157F"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5695EA57" w14:textId="6EEBFFD9"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33,6</w:t>
            </w:r>
          </w:p>
        </w:tc>
      </w:tr>
      <w:tr w:rsidR="00AA7867" w:rsidRPr="008B4FE6" w14:paraId="76340D5D" w14:textId="77777777" w:rsidTr="00AB4835">
        <w:trPr>
          <w:trHeight w:val="344"/>
        </w:trPr>
        <w:tc>
          <w:tcPr>
            <w:tcW w:w="2298" w:type="dxa"/>
            <w:gridSpan w:val="3"/>
            <w:shd w:val="clear" w:color="auto" w:fill="auto"/>
            <w:vAlign w:val="center"/>
          </w:tcPr>
          <w:p w14:paraId="0D84C85D" w14:textId="47CBBFFF" w:rsidR="00AA7867" w:rsidRPr="00554A2D" w:rsidRDefault="00AA7867" w:rsidP="00AA7867">
            <w:pPr>
              <w:spacing w:line="240" w:lineRule="auto"/>
              <w:rPr>
                <w:rFonts w:ascii="Times New Roman" w:hAnsi="Times New Roman"/>
                <w:i/>
                <w:color w:val="000000"/>
                <w:sz w:val="21"/>
                <w:szCs w:val="21"/>
              </w:rPr>
            </w:pPr>
            <w:r w:rsidRPr="00554A2D">
              <w:rPr>
                <w:rFonts w:ascii="Times New Roman" w:hAnsi="Times New Roman"/>
                <w:i/>
                <w:color w:val="000000"/>
                <w:sz w:val="21"/>
                <w:szCs w:val="21"/>
              </w:rPr>
              <w:t>refundacja z tytułu nabycia kas</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3A075FB8" w14:textId="4C48FC9B"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7EFD7B5" w14:textId="1C8E2E58"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-6,8</w:t>
            </w:r>
          </w:p>
        </w:tc>
        <w:tc>
          <w:tcPr>
            <w:tcW w:w="709" w:type="dxa"/>
            <w:gridSpan w:val="3"/>
            <w:tcBorders>
              <w:top w:val="nil"/>
              <w:left w:val="nil"/>
              <w:bottom w:val="single" w:sz="4" w:space="0" w:color="auto"/>
              <w:right w:val="single" w:sz="4" w:space="0" w:color="auto"/>
            </w:tcBorders>
            <w:shd w:val="clear" w:color="auto" w:fill="auto"/>
            <w:vAlign w:val="center"/>
          </w:tcPr>
          <w:p w14:paraId="573307A1" w14:textId="00E0BB50"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tcPr>
          <w:p w14:paraId="5BB89343" w14:textId="3EB52C0B"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2F66122" w14:textId="6A371931"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0F92F7D" w14:textId="3074EE52"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029FBBF6" w14:textId="1E73B8E1"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44FA6EE9" w14:textId="029517F8"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67DB05F" w14:textId="264B9CE1"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EE4012F" w14:textId="26E76472"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C0E254A" w14:textId="61FAB168"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45B97115" w14:textId="3FC2626F"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-6,8</w:t>
            </w:r>
          </w:p>
        </w:tc>
      </w:tr>
      <w:tr w:rsidR="00AA7867" w:rsidRPr="008B4FE6" w14:paraId="431D4083" w14:textId="77777777" w:rsidTr="00AB4835">
        <w:trPr>
          <w:trHeight w:val="344"/>
        </w:trPr>
        <w:tc>
          <w:tcPr>
            <w:tcW w:w="2298" w:type="dxa"/>
            <w:gridSpan w:val="3"/>
            <w:shd w:val="clear" w:color="auto" w:fill="auto"/>
            <w:vAlign w:val="center"/>
          </w:tcPr>
          <w:p w14:paraId="193E05F6" w14:textId="7354E4DA" w:rsidR="00AA7867" w:rsidRPr="00554A2D" w:rsidRDefault="00AA7867" w:rsidP="00AA7867">
            <w:pPr>
              <w:spacing w:line="240" w:lineRule="auto"/>
              <w:rPr>
                <w:rFonts w:ascii="Times New Roman" w:hAnsi="Times New Roman"/>
                <w:i/>
                <w:color w:val="000000"/>
                <w:sz w:val="21"/>
                <w:szCs w:val="21"/>
              </w:rPr>
            </w:pPr>
            <w:r w:rsidRPr="00554A2D">
              <w:rPr>
                <w:rFonts w:ascii="Times New Roman" w:hAnsi="Times New Roman"/>
                <w:i/>
                <w:color w:val="000000"/>
                <w:sz w:val="21"/>
                <w:szCs w:val="21"/>
              </w:rPr>
              <w:t>dodatkowy wzrost wpływów</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7B776EE1" w14:textId="02727A3B"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FE596A4" w14:textId="1A5BA95B"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13,5</w:t>
            </w:r>
          </w:p>
        </w:tc>
        <w:tc>
          <w:tcPr>
            <w:tcW w:w="709" w:type="dxa"/>
            <w:gridSpan w:val="3"/>
            <w:tcBorders>
              <w:top w:val="nil"/>
              <w:left w:val="nil"/>
              <w:bottom w:val="single" w:sz="4" w:space="0" w:color="auto"/>
              <w:right w:val="single" w:sz="4" w:space="0" w:color="auto"/>
            </w:tcBorders>
            <w:shd w:val="clear" w:color="auto" w:fill="auto"/>
            <w:vAlign w:val="center"/>
          </w:tcPr>
          <w:p w14:paraId="15D0D072" w14:textId="53C86AB2"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27,0</w:t>
            </w:r>
          </w:p>
        </w:tc>
        <w:tc>
          <w:tcPr>
            <w:tcW w:w="709" w:type="dxa"/>
            <w:gridSpan w:val="2"/>
            <w:tcBorders>
              <w:top w:val="nil"/>
              <w:left w:val="nil"/>
              <w:bottom w:val="single" w:sz="4" w:space="0" w:color="auto"/>
              <w:right w:val="single" w:sz="4" w:space="0" w:color="auto"/>
            </w:tcBorders>
            <w:shd w:val="clear" w:color="auto" w:fill="auto"/>
            <w:vAlign w:val="center"/>
          </w:tcPr>
          <w:p w14:paraId="06D9681B" w14:textId="2C9AFBEA"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D7B7A3F" w14:textId="4B8C4B51"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50DA3B1" w14:textId="04A032F6"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574DB137" w14:textId="0D7BF3EB"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5A9464BE" w14:textId="7F07181F"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09E9BE18" w14:textId="6DA34EC1"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72E55DD" w14:textId="08A5E08F"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7A0F37F" w14:textId="6AD783CE"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74AA44C5" w14:textId="392A8DA0" w:rsidR="00AA7867" w:rsidRPr="00AB4835" w:rsidRDefault="00AA7867" w:rsidP="00AA7867">
            <w:pPr>
              <w:spacing w:line="240" w:lineRule="auto"/>
              <w:jc w:val="center"/>
              <w:rPr>
                <w:rFonts w:ascii="Times New Roman" w:hAnsi="Times New Roman"/>
                <w:bCs/>
                <w:sz w:val="20"/>
                <w:szCs w:val="20"/>
              </w:rPr>
            </w:pPr>
            <w:r w:rsidRPr="00AB4835">
              <w:rPr>
                <w:rFonts w:ascii="Times New Roman" w:hAnsi="Times New Roman"/>
                <w:bCs/>
                <w:color w:val="000000"/>
                <w:sz w:val="20"/>
                <w:szCs w:val="20"/>
              </w:rPr>
              <w:t>40,4</w:t>
            </w:r>
          </w:p>
        </w:tc>
      </w:tr>
      <w:tr w:rsidR="00AA7867" w:rsidRPr="008B4FE6" w14:paraId="4D4C4A91" w14:textId="77777777" w:rsidTr="00AB4835">
        <w:trPr>
          <w:trHeight w:val="344"/>
        </w:trPr>
        <w:tc>
          <w:tcPr>
            <w:tcW w:w="2298" w:type="dxa"/>
            <w:gridSpan w:val="3"/>
            <w:shd w:val="clear" w:color="auto" w:fill="auto"/>
            <w:vAlign w:val="center"/>
          </w:tcPr>
          <w:p w14:paraId="0E0F512A" w14:textId="77777777" w:rsidR="00AA7867" w:rsidRPr="00C53F26" w:rsidRDefault="00AA7867" w:rsidP="00AA7867">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7CA95E78" w14:textId="6C0D6C6E"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89A13DD" w14:textId="253DFA0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19F8B8EA" w14:textId="203ABA3B"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5DAA240" w14:textId="13CD49BE"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F8F68C2" w14:textId="28AA61E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1BB2CFE4" w14:textId="3825F4BE"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35DE2982" w14:textId="4045055E"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26EB253D" w14:textId="16130138"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260053CD" w14:textId="30557D8A"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59BB39D" w14:textId="40123D53"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1468D8F" w14:textId="7BCFD4B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3AB1AD25" w14:textId="68FD9CD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r>
      <w:tr w:rsidR="00AA7867" w:rsidRPr="008B4FE6" w14:paraId="716F21D3" w14:textId="77777777" w:rsidTr="00AB4835">
        <w:trPr>
          <w:trHeight w:val="344"/>
        </w:trPr>
        <w:tc>
          <w:tcPr>
            <w:tcW w:w="2298" w:type="dxa"/>
            <w:gridSpan w:val="3"/>
            <w:shd w:val="clear" w:color="auto" w:fill="auto"/>
            <w:vAlign w:val="center"/>
          </w:tcPr>
          <w:p w14:paraId="02D58C9F" w14:textId="77777777" w:rsidR="00AA7867" w:rsidRPr="00C53F26" w:rsidRDefault="00AA7867" w:rsidP="00AA7867">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55807179" w14:textId="4637764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B8E1443" w14:textId="0B8C370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54AC2EFF" w14:textId="344AFD6F"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6C93D29D" w14:textId="01D56536"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E03B30A" w14:textId="60BAA0E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EF876F3" w14:textId="42D3C1E5"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4CF82CE8" w14:textId="4A1E17E3"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67DF9805" w14:textId="00890434"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07D7EC8F" w14:textId="0B785572"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19ADD47" w14:textId="259FDDE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2D27B088" w14:textId="01BA23C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66AC0CAC" w14:textId="2BC350E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r>
      <w:tr w:rsidR="00AA7867" w:rsidRPr="008B4FE6" w14:paraId="765B4C5E" w14:textId="77777777" w:rsidTr="00AB4835">
        <w:trPr>
          <w:trHeight w:val="330"/>
        </w:trPr>
        <w:tc>
          <w:tcPr>
            <w:tcW w:w="2298" w:type="dxa"/>
            <w:gridSpan w:val="3"/>
            <w:shd w:val="clear" w:color="auto" w:fill="auto"/>
            <w:vAlign w:val="center"/>
          </w:tcPr>
          <w:p w14:paraId="4F717D0F" w14:textId="77777777" w:rsidR="00AA7867" w:rsidRPr="00C53F26" w:rsidRDefault="00AA7867" w:rsidP="00AA7867">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4FD78762" w14:textId="4D5254E1"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1A7199C3" w14:textId="0E471FE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13249B8B" w14:textId="7A01884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E6FE4D5" w14:textId="77DCAAB8"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25AAA835" w14:textId="57DABC4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1F03B13A" w14:textId="2DC49AFF"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6BB2CBD8" w14:textId="082141C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45430C23" w14:textId="378AB034"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38357F7F" w14:textId="529812CF"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768EA60" w14:textId="0DB6890B"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0EF44A68" w14:textId="5140BFC3"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4CD7300D" w14:textId="54DA0484"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r>
      <w:tr w:rsidR="00AA7867" w:rsidRPr="008B4FE6" w14:paraId="357E93CF" w14:textId="77777777" w:rsidTr="00AB4835">
        <w:trPr>
          <w:trHeight w:val="330"/>
        </w:trPr>
        <w:tc>
          <w:tcPr>
            <w:tcW w:w="2298" w:type="dxa"/>
            <w:gridSpan w:val="3"/>
            <w:shd w:val="clear" w:color="auto" w:fill="auto"/>
            <w:vAlign w:val="center"/>
          </w:tcPr>
          <w:p w14:paraId="278DB6B3" w14:textId="77777777" w:rsidR="00AA7867" w:rsidRPr="00C53F26" w:rsidRDefault="00AA7867" w:rsidP="00AA7867">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02A6B0F2" w14:textId="5F9F4C50"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FDEE511" w14:textId="05DD1CF5"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35069D03" w14:textId="0CD3CCD8"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9C252C8" w14:textId="4F1A2D4B"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0EEEA291" w14:textId="0782535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3DF5B55" w14:textId="6A2CD31B"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5ABFB0BB" w14:textId="581C617D"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06EBE2A9" w14:textId="26C6709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22631003" w14:textId="43B4FA80"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D6A19C8" w14:textId="027A4E93"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A6BED90" w14:textId="0E61554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19859A56" w14:textId="7B85D6C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r>
      <w:tr w:rsidR="00AA7867" w:rsidRPr="008B4FE6" w14:paraId="57E83A28" w14:textId="77777777" w:rsidTr="00AB4835">
        <w:trPr>
          <w:trHeight w:val="351"/>
        </w:trPr>
        <w:tc>
          <w:tcPr>
            <w:tcW w:w="2298" w:type="dxa"/>
            <w:gridSpan w:val="3"/>
            <w:shd w:val="clear" w:color="auto" w:fill="auto"/>
            <w:vAlign w:val="center"/>
          </w:tcPr>
          <w:p w14:paraId="53F93960" w14:textId="77777777" w:rsidR="00AA7867" w:rsidRPr="00C53F26" w:rsidRDefault="00AA7867" w:rsidP="00AA7867">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1B1AF52A" w14:textId="484C5CB6"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43C0533" w14:textId="34D4AC76"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3DA07787" w14:textId="4F2FC7E2"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0165593" w14:textId="55ECC748"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03DDD8F3" w14:textId="35FC2538"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0D88F02" w14:textId="3F23E5EB"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3EF32A6D" w14:textId="0B4E2EEF"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11AF6441" w14:textId="17AE846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10A5BE20" w14:textId="17D1636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17B810E" w14:textId="63797AC1"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3A12CF1A" w14:textId="7F72D641"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7E9FEA30" w14:textId="5309F0AD"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r>
      <w:tr w:rsidR="00AA7867" w:rsidRPr="008B4FE6" w14:paraId="10AB573E" w14:textId="77777777" w:rsidTr="00AB4835">
        <w:trPr>
          <w:trHeight w:val="351"/>
        </w:trPr>
        <w:tc>
          <w:tcPr>
            <w:tcW w:w="2298" w:type="dxa"/>
            <w:gridSpan w:val="3"/>
            <w:shd w:val="clear" w:color="auto" w:fill="auto"/>
            <w:vAlign w:val="center"/>
          </w:tcPr>
          <w:p w14:paraId="030C0127" w14:textId="77777777" w:rsidR="00AA7867" w:rsidRPr="00C53F26" w:rsidRDefault="00AA7867" w:rsidP="00AA7867">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7E94E8DD" w14:textId="5328896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1B6733B" w14:textId="153496C6"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3F6F5C1A" w14:textId="27F02174"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2E2D17BB" w14:textId="321F262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12F422F3" w14:textId="6AAF9F6E"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AED78BA" w14:textId="619D89C2"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433D571B" w14:textId="5D1737C0"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234370FD" w14:textId="6CFBCA24"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6D526D01" w14:textId="580521FD"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E2CAA11" w14:textId="0A71B19B"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6284F476" w14:textId="7F3A187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21A34C1A" w14:textId="41E6298B"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r>
      <w:tr w:rsidR="00AA7867" w:rsidRPr="008B4FE6" w14:paraId="62B25D77" w14:textId="77777777" w:rsidTr="00AB4835">
        <w:trPr>
          <w:trHeight w:val="360"/>
        </w:trPr>
        <w:tc>
          <w:tcPr>
            <w:tcW w:w="2298" w:type="dxa"/>
            <w:gridSpan w:val="3"/>
            <w:shd w:val="clear" w:color="auto" w:fill="auto"/>
            <w:vAlign w:val="center"/>
          </w:tcPr>
          <w:p w14:paraId="183E982D" w14:textId="77777777" w:rsidR="00AA7867" w:rsidRPr="000600E4" w:rsidRDefault="00AA7867" w:rsidP="00AA7867">
            <w:pPr>
              <w:spacing w:line="240" w:lineRule="auto"/>
              <w:rPr>
                <w:rFonts w:ascii="Times New Roman" w:hAnsi="Times New Roman"/>
                <w:color w:val="000000"/>
                <w:sz w:val="21"/>
                <w:szCs w:val="21"/>
              </w:rPr>
            </w:pPr>
            <w:r w:rsidRPr="000600E4">
              <w:rPr>
                <w:rFonts w:ascii="Times New Roman" w:hAnsi="Times New Roman"/>
                <w:b/>
                <w:color w:val="000000"/>
                <w:sz w:val="21"/>
                <w:szCs w:val="21"/>
              </w:rPr>
              <w:t>Saldo ogółem</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3460C818" w14:textId="39588291"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FE92113" w14:textId="74BEB405"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6,7</w:t>
            </w:r>
          </w:p>
        </w:tc>
        <w:tc>
          <w:tcPr>
            <w:tcW w:w="709" w:type="dxa"/>
            <w:gridSpan w:val="3"/>
            <w:tcBorders>
              <w:top w:val="nil"/>
              <w:left w:val="nil"/>
              <w:bottom w:val="single" w:sz="4" w:space="0" w:color="auto"/>
              <w:right w:val="single" w:sz="4" w:space="0" w:color="auto"/>
            </w:tcBorders>
            <w:shd w:val="clear" w:color="auto" w:fill="auto"/>
            <w:vAlign w:val="center"/>
          </w:tcPr>
          <w:p w14:paraId="2DA6C65F" w14:textId="381ABD5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26,9</w:t>
            </w:r>
          </w:p>
        </w:tc>
        <w:tc>
          <w:tcPr>
            <w:tcW w:w="709" w:type="dxa"/>
            <w:gridSpan w:val="2"/>
            <w:tcBorders>
              <w:top w:val="nil"/>
              <w:left w:val="nil"/>
              <w:bottom w:val="single" w:sz="4" w:space="0" w:color="auto"/>
              <w:right w:val="single" w:sz="4" w:space="0" w:color="auto"/>
            </w:tcBorders>
            <w:shd w:val="clear" w:color="auto" w:fill="auto"/>
            <w:vAlign w:val="center"/>
          </w:tcPr>
          <w:p w14:paraId="7214F6B6" w14:textId="351E9C48"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294999E8" w14:textId="24839A17"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7A22171" w14:textId="12BE7353"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71E99C74" w14:textId="50AB1458"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2A23F505" w14:textId="6449AAA0"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407B836E" w14:textId="6587B30A"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D6DD8CB" w14:textId="055D46B3"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A22C8AC" w14:textId="24B3FA3E"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03796207" w14:textId="6F3A43AA"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b/>
                <w:bCs/>
                <w:color w:val="000000"/>
                <w:sz w:val="20"/>
                <w:szCs w:val="20"/>
              </w:rPr>
              <w:t>33,6</w:t>
            </w:r>
          </w:p>
        </w:tc>
      </w:tr>
      <w:tr w:rsidR="00AA7867" w:rsidRPr="008B4FE6" w14:paraId="0A193563" w14:textId="77777777" w:rsidTr="00AB4835">
        <w:trPr>
          <w:trHeight w:val="360"/>
        </w:trPr>
        <w:tc>
          <w:tcPr>
            <w:tcW w:w="2298" w:type="dxa"/>
            <w:gridSpan w:val="3"/>
            <w:shd w:val="clear" w:color="auto" w:fill="auto"/>
            <w:vAlign w:val="center"/>
          </w:tcPr>
          <w:p w14:paraId="6FB87D89" w14:textId="77777777" w:rsidR="00AA7867" w:rsidRPr="000600E4" w:rsidRDefault="00AA7867" w:rsidP="00AA7867">
            <w:pPr>
              <w:spacing w:line="240" w:lineRule="auto"/>
              <w:rPr>
                <w:rFonts w:ascii="Times New Roman" w:hAnsi="Times New Roman"/>
                <w:color w:val="000000"/>
                <w:sz w:val="21"/>
                <w:szCs w:val="21"/>
              </w:rPr>
            </w:pPr>
            <w:r w:rsidRPr="000600E4">
              <w:rPr>
                <w:rFonts w:ascii="Times New Roman" w:hAnsi="Times New Roman"/>
                <w:color w:val="000000"/>
                <w:sz w:val="21"/>
                <w:szCs w:val="21"/>
              </w:rPr>
              <w:t>budżet państwa</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13B4F2C6" w14:textId="03B8FAB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1FD24F1A" w14:textId="78E69130"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6,7</w:t>
            </w:r>
          </w:p>
        </w:tc>
        <w:tc>
          <w:tcPr>
            <w:tcW w:w="709" w:type="dxa"/>
            <w:gridSpan w:val="3"/>
            <w:tcBorders>
              <w:top w:val="nil"/>
              <w:left w:val="nil"/>
              <w:bottom w:val="single" w:sz="4" w:space="0" w:color="auto"/>
              <w:right w:val="single" w:sz="4" w:space="0" w:color="auto"/>
            </w:tcBorders>
            <w:shd w:val="clear" w:color="auto" w:fill="auto"/>
            <w:vAlign w:val="center"/>
          </w:tcPr>
          <w:p w14:paraId="6231629F" w14:textId="4315CB16"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26,9</w:t>
            </w:r>
          </w:p>
        </w:tc>
        <w:tc>
          <w:tcPr>
            <w:tcW w:w="709" w:type="dxa"/>
            <w:gridSpan w:val="2"/>
            <w:tcBorders>
              <w:top w:val="nil"/>
              <w:left w:val="nil"/>
              <w:bottom w:val="single" w:sz="4" w:space="0" w:color="auto"/>
              <w:right w:val="single" w:sz="4" w:space="0" w:color="auto"/>
            </w:tcBorders>
            <w:shd w:val="clear" w:color="auto" w:fill="auto"/>
            <w:vAlign w:val="center"/>
          </w:tcPr>
          <w:p w14:paraId="1BA16739" w14:textId="0B9DC6E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1A01BA0B" w14:textId="61B2297E"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F4B04A6" w14:textId="006C0F03"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0BFE272E" w14:textId="2F1385E0"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3031BF24" w14:textId="799D588C"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F7EA117" w14:textId="4CC7659D"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7F6E777" w14:textId="3A484792"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161AA0AB" w14:textId="32ECA471"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16926AD5" w14:textId="6CFEE619" w:rsidR="00AA7867" w:rsidRPr="00AB4835" w:rsidRDefault="00AA7867" w:rsidP="00AA7867">
            <w:pPr>
              <w:spacing w:line="240" w:lineRule="auto"/>
              <w:jc w:val="center"/>
              <w:rPr>
                <w:rFonts w:ascii="Times New Roman" w:hAnsi="Times New Roman"/>
                <w:sz w:val="20"/>
                <w:szCs w:val="20"/>
              </w:rPr>
            </w:pPr>
            <w:r w:rsidRPr="00AB4835">
              <w:rPr>
                <w:rFonts w:ascii="Times New Roman" w:hAnsi="Times New Roman"/>
                <w:color w:val="000000"/>
                <w:sz w:val="20"/>
                <w:szCs w:val="20"/>
              </w:rPr>
              <w:t>33,6</w:t>
            </w:r>
          </w:p>
        </w:tc>
      </w:tr>
      <w:tr w:rsidR="00AA7867" w:rsidRPr="008B4FE6" w14:paraId="5DB9AF81" w14:textId="77777777" w:rsidTr="00AB4835">
        <w:trPr>
          <w:trHeight w:val="357"/>
        </w:trPr>
        <w:tc>
          <w:tcPr>
            <w:tcW w:w="2298" w:type="dxa"/>
            <w:gridSpan w:val="3"/>
            <w:shd w:val="clear" w:color="auto" w:fill="auto"/>
            <w:vAlign w:val="center"/>
          </w:tcPr>
          <w:p w14:paraId="0421DFCD" w14:textId="77777777" w:rsidR="00AA7867" w:rsidRPr="00C53F26" w:rsidRDefault="00AA7867" w:rsidP="00AA7867">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JST</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22935DDE" w14:textId="460B2E38"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A84CF70" w14:textId="2D93C007"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2416C199" w14:textId="1BF6FBD2"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180DD01E" w14:textId="1C2AA7D9"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64F5D7F4" w14:textId="67B77BAD"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66A894D" w14:textId="6573DC1B"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00222AC4" w14:textId="495F8B52"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39CF41DF" w14:textId="0727A2AB"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F1EE958" w14:textId="6542AD76"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FEABB52" w14:textId="4EFD4656"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2B211746" w14:textId="7F35AAFD"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2F86B425" w14:textId="61F35AA4" w:rsidR="00AA7867" w:rsidRPr="00AB4835" w:rsidRDefault="00AA7867" w:rsidP="00AA7867">
            <w:pPr>
              <w:spacing w:line="240" w:lineRule="auto"/>
              <w:jc w:val="center"/>
              <w:rPr>
                <w:rFonts w:ascii="Times New Roman" w:hAnsi="Times New Roman"/>
                <w:color w:val="000000"/>
                <w:sz w:val="20"/>
                <w:szCs w:val="20"/>
              </w:rPr>
            </w:pPr>
            <w:r w:rsidRPr="00AB4835">
              <w:rPr>
                <w:rFonts w:ascii="Times New Roman" w:hAnsi="Times New Roman"/>
                <w:color w:val="000000"/>
                <w:sz w:val="20"/>
                <w:szCs w:val="20"/>
              </w:rPr>
              <w:t>0,0</w:t>
            </w:r>
          </w:p>
        </w:tc>
      </w:tr>
      <w:tr w:rsidR="00AA7867" w:rsidRPr="008B4FE6" w14:paraId="27B9C614" w14:textId="77777777" w:rsidTr="00AB4835">
        <w:trPr>
          <w:trHeight w:val="357"/>
        </w:trPr>
        <w:tc>
          <w:tcPr>
            <w:tcW w:w="2298" w:type="dxa"/>
            <w:gridSpan w:val="3"/>
            <w:shd w:val="clear" w:color="auto" w:fill="auto"/>
            <w:vAlign w:val="center"/>
          </w:tcPr>
          <w:p w14:paraId="378ECD51" w14:textId="77777777" w:rsidR="00AA7867" w:rsidRPr="00C53F26" w:rsidRDefault="00AA7867" w:rsidP="00AA7867">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7C677403" w14:textId="4049DC4E"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7DAA442" w14:textId="3F13F4CD"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09DC338C" w14:textId="3FA6A9E4"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FB244D8" w14:textId="0F4AAFA0"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507FB25" w14:textId="22877CC1"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E3A8AC4" w14:textId="4E07CEAE"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16EA5041" w14:textId="7C2F7202"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3"/>
            <w:tcBorders>
              <w:top w:val="nil"/>
              <w:left w:val="nil"/>
              <w:bottom w:val="single" w:sz="4" w:space="0" w:color="auto"/>
              <w:right w:val="single" w:sz="4" w:space="0" w:color="auto"/>
            </w:tcBorders>
            <w:shd w:val="clear" w:color="auto" w:fill="auto"/>
            <w:vAlign w:val="center"/>
          </w:tcPr>
          <w:p w14:paraId="3615994B" w14:textId="7C7E73D0"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75A69741" w14:textId="6C8E1FFD"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13057D9F" w14:textId="53BA2F62"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tcPr>
          <w:p w14:paraId="54B0EA8B" w14:textId="4F4D7617" w:rsidR="00AA7867" w:rsidRPr="00AB4835" w:rsidRDefault="00AA7867" w:rsidP="00AA7867">
            <w:pPr>
              <w:spacing w:line="240" w:lineRule="auto"/>
              <w:jc w:val="center"/>
              <w:rPr>
                <w:rFonts w:ascii="Times New Roman" w:hAnsi="Times New Roman"/>
                <w:color w:val="000000" w:themeColor="text1"/>
                <w:sz w:val="20"/>
                <w:szCs w:val="20"/>
              </w:rPr>
            </w:pPr>
            <w:r w:rsidRPr="00AB4835">
              <w:rPr>
                <w:rFonts w:ascii="Times New Roman" w:hAnsi="Times New Roman"/>
                <w:color w:val="000000"/>
                <w:sz w:val="20"/>
                <w:szCs w:val="20"/>
              </w:rPr>
              <w:t>0,0</w:t>
            </w:r>
          </w:p>
        </w:tc>
        <w:tc>
          <w:tcPr>
            <w:tcW w:w="995" w:type="dxa"/>
            <w:gridSpan w:val="2"/>
            <w:tcBorders>
              <w:top w:val="nil"/>
              <w:left w:val="nil"/>
              <w:bottom w:val="single" w:sz="4" w:space="0" w:color="auto"/>
              <w:right w:val="single" w:sz="4" w:space="0" w:color="auto"/>
            </w:tcBorders>
            <w:shd w:val="clear" w:color="auto" w:fill="auto"/>
            <w:vAlign w:val="center"/>
          </w:tcPr>
          <w:p w14:paraId="2222AFAA" w14:textId="5A4E654A" w:rsidR="00AA7867" w:rsidRPr="00AB4835" w:rsidRDefault="00AA7867" w:rsidP="00AA7867">
            <w:pPr>
              <w:spacing w:line="240" w:lineRule="auto"/>
              <w:jc w:val="center"/>
              <w:rPr>
                <w:rFonts w:ascii="Times New Roman" w:hAnsi="Times New Roman"/>
                <w:color w:val="000000"/>
                <w:sz w:val="20"/>
                <w:szCs w:val="20"/>
              </w:rPr>
            </w:pPr>
            <w:r w:rsidRPr="00AB4835">
              <w:rPr>
                <w:rFonts w:ascii="Times New Roman" w:hAnsi="Times New Roman"/>
                <w:color w:val="000000"/>
                <w:sz w:val="20"/>
                <w:szCs w:val="20"/>
              </w:rPr>
              <w:t>0,0</w:t>
            </w:r>
          </w:p>
        </w:tc>
      </w:tr>
      <w:tr w:rsidR="00AE7C1F" w:rsidRPr="008B4FE6" w14:paraId="15D40277" w14:textId="77777777" w:rsidTr="00AB4835">
        <w:trPr>
          <w:gridAfter w:val="1"/>
          <w:wAfter w:w="10" w:type="dxa"/>
          <w:trHeight w:val="348"/>
        </w:trPr>
        <w:tc>
          <w:tcPr>
            <w:tcW w:w="2235" w:type="dxa"/>
            <w:gridSpan w:val="2"/>
            <w:shd w:val="clear" w:color="auto" w:fill="auto"/>
            <w:vAlign w:val="center"/>
          </w:tcPr>
          <w:p w14:paraId="1CF0C562" w14:textId="77777777" w:rsidR="00AE7C1F" w:rsidRPr="00CA64E6" w:rsidRDefault="00AE7C1F" w:rsidP="005741EE">
            <w:pPr>
              <w:spacing w:line="240" w:lineRule="auto"/>
              <w:rPr>
                <w:rFonts w:ascii="Times New Roman" w:hAnsi="Times New Roman"/>
                <w:color w:val="000000"/>
              </w:rPr>
            </w:pPr>
            <w:r w:rsidRPr="00CA64E6">
              <w:rPr>
                <w:rFonts w:ascii="Times New Roman" w:hAnsi="Times New Roman"/>
                <w:color w:val="000000"/>
              </w:rPr>
              <w:t xml:space="preserve">Źródła finansowania </w:t>
            </w:r>
          </w:p>
        </w:tc>
        <w:tc>
          <w:tcPr>
            <w:tcW w:w="8702" w:type="dxa"/>
            <w:gridSpan w:val="27"/>
            <w:shd w:val="clear" w:color="auto" w:fill="auto"/>
            <w:vAlign w:val="center"/>
          </w:tcPr>
          <w:p w14:paraId="7DB14C96" w14:textId="4A931738" w:rsidR="00AE7C1F" w:rsidRPr="00CA64E6" w:rsidRDefault="0095401A">
            <w:pPr>
              <w:spacing w:before="120" w:after="120" w:line="240" w:lineRule="auto"/>
              <w:ind w:left="23" w:right="23"/>
              <w:jc w:val="both"/>
              <w:rPr>
                <w:rFonts w:ascii="Times New Roman" w:hAnsi="Times New Roman"/>
                <w:color w:val="000000"/>
              </w:rPr>
            </w:pPr>
            <w:r w:rsidRPr="00CA64E6">
              <w:rPr>
                <w:rFonts w:ascii="Times New Roman" w:hAnsi="Times New Roman"/>
                <w:color w:val="000000"/>
              </w:rPr>
              <w:t xml:space="preserve">Projekt będzie miał pozytywny wpływ na dochody budżetu państwa z tytułu podatku VAT. Szacuje się, że w </w:t>
            </w:r>
            <w:r w:rsidR="00646C1D" w:rsidRPr="00AE3114">
              <w:rPr>
                <w:rFonts w:ascii="Times New Roman" w:hAnsi="Times New Roman"/>
                <w:color w:val="000000"/>
              </w:rPr>
              <w:t>wyniku realizacji projektu</w:t>
            </w:r>
            <w:r w:rsidRPr="00CA64E6">
              <w:rPr>
                <w:rFonts w:ascii="Times New Roman" w:hAnsi="Times New Roman"/>
                <w:color w:val="000000"/>
              </w:rPr>
              <w:t xml:space="preserve"> dodatkowe dochody budżetu państwa </w:t>
            </w:r>
            <w:r w:rsidR="00646C1D" w:rsidRPr="00AE3114">
              <w:rPr>
                <w:rFonts w:ascii="Times New Roman" w:hAnsi="Times New Roman"/>
                <w:color w:val="000000"/>
              </w:rPr>
              <w:t>z tego podatku mogą wynieść</w:t>
            </w:r>
            <w:r w:rsidRPr="00CA64E6">
              <w:rPr>
                <w:rFonts w:ascii="Times New Roman" w:hAnsi="Times New Roman"/>
                <w:color w:val="000000"/>
              </w:rPr>
              <w:t xml:space="preserve"> ok. </w:t>
            </w:r>
            <w:r w:rsidR="00AA7867">
              <w:rPr>
                <w:rFonts w:ascii="Times New Roman" w:hAnsi="Times New Roman"/>
                <w:color w:val="000000"/>
              </w:rPr>
              <w:t>34</w:t>
            </w:r>
            <w:r w:rsidR="007271C5">
              <w:rPr>
                <w:rFonts w:ascii="Times New Roman" w:hAnsi="Times New Roman"/>
                <w:color w:val="000000"/>
              </w:rPr>
              <w:t xml:space="preserve"> mln</w:t>
            </w:r>
            <w:r w:rsidRPr="00CA64E6">
              <w:rPr>
                <w:rFonts w:ascii="Times New Roman" w:hAnsi="Times New Roman"/>
                <w:color w:val="000000"/>
              </w:rPr>
              <w:t xml:space="preserve"> zł. </w:t>
            </w:r>
          </w:p>
        </w:tc>
      </w:tr>
      <w:tr w:rsidR="00AE7C1F" w:rsidRPr="008B4FE6" w14:paraId="2C85AA18" w14:textId="77777777" w:rsidTr="00AB4835">
        <w:trPr>
          <w:gridAfter w:val="1"/>
          <w:wAfter w:w="10" w:type="dxa"/>
          <w:trHeight w:val="1325"/>
        </w:trPr>
        <w:tc>
          <w:tcPr>
            <w:tcW w:w="2235" w:type="dxa"/>
            <w:gridSpan w:val="2"/>
            <w:shd w:val="clear" w:color="auto" w:fill="auto"/>
          </w:tcPr>
          <w:p w14:paraId="016F5F55" w14:textId="77777777" w:rsidR="00AE7C1F" w:rsidRPr="00CA64E6" w:rsidRDefault="00AE7C1F" w:rsidP="00821717">
            <w:pPr>
              <w:spacing w:line="240" w:lineRule="auto"/>
              <w:rPr>
                <w:rFonts w:ascii="Times New Roman" w:hAnsi="Times New Roman"/>
                <w:color w:val="000000"/>
              </w:rPr>
            </w:pPr>
            <w:r w:rsidRPr="00CA64E6">
              <w:rPr>
                <w:rFonts w:ascii="Times New Roman" w:hAnsi="Times New Roman"/>
                <w:color w:val="000000"/>
              </w:rPr>
              <w:t>Dodatkowe informacje, w tym wskazanie źródeł danych i przyjętych do obliczeń założeń</w:t>
            </w:r>
          </w:p>
        </w:tc>
        <w:tc>
          <w:tcPr>
            <w:tcW w:w="8702" w:type="dxa"/>
            <w:gridSpan w:val="27"/>
            <w:shd w:val="clear" w:color="auto" w:fill="auto"/>
          </w:tcPr>
          <w:p w14:paraId="09D4A97B" w14:textId="3E5ED065" w:rsidR="00646C1D" w:rsidRPr="00CA64E6" w:rsidRDefault="00646C1D" w:rsidP="00CA64E6">
            <w:pPr>
              <w:pStyle w:val="Akapitzlist"/>
              <w:numPr>
                <w:ilvl w:val="0"/>
                <w:numId w:val="30"/>
              </w:numPr>
              <w:autoSpaceDE w:val="0"/>
              <w:autoSpaceDN w:val="0"/>
              <w:adjustRightInd w:val="0"/>
              <w:spacing w:before="120" w:after="120" w:line="240" w:lineRule="auto"/>
              <w:jc w:val="both"/>
              <w:rPr>
                <w:rFonts w:ascii="Times New Roman" w:eastAsia="Times New Roman" w:hAnsi="Times New Roman"/>
                <w:bCs/>
                <w:u w:val="single"/>
                <w:lang w:eastAsia="pl-PL"/>
              </w:rPr>
            </w:pPr>
            <w:r w:rsidRPr="00CA64E6">
              <w:rPr>
                <w:rFonts w:ascii="Times New Roman" w:eastAsia="Times New Roman" w:hAnsi="Times New Roman"/>
                <w:bCs/>
                <w:u w:val="single"/>
                <w:lang w:eastAsia="pl-PL"/>
              </w:rPr>
              <w:t xml:space="preserve">Wpływ projektu na dochody </w:t>
            </w:r>
            <w:r w:rsidR="00AE3114" w:rsidRPr="00AE3114">
              <w:rPr>
                <w:rFonts w:ascii="Times New Roman" w:eastAsia="Times New Roman" w:hAnsi="Times New Roman"/>
                <w:bCs/>
                <w:u w:val="single"/>
                <w:lang w:eastAsia="pl-PL"/>
              </w:rPr>
              <w:t>sektora finansów publicznych</w:t>
            </w:r>
          </w:p>
          <w:p w14:paraId="52A6D725" w14:textId="7F8372B5" w:rsidR="00646C1D" w:rsidRPr="00AB4835" w:rsidRDefault="00AE3114" w:rsidP="00AB4835">
            <w:pPr>
              <w:spacing w:line="240" w:lineRule="auto"/>
              <w:jc w:val="both"/>
              <w:rPr>
                <w:rFonts w:ascii="Times New Roman" w:hAnsi="Times New Roman"/>
                <w:color w:val="000000"/>
              </w:rPr>
            </w:pPr>
            <w:r w:rsidRPr="00AE3114">
              <w:rPr>
                <w:rFonts w:ascii="Times New Roman" w:hAnsi="Times New Roman"/>
                <w:color w:val="000000"/>
              </w:rPr>
              <w:t>Przewiduje się, że p</w:t>
            </w:r>
            <w:r w:rsidR="00646C1D" w:rsidRPr="00AE3114">
              <w:rPr>
                <w:rFonts w:ascii="Times New Roman" w:hAnsi="Times New Roman"/>
                <w:color w:val="000000"/>
              </w:rPr>
              <w:t xml:space="preserve">rojekt będzie miał </w:t>
            </w:r>
            <w:r w:rsidRPr="00AE3114">
              <w:rPr>
                <w:rFonts w:ascii="Times New Roman" w:hAnsi="Times New Roman"/>
                <w:color w:val="000000"/>
              </w:rPr>
              <w:t xml:space="preserve">pozytywny </w:t>
            </w:r>
            <w:r w:rsidR="00646C1D" w:rsidRPr="00AE3114">
              <w:rPr>
                <w:rFonts w:ascii="Times New Roman" w:hAnsi="Times New Roman"/>
                <w:color w:val="000000"/>
              </w:rPr>
              <w:t>wpływ na dochody budżetu państwa z tytułu podatku VAT w</w:t>
            </w:r>
            <w:r w:rsidR="00646C1D" w:rsidRPr="00CA64E6">
              <w:rPr>
                <w:rFonts w:ascii="Times New Roman" w:hAnsi="Times New Roman"/>
                <w:color w:val="000000"/>
              </w:rPr>
              <w:t xml:space="preserve"> związku z</w:t>
            </w:r>
            <w:r w:rsidR="00646C1D" w:rsidRPr="00AE3114">
              <w:rPr>
                <w:rFonts w:ascii="Times New Roman" w:hAnsi="Times New Roman"/>
                <w:color w:val="000000"/>
              </w:rPr>
              <w:t xml:space="preserve"> objęciem </w:t>
            </w:r>
            <w:r w:rsidR="00646C1D" w:rsidRPr="00CA64E6">
              <w:rPr>
                <w:rFonts w:ascii="Times New Roman" w:hAnsi="Times New Roman"/>
                <w:color w:val="000000"/>
              </w:rPr>
              <w:t>od 1 lipca 2022 roku obowiązkiem ewidencjonowania</w:t>
            </w:r>
            <w:r w:rsidR="00646C1D" w:rsidRPr="00AE3114">
              <w:rPr>
                <w:rFonts w:ascii="Times New Roman" w:hAnsi="Times New Roman"/>
                <w:color w:val="000000"/>
              </w:rPr>
              <w:t xml:space="preserve"> na kasach </w:t>
            </w:r>
            <w:r w:rsidR="00323045">
              <w:rPr>
                <w:rFonts w:ascii="Times New Roman" w:hAnsi="Times New Roman"/>
                <w:color w:val="000000"/>
              </w:rPr>
              <w:t>rejestrujących</w:t>
            </w:r>
            <w:r w:rsidR="00CD06A0">
              <w:rPr>
                <w:rFonts w:ascii="Times New Roman" w:hAnsi="Times New Roman"/>
                <w:color w:val="000000"/>
              </w:rPr>
              <w:t xml:space="preserve"> </w:t>
            </w:r>
            <w:r w:rsidR="00646C1D" w:rsidRPr="00AB4835">
              <w:rPr>
                <w:rFonts w:ascii="Times New Roman" w:hAnsi="Times New Roman"/>
                <w:color w:val="000000"/>
              </w:rPr>
              <w:t>świadczenia usług</w:t>
            </w:r>
            <w:r w:rsidR="007271C5" w:rsidRPr="00AB4835">
              <w:rPr>
                <w:rFonts w:ascii="Times New Roman" w:hAnsi="Times New Roman"/>
                <w:color w:val="000000"/>
              </w:rPr>
              <w:t xml:space="preserve"> </w:t>
            </w:r>
            <w:r w:rsidR="00646C1D" w:rsidRPr="00AB4835">
              <w:rPr>
                <w:rFonts w:ascii="Times New Roman" w:hAnsi="Times New Roman"/>
                <w:color w:val="000000"/>
              </w:rPr>
              <w:t>mycia, czyszczenia samochodów i podobnych usług</w:t>
            </w:r>
            <w:r w:rsidR="00323045">
              <w:rPr>
                <w:rFonts w:ascii="Times New Roman" w:hAnsi="Times New Roman"/>
                <w:color w:val="000000"/>
              </w:rPr>
              <w:t>, w tym</w:t>
            </w:r>
            <w:r w:rsidR="00646C1D" w:rsidRPr="00AB4835">
              <w:rPr>
                <w:rFonts w:ascii="Times New Roman" w:hAnsi="Times New Roman"/>
                <w:color w:val="000000"/>
              </w:rPr>
              <w:t xml:space="preserve"> przy użyciu urządzeń obsługiwanych przez klienta, które w systemie bezobsługowym przyjmują należność w bilonie lub banknotach, lub innej formie (b</w:t>
            </w:r>
            <w:r w:rsidR="00323045">
              <w:rPr>
                <w:rFonts w:ascii="Times New Roman" w:hAnsi="Times New Roman"/>
                <w:color w:val="000000"/>
              </w:rPr>
              <w:t>ezgotówkowej).</w:t>
            </w:r>
          </w:p>
          <w:p w14:paraId="2991B865" w14:textId="77777777" w:rsidR="00646C1D" w:rsidRPr="00CA64E6" w:rsidRDefault="00646C1D" w:rsidP="00646C1D">
            <w:pPr>
              <w:spacing w:before="120" w:after="120" w:line="240" w:lineRule="auto"/>
              <w:jc w:val="both"/>
              <w:rPr>
                <w:rFonts w:ascii="Times New Roman" w:hAnsi="Times New Roman"/>
                <w:color w:val="000000"/>
                <w:lang w:val="en-US"/>
              </w:rPr>
            </w:pPr>
            <w:r w:rsidRPr="00CA64E6">
              <w:rPr>
                <w:rFonts w:ascii="Times New Roman" w:hAnsi="Times New Roman"/>
                <w:color w:val="000000"/>
              </w:rPr>
              <w:t xml:space="preserve">Skutek budżetowy oszacowano z wykorzystaniem danych z deklaracji VAT za 2019 r. przy założeniu, iż dochody z VAT mogą wzrosnąć rok do roku w stosunku do bazowego 2019 r. w analizowanych branżach o nie więcej niż 9,7%, czyli biorąc pod uwagę wielkość luki VAT z 2019 r., oszacowanej przez Komisję Europejska dla Polski (raport z września 2020 r. pt. </w:t>
            </w:r>
            <w:r w:rsidRPr="00CA64E6">
              <w:rPr>
                <w:rFonts w:ascii="Times New Roman" w:hAnsi="Times New Roman"/>
                <w:i/>
                <w:color w:val="000000"/>
                <w:lang w:val="en-US"/>
              </w:rPr>
              <w:t>Study and Reports on the VAT Gap in the EU-28 Member States</w:t>
            </w:r>
            <w:r w:rsidRPr="00CA64E6">
              <w:rPr>
                <w:rFonts w:ascii="Times New Roman" w:hAnsi="Times New Roman"/>
                <w:color w:val="000000"/>
                <w:lang w:val="en-US"/>
              </w:rPr>
              <w:t xml:space="preserve">). </w:t>
            </w:r>
          </w:p>
          <w:p w14:paraId="070DBDB2" w14:textId="52B28AB0" w:rsidR="00646C1D" w:rsidRPr="00AE3114" w:rsidRDefault="00646C1D" w:rsidP="00646C1D">
            <w:pPr>
              <w:spacing w:before="120" w:after="120" w:line="240" w:lineRule="auto"/>
              <w:jc w:val="both"/>
              <w:rPr>
                <w:rFonts w:ascii="Times New Roman" w:hAnsi="Times New Roman"/>
                <w:color w:val="000000"/>
              </w:rPr>
            </w:pPr>
            <w:r w:rsidRPr="00CA64E6">
              <w:rPr>
                <w:rFonts w:ascii="Times New Roman" w:hAnsi="Times New Roman"/>
                <w:color w:val="000000"/>
              </w:rPr>
              <w:t xml:space="preserve">Z uwagi na możliwość odliczenia wydatków na kasy </w:t>
            </w:r>
            <w:r w:rsidR="00323045">
              <w:rPr>
                <w:rFonts w:ascii="Times New Roman" w:hAnsi="Times New Roman"/>
                <w:color w:val="000000"/>
              </w:rPr>
              <w:t xml:space="preserve">rejestrujące </w:t>
            </w:r>
            <w:r w:rsidRPr="00CA64E6">
              <w:rPr>
                <w:rFonts w:ascii="Times New Roman" w:hAnsi="Times New Roman"/>
                <w:color w:val="000000"/>
              </w:rPr>
              <w:t>przez podatników</w:t>
            </w:r>
            <w:r w:rsidR="00AE3114" w:rsidRPr="00AE3114">
              <w:rPr>
                <w:rStyle w:val="Odwoanieprzypisudolnego"/>
                <w:rFonts w:ascii="Times New Roman" w:hAnsi="Times New Roman"/>
                <w:color w:val="000000"/>
              </w:rPr>
              <w:footnoteReference w:id="1"/>
            </w:r>
            <w:r w:rsidRPr="00CA64E6">
              <w:rPr>
                <w:rFonts w:ascii="Times New Roman" w:hAnsi="Times New Roman"/>
                <w:color w:val="000000"/>
              </w:rPr>
              <w:t xml:space="preserve">, których liczbę oszacowano na </w:t>
            </w:r>
            <w:r w:rsidRPr="00AE3114">
              <w:rPr>
                <w:rFonts w:ascii="Times New Roman" w:hAnsi="Times New Roman"/>
                <w:color w:val="000000"/>
              </w:rPr>
              <w:t xml:space="preserve">ok. </w:t>
            </w:r>
            <w:r w:rsidRPr="00CA64E6">
              <w:rPr>
                <w:rFonts w:ascii="Times New Roman" w:hAnsi="Times New Roman"/>
                <w:color w:val="000000"/>
              </w:rPr>
              <w:t xml:space="preserve">5 </w:t>
            </w:r>
            <w:r w:rsidRPr="00AE3114">
              <w:rPr>
                <w:rFonts w:ascii="Times New Roman" w:hAnsi="Times New Roman"/>
                <w:color w:val="000000"/>
              </w:rPr>
              <w:t>tys.,</w:t>
            </w:r>
            <w:r w:rsidRPr="00CA64E6">
              <w:rPr>
                <w:rFonts w:ascii="Times New Roman" w:hAnsi="Times New Roman"/>
                <w:color w:val="000000"/>
              </w:rPr>
              <w:t xml:space="preserve"> w pierwszym roku obowiązywania regulacji (w każdym kolejnym roku przyjęto wzrost liczby podmiotów rok do roku o 1,0%), dochody dla 2022 r. począwszy od 1 lipca 2022 r. oszacowano na poziomie ok. 6,7 mln zł. Do wyliczeń przyjęto następujące założenia: </w:t>
            </w:r>
          </w:p>
          <w:p w14:paraId="3771EDBB" w14:textId="17B751B2" w:rsidR="00646C1D" w:rsidRPr="00CA64E6" w:rsidRDefault="00646C1D" w:rsidP="00CA64E6">
            <w:pPr>
              <w:pStyle w:val="Akapitzlist"/>
              <w:numPr>
                <w:ilvl w:val="0"/>
                <w:numId w:val="31"/>
              </w:numPr>
              <w:spacing w:before="120" w:after="120" w:line="240" w:lineRule="auto"/>
              <w:jc w:val="both"/>
              <w:rPr>
                <w:rFonts w:ascii="Times New Roman" w:hAnsi="Times New Roman"/>
                <w:color w:val="000000"/>
              </w:rPr>
            </w:pPr>
            <w:r w:rsidRPr="00CA64E6">
              <w:rPr>
                <w:rFonts w:ascii="Times New Roman" w:hAnsi="Times New Roman"/>
                <w:color w:val="000000"/>
              </w:rPr>
              <w:t xml:space="preserve">wszyscy podatnicy dokonają odliczenia z tytułu zakupu kasy </w:t>
            </w:r>
            <w:r w:rsidR="00323045">
              <w:rPr>
                <w:rFonts w:ascii="Times New Roman" w:hAnsi="Times New Roman"/>
                <w:color w:val="000000"/>
              </w:rPr>
              <w:t>rejestrującej</w:t>
            </w:r>
            <w:r w:rsidRPr="00CA64E6">
              <w:rPr>
                <w:rFonts w:ascii="Times New Roman" w:hAnsi="Times New Roman"/>
                <w:color w:val="000000"/>
              </w:rPr>
              <w:t xml:space="preserve">; </w:t>
            </w:r>
          </w:p>
          <w:p w14:paraId="565BC372" w14:textId="590A8C1F" w:rsidR="00646C1D" w:rsidRPr="00CA64E6" w:rsidRDefault="00646C1D" w:rsidP="00CA64E6">
            <w:pPr>
              <w:pStyle w:val="Akapitzlist"/>
              <w:numPr>
                <w:ilvl w:val="0"/>
                <w:numId w:val="31"/>
              </w:numPr>
              <w:spacing w:before="120" w:after="120" w:line="240" w:lineRule="auto"/>
              <w:jc w:val="both"/>
              <w:rPr>
                <w:rFonts w:ascii="Times New Roman" w:hAnsi="Times New Roman"/>
                <w:color w:val="000000"/>
              </w:rPr>
            </w:pPr>
            <w:r w:rsidRPr="00CA64E6">
              <w:rPr>
                <w:rFonts w:ascii="Times New Roman" w:hAnsi="Times New Roman"/>
                <w:color w:val="000000"/>
              </w:rPr>
              <w:t>na 1 podatnika przypada 1,85 kasy.</w:t>
            </w:r>
          </w:p>
          <w:p w14:paraId="1965D491" w14:textId="231754B7" w:rsidR="00646C1D" w:rsidRPr="00AE3114" w:rsidRDefault="00AA7867" w:rsidP="00646C1D">
            <w:pPr>
              <w:spacing w:before="120" w:after="120" w:line="240" w:lineRule="auto"/>
              <w:jc w:val="both"/>
              <w:rPr>
                <w:rFonts w:ascii="Times New Roman" w:hAnsi="Times New Roman"/>
                <w:color w:val="000000"/>
              </w:rPr>
            </w:pPr>
            <w:r>
              <w:rPr>
                <w:rFonts w:ascii="Times New Roman" w:hAnsi="Times New Roman"/>
                <w:color w:val="000000"/>
              </w:rPr>
              <w:t xml:space="preserve">W </w:t>
            </w:r>
            <w:r w:rsidR="00646C1D" w:rsidRPr="00CA64E6">
              <w:rPr>
                <w:rFonts w:ascii="Times New Roman" w:hAnsi="Times New Roman"/>
                <w:color w:val="000000"/>
              </w:rPr>
              <w:t>kolejnym roku</w:t>
            </w:r>
            <w:r>
              <w:rPr>
                <w:rFonts w:ascii="Times New Roman" w:hAnsi="Times New Roman"/>
                <w:color w:val="000000"/>
              </w:rPr>
              <w:t xml:space="preserve"> tj. </w:t>
            </w:r>
            <w:r w:rsidR="00646C1D" w:rsidRPr="00CA64E6">
              <w:rPr>
                <w:rFonts w:ascii="Times New Roman" w:hAnsi="Times New Roman"/>
                <w:color w:val="000000"/>
              </w:rPr>
              <w:t>2023, oszacowano dodatni skutek budżetowy w wyniku przedmiotowej regulacji dla wskazan</w:t>
            </w:r>
            <w:r w:rsidR="007271C5">
              <w:rPr>
                <w:rFonts w:ascii="Times New Roman" w:hAnsi="Times New Roman"/>
                <w:color w:val="000000"/>
              </w:rPr>
              <w:t>ej</w:t>
            </w:r>
            <w:r w:rsidR="00646C1D" w:rsidRPr="00CA64E6">
              <w:rPr>
                <w:rFonts w:ascii="Times New Roman" w:hAnsi="Times New Roman"/>
                <w:color w:val="000000"/>
              </w:rPr>
              <w:t xml:space="preserve"> branż</w:t>
            </w:r>
            <w:r w:rsidR="007271C5">
              <w:rPr>
                <w:rFonts w:ascii="Times New Roman" w:hAnsi="Times New Roman"/>
                <w:color w:val="000000"/>
              </w:rPr>
              <w:t>y</w:t>
            </w:r>
            <w:r w:rsidR="00646C1D" w:rsidRPr="00CA64E6">
              <w:rPr>
                <w:rFonts w:ascii="Times New Roman" w:hAnsi="Times New Roman"/>
                <w:color w:val="000000"/>
              </w:rPr>
              <w:t xml:space="preserve"> w wysokości ok. </w:t>
            </w:r>
            <w:r w:rsidR="007271C5">
              <w:rPr>
                <w:rFonts w:ascii="Times New Roman" w:hAnsi="Times New Roman"/>
                <w:color w:val="000000"/>
              </w:rPr>
              <w:t>26,9</w:t>
            </w:r>
            <w:r w:rsidR="00646C1D" w:rsidRPr="00CA64E6">
              <w:rPr>
                <w:rFonts w:ascii="Times New Roman" w:hAnsi="Times New Roman"/>
                <w:color w:val="000000"/>
              </w:rPr>
              <w:t xml:space="preserve"> mln zł, włączając efekt uszczelnienia oraz uwzględniając odliczenia VAT z tytułu zakupu kas </w:t>
            </w:r>
            <w:r w:rsidR="00323045">
              <w:rPr>
                <w:rFonts w:ascii="Times New Roman" w:hAnsi="Times New Roman"/>
                <w:color w:val="000000"/>
              </w:rPr>
              <w:t>rejestrujących</w:t>
            </w:r>
            <w:r w:rsidR="00646C1D" w:rsidRPr="00CA64E6">
              <w:rPr>
                <w:rFonts w:ascii="Times New Roman" w:hAnsi="Times New Roman"/>
                <w:color w:val="000000"/>
              </w:rPr>
              <w:t xml:space="preserve">, analogicznie do wyliczeń dla okresu 1 </w:t>
            </w:r>
            <w:r w:rsidR="00323045">
              <w:rPr>
                <w:rFonts w:ascii="Times New Roman" w:hAnsi="Times New Roman"/>
                <w:color w:val="000000"/>
              </w:rPr>
              <w:t>lipca</w:t>
            </w:r>
            <w:r w:rsidR="00646C1D" w:rsidRPr="00CA64E6">
              <w:rPr>
                <w:rFonts w:ascii="Times New Roman" w:hAnsi="Times New Roman"/>
                <w:color w:val="000000"/>
              </w:rPr>
              <w:t xml:space="preserve"> 2022 -</w:t>
            </w:r>
            <w:r w:rsidR="00323045">
              <w:rPr>
                <w:rFonts w:ascii="Times New Roman" w:hAnsi="Times New Roman"/>
                <w:color w:val="000000"/>
              </w:rPr>
              <w:t xml:space="preserve"> </w:t>
            </w:r>
            <w:r w:rsidR="00646C1D" w:rsidRPr="00CA64E6">
              <w:rPr>
                <w:rFonts w:ascii="Times New Roman" w:hAnsi="Times New Roman"/>
                <w:color w:val="000000"/>
              </w:rPr>
              <w:t xml:space="preserve">31 </w:t>
            </w:r>
            <w:r w:rsidR="00323045">
              <w:rPr>
                <w:rFonts w:ascii="Times New Roman" w:hAnsi="Times New Roman"/>
                <w:color w:val="000000"/>
              </w:rPr>
              <w:t>grudnia 2</w:t>
            </w:r>
            <w:r w:rsidR="00646C1D" w:rsidRPr="00CA64E6">
              <w:rPr>
                <w:rFonts w:ascii="Times New Roman" w:hAnsi="Times New Roman"/>
                <w:color w:val="000000"/>
              </w:rPr>
              <w:t>022 r.</w:t>
            </w:r>
          </w:p>
          <w:p w14:paraId="3E767BD8" w14:textId="4FBBA49A" w:rsidR="00646C1D" w:rsidRPr="00CA64E6" w:rsidRDefault="00AE3114" w:rsidP="00CA64E6">
            <w:pPr>
              <w:pStyle w:val="Akapitzlist"/>
              <w:numPr>
                <w:ilvl w:val="0"/>
                <w:numId w:val="30"/>
              </w:numPr>
              <w:autoSpaceDE w:val="0"/>
              <w:autoSpaceDN w:val="0"/>
              <w:adjustRightInd w:val="0"/>
              <w:spacing w:before="120" w:after="120" w:line="240" w:lineRule="atLeast"/>
              <w:contextualSpacing w:val="0"/>
              <w:jc w:val="both"/>
              <w:rPr>
                <w:rFonts w:ascii="Times New Roman" w:eastAsia="Times New Roman" w:hAnsi="Times New Roman"/>
                <w:bCs/>
                <w:u w:val="single"/>
                <w:lang w:eastAsia="pl-PL"/>
              </w:rPr>
            </w:pPr>
            <w:r w:rsidRPr="00CA64E6">
              <w:rPr>
                <w:rFonts w:ascii="Times New Roman" w:eastAsia="Times New Roman" w:hAnsi="Times New Roman"/>
                <w:bCs/>
                <w:u w:val="single"/>
                <w:lang w:eastAsia="pl-PL"/>
              </w:rPr>
              <w:t>Wpływ projektu na wydatki sektora finansów publicznych</w:t>
            </w:r>
          </w:p>
          <w:p w14:paraId="2923B613" w14:textId="77777777" w:rsidR="00D175F7" w:rsidRPr="00AE3114" w:rsidRDefault="00D175F7" w:rsidP="00CA64E6">
            <w:pPr>
              <w:spacing w:before="120" w:after="120" w:line="240" w:lineRule="auto"/>
              <w:jc w:val="both"/>
              <w:rPr>
                <w:rFonts w:ascii="Times New Roman" w:eastAsia="Times New Roman" w:hAnsi="Times New Roman"/>
                <w:bCs/>
                <w:color w:val="000000" w:themeColor="text1"/>
                <w:lang w:eastAsia="pl-PL"/>
              </w:rPr>
            </w:pPr>
            <w:r w:rsidRPr="00AE3114">
              <w:rPr>
                <w:rFonts w:ascii="Times New Roman" w:eastAsia="Times New Roman" w:hAnsi="Times New Roman"/>
                <w:bCs/>
                <w:color w:val="000000" w:themeColor="text1"/>
                <w:lang w:eastAsia="pl-PL"/>
              </w:rPr>
              <w:t>Przedmiotowy projekt nie spowoduje zmiany poziomu wydatków jednostek sektora finansów publicznych.</w:t>
            </w:r>
          </w:p>
          <w:p w14:paraId="758C9038" w14:textId="4560D6B6" w:rsidR="00AE7C1F" w:rsidRPr="00CA64E6" w:rsidRDefault="00AE7C1F" w:rsidP="00CA64E6">
            <w:pPr>
              <w:autoSpaceDE w:val="0"/>
              <w:autoSpaceDN w:val="0"/>
              <w:adjustRightInd w:val="0"/>
              <w:spacing w:before="120" w:after="120" w:line="240" w:lineRule="auto"/>
              <w:jc w:val="both"/>
              <w:rPr>
                <w:rFonts w:ascii="Times New Roman" w:hAnsi="Times New Roman"/>
                <w:color w:val="000000"/>
              </w:rPr>
            </w:pPr>
            <w:r w:rsidRPr="00AE3114">
              <w:rPr>
                <w:rFonts w:ascii="Times New Roman" w:eastAsia="Times New Roman" w:hAnsi="Times New Roman"/>
                <w:bCs/>
                <w:lang w:eastAsia="pl-PL"/>
              </w:rPr>
              <w:t>Dodatkowo z tytułu przyjętych w rozporządzeniu</w:t>
            </w:r>
            <w:r w:rsidRPr="00AE3114">
              <w:rPr>
                <w:rFonts w:ascii="Times New Roman" w:eastAsia="Times New Roman" w:hAnsi="Times New Roman"/>
                <w:lang w:eastAsia="pl-PL"/>
              </w:rPr>
              <w:t xml:space="preserve"> </w:t>
            </w:r>
            <w:r w:rsidRPr="00AE3114">
              <w:rPr>
                <w:rFonts w:ascii="Times New Roman" w:eastAsia="Times New Roman" w:hAnsi="Times New Roman"/>
                <w:bCs/>
                <w:lang w:eastAsia="pl-PL"/>
              </w:rPr>
              <w:t xml:space="preserve">rozwiązań należy oczekiwać spadku kosztów kontroli. Wprowadzenie obowiązku </w:t>
            </w:r>
            <w:r w:rsidR="007E145D" w:rsidRPr="00AE3114">
              <w:rPr>
                <w:rFonts w:ascii="Times New Roman" w:eastAsia="Times New Roman" w:hAnsi="Times New Roman"/>
                <w:bCs/>
                <w:lang w:eastAsia="pl-PL"/>
              </w:rPr>
              <w:t xml:space="preserve">prowadzenia </w:t>
            </w:r>
            <w:r w:rsidRPr="00AE3114">
              <w:rPr>
                <w:rFonts w:ascii="Times New Roman" w:eastAsia="Times New Roman" w:hAnsi="Times New Roman"/>
                <w:bCs/>
                <w:lang w:eastAsia="pl-PL"/>
              </w:rPr>
              <w:t xml:space="preserve">ewidencji </w:t>
            </w:r>
            <w:r w:rsidR="007E145D" w:rsidRPr="00AE3114">
              <w:rPr>
                <w:rFonts w:ascii="Times New Roman" w:eastAsia="Times New Roman" w:hAnsi="Times New Roman"/>
                <w:bCs/>
                <w:lang w:eastAsia="pl-PL"/>
              </w:rPr>
              <w:t xml:space="preserve">sprzedaży </w:t>
            </w:r>
            <w:r w:rsidRPr="00AE3114">
              <w:rPr>
                <w:rFonts w:ascii="Times New Roman" w:eastAsia="Times New Roman" w:hAnsi="Times New Roman"/>
                <w:bCs/>
                <w:lang w:eastAsia="pl-PL"/>
              </w:rPr>
              <w:t>przy zastosowaniu kas rejestrujących</w:t>
            </w:r>
            <w:r w:rsidR="00B0072D" w:rsidRPr="00AE3114">
              <w:rPr>
                <w:rFonts w:ascii="Times New Roman" w:eastAsia="Times New Roman" w:hAnsi="Times New Roman"/>
                <w:bCs/>
                <w:lang w:eastAsia="pl-PL"/>
              </w:rPr>
              <w:t>, gdzie wdrażane są nowoczesne rozwiązania techniczne,</w:t>
            </w:r>
            <w:r w:rsidRPr="00AE3114">
              <w:rPr>
                <w:rFonts w:ascii="Times New Roman" w:eastAsia="Times New Roman" w:hAnsi="Times New Roman"/>
                <w:bCs/>
                <w:lang w:eastAsia="pl-PL"/>
              </w:rPr>
              <w:t xml:space="preserve"> dla </w:t>
            </w:r>
            <w:r w:rsidR="00FD24E3" w:rsidRPr="00AE3114">
              <w:rPr>
                <w:rFonts w:ascii="Times New Roman" w:eastAsia="Times New Roman" w:hAnsi="Times New Roman"/>
                <w:bCs/>
                <w:lang w:eastAsia="pl-PL"/>
              </w:rPr>
              <w:t xml:space="preserve">kolejnych grup </w:t>
            </w:r>
            <w:r w:rsidRPr="00AE3114">
              <w:rPr>
                <w:rFonts w:ascii="Times New Roman" w:eastAsia="Times New Roman" w:hAnsi="Times New Roman"/>
                <w:bCs/>
                <w:lang w:eastAsia="pl-PL"/>
              </w:rPr>
              <w:t xml:space="preserve">podatników powinno zapewnić wyższą wiarygodność </w:t>
            </w:r>
            <w:r w:rsidR="00B0072D" w:rsidRPr="00AE3114">
              <w:rPr>
                <w:rFonts w:ascii="Times New Roman" w:eastAsia="Times New Roman" w:hAnsi="Times New Roman"/>
                <w:bCs/>
                <w:lang w:eastAsia="pl-PL"/>
              </w:rPr>
              <w:t xml:space="preserve">prowadzonej </w:t>
            </w:r>
            <w:r w:rsidRPr="00AE3114">
              <w:rPr>
                <w:rFonts w:ascii="Times New Roman" w:eastAsia="Times New Roman" w:hAnsi="Times New Roman"/>
                <w:bCs/>
                <w:lang w:eastAsia="pl-PL"/>
              </w:rPr>
              <w:t xml:space="preserve">ewidencji </w:t>
            </w:r>
            <w:r w:rsidR="00B0072D" w:rsidRPr="00AE3114">
              <w:rPr>
                <w:rFonts w:ascii="Times New Roman" w:eastAsia="Times New Roman" w:hAnsi="Times New Roman"/>
                <w:bCs/>
                <w:lang w:eastAsia="pl-PL"/>
              </w:rPr>
              <w:t>sprzedaży</w:t>
            </w:r>
            <w:r w:rsidRPr="00AE3114">
              <w:rPr>
                <w:rFonts w:ascii="Times New Roman" w:eastAsia="Times New Roman" w:hAnsi="Times New Roman"/>
                <w:bCs/>
                <w:lang w:eastAsia="pl-PL"/>
              </w:rPr>
              <w:t xml:space="preserve">, co stanowić może podstawę do eliminacji niektórych żmudnych i pracochłonnych procedur kontroli ewidencji prowadzonych dotychczas w innych formach. </w:t>
            </w:r>
          </w:p>
        </w:tc>
      </w:tr>
      <w:tr w:rsidR="00AE7C1F" w:rsidRPr="008B4FE6" w14:paraId="5A3166FB" w14:textId="77777777" w:rsidTr="00AB4835">
        <w:trPr>
          <w:gridAfter w:val="1"/>
          <w:wAfter w:w="10" w:type="dxa"/>
          <w:trHeight w:val="345"/>
        </w:trPr>
        <w:tc>
          <w:tcPr>
            <w:tcW w:w="10937" w:type="dxa"/>
            <w:gridSpan w:val="29"/>
            <w:shd w:val="clear" w:color="auto" w:fill="auto"/>
          </w:tcPr>
          <w:p w14:paraId="1EDB329D" w14:textId="77777777" w:rsidR="00AE7C1F" w:rsidRPr="00AE3114" w:rsidRDefault="00AE7C1F" w:rsidP="0072636A">
            <w:pPr>
              <w:numPr>
                <w:ilvl w:val="0"/>
                <w:numId w:val="3"/>
              </w:numPr>
              <w:spacing w:before="120" w:after="120" w:line="240" w:lineRule="auto"/>
              <w:jc w:val="both"/>
              <w:rPr>
                <w:rFonts w:ascii="Times New Roman" w:hAnsi="Times New Roman"/>
                <w:b/>
                <w:color w:val="000000"/>
                <w:spacing w:val="-2"/>
              </w:rPr>
            </w:pPr>
            <w:r w:rsidRPr="00AE3114">
              <w:rPr>
                <w:rFonts w:ascii="Times New Roman" w:hAnsi="Times New Roman"/>
                <w:b/>
                <w:color w:val="000000"/>
                <w:spacing w:val="-2"/>
              </w:rPr>
              <w:lastRenderedPageBreak/>
              <w:t xml:space="preserve">Wpływ na </w:t>
            </w:r>
            <w:r w:rsidRPr="00AE3114">
              <w:rPr>
                <w:rFonts w:ascii="Times New Roman" w:hAnsi="Times New Roman"/>
                <w:b/>
                <w:color w:val="000000"/>
              </w:rPr>
              <w:t xml:space="preserve">konkurencyjność gospodarki i przedsiębiorczość, w tym funkcjonowanie przedsiębiorców oraz na rodzinę, obywateli i gospodarstwa domowe </w:t>
            </w:r>
          </w:p>
        </w:tc>
      </w:tr>
      <w:tr w:rsidR="00AE7C1F" w:rsidRPr="008B4FE6" w14:paraId="61A1D51F" w14:textId="77777777" w:rsidTr="00AB4835">
        <w:trPr>
          <w:gridAfter w:val="1"/>
          <w:wAfter w:w="10" w:type="dxa"/>
          <w:trHeight w:val="142"/>
        </w:trPr>
        <w:tc>
          <w:tcPr>
            <w:tcW w:w="10937" w:type="dxa"/>
            <w:gridSpan w:val="29"/>
            <w:shd w:val="clear" w:color="auto" w:fill="auto"/>
          </w:tcPr>
          <w:p w14:paraId="3448A2FF" w14:textId="77777777" w:rsidR="00AE7C1F" w:rsidRPr="00CA64E6" w:rsidRDefault="00AE7C1F" w:rsidP="00811D46">
            <w:pPr>
              <w:spacing w:line="240" w:lineRule="auto"/>
              <w:jc w:val="center"/>
              <w:rPr>
                <w:rFonts w:ascii="Times New Roman" w:hAnsi="Times New Roman"/>
                <w:color w:val="000000"/>
                <w:spacing w:val="-2"/>
              </w:rPr>
            </w:pPr>
            <w:r w:rsidRPr="00CA64E6">
              <w:rPr>
                <w:rFonts w:ascii="Times New Roman" w:hAnsi="Times New Roman"/>
                <w:color w:val="000000"/>
                <w:spacing w:val="-2"/>
              </w:rPr>
              <w:t>Skutki</w:t>
            </w:r>
          </w:p>
        </w:tc>
      </w:tr>
      <w:tr w:rsidR="00AE7C1F" w:rsidRPr="008B4FE6" w14:paraId="2A719EC1" w14:textId="77777777" w:rsidTr="00AB4835">
        <w:trPr>
          <w:gridAfter w:val="1"/>
          <w:wAfter w:w="10" w:type="dxa"/>
          <w:trHeight w:val="142"/>
        </w:trPr>
        <w:tc>
          <w:tcPr>
            <w:tcW w:w="3880" w:type="dxa"/>
            <w:gridSpan w:val="8"/>
            <w:shd w:val="clear" w:color="auto" w:fill="auto"/>
          </w:tcPr>
          <w:p w14:paraId="1879E0DA" w14:textId="77777777" w:rsidR="00AE7C1F" w:rsidRPr="00CA64E6" w:rsidRDefault="00AE7C1F" w:rsidP="00811D46">
            <w:pPr>
              <w:spacing w:line="240" w:lineRule="auto"/>
              <w:rPr>
                <w:rFonts w:ascii="Times New Roman" w:hAnsi="Times New Roman"/>
                <w:color w:val="000000"/>
              </w:rPr>
            </w:pPr>
            <w:r w:rsidRPr="00CA64E6">
              <w:rPr>
                <w:rFonts w:ascii="Times New Roman" w:hAnsi="Times New Roman"/>
                <w:color w:val="000000"/>
              </w:rPr>
              <w:t>Czas w latach od wejścia w życie zmian</w:t>
            </w:r>
          </w:p>
        </w:tc>
        <w:tc>
          <w:tcPr>
            <w:tcW w:w="236" w:type="dxa"/>
            <w:shd w:val="clear" w:color="auto" w:fill="auto"/>
          </w:tcPr>
          <w:p w14:paraId="16B3D5D4" w14:textId="77777777" w:rsidR="00AE7C1F" w:rsidRPr="00CA64E6" w:rsidRDefault="00AE7C1F" w:rsidP="00811D46">
            <w:pPr>
              <w:spacing w:line="240" w:lineRule="auto"/>
              <w:jc w:val="center"/>
              <w:rPr>
                <w:rFonts w:ascii="Times New Roman" w:hAnsi="Times New Roman"/>
                <w:color w:val="000000"/>
              </w:rPr>
            </w:pPr>
            <w:r w:rsidRPr="00CA64E6">
              <w:rPr>
                <w:rFonts w:ascii="Times New Roman" w:hAnsi="Times New Roman"/>
                <w:color w:val="000000"/>
              </w:rPr>
              <w:t>0</w:t>
            </w:r>
          </w:p>
        </w:tc>
        <w:tc>
          <w:tcPr>
            <w:tcW w:w="1639" w:type="dxa"/>
            <w:gridSpan w:val="6"/>
            <w:shd w:val="clear" w:color="auto" w:fill="auto"/>
          </w:tcPr>
          <w:p w14:paraId="0C1ED633" w14:textId="77777777" w:rsidR="00AE7C1F" w:rsidRPr="00CA64E6" w:rsidRDefault="00AE7C1F" w:rsidP="00811D46">
            <w:pPr>
              <w:spacing w:line="240" w:lineRule="auto"/>
              <w:jc w:val="center"/>
              <w:rPr>
                <w:rFonts w:ascii="Times New Roman" w:hAnsi="Times New Roman"/>
                <w:color w:val="000000"/>
              </w:rPr>
            </w:pPr>
            <w:r w:rsidRPr="00CA64E6">
              <w:rPr>
                <w:rFonts w:ascii="Times New Roman" w:hAnsi="Times New Roman"/>
                <w:color w:val="000000"/>
              </w:rPr>
              <w:t>1</w:t>
            </w:r>
          </w:p>
        </w:tc>
        <w:tc>
          <w:tcPr>
            <w:tcW w:w="938" w:type="dxa"/>
            <w:gridSpan w:val="3"/>
            <w:shd w:val="clear" w:color="auto" w:fill="auto"/>
          </w:tcPr>
          <w:p w14:paraId="160C0E23" w14:textId="77777777" w:rsidR="00AE7C1F" w:rsidRPr="00CA64E6" w:rsidRDefault="00AE7C1F" w:rsidP="00811D46">
            <w:pPr>
              <w:spacing w:line="240" w:lineRule="auto"/>
              <w:jc w:val="center"/>
              <w:rPr>
                <w:rFonts w:ascii="Times New Roman" w:hAnsi="Times New Roman"/>
                <w:color w:val="000000"/>
              </w:rPr>
            </w:pPr>
            <w:r w:rsidRPr="00CA64E6">
              <w:rPr>
                <w:rFonts w:ascii="Times New Roman" w:hAnsi="Times New Roman"/>
                <w:color w:val="000000"/>
              </w:rPr>
              <w:t>2</w:t>
            </w:r>
          </w:p>
        </w:tc>
        <w:tc>
          <w:tcPr>
            <w:tcW w:w="937" w:type="dxa"/>
            <w:gridSpan w:val="3"/>
            <w:shd w:val="clear" w:color="auto" w:fill="auto"/>
          </w:tcPr>
          <w:p w14:paraId="6787239D" w14:textId="77777777" w:rsidR="00AE7C1F" w:rsidRPr="00CA64E6" w:rsidRDefault="00AE7C1F" w:rsidP="00811D46">
            <w:pPr>
              <w:spacing w:line="240" w:lineRule="auto"/>
              <w:jc w:val="center"/>
              <w:rPr>
                <w:rFonts w:ascii="Times New Roman" w:hAnsi="Times New Roman"/>
                <w:color w:val="000000"/>
              </w:rPr>
            </w:pPr>
            <w:r w:rsidRPr="00CA64E6">
              <w:rPr>
                <w:rFonts w:ascii="Times New Roman" w:hAnsi="Times New Roman"/>
                <w:color w:val="000000"/>
              </w:rPr>
              <w:t>3</w:t>
            </w:r>
          </w:p>
        </w:tc>
        <w:tc>
          <w:tcPr>
            <w:tcW w:w="938" w:type="dxa"/>
            <w:gridSpan w:val="4"/>
            <w:shd w:val="clear" w:color="auto" w:fill="auto"/>
          </w:tcPr>
          <w:p w14:paraId="466E2224" w14:textId="77777777" w:rsidR="00AE7C1F" w:rsidRPr="00CA64E6" w:rsidRDefault="00AE7C1F" w:rsidP="00811D46">
            <w:pPr>
              <w:spacing w:line="240" w:lineRule="auto"/>
              <w:jc w:val="center"/>
              <w:rPr>
                <w:rFonts w:ascii="Times New Roman" w:hAnsi="Times New Roman"/>
                <w:color w:val="000000"/>
              </w:rPr>
            </w:pPr>
            <w:r w:rsidRPr="00CA64E6">
              <w:rPr>
                <w:rFonts w:ascii="Times New Roman" w:hAnsi="Times New Roman"/>
                <w:color w:val="000000"/>
              </w:rPr>
              <w:t>5</w:t>
            </w:r>
          </w:p>
        </w:tc>
        <w:tc>
          <w:tcPr>
            <w:tcW w:w="1242" w:type="dxa"/>
            <w:gridSpan w:val="2"/>
            <w:shd w:val="clear" w:color="auto" w:fill="auto"/>
          </w:tcPr>
          <w:p w14:paraId="0A208C55" w14:textId="77777777" w:rsidR="00AE7C1F" w:rsidRPr="00CA64E6" w:rsidRDefault="00AE7C1F" w:rsidP="00811D46">
            <w:pPr>
              <w:spacing w:line="240" w:lineRule="auto"/>
              <w:jc w:val="center"/>
              <w:rPr>
                <w:rFonts w:ascii="Times New Roman" w:hAnsi="Times New Roman"/>
                <w:color w:val="000000"/>
              </w:rPr>
            </w:pPr>
            <w:r w:rsidRPr="00CA64E6">
              <w:rPr>
                <w:rFonts w:ascii="Times New Roman" w:hAnsi="Times New Roman"/>
                <w:color w:val="000000"/>
              </w:rPr>
              <w:t>10</w:t>
            </w:r>
          </w:p>
        </w:tc>
        <w:tc>
          <w:tcPr>
            <w:tcW w:w="1127" w:type="dxa"/>
            <w:gridSpan w:val="2"/>
            <w:shd w:val="clear" w:color="auto" w:fill="auto"/>
          </w:tcPr>
          <w:p w14:paraId="1DB456C6" w14:textId="77777777" w:rsidR="00AE7C1F" w:rsidRPr="00CA64E6" w:rsidRDefault="00AE7C1F" w:rsidP="00811D46">
            <w:pPr>
              <w:spacing w:line="240" w:lineRule="auto"/>
              <w:jc w:val="center"/>
              <w:rPr>
                <w:rFonts w:ascii="Times New Roman" w:hAnsi="Times New Roman"/>
                <w:i/>
                <w:color w:val="000000"/>
                <w:spacing w:val="-2"/>
              </w:rPr>
            </w:pPr>
            <w:r w:rsidRPr="00CA64E6">
              <w:rPr>
                <w:rFonts w:ascii="Times New Roman" w:hAnsi="Times New Roman"/>
                <w:i/>
                <w:color w:val="000000"/>
                <w:spacing w:val="-2"/>
              </w:rPr>
              <w:t>Łącznie</w:t>
            </w:r>
            <w:r w:rsidRPr="00CA64E6" w:rsidDel="0073273A">
              <w:rPr>
                <w:rFonts w:ascii="Times New Roman" w:hAnsi="Times New Roman"/>
                <w:i/>
                <w:color w:val="000000"/>
                <w:spacing w:val="-2"/>
              </w:rPr>
              <w:t xml:space="preserve"> </w:t>
            </w:r>
            <w:r w:rsidRPr="00CA64E6">
              <w:rPr>
                <w:rFonts w:ascii="Times New Roman" w:hAnsi="Times New Roman"/>
                <w:i/>
                <w:color w:val="000000"/>
                <w:spacing w:val="-2"/>
              </w:rPr>
              <w:t>(0-10)</w:t>
            </w:r>
          </w:p>
        </w:tc>
      </w:tr>
      <w:tr w:rsidR="00F5457D" w:rsidRPr="008B4FE6" w14:paraId="75FC2E8D" w14:textId="64146A14" w:rsidTr="00AB4835">
        <w:trPr>
          <w:gridAfter w:val="1"/>
          <w:wAfter w:w="10" w:type="dxa"/>
          <w:trHeight w:val="142"/>
        </w:trPr>
        <w:tc>
          <w:tcPr>
            <w:tcW w:w="1589" w:type="dxa"/>
            <w:vMerge w:val="restart"/>
            <w:shd w:val="clear" w:color="auto" w:fill="auto"/>
          </w:tcPr>
          <w:p w14:paraId="63E42E20" w14:textId="77777777" w:rsidR="00F5457D" w:rsidRPr="00CA64E6" w:rsidRDefault="00F5457D" w:rsidP="006F78C4">
            <w:pPr>
              <w:rPr>
                <w:rFonts w:ascii="Times New Roman" w:hAnsi="Times New Roman"/>
                <w:color w:val="000000"/>
              </w:rPr>
            </w:pPr>
            <w:r w:rsidRPr="00CA64E6">
              <w:rPr>
                <w:rFonts w:ascii="Times New Roman" w:hAnsi="Times New Roman"/>
                <w:color w:val="000000"/>
              </w:rPr>
              <w:t>W ujęciu pieniężnym</w:t>
            </w:r>
          </w:p>
          <w:p w14:paraId="43CA5D90" w14:textId="77777777" w:rsidR="00F5457D" w:rsidRPr="00CA64E6" w:rsidRDefault="00F5457D" w:rsidP="006F78C4">
            <w:pPr>
              <w:rPr>
                <w:rFonts w:ascii="Times New Roman" w:hAnsi="Times New Roman"/>
                <w:spacing w:val="-2"/>
              </w:rPr>
            </w:pPr>
            <w:r w:rsidRPr="00CA64E6">
              <w:rPr>
                <w:rFonts w:ascii="Times New Roman" w:hAnsi="Times New Roman"/>
                <w:spacing w:val="-2"/>
              </w:rPr>
              <w:t xml:space="preserve">(w mln zł, </w:t>
            </w:r>
          </w:p>
          <w:p w14:paraId="45743248" w14:textId="6E7754BA" w:rsidR="00F5457D" w:rsidRPr="00CA64E6" w:rsidRDefault="00F5457D" w:rsidP="00F5457D">
            <w:pPr>
              <w:spacing w:line="240" w:lineRule="auto"/>
              <w:rPr>
                <w:rFonts w:ascii="Times New Roman" w:hAnsi="Times New Roman"/>
                <w:color w:val="000000"/>
              </w:rPr>
            </w:pPr>
            <w:r w:rsidRPr="00CA64E6">
              <w:rPr>
                <w:rFonts w:ascii="Times New Roman" w:hAnsi="Times New Roman"/>
                <w:spacing w:val="-2"/>
              </w:rPr>
              <w:t>ceny stałe z 2017 r..)</w:t>
            </w:r>
          </w:p>
        </w:tc>
        <w:tc>
          <w:tcPr>
            <w:tcW w:w="2291" w:type="dxa"/>
            <w:gridSpan w:val="7"/>
            <w:shd w:val="clear" w:color="auto" w:fill="auto"/>
          </w:tcPr>
          <w:p w14:paraId="15B9CD40"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t>duże przedsiębiorstwa</w:t>
            </w:r>
          </w:p>
        </w:tc>
        <w:tc>
          <w:tcPr>
            <w:tcW w:w="236" w:type="dxa"/>
            <w:vMerge w:val="restart"/>
            <w:shd w:val="clear" w:color="auto" w:fill="auto"/>
            <w:vAlign w:val="center"/>
          </w:tcPr>
          <w:p w14:paraId="673BA37F" w14:textId="5E89510C" w:rsidR="00F5457D" w:rsidRPr="00CA64E6" w:rsidRDefault="00F5457D" w:rsidP="00F5457D">
            <w:pPr>
              <w:spacing w:line="240" w:lineRule="auto"/>
              <w:jc w:val="center"/>
              <w:rPr>
                <w:rFonts w:ascii="Times New Roman" w:hAnsi="Times New Roman"/>
                <w:spacing w:val="-2"/>
              </w:rPr>
            </w:pPr>
          </w:p>
        </w:tc>
        <w:tc>
          <w:tcPr>
            <w:tcW w:w="1639" w:type="dxa"/>
            <w:gridSpan w:val="6"/>
            <w:vMerge w:val="restart"/>
            <w:shd w:val="clear" w:color="auto" w:fill="auto"/>
            <w:vAlign w:val="center"/>
          </w:tcPr>
          <w:p w14:paraId="4D7FFC29" w14:textId="410B0345" w:rsidR="00F5457D" w:rsidRPr="00CA64E6" w:rsidRDefault="00F5457D" w:rsidP="00F5457D">
            <w:pPr>
              <w:spacing w:line="240" w:lineRule="auto"/>
              <w:jc w:val="center"/>
              <w:rPr>
                <w:rFonts w:ascii="Times New Roman" w:hAnsi="Times New Roman"/>
                <w:spacing w:val="-2"/>
              </w:rPr>
            </w:pPr>
          </w:p>
        </w:tc>
        <w:tc>
          <w:tcPr>
            <w:tcW w:w="938" w:type="dxa"/>
            <w:gridSpan w:val="3"/>
            <w:vMerge w:val="restart"/>
            <w:shd w:val="clear" w:color="auto" w:fill="auto"/>
            <w:vAlign w:val="center"/>
          </w:tcPr>
          <w:p w14:paraId="3A26206A" w14:textId="148803EB" w:rsidR="00F5457D" w:rsidRPr="00CA64E6" w:rsidRDefault="00F5457D" w:rsidP="00F5457D">
            <w:pPr>
              <w:spacing w:line="240" w:lineRule="auto"/>
              <w:jc w:val="center"/>
              <w:rPr>
                <w:rFonts w:ascii="Times New Roman" w:hAnsi="Times New Roman"/>
                <w:spacing w:val="-2"/>
              </w:rPr>
            </w:pPr>
          </w:p>
        </w:tc>
        <w:tc>
          <w:tcPr>
            <w:tcW w:w="937" w:type="dxa"/>
            <w:gridSpan w:val="3"/>
            <w:vMerge w:val="restart"/>
            <w:shd w:val="clear" w:color="auto" w:fill="auto"/>
            <w:vAlign w:val="center"/>
          </w:tcPr>
          <w:p w14:paraId="7CCAAA3C" w14:textId="4EDD22AC" w:rsidR="00F5457D" w:rsidRPr="00CA64E6" w:rsidRDefault="00F5457D" w:rsidP="00F5457D">
            <w:pPr>
              <w:spacing w:line="240" w:lineRule="auto"/>
              <w:jc w:val="center"/>
              <w:rPr>
                <w:rFonts w:ascii="Times New Roman" w:hAnsi="Times New Roman"/>
                <w:spacing w:val="-2"/>
              </w:rPr>
            </w:pPr>
          </w:p>
        </w:tc>
        <w:tc>
          <w:tcPr>
            <w:tcW w:w="938" w:type="dxa"/>
            <w:gridSpan w:val="4"/>
            <w:vMerge w:val="restart"/>
            <w:shd w:val="clear" w:color="auto" w:fill="auto"/>
            <w:vAlign w:val="center"/>
          </w:tcPr>
          <w:p w14:paraId="4F199918" w14:textId="053EA218" w:rsidR="00F5457D" w:rsidRPr="00CA64E6" w:rsidRDefault="00F5457D" w:rsidP="00811D46">
            <w:pPr>
              <w:spacing w:line="240" w:lineRule="auto"/>
              <w:rPr>
                <w:rFonts w:ascii="Times New Roman" w:hAnsi="Times New Roman"/>
                <w:color w:val="000000"/>
                <w:spacing w:val="-2"/>
              </w:rPr>
            </w:pPr>
          </w:p>
        </w:tc>
        <w:tc>
          <w:tcPr>
            <w:tcW w:w="1242" w:type="dxa"/>
            <w:gridSpan w:val="2"/>
            <w:vMerge w:val="restart"/>
            <w:shd w:val="clear" w:color="auto" w:fill="auto"/>
            <w:vAlign w:val="center"/>
          </w:tcPr>
          <w:p w14:paraId="08D5DA58" w14:textId="5FEC3F20" w:rsidR="00F5457D" w:rsidRPr="00CA64E6" w:rsidRDefault="00F5457D" w:rsidP="00811D46">
            <w:pPr>
              <w:spacing w:line="240" w:lineRule="auto"/>
              <w:rPr>
                <w:rFonts w:ascii="Times New Roman" w:hAnsi="Times New Roman"/>
                <w:color w:val="000000"/>
                <w:spacing w:val="-2"/>
              </w:rPr>
            </w:pPr>
          </w:p>
        </w:tc>
        <w:tc>
          <w:tcPr>
            <w:tcW w:w="1127" w:type="dxa"/>
            <w:gridSpan w:val="2"/>
            <w:vMerge w:val="restart"/>
            <w:shd w:val="clear" w:color="auto" w:fill="auto"/>
            <w:vAlign w:val="center"/>
          </w:tcPr>
          <w:p w14:paraId="7E367EFE" w14:textId="674868E0" w:rsidR="00F5457D" w:rsidRPr="00CA64E6" w:rsidRDefault="00F5457D" w:rsidP="00F5457D">
            <w:pPr>
              <w:spacing w:line="240" w:lineRule="auto"/>
              <w:jc w:val="center"/>
              <w:rPr>
                <w:rFonts w:ascii="Times New Roman" w:hAnsi="Times New Roman"/>
                <w:color w:val="000000"/>
                <w:spacing w:val="-2"/>
              </w:rPr>
            </w:pPr>
          </w:p>
        </w:tc>
      </w:tr>
      <w:tr w:rsidR="00F5457D" w:rsidRPr="008B4FE6" w14:paraId="61ACC4BD" w14:textId="65EFD465" w:rsidTr="00AB4835">
        <w:trPr>
          <w:gridAfter w:val="1"/>
          <w:wAfter w:w="10" w:type="dxa"/>
          <w:trHeight w:val="142"/>
        </w:trPr>
        <w:tc>
          <w:tcPr>
            <w:tcW w:w="1589" w:type="dxa"/>
            <w:vMerge/>
            <w:shd w:val="clear" w:color="auto" w:fill="auto"/>
          </w:tcPr>
          <w:p w14:paraId="6692DB3F" w14:textId="77777777" w:rsidR="00F5457D" w:rsidRPr="00CA64E6" w:rsidRDefault="00F5457D" w:rsidP="00811D46">
            <w:pPr>
              <w:spacing w:line="240" w:lineRule="auto"/>
              <w:rPr>
                <w:rFonts w:ascii="Times New Roman" w:hAnsi="Times New Roman"/>
                <w:color w:val="000000"/>
              </w:rPr>
            </w:pPr>
          </w:p>
        </w:tc>
        <w:tc>
          <w:tcPr>
            <w:tcW w:w="2291" w:type="dxa"/>
            <w:gridSpan w:val="7"/>
            <w:shd w:val="clear" w:color="auto" w:fill="auto"/>
          </w:tcPr>
          <w:p w14:paraId="2AF1DBD3"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t>sektor mikro-, małych i średnich przedsiębiorstw</w:t>
            </w:r>
          </w:p>
        </w:tc>
        <w:tc>
          <w:tcPr>
            <w:tcW w:w="236" w:type="dxa"/>
            <w:vMerge/>
            <w:shd w:val="clear" w:color="auto" w:fill="auto"/>
          </w:tcPr>
          <w:p w14:paraId="5EAE5982" w14:textId="77777777" w:rsidR="00F5457D" w:rsidRPr="00CA64E6" w:rsidRDefault="00F5457D" w:rsidP="00811D46">
            <w:pPr>
              <w:spacing w:line="240" w:lineRule="auto"/>
              <w:rPr>
                <w:rFonts w:ascii="Times New Roman" w:hAnsi="Times New Roman"/>
                <w:color w:val="000000"/>
                <w:spacing w:val="-2"/>
              </w:rPr>
            </w:pPr>
          </w:p>
        </w:tc>
        <w:tc>
          <w:tcPr>
            <w:tcW w:w="1639" w:type="dxa"/>
            <w:gridSpan w:val="6"/>
            <w:vMerge/>
            <w:shd w:val="clear" w:color="auto" w:fill="auto"/>
          </w:tcPr>
          <w:p w14:paraId="52C163EE" w14:textId="77777777" w:rsidR="00F5457D" w:rsidRPr="00CA64E6" w:rsidRDefault="00F5457D" w:rsidP="00811D46">
            <w:pPr>
              <w:spacing w:line="240" w:lineRule="auto"/>
              <w:rPr>
                <w:rFonts w:ascii="Times New Roman" w:hAnsi="Times New Roman"/>
                <w:color w:val="000000"/>
                <w:spacing w:val="-2"/>
              </w:rPr>
            </w:pPr>
          </w:p>
        </w:tc>
        <w:tc>
          <w:tcPr>
            <w:tcW w:w="938" w:type="dxa"/>
            <w:gridSpan w:val="3"/>
            <w:vMerge/>
            <w:shd w:val="clear" w:color="auto" w:fill="auto"/>
          </w:tcPr>
          <w:p w14:paraId="0241B530" w14:textId="77777777" w:rsidR="00F5457D" w:rsidRPr="00CA64E6" w:rsidRDefault="00F5457D" w:rsidP="00811D46">
            <w:pPr>
              <w:spacing w:line="240" w:lineRule="auto"/>
              <w:rPr>
                <w:rFonts w:ascii="Times New Roman" w:hAnsi="Times New Roman"/>
                <w:color w:val="000000"/>
                <w:spacing w:val="-2"/>
              </w:rPr>
            </w:pPr>
          </w:p>
        </w:tc>
        <w:tc>
          <w:tcPr>
            <w:tcW w:w="937" w:type="dxa"/>
            <w:gridSpan w:val="3"/>
            <w:vMerge/>
            <w:shd w:val="clear" w:color="auto" w:fill="auto"/>
          </w:tcPr>
          <w:p w14:paraId="7102E16B" w14:textId="77777777" w:rsidR="00F5457D" w:rsidRPr="00CA64E6" w:rsidRDefault="00F5457D" w:rsidP="00811D46">
            <w:pPr>
              <w:spacing w:line="240" w:lineRule="auto"/>
              <w:rPr>
                <w:rFonts w:ascii="Times New Roman" w:hAnsi="Times New Roman"/>
                <w:color w:val="000000"/>
                <w:spacing w:val="-2"/>
              </w:rPr>
            </w:pPr>
          </w:p>
        </w:tc>
        <w:tc>
          <w:tcPr>
            <w:tcW w:w="938" w:type="dxa"/>
            <w:gridSpan w:val="4"/>
            <w:vMerge/>
            <w:shd w:val="clear" w:color="auto" w:fill="auto"/>
          </w:tcPr>
          <w:p w14:paraId="72072C93" w14:textId="77777777" w:rsidR="00F5457D" w:rsidRPr="00CA64E6" w:rsidRDefault="00F5457D" w:rsidP="00811D46">
            <w:pPr>
              <w:spacing w:line="240" w:lineRule="auto"/>
              <w:rPr>
                <w:rFonts w:ascii="Times New Roman" w:hAnsi="Times New Roman"/>
                <w:color w:val="000000"/>
                <w:spacing w:val="-2"/>
              </w:rPr>
            </w:pPr>
          </w:p>
        </w:tc>
        <w:tc>
          <w:tcPr>
            <w:tcW w:w="1242" w:type="dxa"/>
            <w:gridSpan w:val="2"/>
            <w:vMerge/>
            <w:shd w:val="clear" w:color="auto" w:fill="auto"/>
          </w:tcPr>
          <w:p w14:paraId="6FD5AC23" w14:textId="77777777" w:rsidR="00F5457D" w:rsidRPr="00CA64E6" w:rsidRDefault="00F5457D" w:rsidP="00811D46">
            <w:pPr>
              <w:spacing w:line="240" w:lineRule="auto"/>
              <w:rPr>
                <w:rFonts w:ascii="Times New Roman" w:hAnsi="Times New Roman"/>
                <w:color w:val="000000"/>
                <w:spacing w:val="-2"/>
              </w:rPr>
            </w:pPr>
          </w:p>
        </w:tc>
        <w:tc>
          <w:tcPr>
            <w:tcW w:w="1127" w:type="dxa"/>
            <w:gridSpan w:val="2"/>
            <w:vMerge/>
            <w:shd w:val="clear" w:color="auto" w:fill="auto"/>
          </w:tcPr>
          <w:p w14:paraId="3CB41849" w14:textId="77777777" w:rsidR="00F5457D" w:rsidRPr="00CA64E6" w:rsidRDefault="00F5457D" w:rsidP="00811D46">
            <w:pPr>
              <w:spacing w:line="240" w:lineRule="auto"/>
              <w:rPr>
                <w:rFonts w:ascii="Times New Roman" w:hAnsi="Times New Roman"/>
                <w:color w:val="000000"/>
                <w:spacing w:val="-2"/>
              </w:rPr>
            </w:pPr>
          </w:p>
        </w:tc>
      </w:tr>
      <w:tr w:rsidR="00F5457D" w:rsidRPr="008B4FE6" w14:paraId="03A4A3BD" w14:textId="77777777" w:rsidTr="00AB4835">
        <w:trPr>
          <w:gridAfter w:val="1"/>
          <w:wAfter w:w="10" w:type="dxa"/>
          <w:trHeight w:val="142"/>
        </w:trPr>
        <w:tc>
          <w:tcPr>
            <w:tcW w:w="1589" w:type="dxa"/>
            <w:vMerge/>
            <w:shd w:val="clear" w:color="auto" w:fill="auto"/>
          </w:tcPr>
          <w:p w14:paraId="3C0471CF" w14:textId="77777777" w:rsidR="00F5457D" w:rsidRPr="00CA64E6" w:rsidRDefault="00F5457D" w:rsidP="00811D46">
            <w:pPr>
              <w:spacing w:line="240" w:lineRule="auto"/>
              <w:rPr>
                <w:rFonts w:ascii="Times New Roman" w:hAnsi="Times New Roman"/>
                <w:color w:val="000000"/>
              </w:rPr>
            </w:pPr>
          </w:p>
        </w:tc>
        <w:tc>
          <w:tcPr>
            <w:tcW w:w="2291" w:type="dxa"/>
            <w:gridSpan w:val="7"/>
            <w:shd w:val="clear" w:color="auto" w:fill="auto"/>
          </w:tcPr>
          <w:p w14:paraId="118EE24D"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rPr>
              <w:t>rodzina, obywatele oraz gospodarstwa domowe</w:t>
            </w:r>
          </w:p>
        </w:tc>
        <w:tc>
          <w:tcPr>
            <w:tcW w:w="236" w:type="dxa"/>
            <w:shd w:val="clear" w:color="auto" w:fill="auto"/>
          </w:tcPr>
          <w:p w14:paraId="318C5E1E" w14:textId="77777777" w:rsidR="00F5457D" w:rsidRPr="00CA64E6" w:rsidRDefault="00F5457D" w:rsidP="00811D46">
            <w:pPr>
              <w:spacing w:line="240" w:lineRule="auto"/>
              <w:rPr>
                <w:rFonts w:ascii="Times New Roman" w:hAnsi="Times New Roman"/>
                <w:color w:val="000000"/>
              </w:rPr>
            </w:pPr>
          </w:p>
        </w:tc>
        <w:tc>
          <w:tcPr>
            <w:tcW w:w="1639" w:type="dxa"/>
            <w:gridSpan w:val="6"/>
            <w:shd w:val="clear" w:color="auto" w:fill="auto"/>
          </w:tcPr>
          <w:p w14:paraId="71037CF0" w14:textId="77777777" w:rsidR="00F5457D" w:rsidRPr="00CA64E6" w:rsidRDefault="00F5457D" w:rsidP="00811D46">
            <w:pPr>
              <w:spacing w:line="240" w:lineRule="auto"/>
              <w:rPr>
                <w:rFonts w:ascii="Times New Roman" w:hAnsi="Times New Roman"/>
                <w:color w:val="000000"/>
              </w:rPr>
            </w:pPr>
          </w:p>
        </w:tc>
        <w:tc>
          <w:tcPr>
            <w:tcW w:w="938" w:type="dxa"/>
            <w:gridSpan w:val="3"/>
            <w:shd w:val="clear" w:color="auto" w:fill="auto"/>
          </w:tcPr>
          <w:p w14:paraId="2DDCED70" w14:textId="77777777" w:rsidR="00F5457D" w:rsidRPr="00CA64E6" w:rsidRDefault="00F5457D" w:rsidP="00811D46">
            <w:pPr>
              <w:spacing w:line="240" w:lineRule="auto"/>
              <w:rPr>
                <w:rFonts w:ascii="Times New Roman" w:hAnsi="Times New Roman"/>
                <w:color w:val="000000"/>
              </w:rPr>
            </w:pPr>
          </w:p>
        </w:tc>
        <w:tc>
          <w:tcPr>
            <w:tcW w:w="937" w:type="dxa"/>
            <w:gridSpan w:val="3"/>
            <w:shd w:val="clear" w:color="auto" w:fill="auto"/>
          </w:tcPr>
          <w:p w14:paraId="0F8DAB0C" w14:textId="77777777" w:rsidR="00F5457D" w:rsidRPr="00CA64E6" w:rsidRDefault="00F5457D" w:rsidP="00811D46">
            <w:pPr>
              <w:spacing w:line="240" w:lineRule="auto"/>
              <w:rPr>
                <w:rFonts w:ascii="Times New Roman" w:hAnsi="Times New Roman"/>
                <w:color w:val="000000"/>
              </w:rPr>
            </w:pPr>
          </w:p>
        </w:tc>
        <w:tc>
          <w:tcPr>
            <w:tcW w:w="938" w:type="dxa"/>
            <w:gridSpan w:val="4"/>
            <w:shd w:val="clear" w:color="auto" w:fill="auto"/>
          </w:tcPr>
          <w:p w14:paraId="48E7982B" w14:textId="77777777" w:rsidR="00F5457D" w:rsidRPr="00CA64E6" w:rsidRDefault="00F5457D" w:rsidP="00811D46">
            <w:pPr>
              <w:spacing w:line="240" w:lineRule="auto"/>
              <w:rPr>
                <w:rFonts w:ascii="Times New Roman" w:hAnsi="Times New Roman"/>
                <w:color w:val="000000"/>
              </w:rPr>
            </w:pPr>
          </w:p>
        </w:tc>
        <w:tc>
          <w:tcPr>
            <w:tcW w:w="1242" w:type="dxa"/>
            <w:gridSpan w:val="2"/>
            <w:shd w:val="clear" w:color="auto" w:fill="auto"/>
          </w:tcPr>
          <w:p w14:paraId="77C574EC" w14:textId="77777777" w:rsidR="00F5457D" w:rsidRPr="00CA64E6" w:rsidRDefault="00F5457D" w:rsidP="00811D46">
            <w:pPr>
              <w:spacing w:line="240" w:lineRule="auto"/>
              <w:rPr>
                <w:rFonts w:ascii="Times New Roman" w:hAnsi="Times New Roman"/>
                <w:color w:val="000000"/>
              </w:rPr>
            </w:pPr>
          </w:p>
        </w:tc>
        <w:tc>
          <w:tcPr>
            <w:tcW w:w="1127" w:type="dxa"/>
            <w:gridSpan w:val="2"/>
            <w:shd w:val="clear" w:color="auto" w:fill="auto"/>
          </w:tcPr>
          <w:p w14:paraId="6D2370A0" w14:textId="77777777" w:rsidR="00F5457D" w:rsidRPr="00CA64E6" w:rsidRDefault="00F5457D" w:rsidP="00811D46">
            <w:pPr>
              <w:spacing w:line="240" w:lineRule="auto"/>
              <w:rPr>
                <w:rFonts w:ascii="Times New Roman" w:hAnsi="Times New Roman"/>
                <w:color w:val="000000"/>
                <w:spacing w:val="-2"/>
              </w:rPr>
            </w:pPr>
          </w:p>
        </w:tc>
      </w:tr>
      <w:tr w:rsidR="00F5457D" w:rsidRPr="008B4FE6" w14:paraId="0790EE99" w14:textId="77777777" w:rsidTr="00AB4835">
        <w:trPr>
          <w:gridAfter w:val="1"/>
          <w:wAfter w:w="10" w:type="dxa"/>
          <w:trHeight w:val="142"/>
        </w:trPr>
        <w:tc>
          <w:tcPr>
            <w:tcW w:w="1589" w:type="dxa"/>
            <w:vMerge/>
            <w:shd w:val="clear" w:color="auto" w:fill="auto"/>
          </w:tcPr>
          <w:p w14:paraId="5E2A35A4" w14:textId="77777777" w:rsidR="00F5457D" w:rsidRPr="00CA64E6" w:rsidRDefault="00F5457D" w:rsidP="00811D46">
            <w:pPr>
              <w:spacing w:line="240" w:lineRule="auto"/>
              <w:rPr>
                <w:rFonts w:ascii="Times New Roman" w:hAnsi="Times New Roman"/>
                <w:color w:val="000000"/>
              </w:rPr>
            </w:pPr>
          </w:p>
        </w:tc>
        <w:tc>
          <w:tcPr>
            <w:tcW w:w="2291" w:type="dxa"/>
            <w:gridSpan w:val="7"/>
            <w:shd w:val="clear" w:color="auto" w:fill="auto"/>
          </w:tcPr>
          <w:p w14:paraId="1458C652"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CA64E6">
              <w:rPr>
                <w:rFonts w:ascii="Times New Roman" w:hAnsi="Times New Roman"/>
                <w:color w:val="000000"/>
              </w:rPr>
              <w:instrText xml:space="preserve"> FORMTEXT </w:instrText>
            </w:r>
            <w:r w:rsidRPr="00CA64E6">
              <w:rPr>
                <w:rFonts w:ascii="Times New Roman" w:hAnsi="Times New Roman"/>
                <w:color w:val="000000"/>
              </w:rPr>
            </w:r>
            <w:r w:rsidRPr="00CA64E6">
              <w:rPr>
                <w:rFonts w:ascii="Times New Roman" w:hAnsi="Times New Roman"/>
                <w:color w:val="000000"/>
              </w:rPr>
              <w:fldChar w:fldCharType="separate"/>
            </w:r>
            <w:r w:rsidRPr="00CA64E6">
              <w:rPr>
                <w:rFonts w:ascii="Times New Roman" w:hAnsi="Times New Roman"/>
                <w:noProof/>
                <w:color w:val="000000"/>
              </w:rPr>
              <w:t>(dodaj/usuń)</w:t>
            </w:r>
            <w:r w:rsidRPr="00CA64E6">
              <w:rPr>
                <w:rFonts w:ascii="Times New Roman" w:hAnsi="Times New Roman"/>
                <w:color w:val="000000"/>
              </w:rPr>
              <w:fldChar w:fldCharType="end"/>
            </w:r>
          </w:p>
        </w:tc>
        <w:tc>
          <w:tcPr>
            <w:tcW w:w="236" w:type="dxa"/>
            <w:shd w:val="clear" w:color="auto" w:fill="auto"/>
          </w:tcPr>
          <w:p w14:paraId="2CBD074A" w14:textId="77777777" w:rsidR="00F5457D" w:rsidRPr="00CA64E6" w:rsidRDefault="00F5457D" w:rsidP="00811D46">
            <w:pPr>
              <w:spacing w:line="240" w:lineRule="auto"/>
              <w:rPr>
                <w:rFonts w:ascii="Times New Roman" w:hAnsi="Times New Roman"/>
                <w:color w:val="000000"/>
              </w:rPr>
            </w:pPr>
          </w:p>
        </w:tc>
        <w:tc>
          <w:tcPr>
            <w:tcW w:w="1639" w:type="dxa"/>
            <w:gridSpan w:val="6"/>
            <w:shd w:val="clear" w:color="auto" w:fill="auto"/>
          </w:tcPr>
          <w:p w14:paraId="6ACD7101" w14:textId="77777777" w:rsidR="00F5457D" w:rsidRPr="00CA64E6" w:rsidRDefault="00F5457D" w:rsidP="00811D46">
            <w:pPr>
              <w:spacing w:line="240" w:lineRule="auto"/>
              <w:rPr>
                <w:rFonts w:ascii="Times New Roman" w:hAnsi="Times New Roman"/>
                <w:color w:val="000000"/>
              </w:rPr>
            </w:pPr>
          </w:p>
        </w:tc>
        <w:tc>
          <w:tcPr>
            <w:tcW w:w="938" w:type="dxa"/>
            <w:gridSpan w:val="3"/>
            <w:shd w:val="clear" w:color="auto" w:fill="auto"/>
          </w:tcPr>
          <w:p w14:paraId="66752C5F" w14:textId="77777777" w:rsidR="00F5457D" w:rsidRPr="00CA64E6" w:rsidRDefault="00F5457D" w:rsidP="00811D46">
            <w:pPr>
              <w:spacing w:line="240" w:lineRule="auto"/>
              <w:rPr>
                <w:rFonts w:ascii="Times New Roman" w:hAnsi="Times New Roman"/>
                <w:color w:val="000000"/>
              </w:rPr>
            </w:pPr>
          </w:p>
        </w:tc>
        <w:tc>
          <w:tcPr>
            <w:tcW w:w="937" w:type="dxa"/>
            <w:gridSpan w:val="3"/>
            <w:shd w:val="clear" w:color="auto" w:fill="auto"/>
          </w:tcPr>
          <w:p w14:paraId="38341FD7" w14:textId="77777777" w:rsidR="00F5457D" w:rsidRPr="00CA64E6" w:rsidRDefault="00F5457D" w:rsidP="00811D46">
            <w:pPr>
              <w:spacing w:line="240" w:lineRule="auto"/>
              <w:rPr>
                <w:rFonts w:ascii="Times New Roman" w:hAnsi="Times New Roman"/>
                <w:color w:val="000000"/>
              </w:rPr>
            </w:pPr>
          </w:p>
        </w:tc>
        <w:tc>
          <w:tcPr>
            <w:tcW w:w="938" w:type="dxa"/>
            <w:gridSpan w:val="4"/>
            <w:shd w:val="clear" w:color="auto" w:fill="auto"/>
          </w:tcPr>
          <w:p w14:paraId="42B64117" w14:textId="77777777" w:rsidR="00F5457D" w:rsidRPr="00CA64E6" w:rsidRDefault="00F5457D" w:rsidP="00811D46">
            <w:pPr>
              <w:spacing w:line="240" w:lineRule="auto"/>
              <w:rPr>
                <w:rFonts w:ascii="Times New Roman" w:hAnsi="Times New Roman"/>
                <w:color w:val="000000"/>
              </w:rPr>
            </w:pPr>
          </w:p>
        </w:tc>
        <w:tc>
          <w:tcPr>
            <w:tcW w:w="1242" w:type="dxa"/>
            <w:gridSpan w:val="2"/>
            <w:shd w:val="clear" w:color="auto" w:fill="auto"/>
          </w:tcPr>
          <w:p w14:paraId="64EBDBDB" w14:textId="77777777" w:rsidR="00F5457D" w:rsidRPr="00CA64E6" w:rsidRDefault="00F5457D" w:rsidP="00811D46">
            <w:pPr>
              <w:spacing w:line="240" w:lineRule="auto"/>
              <w:rPr>
                <w:rFonts w:ascii="Times New Roman" w:hAnsi="Times New Roman"/>
                <w:color w:val="000000"/>
              </w:rPr>
            </w:pPr>
          </w:p>
        </w:tc>
        <w:tc>
          <w:tcPr>
            <w:tcW w:w="1127" w:type="dxa"/>
            <w:gridSpan w:val="2"/>
            <w:shd w:val="clear" w:color="auto" w:fill="auto"/>
          </w:tcPr>
          <w:p w14:paraId="475E4BDB" w14:textId="77777777" w:rsidR="00F5457D" w:rsidRPr="00CA64E6" w:rsidRDefault="00F5457D" w:rsidP="00811D46">
            <w:pPr>
              <w:spacing w:line="240" w:lineRule="auto"/>
              <w:rPr>
                <w:rFonts w:ascii="Times New Roman" w:hAnsi="Times New Roman"/>
                <w:color w:val="000000"/>
                <w:spacing w:val="-2"/>
              </w:rPr>
            </w:pPr>
          </w:p>
        </w:tc>
      </w:tr>
      <w:tr w:rsidR="00F5457D" w:rsidRPr="008B4FE6" w14:paraId="1EE1D2A3" w14:textId="77777777" w:rsidTr="00AB4835">
        <w:trPr>
          <w:gridAfter w:val="1"/>
          <w:wAfter w:w="10" w:type="dxa"/>
          <w:trHeight w:val="142"/>
        </w:trPr>
        <w:tc>
          <w:tcPr>
            <w:tcW w:w="1589" w:type="dxa"/>
            <w:vMerge w:val="restart"/>
            <w:shd w:val="clear" w:color="auto" w:fill="auto"/>
          </w:tcPr>
          <w:p w14:paraId="5E1E157C"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t>W ujęciu niepieniężnym</w:t>
            </w:r>
          </w:p>
        </w:tc>
        <w:tc>
          <w:tcPr>
            <w:tcW w:w="2291" w:type="dxa"/>
            <w:gridSpan w:val="7"/>
            <w:shd w:val="clear" w:color="auto" w:fill="auto"/>
          </w:tcPr>
          <w:p w14:paraId="432B0ED6"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t>duże przedsiębiorstwa</w:t>
            </w:r>
          </w:p>
        </w:tc>
        <w:tc>
          <w:tcPr>
            <w:tcW w:w="7057" w:type="dxa"/>
            <w:gridSpan w:val="21"/>
            <w:vMerge w:val="restart"/>
            <w:shd w:val="clear" w:color="auto" w:fill="auto"/>
          </w:tcPr>
          <w:p w14:paraId="65E50AF2" w14:textId="1B4B4F1E" w:rsidR="00F5457D" w:rsidRPr="00AE3114" w:rsidRDefault="00F5457D" w:rsidP="00B0072D">
            <w:pPr>
              <w:spacing w:line="240" w:lineRule="auto"/>
              <w:jc w:val="both"/>
              <w:rPr>
                <w:rFonts w:ascii="Times New Roman" w:hAnsi="Times New Roman"/>
                <w:color w:val="000000"/>
                <w:spacing w:val="-2"/>
              </w:rPr>
            </w:pPr>
            <w:r w:rsidRPr="00AE3114">
              <w:rPr>
                <w:rFonts w:ascii="Times New Roman" w:hAnsi="Times New Roman"/>
                <w:color w:val="000000"/>
                <w:spacing w:val="-2"/>
              </w:rPr>
              <w:t xml:space="preserve">Wejście w życie niniejszego rozporządzenia może pozytywnie wpłynąć na konkurencyjność gospodarki poprzez wyrównanie obowiązków ewidencyjnych przedsiębiorców (obowiązek ewidencjonowania </w:t>
            </w:r>
            <w:r w:rsidR="00B0072D" w:rsidRPr="00AE3114">
              <w:rPr>
                <w:rFonts w:ascii="Times New Roman" w:hAnsi="Times New Roman"/>
                <w:color w:val="000000"/>
                <w:spacing w:val="-2"/>
              </w:rPr>
              <w:t>sprzedaży</w:t>
            </w:r>
            <w:r w:rsidRPr="00AE3114">
              <w:rPr>
                <w:rFonts w:ascii="Times New Roman" w:hAnsi="Times New Roman"/>
                <w:color w:val="000000"/>
                <w:spacing w:val="-2"/>
              </w:rPr>
              <w:t>, któr</w:t>
            </w:r>
            <w:r w:rsidR="00605979" w:rsidRPr="00AE3114">
              <w:rPr>
                <w:rFonts w:ascii="Times New Roman" w:hAnsi="Times New Roman"/>
                <w:color w:val="000000"/>
                <w:spacing w:val="-2"/>
              </w:rPr>
              <w:t>e</w:t>
            </w:r>
            <w:r w:rsidRPr="00AE3114">
              <w:rPr>
                <w:rFonts w:ascii="Times New Roman" w:hAnsi="Times New Roman"/>
                <w:color w:val="000000"/>
                <w:spacing w:val="-2"/>
              </w:rPr>
              <w:t xml:space="preserve"> obecnie w znacznej części mo</w:t>
            </w:r>
            <w:r w:rsidR="00605979" w:rsidRPr="00AE3114">
              <w:rPr>
                <w:rFonts w:ascii="Times New Roman" w:hAnsi="Times New Roman"/>
                <w:color w:val="000000"/>
                <w:spacing w:val="-2"/>
              </w:rPr>
              <w:t>gą</w:t>
            </w:r>
            <w:r w:rsidRPr="00AE3114">
              <w:rPr>
                <w:rFonts w:ascii="Times New Roman" w:hAnsi="Times New Roman"/>
                <w:color w:val="000000"/>
                <w:spacing w:val="-2"/>
              </w:rPr>
              <w:t xml:space="preserve"> być zaniżan</w:t>
            </w:r>
            <w:r w:rsidR="003758E3" w:rsidRPr="00AE3114">
              <w:rPr>
                <w:rFonts w:ascii="Times New Roman" w:hAnsi="Times New Roman"/>
                <w:color w:val="000000"/>
                <w:spacing w:val="-2"/>
              </w:rPr>
              <w:t>e</w:t>
            </w:r>
            <w:r w:rsidRPr="00AE3114">
              <w:rPr>
                <w:rFonts w:ascii="Times New Roman" w:hAnsi="Times New Roman"/>
                <w:color w:val="000000"/>
                <w:spacing w:val="-2"/>
              </w:rPr>
              <w:t>), a tym samym większa gwarancja otrzymania paragonu dla usługobiorcy (osoby fizycznej).</w:t>
            </w:r>
          </w:p>
        </w:tc>
      </w:tr>
      <w:tr w:rsidR="00F5457D" w:rsidRPr="008B4FE6" w14:paraId="21BC8341" w14:textId="77777777" w:rsidTr="00AB4835">
        <w:trPr>
          <w:gridAfter w:val="1"/>
          <w:wAfter w:w="10" w:type="dxa"/>
          <w:trHeight w:val="142"/>
        </w:trPr>
        <w:tc>
          <w:tcPr>
            <w:tcW w:w="1589" w:type="dxa"/>
            <w:vMerge/>
            <w:shd w:val="clear" w:color="auto" w:fill="auto"/>
          </w:tcPr>
          <w:p w14:paraId="585A8032" w14:textId="77777777" w:rsidR="00F5457D" w:rsidRPr="00CA64E6" w:rsidRDefault="00F5457D" w:rsidP="00811D46">
            <w:pPr>
              <w:spacing w:line="240" w:lineRule="auto"/>
              <w:rPr>
                <w:rFonts w:ascii="Times New Roman" w:hAnsi="Times New Roman"/>
                <w:color w:val="000000"/>
              </w:rPr>
            </w:pPr>
          </w:p>
        </w:tc>
        <w:tc>
          <w:tcPr>
            <w:tcW w:w="2291" w:type="dxa"/>
            <w:gridSpan w:val="7"/>
            <w:shd w:val="clear" w:color="auto" w:fill="auto"/>
          </w:tcPr>
          <w:p w14:paraId="22F4D4DC"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t>sektor mikro-, małych i średnich przedsiębiorstw</w:t>
            </w:r>
          </w:p>
        </w:tc>
        <w:tc>
          <w:tcPr>
            <w:tcW w:w="7057" w:type="dxa"/>
            <w:gridSpan w:val="21"/>
            <w:vMerge/>
            <w:shd w:val="clear" w:color="auto" w:fill="auto"/>
          </w:tcPr>
          <w:p w14:paraId="2596B578" w14:textId="77777777" w:rsidR="00F5457D" w:rsidRPr="00CA64E6" w:rsidRDefault="00F5457D" w:rsidP="00811D46">
            <w:pPr>
              <w:spacing w:line="240" w:lineRule="auto"/>
              <w:rPr>
                <w:rFonts w:ascii="Times New Roman" w:hAnsi="Times New Roman"/>
                <w:color w:val="000000"/>
                <w:spacing w:val="-2"/>
              </w:rPr>
            </w:pPr>
          </w:p>
        </w:tc>
      </w:tr>
      <w:tr w:rsidR="00F5457D" w:rsidRPr="008B4FE6" w14:paraId="585A69DB" w14:textId="77777777" w:rsidTr="00AB4835">
        <w:trPr>
          <w:gridAfter w:val="1"/>
          <w:wAfter w:w="10" w:type="dxa"/>
          <w:trHeight w:val="596"/>
        </w:trPr>
        <w:tc>
          <w:tcPr>
            <w:tcW w:w="1589" w:type="dxa"/>
            <w:vMerge/>
            <w:shd w:val="clear" w:color="auto" w:fill="auto"/>
          </w:tcPr>
          <w:p w14:paraId="5804131A" w14:textId="77777777" w:rsidR="00F5457D" w:rsidRPr="00CA64E6" w:rsidRDefault="00F5457D" w:rsidP="00811D46">
            <w:pPr>
              <w:spacing w:line="240" w:lineRule="auto"/>
              <w:rPr>
                <w:rFonts w:ascii="Times New Roman" w:hAnsi="Times New Roman"/>
                <w:color w:val="000000"/>
              </w:rPr>
            </w:pPr>
          </w:p>
        </w:tc>
        <w:tc>
          <w:tcPr>
            <w:tcW w:w="2291" w:type="dxa"/>
            <w:gridSpan w:val="7"/>
            <w:shd w:val="clear" w:color="auto" w:fill="auto"/>
          </w:tcPr>
          <w:p w14:paraId="2F5DB905" w14:textId="77777777" w:rsidR="00F5457D" w:rsidRPr="00CA64E6" w:rsidRDefault="00F5457D" w:rsidP="00955774">
            <w:pPr>
              <w:tabs>
                <w:tab w:val="right" w:pos="1936"/>
              </w:tabs>
              <w:spacing w:line="240" w:lineRule="auto"/>
              <w:rPr>
                <w:rFonts w:ascii="Times New Roman" w:hAnsi="Times New Roman"/>
                <w:color w:val="000000"/>
              </w:rPr>
            </w:pPr>
            <w:r w:rsidRPr="00CA64E6">
              <w:rPr>
                <w:rFonts w:ascii="Times New Roman" w:hAnsi="Times New Roman"/>
              </w:rPr>
              <w:t>rodzina, obywatele oraz gospodarstwa domowe</w:t>
            </w:r>
            <w:r w:rsidRPr="00CA64E6">
              <w:rPr>
                <w:rFonts w:ascii="Times New Roman" w:hAnsi="Times New Roman"/>
                <w:color w:val="000000"/>
              </w:rPr>
              <w:t xml:space="preserve"> </w:t>
            </w:r>
          </w:p>
        </w:tc>
        <w:tc>
          <w:tcPr>
            <w:tcW w:w="7057" w:type="dxa"/>
            <w:gridSpan w:val="21"/>
            <w:shd w:val="clear" w:color="auto" w:fill="auto"/>
          </w:tcPr>
          <w:p w14:paraId="398FAFDC" w14:textId="26A1280E" w:rsidR="00F5457D" w:rsidRPr="00AE3114" w:rsidRDefault="00A04382" w:rsidP="00CA64E6">
            <w:pPr>
              <w:spacing w:line="240" w:lineRule="auto"/>
              <w:jc w:val="both"/>
              <w:rPr>
                <w:rFonts w:ascii="Times New Roman" w:hAnsi="Times New Roman"/>
                <w:color w:val="000000"/>
                <w:spacing w:val="-2"/>
              </w:rPr>
            </w:pPr>
            <w:r w:rsidRPr="00AE3114">
              <w:rPr>
                <w:rFonts w:ascii="Times New Roman" w:hAnsi="Times New Roman"/>
                <w:color w:val="000000"/>
                <w:spacing w:val="-2"/>
              </w:rPr>
              <w:t>Projektowane rozporządzenie nie wpłynie na sytuację ekonomiczną i społeczną rodziny, a także osób niepełnosprawnych oraz osób starszych.</w:t>
            </w:r>
          </w:p>
        </w:tc>
      </w:tr>
      <w:tr w:rsidR="00F5457D" w:rsidRPr="008B4FE6" w14:paraId="25443BFE" w14:textId="77777777" w:rsidTr="00AB4835">
        <w:trPr>
          <w:gridAfter w:val="1"/>
          <w:wAfter w:w="10" w:type="dxa"/>
          <w:trHeight w:val="240"/>
        </w:trPr>
        <w:tc>
          <w:tcPr>
            <w:tcW w:w="1589" w:type="dxa"/>
            <w:vMerge/>
            <w:shd w:val="clear" w:color="auto" w:fill="auto"/>
          </w:tcPr>
          <w:p w14:paraId="1F9BD5B8" w14:textId="77777777" w:rsidR="00F5457D" w:rsidRPr="00CA64E6" w:rsidRDefault="00F5457D" w:rsidP="00811D46">
            <w:pPr>
              <w:spacing w:line="240" w:lineRule="auto"/>
              <w:rPr>
                <w:rFonts w:ascii="Times New Roman" w:hAnsi="Times New Roman"/>
                <w:color w:val="000000"/>
              </w:rPr>
            </w:pPr>
          </w:p>
        </w:tc>
        <w:tc>
          <w:tcPr>
            <w:tcW w:w="2291" w:type="dxa"/>
            <w:gridSpan w:val="7"/>
            <w:shd w:val="clear" w:color="auto" w:fill="auto"/>
          </w:tcPr>
          <w:p w14:paraId="3862C18C" w14:textId="77777777" w:rsidR="00F5457D" w:rsidRPr="00CA64E6" w:rsidRDefault="00F5457D" w:rsidP="00811D46">
            <w:pPr>
              <w:tabs>
                <w:tab w:val="right" w:pos="1936"/>
              </w:tabs>
              <w:rPr>
                <w:rFonts w:ascii="Times New Roman" w:hAnsi="Times New Roman"/>
              </w:rPr>
            </w:pPr>
            <w:r w:rsidRPr="00CA64E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CA64E6">
              <w:rPr>
                <w:rFonts w:ascii="Times New Roman" w:hAnsi="Times New Roman"/>
                <w:color w:val="000000"/>
              </w:rPr>
              <w:instrText xml:space="preserve"> FORMTEXT </w:instrText>
            </w:r>
            <w:r w:rsidRPr="00CA64E6">
              <w:rPr>
                <w:rFonts w:ascii="Times New Roman" w:hAnsi="Times New Roman"/>
                <w:color w:val="000000"/>
              </w:rPr>
            </w:r>
            <w:r w:rsidRPr="00CA64E6">
              <w:rPr>
                <w:rFonts w:ascii="Times New Roman" w:hAnsi="Times New Roman"/>
                <w:color w:val="000000"/>
              </w:rPr>
              <w:fldChar w:fldCharType="separate"/>
            </w:r>
            <w:r w:rsidRPr="00CA64E6">
              <w:rPr>
                <w:rFonts w:ascii="Times New Roman" w:hAnsi="Times New Roman"/>
                <w:noProof/>
                <w:color w:val="000000"/>
              </w:rPr>
              <w:t>(dodaj/usuń)</w:t>
            </w:r>
            <w:r w:rsidRPr="00CA64E6">
              <w:rPr>
                <w:rFonts w:ascii="Times New Roman" w:hAnsi="Times New Roman"/>
                <w:color w:val="000000"/>
              </w:rPr>
              <w:fldChar w:fldCharType="end"/>
            </w:r>
          </w:p>
        </w:tc>
        <w:tc>
          <w:tcPr>
            <w:tcW w:w="7057" w:type="dxa"/>
            <w:gridSpan w:val="21"/>
            <w:shd w:val="clear" w:color="auto" w:fill="auto"/>
          </w:tcPr>
          <w:p w14:paraId="3FA7D932" w14:textId="77777777" w:rsidR="00F5457D" w:rsidRPr="00CA64E6" w:rsidRDefault="00F5457D" w:rsidP="00811D46">
            <w:pPr>
              <w:tabs>
                <w:tab w:val="left" w:pos="3000"/>
              </w:tabs>
              <w:rPr>
                <w:rFonts w:ascii="Times New Roman" w:hAnsi="Times New Roman"/>
                <w:color w:val="000000"/>
                <w:spacing w:val="-2"/>
              </w:rPr>
            </w:pPr>
          </w:p>
        </w:tc>
      </w:tr>
      <w:tr w:rsidR="00F5457D" w:rsidRPr="008B4FE6" w14:paraId="6160B550" w14:textId="77777777" w:rsidTr="00AB4835">
        <w:trPr>
          <w:gridAfter w:val="1"/>
          <w:wAfter w:w="10" w:type="dxa"/>
          <w:trHeight w:val="142"/>
        </w:trPr>
        <w:tc>
          <w:tcPr>
            <w:tcW w:w="1589" w:type="dxa"/>
            <w:vMerge w:val="restart"/>
            <w:shd w:val="clear" w:color="auto" w:fill="auto"/>
          </w:tcPr>
          <w:p w14:paraId="45BE372C"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t>Niemierzalne</w:t>
            </w:r>
          </w:p>
        </w:tc>
        <w:tc>
          <w:tcPr>
            <w:tcW w:w="2291" w:type="dxa"/>
            <w:gridSpan w:val="7"/>
            <w:shd w:val="clear" w:color="auto" w:fill="auto"/>
          </w:tcPr>
          <w:p w14:paraId="2D5759CB"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CA64E6">
              <w:rPr>
                <w:rFonts w:ascii="Times New Roman" w:hAnsi="Times New Roman"/>
                <w:color w:val="000000"/>
              </w:rPr>
              <w:instrText xml:space="preserve"> FORMTEXT </w:instrText>
            </w:r>
            <w:r w:rsidRPr="00CA64E6">
              <w:rPr>
                <w:rFonts w:ascii="Times New Roman" w:hAnsi="Times New Roman"/>
                <w:color w:val="000000"/>
              </w:rPr>
            </w:r>
            <w:r w:rsidRPr="00CA64E6">
              <w:rPr>
                <w:rFonts w:ascii="Times New Roman" w:hAnsi="Times New Roman"/>
                <w:color w:val="000000"/>
              </w:rPr>
              <w:fldChar w:fldCharType="separate"/>
            </w:r>
            <w:r w:rsidRPr="00CA64E6">
              <w:rPr>
                <w:rFonts w:ascii="Times New Roman" w:hAnsi="Times New Roman"/>
                <w:noProof/>
                <w:color w:val="000000"/>
              </w:rPr>
              <w:t>(dodaj/usuń)</w:t>
            </w:r>
            <w:r w:rsidRPr="00CA64E6">
              <w:rPr>
                <w:rFonts w:ascii="Times New Roman" w:hAnsi="Times New Roman"/>
                <w:color w:val="000000"/>
              </w:rPr>
              <w:fldChar w:fldCharType="end"/>
            </w:r>
          </w:p>
        </w:tc>
        <w:tc>
          <w:tcPr>
            <w:tcW w:w="7057" w:type="dxa"/>
            <w:gridSpan w:val="21"/>
            <w:shd w:val="clear" w:color="auto" w:fill="auto"/>
          </w:tcPr>
          <w:p w14:paraId="0B1C8D2D" w14:textId="77777777" w:rsidR="00F5457D" w:rsidRPr="00CA64E6" w:rsidRDefault="00F5457D" w:rsidP="00811D46">
            <w:pPr>
              <w:spacing w:line="240" w:lineRule="auto"/>
              <w:rPr>
                <w:rFonts w:ascii="Times New Roman" w:hAnsi="Times New Roman"/>
                <w:color w:val="000000"/>
                <w:spacing w:val="-2"/>
              </w:rPr>
            </w:pPr>
          </w:p>
        </w:tc>
      </w:tr>
      <w:tr w:rsidR="00F5457D" w:rsidRPr="008B4FE6" w14:paraId="30D0719F" w14:textId="77777777" w:rsidTr="00AB4835">
        <w:trPr>
          <w:gridAfter w:val="1"/>
          <w:wAfter w:w="10" w:type="dxa"/>
          <w:trHeight w:val="142"/>
        </w:trPr>
        <w:tc>
          <w:tcPr>
            <w:tcW w:w="1589" w:type="dxa"/>
            <w:vMerge/>
            <w:shd w:val="clear" w:color="auto" w:fill="auto"/>
          </w:tcPr>
          <w:p w14:paraId="5618A038" w14:textId="77777777" w:rsidR="00F5457D" w:rsidRPr="00CA64E6" w:rsidRDefault="00F5457D" w:rsidP="00811D46">
            <w:pPr>
              <w:spacing w:line="240" w:lineRule="auto"/>
              <w:rPr>
                <w:rFonts w:ascii="Times New Roman" w:hAnsi="Times New Roman"/>
                <w:color w:val="000000"/>
              </w:rPr>
            </w:pPr>
          </w:p>
        </w:tc>
        <w:tc>
          <w:tcPr>
            <w:tcW w:w="2291" w:type="dxa"/>
            <w:gridSpan w:val="7"/>
            <w:shd w:val="clear" w:color="auto" w:fill="auto"/>
          </w:tcPr>
          <w:p w14:paraId="09C75C3D" w14:textId="77777777" w:rsidR="00F5457D" w:rsidRPr="00CA64E6" w:rsidRDefault="00F5457D" w:rsidP="00811D46">
            <w:pPr>
              <w:spacing w:line="240" w:lineRule="auto"/>
              <w:rPr>
                <w:rFonts w:ascii="Times New Roman" w:hAnsi="Times New Roman"/>
                <w:color w:val="000000"/>
              </w:rPr>
            </w:pPr>
            <w:r w:rsidRPr="00CA64E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CA64E6">
              <w:rPr>
                <w:rFonts w:ascii="Times New Roman" w:hAnsi="Times New Roman"/>
                <w:color w:val="000000"/>
              </w:rPr>
              <w:instrText xml:space="preserve"> FORMTEXT </w:instrText>
            </w:r>
            <w:r w:rsidRPr="00CA64E6">
              <w:rPr>
                <w:rFonts w:ascii="Times New Roman" w:hAnsi="Times New Roman"/>
                <w:color w:val="000000"/>
              </w:rPr>
            </w:r>
            <w:r w:rsidRPr="00CA64E6">
              <w:rPr>
                <w:rFonts w:ascii="Times New Roman" w:hAnsi="Times New Roman"/>
                <w:color w:val="000000"/>
              </w:rPr>
              <w:fldChar w:fldCharType="separate"/>
            </w:r>
            <w:r w:rsidRPr="00CA64E6">
              <w:rPr>
                <w:rFonts w:ascii="Times New Roman" w:hAnsi="Times New Roman"/>
                <w:noProof/>
                <w:color w:val="000000"/>
              </w:rPr>
              <w:t>(dodaj/usuń)</w:t>
            </w:r>
            <w:r w:rsidRPr="00CA64E6">
              <w:rPr>
                <w:rFonts w:ascii="Times New Roman" w:hAnsi="Times New Roman"/>
                <w:color w:val="000000"/>
              </w:rPr>
              <w:fldChar w:fldCharType="end"/>
            </w:r>
          </w:p>
        </w:tc>
        <w:tc>
          <w:tcPr>
            <w:tcW w:w="7057" w:type="dxa"/>
            <w:gridSpan w:val="21"/>
            <w:shd w:val="clear" w:color="auto" w:fill="auto"/>
          </w:tcPr>
          <w:p w14:paraId="402A461C" w14:textId="77777777" w:rsidR="00F5457D" w:rsidRPr="00CA64E6" w:rsidRDefault="00F5457D" w:rsidP="00811D46">
            <w:pPr>
              <w:spacing w:line="240" w:lineRule="auto"/>
              <w:rPr>
                <w:rFonts w:ascii="Times New Roman" w:hAnsi="Times New Roman"/>
                <w:color w:val="000000"/>
                <w:spacing w:val="-2"/>
              </w:rPr>
            </w:pPr>
          </w:p>
        </w:tc>
      </w:tr>
      <w:tr w:rsidR="00F5457D" w:rsidRPr="008B4FE6" w14:paraId="6CA7DEF2" w14:textId="77777777" w:rsidTr="00AB4835">
        <w:trPr>
          <w:gridAfter w:val="1"/>
          <w:wAfter w:w="10" w:type="dxa"/>
          <w:trHeight w:val="1643"/>
        </w:trPr>
        <w:tc>
          <w:tcPr>
            <w:tcW w:w="2235" w:type="dxa"/>
            <w:gridSpan w:val="2"/>
            <w:shd w:val="clear" w:color="auto" w:fill="auto"/>
          </w:tcPr>
          <w:p w14:paraId="47A3A53F" w14:textId="77777777" w:rsidR="00F5457D" w:rsidRPr="00301959" w:rsidRDefault="00F5457D"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702" w:type="dxa"/>
            <w:gridSpan w:val="27"/>
            <w:shd w:val="clear" w:color="auto" w:fill="auto"/>
            <w:vAlign w:val="center"/>
          </w:tcPr>
          <w:p w14:paraId="55DF89FD" w14:textId="33800A85" w:rsidR="00073EA7" w:rsidRDefault="00073EA7">
            <w:pPr>
              <w:spacing w:line="240" w:lineRule="auto"/>
              <w:jc w:val="both"/>
              <w:rPr>
                <w:rFonts w:ascii="Times New Roman" w:hAnsi="Times New Roman"/>
              </w:rPr>
            </w:pPr>
            <w:r>
              <w:rPr>
                <w:rFonts w:ascii="Times New Roman" w:hAnsi="Times New Roman"/>
              </w:rPr>
              <w:t>Z uwagi na brak danych, nie jest możliwe oszacowanie wpływu wprowadzanych regulacji na przedsiębiorców. Zakłada, się</w:t>
            </w:r>
            <w:r w:rsidR="006B3057">
              <w:rPr>
                <w:rFonts w:ascii="Times New Roman" w:hAnsi="Times New Roman"/>
              </w:rPr>
              <w:t xml:space="preserve"> że</w:t>
            </w:r>
            <w:r>
              <w:rPr>
                <w:rFonts w:ascii="Times New Roman" w:hAnsi="Times New Roman"/>
              </w:rPr>
              <w:t xml:space="preserve"> przedsiębiorcy objęci ww. zmianami będą musieli ponieść następujące koszty:</w:t>
            </w:r>
          </w:p>
          <w:p w14:paraId="6A82B5D3" w14:textId="56F8E03B" w:rsidR="00073EA7" w:rsidRDefault="00073EA7" w:rsidP="00CA64E6">
            <w:pPr>
              <w:pStyle w:val="Akapitzlist"/>
              <w:numPr>
                <w:ilvl w:val="0"/>
                <w:numId w:val="25"/>
              </w:numPr>
              <w:tabs>
                <w:tab w:val="left" w:pos="351"/>
              </w:tabs>
              <w:spacing w:line="240" w:lineRule="auto"/>
              <w:ind w:left="68" w:firstLine="0"/>
              <w:jc w:val="both"/>
              <w:rPr>
                <w:rFonts w:ascii="Times New Roman" w:hAnsi="Times New Roman"/>
              </w:rPr>
            </w:pPr>
            <w:r w:rsidRPr="00E06CA7">
              <w:rPr>
                <w:rFonts w:ascii="Times New Roman" w:hAnsi="Times New Roman"/>
              </w:rPr>
              <w:t>koszt zakup</w:t>
            </w:r>
            <w:r>
              <w:rPr>
                <w:rFonts w:ascii="Times New Roman" w:hAnsi="Times New Roman"/>
              </w:rPr>
              <w:t>u</w:t>
            </w:r>
            <w:r w:rsidRPr="00E06CA7">
              <w:rPr>
                <w:rFonts w:ascii="Times New Roman" w:hAnsi="Times New Roman"/>
              </w:rPr>
              <w:t xml:space="preserve"> kasy rejestrującej</w:t>
            </w:r>
            <w:r>
              <w:rPr>
                <w:rFonts w:ascii="Times New Roman" w:hAnsi="Times New Roman"/>
              </w:rPr>
              <w:t>,</w:t>
            </w:r>
          </w:p>
          <w:p w14:paraId="59BE4A13" w14:textId="5108BAF3" w:rsidR="00073EA7" w:rsidRDefault="00073EA7" w:rsidP="00CA64E6">
            <w:pPr>
              <w:pStyle w:val="Akapitzlist"/>
              <w:numPr>
                <w:ilvl w:val="0"/>
                <w:numId w:val="25"/>
              </w:numPr>
              <w:tabs>
                <w:tab w:val="left" w:pos="351"/>
              </w:tabs>
              <w:spacing w:line="240" w:lineRule="auto"/>
              <w:ind w:left="68" w:firstLine="0"/>
              <w:jc w:val="both"/>
              <w:rPr>
                <w:rFonts w:ascii="Times New Roman" w:hAnsi="Times New Roman"/>
              </w:rPr>
            </w:pPr>
            <w:r w:rsidRPr="00073EA7">
              <w:rPr>
                <w:rFonts w:ascii="Times New Roman" w:hAnsi="Times New Roman"/>
              </w:rPr>
              <w:t>koszt związany z fiskalizacją</w:t>
            </w:r>
            <w:r>
              <w:rPr>
                <w:rFonts w:ascii="Times New Roman" w:hAnsi="Times New Roman"/>
              </w:rPr>
              <w:t>,</w:t>
            </w:r>
          </w:p>
          <w:p w14:paraId="6679070E" w14:textId="47FDBC0A" w:rsidR="00073EA7" w:rsidRDefault="00073EA7" w:rsidP="00CA64E6">
            <w:pPr>
              <w:pStyle w:val="Akapitzlist"/>
              <w:numPr>
                <w:ilvl w:val="0"/>
                <w:numId w:val="25"/>
              </w:numPr>
              <w:tabs>
                <w:tab w:val="left" w:pos="351"/>
              </w:tabs>
              <w:spacing w:line="240" w:lineRule="auto"/>
              <w:ind w:left="68" w:firstLine="0"/>
              <w:jc w:val="both"/>
              <w:rPr>
                <w:rFonts w:ascii="Times New Roman" w:hAnsi="Times New Roman"/>
              </w:rPr>
            </w:pPr>
            <w:r w:rsidRPr="00073EA7">
              <w:rPr>
                <w:rFonts w:ascii="Times New Roman" w:hAnsi="Times New Roman"/>
              </w:rPr>
              <w:t>przegląd techniczny kasy</w:t>
            </w:r>
            <w:r w:rsidR="00B0072D">
              <w:rPr>
                <w:rFonts w:ascii="Times New Roman" w:hAnsi="Times New Roman"/>
              </w:rPr>
              <w:t xml:space="preserve">, </w:t>
            </w:r>
            <w:commentRangeStart w:id="4"/>
            <w:r w:rsidR="00B0072D">
              <w:rPr>
                <w:rFonts w:ascii="Times New Roman" w:hAnsi="Times New Roman"/>
              </w:rPr>
              <w:t xml:space="preserve">tylko w przypadku kas </w:t>
            </w:r>
            <w:r w:rsidR="00E802AB">
              <w:rPr>
                <w:rFonts w:ascii="Times New Roman" w:hAnsi="Times New Roman"/>
              </w:rPr>
              <w:t>sprzętowych</w:t>
            </w:r>
            <w:r w:rsidR="00B61FD1">
              <w:rPr>
                <w:rFonts w:ascii="Times New Roman" w:hAnsi="Times New Roman"/>
              </w:rPr>
              <w:t>,</w:t>
            </w:r>
            <w:commentRangeEnd w:id="4"/>
            <w:r w:rsidR="007C68C1">
              <w:rPr>
                <w:rStyle w:val="Odwoaniedokomentarza"/>
              </w:rPr>
              <w:commentReference w:id="4"/>
            </w:r>
          </w:p>
          <w:p w14:paraId="171E7600" w14:textId="6C2397E8" w:rsidR="00073EA7" w:rsidRPr="00E06CA7" w:rsidRDefault="00073EA7" w:rsidP="00CA64E6">
            <w:pPr>
              <w:pStyle w:val="Akapitzlist"/>
              <w:numPr>
                <w:ilvl w:val="0"/>
                <w:numId w:val="25"/>
              </w:numPr>
              <w:tabs>
                <w:tab w:val="left" w:pos="351"/>
              </w:tabs>
              <w:spacing w:line="240" w:lineRule="auto"/>
              <w:ind w:left="68" w:firstLine="0"/>
              <w:jc w:val="both"/>
              <w:rPr>
                <w:rFonts w:ascii="Times New Roman" w:hAnsi="Times New Roman"/>
              </w:rPr>
            </w:pPr>
            <w:r>
              <w:rPr>
                <w:rFonts w:ascii="Times New Roman" w:hAnsi="Times New Roman"/>
              </w:rPr>
              <w:t>serwisu, energii itp.</w:t>
            </w:r>
          </w:p>
          <w:p w14:paraId="6C073C79" w14:textId="60DBD25A" w:rsidR="00F5457D" w:rsidRPr="00301959" w:rsidRDefault="00F5457D">
            <w:pPr>
              <w:spacing w:line="240" w:lineRule="auto"/>
              <w:jc w:val="both"/>
              <w:rPr>
                <w:rFonts w:ascii="Times New Roman" w:hAnsi="Times New Roman"/>
                <w:color w:val="000000"/>
                <w:sz w:val="21"/>
                <w:szCs w:val="21"/>
              </w:rPr>
            </w:pPr>
            <w:r w:rsidRPr="00783532">
              <w:rPr>
                <w:rFonts w:ascii="Times New Roman" w:hAnsi="Times New Roman"/>
              </w:rPr>
              <w:t xml:space="preserve">Wskazane koszty nie uwzględniają korzyści, które osiąga przedsiębiorca ze stosowania kasy </w:t>
            </w:r>
            <w:r w:rsidR="00B0072D">
              <w:rPr>
                <w:rFonts w:ascii="Times New Roman" w:hAnsi="Times New Roman"/>
              </w:rPr>
              <w:t>rejestrującej</w:t>
            </w:r>
            <w:r w:rsidRPr="00783532">
              <w:rPr>
                <w:rFonts w:ascii="Times New Roman" w:hAnsi="Times New Roman"/>
              </w:rPr>
              <w:t xml:space="preserve"> polegających na możliwości wykorzystywania kasy</w:t>
            </w:r>
            <w:r w:rsidR="00323045">
              <w:rPr>
                <w:rFonts w:ascii="Times New Roman" w:hAnsi="Times New Roman"/>
              </w:rPr>
              <w:t>,</w:t>
            </w:r>
            <w:r w:rsidRPr="00783532">
              <w:rPr>
                <w:rFonts w:ascii="Times New Roman" w:hAnsi="Times New Roman"/>
              </w:rPr>
              <w:t xml:space="preserve"> w szczególności</w:t>
            </w:r>
            <w:r w:rsidR="00323045">
              <w:rPr>
                <w:rFonts w:ascii="Times New Roman" w:hAnsi="Times New Roman"/>
              </w:rPr>
              <w:t>,</w:t>
            </w:r>
            <w:r w:rsidRPr="00783532">
              <w:rPr>
                <w:rFonts w:ascii="Times New Roman" w:hAnsi="Times New Roman"/>
              </w:rPr>
              <w:t xml:space="preserve"> jako urządzenia ewidencyjnego dla potrzeb podatkowych, ale także wspomagającego gospodarkę magazynową oraz funkcji kontrolnej w stosunku do pracowników (obowiązek ewidencjonowania każdej transakcji). </w:t>
            </w:r>
            <w:r w:rsidRPr="00783532">
              <w:rPr>
                <w:rFonts w:ascii="Times New Roman" w:eastAsia="Cambria" w:hAnsi="Times New Roman"/>
              </w:rPr>
              <w:t xml:space="preserve">Jednocześnie wskazać należy, że wszyscy podatnicy są zobligowani do prowadzenia ewidencji sprzedaży, czy to w </w:t>
            </w:r>
            <w:r w:rsidR="007E145D">
              <w:rPr>
                <w:rFonts w:ascii="Times New Roman" w:eastAsia="Cambria" w:hAnsi="Times New Roman"/>
              </w:rPr>
              <w:t>postaci</w:t>
            </w:r>
            <w:r w:rsidR="007E145D" w:rsidRPr="00783532">
              <w:rPr>
                <w:rFonts w:ascii="Times New Roman" w:eastAsia="Cambria" w:hAnsi="Times New Roman"/>
              </w:rPr>
              <w:t xml:space="preserve"> </w:t>
            </w:r>
            <w:r w:rsidRPr="00783532">
              <w:rPr>
                <w:rFonts w:ascii="Times New Roman" w:eastAsia="Cambria" w:hAnsi="Times New Roman"/>
              </w:rPr>
              <w:t xml:space="preserve">papierowej, czy elektronicznej. Kasa rejestrująca upraszcza ewidencjonowanie </w:t>
            </w:r>
            <w:r w:rsidR="00B0072D">
              <w:rPr>
                <w:rFonts w:ascii="Times New Roman" w:eastAsia="Cambria" w:hAnsi="Times New Roman"/>
              </w:rPr>
              <w:t>sprzedaży</w:t>
            </w:r>
            <w:r w:rsidRPr="00783532">
              <w:rPr>
                <w:rFonts w:ascii="Times New Roman" w:eastAsia="Cambria" w:hAnsi="Times New Roman"/>
              </w:rPr>
              <w:t>, zatem jej wprowadzenie u podatnika nie generuje jedynie dodatkowych kosztów, wręcz może pozytywnie wpłynąć na funkcjonowanie danego przedsiębiorcy.</w:t>
            </w:r>
          </w:p>
        </w:tc>
      </w:tr>
      <w:tr w:rsidR="00F5457D" w:rsidRPr="008B4FE6" w14:paraId="2C43D856" w14:textId="77777777" w:rsidTr="00AB4835">
        <w:trPr>
          <w:gridAfter w:val="1"/>
          <w:wAfter w:w="10" w:type="dxa"/>
          <w:trHeight w:val="342"/>
        </w:trPr>
        <w:tc>
          <w:tcPr>
            <w:tcW w:w="10937" w:type="dxa"/>
            <w:gridSpan w:val="29"/>
            <w:shd w:val="clear" w:color="auto" w:fill="auto"/>
            <w:vAlign w:val="center"/>
          </w:tcPr>
          <w:p w14:paraId="7F20E6D1" w14:textId="52CCA7AB" w:rsidR="00F5457D" w:rsidRPr="008B4FE6" w:rsidRDefault="00F5457D"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F5457D" w:rsidRPr="008B4FE6" w14:paraId="449EBF07" w14:textId="77777777" w:rsidTr="00AB4835">
        <w:trPr>
          <w:gridAfter w:val="1"/>
          <w:wAfter w:w="10" w:type="dxa"/>
          <w:trHeight w:val="151"/>
        </w:trPr>
        <w:tc>
          <w:tcPr>
            <w:tcW w:w="10937" w:type="dxa"/>
            <w:gridSpan w:val="29"/>
            <w:shd w:val="clear" w:color="auto" w:fill="auto"/>
          </w:tcPr>
          <w:p w14:paraId="41CF312F" w14:textId="77777777" w:rsidR="00F5457D" w:rsidRPr="008B4FE6" w:rsidRDefault="00F5457D" w:rsidP="004F4E17">
            <w:pPr>
              <w:spacing w:line="240" w:lineRule="auto"/>
              <w:rPr>
                <w:rFonts w:ascii="Times New Roman" w:hAnsi="Times New Roman"/>
                <w:color w:val="000000"/>
              </w:rPr>
            </w:pPr>
          </w:p>
        </w:tc>
      </w:tr>
      <w:tr w:rsidR="00F5457D" w:rsidRPr="008B4FE6" w14:paraId="43E23F44" w14:textId="77777777" w:rsidTr="00AB4835">
        <w:trPr>
          <w:gridAfter w:val="1"/>
          <w:wAfter w:w="10" w:type="dxa"/>
          <w:trHeight w:val="946"/>
        </w:trPr>
        <w:tc>
          <w:tcPr>
            <w:tcW w:w="5102" w:type="dxa"/>
            <w:gridSpan w:val="13"/>
            <w:shd w:val="clear" w:color="auto" w:fill="auto"/>
          </w:tcPr>
          <w:p w14:paraId="1913390D" w14:textId="77777777" w:rsidR="00F5457D" w:rsidRDefault="00F5457D"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35" w:type="dxa"/>
            <w:gridSpan w:val="16"/>
            <w:shd w:val="clear" w:color="auto" w:fill="auto"/>
          </w:tcPr>
          <w:p w14:paraId="11806278" w14:textId="77777777" w:rsidR="00F5457D" w:rsidRDefault="00F5457D"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054E58A9" w14:textId="77777777" w:rsidR="00F5457D" w:rsidRDefault="00F5457D"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29ABEE50" w14:textId="77777777" w:rsidR="00F5457D" w:rsidRDefault="00F5457D" w:rsidP="00842351">
            <w:pPr>
              <w:rPr>
                <w:rFonts w:ascii="Times New Roman" w:hAnsi="Times New Roman"/>
                <w:color w:val="000000"/>
              </w:rPr>
            </w:pPr>
            <w:r>
              <w:rPr>
                <w:rFonts w:ascii="Times New Roman" w:hAnsi="Times New Roman"/>
                <w:color w:val="000000"/>
              </w:rPr>
              <w:t>X  nie dotyczy</w:t>
            </w:r>
          </w:p>
        </w:tc>
      </w:tr>
      <w:tr w:rsidR="00F5457D" w:rsidRPr="008B4FE6" w14:paraId="6F1AD376" w14:textId="77777777" w:rsidTr="00AB4835">
        <w:trPr>
          <w:gridAfter w:val="1"/>
          <w:wAfter w:w="10" w:type="dxa"/>
          <w:trHeight w:val="1245"/>
        </w:trPr>
        <w:tc>
          <w:tcPr>
            <w:tcW w:w="5102" w:type="dxa"/>
            <w:gridSpan w:val="13"/>
            <w:shd w:val="clear" w:color="auto" w:fill="auto"/>
          </w:tcPr>
          <w:p w14:paraId="59A1E320" w14:textId="77777777" w:rsidR="00F5457D" w:rsidRPr="008B4FE6" w:rsidRDefault="00F5457D" w:rsidP="00AE6CF8">
            <w:pPr>
              <w:spacing w:line="240" w:lineRule="auto"/>
              <w:rPr>
                <w:rFonts w:ascii="Times New Roman" w:hAnsi="Times New Roman"/>
                <w:color w:val="000000"/>
                <w:spacing w:val="-2"/>
              </w:rPr>
            </w:pPr>
            <w:r w:rsidRPr="008B4FE6">
              <w:rPr>
                <w:rFonts w:ascii="Times New Roman" w:hAnsi="Times New Roman"/>
                <w:color w:val="000000"/>
              </w:rPr>
              <w:lastRenderedPageBreak/>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32933125" w14:textId="77777777" w:rsidR="00F5457D" w:rsidRPr="008B4FE6" w:rsidRDefault="00F5457D" w:rsidP="00AE6CF8">
            <w:pPr>
              <w:spacing w:line="240" w:lineRule="auto"/>
              <w:rPr>
                <w:rFonts w:ascii="Times New Roman" w:hAnsi="Times New Roman"/>
                <w:color w:val="000000"/>
                <w:spacing w:val="-2"/>
              </w:rPr>
            </w:pPr>
            <w:r>
              <w:rPr>
                <w:rFonts w:ascii="Times New Roman" w:hAnsi="Times New Roman"/>
                <w:color w:val="000000"/>
                <w:sz w:val="20"/>
                <w:szCs w:val="20"/>
              </w:rPr>
              <w:t xml:space="preserve">X   </w:t>
            </w:r>
            <w:r w:rsidRPr="008B4FE6">
              <w:rPr>
                <w:rFonts w:ascii="Times New Roman" w:hAnsi="Times New Roman"/>
                <w:color w:val="000000"/>
                <w:spacing w:val="-2"/>
              </w:rPr>
              <w:t>zmniejszenie liczby procedur</w:t>
            </w:r>
          </w:p>
          <w:p w14:paraId="53D12F35" w14:textId="77777777" w:rsidR="00F5457D" w:rsidRDefault="00F5457D"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1B0CEB22" w14:textId="77777777" w:rsidR="00F5457D" w:rsidRPr="008B4FE6" w:rsidRDefault="00F5457D"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35" w:type="dxa"/>
            <w:gridSpan w:val="16"/>
            <w:shd w:val="clear" w:color="auto" w:fill="auto"/>
          </w:tcPr>
          <w:p w14:paraId="59A539E3" w14:textId="77777777" w:rsidR="00F5457D" w:rsidRPr="008B4FE6" w:rsidRDefault="00F5457D"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32AA9EB2" w14:textId="77777777" w:rsidR="00F5457D" w:rsidRPr="008B4FE6" w:rsidRDefault="00F5457D" w:rsidP="00AE6CF8">
            <w:pPr>
              <w:spacing w:line="240" w:lineRule="auto"/>
              <w:rPr>
                <w:rFonts w:ascii="Times New Roman" w:hAnsi="Times New Roman"/>
                <w:color w:val="000000"/>
                <w:spacing w:val="-2"/>
              </w:rPr>
            </w:pPr>
            <w:r>
              <w:rPr>
                <w:rFonts w:ascii="Times New Roman" w:hAnsi="Times New Roman"/>
                <w:color w:val="000000"/>
              </w:rPr>
              <w:t xml:space="preserve">X </w:t>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5696D559" w14:textId="77777777" w:rsidR="00F5457D" w:rsidRPr="008B4FE6" w:rsidRDefault="00F5457D"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7383AA7E" w14:textId="77777777" w:rsidR="00F5457D" w:rsidRPr="008B4FE6" w:rsidRDefault="00F5457D"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1D30AAF2" w14:textId="77777777" w:rsidR="00F5457D" w:rsidRPr="008B4FE6" w:rsidRDefault="00F5457D" w:rsidP="00AE6CF8">
            <w:pPr>
              <w:spacing w:line="240" w:lineRule="auto"/>
              <w:rPr>
                <w:rFonts w:ascii="Times New Roman" w:hAnsi="Times New Roman"/>
                <w:color w:val="000000"/>
              </w:rPr>
            </w:pPr>
          </w:p>
        </w:tc>
      </w:tr>
      <w:tr w:rsidR="00F5457D" w:rsidRPr="008B4FE6" w14:paraId="0C0E0199" w14:textId="77777777" w:rsidTr="00AB4835">
        <w:trPr>
          <w:gridAfter w:val="1"/>
          <w:wAfter w:w="10" w:type="dxa"/>
          <w:trHeight w:val="870"/>
        </w:trPr>
        <w:tc>
          <w:tcPr>
            <w:tcW w:w="5102" w:type="dxa"/>
            <w:gridSpan w:val="13"/>
            <w:shd w:val="clear" w:color="auto" w:fill="auto"/>
          </w:tcPr>
          <w:p w14:paraId="732F55FE" w14:textId="77777777" w:rsidR="00F5457D" w:rsidRPr="008B4FE6" w:rsidRDefault="00F5457D"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35" w:type="dxa"/>
            <w:gridSpan w:val="16"/>
            <w:shd w:val="clear" w:color="auto" w:fill="auto"/>
          </w:tcPr>
          <w:p w14:paraId="7A02E27D" w14:textId="77777777" w:rsidR="00F5457D" w:rsidRDefault="00F5457D"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5BB7C0EE" w14:textId="77777777" w:rsidR="00F5457D" w:rsidRDefault="00F5457D" w:rsidP="00BF0DA2">
            <w:pPr>
              <w:spacing w:line="240" w:lineRule="auto"/>
              <w:rPr>
                <w:rFonts w:ascii="Times New Roman" w:hAnsi="Times New Roman"/>
                <w:color w:val="000000"/>
              </w:rPr>
            </w:pPr>
            <w:r>
              <w:rPr>
                <w:rFonts w:ascii="Times New Roman" w:hAnsi="Times New Roman"/>
                <w:color w:val="000000"/>
              </w:rPr>
              <w:t>X   nie</w:t>
            </w:r>
          </w:p>
          <w:p w14:paraId="33715D7A" w14:textId="77777777" w:rsidR="00F5457D" w:rsidRDefault="00F5457D"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1F1BE431" w14:textId="77777777" w:rsidR="00F5457D" w:rsidRPr="008B4FE6" w:rsidRDefault="00F5457D" w:rsidP="00BF0DA2">
            <w:pPr>
              <w:spacing w:line="240" w:lineRule="auto"/>
              <w:rPr>
                <w:rFonts w:ascii="Times New Roman" w:hAnsi="Times New Roman"/>
                <w:color w:val="000000"/>
              </w:rPr>
            </w:pPr>
          </w:p>
        </w:tc>
      </w:tr>
      <w:tr w:rsidR="00F5457D" w:rsidRPr="008B4FE6" w14:paraId="2AEE8CDB" w14:textId="77777777" w:rsidTr="00AB4835">
        <w:trPr>
          <w:gridAfter w:val="1"/>
          <w:wAfter w:w="10" w:type="dxa"/>
          <w:trHeight w:val="630"/>
        </w:trPr>
        <w:tc>
          <w:tcPr>
            <w:tcW w:w="10937" w:type="dxa"/>
            <w:gridSpan w:val="29"/>
            <w:shd w:val="clear" w:color="auto" w:fill="auto"/>
          </w:tcPr>
          <w:p w14:paraId="105FFD3D" w14:textId="77777777" w:rsidR="00F5457D" w:rsidRDefault="00F5457D" w:rsidP="00783532">
            <w:pPr>
              <w:spacing w:line="240" w:lineRule="auto"/>
              <w:jc w:val="both"/>
              <w:rPr>
                <w:rFonts w:ascii="Times New Roman" w:hAnsi="Times New Roman"/>
                <w:color w:val="000000"/>
              </w:rPr>
            </w:pPr>
            <w:r>
              <w:rPr>
                <w:rFonts w:ascii="Times New Roman" w:hAnsi="Times New Roman"/>
                <w:color w:val="000000"/>
              </w:rPr>
              <w:t xml:space="preserve">Komentarz: </w:t>
            </w:r>
          </w:p>
          <w:p w14:paraId="4D82B88B" w14:textId="20CA58CD" w:rsidR="00F5457D" w:rsidRPr="008B4FE6" w:rsidRDefault="00F5457D" w:rsidP="00CF55F8">
            <w:pPr>
              <w:spacing w:line="240" w:lineRule="auto"/>
              <w:jc w:val="both"/>
              <w:rPr>
                <w:rFonts w:ascii="Times New Roman" w:hAnsi="Times New Roman"/>
                <w:color w:val="000000"/>
              </w:rPr>
            </w:pPr>
            <w:r>
              <w:rPr>
                <w:rFonts w:ascii="Times New Roman" w:hAnsi="Times New Roman"/>
                <w:color w:val="000000"/>
              </w:rPr>
              <w:t xml:space="preserve">Podatnicy, co do zasady, są zobowiązani do prowadzenia ewidencji sprzedaży - tym samym przedmiotowe rozporządzenie ograniczające zakres zwolnień, obligując podatnika do ewidencji </w:t>
            </w:r>
            <w:r w:rsidR="007E145D" w:rsidRPr="007E145D">
              <w:rPr>
                <w:rFonts w:ascii="Times New Roman" w:hAnsi="Times New Roman"/>
                <w:color w:val="000000"/>
              </w:rPr>
              <w:t xml:space="preserve">sprzedaży </w:t>
            </w:r>
            <w:r>
              <w:rPr>
                <w:rFonts w:ascii="Times New Roman" w:hAnsi="Times New Roman"/>
                <w:color w:val="000000"/>
              </w:rPr>
              <w:t>przy zastosowaniu kas rejestrujących z jednej strony zwiększy liczbę procedur (gdyż samo stosowanie kas rejestrujących stanowi takie zwiększenie), z drugiej strony natomiast zmniejsza liczbę procedur (stosowanie kas rejestrujących automatyzuje niektóre czynności przez co eliminuje pewne procedury).</w:t>
            </w:r>
          </w:p>
        </w:tc>
      </w:tr>
      <w:tr w:rsidR="00F5457D" w:rsidRPr="008B4FE6" w14:paraId="066180E4" w14:textId="77777777" w:rsidTr="00AB4835">
        <w:trPr>
          <w:gridAfter w:val="1"/>
          <w:wAfter w:w="10" w:type="dxa"/>
          <w:trHeight w:val="142"/>
        </w:trPr>
        <w:tc>
          <w:tcPr>
            <w:tcW w:w="10937" w:type="dxa"/>
            <w:gridSpan w:val="29"/>
            <w:shd w:val="clear" w:color="auto" w:fill="auto"/>
          </w:tcPr>
          <w:p w14:paraId="1C9E77AA" w14:textId="77777777" w:rsidR="00F5457D" w:rsidRPr="008B4FE6" w:rsidRDefault="00F5457D"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F5457D" w:rsidRPr="008B4FE6" w14:paraId="060A377C" w14:textId="77777777" w:rsidTr="00AB4835">
        <w:trPr>
          <w:gridAfter w:val="1"/>
          <w:wAfter w:w="10" w:type="dxa"/>
          <w:trHeight w:val="142"/>
        </w:trPr>
        <w:tc>
          <w:tcPr>
            <w:tcW w:w="10937" w:type="dxa"/>
            <w:gridSpan w:val="29"/>
            <w:shd w:val="clear" w:color="auto" w:fill="auto"/>
          </w:tcPr>
          <w:p w14:paraId="6B85C602" w14:textId="77777777" w:rsidR="00F5457D" w:rsidRPr="008B4FE6" w:rsidRDefault="00F5457D" w:rsidP="00AB4835">
            <w:pPr>
              <w:spacing w:before="120" w:after="120" w:line="240" w:lineRule="auto"/>
              <w:jc w:val="both"/>
              <w:rPr>
                <w:rFonts w:ascii="Times New Roman" w:hAnsi="Times New Roman"/>
                <w:color w:val="000000"/>
              </w:rPr>
            </w:pPr>
            <w:r w:rsidRPr="00365906">
              <w:rPr>
                <w:rFonts w:ascii="Times New Roman" w:hAnsi="Times New Roman"/>
                <w:color w:val="000000"/>
              </w:rPr>
              <w:t>Wejście w życie niniejszego rozporządzenia nie będzie miało wpływu na rynek pracy</w:t>
            </w:r>
            <w:r>
              <w:rPr>
                <w:rFonts w:ascii="Times New Roman" w:hAnsi="Times New Roman"/>
                <w:color w:val="000000"/>
              </w:rPr>
              <w:t>.</w:t>
            </w:r>
          </w:p>
        </w:tc>
      </w:tr>
      <w:tr w:rsidR="00F5457D" w:rsidRPr="008B4FE6" w14:paraId="6E4C60A4" w14:textId="77777777" w:rsidTr="00AB4835">
        <w:trPr>
          <w:gridAfter w:val="1"/>
          <w:wAfter w:w="10" w:type="dxa"/>
          <w:trHeight w:val="142"/>
        </w:trPr>
        <w:tc>
          <w:tcPr>
            <w:tcW w:w="10937" w:type="dxa"/>
            <w:gridSpan w:val="29"/>
            <w:shd w:val="clear" w:color="auto" w:fill="auto"/>
          </w:tcPr>
          <w:p w14:paraId="50FF5428" w14:textId="77777777" w:rsidR="00F5457D" w:rsidRPr="008B4FE6" w:rsidRDefault="00F5457D"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F5457D" w:rsidRPr="008B4FE6" w14:paraId="070B13F2" w14:textId="77777777" w:rsidTr="00AB4835">
        <w:trPr>
          <w:gridAfter w:val="1"/>
          <w:wAfter w:w="10" w:type="dxa"/>
          <w:trHeight w:val="1031"/>
        </w:trPr>
        <w:tc>
          <w:tcPr>
            <w:tcW w:w="3538" w:type="dxa"/>
            <w:gridSpan w:val="6"/>
            <w:shd w:val="clear" w:color="auto" w:fill="auto"/>
          </w:tcPr>
          <w:p w14:paraId="032452D1" w14:textId="77777777" w:rsidR="00F5457D" w:rsidRPr="008B4FE6" w:rsidRDefault="00F5457D" w:rsidP="00254DED">
            <w:pPr>
              <w:spacing w:line="240" w:lineRule="auto"/>
              <w:rPr>
                <w:rFonts w:ascii="Times New Roman" w:hAnsi="Times New Roman"/>
                <w:color w:val="000000"/>
              </w:rPr>
            </w:pPr>
          </w:p>
          <w:p w14:paraId="65327675" w14:textId="77777777" w:rsidR="00412D55" w:rsidRPr="00412D55" w:rsidRDefault="00412D55" w:rsidP="00412D55">
            <w:pPr>
              <w:spacing w:line="240" w:lineRule="auto"/>
              <w:rPr>
                <w:rFonts w:ascii="Times New Roman" w:hAnsi="Times New Roman"/>
                <w:color w:val="000000"/>
              </w:rPr>
            </w:pPr>
            <w:r w:rsidRPr="00412D55">
              <w:rPr>
                <w:rFonts w:ascii="Times New Roman" w:hAnsi="Times New Roman"/>
                <w:color w:val="000000"/>
              </w:rPr>
              <w:fldChar w:fldCharType="begin">
                <w:ffData>
                  <w:name w:val="Wybór1"/>
                  <w:enabled/>
                  <w:calcOnExit w:val="0"/>
                  <w:checkBox>
                    <w:sizeAuto/>
                    <w:default w:val="0"/>
                  </w:checkBox>
                </w:ffData>
              </w:fldChar>
            </w:r>
            <w:r w:rsidRPr="00412D55">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412D55">
              <w:rPr>
                <w:rFonts w:ascii="Times New Roman" w:hAnsi="Times New Roman"/>
                <w:color w:val="000000"/>
              </w:rPr>
              <w:fldChar w:fldCharType="end"/>
            </w:r>
            <w:r w:rsidRPr="00412D55">
              <w:rPr>
                <w:rFonts w:ascii="Times New Roman" w:hAnsi="Times New Roman"/>
                <w:color w:val="000000"/>
              </w:rPr>
              <w:t xml:space="preserve"> środowisko naturalne</w:t>
            </w:r>
          </w:p>
          <w:p w14:paraId="5BF75E8A" w14:textId="77777777" w:rsidR="00412D55" w:rsidRPr="00412D55" w:rsidRDefault="00412D55" w:rsidP="00412D55">
            <w:pPr>
              <w:spacing w:line="240" w:lineRule="auto"/>
              <w:rPr>
                <w:rFonts w:ascii="Times New Roman" w:hAnsi="Times New Roman"/>
                <w:color w:val="000000"/>
              </w:rPr>
            </w:pPr>
            <w:r w:rsidRPr="00412D55">
              <w:rPr>
                <w:rFonts w:ascii="Times New Roman" w:hAnsi="Times New Roman"/>
                <w:color w:val="000000"/>
              </w:rPr>
              <w:fldChar w:fldCharType="begin">
                <w:ffData>
                  <w:name w:val=""/>
                  <w:enabled/>
                  <w:calcOnExit w:val="0"/>
                  <w:checkBox>
                    <w:sizeAuto/>
                    <w:default w:val="0"/>
                  </w:checkBox>
                </w:ffData>
              </w:fldChar>
            </w:r>
            <w:r w:rsidRPr="00412D55">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412D55">
              <w:rPr>
                <w:rFonts w:ascii="Times New Roman" w:hAnsi="Times New Roman"/>
                <w:color w:val="000000"/>
              </w:rPr>
              <w:fldChar w:fldCharType="end"/>
            </w:r>
            <w:r w:rsidRPr="00412D55">
              <w:rPr>
                <w:rFonts w:ascii="Times New Roman" w:hAnsi="Times New Roman"/>
                <w:color w:val="000000"/>
              </w:rPr>
              <w:t xml:space="preserve"> sytuacja i rozwój regionalny</w:t>
            </w:r>
          </w:p>
          <w:p w14:paraId="714C662E" w14:textId="261B6478" w:rsidR="00F5457D" w:rsidRPr="008B4FE6" w:rsidRDefault="00412D55" w:rsidP="006A701A">
            <w:pPr>
              <w:spacing w:line="240" w:lineRule="auto"/>
              <w:rPr>
                <w:rFonts w:ascii="Times New Roman" w:hAnsi="Times New Roman"/>
                <w:color w:val="000000"/>
                <w:spacing w:val="-2"/>
              </w:rPr>
            </w:pPr>
            <w:r w:rsidRPr="00412D55">
              <w:rPr>
                <w:rFonts w:ascii="Times New Roman" w:hAnsi="Times New Roman"/>
                <w:color w:val="000000"/>
              </w:rPr>
              <w:fldChar w:fldCharType="begin">
                <w:ffData>
                  <w:name w:val="Wybór1"/>
                  <w:enabled/>
                  <w:calcOnExit w:val="0"/>
                  <w:checkBox>
                    <w:sizeAuto/>
                    <w:default w:val="0"/>
                  </w:checkBox>
                </w:ffData>
              </w:fldChar>
            </w:r>
            <w:r w:rsidRPr="00412D55">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412D55">
              <w:rPr>
                <w:rFonts w:ascii="Times New Roman" w:hAnsi="Times New Roman"/>
                <w:color w:val="000000"/>
              </w:rPr>
              <w:fldChar w:fldCharType="end"/>
            </w:r>
            <w:r w:rsidRPr="00412D55">
              <w:rPr>
                <w:rFonts w:ascii="Times New Roman" w:hAnsi="Times New Roman"/>
                <w:color w:val="000000"/>
              </w:rPr>
              <w:t xml:space="preserve"> sądy powszechne, administracyjne lub wojskowe</w:t>
            </w:r>
          </w:p>
        </w:tc>
        <w:tc>
          <w:tcPr>
            <w:tcW w:w="3687" w:type="dxa"/>
            <w:gridSpan w:val="14"/>
            <w:shd w:val="clear" w:color="auto" w:fill="auto"/>
          </w:tcPr>
          <w:p w14:paraId="1AF8EB20" w14:textId="77777777" w:rsidR="00F5457D" w:rsidRPr="008B4FE6" w:rsidRDefault="00F5457D" w:rsidP="00254DED">
            <w:pPr>
              <w:spacing w:line="240" w:lineRule="auto"/>
              <w:rPr>
                <w:rFonts w:ascii="Times New Roman" w:hAnsi="Times New Roman"/>
                <w:color w:val="000000"/>
              </w:rPr>
            </w:pPr>
          </w:p>
          <w:p w14:paraId="098A1540" w14:textId="77777777" w:rsidR="00412D55" w:rsidRPr="008B4FE6" w:rsidRDefault="00412D55" w:rsidP="00412D5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115DE583" w14:textId="77777777" w:rsidR="00412D55" w:rsidRDefault="00412D55" w:rsidP="00412D55">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509FE3D7" w14:textId="085BC5D8" w:rsidR="00F5457D" w:rsidRPr="008B4FE6" w:rsidRDefault="00412D55"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12" w:type="dxa"/>
            <w:gridSpan w:val="9"/>
            <w:shd w:val="clear" w:color="auto" w:fill="auto"/>
          </w:tcPr>
          <w:p w14:paraId="20F49EFA" w14:textId="77777777" w:rsidR="00F5457D" w:rsidRPr="008B4FE6" w:rsidRDefault="00F5457D" w:rsidP="006A701A">
            <w:pPr>
              <w:spacing w:line="240" w:lineRule="auto"/>
              <w:rPr>
                <w:rFonts w:ascii="Times New Roman" w:hAnsi="Times New Roman"/>
                <w:color w:val="000000"/>
              </w:rPr>
            </w:pPr>
          </w:p>
          <w:p w14:paraId="63839790" w14:textId="77777777" w:rsidR="00F5457D" w:rsidRDefault="00F5457D"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4A5A58BC" w14:textId="77777777" w:rsidR="00F5457D" w:rsidRPr="008B4FE6" w:rsidRDefault="00F5457D"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A6AC3">
              <w:rPr>
                <w:rFonts w:ascii="Times New Roman" w:hAnsi="Times New Roman"/>
                <w:color w:val="000000"/>
              </w:rPr>
            </w:r>
            <w:r w:rsidR="008A6AC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F5457D" w:rsidRPr="008B4FE6" w14:paraId="1F27B6B0" w14:textId="77777777" w:rsidTr="00AB4835">
        <w:trPr>
          <w:gridAfter w:val="1"/>
          <w:wAfter w:w="10" w:type="dxa"/>
          <w:trHeight w:val="712"/>
        </w:trPr>
        <w:tc>
          <w:tcPr>
            <w:tcW w:w="2235" w:type="dxa"/>
            <w:gridSpan w:val="2"/>
            <w:shd w:val="clear" w:color="auto" w:fill="auto"/>
            <w:vAlign w:val="center"/>
          </w:tcPr>
          <w:p w14:paraId="4F08D0C1" w14:textId="77777777" w:rsidR="00F5457D" w:rsidRPr="008B4FE6" w:rsidRDefault="00F5457D"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702" w:type="dxa"/>
            <w:gridSpan w:val="27"/>
            <w:shd w:val="clear" w:color="auto" w:fill="auto"/>
            <w:vAlign w:val="center"/>
          </w:tcPr>
          <w:p w14:paraId="203D4B8A" w14:textId="77777777" w:rsidR="00F5457D" w:rsidRPr="008B4FE6" w:rsidRDefault="00F5457D" w:rsidP="00B37C80">
            <w:pPr>
              <w:spacing w:line="240" w:lineRule="auto"/>
              <w:jc w:val="both"/>
              <w:rPr>
                <w:rFonts w:ascii="Times New Roman" w:hAnsi="Times New Roman"/>
                <w:color w:val="000000"/>
                <w:spacing w:val="-2"/>
              </w:rPr>
            </w:pPr>
          </w:p>
          <w:p w14:paraId="7342AEA6" w14:textId="20B94162" w:rsidR="00F5457D" w:rsidRPr="008B4FE6" w:rsidRDefault="00F5457D" w:rsidP="00B37C80">
            <w:pPr>
              <w:spacing w:line="240" w:lineRule="auto"/>
              <w:jc w:val="both"/>
              <w:rPr>
                <w:rFonts w:ascii="Times New Roman" w:hAnsi="Times New Roman"/>
                <w:color w:val="000000"/>
                <w:spacing w:val="-2"/>
              </w:rPr>
            </w:pPr>
            <w:r w:rsidRPr="00365906">
              <w:rPr>
                <w:rFonts w:ascii="Times New Roman" w:hAnsi="Times New Roman"/>
                <w:color w:val="000000"/>
                <w:spacing w:val="-2"/>
              </w:rPr>
              <w:t xml:space="preserve">Uregulowania zawarte w niniejszym rozporządzeniu nie wywierają wpływu na </w:t>
            </w:r>
            <w:r>
              <w:rPr>
                <w:rFonts w:ascii="Times New Roman" w:hAnsi="Times New Roman"/>
                <w:color w:val="000000"/>
                <w:spacing w:val="-2"/>
              </w:rPr>
              <w:t>wymienione w pkt 10 obszary</w:t>
            </w:r>
            <w:r w:rsidRPr="00365906">
              <w:rPr>
                <w:rFonts w:ascii="Times New Roman" w:hAnsi="Times New Roman"/>
                <w:color w:val="000000"/>
                <w:spacing w:val="-2"/>
              </w:rPr>
              <w:t>.</w:t>
            </w:r>
          </w:p>
          <w:p w14:paraId="6032FD2E" w14:textId="77777777" w:rsidR="00F5457D" w:rsidRPr="008B4FE6" w:rsidRDefault="00F5457D" w:rsidP="00B37C80">
            <w:pPr>
              <w:spacing w:line="240" w:lineRule="auto"/>
              <w:jc w:val="both"/>
              <w:rPr>
                <w:rFonts w:ascii="Times New Roman" w:hAnsi="Times New Roman"/>
                <w:color w:val="000000"/>
                <w:spacing w:val="-2"/>
              </w:rPr>
            </w:pPr>
          </w:p>
        </w:tc>
      </w:tr>
      <w:tr w:rsidR="00F5457D" w:rsidRPr="008B4FE6" w14:paraId="596CC17E" w14:textId="77777777" w:rsidTr="00AB4835">
        <w:trPr>
          <w:gridAfter w:val="1"/>
          <w:wAfter w:w="10" w:type="dxa"/>
          <w:trHeight w:val="142"/>
        </w:trPr>
        <w:tc>
          <w:tcPr>
            <w:tcW w:w="10937" w:type="dxa"/>
            <w:gridSpan w:val="29"/>
            <w:shd w:val="clear" w:color="auto" w:fill="auto"/>
          </w:tcPr>
          <w:p w14:paraId="519843C5" w14:textId="77777777" w:rsidR="00F5457D" w:rsidRPr="00627221" w:rsidRDefault="00F5457D"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F5457D" w:rsidRPr="008B4FE6" w14:paraId="75759436" w14:textId="77777777" w:rsidTr="00AB4835">
        <w:trPr>
          <w:gridAfter w:val="1"/>
          <w:wAfter w:w="10" w:type="dxa"/>
          <w:trHeight w:val="142"/>
        </w:trPr>
        <w:tc>
          <w:tcPr>
            <w:tcW w:w="10937" w:type="dxa"/>
            <w:gridSpan w:val="29"/>
            <w:shd w:val="clear" w:color="auto" w:fill="auto"/>
          </w:tcPr>
          <w:p w14:paraId="23A469A5" w14:textId="218EF87D" w:rsidR="00F5457D" w:rsidRPr="00B37C80" w:rsidRDefault="00AE3114" w:rsidP="00CA64E6">
            <w:pPr>
              <w:spacing w:before="120" w:after="120" w:line="240" w:lineRule="auto"/>
              <w:jc w:val="both"/>
              <w:rPr>
                <w:rFonts w:ascii="Times New Roman" w:hAnsi="Times New Roman"/>
                <w:spacing w:val="-2"/>
              </w:rPr>
            </w:pPr>
            <w:r>
              <w:rPr>
                <w:rFonts w:ascii="Times New Roman" w:hAnsi="Times New Roman"/>
                <w:spacing w:val="-2"/>
              </w:rPr>
              <w:t>Termin wejścia w życie projektowanego rozporządz</w:t>
            </w:r>
            <w:r w:rsidR="00E96353">
              <w:rPr>
                <w:rFonts w:ascii="Times New Roman" w:hAnsi="Times New Roman"/>
                <w:spacing w:val="-2"/>
              </w:rPr>
              <w:t xml:space="preserve">enia został określony na dzień </w:t>
            </w:r>
            <w:r>
              <w:rPr>
                <w:rFonts w:ascii="Times New Roman" w:hAnsi="Times New Roman"/>
                <w:spacing w:val="-2"/>
              </w:rPr>
              <w:t>1 stycznia 2022 r.</w:t>
            </w:r>
            <w:r w:rsidR="007271C5">
              <w:rPr>
                <w:rFonts w:ascii="Times New Roman" w:hAnsi="Times New Roman"/>
                <w:spacing w:val="-2"/>
              </w:rPr>
              <w:t>, z wyjątkiem regulacji dotyczącej usług mycia, czyszczenia samochodów i podobnych usług, dla której termin wejścia w życie określono na 1 lipca 2022 r.</w:t>
            </w:r>
          </w:p>
        </w:tc>
      </w:tr>
      <w:tr w:rsidR="00F5457D" w:rsidRPr="008B4FE6" w14:paraId="07AC6F6A" w14:textId="77777777" w:rsidTr="00AB4835">
        <w:trPr>
          <w:gridAfter w:val="1"/>
          <w:wAfter w:w="10" w:type="dxa"/>
          <w:trHeight w:val="142"/>
        </w:trPr>
        <w:tc>
          <w:tcPr>
            <w:tcW w:w="10937" w:type="dxa"/>
            <w:gridSpan w:val="29"/>
            <w:shd w:val="clear" w:color="auto" w:fill="auto"/>
          </w:tcPr>
          <w:p w14:paraId="3AC3E171" w14:textId="77777777" w:rsidR="00F5457D" w:rsidRPr="008B4FE6" w:rsidRDefault="00F5457D"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F5457D" w:rsidRPr="008B4FE6" w14:paraId="59BAE9B0" w14:textId="77777777" w:rsidTr="00AB4835">
        <w:trPr>
          <w:gridAfter w:val="1"/>
          <w:wAfter w:w="10" w:type="dxa"/>
          <w:trHeight w:val="142"/>
        </w:trPr>
        <w:tc>
          <w:tcPr>
            <w:tcW w:w="10937" w:type="dxa"/>
            <w:gridSpan w:val="29"/>
            <w:shd w:val="clear" w:color="auto" w:fill="auto"/>
          </w:tcPr>
          <w:p w14:paraId="7D3AF44B" w14:textId="28DEB709" w:rsidR="00F5457D" w:rsidRPr="00381E72" w:rsidRDefault="00F5457D" w:rsidP="00CA64E6">
            <w:pPr>
              <w:spacing w:before="120" w:after="120" w:line="240" w:lineRule="auto"/>
              <w:jc w:val="both"/>
              <w:rPr>
                <w:rFonts w:ascii="Times New Roman" w:hAnsi="Times New Roman"/>
                <w:color w:val="000000"/>
                <w:spacing w:val="-2"/>
              </w:rPr>
            </w:pPr>
            <w:r w:rsidRPr="00746B18">
              <w:rPr>
                <w:rFonts w:ascii="Times New Roman" w:hAnsi="Times New Roman"/>
                <w:color w:val="000000"/>
                <w:spacing w:val="-2"/>
              </w:rPr>
              <w:t xml:space="preserve">Efekty </w:t>
            </w:r>
            <w:r>
              <w:rPr>
                <w:rFonts w:ascii="Times New Roman" w:hAnsi="Times New Roman"/>
                <w:color w:val="000000"/>
                <w:spacing w:val="-2"/>
              </w:rPr>
              <w:t>rozporządzenia</w:t>
            </w:r>
            <w:r w:rsidRPr="00746B18">
              <w:rPr>
                <w:rFonts w:ascii="Times New Roman" w:hAnsi="Times New Roman"/>
                <w:color w:val="000000"/>
                <w:spacing w:val="-2"/>
              </w:rPr>
              <w:t xml:space="preserve"> można będzie ocenić po upływie </w:t>
            </w:r>
            <w:r w:rsidR="001E3B5B">
              <w:rPr>
                <w:rFonts w:ascii="Times New Roman" w:hAnsi="Times New Roman"/>
                <w:color w:val="000000"/>
                <w:spacing w:val="-2"/>
              </w:rPr>
              <w:t>roku</w:t>
            </w:r>
            <w:r w:rsidRPr="00746B18">
              <w:rPr>
                <w:rFonts w:ascii="Times New Roman" w:hAnsi="Times New Roman"/>
                <w:color w:val="000000"/>
                <w:spacing w:val="-2"/>
              </w:rPr>
              <w:t xml:space="preserve"> od wprowadzonych zmian. Miernikiem tych zmian będzie liczba zarejestrowanych kas rejestrujących.</w:t>
            </w:r>
          </w:p>
        </w:tc>
      </w:tr>
      <w:tr w:rsidR="00F5457D" w:rsidRPr="008B4FE6" w14:paraId="1812D703" w14:textId="77777777" w:rsidTr="00AB4835">
        <w:trPr>
          <w:gridAfter w:val="1"/>
          <w:wAfter w:w="10" w:type="dxa"/>
          <w:trHeight w:val="142"/>
        </w:trPr>
        <w:tc>
          <w:tcPr>
            <w:tcW w:w="10937" w:type="dxa"/>
            <w:gridSpan w:val="29"/>
            <w:shd w:val="clear" w:color="auto" w:fill="auto"/>
          </w:tcPr>
          <w:p w14:paraId="72A3FC4C" w14:textId="77777777" w:rsidR="00F5457D" w:rsidRPr="008B4FE6" w:rsidRDefault="00F5457D"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F5457D" w:rsidRPr="008B4FE6" w14:paraId="3EAAB78C" w14:textId="77777777" w:rsidTr="00AB4835">
        <w:trPr>
          <w:gridAfter w:val="1"/>
          <w:wAfter w:w="10" w:type="dxa"/>
          <w:trHeight w:val="142"/>
        </w:trPr>
        <w:tc>
          <w:tcPr>
            <w:tcW w:w="10937" w:type="dxa"/>
            <w:gridSpan w:val="29"/>
            <w:shd w:val="clear" w:color="auto" w:fill="auto"/>
          </w:tcPr>
          <w:p w14:paraId="1EE47D61" w14:textId="72DA1656" w:rsidR="00F5457D" w:rsidRPr="00B37C80" w:rsidRDefault="00B0072D" w:rsidP="00CA64E6">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Brak </w:t>
            </w:r>
          </w:p>
        </w:tc>
      </w:tr>
    </w:tbl>
    <w:p w14:paraId="36505060" w14:textId="77777777" w:rsidR="006176ED" w:rsidRPr="00522D94" w:rsidRDefault="006176ED" w:rsidP="005174E6">
      <w:pPr>
        <w:spacing w:after="120"/>
        <w:ind w:left="360"/>
        <w:jc w:val="both"/>
      </w:pPr>
    </w:p>
    <w:sectPr w:rsidR="006176ED" w:rsidRPr="00522D94" w:rsidSect="00AB4835">
      <w:pgSz w:w="11906" w:h="16838"/>
      <w:pgMar w:top="568" w:right="707" w:bottom="568" w:left="720" w:header="708" w:footer="29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or" w:initials="A">
    <w:p w14:paraId="18191C39" w14:textId="492FB0E9" w:rsidR="007C68C1" w:rsidRDefault="007C68C1">
      <w:pPr>
        <w:pStyle w:val="Tekstkomentarza"/>
      </w:pPr>
      <w:r>
        <w:rPr>
          <w:rStyle w:val="Odwoaniedokomentarza"/>
        </w:rPr>
        <w:annotationRef/>
      </w:r>
      <w:r w:rsidR="00E802AB">
        <w:t>A</w:t>
      </w:r>
      <w:r>
        <w:t xml:space="preserve"> kasy starego typu? Proponuje się</w:t>
      </w:r>
      <w:r w:rsidR="00E802AB">
        <w:t xml:space="preserve"> użyć „sprzętowych”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91C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6E9CE" w14:textId="77777777" w:rsidR="008A6AC3" w:rsidRDefault="008A6AC3" w:rsidP="00044739">
      <w:pPr>
        <w:spacing w:line="240" w:lineRule="auto"/>
      </w:pPr>
      <w:r>
        <w:separator/>
      </w:r>
    </w:p>
  </w:endnote>
  <w:endnote w:type="continuationSeparator" w:id="0">
    <w:p w14:paraId="316D1245" w14:textId="77777777" w:rsidR="008A6AC3" w:rsidRDefault="008A6AC3"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D2F5A" w14:textId="77777777" w:rsidR="008A6AC3" w:rsidRDefault="008A6AC3" w:rsidP="00044739">
      <w:pPr>
        <w:spacing w:line="240" w:lineRule="auto"/>
      </w:pPr>
      <w:r>
        <w:separator/>
      </w:r>
    </w:p>
  </w:footnote>
  <w:footnote w:type="continuationSeparator" w:id="0">
    <w:p w14:paraId="55469620" w14:textId="77777777" w:rsidR="008A6AC3" w:rsidRDefault="008A6AC3" w:rsidP="00044739">
      <w:pPr>
        <w:spacing w:line="240" w:lineRule="auto"/>
      </w:pPr>
      <w:r>
        <w:continuationSeparator/>
      </w:r>
    </w:p>
  </w:footnote>
  <w:footnote w:id="1">
    <w:p w14:paraId="2AEBA34E" w14:textId="0BED2DA7" w:rsidR="007271C5" w:rsidRDefault="007271C5" w:rsidP="00CA64E6">
      <w:pPr>
        <w:pStyle w:val="Tekstprzypisudolnego"/>
        <w:spacing w:line="240" w:lineRule="auto"/>
        <w:jc w:val="both"/>
      </w:pPr>
      <w:r>
        <w:rPr>
          <w:rStyle w:val="Odwoanieprzypisudolnego"/>
        </w:rPr>
        <w:footnoteRef/>
      </w:r>
      <w:r>
        <w:t xml:space="preserve"> </w:t>
      </w:r>
      <w:r w:rsidRPr="00AE3114">
        <w:rPr>
          <w:rFonts w:ascii="Times New Roman" w:eastAsia="Times New Roman" w:hAnsi="Times New Roman"/>
          <w:bCs/>
          <w:lang w:eastAsia="pl-PL"/>
        </w:rPr>
        <w:t>W</w:t>
      </w:r>
      <w:r w:rsidRPr="00CA64E6">
        <w:rPr>
          <w:rFonts w:ascii="Times New Roman" w:eastAsia="Times New Roman" w:hAnsi="Times New Roman"/>
          <w:bCs/>
          <w:lang w:eastAsia="pl-PL"/>
        </w:rPr>
        <w:t xml:space="preserve"> związku z zawartą w ustawie z dnia 11 marca 2004 r. o podatku od towarów i usług (art. 111 ust. 4) regulacją przewidującą refundację części wydatków na zakup kas przez podatnika (90% ceny zakupu netto, nie więcej niż 700 zł)</w:t>
      </w:r>
      <w:r>
        <w:rPr>
          <w:rFonts w:ascii="Times New Roman" w:eastAsia="Times New Roman" w:hAnsi="Times New Roman"/>
          <w:bCs/>
          <w:lang w:eastAsia="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nsid w:val="1DB72031"/>
    <w:multiLevelType w:val="hybridMultilevel"/>
    <w:tmpl w:val="D0B8C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752AF3"/>
    <w:multiLevelType w:val="hybridMultilevel"/>
    <w:tmpl w:val="5E74DB40"/>
    <w:lvl w:ilvl="0" w:tplc="4B94D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9F25A2"/>
    <w:multiLevelType w:val="hybridMultilevel"/>
    <w:tmpl w:val="EA5092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nsid w:val="40375178"/>
    <w:multiLevelType w:val="hybridMultilevel"/>
    <w:tmpl w:val="428A198C"/>
    <w:lvl w:ilvl="0" w:tplc="7716FD3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8F41CF"/>
    <w:multiLevelType w:val="hybridMultilevel"/>
    <w:tmpl w:val="C3507E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nsid w:val="52A01C80"/>
    <w:multiLevelType w:val="hybridMultilevel"/>
    <w:tmpl w:val="A1864278"/>
    <w:lvl w:ilvl="0" w:tplc="5F629692">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1">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nsid w:val="63481545"/>
    <w:multiLevelType w:val="hybridMultilevel"/>
    <w:tmpl w:val="E61678A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6539012A"/>
    <w:multiLevelType w:val="hybridMultilevel"/>
    <w:tmpl w:val="1FD213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81E0F7D"/>
    <w:multiLevelType w:val="hybridMultilevel"/>
    <w:tmpl w:val="AF4C6BB4"/>
    <w:lvl w:ilvl="0" w:tplc="DF486ED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721857E1"/>
    <w:multiLevelType w:val="hybridMultilevel"/>
    <w:tmpl w:val="CC124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1"/>
  </w:num>
  <w:num w:numId="4">
    <w:abstractNumId w:val="23"/>
  </w:num>
  <w:num w:numId="5">
    <w:abstractNumId w:val="1"/>
  </w:num>
  <w:num w:numId="6">
    <w:abstractNumId w:val="8"/>
  </w:num>
  <w:num w:numId="7">
    <w:abstractNumId w:val="16"/>
  </w:num>
  <w:num w:numId="8">
    <w:abstractNumId w:val="5"/>
  </w:num>
  <w:num w:numId="9">
    <w:abstractNumId w:val="18"/>
  </w:num>
  <w:num w:numId="10">
    <w:abstractNumId w:val="13"/>
  </w:num>
  <w:num w:numId="11">
    <w:abstractNumId w:val="17"/>
  </w:num>
  <w:num w:numId="12">
    <w:abstractNumId w:val="2"/>
  </w:num>
  <w:num w:numId="13">
    <w:abstractNumId w:val="12"/>
  </w:num>
  <w:num w:numId="14">
    <w:abstractNumId w:val="24"/>
  </w:num>
  <w:num w:numId="15">
    <w:abstractNumId w:val="20"/>
  </w:num>
  <w:num w:numId="16">
    <w:abstractNumId w:val="22"/>
  </w:num>
  <w:num w:numId="17">
    <w:abstractNumId w:val="6"/>
  </w:num>
  <w:num w:numId="18">
    <w:abstractNumId w:val="28"/>
  </w:num>
  <w:num w:numId="19">
    <w:abstractNumId w:val="30"/>
  </w:num>
  <w:num w:numId="20">
    <w:abstractNumId w:val="21"/>
  </w:num>
  <w:num w:numId="21">
    <w:abstractNumId w:val="7"/>
  </w:num>
  <w:num w:numId="22">
    <w:abstractNumId w:val="3"/>
  </w:num>
  <w:num w:numId="23">
    <w:abstractNumId w:val="10"/>
  </w:num>
  <w:num w:numId="24">
    <w:abstractNumId w:val="19"/>
  </w:num>
  <w:num w:numId="25">
    <w:abstractNumId w:val="27"/>
  </w:num>
  <w:num w:numId="26">
    <w:abstractNumId w:val="9"/>
  </w:num>
  <w:num w:numId="27">
    <w:abstractNumId w:val="14"/>
  </w:num>
  <w:num w:numId="28">
    <w:abstractNumId w:val="29"/>
  </w:num>
  <w:num w:numId="29">
    <w:abstractNumId w:val="25"/>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14568"/>
    <w:rsid w:val="00015BBA"/>
    <w:rsid w:val="00016DD8"/>
    <w:rsid w:val="0001733C"/>
    <w:rsid w:val="00020719"/>
    <w:rsid w:val="00021AEB"/>
    <w:rsid w:val="00021D2C"/>
    <w:rsid w:val="00023836"/>
    <w:rsid w:val="000306D7"/>
    <w:rsid w:val="00032AB5"/>
    <w:rsid w:val="000356A9"/>
    <w:rsid w:val="0003784F"/>
    <w:rsid w:val="000401B4"/>
    <w:rsid w:val="00040417"/>
    <w:rsid w:val="0004171A"/>
    <w:rsid w:val="000422B3"/>
    <w:rsid w:val="00043A48"/>
    <w:rsid w:val="00044138"/>
    <w:rsid w:val="0004428A"/>
    <w:rsid w:val="00044739"/>
    <w:rsid w:val="00045A33"/>
    <w:rsid w:val="0004643C"/>
    <w:rsid w:val="00051637"/>
    <w:rsid w:val="00053F88"/>
    <w:rsid w:val="00056681"/>
    <w:rsid w:val="000600E4"/>
    <w:rsid w:val="000611F0"/>
    <w:rsid w:val="000648A7"/>
    <w:rsid w:val="00064A4B"/>
    <w:rsid w:val="0006618B"/>
    <w:rsid w:val="000670C0"/>
    <w:rsid w:val="00071B99"/>
    <w:rsid w:val="00073EA7"/>
    <w:rsid w:val="000756E5"/>
    <w:rsid w:val="0007704E"/>
    <w:rsid w:val="000773D5"/>
    <w:rsid w:val="0008075F"/>
    <w:rsid w:val="00080EC8"/>
    <w:rsid w:val="00081159"/>
    <w:rsid w:val="000830FD"/>
    <w:rsid w:val="00085760"/>
    <w:rsid w:val="00085DEA"/>
    <w:rsid w:val="00093A12"/>
    <w:rsid w:val="000944AC"/>
    <w:rsid w:val="00094CB9"/>
    <w:rsid w:val="000956B2"/>
    <w:rsid w:val="000A0D29"/>
    <w:rsid w:val="000A23DE"/>
    <w:rsid w:val="000A4020"/>
    <w:rsid w:val="000A4B2B"/>
    <w:rsid w:val="000A6DFD"/>
    <w:rsid w:val="000B54FB"/>
    <w:rsid w:val="000B7F3E"/>
    <w:rsid w:val="000C1638"/>
    <w:rsid w:val="000C29B0"/>
    <w:rsid w:val="000C34E8"/>
    <w:rsid w:val="000C3FB8"/>
    <w:rsid w:val="000C76FC"/>
    <w:rsid w:val="000C79F0"/>
    <w:rsid w:val="000D1F3E"/>
    <w:rsid w:val="000D38FC"/>
    <w:rsid w:val="000D4D90"/>
    <w:rsid w:val="000D77B9"/>
    <w:rsid w:val="000E13DA"/>
    <w:rsid w:val="000E2D10"/>
    <w:rsid w:val="000E3CD9"/>
    <w:rsid w:val="000F3204"/>
    <w:rsid w:val="000F4271"/>
    <w:rsid w:val="00101513"/>
    <w:rsid w:val="00104317"/>
    <w:rsid w:val="00104CBA"/>
    <w:rsid w:val="001051C6"/>
    <w:rsid w:val="0010548B"/>
    <w:rsid w:val="001072D1"/>
    <w:rsid w:val="001079D1"/>
    <w:rsid w:val="00107A6F"/>
    <w:rsid w:val="00110DE3"/>
    <w:rsid w:val="00117017"/>
    <w:rsid w:val="00120FA0"/>
    <w:rsid w:val="00122016"/>
    <w:rsid w:val="0013030C"/>
    <w:rsid w:val="00130E8E"/>
    <w:rsid w:val="0013216E"/>
    <w:rsid w:val="001339B7"/>
    <w:rsid w:val="00134C61"/>
    <w:rsid w:val="00137481"/>
    <w:rsid w:val="00137CE5"/>
    <w:rsid w:val="001401B5"/>
    <w:rsid w:val="001414E5"/>
    <w:rsid w:val="001422B9"/>
    <w:rsid w:val="00143015"/>
    <w:rsid w:val="001459E8"/>
    <w:rsid w:val="0014665F"/>
    <w:rsid w:val="0014787B"/>
    <w:rsid w:val="00147AA7"/>
    <w:rsid w:val="00150BF8"/>
    <w:rsid w:val="00152945"/>
    <w:rsid w:val="00153464"/>
    <w:rsid w:val="001541B3"/>
    <w:rsid w:val="00155B15"/>
    <w:rsid w:val="00160734"/>
    <w:rsid w:val="00162040"/>
    <w:rsid w:val="001625BE"/>
    <w:rsid w:val="001643A4"/>
    <w:rsid w:val="00164FFC"/>
    <w:rsid w:val="00165C87"/>
    <w:rsid w:val="0016716E"/>
    <w:rsid w:val="001727BB"/>
    <w:rsid w:val="0017626C"/>
    <w:rsid w:val="001762CC"/>
    <w:rsid w:val="00180D25"/>
    <w:rsid w:val="00181290"/>
    <w:rsid w:val="0018318D"/>
    <w:rsid w:val="001838AF"/>
    <w:rsid w:val="0018478B"/>
    <w:rsid w:val="0018572C"/>
    <w:rsid w:val="001875CB"/>
    <w:rsid w:val="00187E79"/>
    <w:rsid w:val="00187F0D"/>
    <w:rsid w:val="001901AC"/>
    <w:rsid w:val="0019132A"/>
    <w:rsid w:val="00192CC5"/>
    <w:rsid w:val="00193B72"/>
    <w:rsid w:val="001956A7"/>
    <w:rsid w:val="001A118A"/>
    <w:rsid w:val="001A27F4"/>
    <w:rsid w:val="001A2D95"/>
    <w:rsid w:val="001A4773"/>
    <w:rsid w:val="001A6436"/>
    <w:rsid w:val="001A6D07"/>
    <w:rsid w:val="001A76F4"/>
    <w:rsid w:val="001A7B1A"/>
    <w:rsid w:val="001B066D"/>
    <w:rsid w:val="001B0970"/>
    <w:rsid w:val="001B3460"/>
    <w:rsid w:val="001B390E"/>
    <w:rsid w:val="001B3A44"/>
    <w:rsid w:val="001B4CA1"/>
    <w:rsid w:val="001B75D8"/>
    <w:rsid w:val="001B7844"/>
    <w:rsid w:val="001C0089"/>
    <w:rsid w:val="001C1060"/>
    <w:rsid w:val="001C384A"/>
    <w:rsid w:val="001C396B"/>
    <w:rsid w:val="001C3C63"/>
    <w:rsid w:val="001D23B0"/>
    <w:rsid w:val="001D42B3"/>
    <w:rsid w:val="001D4732"/>
    <w:rsid w:val="001D51F8"/>
    <w:rsid w:val="001D6A3C"/>
    <w:rsid w:val="001D6B2F"/>
    <w:rsid w:val="001D6D51"/>
    <w:rsid w:val="001D71C0"/>
    <w:rsid w:val="001E04FE"/>
    <w:rsid w:val="001E2C7A"/>
    <w:rsid w:val="001E3B5B"/>
    <w:rsid w:val="001E5779"/>
    <w:rsid w:val="001E6311"/>
    <w:rsid w:val="001E7026"/>
    <w:rsid w:val="001F6979"/>
    <w:rsid w:val="00202BC6"/>
    <w:rsid w:val="00205141"/>
    <w:rsid w:val="0020516B"/>
    <w:rsid w:val="002100E4"/>
    <w:rsid w:val="00213559"/>
    <w:rsid w:val="00213EFD"/>
    <w:rsid w:val="00216EE0"/>
    <w:rsid w:val="002172F1"/>
    <w:rsid w:val="002173D4"/>
    <w:rsid w:val="00221792"/>
    <w:rsid w:val="00222A5E"/>
    <w:rsid w:val="00223C7B"/>
    <w:rsid w:val="00223D50"/>
    <w:rsid w:val="00224AB1"/>
    <w:rsid w:val="002250A1"/>
    <w:rsid w:val="00225501"/>
    <w:rsid w:val="0022687A"/>
    <w:rsid w:val="00230728"/>
    <w:rsid w:val="002333BD"/>
    <w:rsid w:val="00234040"/>
    <w:rsid w:val="00235CD2"/>
    <w:rsid w:val="00236398"/>
    <w:rsid w:val="00242D34"/>
    <w:rsid w:val="00243784"/>
    <w:rsid w:val="00245431"/>
    <w:rsid w:val="00252E35"/>
    <w:rsid w:val="00254DED"/>
    <w:rsid w:val="00255619"/>
    <w:rsid w:val="00255DAD"/>
    <w:rsid w:val="00256108"/>
    <w:rsid w:val="00260F33"/>
    <w:rsid w:val="002613BD"/>
    <w:rsid w:val="002624F1"/>
    <w:rsid w:val="00262711"/>
    <w:rsid w:val="00263E94"/>
    <w:rsid w:val="00265A49"/>
    <w:rsid w:val="002666A4"/>
    <w:rsid w:val="00270C81"/>
    <w:rsid w:val="00271005"/>
    <w:rsid w:val="00271558"/>
    <w:rsid w:val="00271A97"/>
    <w:rsid w:val="00274862"/>
    <w:rsid w:val="00277B0B"/>
    <w:rsid w:val="00282D72"/>
    <w:rsid w:val="00283402"/>
    <w:rsid w:val="00290FD6"/>
    <w:rsid w:val="00294259"/>
    <w:rsid w:val="00297D4F"/>
    <w:rsid w:val="002A07EB"/>
    <w:rsid w:val="002A1303"/>
    <w:rsid w:val="002A1934"/>
    <w:rsid w:val="002A2C81"/>
    <w:rsid w:val="002A318C"/>
    <w:rsid w:val="002A4C0F"/>
    <w:rsid w:val="002A6CBD"/>
    <w:rsid w:val="002A7205"/>
    <w:rsid w:val="002B069B"/>
    <w:rsid w:val="002B1420"/>
    <w:rsid w:val="002B3D1A"/>
    <w:rsid w:val="002C192C"/>
    <w:rsid w:val="002C2C9B"/>
    <w:rsid w:val="002D0EC6"/>
    <w:rsid w:val="002D1209"/>
    <w:rsid w:val="002D17D6"/>
    <w:rsid w:val="002D18D7"/>
    <w:rsid w:val="002D21CE"/>
    <w:rsid w:val="002D4013"/>
    <w:rsid w:val="002D6DAC"/>
    <w:rsid w:val="002D7610"/>
    <w:rsid w:val="002E24A6"/>
    <w:rsid w:val="002E3DA3"/>
    <w:rsid w:val="002E450F"/>
    <w:rsid w:val="002E5A48"/>
    <w:rsid w:val="002E6B38"/>
    <w:rsid w:val="002E6D63"/>
    <w:rsid w:val="002E6E2B"/>
    <w:rsid w:val="002F1025"/>
    <w:rsid w:val="002F2FDA"/>
    <w:rsid w:val="002F3422"/>
    <w:rsid w:val="002F500B"/>
    <w:rsid w:val="002F5152"/>
    <w:rsid w:val="002F70B4"/>
    <w:rsid w:val="002F7789"/>
    <w:rsid w:val="0030131B"/>
    <w:rsid w:val="00301479"/>
    <w:rsid w:val="00301959"/>
    <w:rsid w:val="003021FB"/>
    <w:rsid w:val="00302E08"/>
    <w:rsid w:val="003040C3"/>
    <w:rsid w:val="00305B8A"/>
    <w:rsid w:val="00306E25"/>
    <w:rsid w:val="00310F6C"/>
    <w:rsid w:val="0031274A"/>
    <w:rsid w:val="00312B93"/>
    <w:rsid w:val="00314FDA"/>
    <w:rsid w:val="0032231B"/>
    <w:rsid w:val="00323045"/>
    <w:rsid w:val="0032358C"/>
    <w:rsid w:val="0032429D"/>
    <w:rsid w:val="00331BF9"/>
    <w:rsid w:val="0033495E"/>
    <w:rsid w:val="00334A79"/>
    <w:rsid w:val="00334D8D"/>
    <w:rsid w:val="00337345"/>
    <w:rsid w:val="00337DD2"/>
    <w:rsid w:val="003404D1"/>
    <w:rsid w:val="00343748"/>
    <w:rsid w:val="003443FF"/>
    <w:rsid w:val="00346DE5"/>
    <w:rsid w:val="00346EC0"/>
    <w:rsid w:val="00347DB1"/>
    <w:rsid w:val="00347E77"/>
    <w:rsid w:val="00347FD4"/>
    <w:rsid w:val="00354F09"/>
    <w:rsid w:val="00355808"/>
    <w:rsid w:val="00356B33"/>
    <w:rsid w:val="003615E1"/>
    <w:rsid w:val="00361F84"/>
    <w:rsid w:val="00362BA1"/>
    <w:rsid w:val="00362C7E"/>
    <w:rsid w:val="003633CB"/>
    <w:rsid w:val="00363601"/>
    <w:rsid w:val="0036393B"/>
    <w:rsid w:val="00365906"/>
    <w:rsid w:val="003758E3"/>
    <w:rsid w:val="00376AC9"/>
    <w:rsid w:val="003805D4"/>
    <w:rsid w:val="00380647"/>
    <w:rsid w:val="00381E72"/>
    <w:rsid w:val="003909B5"/>
    <w:rsid w:val="00393032"/>
    <w:rsid w:val="00394B69"/>
    <w:rsid w:val="00395414"/>
    <w:rsid w:val="00395FCC"/>
    <w:rsid w:val="00397078"/>
    <w:rsid w:val="00397898"/>
    <w:rsid w:val="003A205D"/>
    <w:rsid w:val="003A2EC3"/>
    <w:rsid w:val="003A59B8"/>
    <w:rsid w:val="003A6953"/>
    <w:rsid w:val="003A7AD6"/>
    <w:rsid w:val="003B35BF"/>
    <w:rsid w:val="003B6083"/>
    <w:rsid w:val="003B6182"/>
    <w:rsid w:val="003C0039"/>
    <w:rsid w:val="003C0771"/>
    <w:rsid w:val="003C157B"/>
    <w:rsid w:val="003C18F2"/>
    <w:rsid w:val="003C3838"/>
    <w:rsid w:val="003C5847"/>
    <w:rsid w:val="003C633F"/>
    <w:rsid w:val="003C707C"/>
    <w:rsid w:val="003C753E"/>
    <w:rsid w:val="003C7C16"/>
    <w:rsid w:val="003D0681"/>
    <w:rsid w:val="003D12F6"/>
    <w:rsid w:val="003D1426"/>
    <w:rsid w:val="003D4AEB"/>
    <w:rsid w:val="003D7AF7"/>
    <w:rsid w:val="003E1AE6"/>
    <w:rsid w:val="003E2F4E"/>
    <w:rsid w:val="003E2FD7"/>
    <w:rsid w:val="003E3610"/>
    <w:rsid w:val="003E5D0B"/>
    <w:rsid w:val="003E6AD1"/>
    <w:rsid w:val="003E6C65"/>
    <w:rsid w:val="003E720A"/>
    <w:rsid w:val="003F0391"/>
    <w:rsid w:val="003F3EAB"/>
    <w:rsid w:val="003F7B6E"/>
    <w:rsid w:val="00401FBB"/>
    <w:rsid w:val="00403E6E"/>
    <w:rsid w:val="004056C5"/>
    <w:rsid w:val="004129B4"/>
    <w:rsid w:val="00412B0F"/>
    <w:rsid w:val="00412B3D"/>
    <w:rsid w:val="00412D55"/>
    <w:rsid w:val="00417EF0"/>
    <w:rsid w:val="00422181"/>
    <w:rsid w:val="0042322E"/>
    <w:rsid w:val="004244A8"/>
    <w:rsid w:val="00424741"/>
    <w:rsid w:val="00424783"/>
    <w:rsid w:val="00425F72"/>
    <w:rsid w:val="00427736"/>
    <w:rsid w:val="00441787"/>
    <w:rsid w:val="004442D7"/>
    <w:rsid w:val="00444F2D"/>
    <w:rsid w:val="004462DD"/>
    <w:rsid w:val="00452034"/>
    <w:rsid w:val="004520A8"/>
    <w:rsid w:val="00455FA6"/>
    <w:rsid w:val="0046179D"/>
    <w:rsid w:val="004636EF"/>
    <w:rsid w:val="00464871"/>
    <w:rsid w:val="00466C70"/>
    <w:rsid w:val="00467FE8"/>
    <w:rsid w:val="004702C9"/>
    <w:rsid w:val="00470EDD"/>
    <w:rsid w:val="00472DC3"/>
    <w:rsid w:val="00472E45"/>
    <w:rsid w:val="00473602"/>
    <w:rsid w:val="00473FEA"/>
    <w:rsid w:val="0047579D"/>
    <w:rsid w:val="00483262"/>
    <w:rsid w:val="00484107"/>
    <w:rsid w:val="00485234"/>
    <w:rsid w:val="00485CC5"/>
    <w:rsid w:val="00491A9F"/>
    <w:rsid w:val="0049343F"/>
    <w:rsid w:val="00493906"/>
    <w:rsid w:val="004964FC"/>
    <w:rsid w:val="004A145E"/>
    <w:rsid w:val="004A1574"/>
    <w:rsid w:val="004A1F15"/>
    <w:rsid w:val="004A2A81"/>
    <w:rsid w:val="004A3A83"/>
    <w:rsid w:val="004A5724"/>
    <w:rsid w:val="004A7BD7"/>
    <w:rsid w:val="004A7CF6"/>
    <w:rsid w:val="004B084F"/>
    <w:rsid w:val="004B0C48"/>
    <w:rsid w:val="004B14CE"/>
    <w:rsid w:val="004B4A37"/>
    <w:rsid w:val="004B5263"/>
    <w:rsid w:val="004C10FA"/>
    <w:rsid w:val="004C15C2"/>
    <w:rsid w:val="004C36D8"/>
    <w:rsid w:val="004C547B"/>
    <w:rsid w:val="004D1248"/>
    <w:rsid w:val="004D1E3C"/>
    <w:rsid w:val="004D308B"/>
    <w:rsid w:val="004D4169"/>
    <w:rsid w:val="004D5F82"/>
    <w:rsid w:val="004D6E14"/>
    <w:rsid w:val="004D756B"/>
    <w:rsid w:val="004E2AE2"/>
    <w:rsid w:val="004E5C14"/>
    <w:rsid w:val="004E71D6"/>
    <w:rsid w:val="004F05DF"/>
    <w:rsid w:val="004F16E6"/>
    <w:rsid w:val="004F2A84"/>
    <w:rsid w:val="004F4E17"/>
    <w:rsid w:val="0050082F"/>
    <w:rsid w:val="00500C56"/>
    <w:rsid w:val="00501713"/>
    <w:rsid w:val="0050444B"/>
    <w:rsid w:val="00506568"/>
    <w:rsid w:val="0051023E"/>
    <w:rsid w:val="00515245"/>
    <w:rsid w:val="0051551B"/>
    <w:rsid w:val="005163DF"/>
    <w:rsid w:val="0051700A"/>
    <w:rsid w:val="005172F1"/>
    <w:rsid w:val="0051730B"/>
    <w:rsid w:val="005174E6"/>
    <w:rsid w:val="00520C57"/>
    <w:rsid w:val="00522D94"/>
    <w:rsid w:val="0052798E"/>
    <w:rsid w:val="005279AC"/>
    <w:rsid w:val="00530D1D"/>
    <w:rsid w:val="005326A0"/>
    <w:rsid w:val="00533D89"/>
    <w:rsid w:val="00535203"/>
    <w:rsid w:val="00536564"/>
    <w:rsid w:val="00537968"/>
    <w:rsid w:val="005409D7"/>
    <w:rsid w:val="00544597"/>
    <w:rsid w:val="00544FFE"/>
    <w:rsid w:val="005473F5"/>
    <w:rsid w:val="005477E7"/>
    <w:rsid w:val="005502C0"/>
    <w:rsid w:val="00552794"/>
    <w:rsid w:val="00554A2D"/>
    <w:rsid w:val="00555E58"/>
    <w:rsid w:val="00556303"/>
    <w:rsid w:val="00563199"/>
    <w:rsid w:val="005645EF"/>
    <w:rsid w:val="00564874"/>
    <w:rsid w:val="00567963"/>
    <w:rsid w:val="0057009A"/>
    <w:rsid w:val="00571260"/>
    <w:rsid w:val="0057189C"/>
    <w:rsid w:val="00573FC1"/>
    <w:rsid w:val="005741EE"/>
    <w:rsid w:val="0057668E"/>
    <w:rsid w:val="00577C7D"/>
    <w:rsid w:val="0058024D"/>
    <w:rsid w:val="005818E5"/>
    <w:rsid w:val="00584460"/>
    <w:rsid w:val="00585D6D"/>
    <w:rsid w:val="00590A78"/>
    <w:rsid w:val="00595E83"/>
    <w:rsid w:val="00596530"/>
    <w:rsid w:val="005967F3"/>
    <w:rsid w:val="00597DD0"/>
    <w:rsid w:val="005A06DF"/>
    <w:rsid w:val="005A1FB2"/>
    <w:rsid w:val="005A30C6"/>
    <w:rsid w:val="005A5527"/>
    <w:rsid w:val="005A5AE6"/>
    <w:rsid w:val="005A5F31"/>
    <w:rsid w:val="005B1206"/>
    <w:rsid w:val="005B1C79"/>
    <w:rsid w:val="005B37E8"/>
    <w:rsid w:val="005B419C"/>
    <w:rsid w:val="005B5D76"/>
    <w:rsid w:val="005B6F12"/>
    <w:rsid w:val="005B7242"/>
    <w:rsid w:val="005C0056"/>
    <w:rsid w:val="005C0A1E"/>
    <w:rsid w:val="005C3AE7"/>
    <w:rsid w:val="005C73CE"/>
    <w:rsid w:val="005C75A5"/>
    <w:rsid w:val="005D50DF"/>
    <w:rsid w:val="005D5DB0"/>
    <w:rsid w:val="005D61AC"/>
    <w:rsid w:val="005E0D13"/>
    <w:rsid w:val="005E5047"/>
    <w:rsid w:val="005E635B"/>
    <w:rsid w:val="005E7205"/>
    <w:rsid w:val="005E7371"/>
    <w:rsid w:val="005F116C"/>
    <w:rsid w:val="005F2131"/>
    <w:rsid w:val="00600942"/>
    <w:rsid w:val="00602F96"/>
    <w:rsid w:val="00605027"/>
    <w:rsid w:val="00605979"/>
    <w:rsid w:val="00605EF6"/>
    <w:rsid w:val="00606455"/>
    <w:rsid w:val="00614929"/>
    <w:rsid w:val="00616511"/>
    <w:rsid w:val="006176ED"/>
    <w:rsid w:val="006202F3"/>
    <w:rsid w:val="0062097A"/>
    <w:rsid w:val="00621DA6"/>
    <w:rsid w:val="00623CFE"/>
    <w:rsid w:val="006247B0"/>
    <w:rsid w:val="00627221"/>
    <w:rsid w:val="00627EE8"/>
    <w:rsid w:val="006316FA"/>
    <w:rsid w:val="006370D2"/>
    <w:rsid w:val="0064074F"/>
    <w:rsid w:val="006407B1"/>
    <w:rsid w:val="00641E8E"/>
    <w:rsid w:val="00641F55"/>
    <w:rsid w:val="006430F5"/>
    <w:rsid w:val="0064433F"/>
    <w:rsid w:val="00645E4A"/>
    <w:rsid w:val="00646C1D"/>
    <w:rsid w:val="00651AB5"/>
    <w:rsid w:val="0065331C"/>
    <w:rsid w:val="00653688"/>
    <w:rsid w:val="006603B4"/>
    <w:rsid w:val="0066091B"/>
    <w:rsid w:val="00660FB7"/>
    <w:rsid w:val="00665F69"/>
    <w:rsid w:val="006660E9"/>
    <w:rsid w:val="00667249"/>
    <w:rsid w:val="00667558"/>
    <w:rsid w:val="00670C04"/>
    <w:rsid w:val="0067112B"/>
    <w:rsid w:val="00671523"/>
    <w:rsid w:val="0067315C"/>
    <w:rsid w:val="0067341D"/>
    <w:rsid w:val="006754EF"/>
    <w:rsid w:val="00675661"/>
    <w:rsid w:val="00675DFB"/>
    <w:rsid w:val="00676245"/>
    <w:rsid w:val="00676C8D"/>
    <w:rsid w:val="00676F1F"/>
    <w:rsid w:val="00677381"/>
    <w:rsid w:val="00677414"/>
    <w:rsid w:val="006832CF"/>
    <w:rsid w:val="0068601E"/>
    <w:rsid w:val="00692C42"/>
    <w:rsid w:val="0069486B"/>
    <w:rsid w:val="006A37F8"/>
    <w:rsid w:val="006A4904"/>
    <w:rsid w:val="006A548F"/>
    <w:rsid w:val="006A701A"/>
    <w:rsid w:val="006B3057"/>
    <w:rsid w:val="006B64A4"/>
    <w:rsid w:val="006B64DC"/>
    <w:rsid w:val="006B70E6"/>
    <w:rsid w:val="006B7A91"/>
    <w:rsid w:val="006C2B7A"/>
    <w:rsid w:val="006C3CBB"/>
    <w:rsid w:val="006D2495"/>
    <w:rsid w:val="006D4704"/>
    <w:rsid w:val="006D6A2D"/>
    <w:rsid w:val="006E09A2"/>
    <w:rsid w:val="006E1E18"/>
    <w:rsid w:val="006E31CE"/>
    <w:rsid w:val="006E34D3"/>
    <w:rsid w:val="006F1435"/>
    <w:rsid w:val="006F28CE"/>
    <w:rsid w:val="006F78C4"/>
    <w:rsid w:val="007031A0"/>
    <w:rsid w:val="00704515"/>
    <w:rsid w:val="0070587C"/>
    <w:rsid w:val="00705A29"/>
    <w:rsid w:val="00706F3D"/>
    <w:rsid w:val="00707498"/>
    <w:rsid w:val="00710FE2"/>
    <w:rsid w:val="00711A65"/>
    <w:rsid w:val="00712D3F"/>
    <w:rsid w:val="00714133"/>
    <w:rsid w:val="00714DA4"/>
    <w:rsid w:val="007158B2"/>
    <w:rsid w:val="00715935"/>
    <w:rsid w:val="00716081"/>
    <w:rsid w:val="0071620F"/>
    <w:rsid w:val="00722278"/>
    <w:rsid w:val="00722B48"/>
    <w:rsid w:val="00724164"/>
    <w:rsid w:val="0072569F"/>
    <w:rsid w:val="00725DE7"/>
    <w:rsid w:val="0072636A"/>
    <w:rsid w:val="00726B44"/>
    <w:rsid w:val="007271C5"/>
    <w:rsid w:val="007318DD"/>
    <w:rsid w:val="00732AA4"/>
    <w:rsid w:val="00733167"/>
    <w:rsid w:val="00733BB6"/>
    <w:rsid w:val="007358BD"/>
    <w:rsid w:val="00740D2C"/>
    <w:rsid w:val="007426F9"/>
    <w:rsid w:val="00742728"/>
    <w:rsid w:val="00744BF9"/>
    <w:rsid w:val="00744EFA"/>
    <w:rsid w:val="00746B18"/>
    <w:rsid w:val="00751AB2"/>
    <w:rsid w:val="007524F1"/>
    <w:rsid w:val="00752623"/>
    <w:rsid w:val="00755C43"/>
    <w:rsid w:val="00755FE2"/>
    <w:rsid w:val="00760F1F"/>
    <w:rsid w:val="00761897"/>
    <w:rsid w:val="0076423E"/>
    <w:rsid w:val="007646CB"/>
    <w:rsid w:val="00765D4C"/>
    <w:rsid w:val="0076636F"/>
    <w:rsid w:val="0076658F"/>
    <w:rsid w:val="00767EBC"/>
    <w:rsid w:val="0077040A"/>
    <w:rsid w:val="00772D64"/>
    <w:rsid w:val="00782D1B"/>
    <w:rsid w:val="00783532"/>
    <w:rsid w:val="00784F4F"/>
    <w:rsid w:val="007856D5"/>
    <w:rsid w:val="00791892"/>
    <w:rsid w:val="00792609"/>
    <w:rsid w:val="007943E2"/>
    <w:rsid w:val="00794F2C"/>
    <w:rsid w:val="007A2571"/>
    <w:rsid w:val="007A2896"/>
    <w:rsid w:val="007A3347"/>
    <w:rsid w:val="007A3BC7"/>
    <w:rsid w:val="007A3E10"/>
    <w:rsid w:val="007A578E"/>
    <w:rsid w:val="007A5AC4"/>
    <w:rsid w:val="007A754B"/>
    <w:rsid w:val="007B0FDD"/>
    <w:rsid w:val="007B3078"/>
    <w:rsid w:val="007B4802"/>
    <w:rsid w:val="007B6668"/>
    <w:rsid w:val="007B6B33"/>
    <w:rsid w:val="007C0CB3"/>
    <w:rsid w:val="007C17E4"/>
    <w:rsid w:val="007C2701"/>
    <w:rsid w:val="007C4A1A"/>
    <w:rsid w:val="007C5FFD"/>
    <w:rsid w:val="007C6072"/>
    <w:rsid w:val="007C68C1"/>
    <w:rsid w:val="007D2192"/>
    <w:rsid w:val="007D3708"/>
    <w:rsid w:val="007E145D"/>
    <w:rsid w:val="007E268D"/>
    <w:rsid w:val="007E2839"/>
    <w:rsid w:val="007E3F18"/>
    <w:rsid w:val="007F0021"/>
    <w:rsid w:val="007F2F52"/>
    <w:rsid w:val="008035E4"/>
    <w:rsid w:val="00805F28"/>
    <w:rsid w:val="008071C1"/>
    <w:rsid w:val="0080749F"/>
    <w:rsid w:val="00810C61"/>
    <w:rsid w:val="00811D46"/>
    <w:rsid w:val="008125B0"/>
    <w:rsid w:val="008144CB"/>
    <w:rsid w:val="00814B86"/>
    <w:rsid w:val="00814E07"/>
    <w:rsid w:val="00821717"/>
    <w:rsid w:val="00824210"/>
    <w:rsid w:val="008263C0"/>
    <w:rsid w:val="00840590"/>
    <w:rsid w:val="00841422"/>
    <w:rsid w:val="00841D3B"/>
    <w:rsid w:val="00842351"/>
    <w:rsid w:val="0084314C"/>
    <w:rsid w:val="00843171"/>
    <w:rsid w:val="0084704E"/>
    <w:rsid w:val="0084775E"/>
    <w:rsid w:val="0085037F"/>
    <w:rsid w:val="008575C3"/>
    <w:rsid w:val="008576B3"/>
    <w:rsid w:val="00857F11"/>
    <w:rsid w:val="0086171D"/>
    <w:rsid w:val="00863465"/>
    <w:rsid w:val="00863D28"/>
    <w:rsid w:val="008648C3"/>
    <w:rsid w:val="00867C15"/>
    <w:rsid w:val="00875F3E"/>
    <w:rsid w:val="00877C3F"/>
    <w:rsid w:val="00880F26"/>
    <w:rsid w:val="0088142D"/>
    <w:rsid w:val="00882931"/>
    <w:rsid w:val="00884D70"/>
    <w:rsid w:val="00884E1A"/>
    <w:rsid w:val="00890426"/>
    <w:rsid w:val="00891ACF"/>
    <w:rsid w:val="0089660C"/>
    <w:rsid w:val="00896C2E"/>
    <w:rsid w:val="00897182"/>
    <w:rsid w:val="008A0C85"/>
    <w:rsid w:val="008A22C2"/>
    <w:rsid w:val="008A5095"/>
    <w:rsid w:val="008A608F"/>
    <w:rsid w:val="008A6AC3"/>
    <w:rsid w:val="008A7DBE"/>
    <w:rsid w:val="008B1A9A"/>
    <w:rsid w:val="008B4FE6"/>
    <w:rsid w:val="008B50B1"/>
    <w:rsid w:val="008B6C37"/>
    <w:rsid w:val="008C46C7"/>
    <w:rsid w:val="008C5744"/>
    <w:rsid w:val="008C6A86"/>
    <w:rsid w:val="008C6C04"/>
    <w:rsid w:val="008D1B9F"/>
    <w:rsid w:val="008D28ED"/>
    <w:rsid w:val="008D3347"/>
    <w:rsid w:val="008D3630"/>
    <w:rsid w:val="008D433A"/>
    <w:rsid w:val="008E0249"/>
    <w:rsid w:val="008E18F7"/>
    <w:rsid w:val="008E1E10"/>
    <w:rsid w:val="008E291B"/>
    <w:rsid w:val="008E3038"/>
    <w:rsid w:val="008E3491"/>
    <w:rsid w:val="008E4F2F"/>
    <w:rsid w:val="008E4F57"/>
    <w:rsid w:val="008E55B9"/>
    <w:rsid w:val="008E74B0"/>
    <w:rsid w:val="008F07CF"/>
    <w:rsid w:val="008F0CE2"/>
    <w:rsid w:val="008F7F4A"/>
    <w:rsid w:val="009008A8"/>
    <w:rsid w:val="00903F29"/>
    <w:rsid w:val="00906358"/>
    <w:rsid w:val="009063B0"/>
    <w:rsid w:val="00906718"/>
    <w:rsid w:val="00907106"/>
    <w:rsid w:val="00907D95"/>
    <w:rsid w:val="009107FD"/>
    <w:rsid w:val="0091137C"/>
    <w:rsid w:val="00911567"/>
    <w:rsid w:val="00911F7C"/>
    <w:rsid w:val="00915C2C"/>
    <w:rsid w:val="00917AAE"/>
    <w:rsid w:val="00921C9A"/>
    <w:rsid w:val="0092275B"/>
    <w:rsid w:val="009251A9"/>
    <w:rsid w:val="00930699"/>
    <w:rsid w:val="00931F69"/>
    <w:rsid w:val="00934123"/>
    <w:rsid w:val="009408DC"/>
    <w:rsid w:val="00942B0D"/>
    <w:rsid w:val="0094442A"/>
    <w:rsid w:val="00946E59"/>
    <w:rsid w:val="00951588"/>
    <w:rsid w:val="00951F36"/>
    <w:rsid w:val="0095401A"/>
    <w:rsid w:val="00955774"/>
    <w:rsid w:val="009560B5"/>
    <w:rsid w:val="009575CD"/>
    <w:rsid w:val="0096102A"/>
    <w:rsid w:val="00962EDC"/>
    <w:rsid w:val="009636B1"/>
    <w:rsid w:val="00963B0A"/>
    <w:rsid w:val="009703D6"/>
    <w:rsid w:val="0097181B"/>
    <w:rsid w:val="009718D7"/>
    <w:rsid w:val="00972FE7"/>
    <w:rsid w:val="00976DC5"/>
    <w:rsid w:val="00980394"/>
    <w:rsid w:val="009818C7"/>
    <w:rsid w:val="00982DD4"/>
    <w:rsid w:val="009841E5"/>
    <w:rsid w:val="0098479F"/>
    <w:rsid w:val="00984A8A"/>
    <w:rsid w:val="009857B6"/>
    <w:rsid w:val="00985A8D"/>
    <w:rsid w:val="00986610"/>
    <w:rsid w:val="0098662A"/>
    <w:rsid w:val="009877DC"/>
    <w:rsid w:val="0099125F"/>
    <w:rsid w:val="00991F49"/>
    <w:rsid w:val="00991F96"/>
    <w:rsid w:val="00995069"/>
    <w:rsid w:val="00995FA9"/>
    <w:rsid w:val="00996F0A"/>
    <w:rsid w:val="009A003D"/>
    <w:rsid w:val="009A1313"/>
    <w:rsid w:val="009A36D0"/>
    <w:rsid w:val="009A747E"/>
    <w:rsid w:val="009B049C"/>
    <w:rsid w:val="009B0EC8"/>
    <w:rsid w:val="009B11C8"/>
    <w:rsid w:val="009B2BCF"/>
    <w:rsid w:val="009B2FF8"/>
    <w:rsid w:val="009B5BA3"/>
    <w:rsid w:val="009B760B"/>
    <w:rsid w:val="009C24A0"/>
    <w:rsid w:val="009C55A4"/>
    <w:rsid w:val="009D0027"/>
    <w:rsid w:val="009D0655"/>
    <w:rsid w:val="009D29D8"/>
    <w:rsid w:val="009D795D"/>
    <w:rsid w:val="009E000F"/>
    <w:rsid w:val="009E1E98"/>
    <w:rsid w:val="009E3ABE"/>
    <w:rsid w:val="009E3C4B"/>
    <w:rsid w:val="009E6B2E"/>
    <w:rsid w:val="009F0637"/>
    <w:rsid w:val="009F15BC"/>
    <w:rsid w:val="009F1701"/>
    <w:rsid w:val="009F53D8"/>
    <w:rsid w:val="009F5974"/>
    <w:rsid w:val="009F5AD3"/>
    <w:rsid w:val="009F62A6"/>
    <w:rsid w:val="009F674F"/>
    <w:rsid w:val="009F799E"/>
    <w:rsid w:val="00A0015F"/>
    <w:rsid w:val="00A00BA3"/>
    <w:rsid w:val="00A00D04"/>
    <w:rsid w:val="00A01577"/>
    <w:rsid w:val="00A02020"/>
    <w:rsid w:val="00A04382"/>
    <w:rsid w:val="00A056CB"/>
    <w:rsid w:val="00A071C0"/>
    <w:rsid w:val="00A072D7"/>
    <w:rsid w:val="00A07A29"/>
    <w:rsid w:val="00A07D14"/>
    <w:rsid w:val="00A10FF1"/>
    <w:rsid w:val="00A1506B"/>
    <w:rsid w:val="00A17CB2"/>
    <w:rsid w:val="00A21562"/>
    <w:rsid w:val="00A22D7B"/>
    <w:rsid w:val="00A23191"/>
    <w:rsid w:val="00A267EB"/>
    <w:rsid w:val="00A27BC2"/>
    <w:rsid w:val="00A319C0"/>
    <w:rsid w:val="00A33560"/>
    <w:rsid w:val="00A357D0"/>
    <w:rsid w:val="00A371A5"/>
    <w:rsid w:val="00A379DD"/>
    <w:rsid w:val="00A37E07"/>
    <w:rsid w:val="00A408CA"/>
    <w:rsid w:val="00A41B8A"/>
    <w:rsid w:val="00A43018"/>
    <w:rsid w:val="00A452D5"/>
    <w:rsid w:val="00A45940"/>
    <w:rsid w:val="00A47771"/>
    <w:rsid w:val="00A47BDF"/>
    <w:rsid w:val="00A50D5E"/>
    <w:rsid w:val="00A51CD7"/>
    <w:rsid w:val="00A52ADB"/>
    <w:rsid w:val="00A533E8"/>
    <w:rsid w:val="00A542D9"/>
    <w:rsid w:val="00A54A2E"/>
    <w:rsid w:val="00A56E64"/>
    <w:rsid w:val="00A624C3"/>
    <w:rsid w:val="00A62DD5"/>
    <w:rsid w:val="00A6641C"/>
    <w:rsid w:val="00A66744"/>
    <w:rsid w:val="00A767D2"/>
    <w:rsid w:val="00A7749F"/>
    <w:rsid w:val="00A77616"/>
    <w:rsid w:val="00A805DA"/>
    <w:rsid w:val="00A811B4"/>
    <w:rsid w:val="00A85F49"/>
    <w:rsid w:val="00A87CDE"/>
    <w:rsid w:val="00A90310"/>
    <w:rsid w:val="00A91AD9"/>
    <w:rsid w:val="00A92BAF"/>
    <w:rsid w:val="00A92E7F"/>
    <w:rsid w:val="00A94737"/>
    <w:rsid w:val="00A94BA3"/>
    <w:rsid w:val="00A968A4"/>
    <w:rsid w:val="00A96CBA"/>
    <w:rsid w:val="00AA34DF"/>
    <w:rsid w:val="00AA7867"/>
    <w:rsid w:val="00AB1ACD"/>
    <w:rsid w:val="00AB277F"/>
    <w:rsid w:val="00AB4099"/>
    <w:rsid w:val="00AB449A"/>
    <w:rsid w:val="00AB4835"/>
    <w:rsid w:val="00AB583F"/>
    <w:rsid w:val="00AC2F10"/>
    <w:rsid w:val="00AC4513"/>
    <w:rsid w:val="00AD14F9"/>
    <w:rsid w:val="00AD35D6"/>
    <w:rsid w:val="00AD3ED4"/>
    <w:rsid w:val="00AD58C5"/>
    <w:rsid w:val="00AD7283"/>
    <w:rsid w:val="00AE1173"/>
    <w:rsid w:val="00AE1E8A"/>
    <w:rsid w:val="00AE3114"/>
    <w:rsid w:val="00AE3492"/>
    <w:rsid w:val="00AE36C4"/>
    <w:rsid w:val="00AE46F9"/>
    <w:rsid w:val="00AE472C"/>
    <w:rsid w:val="00AE5375"/>
    <w:rsid w:val="00AE6CF8"/>
    <w:rsid w:val="00AE7C1F"/>
    <w:rsid w:val="00AF0071"/>
    <w:rsid w:val="00AF4CAC"/>
    <w:rsid w:val="00AF75FF"/>
    <w:rsid w:val="00AF7947"/>
    <w:rsid w:val="00B0072D"/>
    <w:rsid w:val="00B00D68"/>
    <w:rsid w:val="00B03E0D"/>
    <w:rsid w:val="00B04EE0"/>
    <w:rsid w:val="00B054F8"/>
    <w:rsid w:val="00B05BF8"/>
    <w:rsid w:val="00B17D11"/>
    <w:rsid w:val="00B207B7"/>
    <w:rsid w:val="00B218D3"/>
    <w:rsid w:val="00B21BA9"/>
    <w:rsid w:val="00B2219A"/>
    <w:rsid w:val="00B30C9D"/>
    <w:rsid w:val="00B3581B"/>
    <w:rsid w:val="00B364E1"/>
    <w:rsid w:val="00B36B81"/>
    <w:rsid w:val="00B36FEE"/>
    <w:rsid w:val="00B37C80"/>
    <w:rsid w:val="00B41BEA"/>
    <w:rsid w:val="00B5092B"/>
    <w:rsid w:val="00B5194E"/>
    <w:rsid w:val="00B51AF5"/>
    <w:rsid w:val="00B531FC"/>
    <w:rsid w:val="00B542F7"/>
    <w:rsid w:val="00B54C45"/>
    <w:rsid w:val="00B55347"/>
    <w:rsid w:val="00B57E5E"/>
    <w:rsid w:val="00B61F37"/>
    <w:rsid w:val="00B61FD1"/>
    <w:rsid w:val="00B6417D"/>
    <w:rsid w:val="00B65D96"/>
    <w:rsid w:val="00B66C04"/>
    <w:rsid w:val="00B6790A"/>
    <w:rsid w:val="00B72F4F"/>
    <w:rsid w:val="00B74D50"/>
    <w:rsid w:val="00B75CBA"/>
    <w:rsid w:val="00B7770F"/>
    <w:rsid w:val="00B77A89"/>
    <w:rsid w:val="00B77B27"/>
    <w:rsid w:val="00B80D4B"/>
    <w:rsid w:val="00B8134E"/>
    <w:rsid w:val="00B81B55"/>
    <w:rsid w:val="00B84613"/>
    <w:rsid w:val="00B85153"/>
    <w:rsid w:val="00B8535E"/>
    <w:rsid w:val="00B854AD"/>
    <w:rsid w:val="00B8647F"/>
    <w:rsid w:val="00B87AF0"/>
    <w:rsid w:val="00B9037B"/>
    <w:rsid w:val="00B910BD"/>
    <w:rsid w:val="00B93834"/>
    <w:rsid w:val="00B96469"/>
    <w:rsid w:val="00B97C2C"/>
    <w:rsid w:val="00BA0DA2"/>
    <w:rsid w:val="00BA2981"/>
    <w:rsid w:val="00BA48E8"/>
    <w:rsid w:val="00BA48F9"/>
    <w:rsid w:val="00BA5EAD"/>
    <w:rsid w:val="00BB0096"/>
    <w:rsid w:val="00BB0DCA"/>
    <w:rsid w:val="00BB6B80"/>
    <w:rsid w:val="00BB7909"/>
    <w:rsid w:val="00BB7EBC"/>
    <w:rsid w:val="00BC0EEC"/>
    <w:rsid w:val="00BC3773"/>
    <w:rsid w:val="00BC381A"/>
    <w:rsid w:val="00BC4733"/>
    <w:rsid w:val="00BD0962"/>
    <w:rsid w:val="00BD15EF"/>
    <w:rsid w:val="00BD1D58"/>
    <w:rsid w:val="00BD1EED"/>
    <w:rsid w:val="00BD2945"/>
    <w:rsid w:val="00BD4E7E"/>
    <w:rsid w:val="00BD7499"/>
    <w:rsid w:val="00BE031E"/>
    <w:rsid w:val="00BE18E0"/>
    <w:rsid w:val="00BE2196"/>
    <w:rsid w:val="00BF0DA2"/>
    <w:rsid w:val="00BF109C"/>
    <w:rsid w:val="00BF1501"/>
    <w:rsid w:val="00BF21D0"/>
    <w:rsid w:val="00BF34FA"/>
    <w:rsid w:val="00BF352E"/>
    <w:rsid w:val="00BF785D"/>
    <w:rsid w:val="00C00469"/>
    <w:rsid w:val="00C004B6"/>
    <w:rsid w:val="00C0203E"/>
    <w:rsid w:val="00C047A7"/>
    <w:rsid w:val="00C04B81"/>
    <w:rsid w:val="00C05647"/>
    <w:rsid w:val="00C05DE5"/>
    <w:rsid w:val="00C13A9F"/>
    <w:rsid w:val="00C31266"/>
    <w:rsid w:val="00C33027"/>
    <w:rsid w:val="00C37667"/>
    <w:rsid w:val="00C4149A"/>
    <w:rsid w:val="00C435DB"/>
    <w:rsid w:val="00C44D73"/>
    <w:rsid w:val="00C50B42"/>
    <w:rsid w:val="00C516FF"/>
    <w:rsid w:val="00C527A9"/>
    <w:rsid w:val="00C52BFA"/>
    <w:rsid w:val="00C53D1D"/>
    <w:rsid w:val="00C53F26"/>
    <w:rsid w:val="00C540BC"/>
    <w:rsid w:val="00C640E9"/>
    <w:rsid w:val="00C64F7D"/>
    <w:rsid w:val="00C6537D"/>
    <w:rsid w:val="00C67309"/>
    <w:rsid w:val="00C67D47"/>
    <w:rsid w:val="00C74A50"/>
    <w:rsid w:val="00C75826"/>
    <w:rsid w:val="00C7614E"/>
    <w:rsid w:val="00C80603"/>
    <w:rsid w:val="00C80D60"/>
    <w:rsid w:val="00C82E39"/>
    <w:rsid w:val="00C82FBD"/>
    <w:rsid w:val="00C8392E"/>
    <w:rsid w:val="00C85267"/>
    <w:rsid w:val="00C870B8"/>
    <w:rsid w:val="00C8721B"/>
    <w:rsid w:val="00C91FFC"/>
    <w:rsid w:val="00C924E4"/>
    <w:rsid w:val="00C92CA1"/>
    <w:rsid w:val="00C92F7B"/>
    <w:rsid w:val="00C9372C"/>
    <w:rsid w:val="00C9470E"/>
    <w:rsid w:val="00C95CEB"/>
    <w:rsid w:val="00CA1054"/>
    <w:rsid w:val="00CA118B"/>
    <w:rsid w:val="00CA3072"/>
    <w:rsid w:val="00CA63EB"/>
    <w:rsid w:val="00CA64E6"/>
    <w:rsid w:val="00CA69F1"/>
    <w:rsid w:val="00CB25AC"/>
    <w:rsid w:val="00CB37D8"/>
    <w:rsid w:val="00CB6991"/>
    <w:rsid w:val="00CC303B"/>
    <w:rsid w:val="00CC471B"/>
    <w:rsid w:val="00CC5DFE"/>
    <w:rsid w:val="00CC6194"/>
    <w:rsid w:val="00CC6305"/>
    <w:rsid w:val="00CC6CB9"/>
    <w:rsid w:val="00CC78A5"/>
    <w:rsid w:val="00CD0516"/>
    <w:rsid w:val="00CD06A0"/>
    <w:rsid w:val="00CD724C"/>
    <w:rsid w:val="00CD756B"/>
    <w:rsid w:val="00CE6B79"/>
    <w:rsid w:val="00CE734F"/>
    <w:rsid w:val="00CF0F58"/>
    <w:rsid w:val="00CF112E"/>
    <w:rsid w:val="00CF52CB"/>
    <w:rsid w:val="00CF55F8"/>
    <w:rsid w:val="00CF5F4F"/>
    <w:rsid w:val="00D00AA5"/>
    <w:rsid w:val="00D061B9"/>
    <w:rsid w:val="00D15346"/>
    <w:rsid w:val="00D15E90"/>
    <w:rsid w:val="00D1729C"/>
    <w:rsid w:val="00D175F7"/>
    <w:rsid w:val="00D2135E"/>
    <w:rsid w:val="00D218DC"/>
    <w:rsid w:val="00D24CE1"/>
    <w:rsid w:val="00D24E56"/>
    <w:rsid w:val="00D2644B"/>
    <w:rsid w:val="00D2652D"/>
    <w:rsid w:val="00D27CD6"/>
    <w:rsid w:val="00D31643"/>
    <w:rsid w:val="00D31AEB"/>
    <w:rsid w:val="00D32ECD"/>
    <w:rsid w:val="00D35E47"/>
    <w:rsid w:val="00D361E4"/>
    <w:rsid w:val="00D36CF0"/>
    <w:rsid w:val="00D406B2"/>
    <w:rsid w:val="00D40A70"/>
    <w:rsid w:val="00D43069"/>
    <w:rsid w:val="00D439F6"/>
    <w:rsid w:val="00D459C6"/>
    <w:rsid w:val="00D479A3"/>
    <w:rsid w:val="00D50729"/>
    <w:rsid w:val="00D50C19"/>
    <w:rsid w:val="00D52B8F"/>
    <w:rsid w:val="00D5379E"/>
    <w:rsid w:val="00D62643"/>
    <w:rsid w:val="00D62705"/>
    <w:rsid w:val="00D64C0F"/>
    <w:rsid w:val="00D66F6F"/>
    <w:rsid w:val="00D714E2"/>
    <w:rsid w:val="00D72EFE"/>
    <w:rsid w:val="00D76227"/>
    <w:rsid w:val="00D77DF1"/>
    <w:rsid w:val="00D834F0"/>
    <w:rsid w:val="00D848C8"/>
    <w:rsid w:val="00D86AFF"/>
    <w:rsid w:val="00D95A2F"/>
    <w:rsid w:val="00D95A44"/>
    <w:rsid w:val="00D95D16"/>
    <w:rsid w:val="00D97C76"/>
    <w:rsid w:val="00DA2C3D"/>
    <w:rsid w:val="00DA5851"/>
    <w:rsid w:val="00DB02B4"/>
    <w:rsid w:val="00DB1994"/>
    <w:rsid w:val="00DB249B"/>
    <w:rsid w:val="00DB486B"/>
    <w:rsid w:val="00DB538D"/>
    <w:rsid w:val="00DB6947"/>
    <w:rsid w:val="00DB7B13"/>
    <w:rsid w:val="00DC275C"/>
    <w:rsid w:val="00DC2A8F"/>
    <w:rsid w:val="00DC4B0D"/>
    <w:rsid w:val="00DC7FE1"/>
    <w:rsid w:val="00DD3F3F"/>
    <w:rsid w:val="00DD471C"/>
    <w:rsid w:val="00DD5572"/>
    <w:rsid w:val="00DE157F"/>
    <w:rsid w:val="00DE5D80"/>
    <w:rsid w:val="00DE75B8"/>
    <w:rsid w:val="00DF58CD"/>
    <w:rsid w:val="00DF65DE"/>
    <w:rsid w:val="00E019A5"/>
    <w:rsid w:val="00E02EC8"/>
    <w:rsid w:val="00E037F5"/>
    <w:rsid w:val="00E046AC"/>
    <w:rsid w:val="00E04ECB"/>
    <w:rsid w:val="00E05A09"/>
    <w:rsid w:val="00E06CA1"/>
    <w:rsid w:val="00E06CA7"/>
    <w:rsid w:val="00E14D8F"/>
    <w:rsid w:val="00E16D1B"/>
    <w:rsid w:val="00E172B8"/>
    <w:rsid w:val="00E17FB4"/>
    <w:rsid w:val="00E20793"/>
    <w:rsid w:val="00E20B75"/>
    <w:rsid w:val="00E214F2"/>
    <w:rsid w:val="00E2233D"/>
    <w:rsid w:val="00E2371E"/>
    <w:rsid w:val="00E24BD7"/>
    <w:rsid w:val="00E26523"/>
    <w:rsid w:val="00E26809"/>
    <w:rsid w:val="00E26CCC"/>
    <w:rsid w:val="00E27B48"/>
    <w:rsid w:val="00E3175B"/>
    <w:rsid w:val="00E3412D"/>
    <w:rsid w:val="00E36AD3"/>
    <w:rsid w:val="00E422B1"/>
    <w:rsid w:val="00E423F3"/>
    <w:rsid w:val="00E460FE"/>
    <w:rsid w:val="00E57322"/>
    <w:rsid w:val="00E621F4"/>
    <w:rsid w:val="00E624D1"/>
    <w:rsid w:val="00E628CB"/>
    <w:rsid w:val="00E62AD9"/>
    <w:rsid w:val="00E638C8"/>
    <w:rsid w:val="00E658A5"/>
    <w:rsid w:val="00E658CC"/>
    <w:rsid w:val="00E7509B"/>
    <w:rsid w:val="00E802AB"/>
    <w:rsid w:val="00E8104D"/>
    <w:rsid w:val="00E8162F"/>
    <w:rsid w:val="00E86590"/>
    <w:rsid w:val="00E86812"/>
    <w:rsid w:val="00E907FF"/>
    <w:rsid w:val="00E95DFF"/>
    <w:rsid w:val="00E96353"/>
    <w:rsid w:val="00EA1518"/>
    <w:rsid w:val="00EA28C9"/>
    <w:rsid w:val="00EA42D1"/>
    <w:rsid w:val="00EA42EF"/>
    <w:rsid w:val="00EB0D0C"/>
    <w:rsid w:val="00EB1071"/>
    <w:rsid w:val="00EB1274"/>
    <w:rsid w:val="00EB2DD1"/>
    <w:rsid w:val="00EB3A65"/>
    <w:rsid w:val="00EB6B37"/>
    <w:rsid w:val="00EB6BD6"/>
    <w:rsid w:val="00EC0812"/>
    <w:rsid w:val="00EC29FE"/>
    <w:rsid w:val="00EC41EB"/>
    <w:rsid w:val="00ED0DA6"/>
    <w:rsid w:val="00ED36CC"/>
    <w:rsid w:val="00ED3A3D"/>
    <w:rsid w:val="00ED538A"/>
    <w:rsid w:val="00ED6FBC"/>
    <w:rsid w:val="00EE2F16"/>
    <w:rsid w:val="00EE3861"/>
    <w:rsid w:val="00EF0149"/>
    <w:rsid w:val="00EF0D47"/>
    <w:rsid w:val="00EF2E73"/>
    <w:rsid w:val="00EF5A6F"/>
    <w:rsid w:val="00EF5FE7"/>
    <w:rsid w:val="00EF6330"/>
    <w:rsid w:val="00EF7683"/>
    <w:rsid w:val="00EF7A2D"/>
    <w:rsid w:val="00F01442"/>
    <w:rsid w:val="00F04F8D"/>
    <w:rsid w:val="00F10AD0"/>
    <w:rsid w:val="00F116CC"/>
    <w:rsid w:val="00F117A4"/>
    <w:rsid w:val="00F12BD1"/>
    <w:rsid w:val="00F13CD0"/>
    <w:rsid w:val="00F14342"/>
    <w:rsid w:val="00F15327"/>
    <w:rsid w:val="00F168CF"/>
    <w:rsid w:val="00F21ED3"/>
    <w:rsid w:val="00F23387"/>
    <w:rsid w:val="00F2555C"/>
    <w:rsid w:val="00F31214"/>
    <w:rsid w:val="00F314FB"/>
    <w:rsid w:val="00F319C3"/>
    <w:rsid w:val="00F31DF3"/>
    <w:rsid w:val="00F33AE5"/>
    <w:rsid w:val="00F3597D"/>
    <w:rsid w:val="00F41D87"/>
    <w:rsid w:val="00F42E5D"/>
    <w:rsid w:val="00F4376D"/>
    <w:rsid w:val="00F4416F"/>
    <w:rsid w:val="00F45399"/>
    <w:rsid w:val="00F465EA"/>
    <w:rsid w:val="00F4786A"/>
    <w:rsid w:val="00F52350"/>
    <w:rsid w:val="00F528A7"/>
    <w:rsid w:val="00F5457D"/>
    <w:rsid w:val="00F54E7B"/>
    <w:rsid w:val="00F55A88"/>
    <w:rsid w:val="00F63947"/>
    <w:rsid w:val="00F64C6F"/>
    <w:rsid w:val="00F65D4D"/>
    <w:rsid w:val="00F660F3"/>
    <w:rsid w:val="00F724BD"/>
    <w:rsid w:val="00F74005"/>
    <w:rsid w:val="00F76884"/>
    <w:rsid w:val="00F83D24"/>
    <w:rsid w:val="00F83DD9"/>
    <w:rsid w:val="00F83F40"/>
    <w:rsid w:val="00F855C9"/>
    <w:rsid w:val="00F87153"/>
    <w:rsid w:val="00F92758"/>
    <w:rsid w:val="00F950AA"/>
    <w:rsid w:val="00F95E49"/>
    <w:rsid w:val="00FA09EC"/>
    <w:rsid w:val="00FA0DEE"/>
    <w:rsid w:val="00FA117A"/>
    <w:rsid w:val="00FA2794"/>
    <w:rsid w:val="00FB386A"/>
    <w:rsid w:val="00FB78F8"/>
    <w:rsid w:val="00FC047C"/>
    <w:rsid w:val="00FC0786"/>
    <w:rsid w:val="00FC206A"/>
    <w:rsid w:val="00FC2B78"/>
    <w:rsid w:val="00FC49EF"/>
    <w:rsid w:val="00FC52A2"/>
    <w:rsid w:val="00FD06E1"/>
    <w:rsid w:val="00FD24E3"/>
    <w:rsid w:val="00FD5889"/>
    <w:rsid w:val="00FE030F"/>
    <w:rsid w:val="00FE1FBD"/>
    <w:rsid w:val="00FE23EB"/>
    <w:rsid w:val="00FE2707"/>
    <w:rsid w:val="00FE36E2"/>
    <w:rsid w:val="00FE3D48"/>
    <w:rsid w:val="00FF11AD"/>
    <w:rsid w:val="00FF2971"/>
    <w:rsid w:val="00FF34D4"/>
    <w:rsid w:val="00FF6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4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303"/>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semiHidden/>
    <w:unhideWhenUsed/>
    <w:rsid w:val="0072636A"/>
    <w:rPr>
      <w:color w:val="0000FF"/>
      <w:u w:val="single"/>
    </w:rPr>
  </w:style>
  <w:style w:type="character" w:customStyle="1" w:styleId="BodytextBold">
    <w:name w:val="Body text + Bold"/>
    <w:rsid w:val="0076636F"/>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rsid w:val="00A071C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
    <w:name w:val="Body text_"/>
    <w:link w:val="Tekstpodstawowy2"/>
    <w:rsid w:val="00A071C0"/>
    <w:rPr>
      <w:rFonts w:ascii="Times New Roman" w:eastAsia="Times New Roman" w:hAnsi="Times New Roman"/>
      <w:sz w:val="23"/>
      <w:szCs w:val="23"/>
      <w:shd w:val="clear" w:color="auto" w:fill="FFFFFF"/>
    </w:rPr>
  </w:style>
  <w:style w:type="paragraph" w:customStyle="1" w:styleId="Tekstpodstawowy2">
    <w:name w:val="Tekst podstawowy2"/>
    <w:basedOn w:val="Normalny"/>
    <w:link w:val="Bodytext"/>
    <w:rsid w:val="00A071C0"/>
    <w:pPr>
      <w:shd w:val="clear" w:color="auto" w:fill="FFFFFF"/>
      <w:spacing w:after="60" w:line="0" w:lineRule="atLeast"/>
      <w:ind w:hanging="340"/>
    </w:pPr>
    <w:rPr>
      <w:rFonts w:ascii="Times New Roman" w:eastAsia="Times New Roman" w:hAnsi="Times New Roman"/>
      <w:sz w:val="23"/>
      <w:szCs w:val="23"/>
      <w:lang w:eastAsia="pl-PL"/>
    </w:rPr>
  </w:style>
  <w:style w:type="character" w:customStyle="1" w:styleId="Footnote">
    <w:name w:val="Footnote_"/>
    <w:link w:val="Footnote0"/>
    <w:rsid w:val="00A071C0"/>
    <w:rPr>
      <w:rFonts w:ascii="Times New Roman" w:eastAsia="Times New Roman" w:hAnsi="Times New Roman"/>
      <w:shd w:val="clear" w:color="auto" w:fill="FFFFFF"/>
    </w:rPr>
  </w:style>
  <w:style w:type="paragraph" w:customStyle="1" w:styleId="Footnote0">
    <w:name w:val="Footnote"/>
    <w:basedOn w:val="Normalny"/>
    <w:link w:val="Footnote"/>
    <w:rsid w:val="00A071C0"/>
    <w:pPr>
      <w:shd w:val="clear" w:color="auto" w:fill="FFFFFF"/>
      <w:spacing w:line="226" w:lineRule="exact"/>
      <w:jc w:val="both"/>
    </w:pPr>
    <w:rPr>
      <w:rFonts w:ascii="Times New Roman" w:eastAsia="Times New Roman" w:hAnsi="Times New Roman"/>
      <w:sz w:val="20"/>
      <w:szCs w:val="20"/>
      <w:lang w:eastAsia="pl-PL"/>
    </w:rPr>
  </w:style>
  <w:style w:type="character" w:customStyle="1" w:styleId="Bodytext5">
    <w:name w:val="Body text (5)_"/>
    <w:link w:val="Bodytext50"/>
    <w:rsid w:val="00A071C0"/>
    <w:rPr>
      <w:rFonts w:ascii="Times New Roman" w:eastAsia="Times New Roman" w:hAnsi="Times New Roman"/>
      <w:sz w:val="23"/>
      <w:szCs w:val="23"/>
      <w:shd w:val="clear" w:color="auto" w:fill="FFFFFF"/>
    </w:rPr>
  </w:style>
  <w:style w:type="character" w:customStyle="1" w:styleId="Bodytext5NotBold">
    <w:name w:val="Body text (5) + Not Bold"/>
    <w:rsid w:val="00A071C0"/>
    <w:rPr>
      <w:rFonts w:ascii="Times New Roman" w:eastAsia="Times New Roman" w:hAnsi="Times New Roman" w:cs="Times New Roman"/>
      <w:b/>
      <w:bCs/>
      <w:i w:val="0"/>
      <w:iCs w:val="0"/>
      <w:smallCaps w:val="0"/>
      <w:strike w:val="0"/>
      <w:spacing w:val="0"/>
      <w:sz w:val="23"/>
      <w:szCs w:val="23"/>
    </w:rPr>
  </w:style>
  <w:style w:type="paragraph" w:customStyle="1" w:styleId="Bodytext50">
    <w:name w:val="Body text (5)"/>
    <w:basedOn w:val="Normalny"/>
    <w:link w:val="Bodytext5"/>
    <w:rsid w:val="00A071C0"/>
    <w:pPr>
      <w:shd w:val="clear" w:color="auto" w:fill="FFFFFF"/>
      <w:spacing w:after="240" w:line="274" w:lineRule="exact"/>
      <w:ind w:hanging="340"/>
    </w:pPr>
    <w:rPr>
      <w:rFonts w:ascii="Times New Roman" w:eastAsia="Times New Roman" w:hAnsi="Times New Roman"/>
      <w:sz w:val="23"/>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36927788">
      <w:bodyDiv w:val="1"/>
      <w:marLeft w:val="0"/>
      <w:marRight w:val="0"/>
      <w:marTop w:val="0"/>
      <w:marBottom w:val="0"/>
      <w:divBdr>
        <w:top w:val="none" w:sz="0" w:space="0" w:color="auto"/>
        <w:left w:val="none" w:sz="0" w:space="0" w:color="auto"/>
        <w:bottom w:val="none" w:sz="0" w:space="0" w:color="auto"/>
        <w:right w:val="none" w:sz="0" w:space="0" w:color="auto"/>
      </w:divBdr>
    </w:div>
    <w:div w:id="406725913">
      <w:bodyDiv w:val="1"/>
      <w:marLeft w:val="0"/>
      <w:marRight w:val="0"/>
      <w:marTop w:val="0"/>
      <w:marBottom w:val="0"/>
      <w:divBdr>
        <w:top w:val="none" w:sz="0" w:space="0" w:color="auto"/>
        <w:left w:val="none" w:sz="0" w:space="0" w:color="auto"/>
        <w:bottom w:val="none" w:sz="0" w:space="0" w:color="auto"/>
        <w:right w:val="none" w:sz="0" w:space="0" w:color="auto"/>
      </w:divBdr>
    </w:div>
    <w:div w:id="529413507">
      <w:bodyDiv w:val="1"/>
      <w:marLeft w:val="0"/>
      <w:marRight w:val="0"/>
      <w:marTop w:val="0"/>
      <w:marBottom w:val="0"/>
      <w:divBdr>
        <w:top w:val="none" w:sz="0" w:space="0" w:color="auto"/>
        <w:left w:val="none" w:sz="0" w:space="0" w:color="auto"/>
        <w:bottom w:val="none" w:sz="0" w:space="0" w:color="auto"/>
        <w:right w:val="none" w:sz="0" w:space="0" w:color="auto"/>
      </w:divBdr>
    </w:div>
    <w:div w:id="55111587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51716919">
      <w:bodyDiv w:val="1"/>
      <w:marLeft w:val="0"/>
      <w:marRight w:val="0"/>
      <w:marTop w:val="0"/>
      <w:marBottom w:val="0"/>
      <w:divBdr>
        <w:top w:val="none" w:sz="0" w:space="0" w:color="auto"/>
        <w:left w:val="none" w:sz="0" w:space="0" w:color="auto"/>
        <w:bottom w:val="none" w:sz="0" w:space="0" w:color="auto"/>
        <w:right w:val="none" w:sz="0" w:space="0" w:color="auto"/>
      </w:divBdr>
    </w:div>
    <w:div w:id="71508739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24071411">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8AB3-2635-45FC-8745-7DBE11E5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11459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cp:lastPrinted>2014-03-11T13:55:00Z</cp:lastPrinted>
  <dcterms:created xsi:type="dcterms:W3CDTF">2021-12-03T14:47:00Z</dcterms:created>
  <dcterms:modified xsi:type="dcterms:W3CDTF">2021-12-03T14:47:00Z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MF\FOJB;Cyma Lidia</vt:lpwstr>
  </property>
  <property fmtid="{D5CDD505-2E9C-101B-9397-08002B2CF9AE}" pid="4" name="MFClassificationDate">
    <vt:lpwstr>2021-12-03T15:47:31.8471908+01:00</vt:lpwstr>
  </property>
  <property fmtid="{D5CDD505-2E9C-101B-9397-08002B2CF9AE}" pid="5" name="MFClassifiedBySID">
    <vt:lpwstr>MF\S-1-5-21-1525952054-1005573771-2909822258-147933</vt:lpwstr>
  </property>
  <property fmtid="{D5CDD505-2E9C-101B-9397-08002B2CF9AE}" pid="6" name="MFGRNItemId">
    <vt:lpwstr>GRN-472c1314-d4f5-430e-a906-d707183b3c45</vt:lpwstr>
  </property>
  <property fmtid="{D5CDD505-2E9C-101B-9397-08002B2CF9AE}" pid="7" name="MFHash">
    <vt:lpwstr>cmPqpD6h5lcJ8u+OddHGmbMPFuNjYrXmE8D2ISOll/I=</vt:lpwstr>
  </property>
  <property fmtid="{D5CDD505-2E9C-101B-9397-08002B2CF9AE}" pid="8" name="DLPManualFileClassification">
    <vt:lpwstr>{5fdfc941-3fcf-4a5b-87be-4848800d39d0}</vt:lpwstr>
  </property>
  <property fmtid="{D5CDD505-2E9C-101B-9397-08002B2CF9AE}" pid="9" name="MFRefresh">
    <vt:lpwstr>True</vt:lpwstr>
  </property>
</Properties>
</file>