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646"/>
        <w:gridCol w:w="890"/>
        <w:gridCol w:w="15"/>
        <w:gridCol w:w="399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25"/>
        <w:gridCol w:w="10"/>
      </w:tblGrid>
      <w:tr w:rsidR="006A701A" w:rsidRPr="00E06D5F" w14:paraId="1D356CAC" w14:textId="77777777" w:rsidTr="00EF5274">
        <w:trPr>
          <w:gridAfter w:val="1"/>
          <w:wAfter w:w="10" w:type="dxa"/>
          <w:trHeight w:val="1611"/>
        </w:trPr>
        <w:tc>
          <w:tcPr>
            <w:tcW w:w="6628" w:type="dxa"/>
            <w:gridSpan w:val="17"/>
          </w:tcPr>
          <w:p w14:paraId="66A1D858" w14:textId="77777777"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  <w:p w14:paraId="69F59D14" w14:textId="77777777" w:rsidR="0007441F" w:rsidRDefault="006A2390" w:rsidP="00737BB9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Ustawa </w:t>
            </w:r>
            <w:r w:rsidR="0007441F" w:rsidRPr="0007441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 zmianie ustawy o emeryturach pomostowych oraz</w:t>
            </w:r>
            <w:r w:rsidR="009E4E4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niektórych</w:t>
            </w:r>
            <w:r w:rsidR="0007441F" w:rsidRPr="0007441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innych ustaw</w:t>
            </w:r>
            <w:r w:rsidR="0007441F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9804CD" w14:textId="77777777" w:rsidR="00737BB9" w:rsidRDefault="006A701A" w:rsidP="00737BB9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  <w:bookmarkEnd w:id="0"/>
          </w:p>
          <w:p w14:paraId="78FCDB99" w14:textId="77777777" w:rsidR="00DA6944" w:rsidRPr="00E06D5F" w:rsidRDefault="0007441F" w:rsidP="00737BB9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Ministerstwo Rodziny </w:t>
            </w:r>
            <w:r w:rsidR="00DA6944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i Polityki Społecznej</w:t>
            </w:r>
            <w:r w:rsidR="00DA6944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7818674" w14:textId="77777777" w:rsidR="00DA6944" w:rsidRPr="00E06D5F" w:rsidRDefault="00DA6944" w:rsidP="001B346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F0FCC02" w14:textId="77777777" w:rsidR="001B3460" w:rsidRPr="00E06D5F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14:paraId="7C124795" w14:textId="77777777" w:rsidR="001B3460" w:rsidRPr="00E06D5F" w:rsidRDefault="00DA6944" w:rsidP="00737B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sz w:val="24"/>
                <w:szCs w:val="24"/>
              </w:rPr>
              <w:t>Sekretarz Stanu – Stanisław Szwed</w:t>
            </w:r>
          </w:p>
          <w:p w14:paraId="64511DAE" w14:textId="77777777" w:rsidR="006A701A" w:rsidRPr="00E06D5F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16EC9479" w14:textId="04C24CD6" w:rsidR="006A701A" w:rsidRPr="00E06D5F" w:rsidRDefault="00DA6944" w:rsidP="001E5D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Departament</w:t>
            </w:r>
            <w:r w:rsidR="006A2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Ubezpieczeń Społecznych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1E5DF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737BB9">
              <w:rPr>
                <w:rFonts w:ascii="Times New Roman" w:hAnsi="Times New Roman"/>
                <w:color w:val="000000"/>
                <w:sz w:val="24"/>
                <w:szCs w:val="24"/>
              </w:rPr>
              <w:t>el. 22</w:t>
            </w:r>
            <w:r w:rsidR="00A05F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E5DFD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  <w:r w:rsidR="00A05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5DF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05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5DF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09" w:type="dxa"/>
            <w:gridSpan w:val="11"/>
            <w:shd w:val="clear" w:color="auto" w:fill="FFFFFF"/>
          </w:tcPr>
          <w:p w14:paraId="0D08ADE4" w14:textId="68999529" w:rsidR="001B3460" w:rsidRPr="00E06D5F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E06D5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345788683"/>
                <w:placeholder>
                  <w:docPart w:val="DefaultPlaceholder_1082065160"/>
                </w:placeholder>
                <w:date w:fullDate="2021-12-0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669DA">
                  <w:rPr>
                    <w:rFonts w:ascii="Times New Roman" w:hAnsi="Times New Roman"/>
                    <w:b/>
                    <w:sz w:val="24"/>
                    <w:szCs w:val="24"/>
                  </w:rPr>
                  <w:t>02.12.2021</w:t>
                </w:r>
              </w:sdtContent>
            </w:sdt>
          </w:p>
          <w:p w14:paraId="2103C5B1" w14:textId="77777777" w:rsidR="00F76884" w:rsidRPr="00E06D5F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3E42E" w14:textId="77777777" w:rsidR="00F76884" w:rsidRPr="00E06D5F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14:paraId="7E157A1F" w14:textId="77777777" w:rsidR="00F76884" w:rsidRPr="00E06D5F" w:rsidRDefault="001E6C70" w:rsidP="00F76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Inicjatywa własna</w:t>
            </w:r>
          </w:p>
          <w:p w14:paraId="18FAE70F" w14:textId="77777777" w:rsidR="006A701A" w:rsidRPr="00E06D5F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 w:rsidR="0057668E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wykaz</w:t>
            </w:r>
            <w:r w:rsidR="0057668E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</w:t>
            </w: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 </w:t>
            </w:r>
          </w:p>
          <w:p w14:paraId="6C7EDE39" w14:textId="1430463E" w:rsidR="006A701A" w:rsidRPr="00E06D5F" w:rsidRDefault="007C51D9" w:rsidP="007943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UD314</w:t>
            </w:r>
          </w:p>
          <w:p w14:paraId="5A201E40" w14:textId="77777777" w:rsidR="006A701A" w:rsidRPr="00E06D5F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E06D5F" w14:paraId="2262097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2596B9C9" w14:textId="77777777" w:rsidR="006A701A" w:rsidRPr="00E06D5F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E06D5F" w14:paraId="7A3CF3BE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6112173" w14:textId="77777777" w:rsidR="006A701A" w:rsidRPr="00E06D5F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E06D5F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E06D5F" w14:paraId="6A5F6AB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0F5FBE5B" w14:textId="77777777" w:rsidR="006D05B3" w:rsidRDefault="00CC1070" w:rsidP="006D0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dotyczy </w:t>
            </w:r>
            <w:r w:rsidR="006D05B3">
              <w:rPr>
                <w:rFonts w:ascii="Times New Roman" w:hAnsi="Times New Roman"/>
                <w:sz w:val="24"/>
                <w:szCs w:val="24"/>
              </w:rPr>
              <w:t>kwest</w:t>
            </w:r>
            <w:r w:rsidR="001E5DFD">
              <w:rPr>
                <w:rFonts w:ascii="Times New Roman" w:hAnsi="Times New Roman"/>
                <w:sz w:val="24"/>
                <w:szCs w:val="24"/>
              </w:rPr>
              <w:t>ii związanych z funkcjonowaniem</w:t>
            </w:r>
            <w:r w:rsidR="006D05B3">
              <w:rPr>
                <w:rFonts w:ascii="Times New Roman" w:hAnsi="Times New Roman"/>
                <w:sz w:val="24"/>
                <w:szCs w:val="24"/>
              </w:rPr>
              <w:t xml:space="preserve"> ustawy z dnia 19 grudnia 2008 r o emeryturach pomostowych</w:t>
            </w:r>
            <w:r w:rsidR="00204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0CD" w:rsidRPr="002040CD">
              <w:rPr>
                <w:rFonts w:ascii="Times New Roman" w:hAnsi="Times New Roman"/>
                <w:sz w:val="24"/>
                <w:szCs w:val="24"/>
              </w:rPr>
              <w:t>(Dz. U. z 2018 r. poz. 1924</w:t>
            </w:r>
            <w:r w:rsidR="00A05F83">
              <w:rPr>
                <w:rFonts w:ascii="Times New Roman" w:hAnsi="Times New Roman"/>
                <w:sz w:val="24"/>
                <w:szCs w:val="24"/>
              </w:rPr>
              <w:t>, z późn. zm.</w:t>
            </w:r>
            <w:r w:rsidR="002040CD" w:rsidRPr="002040CD">
              <w:rPr>
                <w:rFonts w:ascii="Times New Roman" w:hAnsi="Times New Roman"/>
                <w:sz w:val="24"/>
                <w:szCs w:val="24"/>
              </w:rPr>
              <w:t>)</w:t>
            </w:r>
            <w:r w:rsidR="006D05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7166620" w14:textId="2ECFD2DD" w:rsidR="006D05B3" w:rsidRDefault="002040CD" w:rsidP="006A2390">
            <w:pPr>
              <w:pStyle w:val="Akapitzlist"/>
              <w:numPr>
                <w:ilvl w:val="0"/>
                <w:numId w:val="23"/>
              </w:num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realizacji</w:t>
            </w:r>
            <w:r w:rsidR="006D05B3" w:rsidRPr="006D05B3">
              <w:rPr>
                <w:rFonts w:ascii="Times New Roman" w:hAnsi="Times New Roman"/>
                <w:sz w:val="24"/>
                <w:szCs w:val="24"/>
              </w:rPr>
              <w:t xml:space="preserve"> w praktyce warunku ustawowego nabycia prawa do em</w:t>
            </w:r>
            <w:r w:rsidR="006D3449">
              <w:rPr>
                <w:rFonts w:ascii="Times New Roman" w:hAnsi="Times New Roman"/>
                <w:sz w:val="24"/>
                <w:szCs w:val="24"/>
              </w:rPr>
              <w:t>er</w:t>
            </w:r>
            <w:r w:rsidR="00CC1070">
              <w:rPr>
                <w:rFonts w:ascii="Times New Roman" w:hAnsi="Times New Roman"/>
                <w:sz w:val="24"/>
                <w:szCs w:val="24"/>
              </w:rPr>
              <w:t>ytury pomostowej (art. 4</w:t>
            </w:r>
            <w:r w:rsidR="00270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53D">
              <w:rPr>
                <w:rFonts w:ascii="Times New Roman" w:hAnsi="Times New Roman"/>
                <w:sz w:val="24"/>
                <w:szCs w:val="24"/>
              </w:rPr>
              <w:t xml:space="preserve">pkt 7 </w:t>
            </w:r>
            <w:r w:rsidR="006D05B3" w:rsidRPr="006D05B3">
              <w:rPr>
                <w:rFonts w:ascii="Times New Roman" w:hAnsi="Times New Roman"/>
                <w:sz w:val="24"/>
                <w:szCs w:val="24"/>
              </w:rPr>
              <w:t xml:space="preserve">ustawy </w:t>
            </w:r>
            <w:r w:rsidR="001E5DFD">
              <w:rPr>
                <w:rFonts w:ascii="Times New Roman" w:hAnsi="Times New Roman"/>
                <w:sz w:val="24"/>
                <w:szCs w:val="24"/>
              </w:rPr>
              <w:br/>
            </w:r>
            <w:r w:rsidR="006D05B3" w:rsidRPr="006D05B3">
              <w:rPr>
                <w:rFonts w:ascii="Times New Roman" w:hAnsi="Times New Roman"/>
                <w:sz w:val="24"/>
                <w:szCs w:val="24"/>
              </w:rPr>
              <w:t>o emeryturach pomostowych</w:t>
            </w:r>
            <w:r w:rsidR="00CC1070">
              <w:rPr>
                <w:rFonts w:ascii="Times New Roman" w:hAnsi="Times New Roman"/>
                <w:sz w:val="24"/>
                <w:szCs w:val="24"/>
              </w:rPr>
              <w:t>)</w:t>
            </w:r>
            <w:r w:rsidR="006D05B3" w:rsidRPr="006D05B3">
              <w:rPr>
                <w:rFonts w:ascii="Times New Roman" w:hAnsi="Times New Roman"/>
                <w:sz w:val="24"/>
                <w:szCs w:val="24"/>
              </w:rPr>
              <w:t>, tj. niepozostawania przez ubezpieczonego w stosunku</w:t>
            </w:r>
            <w:r w:rsidR="006A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5B3" w:rsidRPr="006D05B3">
              <w:rPr>
                <w:rFonts w:ascii="Times New Roman" w:hAnsi="Times New Roman"/>
                <w:sz w:val="24"/>
                <w:szCs w:val="24"/>
              </w:rPr>
              <w:t xml:space="preserve"> pracy</w:t>
            </w:r>
            <w:r w:rsidR="006D05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58B4E3" w14:textId="31E49ED2" w:rsidR="003D37F7" w:rsidRDefault="003D37F7" w:rsidP="001A4947">
            <w:pPr>
              <w:pStyle w:val="Akapitzlist"/>
              <w:numPr>
                <w:ilvl w:val="0"/>
                <w:numId w:val="23"/>
              </w:numPr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F7">
              <w:rPr>
                <w:rFonts w:ascii="Times New Roman" w:hAnsi="Times New Roman"/>
                <w:sz w:val="24"/>
                <w:szCs w:val="24"/>
              </w:rPr>
              <w:t>zakresu kontroli ewidencji pracowników wykonujących prace w szczególnych warunkach lub o szczególnym charakterze, o której mowa w art. 41 ust. 4 pkt 2 ustawy o emeryturach pomostowych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37F7">
              <w:rPr>
                <w:rFonts w:ascii="Times New Roman" w:hAnsi="Times New Roman"/>
                <w:sz w:val="24"/>
                <w:szCs w:val="24"/>
              </w:rPr>
              <w:t xml:space="preserve"> dokonywanej przez  </w:t>
            </w:r>
            <w:r>
              <w:rPr>
                <w:rFonts w:ascii="Times New Roman" w:hAnsi="Times New Roman"/>
                <w:sz w:val="24"/>
                <w:szCs w:val="24"/>
              </w:rPr>
              <w:t>Państwow</w:t>
            </w:r>
            <w:r w:rsidR="006A3CC5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Inspekcję Pracy</w:t>
            </w:r>
            <w:r w:rsidR="009033B4">
              <w:rPr>
                <w:rFonts w:ascii="Times New Roman" w:hAnsi="Times New Roman"/>
                <w:sz w:val="24"/>
                <w:szCs w:val="24"/>
              </w:rPr>
              <w:t xml:space="preserve">, zwaną </w:t>
            </w:r>
            <w:r>
              <w:rPr>
                <w:rFonts w:ascii="Times New Roman" w:hAnsi="Times New Roman"/>
                <w:sz w:val="24"/>
                <w:szCs w:val="24"/>
              </w:rPr>
              <w:t>dalej „PIP”</w:t>
            </w:r>
            <w:r w:rsidRPr="003D37F7">
              <w:rPr>
                <w:rFonts w:ascii="Times New Roman" w:hAnsi="Times New Roman"/>
                <w:sz w:val="24"/>
                <w:szCs w:val="24"/>
              </w:rPr>
              <w:t>, w związku ze skargą pracownika złożoną w trybie art. 41 ust. 6 ustawy o emeryturach pomostowych.</w:t>
            </w:r>
            <w:r w:rsidR="00F429DA" w:rsidRPr="003D3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204B72" w14:textId="77777777" w:rsidR="006D3449" w:rsidRPr="003D37F7" w:rsidRDefault="00312EC1" w:rsidP="003D37F7">
            <w:pPr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D3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565" w:rsidRPr="003D37F7">
              <w:rPr>
                <w:rFonts w:ascii="Times New Roman" w:hAnsi="Times New Roman"/>
                <w:sz w:val="24"/>
                <w:szCs w:val="24"/>
              </w:rPr>
              <w:t>Warunek niepozostawania w</w:t>
            </w:r>
            <w:r w:rsidR="002040CD" w:rsidRPr="003D37F7">
              <w:rPr>
                <w:rFonts w:ascii="Times New Roman" w:hAnsi="Times New Roman"/>
                <w:sz w:val="24"/>
                <w:szCs w:val="24"/>
              </w:rPr>
              <w:t xml:space="preserve"> stosunku pracy został przewidziany przez ustawodawcę z uwagi na charakter świadczenia</w:t>
            </w:r>
            <w:r w:rsidR="002B67DC">
              <w:rPr>
                <w:rFonts w:ascii="Times New Roman" w:hAnsi="Times New Roman"/>
                <w:sz w:val="24"/>
                <w:szCs w:val="24"/>
              </w:rPr>
              <w:t>,</w:t>
            </w:r>
            <w:r w:rsidR="002040CD" w:rsidRPr="003D37F7">
              <w:rPr>
                <w:rFonts w:ascii="Times New Roman" w:hAnsi="Times New Roman"/>
                <w:sz w:val="24"/>
                <w:szCs w:val="24"/>
              </w:rPr>
              <w:t xml:space="preserve"> jakim jest emerytura pomostowa. Świadczenie to (o charakterze okresowym, przysługujące do osiągnięcia powszechnego wieku emerytalnego) skierowane jest bowiem do osób wykonujących prace </w:t>
            </w:r>
            <w:r w:rsidR="00CC1070" w:rsidRPr="003D37F7">
              <w:rPr>
                <w:rFonts w:ascii="Times New Roman" w:hAnsi="Times New Roman"/>
                <w:sz w:val="24"/>
                <w:szCs w:val="24"/>
              </w:rPr>
              <w:br/>
            </w:r>
            <w:r w:rsidR="002040CD" w:rsidRPr="003D37F7">
              <w:rPr>
                <w:rFonts w:ascii="Times New Roman" w:hAnsi="Times New Roman"/>
                <w:sz w:val="24"/>
                <w:szCs w:val="24"/>
              </w:rPr>
              <w:t>w szczególnych warunkach lub o szczególnym charakterze, u których wraz z wiekiem bardzo istotnie zmniejsza się możliwość wykonywania pracy, związana z malejącą wydolnością psychofizyczną pracownika</w:t>
            </w:r>
            <w:r w:rsidR="006D3449" w:rsidRPr="003D37F7">
              <w:rPr>
                <w:rFonts w:ascii="Times New Roman" w:hAnsi="Times New Roman"/>
                <w:sz w:val="24"/>
                <w:szCs w:val="24"/>
              </w:rPr>
              <w:t>.</w:t>
            </w:r>
            <w:r w:rsidR="002040CD" w:rsidRPr="003D3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FB2C3B" w14:textId="45240826" w:rsidR="00CC1070" w:rsidRDefault="006D3449" w:rsidP="00312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449">
              <w:rPr>
                <w:rFonts w:ascii="Times New Roman" w:hAnsi="Times New Roman"/>
                <w:sz w:val="24"/>
                <w:szCs w:val="24"/>
              </w:rPr>
              <w:t>Mimo ustalonej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przez Zakład Ubezpieczeń Społecznych</w:t>
            </w:r>
            <w:r w:rsidR="007B5091">
              <w:rPr>
                <w:rFonts w:ascii="Times New Roman" w:hAnsi="Times New Roman"/>
                <w:sz w:val="24"/>
                <w:szCs w:val="24"/>
              </w:rPr>
              <w:t xml:space="preserve">, zwany </w:t>
            </w:r>
            <w:r w:rsidR="00CC1070">
              <w:rPr>
                <w:rFonts w:ascii="Times New Roman" w:hAnsi="Times New Roman"/>
                <w:sz w:val="24"/>
                <w:szCs w:val="24"/>
              </w:rPr>
              <w:t>dalej „ZUS”</w:t>
            </w:r>
            <w:r w:rsidR="007B5091">
              <w:rPr>
                <w:rFonts w:ascii="Times New Roman" w:hAnsi="Times New Roman"/>
                <w:sz w:val="24"/>
                <w:szCs w:val="24"/>
              </w:rPr>
              <w:t>,</w:t>
            </w:r>
            <w:r w:rsidR="00CC1070">
              <w:rPr>
                <w:rFonts w:ascii="Times New Roman" w:hAnsi="Times New Roman"/>
                <w:sz w:val="24"/>
                <w:szCs w:val="24"/>
              </w:rPr>
              <w:t xml:space="preserve"> procedury, zgodnie z którą</w:t>
            </w:r>
            <w:r w:rsidRPr="006D3449">
              <w:rPr>
                <w:rFonts w:ascii="Times New Roman" w:hAnsi="Times New Roman"/>
                <w:sz w:val="24"/>
                <w:szCs w:val="24"/>
              </w:rPr>
              <w:t xml:space="preserve"> w sprawach o przyznanie emerytu</w:t>
            </w:r>
            <w:r w:rsidR="00CC1070">
              <w:rPr>
                <w:rFonts w:ascii="Times New Roman" w:hAnsi="Times New Roman"/>
                <w:sz w:val="24"/>
                <w:szCs w:val="24"/>
              </w:rPr>
              <w:t xml:space="preserve">ry pomostowej jest analizowana </w:t>
            </w:r>
            <w:r w:rsidRPr="006D3449">
              <w:rPr>
                <w:rFonts w:ascii="Times New Roman" w:hAnsi="Times New Roman"/>
                <w:sz w:val="24"/>
                <w:szCs w:val="24"/>
              </w:rPr>
              <w:t xml:space="preserve">całość dokumentacji zgromadzonej w aktach rentowych w celu sprawdzenia, czy poza warunkiem rozwiązania stosunku (stosunków) pracy </w:t>
            </w:r>
            <w:r w:rsidR="00BA5D23" w:rsidRPr="006D3449">
              <w:rPr>
                <w:rFonts w:ascii="Times New Roman" w:hAnsi="Times New Roman"/>
                <w:sz w:val="24"/>
                <w:szCs w:val="24"/>
              </w:rPr>
              <w:t xml:space="preserve">zostały </w:t>
            </w:r>
            <w:r w:rsidRPr="006D3449">
              <w:rPr>
                <w:rFonts w:ascii="Times New Roman" w:hAnsi="Times New Roman"/>
                <w:sz w:val="24"/>
                <w:szCs w:val="24"/>
              </w:rPr>
              <w:t xml:space="preserve">spełnione pozostałe warunki (w tym również stażowe), wymagane do przyznania świadczenia, nadal występują w praktyce częste przypadki weryfikowania przez organy rentowe w „drugich” decyzjach w przedmiocie prawa do emerytury pomostowej swych wcześniejszych ustaleń co do stażu pracy (zarówno ogólnego, jak i szczególnego) </w:t>
            </w:r>
            <w:r w:rsidR="00CC1070">
              <w:rPr>
                <w:rFonts w:ascii="Times New Roman" w:hAnsi="Times New Roman"/>
                <w:sz w:val="24"/>
                <w:szCs w:val="24"/>
              </w:rPr>
              <w:br/>
            </w:r>
            <w:r w:rsidRPr="006D3449">
              <w:rPr>
                <w:rFonts w:ascii="Times New Roman" w:hAnsi="Times New Roman"/>
                <w:sz w:val="24"/>
                <w:szCs w:val="24"/>
              </w:rPr>
              <w:t>z „pierwszych” decyzji o odmowie prawa do emerytury pomostowej. Skutkuje to utratą jedynego źródła dochodu ubezpieczonego, bez żadnej gwarancji ustalenia prawa do emerytury pomostowej</w:t>
            </w:r>
            <w:r w:rsidR="00CC10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2EC1" w:rsidRPr="00312EC1">
              <w:rPr>
                <w:rFonts w:ascii="Times New Roman" w:hAnsi="Times New Roman"/>
                <w:sz w:val="24"/>
                <w:szCs w:val="24"/>
              </w:rPr>
              <w:t xml:space="preserve">Naraża go bowiem na utratę jedynego źródła dochodu bez żadnej gwarancji ustalenia tego prawa. </w:t>
            </w:r>
          </w:p>
          <w:p w14:paraId="46DCA8C7" w14:textId="38DD2BC3" w:rsidR="00312EC1" w:rsidRPr="00312EC1" w:rsidRDefault="00312EC1" w:rsidP="00312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C1">
              <w:rPr>
                <w:rFonts w:ascii="Times New Roman" w:hAnsi="Times New Roman"/>
                <w:sz w:val="24"/>
                <w:szCs w:val="24"/>
              </w:rPr>
              <w:t>Istnienie takich sytuacji zostało również potwierdzone w trakcie obrad Zespołu Problemowego do Spraw Ubezpieczeń Społec</w:t>
            </w:r>
            <w:r w:rsidR="006D3449">
              <w:rPr>
                <w:rFonts w:ascii="Times New Roman" w:hAnsi="Times New Roman"/>
                <w:sz w:val="24"/>
                <w:szCs w:val="24"/>
              </w:rPr>
              <w:t xml:space="preserve">znych Rady Dialogu Społecznego oraz w wielu wystąpieniach kierowanych do Ministerstwa </w:t>
            </w:r>
            <w:r w:rsidR="00A05F83" w:rsidRPr="00A05F83">
              <w:rPr>
                <w:rFonts w:ascii="Times New Roman" w:hAnsi="Times New Roman"/>
                <w:sz w:val="24"/>
                <w:szCs w:val="24"/>
              </w:rPr>
              <w:t xml:space="preserve">Rodziny i Polityki Społecznej </w:t>
            </w:r>
            <w:r w:rsidR="006D3449">
              <w:rPr>
                <w:rFonts w:ascii="Times New Roman" w:hAnsi="Times New Roman"/>
                <w:sz w:val="24"/>
                <w:szCs w:val="24"/>
              </w:rPr>
              <w:t>przez ubezpieczonych, organizacje związkowe czy też parlamentarzystów.</w:t>
            </w:r>
          </w:p>
          <w:p w14:paraId="00B71503" w14:textId="4D1D11AC" w:rsidR="00F12A93" w:rsidRPr="006D3449" w:rsidRDefault="006D3449" w:rsidP="006D3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449">
              <w:rPr>
                <w:rFonts w:ascii="Times New Roman" w:hAnsi="Times New Roman"/>
                <w:sz w:val="24"/>
                <w:szCs w:val="24"/>
              </w:rPr>
              <w:t>Na trudności związane z powyższym problemem pracowników wykonujących prace w szczególnych warunkach lub o szczególnym charakterze zwrócono uwagę również w doktrynie. Za modyfikacją przez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ustawodawcę warunku rozwiązania</w:t>
            </w:r>
            <w:r w:rsidRPr="006D3449">
              <w:rPr>
                <w:rFonts w:ascii="Times New Roman" w:hAnsi="Times New Roman"/>
                <w:sz w:val="24"/>
                <w:szCs w:val="24"/>
              </w:rPr>
              <w:t xml:space="preserve"> stosunku pracy opowiedziano się także w opinii Biura Analiz Sejmowych w trakcie rozpatrywania w Sejmie indywidulanej petycji (nr BKSP- 145-557/19).</w:t>
            </w:r>
          </w:p>
          <w:p w14:paraId="31BE7565" w14:textId="77777777" w:rsidR="006A2390" w:rsidRDefault="006A2390" w:rsidP="00312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AA81CC" w14:textId="17E49728" w:rsidR="00883C27" w:rsidRPr="00883C27" w:rsidRDefault="00883C27" w:rsidP="00883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C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05F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 xml:space="preserve">Wejście w życie z dniem 1 stycznia 2010 r. przepisu art. 48 </w:t>
            </w:r>
            <w:r>
              <w:rPr>
                <w:rFonts w:ascii="Times New Roman" w:hAnsi="Times New Roman"/>
                <w:sz w:val="24"/>
                <w:szCs w:val="24"/>
              </w:rPr>
              <w:t>ustaw</w:t>
            </w:r>
            <w:r w:rsidR="00270E7D">
              <w:rPr>
                <w:rFonts w:ascii="Times New Roman" w:hAnsi="Times New Roman"/>
                <w:sz w:val="24"/>
                <w:szCs w:val="24"/>
              </w:rPr>
              <w:t>y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 xml:space="preserve"> o emeryturach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 xml:space="preserve">pomostowych spowodowało rozszerzenie katalogu </w:t>
            </w:r>
            <w:r w:rsidR="006A2390">
              <w:rPr>
                <w:rFonts w:ascii="Times New Roman" w:hAnsi="Times New Roman"/>
                <w:sz w:val="24"/>
                <w:szCs w:val="24"/>
              </w:rPr>
              <w:t>zadań PIP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 xml:space="preserve"> o kontrolę ewidencji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>pracowników wykonujących prac</w:t>
            </w:r>
            <w:r w:rsidR="002B67DC">
              <w:rPr>
                <w:rFonts w:ascii="Times New Roman" w:hAnsi="Times New Roman"/>
                <w:sz w:val="24"/>
                <w:szCs w:val="24"/>
              </w:rPr>
              <w:t>ę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 xml:space="preserve"> w szczególnych warunkach lub o szczególnym charakterze, o której mowa w art. 41</w:t>
            </w:r>
            <w:r w:rsidR="00270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>ust. 4 pkt 2 ustawy o emeryturach pomostowych. To dodatkowe zadanie wiązało się z uprawnieniem do nakazania</w:t>
            </w:r>
            <w:r w:rsidR="0031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>pracodawcy umieszczenia pracownika w tej ewidencji (art. 11a ustawy z dnia 13 kwietnia 2007 r. o Państwowej</w:t>
            </w:r>
            <w:r w:rsidR="006A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>Inspekcji Pracy,</w:t>
            </w:r>
            <w:r w:rsidR="00312B28" w:rsidRPr="0043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B28" w:rsidRPr="00F6419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Dz. U. </w:t>
            </w:r>
            <w:r w:rsidR="00312B28" w:rsidRPr="00F6419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z 2019 r. poz. 1251</w:t>
            </w:r>
            <w:r w:rsidR="00312B2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), </w:t>
            </w:r>
            <w:r w:rsidR="00312B28">
              <w:rPr>
                <w:rFonts w:ascii="Times New Roman" w:hAnsi="Times New Roman"/>
                <w:sz w:val="24"/>
                <w:szCs w:val="24"/>
              </w:rPr>
              <w:t>zwanej dalej „ustawą o PIP”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>, i wydawaniem decyzji przez</w:t>
            </w:r>
            <w:r w:rsidR="0031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>inspektora pracy (art. 33 ust. 1 pkt 1 ustawy o PIP).</w:t>
            </w:r>
          </w:p>
          <w:p w14:paraId="124274B6" w14:textId="77777777" w:rsidR="00883C27" w:rsidRDefault="00883C27" w:rsidP="00312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C27">
              <w:rPr>
                <w:rFonts w:ascii="Times New Roman" w:hAnsi="Times New Roman"/>
                <w:sz w:val="24"/>
                <w:szCs w:val="24"/>
              </w:rPr>
              <w:t>W początkowym okresie obowiązywania ww. regulacji organy PIP dokonywały merytorycznej oceny charakteru pracy</w:t>
            </w:r>
            <w:r w:rsidR="0031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>wykonywanej przez pracownika na określonym stanowisku pracy, aby móc ją zakwalifikować jako tę, która wypełnia</w:t>
            </w:r>
            <w:r w:rsidR="00E9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>(bądź nie) kryteria wymienione w art. 3 ust. 1–3 ustawy o emeryturach pomostowych. Ocena taka była dokonywana bez</w:t>
            </w:r>
            <w:r w:rsidR="0031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0CE">
              <w:rPr>
                <w:rFonts w:ascii="Times New Roman" w:hAnsi="Times New Roman"/>
                <w:sz w:val="24"/>
                <w:szCs w:val="24"/>
              </w:rPr>
              <w:t>względu na to</w:t>
            </w:r>
            <w:r w:rsidR="00BD453D">
              <w:rPr>
                <w:rFonts w:ascii="Times New Roman" w:hAnsi="Times New Roman"/>
                <w:sz w:val="24"/>
                <w:szCs w:val="24"/>
              </w:rPr>
              <w:t>,</w:t>
            </w:r>
            <w:r w:rsidR="00E9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C27">
              <w:rPr>
                <w:rFonts w:ascii="Times New Roman" w:hAnsi="Times New Roman"/>
                <w:sz w:val="24"/>
                <w:szCs w:val="24"/>
              </w:rPr>
              <w:t xml:space="preserve">czy stanowisko, na którym pracownik (wnoszący skargę w trybie </w:t>
            </w:r>
            <w:r w:rsidR="00CC1070">
              <w:rPr>
                <w:rFonts w:ascii="Times New Roman" w:hAnsi="Times New Roman"/>
                <w:sz w:val="24"/>
                <w:szCs w:val="24"/>
              </w:rPr>
              <w:br/>
            </w:r>
            <w:r w:rsidRPr="00883C27">
              <w:rPr>
                <w:rFonts w:ascii="Times New Roman" w:hAnsi="Times New Roman"/>
                <w:sz w:val="24"/>
                <w:szCs w:val="24"/>
              </w:rPr>
              <w:t>art. 41 ust. 6 ustawy o emeryturach</w:t>
            </w:r>
            <w:r w:rsidR="00312B28">
              <w:rPr>
                <w:rFonts w:ascii="Times New Roman" w:hAnsi="Times New Roman"/>
                <w:sz w:val="24"/>
                <w:szCs w:val="24"/>
              </w:rPr>
              <w:t xml:space="preserve"> pomostowych) </w:t>
            </w:r>
            <w:r w:rsidR="00312B28" w:rsidRPr="00312B28">
              <w:rPr>
                <w:rFonts w:ascii="Times New Roman" w:hAnsi="Times New Roman"/>
                <w:sz w:val="24"/>
                <w:szCs w:val="24"/>
              </w:rPr>
              <w:t>wykonywał swoją pracę, znajdowało się w prowadzonym przez pła</w:t>
            </w:r>
            <w:r w:rsidR="00312B28">
              <w:rPr>
                <w:rFonts w:ascii="Times New Roman" w:hAnsi="Times New Roman"/>
                <w:sz w:val="24"/>
                <w:szCs w:val="24"/>
              </w:rPr>
              <w:t xml:space="preserve">tnika składek wykazie stanowisk </w:t>
            </w:r>
            <w:r w:rsidR="00312B28" w:rsidRPr="00312B28">
              <w:rPr>
                <w:rFonts w:ascii="Times New Roman" w:hAnsi="Times New Roman"/>
                <w:sz w:val="24"/>
                <w:szCs w:val="24"/>
              </w:rPr>
              <w:t>pracy, na których są wykonywane prace w szczególnych warunkach lub o szczególnym charakterze (art. 41 ust. 4 pkt 1</w:t>
            </w:r>
            <w:r w:rsidR="00270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B28" w:rsidRPr="00312B28">
              <w:rPr>
                <w:rFonts w:ascii="Times New Roman" w:hAnsi="Times New Roman"/>
                <w:sz w:val="24"/>
                <w:szCs w:val="24"/>
              </w:rPr>
              <w:t>ustawy o emeryturach pomostowych). W przypadku gdy kontrola wypadła pozytywnie dla pracownika, organy PIP</w:t>
            </w:r>
            <w:r w:rsidR="0031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B28" w:rsidRPr="00312B28">
              <w:rPr>
                <w:rFonts w:ascii="Times New Roman" w:hAnsi="Times New Roman"/>
                <w:sz w:val="24"/>
                <w:szCs w:val="24"/>
              </w:rPr>
              <w:t>wydawały decyzję o nakazaniu pracodawcy umieszczenia takiego pracownika w ewidencji, a jeśli była ona negatywna,</w:t>
            </w:r>
            <w:r w:rsidR="0031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B28" w:rsidRPr="00312B28">
              <w:rPr>
                <w:rFonts w:ascii="Times New Roman" w:hAnsi="Times New Roman"/>
                <w:sz w:val="24"/>
                <w:szCs w:val="24"/>
              </w:rPr>
              <w:t>podejmowano decyzję o odmowie wpisu do ewidencji (to postępowanie w zakresie kontroli ewidencji pracowników</w:t>
            </w:r>
            <w:r w:rsidR="0031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B28" w:rsidRPr="00312B28">
              <w:rPr>
                <w:rFonts w:ascii="Times New Roman" w:hAnsi="Times New Roman"/>
                <w:sz w:val="24"/>
                <w:szCs w:val="24"/>
              </w:rPr>
              <w:t xml:space="preserve">wykonujących prace </w:t>
            </w:r>
            <w:r w:rsidR="00CC1070">
              <w:rPr>
                <w:rFonts w:ascii="Times New Roman" w:hAnsi="Times New Roman"/>
                <w:sz w:val="24"/>
                <w:szCs w:val="24"/>
              </w:rPr>
              <w:br/>
            </w:r>
            <w:r w:rsidR="00312B28" w:rsidRPr="00312B28">
              <w:rPr>
                <w:rFonts w:ascii="Times New Roman" w:hAnsi="Times New Roman"/>
                <w:sz w:val="24"/>
                <w:szCs w:val="24"/>
              </w:rPr>
              <w:t>w szczególnych warunkach lub o szczególnym charakterze było akceptowane</w:t>
            </w:r>
            <w:r w:rsidR="0031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B28" w:rsidRPr="00312B28">
              <w:rPr>
                <w:rFonts w:ascii="Times New Roman" w:hAnsi="Times New Roman"/>
                <w:sz w:val="24"/>
                <w:szCs w:val="24"/>
              </w:rPr>
              <w:t>w orzecznictwie sądów administracyjnych).</w:t>
            </w:r>
          </w:p>
          <w:p w14:paraId="1A841880" w14:textId="77777777" w:rsidR="00312B28" w:rsidRDefault="00312B28" w:rsidP="00312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28">
              <w:rPr>
                <w:rFonts w:ascii="Times New Roman" w:hAnsi="Times New Roman"/>
                <w:sz w:val="24"/>
                <w:szCs w:val="24"/>
              </w:rPr>
              <w:t>W 2011 r. orzecznictwo w tej kwestii zaczęło się zmieniać, co znalazło swój wyraz w orzeczeniach Naczelnego Sądu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>Administracyjnego</w:t>
            </w:r>
            <w:r w:rsidR="00BD453D">
              <w:rPr>
                <w:rFonts w:ascii="Times New Roman" w:hAnsi="Times New Roman"/>
                <w:sz w:val="24"/>
                <w:szCs w:val="24"/>
              </w:rPr>
              <w:t xml:space="preserve"> (NSA)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>. Zaczęto uznawać, iż organy inspekcji pracy nie mają prawnych podstaw do dokonywania wiążących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>ustaleń czy badań w zakresie wykazywania, czy określone stanowisko pracy spełnia wymogi przewidziane przez ustawę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>o emeryturach pomostowych, aby mogło być umieszczone w rejestrze stanowisk prowadzonym na podstawie przepisu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>art. 41 ust. 4 pkt 1 ustawy</w:t>
            </w:r>
            <w:r w:rsidR="00CC1070">
              <w:rPr>
                <w:rFonts w:ascii="Times New Roman" w:hAnsi="Times New Roman"/>
                <w:sz w:val="24"/>
                <w:szCs w:val="24"/>
              </w:rPr>
              <w:t xml:space="preserve"> o emeryturach pomostowych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>. NSA podkreślał również, iż organy PIP pozostają właściwe jedynie w sprawach, w których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>kwalifikacja pracowników wykonujących prace w szczególnych warunkach lub o szczególnym charakterze nie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 xml:space="preserve">sporna, a w razie sporu właściwy do dokonania takiej kwalifikacji jest </w:t>
            </w:r>
            <w:r>
              <w:rPr>
                <w:rFonts w:ascii="Times New Roman" w:hAnsi="Times New Roman"/>
                <w:sz w:val="24"/>
                <w:szCs w:val="24"/>
              </w:rPr>
              <w:t>ZUS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>, a następnie sąd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 xml:space="preserve">powszechny. </w:t>
            </w:r>
          </w:p>
          <w:p w14:paraId="58ACAAAF" w14:textId="77777777" w:rsidR="0007441F" w:rsidRDefault="00312B28" w:rsidP="009F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28">
              <w:rPr>
                <w:rFonts w:ascii="Times New Roman" w:hAnsi="Times New Roman"/>
                <w:sz w:val="24"/>
                <w:szCs w:val="24"/>
              </w:rPr>
              <w:t>Obecnie można mówić o utrwalonej w tej kwestii linii orzeczniczej sąd</w:t>
            </w:r>
            <w:r>
              <w:rPr>
                <w:rFonts w:ascii="Times New Roman" w:hAnsi="Times New Roman"/>
                <w:sz w:val="24"/>
                <w:szCs w:val="24"/>
              </w:rPr>
              <w:t>ów administracyjnych. Linia ta</w:t>
            </w:r>
            <w:r w:rsidR="006A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>odbiega</w:t>
            </w:r>
            <w:r w:rsidR="00DB0CB4">
              <w:rPr>
                <w:rFonts w:ascii="Times New Roman" w:hAnsi="Times New Roman"/>
                <w:sz w:val="24"/>
                <w:szCs w:val="24"/>
              </w:rPr>
              <w:t xml:space="preserve"> jednak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 xml:space="preserve"> od pierwotnej intencji ustawodawcy </w:t>
            </w:r>
            <w:r w:rsidRPr="00312B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(ratio legis),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 xml:space="preserve">którą stanowiło nadanie uprawnień nadzorczych </w:t>
            </w:r>
            <w:r w:rsidR="00CC1070">
              <w:rPr>
                <w:rFonts w:ascii="Times New Roman" w:hAnsi="Times New Roman"/>
                <w:sz w:val="24"/>
                <w:szCs w:val="24"/>
              </w:rPr>
              <w:br/>
            </w:r>
            <w:r w:rsidRPr="00312B28">
              <w:rPr>
                <w:rFonts w:ascii="Times New Roman" w:hAnsi="Times New Roman"/>
                <w:sz w:val="24"/>
                <w:szCs w:val="24"/>
              </w:rPr>
              <w:t>o pełnym merytorycznym charakterze w zakresie kontroli pracodawców,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 xml:space="preserve">u których są wykonywane prace </w:t>
            </w:r>
            <w:r w:rsidR="00CC1070">
              <w:rPr>
                <w:rFonts w:ascii="Times New Roman" w:hAnsi="Times New Roman"/>
                <w:sz w:val="24"/>
                <w:szCs w:val="24"/>
              </w:rPr>
              <w:br/>
            </w:r>
            <w:r w:rsidRPr="00312B28">
              <w:rPr>
                <w:rFonts w:ascii="Times New Roman" w:hAnsi="Times New Roman"/>
                <w:sz w:val="24"/>
                <w:szCs w:val="24"/>
              </w:rPr>
              <w:t>w szczególnych warunkach lub o szczególnym ch</w:t>
            </w:r>
            <w:r>
              <w:rPr>
                <w:rFonts w:ascii="Times New Roman" w:hAnsi="Times New Roman"/>
                <w:sz w:val="24"/>
                <w:szCs w:val="24"/>
              </w:rPr>
              <w:t>arakterze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 xml:space="preserve"> (PIP jest bowiem organem wyposażonym </w:t>
            </w:r>
            <w:r w:rsidR="00CC1070">
              <w:rPr>
                <w:rFonts w:ascii="Times New Roman" w:hAnsi="Times New Roman"/>
                <w:sz w:val="24"/>
                <w:szCs w:val="24"/>
              </w:rPr>
              <w:br/>
            </w:r>
            <w:r w:rsidRPr="00312B28">
              <w:rPr>
                <w:rFonts w:ascii="Times New Roman" w:hAnsi="Times New Roman"/>
                <w:sz w:val="24"/>
                <w:szCs w:val="24"/>
              </w:rPr>
              <w:t>w odpowiednie zaplecze merytoryczne</w:t>
            </w:r>
            <w:r w:rsidR="006A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B28">
              <w:rPr>
                <w:rFonts w:ascii="Times New Roman" w:hAnsi="Times New Roman"/>
                <w:sz w:val="24"/>
                <w:szCs w:val="24"/>
              </w:rPr>
              <w:t>i techniczne w zakresie oceny warunków pracy i ich wpływu na pracownika).</w:t>
            </w:r>
          </w:p>
          <w:p w14:paraId="731CE0A6" w14:textId="6F3BE3E0" w:rsidR="00DB0CB4" w:rsidRDefault="00DB0CB4" w:rsidP="009F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481">
              <w:rPr>
                <w:rFonts w:ascii="Times New Roman" w:hAnsi="Times New Roman"/>
                <w:sz w:val="24"/>
                <w:szCs w:val="24"/>
              </w:rPr>
              <w:t>Brak jest możli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wości osiągnięcia </w:t>
            </w:r>
            <w:r w:rsidRPr="00A94481">
              <w:rPr>
                <w:rFonts w:ascii="Times New Roman" w:hAnsi="Times New Roman"/>
                <w:sz w:val="24"/>
                <w:szCs w:val="24"/>
              </w:rPr>
              <w:t>celu ustawy</w:t>
            </w:r>
            <w:r w:rsidR="00CC1070">
              <w:rPr>
                <w:rFonts w:ascii="Times New Roman" w:hAnsi="Times New Roman"/>
                <w:sz w:val="24"/>
                <w:szCs w:val="24"/>
              </w:rPr>
              <w:t xml:space="preserve"> o emeryturach pomostowych</w:t>
            </w:r>
            <w:r w:rsidRPr="00A94481">
              <w:rPr>
                <w:rFonts w:ascii="Times New Roman" w:hAnsi="Times New Roman"/>
                <w:sz w:val="24"/>
                <w:szCs w:val="24"/>
              </w:rPr>
              <w:t xml:space="preserve"> za p</w:t>
            </w:r>
            <w:r w:rsidR="00EF5274">
              <w:rPr>
                <w:rFonts w:ascii="Times New Roman" w:hAnsi="Times New Roman"/>
                <w:sz w:val="24"/>
                <w:szCs w:val="24"/>
              </w:rPr>
              <w:t>omocą innych środków niż uchwalenie</w:t>
            </w:r>
            <w:r w:rsidRPr="00A94481">
              <w:rPr>
                <w:rFonts w:ascii="Times New Roman" w:hAnsi="Times New Roman"/>
                <w:sz w:val="24"/>
                <w:szCs w:val="24"/>
              </w:rPr>
              <w:t xml:space="preserve"> projektowanej ustawy.</w:t>
            </w:r>
          </w:p>
          <w:p w14:paraId="780B8AD8" w14:textId="3DD88F2D" w:rsidR="00DA59B0" w:rsidRDefault="00F12A93" w:rsidP="009F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skali problemu rozwiązywanego w projekt</w:t>
            </w:r>
            <w:r w:rsidR="00D4184A">
              <w:rPr>
                <w:rFonts w:ascii="Times New Roman" w:hAnsi="Times New Roman"/>
                <w:sz w:val="24"/>
                <w:szCs w:val="24"/>
              </w:rPr>
              <w:t xml:space="preserve">owanej ustawie </w:t>
            </w:r>
            <w:r w:rsidR="00F86962">
              <w:rPr>
                <w:rFonts w:ascii="Times New Roman" w:hAnsi="Times New Roman"/>
                <w:sz w:val="24"/>
                <w:szCs w:val="24"/>
              </w:rPr>
              <w:t>świadczy</w:t>
            </w:r>
            <w:r w:rsidR="00D41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F12A93">
              <w:rPr>
                <w:rFonts w:ascii="Times New Roman" w:hAnsi="Times New Roman"/>
                <w:sz w:val="24"/>
                <w:szCs w:val="24"/>
              </w:rPr>
              <w:t>estawienie liczby wydanych decyzji dotyczących wniosków o przyznanie emerytury pomostowej w latach 2015</w:t>
            </w:r>
            <w:r w:rsidR="00D418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12A93">
              <w:rPr>
                <w:rFonts w:ascii="Times New Roman" w:hAnsi="Times New Roman"/>
                <w:sz w:val="24"/>
                <w:szCs w:val="24"/>
              </w:rPr>
              <w:t>2020, z wyodrębnieniem liczby decyzji odmownych, spowodowanych jedynie brakiem spełnienia przesłanki dotyczącej rozwiązania stosunku pracy</w:t>
            </w:r>
            <w:r w:rsidR="00F86962">
              <w:rPr>
                <w:rFonts w:ascii="Times New Roman" w:hAnsi="Times New Roman"/>
                <w:sz w:val="24"/>
                <w:szCs w:val="24"/>
              </w:rPr>
              <w:t>.</w:t>
            </w:r>
            <w:r w:rsidR="00FF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B10DD6" w14:textId="7C26C484" w:rsidR="00DA59B0" w:rsidRPr="00A40423" w:rsidRDefault="00FF3619" w:rsidP="00FF361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0423">
              <w:rPr>
                <w:rFonts w:ascii="Times New Roman" w:hAnsi="Times New Roman"/>
                <w:sz w:val="23"/>
                <w:szCs w:val="23"/>
              </w:rPr>
              <w:t>Liczba wydanych decyzji dotyczących wniosków o przyznanie emerytury pomostowej</w:t>
            </w:r>
            <w:r w:rsidR="00DA59B0" w:rsidRPr="00A4042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40423">
              <w:rPr>
                <w:rFonts w:ascii="Times New Roman" w:hAnsi="Times New Roman"/>
                <w:sz w:val="23"/>
                <w:szCs w:val="23"/>
              </w:rPr>
              <w:t>w latach 2015</w:t>
            </w:r>
            <w:r w:rsidR="00D4184A">
              <w:rPr>
                <w:rFonts w:ascii="Times New Roman" w:hAnsi="Times New Roman"/>
                <w:sz w:val="23"/>
                <w:szCs w:val="23"/>
              </w:rPr>
              <w:t>–</w:t>
            </w:r>
            <w:r w:rsidRPr="00A40423">
              <w:rPr>
                <w:rFonts w:ascii="Times New Roman" w:hAnsi="Times New Roman"/>
                <w:sz w:val="23"/>
                <w:szCs w:val="23"/>
              </w:rPr>
              <w:t>2020</w:t>
            </w:r>
            <w:r w:rsidR="00DA59B0" w:rsidRPr="00A40423">
              <w:rPr>
                <w:rFonts w:ascii="Times New Roman" w:hAnsi="Times New Roman"/>
                <w:sz w:val="23"/>
                <w:szCs w:val="23"/>
                <w:vertAlign w:val="superscript"/>
              </w:rPr>
              <w:t>1)</w:t>
            </w:r>
            <w:r w:rsidR="009F5C52" w:rsidRPr="00A4042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41CDE4F2" w14:textId="74DD0FB8" w:rsidR="00FF3619" w:rsidRPr="00FF3619" w:rsidRDefault="009F5C52" w:rsidP="00FF36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985"/>
              <w:gridCol w:w="1843"/>
              <w:gridCol w:w="4908"/>
            </w:tblGrid>
            <w:tr w:rsidR="00FF3619" w:rsidRPr="00FF3619" w14:paraId="0627A5EE" w14:textId="77777777" w:rsidTr="009F5C52">
              <w:trPr>
                <w:trHeight w:val="238"/>
              </w:trPr>
              <w:tc>
                <w:tcPr>
                  <w:tcW w:w="1809" w:type="dxa"/>
                  <w:vMerge w:val="restart"/>
                  <w:vAlign w:val="center"/>
                </w:tcPr>
                <w:p w14:paraId="12D4FA5F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Lata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25F6F9C" w14:textId="77777777" w:rsidR="009F5C52" w:rsidRPr="00DA59B0" w:rsidRDefault="009F5C52" w:rsidP="009F5C52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Liczba wydanych</w:t>
                  </w:r>
                </w:p>
                <w:p w14:paraId="42497CCD" w14:textId="77777777" w:rsidR="009F5C52" w:rsidRPr="00DA59B0" w:rsidRDefault="009F5C52" w:rsidP="009F5C52">
                  <w:pPr>
                    <w:spacing w:line="240" w:lineRule="auto"/>
                  </w:pPr>
                  <w:r w:rsidRPr="00DA59B0">
                    <w:rPr>
                      <w:rFonts w:ascii="Times New Roman" w:hAnsi="Times New Roman"/>
                    </w:rPr>
                    <w:t>decyzji ogółem</w:t>
                  </w:r>
                </w:p>
                <w:p w14:paraId="03226BD7" w14:textId="60F09C44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8FC3B0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85313B3" w14:textId="714E80F2" w:rsidR="00FF3619" w:rsidRPr="00DA59B0" w:rsidRDefault="009F5C52" w:rsidP="009F5C52">
                  <w:pPr>
                    <w:spacing w:line="240" w:lineRule="auto"/>
                  </w:pPr>
                  <w:r w:rsidRPr="00DA59B0">
                    <w:rPr>
                      <w:rFonts w:ascii="Times New Roman" w:hAnsi="Times New Roman"/>
                    </w:rPr>
                    <w:t xml:space="preserve">Liczba decyzji odmownych, </w:t>
                  </w:r>
                  <w:r w:rsidRPr="00DA59B0">
                    <w:rPr>
                      <w:rFonts w:ascii="Times New Roman" w:hAnsi="Times New Roman"/>
                    </w:rPr>
                    <w:br/>
                    <w:t>w których jedyną przyczyną odmowy był brak spełnienia warunku dotyczącego rozwiązania stosunku pracy</w:t>
                  </w:r>
                  <w:r w:rsidRPr="00DA59B0">
                    <w:rPr>
                      <w:rFonts w:ascii="Times New Roman" w:hAnsi="Times New Roman"/>
                      <w:b/>
                      <w:vertAlign w:val="superscript"/>
                    </w:rPr>
                    <w:t>2)</w:t>
                  </w:r>
                </w:p>
              </w:tc>
            </w:tr>
            <w:tr w:rsidR="00FF3619" w:rsidRPr="00FF3619" w14:paraId="27BFDDFB" w14:textId="77777777" w:rsidTr="009F5C52">
              <w:trPr>
                <w:trHeight w:val="257"/>
              </w:trPr>
              <w:tc>
                <w:tcPr>
                  <w:tcW w:w="1809" w:type="dxa"/>
                  <w:vMerge/>
                </w:tcPr>
                <w:p w14:paraId="3A153E27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14:paraId="5BFE3BD4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14:paraId="19F7E799" w14:textId="77777777" w:rsidR="009F5C52" w:rsidRPr="00DA59B0" w:rsidRDefault="009F5C52" w:rsidP="009F5C5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Liczba decyzji odmownych</w:t>
                  </w:r>
                </w:p>
                <w:p w14:paraId="434A0FCE" w14:textId="2055E326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8" w:type="dxa"/>
                  <w:vMerge/>
                  <w:tcBorders>
                    <w:right w:val="single" w:sz="4" w:space="0" w:color="auto"/>
                  </w:tcBorders>
                </w:tcPr>
                <w:p w14:paraId="0B4D18DF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FF3619" w:rsidRPr="00FF3619" w14:paraId="2032D6A7" w14:textId="77777777" w:rsidTr="009F5C52">
              <w:tc>
                <w:tcPr>
                  <w:tcW w:w="1809" w:type="dxa"/>
                  <w:vMerge/>
                </w:tcPr>
                <w:p w14:paraId="06B3BE27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28" w:type="dxa"/>
                  <w:gridSpan w:val="2"/>
                  <w:vAlign w:val="center"/>
                </w:tcPr>
                <w:p w14:paraId="38929B16" w14:textId="77777777" w:rsidR="00FF3619" w:rsidRPr="00DA59B0" w:rsidRDefault="00FF3619" w:rsidP="00822C77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w tys.</w:t>
                  </w:r>
                </w:p>
              </w:tc>
              <w:tc>
                <w:tcPr>
                  <w:tcW w:w="4908" w:type="dxa"/>
                  <w:vAlign w:val="center"/>
                </w:tcPr>
                <w:p w14:paraId="6B546851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w tys.</w:t>
                  </w:r>
                </w:p>
              </w:tc>
            </w:tr>
            <w:tr w:rsidR="00FF3619" w:rsidRPr="00FF3619" w14:paraId="70BFFE9E" w14:textId="77777777" w:rsidTr="009F5C52">
              <w:tc>
                <w:tcPr>
                  <w:tcW w:w="1809" w:type="dxa"/>
                  <w:vAlign w:val="center"/>
                </w:tcPr>
                <w:p w14:paraId="59617572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2015</w:t>
                  </w:r>
                </w:p>
              </w:tc>
              <w:tc>
                <w:tcPr>
                  <w:tcW w:w="1985" w:type="dxa"/>
                  <w:vAlign w:val="center"/>
                </w:tcPr>
                <w:p w14:paraId="0AE379C6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13,3</w:t>
                  </w:r>
                </w:p>
              </w:tc>
              <w:tc>
                <w:tcPr>
                  <w:tcW w:w="1843" w:type="dxa"/>
                  <w:vAlign w:val="center"/>
                </w:tcPr>
                <w:p w14:paraId="53C34EDC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5,2</w:t>
                  </w:r>
                </w:p>
              </w:tc>
              <w:tc>
                <w:tcPr>
                  <w:tcW w:w="4908" w:type="dxa"/>
                  <w:vAlign w:val="center"/>
                </w:tcPr>
                <w:p w14:paraId="06B53507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2,8</w:t>
                  </w:r>
                </w:p>
              </w:tc>
            </w:tr>
            <w:tr w:rsidR="00FF3619" w:rsidRPr="00FF3619" w14:paraId="3012D609" w14:textId="77777777" w:rsidTr="009F5C52">
              <w:tc>
                <w:tcPr>
                  <w:tcW w:w="1809" w:type="dxa"/>
                  <w:vAlign w:val="center"/>
                </w:tcPr>
                <w:p w14:paraId="1097F2A1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1985" w:type="dxa"/>
                  <w:vAlign w:val="center"/>
                </w:tcPr>
                <w:p w14:paraId="3043CE73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15,7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53E1F4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6,2</w:t>
                  </w:r>
                </w:p>
              </w:tc>
              <w:tc>
                <w:tcPr>
                  <w:tcW w:w="4908" w:type="dxa"/>
                  <w:vAlign w:val="center"/>
                </w:tcPr>
                <w:p w14:paraId="11100EC2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3,1</w:t>
                  </w:r>
                </w:p>
              </w:tc>
            </w:tr>
            <w:tr w:rsidR="00FF3619" w:rsidRPr="00FF3619" w14:paraId="54A22049" w14:textId="77777777" w:rsidTr="009F5C52">
              <w:tc>
                <w:tcPr>
                  <w:tcW w:w="1809" w:type="dxa"/>
                  <w:vAlign w:val="center"/>
                </w:tcPr>
                <w:p w14:paraId="5DA9DB87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1985" w:type="dxa"/>
                  <w:vAlign w:val="center"/>
                </w:tcPr>
                <w:p w14:paraId="5857B617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17,9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F16759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7,0</w:t>
                  </w:r>
                </w:p>
              </w:tc>
              <w:tc>
                <w:tcPr>
                  <w:tcW w:w="4908" w:type="dxa"/>
                  <w:vAlign w:val="center"/>
                </w:tcPr>
                <w:p w14:paraId="431696C0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FF3619" w:rsidRPr="00FF3619" w14:paraId="672FB1EE" w14:textId="77777777" w:rsidTr="009F5C52">
              <w:tc>
                <w:tcPr>
                  <w:tcW w:w="1809" w:type="dxa"/>
                  <w:vAlign w:val="center"/>
                </w:tcPr>
                <w:p w14:paraId="6ABD76DF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985" w:type="dxa"/>
                  <w:vAlign w:val="center"/>
                </w:tcPr>
                <w:p w14:paraId="01862780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21,2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2A60EDA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7,9</w:t>
                  </w:r>
                </w:p>
              </w:tc>
              <w:tc>
                <w:tcPr>
                  <w:tcW w:w="4908" w:type="dxa"/>
                  <w:vAlign w:val="center"/>
                </w:tcPr>
                <w:p w14:paraId="07948144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FF3619" w:rsidRPr="00FF3619" w14:paraId="26126D1B" w14:textId="77777777" w:rsidTr="009F5C52">
              <w:tc>
                <w:tcPr>
                  <w:tcW w:w="1809" w:type="dxa"/>
                  <w:vAlign w:val="center"/>
                </w:tcPr>
                <w:p w14:paraId="2BC9DDB4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1985" w:type="dxa"/>
                  <w:vAlign w:val="center"/>
                </w:tcPr>
                <w:p w14:paraId="7A4B0346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24,5</w:t>
                  </w:r>
                </w:p>
              </w:tc>
              <w:tc>
                <w:tcPr>
                  <w:tcW w:w="1843" w:type="dxa"/>
                  <w:vAlign w:val="center"/>
                </w:tcPr>
                <w:p w14:paraId="2AC9A02C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9,1</w:t>
                  </w:r>
                </w:p>
              </w:tc>
              <w:tc>
                <w:tcPr>
                  <w:tcW w:w="4908" w:type="dxa"/>
                  <w:vAlign w:val="center"/>
                </w:tcPr>
                <w:p w14:paraId="141288AF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4,5</w:t>
                  </w:r>
                </w:p>
              </w:tc>
            </w:tr>
            <w:tr w:rsidR="00FF3619" w:rsidRPr="00FF3619" w14:paraId="76DA2301" w14:textId="77777777" w:rsidTr="009F5C52">
              <w:tc>
                <w:tcPr>
                  <w:tcW w:w="1809" w:type="dxa"/>
                  <w:vAlign w:val="center"/>
                </w:tcPr>
                <w:p w14:paraId="2BF05BE2" w14:textId="77777777" w:rsidR="00FF3619" w:rsidRPr="00DA59B0" w:rsidRDefault="00FF3619" w:rsidP="00FF3619">
                  <w:pPr>
                    <w:jc w:val="both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985" w:type="dxa"/>
                  <w:vAlign w:val="center"/>
                </w:tcPr>
                <w:p w14:paraId="3F01B3FC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23,9</w:t>
                  </w:r>
                </w:p>
              </w:tc>
              <w:tc>
                <w:tcPr>
                  <w:tcW w:w="1843" w:type="dxa"/>
                  <w:vAlign w:val="center"/>
                </w:tcPr>
                <w:p w14:paraId="3F629DF1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9,5</w:t>
                  </w:r>
                </w:p>
              </w:tc>
              <w:tc>
                <w:tcPr>
                  <w:tcW w:w="4908" w:type="dxa"/>
                  <w:vAlign w:val="center"/>
                </w:tcPr>
                <w:p w14:paraId="455206C2" w14:textId="77777777" w:rsidR="00FF3619" w:rsidRPr="00DA59B0" w:rsidRDefault="00FF3619" w:rsidP="00A404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59B0">
                    <w:rPr>
                      <w:rFonts w:ascii="Times New Roman" w:hAnsi="Times New Roman"/>
                    </w:rPr>
                    <w:t>4,7</w:t>
                  </w:r>
                </w:p>
              </w:tc>
            </w:tr>
          </w:tbl>
          <w:p w14:paraId="297DD819" w14:textId="77777777" w:rsidR="00FF3619" w:rsidRPr="00FF3619" w:rsidRDefault="00FF3619" w:rsidP="00FF3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619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FF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9B0">
              <w:rPr>
                <w:rFonts w:ascii="Times New Roman" w:hAnsi="Times New Roman"/>
                <w:sz w:val="16"/>
                <w:szCs w:val="16"/>
              </w:rPr>
              <w:t>Bez emerytur pomostowych realizowanych na mocy umów międzynarodowych.</w:t>
            </w:r>
          </w:p>
          <w:p w14:paraId="5BD7FEF0" w14:textId="2F371053" w:rsidR="00FF3619" w:rsidRPr="00DA59B0" w:rsidRDefault="00A14962" w:rsidP="00FF36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2) </w:t>
            </w:r>
            <w:r w:rsidR="00FF3619" w:rsidRPr="00DA59B0">
              <w:rPr>
                <w:rFonts w:ascii="Times New Roman" w:hAnsi="Times New Roman"/>
                <w:sz w:val="16"/>
                <w:szCs w:val="16"/>
              </w:rPr>
              <w:t>Na postawie danych analitycznych pozyskanych z ręcznych rejestrów prowadzonych przez Centrum Obsługi Emerytur Pomostowych.</w:t>
            </w:r>
          </w:p>
          <w:p w14:paraId="35E341C8" w14:textId="1978C4FB" w:rsidR="00F0065F" w:rsidRPr="009F7F7B" w:rsidRDefault="00F0065F" w:rsidP="009F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01A" w:rsidRPr="00E06D5F" w14:paraId="693A619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698D3515" w14:textId="77777777" w:rsidR="006A701A" w:rsidRPr="00E06D5F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E06D5F" w14:paraId="3E6D5B6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7FBE941A" w14:textId="37879FAA" w:rsidR="007D500B" w:rsidRPr="00C851E0" w:rsidRDefault="007D500B" w:rsidP="007D500B">
            <w:pPr>
              <w:pStyle w:val="Akapitzlist"/>
              <w:numPr>
                <w:ilvl w:val="0"/>
                <w:numId w:val="27"/>
              </w:numPr>
              <w:ind w:left="3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1E0">
              <w:rPr>
                <w:rFonts w:ascii="Times New Roman" w:hAnsi="Times New Roman"/>
                <w:b/>
                <w:sz w:val="24"/>
                <w:szCs w:val="24"/>
              </w:rPr>
              <w:t xml:space="preserve">Uchylenie przepisu art. 4 </w:t>
            </w:r>
            <w:r w:rsidR="00BD453D" w:rsidRPr="00C851E0">
              <w:rPr>
                <w:rFonts w:ascii="Times New Roman" w:hAnsi="Times New Roman"/>
                <w:b/>
                <w:sz w:val="24"/>
                <w:szCs w:val="24"/>
              </w:rPr>
              <w:t>pkt 7</w:t>
            </w:r>
            <w:r w:rsidR="00BD45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1E0">
              <w:rPr>
                <w:rFonts w:ascii="Times New Roman" w:hAnsi="Times New Roman"/>
                <w:b/>
                <w:sz w:val="24"/>
                <w:szCs w:val="24"/>
              </w:rPr>
              <w:t>ustawy o emeryturach pomostowych.</w:t>
            </w:r>
          </w:p>
          <w:p w14:paraId="4D4496C4" w14:textId="69051732" w:rsidR="007D500B" w:rsidRPr="00C851E0" w:rsidRDefault="00E910CE" w:rsidP="007D500B">
            <w:pPr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Propozycja ta nie oznacza</w:t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 xml:space="preserve">, że warunek rozwiązania stosunku pracy nie będzie miał już żadnego znaczenia dla konstrukcji przepisów ustawy o emeryturach pomostowych. Przeciwnie, aby zachować charakter świadczenia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>w postaci emerytury pomostowej (kt</w:t>
            </w:r>
            <w:r w:rsidR="009C6C54" w:rsidRPr="00C851E0">
              <w:rPr>
                <w:rFonts w:ascii="Times New Roman" w:hAnsi="Times New Roman"/>
                <w:sz w:val="24"/>
                <w:szCs w:val="24"/>
              </w:rPr>
              <w:t>óre</w:t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 xml:space="preserve"> zostało  skierowane do osób wykonujących prace w szczególnych warunkach lub o szczególnym charakterze, u których wraz z wiekiem bardzo istotnie zmniejsza się możliwość wykonywania pracy, związana z malejącą wydolnością psychofizyczną pracownika), należało tę przesłankę przekształcić (podobnie jak to ma miejsce na gruncie przepisów </w:t>
            </w:r>
            <w:r w:rsidR="00DB0CB4">
              <w:rPr>
                <w:rFonts w:ascii="Times New Roman" w:hAnsi="Times New Roman"/>
                <w:sz w:val="24"/>
                <w:szCs w:val="24"/>
              </w:rPr>
              <w:t>ustawy</w:t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 xml:space="preserve"> o emeryturach i rentach z </w:t>
            </w:r>
            <w:r w:rsidR="00CC1070">
              <w:rPr>
                <w:rFonts w:ascii="Times New Roman" w:hAnsi="Times New Roman"/>
                <w:sz w:val="24"/>
                <w:szCs w:val="24"/>
              </w:rPr>
              <w:t>Funduszu Ubezpieczeń Społecznych)</w:t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 xml:space="preserve"> w przesłankę realizacji nabytego już prawa do emerytury pomostowej.</w:t>
            </w:r>
          </w:p>
          <w:p w14:paraId="5B58B7A4" w14:textId="57DC8F20" w:rsidR="007D500B" w:rsidRPr="00C851E0" w:rsidRDefault="007D500B" w:rsidP="007D500B">
            <w:pPr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E0">
              <w:rPr>
                <w:rFonts w:ascii="Times New Roman" w:hAnsi="Times New Roman"/>
                <w:sz w:val="24"/>
                <w:szCs w:val="24"/>
              </w:rPr>
              <w:t>W związku z tym zaproponowano, aby w post</w:t>
            </w:r>
            <w:r w:rsidR="002B67DC">
              <w:rPr>
                <w:rFonts w:ascii="Times New Roman" w:hAnsi="Times New Roman"/>
                <w:sz w:val="24"/>
                <w:szCs w:val="24"/>
              </w:rPr>
              <w:t>ę</w:t>
            </w:r>
            <w:r w:rsidRPr="00C851E0">
              <w:rPr>
                <w:rFonts w:ascii="Times New Roman" w:hAnsi="Times New Roman"/>
                <w:sz w:val="24"/>
                <w:szCs w:val="24"/>
              </w:rPr>
              <w:t>powaniu o przyznanie emerytury pom</w:t>
            </w:r>
            <w:r w:rsidR="00E910CE">
              <w:rPr>
                <w:rFonts w:ascii="Times New Roman" w:hAnsi="Times New Roman"/>
                <w:sz w:val="24"/>
                <w:szCs w:val="24"/>
              </w:rPr>
              <w:t>ostowej przez organ rentowy był</w:t>
            </w:r>
            <w:r w:rsidRPr="00C851E0">
              <w:rPr>
                <w:rFonts w:ascii="Times New Roman" w:hAnsi="Times New Roman"/>
                <w:sz w:val="24"/>
                <w:szCs w:val="24"/>
              </w:rPr>
              <w:t xml:space="preserve"> stosowany również przepis art. 103a ustawy</w:t>
            </w:r>
            <w:r w:rsidR="00CC1070">
              <w:rPr>
                <w:rFonts w:ascii="Times New Roman" w:hAnsi="Times New Roman"/>
                <w:sz w:val="24"/>
                <w:szCs w:val="24"/>
              </w:rPr>
              <w:t xml:space="preserve"> o emeryturach i rentach z </w:t>
            </w:r>
            <w:r w:rsidR="00BD453D" w:rsidRPr="00BD453D">
              <w:rPr>
                <w:rFonts w:ascii="Times New Roman" w:hAnsi="Times New Roman"/>
                <w:sz w:val="24"/>
                <w:szCs w:val="24"/>
              </w:rPr>
              <w:t>Funduszu Ubezpieczeń Społecznych</w:t>
            </w:r>
            <w:r w:rsidR="00DB0CB4">
              <w:rPr>
                <w:rFonts w:ascii="Times New Roman" w:hAnsi="Times New Roman"/>
                <w:sz w:val="24"/>
                <w:szCs w:val="24"/>
              </w:rPr>
              <w:t>,</w:t>
            </w:r>
            <w:r w:rsidRPr="00C851E0">
              <w:rPr>
                <w:rFonts w:ascii="Times New Roman" w:hAnsi="Times New Roman"/>
                <w:sz w:val="24"/>
                <w:szCs w:val="24"/>
              </w:rPr>
              <w:t xml:space="preserve"> zgodnie z którym </w:t>
            </w:r>
            <w:r w:rsidRPr="00C851E0">
              <w:rPr>
                <w:rFonts w:ascii="Times New Roman" w:hAnsi="Times New Roman"/>
                <w:i/>
                <w:sz w:val="24"/>
                <w:szCs w:val="24"/>
              </w:rPr>
              <w:t>„prawo do emerytury ulega zawieszeniu bez względu na wysokość przychodu uzyskiwanego przez emeryta z tytułu zatrudnienia kontynuowanego bez uprzedniego rozwiązania stosunku pracy z pracodawcą, na rzecz którego wykonywał je bezpośrednio przed dniem nabycia prawa do emerytury, ustalonym w decyzji organu rentowego”.</w:t>
            </w:r>
            <w:r w:rsidRPr="00C851E0">
              <w:rPr>
                <w:rFonts w:ascii="Times New Roman" w:hAnsi="Times New Roman"/>
                <w:sz w:val="24"/>
                <w:szCs w:val="24"/>
              </w:rPr>
              <w:t xml:space="preserve"> Wskutek takiego rozwiązania osobie, która wystąpi o ustalenie prawa do emerytury pomostowej przed rozwiązaniem stosunku pracy, a spełni pozostałe wa</w:t>
            </w:r>
            <w:r w:rsidR="00DB0CB4">
              <w:rPr>
                <w:rFonts w:ascii="Times New Roman" w:hAnsi="Times New Roman"/>
                <w:sz w:val="24"/>
                <w:szCs w:val="24"/>
              </w:rPr>
              <w:t>runki ustalenia tego prawa</w:t>
            </w:r>
            <w:r w:rsidRPr="00C851E0">
              <w:rPr>
                <w:rFonts w:ascii="Times New Roman" w:hAnsi="Times New Roman"/>
                <w:sz w:val="24"/>
                <w:szCs w:val="24"/>
              </w:rPr>
              <w:t>, organ rentowy wyda decyzję o przyznaniu emerytury pomostowej (od której będzie przysługiwało odwołanie do sądu). Emerytura taka jednak nie będzie wypłacana, gdyż prawo do emerytury pomostowej przysługujące takiej osobie ulegnie zawieszeniu.</w:t>
            </w:r>
          </w:p>
          <w:p w14:paraId="7589F1A1" w14:textId="436BB636" w:rsidR="00C851E0" w:rsidRDefault="00E910CE" w:rsidP="00EF5274">
            <w:pPr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Wejście </w:t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>w życie zmian</w:t>
            </w:r>
            <w:r w:rsidR="00DB0CB4">
              <w:rPr>
                <w:rFonts w:ascii="Times New Roman" w:hAnsi="Times New Roman"/>
                <w:sz w:val="24"/>
                <w:szCs w:val="24"/>
              </w:rPr>
              <w:t>y zaproponowanej</w:t>
            </w:r>
            <w:r w:rsidR="00F0065F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DB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65F">
              <w:rPr>
                <w:rFonts w:ascii="Times New Roman" w:hAnsi="Times New Roman"/>
                <w:sz w:val="24"/>
                <w:szCs w:val="24"/>
              </w:rPr>
              <w:t xml:space="preserve">projekcie </w:t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 xml:space="preserve">ustawy będzie również korzystne dla ubiegającego się </w:t>
            </w:r>
            <w:r w:rsidR="00F0065F">
              <w:rPr>
                <w:rFonts w:ascii="Times New Roman" w:hAnsi="Times New Roman"/>
                <w:sz w:val="24"/>
                <w:szCs w:val="24"/>
              </w:rPr>
              <w:br/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>o emeryturę pomostową z innego względu. Mianowicie w  ten</w:t>
            </w:r>
            <w:r w:rsidR="00AE3C8A" w:rsidRPr="00C851E0">
              <w:rPr>
                <w:rFonts w:ascii="Times New Roman" w:hAnsi="Times New Roman"/>
                <w:sz w:val="24"/>
                <w:szCs w:val="24"/>
              </w:rPr>
              <w:t xml:space="preserve"> sposób ulegnie także</w:t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 xml:space="preserve"> rozszerzeniu zakres kontroli decyzji organu rentowego </w:t>
            </w:r>
            <w:r w:rsidR="00DB0CB4">
              <w:rPr>
                <w:rFonts w:ascii="Times New Roman" w:hAnsi="Times New Roman"/>
                <w:sz w:val="24"/>
                <w:szCs w:val="24"/>
              </w:rPr>
              <w:t>co do spełniania pozostałych</w:t>
            </w:r>
            <w:r w:rsidR="007B29D5">
              <w:rPr>
                <w:rFonts w:ascii="Times New Roman" w:hAnsi="Times New Roman"/>
                <w:sz w:val="24"/>
                <w:szCs w:val="24"/>
              </w:rPr>
              <w:t xml:space="preserve"> (poza niepozostawaniem w stosunku pracy)</w:t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 xml:space="preserve"> warunków ustawowych nabycia </w:t>
            </w:r>
            <w:r w:rsidR="007B29D5">
              <w:rPr>
                <w:rFonts w:ascii="Times New Roman" w:hAnsi="Times New Roman"/>
                <w:sz w:val="24"/>
                <w:szCs w:val="24"/>
              </w:rPr>
              <w:t>prawa do emerytury pomostowej</w:t>
            </w:r>
            <w:r w:rsidR="00DB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00B" w:rsidRPr="00C851E0">
              <w:rPr>
                <w:rFonts w:ascii="Times New Roman" w:hAnsi="Times New Roman"/>
                <w:sz w:val="24"/>
                <w:szCs w:val="24"/>
              </w:rPr>
              <w:t>dokonywanej w sądowym  postepowaniu odwoławczym.</w:t>
            </w:r>
          </w:p>
          <w:p w14:paraId="4807B2A3" w14:textId="77777777" w:rsidR="00F0065F" w:rsidRPr="00C851E0" w:rsidRDefault="00F0065F" w:rsidP="00EF5274">
            <w:pPr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5CE883" w14:textId="77777777" w:rsidR="00236898" w:rsidRPr="00236898" w:rsidRDefault="00C851E0" w:rsidP="00236898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851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851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6D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Rozszerzenie</w:t>
            </w:r>
            <w:r w:rsidR="00236898" w:rsidRPr="002368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zakresu kontroli dokonywanej</w:t>
            </w:r>
            <w:r w:rsidR="00E910C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przez PIP</w:t>
            </w:r>
            <w:r w:rsidR="00236898" w:rsidRPr="002368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– w związku ze skargą pracownika złożoną </w:t>
            </w:r>
            <w:r w:rsidR="00E910C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="00236898" w:rsidRPr="002368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trybie art. 41 ust</w:t>
            </w:r>
            <w:r w:rsidR="00270E7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="00236898" w:rsidRPr="002368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6 ustawy o emeryturach pomostowych – ewidencji pracowników wykonujących prace w szczególnych warunkach lub o szczególnym charakterze, o której mowa w art. 41 ust. 4 pkt 2 ustawy </w:t>
            </w:r>
            <w:r w:rsidR="00E910C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="00236898" w:rsidRPr="0023689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 emeryturach pomostowych.</w:t>
            </w:r>
          </w:p>
          <w:p w14:paraId="0950C681" w14:textId="77777777" w:rsidR="00CC1070" w:rsidRDefault="00CC1070" w:rsidP="00CC1070">
            <w:pPr>
              <w:spacing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70">
              <w:rPr>
                <w:rFonts w:ascii="Times New Roman" w:hAnsi="Times New Roman"/>
                <w:sz w:val="24"/>
                <w:szCs w:val="24"/>
              </w:rPr>
              <w:t xml:space="preserve">W projekcie zaproponowano rozszerzenie kompetencji PIP poprzez dokonanie takich zmian </w:t>
            </w:r>
            <w:r w:rsidR="00F0065F">
              <w:rPr>
                <w:rFonts w:ascii="Times New Roman" w:hAnsi="Times New Roman"/>
                <w:sz w:val="24"/>
                <w:szCs w:val="24"/>
              </w:rPr>
              <w:br/>
            </w:r>
            <w:r w:rsidRPr="00CC1070">
              <w:rPr>
                <w:rFonts w:ascii="Times New Roman" w:hAnsi="Times New Roman"/>
                <w:sz w:val="24"/>
                <w:szCs w:val="24"/>
              </w:rPr>
              <w:t>w ustawie o PIP, które pozwolą temu organowi na merytoryczną ocenę procesu kwalifikowania przez pracodawcę wykonywanych u niego prac jako prac w szczególnych warunkach lub o szczególnym charakterze, według kryteriów wskazanych w art. 3 ust.</w:t>
            </w:r>
            <w:r w:rsidR="00270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070">
              <w:rPr>
                <w:rFonts w:ascii="Times New Roman" w:hAnsi="Times New Roman"/>
                <w:sz w:val="24"/>
                <w:szCs w:val="24"/>
              </w:rPr>
              <w:t>1–3 ustawy o emeryturach pomostowych. W projektowanej ustawie zaproponowane zostało rozszerzenie zadań PIP o kontrolę prowadzonego przez pracodawcę wykazu stanowisk pracy, na których są wykonywane prace w szczególnych warunkach lub o szczególnym charakterze na podstawie przepisu art. 41 ust. 4 pkt 1 us</w:t>
            </w:r>
            <w:r>
              <w:rPr>
                <w:rFonts w:ascii="Times New Roman" w:hAnsi="Times New Roman"/>
                <w:sz w:val="24"/>
                <w:szCs w:val="24"/>
              </w:rPr>
              <w:t>tawy o emeryturach pomostowych.</w:t>
            </w:r>
          </w:p>
          <w:p w14:paraId="7ADBFF54" w14:textId="77777777" w:rsidR="00236898" w:rsidRDefault="00236898" w:rsidP="00236898">
            <w:pPr>
              <w:spacing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98">
              <w:rPr>
                <w:rFonts w:ascii="Times New Roman" w:hAnsi="Times New Roman"/>
                <w:sz w:val="24"/>
                <w:szCs w:val="24"/>
              </w:rPr>
              <w:t>Skarga będzie przysługiwała pracownikowi nie tylko w sytuacji, w której nie został on umieszczony w ewidencji, o której mowa w art. 41 ust. 4 pkt 2 ustawy o emeryturach pomostowych, ale również w sytuacji, w której – pomimo umieszczenia w tej ewidencji – stanowisko pracy, na którym wykonuje on prace w szczególnych warunkach lub o szczególnym charakterze, nie znalazło się w prowadzonym przez pracodawcę wykazie określonym w art. 41 ust. 4 pkt 1 ustawy o emeryturach pomostowych.</w:t>
            </w:r>
          </w:p>
          <w:p w14:paraId="64DF29C2" w14:textId="77777777" w:rsidR="00C851E0" w:rsidRDefault="00236898" w:rsidP="00236898">
            <w:pPr>
              <w:spacing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98">
              <w:rPr>
                <w:rFonts w:ascii="Times New Roman" w:hAnsi="Times New Roman"/>
                <w:sz w:val="24"/>
                <w:szCs w:val="24"/>
              </w:rPr>
              <w:t>W projekcie ustawy, z uwagi na ochronę interesów ubezpieczonych związanych z ich późniejszym ubieganiem się o uzyskanie prawa do emery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tury pomostowej, zaproponowano, </w:t>
            </w:r>
            <w:r w:rsidRPr="00236898">
              <w:rPr>
                <w:rFonts w:ascii="Times New Roman" w:hAnsi="Times New Roman"/>
                <w:sz w:val="24"/>
                <w:szCs w:val="24"/>
              </w:rPr>
              <w:t xml:space="preserve">aby kontrola prawidłowości wykazu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6898">
              <w:rPr>
                <w:rFonts w:ascii="Times New Roman" w:hAnsi="Times New Roman"/>
                <w:sz w:val="24"/>
                <w:szCs w:val="24"/>
              </w:rPr>
              <w:t xml:space="preserve"> mogła się odbywać również z urzędu.</w:t>
            </w:r>
          </w:p>
          <w:p w14:paraId="6051D536" w14:textId="77777777" w:rsidR="00EF5274" w:rsidRPr="00C851E0" w:rsidRDefault="00EF5274" w:rsidP="00236898">
            <w:pPr>
              <w:spacing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01A" w:rsidRPr="00E06D5F" w14:paraId="2090E4BA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045734CA" w14:textId="77777777" w:rsidR="006A701A" w:rsidRPr="00E06D5F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="006A701A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E06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E06D5F" w14:paraId="592E5156" w14:textId="77777777" w:rsidTr="00DA6944">
        <w:trPr>
          <w:gridAfter w:val="1"/>
          <w:wAfter w:w="10" w:type="dxa"/>
          <w:trHeight w:val="385"/>
        </w:trPr>
        <w:tc>
          <w:tcPr>
            <w:tcW w:w="10937" w:type="dxa"/>
            <w:gridSpan w:val="28"/>
            <w:shd w:val="clear" w:color="auto" w:fill="auto"/>
          </w:tcPr>
          <w:p w14:paraId="71A38803" w14:textId="77777777" w:rsidR="006A701A" w:rsidRDefault="00DA694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  <w:p w14:paraId="29A5D021" w14:textId="77777777" w:rsidR="00EF5274" w:rsidRPr="00E06D5F" w:rsidRDefault="00EF527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701A" w:rsidRPr="00E06D5F" w14:paraId="6DB041A2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60F337CB" w14:textId="77777777" w:rsidR="006A701A" w:rsidRPr="00E06D5F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E06D5F" w14:paraId="4A819090" w14:textId="77777777" w:rsidTr="00EF5274">
        <w:trPr>
          <w:gridAfter w:val="1"/>
          <w:wAfter w:w="10" w:type="dxa"/>
          <w:trHeight w:val="142"/>
        </w:trPr>
        <w:tc>
          <w:tcPr>
            <w:tcW w:w="3145" w:type="dxa"/>
            <w:gridSpan w:val="4"/>
            <w:shd w:val="clear" w:color="auto" w:fill="auto"/>
          </w:tcPr>
          <w:p w14:paraId="1DD2CA5B" w14:textId="77777777" w:rsidR="00260F33" w:rsidRPr="00E06D5F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1812" w:type="dxa"/>
            <w:gridSpan w:val="7"/>
            <w:shd w:val="clear" w:color="auto" w:fill="auto"/>
          </w:tcPr>
          <w:p w14:paraId="3AA9CB1E" w14:textId="77777777" w:rsidR="00260F33" w:rsidRPr="00E06D5F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1EE2115F" w14:textId="77777777" w:rsidR="00260F33" w:rsidRPr="00E06D5F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E06D5F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gridSpan w:val="9"/>
            <w:shd w:val="clear" w:color="auto" w:fill="auto"/>
          </w:tcPr>
          <w:p w14:paraId="61C12A53" w14:textId="77777777" w:rsidR="00260F33" w:rsidRPr="00E06D5F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260F33" w:rsidRPr="00E06D5F" w14:paraId="00831F6D" w14:textId="77777777" w:rsidTr="00EF5274">
        <w:trPr>
          <w:gridAfter w:val="1"/>
          <w:wAfter w:w="10" w:type="dxa"/>
          <w:trHeight w:val="142"/>
        </w:trPr>
        <w:tc>
          <w:tcPr>
            <w:tcW w:w="3145" w:type="dxa"/>
            <w:gridSpan w:val="4"/>
            <w:shd w:val="clear" w:color="auto" w:fill="auto"/>
          </w:tcPr>
          <w:p w14:paraId="6793B90E" w14:textId="77777777" w:rsidR="00AE3C8A" w:rsidRPr="00AE3C8A" w:rsidRDefault="00AE3C8A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Pracownicy wykonujący</w:t>
            </w:r>
          </w:p>
          <w:p w14:paraId="292F38A3" w14:textId="77777777" w:rsidR="00AE3C8A" w:rsidRPr="00AE3C8A" w:rsidRDefault="00AE3C8A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prace w szczególnych</w:t>
            </w:r>
          </w:p>
          <w:p w14:paraId="139C83EF" w14:textId="77777777" w:rsidR="00260F33" w:rsidRPr="00E06D5F" w:rsidRDefault="00AE3C8A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warunkach lub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 szczególnym charakterze</w:t>
            </w:r>
          </w:p>
        </w:tc>
        <w:tc>
          <w:tcPr>
            <w:tcW w:w="1812" w:type="dxa"/>
            <w:gridSpan w:val="7"/>
            <w:shd w:val="clear" w:color="auto" w:fill="auto"/>
          </w:tcPr>
          <w:p w14:paraId="767E1C92" w14:textId="77777777" w:rsidR="00260F33" w:rsidRPr="00E06D5F" w:rsidRDefault="00F26242" w:rsidP="00DA69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      317 000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5F1B0872" w14:textId="77777777" w:rsidR="00260F33" w:rsidRPr="00E06D5F" w:rsidRDefault="00AE3C8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ZUS</w:t>
            </w:r>
          </w:p>
        </w:tc>
        <w:tc>
          <w:tcPr>
            <w:tcW w:w="3819" w:type="dxa"/>
            <w:gridSpan w:val="9"/>
            <w:shd w:val="clear" w:color="auto" w:fill="auto"/>
          </w:tcPr>
          <w:p w14:paraId="2B1FDD8C" w14:textId="77777777" w:rsidR="00260F33" w:rsidRPr="00E06D5F" w:rsidRDefault="00AE3C8A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Za pracowników tych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odprowadzana jest składka na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Fundusz Emerytur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Pomostowych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(FEP)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Część z tej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grupy pracowników będzie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mogła ubiegać się o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uzyskanie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prawa do emerytury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pomostowej.</w:t>
            </w:r>
          </w:p>
        </w:tc>
      </w:tr>
      <w:tr w:rsidR="00260F33" w:rsidRPr="00E06D5F" w14:paraId="022B84AC" w14:textId="77777777" w:rsidTr="00EF5274">
        <w:trPr>
          <w:gridAfter w:val="1"/>
          <w:wAfter w:w="10" w:type="dxa"/>
          <w:trHeight w:val="142"/>
        </w:trPr>
        <w:tc>
          <w:tcPr>
            <w:tcW w:w="3145" w:type="dxa"/>
            <w:gridSpan w:val="4"/>
            <w:shd w:val="clear" w:color="auto" w:fill="auto"/>
          </w:tcPr>
          <w:p w14:paraId="41594ABA" w14:textId="77777777" w:rsidR="00AE3C8A" w:rsidRPr="00AE3C8A" w:rsidRDefault="00AE3C8A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Pracodawcy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zatrudniający</w:t>
            </w:r>
          </w:p>
          <w:p w14:paraId="199488E8" w14:textId="77777777" w:rsidR="00AE3C8A" w:rsidRPr="00AE3C8A" w:rsidRDefault="00AE3C8A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racowników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wykonujących prace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szczególnych warunkach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lub o szczególnym</w:t>
            </w:r>
          </w:p>
          <w:p w14:paraId="7254E839" w14:textId="77777777" w:rsidR="00260F33" w:rsidRPr="00E06D5F" w:rsidRDefault="00AE3C8A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charakterze</w:t>
            </w:r>
          </w:p>
        </w:tc>
        <w:tc>
          <w:tcPr>
            <w:tcW w:w="1812" w:type="dxa"/>
            <w:gridSpan w:val="7"/>
            <w:shd w:val="clear" w:color="auto" w:fill="auto"/>
          </w:tcPr>
          <w:p w14:paraId="3E5DB889" w14:textId="77777777" w:rsidR="00260F33" w:rsidRPr="00E06D5F" w:rsidRDefault="00F2624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F2624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 </w:t>
            </w:r>
            <w:r w:rsidRPr="00F2624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530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2C7D33EA" w14:textId="77777777" w:rsidR="00260F33" w:rsidRPr="00E06D5F" w:rsidRDefault="00AE3C8A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ZUS</w:t>
            </w:r>
          </w:p>
        </w:tc>
        <w:tc>
          <w:tcPr>
            <w:tcW w:w="3819" w:type="dxa"/>
            <w:gridSpan w:val="9"/>
            <w:shd w:val="clear" w:color="auto" w:fill="auto"/>
          </w:tcPr>
          <w:p w14:paraId="5A3D712C" w14:textId="77777777" w:rsidR="00260F33" w:rsidRPr="00E06D5F" w:rsidRDefault="00AE3C8A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Za pracowników tych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pracodawcy odprowadzają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składki na FEP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Część z tej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grupy pracowników będzie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mogła ubiegać się o uzyskanie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prawa do emerytury</w:t>
            </w:r>
            <w:r w:rsidR="00F26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3C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pomostowej.</w:t>
            </w:r>
          </w:p>
        </w:tc>
      </w:tr>
      <w:tr w:rsidR="00F26242" w:rsidRPr="00E06D5F" w14:paraId="23D9FF0A" w14:textId="77777777" w:rsidTr="00EF5274">
        <w:trPr>
          <w:gridAfter w:val="1"/>
          <w:wAfter w:w="10" w:type="dxa"/>
          <w:trHeight w:val="142"/>
        </w:trPr>
        <w:tc>
          <w:tcPr>
            <w:tcW w:w="3145" w:type="dxa"/>
            <w:gridSpan w:val="4"/>
            <w:shd w:val="clear" w:color="auto" w:fill="auto"/>
          </w:tcPr>
          <w:p w14:paraId="5A8D6C3C" w14:textId="163A0B90" w:rsidR="00F26242" w:rsidRDefault="00695E63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PIP</w:t>
            </w:r>
          </w:p>
        </w:tc>
        <w:tc>
          <w:tcPr>
            <w:tcW w:w="1812" w:type="dxa"/>
            <w:gridSpan w:val="7"/>
            <w:shd w:val="clear" w:color="auto" w:fill="auto"/>
          </w:tcPr>
          <w:p w14:paraId="7E7E2B03" w14:textId="77777777" w:rsidR="00F26242" w:rsidRPr="00E06D5F" w:rsidRDefault="0033653A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4945148A" w14:textId="77777777" w:rsidR="00F26242" w:rsidRDefault="00F2624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19" w:type="dxa"/>
            <w:gridSpan w:val="9"/>
            <w:shd w:val="clear" w:color="auto" w:fill="auto"/>
          </w:tcPr>
          <w:p w14:paraId="7A31D51C" w14:textId="77777777" w:rsidR="00F26242" w:rsidRDefault="00EC14FE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Zwiększenie zakresu kontroli prawidłowości kwalifikowania przez płatnika składek prac jako prac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 xml:space="preserve">w szczególnych warunkach lub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>o szczególnym  charakterze</w:t>
            </w:r>
            <w:r w:rsidR="00EF52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64C99159" w14:textId="77777777" w:rsidR="00EF5274" w:rsidRPr="00AE3C8A" w:rsidRDefault="00EF5274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26242" w:rsidRPr="00E06D5F" w14:paraId="5163FCB2" w14:textId="77777777" w:rsidTr="00EF5274">
        <w:trPr>
          <w:gridAfter w:val="1"/>
          <w:wAfter w:w="10" w:type="dxa"/>
          <w:trHeight w:val="142"/>
        </w:trPr>
        <w:tc>
          <w:tcPr>
            <w:tcW w:w="3145" w:type="dxa"/>
            <w:gridSpan w:val="4"/>
            <w:shd w:val="clear" w:color="auto" w:fill="auto"/>
          </w:tcPr>
          <w:p w14:paraId="6853A700" w14:textId="11D18E6D" w:rsidR="00F26242" w:rsidRDefault="00695E63" w:rsidP="00F2624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ZUS</w:t>
            </w:r>
          </w:p>
        </w:tc>
        <w:tc>
          <w:tcPr>
            <w:tcW w:w="1812" w:type="dxa"/>
            <w:gridSpan w:val="7"/>
            <w:shd w:val="clear" w:color="auto" w:fill="auto"/>
          </w:tcPr>
          <w:p w14:paraId="6C3A892F" w14:textId="77777777" w:rsidR="00F26242" w:rsidRPr="00E06D5F" w:rsidRDefault="0033653A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1CADB647" w14:textId="77777777" w:rsidR="00F26242" w:rsidRDefault="00F2624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19" w:type="dxa"/>
            <w:gridSpan w:val="9"/>
            <w:shd w:val="clear" w:color="auto" w:fill="auto"/>
          </w:tcPr>
          <w:p w14:paraId="4F369257" w14:textId="77777777" w:rsidR="00F26242" w:rsidRDefault="00F0065F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Wydawanie decyzji </w:t>
            </w:r>
            <w:r w:rsidR="00EC14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 przyznaniu praw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="00EC14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do emerytury pomostowej. </w:t>
            </w:r>
          </w:p>
          <w:p w14:paraId="7B98F78E" w14:textId="77777777" w:rsidR="00567877" w:rsidRDefault="00567877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365E0EA1" w14:textId="77777777" w:rsidR="00F0065F" w:rsidRPr="00AE3C8A" w:rsidRDefault="00F0065F" w:rsidP="00AE3C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701A" w:rsidRPr="00E06D5F" w14:paraId="140F037A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03E21A13" w14:textId="77777777" w:rsidR="006A701A" w:rsidRPr="00E06D5F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</w:t>
            </w:r>
            <w:r w:rsidR="0076658F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czasu trwania </w:t>
            </w:r>
            <w:r w:rsidR="0076658F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 podsumowanie wyników </w:t>
            </w: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konsultacji</w:t>
            </w:r>
          </w:p>
        </w:tc>
      </w:tr>
      <w:tr w:rsidR="006A701A" w:rsidRPr="00E06D5F" w14:paraId="5980A1AE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10266A4D" w14:textId="77777777" w:rsidR="00E57BA6" w:rsidRPr="00A40423" w:rsidRDefault="00E57BA6" w:rsidP="00E57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23">
              <w:rPr>
                <w:rFonts w:ascii="Times New Roman" w:hAnsi="Times New Roman"/>
                <w:sz w:val="24"/>
                <w:szCs w:val="24"/>
              </w:rPr>
              <w:t>Projekt ustawy zostanie udostępniony w Biuletynie Informacji Publicznej Ministerstwa Rodziny i Polityki Społecznej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2016 r. poz. 1006, z późn. zm.).</w:t>
            </w:r>
          </w:p>
          <w:p w14:paraId="2CC8D302" w14:textId="77777777" w:rsidR="00E57BA6" w:rsidRPr="00A40423" w:rsidRDefault="00E57BA6" w:rsidP="00E57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23">
              <w:rPr>
                <w:rFonts w:ascii="Times New Roman" w:hAnsi="Times New Roman"/>
                <w:sz w:val="24"/>
                <w:szCs w:val="24"/>
              </w:rPr>
              <w:t>Projekt zostanie przekazany do opinii reprezentatywnym organizacjom związków zawodowych, pracodawców oraz Radzie Dialogu Społecznego, przy czym należy poinformować, że w dniu 20 października 2021 r. Rada Dialogu Społecznego podjęła uchwałę, w której pozytywnie zaopiniowała projekt.</w:t>
            </w:r>
          </w:p>
          <w:p w14:paraId="2F53AEB2" w14:textId="77777777" w:rsidR="00E57BA6" w:rsidRPr="00A40423" w:rsidRDefault="00E57BA6" w:rsidP="00E57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23">
              <w:rPr>
                <w:rFonts w:ascii="Times New Roman" w:hAnsi="Times New Roman"/>
                <w:sz w:val="24"/>
                <w:szCs w:val="24"/>
              </w:rPr>
              <w:t>Projekt zostanie przekazany do zaopiniowania również przez:</w:t>
            </w:r>
          </w:p>
          <w:p w14:paraId="3861BAA1" w14:textId="77777777" w:rsidR="00E57BA6" w:rsidRPr="00A40423" w:rsidRDefault="00E57BA6" w:rsidP="00E57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23">
              <w:rPr>
                <w:rFonts w:ascii="Times New Roman" w:hAnsi="Times New Roman"/>
                <w:sz w:val="24"/>
                <w:szCs w:val="24"/>
              </w:rPr>
              <w:t>– Prezesa Zakładu Ubezpieczeń Społecznych,</w:t>
            </w:r>
          </w:p>
          <w:p w14:paraId="184195C5" w14:textId="77777777" w:rsidR="00E57BA6" w:rsidRPr="00A40423" w:rsidRDefault="00E57BA6" w:rsidP="00E57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23">
              <w:rPr>
                <w:rFonts w:ascii="Times New Roman" w:hAnsi="Times New Roman"/>
                <w:sz w:val="24"/>
                <w:szCs w:val="24"/>
              </w:rPr>
              <w:t xml:space="preserve">– Przewodniczącego Rady Nadzorczej Zakładu Ubezpieczeń Społecznych,  </w:t>
            </w:r>
          </w:p>
          <w:p w14:paraId="271B73E5" w14:textId="77777777" w:rsidR="00E57BA6" w:rsidRPr="00A40423" w:rsidRDefault="00E57BA6" w:rsidP="00E57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23">
              <w:rPr>
                <w:rFonts w:ascii="Times New Roman" w:hAnsi="Times New Roman"/>
                <w:sz w:val="24"/>
                <w:szCs w:val="24"/>
              </w:rPr>
              <w:t>– Głównego Inspektora Pracy,</w:t>
            </w:r>
          </w:p>
          <w:p w14:paraId="6339DD0C" w14:textId="77777777" w:rsidR="00E57BA6" w:rsidRPr="00A40423" w:rsidRDefault="00E57BA6" w:rsidP="00E57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23">
              <w:rPr>
                <w:rFonts w:ascii="Times New Roman" w:hAnsi="Times New Roman"/>
                <w:sz w:val="24"/>
                <w:szCs w:val="24"/>
              </w:rPr>
              <w:t>– Prezesa Prokuratorii Generalnej Rzeczypospolitej Polskiej,</w:t>
            </w:r>
          </w:p>
          <w:p w14:paraId="503F74BD" w14:textId="4C857CFB" w:rsidR="006A701A" w:rsidRPr="00A40423" w:rsidRDefault="00E57BA6" w:rsidP="00E57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23">
              <w:rPr>
                <w:rFonts w:ascii="Times New Roman" w:hAnsi="Times New Roman"/>
                <w:sz w:val="24"/>
                <w:szCs w:val="24"/>
              </w:rPr>
              <w:t>– Przewodniczącą Polskiego Związku Emerytów i Rencistów.</w:t>
            </w:r>
          </w:p>
          <w:p w14:paraId="1BD394D5" w14:textId="77777777" w:rsidR="00824A61" w:rsidRPr="00A40423" w:rsidRDefault="00EA4D8C" w:rsidP="00846C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423">
              <w:rPr>
                <w:rFonts w:ascii="Times New Roman" w:hAnsi="Times New Roman"/>
                <w:sz w:val="24"/>
                <w:szCs w:val="24"/>
              </w:rPr>
              <w:t>Przewidywany czas tr</w:t>
            </w:r>
            <w:r w:rsidR="00DD503C" w:rsidRPr="00A40423">
              <w:rPr>
                <w:rFonts w:ascii="Times New Roman" w:hAnsi="Times New Roman"/>
                <w:sz w:val="24"/>
                <w:szCs w:val="24"/>
              </w:rPr>
              <w:t>wania konsultacji publicznych – 14 dni.</w:t>
            </w:r>
            <w:r w:rsidR="00846CEC" w:rsidRPr="00A4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54E922" w14:textId="10B92E45" w:rsidR="00EA4D8C" w:rsidRPr="00A40423" w:rsidRDefault="00846CEC" w:rsidP="00A4042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23">
              <w:rPr>
                <w:rFonts w:ascii="Times New Roman" w:hAnsi="Times New Roman"/>
                <w:sz w:val="24"/>
                <w:szCs w:val="24"/>
              </w:rPr>
              <w:t xml:space="preserve">Skrócenie terminu przewidzianego w § 129 Regulaminu Pracy Rady Ministrów wynika z ww. faktu pozytywnego zaopiniowania </w:t>
            </w:r>
            <w:r w:rsidR="00824A61" w:rsidRPr="00A40423">
              <w:rPr>
                <w:rFonts w:ascii="Times New Roman" w:hAnsi="Times New Roman"/>
                <w:sz w:val="24"/>
                <w:szCs w:val="24"/>
              </w:rPr>
              <w:t>projektu</w:t>
            </w:r>
            <w:r w:rsidRPr="00A40423">
              <w:rPr>
                <w:rFonts w:ascii="Times New Roman" w:hAnsi="Times New Roman"/>
                <w:sz w:val="24"/>
                <w:szCs w:val="24"/>
              </w:rPr>
              <w:t xml:space="preserve"> w dniu 20 października 2021 r.</w:t>
            </w:r>
            <w:r w:rsidR="00824A61" w:rsidRPr="00A40423">
              <w:rPr>
                <w:rFonts w:ascii="Times New Roman" w:hAnsi="Times New Roman"/>
                <w:sz w:val="24"/>
                <w:szCs w:val="24"/>
              </w:rPr>
              <w:t xml:space="preserve"> przez Radę</w:t>
            </w:r>
            <w:r w:rsidRPr="00A40423">
              <w:rPr>
                <w:rFonts w:ascii="Times New Roman" w:hAnsi="Times New Roman"/>
                <w:sz w:val="24"/>
                <w:szCs w:val="24"/>
              </w:rPr>
              <w:t xml:space="preserve"> Dialogu Społec</w:t>
            </w:r>
            <w:r w:rsidR="00824A61" w:rsidRPr="00A40423">
              <w:rPr>
                <w:rFonts w:ascii="Times New Roman" w:hAnsi="Times New Roman"/>
                <w:sz w:val="24"/>
                <w:szCs w:val="24"/>
              </w:rPr>
              <w:t>znego (a więc również przez związki zawodowe, jak i stronę pracodawców)</w:t>
            </w:r>
            <w:r w:rsidR="00363E88" w:rsidRPr="00A40423">
              <w:rPr>
                <w:rFonts w:ascii="Times New Roman" w:hAnsi="Times New Roman"/>
                <w:sz w:val="24"/>
                <w:szCs w:val="24"/>
              </w:rPr>
              <w:t>.</w:t>
            </w:r>
            <w:r w:rsidR="00824A61" w:rsidRPr="00A4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701A" w:rsidRPr="00E06D5F" w14:paraId="1C7B580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6C7725E" w14:textId="77777777" w:rsidR="006A701A" w:rsidRPr="00E06D5F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260F33" w:rsidRPr="002B4FC2" w14:paraId="74AA8044" w14:textId="77777777" w:rsidTr="00EF5274">
        <w:trPr>
          <w:gridAfter w:val="1"/>
          <w:wAfter w:w="10" w:type="dxa"/>
          <w:trHeight w:val="142"/>
        </w:trPr>
        <w:tc>
          <w:tcPr>
            <w:tcW w:w="3130" w:type="dxa"/>
            <w:gridSpan w:val="3"/>
            <w:vMerge w:val="restart"/>
            <w:shd w:val="clear" w:color="auto" w:fill="FFFFFF"/>
          </w:tcPr>
          <w:p w14:paraId="42ED53F2" w14:textId="77777777" w:rsidR="00260F33" w:rsidRPr="002B4FC2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(ceny </w:t>
            </w:r>
            <w:r w:rsidR="00CF5F4F"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stałe</w:t>
            </w: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</w:t>
            </w:r>
            <w:r w:rsidR="00270E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B0ED0"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270E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r.)</w:t>
            </w:r>
          </w:p>
        </w:tc>
        <w:tc>
          <w:tcPr>
            <w:tcW w:w="7807" w:type="dxa"/>
            <w:gridSpan w:val="25"/>
            <w:shd w:val="clear" w:color="auto" w:fill="FFFFFF"/>
          </w:tcPr>
          <w:p w14:paraId="25BA3C5D" w14:textId="77777777" w:rsidR="00260F33" w:rsidRPr="002B4FC2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Skutki w okresie 10 lat od wejścia w życie zmian [</w:t>
            </w:r>
            <w:r w:rsidR="00A056CB"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mln </w:t>
            </w: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zł]</w:t>
            </w:r>
          </w:p>
        </w:tc>
      </w:tr>
      <w:tr w:rsidR="0057668E" w:rsidRPr="002B4FC2" w14:paraId="08E8A2B2" w14:textId="77777777" w:rsidTr="00EF5274">
        <w:trPr>
          <w:gridAfter w:val="1"/>
          <w:wAfter w:w="10" w:type="dxa"/>
          <w:trHeight w:val="142"/>
        </w:trPr>
        <w:tc>
          <w:tcPr>
            <w:tcW w:w="3130" w:type="dxa"/>
            <w:gridSpan w:val="3"/>
            <w:vMerge/>
            <w:shd w:val="clear" w:color="auto" w:fill="FFFFFF"/>
          </w:tcPr>
          <w:p w14:paraId="4C07B1A8" w14:textId="77777777" w:rsidR="0057668E" w:rsidRPr="002B4FC2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E3744BC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54BDD0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027C0E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5DCDFF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B49038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</w:tcPr>
          <w:p w14:paraId="380D935B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DAC9D2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7D6D3C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</w:tcPr>
          <w:p w14:paraId="4DD458A9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5A1845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FF"/>
          </w:tcPr>
          <w:p w14:paraId="2961F6D8" w14:textId="77777777" w:rsidR="0057668E" w:rsidRPr="002B4FC2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14:paraId="2E4785E6" w14:textId="77777777" w:rsidR="0057668E" w:rsidRPr="002B4FC2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Łącznie</w:t>
            </w:r>
            <w:r w:rsidR="00CF5F4F" w:rsidRPr="002B4FC2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 xml:space="preserve"> (0-10)</w:t>
            </w:r>
          </w:p>
        </w:tc>
      </w:tr>
      <w:tr w:rsidR="00096BBD" w:rsidRPr="002B4FC2" w14:paraId="4E8AE955" w14:textId="77777777" w:rsidTr="00EF5274">
        <w:trPr>
          <w:trHeight w:val="32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5FB64DD8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6FD546BC" w14:textId="77777777" w:rsidR="00096BBD" w:rsidRPr="002B4FC2" w:rsidRDefault="00096BBD" w:rsidP="00096BB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4079062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13AE3A2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1B3B842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548F4BA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AE15E62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62EEB522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7AA7C9F7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1FC0929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CF82A4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277A00F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0E82E4A9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0AE3FA74" w14:textId="77777777" w:rsidTr="00EF5274">
        <w:trPr>
          <w:trHeight w:val="32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422635B9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EE7DDD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0373117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06315F9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44ECA67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DB775D5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23050DB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729AD1A6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3869C35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C76D790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63880B0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0AD9D74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5F7E49D9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18AB72E3" w14:textId="77777777" w:rsidTr="00EF5274">
        <w:trPr>
          <w:trHeight w:val="344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670BE7D7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ECA09AF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7E24B9A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7F7B224A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31DF7EC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6103325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68706E2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551FC9EB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3F921097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19350FD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B96D578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4885B7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4E29122F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3C4658EA" w14:textId="77777777" w:rsidTr="00EF5274">
        <w:trPr>
          <w:trHeight w:val="344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046331D4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6C7B50CE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1D7D0EB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F76985E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63C0358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FD32F2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3C599BA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0EA7603F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6240509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EE2144A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72315BE8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A9FCB64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0F4A9BC4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3B3C5406" w14:textId="77777777" w:rsidTr="00EF5274">
        <w:trPr>
          <w:trHeight w:val="33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71CDD103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7FD84F48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28666C47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7C54A1A7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55CA76E8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3408A35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E02EA9E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00EFA7AA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4FFC668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36B263F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20A7398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A55D2B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5980BF6B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4165CC5D" w14:textId="77777777" w:rsidTr="00EF5274">
        <w:trPr>
          <w:trHeight w:val="33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14703017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2EF1A7E4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7C29EE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05621C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135A11A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1631486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511713A6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7D599F45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724008CF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D9ED906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71F87D57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4ED5B5A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00D6898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550D1BA0" w14:textId="77777777" w:rsidTr="00EF5274">
        <w:trPr>
          <w:trHeight w:val="35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795DF5F5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24B1AC12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F22EFF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A5C2D1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D39E5AE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12D0B66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81AEA99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7BA6BF4E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70602D4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CA763A5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CA6889B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2BD39015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6E4B2D1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71007C29" w14:textId="77777777" w:rsidTr="00EF5274">
        <w:trPr>
          <w:trHeight w:val="351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72E9AE5A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9D29BC0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FADBB56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76F8C0F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0106F5E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518D51A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5831C3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01DF0118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63399A48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3E0AE9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D9615E4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1D2B987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5C242085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41602DAC" w14:textId="77777777" w:rsidTr="00EF5274">
        <w:trPr>
          <w:trHeight w:val="36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3AA815AC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5D544D29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06210A65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C9878C4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05DDA42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B8AF4C2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CDCAE10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490E71C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A2EE01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0356B5AF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084B552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E2CCDD9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47E1ED7A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59443DE6" w14:textId="77777777" w:rsidTr="00EF5274">
        <w:trPr>
          <w:trHeight w:val="360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21C4FCD9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1D24D0C0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286906E8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03AABC0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5DBCACD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C00037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4791189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2469FD9A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1132CA20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480E48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3FCCAE2B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2A42834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54B25A6F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41ECDC9C" w14:textId="77777777" w:rsidTr="00EF5274">
        <w:trPr>
          <w:trHeight w:val="357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2A0777C6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7B8AAAE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1CABD0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29C190A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1D62BF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0621E9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F3B671D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44EF8420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33AC8921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7D159818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4078BA25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7289E6CB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2F67F348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6BBD" w:rsidRPr="002B4FC2" w14:paraId="0C5276D4" w14:textId="77777777" w:rsidTr="00EF5274">
        <w:trPr>
          <w:trHeight w:val="357"/>
        </w:trPr>
        <w:tc>
          <w:tcPr>
            <w:tcW w:w="3130" w:type="dxa"/>
            <w:gridSpan w:val="3"/>
            <w:shd w:val="clear" w:color="auto" w:fill="FFFFFF"/>
            <w:vAlign w:val="center"/>
          </w:tcPr>
          <w:p w14:paraId="36D82324" w14:textId="77777777" w:rsidR="00096BBD" w:rsidRPr="002B4FC2" w:rsidRDefault="00096BBD" w:rsidP="00096BB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4FC2">
              <w:rPr>
                <w:rFonts w:ascii="Times New Roman" w:hAnsi="Times New Roman"/>
                <w:color w:val="000000"/>
                <w:sz w:val="18"/>
                <w:szCs w:val="18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1CC8E715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6255E3A6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40B3B0A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0DE4990C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15D00D7F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69A27416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bottom"/>
          </w:tcPr>
          <w:p w14:paraId="184C5D9D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bottom"/>
          </w:tcPr>
          <w:p w14:paraId="44B01FE9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33C4F940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bottom"/>
          </w:tcPr>
          <w:p w14:paraId="269ACA4B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14:paraId="1B4F6203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bottom"/>
          </w:tcPr>
          <w:p w14:paraId="4F6FBA7F" w14:textId="77777777" w:rsidR="00096BBD" w:rsidRPr="002B4FC2" w:rsidRDefault="00096BBD" w:rsidP="00096BB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701A" w:rsidRPr="00E06D5F" w14:paraId="446E8BD2" w14:textId="77777777" w:rsidTr="00EF5274">
        <w:trPr>
          <w:gridAfter w:val="1"/>
          <w:wAfter w:w="10" w:type="dxa"/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52A54A94" w14:textId="77777777" w:rsidR="006A701A" w:rsidRPr="00E06D5F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697" w:type="dxa"/>
            <w:gridSpan w:val="26"/>
            <w:shd w:val="clear" w:color="auto" w:fill="FFFFFF"/>
            <w:vAlign w:val="center"/>
          </w:tcPr>
          <w:p w14:paraId="2A2AE602" w14:textId="77777777" w:rsidR="006A701A" w:rsidRPr="00E06D5F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C6B730" w14:textId="77777777" w:rsidR="006A701A" w:rsidRPr="00E06D5F" w:rsidRDefault="006A701A" w:rsidP="005F55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4BD7" w:rsidRPr="00E06D5F" w14:paraId="79D181FD" w14:textId="77777777" w:rsidTr="00EF5274">
        <w:trPr>
          <w:gridAfter w:val="1"/>
          <w:wAfter w:w="10" w:type="dxa"/>
          <w:trHeight w:val="1387"/>
        </w:trPr>
        <w:tc>
          <w:tcPr>
            <w:tcW w:w="2240" w:type="dxa"/>
            <w:gridSpan w:val="2"/>
            <w:shd w:val="clear" w:color="auto" w:fill="FFFFFF"/>
          </w:tcPr>
          <w:p w14:paraId="5FF6D9E5" w14:textId="77777777" w:rsidR="00E24BD7" w:rsidRPr="00E06D5F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697" w:type="dxa"/>
            <w:gridSpan w:val="26"/>
            <w:shd w:val="clear" w:color="auto" w:fill="FFFFFF"/>
          </w:tcPr>
          <w:p w14:paraId="0A9AF759" w14:textId="17F75A8D" w:rsidR="00E24BD7" w:rsidRPr="009F5C52" w:rsidRDefault="005F5565" w:rsidP="005F556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C52">
              <w:rPr>
                <w:rFonts w:ascii="Times New Roman" w:hAnsi="Times New Roman"/>
                <w:color w:val="000000"/>
                <w:sz w:val="24"/>
                <w:szCs w:val="24"/>
              </w:rPr>
              <w:t>Projektowana ustawa nie</w:t>
            </w:r>
            <w:r w:rsidR="00FF3619" w:rsidRPr="009F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będzie</w:t>
            </w:r>
            <w:r w:rsidRPr="009F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gener</w:t>
            </w:r>
            <w:r w:rsidR="00FF3619" w:rsidRPr="009F5C52">
              <w:rPr>
                <w:rFonts w:ascii="Times New Roman" w:hAnsi="Times New Roman"/>
                <w:color w:val="000000"/>
                <w:sz w:val="24"/>
                <w:szCs w:val="24"/>
              </w:rPr>
              <w:t>owała bezpośrednio kosztów publicznych.</w:t>
            </w:r>
          </w:p>
          <w:p w14:paraId="56F5D84C" w14:textId="6C8B7CCD" w:rsidR="00FF3619" w:rsidRDefault="00FF3619" w:rsidP="00EA4D8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C52">
              <w:rPr>
                <w:rFonts w:ascii="Times New Roman" w:hAnsi="Times New Roman"/>
                <w:color w:val="000000"/>
                <w:sz w:val="24"/>
                <w:szCs w:val="24"/>
              </w:rPr>
              <w:t>Zgodnie z informacją</w:t>
            </w:r>
            <w:r w:rsidR="00FA1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uzyskaną z ZUS</w:t>
            </w:r>
            <w:r w:rsidRPr="009F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przewiduje się, </w:t>
            </w:r>
            <w:r w:rsidR="00B435C7">
              <w:rPr>
                <w:rFonts w:ascii="Times New Roman" w:hAnsi="Times New Roman"/>
                <w:color w:val="000000"/>
                <w:sz w:val="24"/>
                <w:szCs w:val="24"/>
              </w:rPr>
              <w:t>że  projektowana regulacja</w:t>
            </w:r>
            <w:r w:rsidRPr="009F5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będzie wywoływać wzrostu kosztów po stronie Zakładu, z uwagi na wydawanie już obecnie decyzji w sprawie emerytur pomostowych, zgodnie ze zmienianą ustawą, a tym samym nie jest przewidywana zmiana zakresu prac po stronie organów rentowych</w:t>
            </w:r>
            <w:r w:rsidR="00F869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E3FC02E" w14:textId="49C3B0DC" w:rsidR="001602BA" w:rsidRDefault="001602BA" w:rsidP="00EA4D8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Zgodnie z informacją uzyskaną z PIP, w</w:t>
            </w:r>
            <w:r w:rsidRPr="00160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początkowym okresie obowiązywania ustawy (lata 2010 – 2011) inspektorzy pracy wydali 3659 decyzji, w tym 1176 nakazujących wpis do ewiden</w:t>
            </w:r>
            <w:r w:rsidR="003B3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cji. </w:t>
            </w:r>
            <w:r w:rsidRPr="001602BA">
              <w:rPr>
                <w:rFonts w:ascii="Times New Roman" w:hAnsi="Times New Roman"/>
                <w:color w:val="000000"/>
                <w:sz w:val="24"/>
                <w:szCs w:val="24"/>
              </w:rPr>
              <w:t>W kolejnych latach w wyniku ukształtowania się linii orzeczniczej sądów administracyjnych w zakresie kompet</w:t>
            </w:r>
            <w:r w:rsidR="003B3EC2">
              <w:rPr>
                <w:rFonts w:ascii="Times New Roman" w:hAnsi="Times New Roman"/>
                <w:color w:val="000000"/>
                <w:sz w:val="24"/>
                <w:szCs w:val="24"/>
              </w:rPr>
              <w:t>encji PIP</w:t>
            </w:r>
            <w:r w:rsidRPr="00160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sprawach o emerytury pomostowe, liczba skarg sukcesywnie spadała (w ostatnich 5 latach inspektorzy pracy wydali 140 decyzji, głównie o umorzeniu postępowania; 29 decyzji dotyczyło wpisania pracownika do ewidencji).</w:t>
            </w:r>
          </w:p>
          <w:p w14:paraId="67EF869D" w14:textId="66693D5B" w:rsidR="00F86962" w:rsidRPr="00F86962" w:rsidRDefault="00824A61" w:rsidP="00F8696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Przewiduje się, że p</w:t>
            </w:r>
            <w:r w:rsidR="00F86962"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>rojektowane zmiany spowodują</w:t>
            </w:r>
            <w:r w:rsidR="003B3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6962"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>wzrost skarg pracowników, a tym samym kontroli, bowiem zwiększy się zakres kompet</w:t>
            </w:r>
            <w:r w:rsidR="00E57BA6">
              <w:rPr>
                <w:rFonts w:ascii="Times New Roman" w:hAnsi="Times New Roman"/>
                <w:color w:val="000000"/>
                <w:sz w:val="24"/>
                <w:szCs w:val="24"/>
              </w:rPr>
              <w:t>encji PIP</w:t>
            </w:r>
            <w:r w:rsidR="00F86962"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(kontrole i decyzje dotyczące nie tylko ewidencji ale również wykazu prac w szczególnych warunkach lub o szczególnym charakterze). Skali tej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jednak</w:t>
            </w:r>
            <w:r w:rsidR="00F86962"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można w pełnym zakresie oszacować, tym bardziej, że projekt przewiduje możliwość kontroli z urzędu. </w:t>
            </w:r>
            <w:r w:rsidR="00FB00BA">
              <w:rPr>
                <w:rFonts w:ascii="Times New Roman" w:hAnsi="Times New Roman"/>
                <w:color w:val="000000"/>
                <w:sz w:val="24"/>
                <w:szCs w:val="24"/>
              </w:rPr>
              <w:t>Przewiduje się</w:t>
            </w:r>
            <w:r w:rsidR="00967CBA">
              <w:rPr>
                <w:rFonts w:ascii="Times New Roman" w:hAnsi="Times New Roman"/>
                <w:color w:val="000000"/>
                <w:sz w:val="24"/>
                <w:szCs w:val="24"/>
              </w:rPr>
              <w:t>, że wzrost skarg będzie odbywać się sukcesywnie, wraz z okresem obowiązywania proponowanej regulacji.</w:t>
            </w:r>
          </w:p>
          <w:p w14:paraId="2D338808" w14:textId="52EE8B02" w:rsidR="00731411" w:rsidRDefault="00F86962" w:rsidP="007314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Rozszerzenie zakresu przedmiotowego kontroli i wydawanych środków prawnych (decyzje dotyczące wykazu i decyzje dotyczące ewidencji) spowoduje wzrost liczby odwołań od decyzji i skarg do sądów administracyjnych. Podkreślić należy, że dotychczas w praktyce prawie każda decyzja była zaskarżona albo przez pracownika, albo przez pracodawcę i najczęściej finalnie rozstrzygana przez sądy administracyjne. </w:t>
            </w:r>
            <w:r w:rsidR="00536EB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>Z tym wiązać się będzie zwiększenie zaangażowania pracowników w procedury odwoławcze i skargowe</w:t>
            </w:r>
            <w:r w:rsidR="00BC257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także wzrost kosztów związanych z postępowaniami przed sądami administracyjnymi</w:t>
            </w:r>
            <w:r w:rsidR="00FB00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624416F" w14:textId="53A2AB6E" w:rsidR="00731411" w:rsidRDefault="00731411" w:rsidP="007314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 ww.</w:t>
            </w:r>
            <w:r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względów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konieczne będzie zwiększenie zatrudnienia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PIP </w:t>
            </w:r>
            <w:r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(szacuje się, że do wykonania dodatkowych obowiązków wynikających z projektowanej regulacji niezbędne będzie zatrudnienie i przeszkolenie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docelowo </w:t>
            </w:r>
            <w:r w:rsidRPr="00F86962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odatkowo ok.</w:t>
            </w:r>
            <w:r w:rsidR="00686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1F11D9">
              <w:rPr>
                <w:rFonts w:ascii="Times New Roman" w:hAnsi="Times New Roman"/>
                <w:color w:val="000000"/>
                <w:sz w:val="24"/>
                <w:szCs w:val="24"/>
              </w:rPr>
              <w:t>nowych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pracowników), co będzie związane ze zwiększenie</w:t>
            </w:r>
            <w:r w:rsidR="009014F4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kosztów osobowych.</w:t>
            </w:r>
          </w:p>
          <w:p w14:paraId="47EF29CC" w14:textId="11352F8C" w:rsidR="00731411" w:rsidRPr="009F5C52" w:rsidRDefault="00731411" w:rsidP="007314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Szacuje się, że koszty związane z zatrudnieniem nowych pracowników, wyposażeniem stanowiska pracy oraz szkoleniami (które byłyby sfinansowane w ramach rocznych budżetów), wyniosłyby w pierwszym roku funkcjonowania ok.</w:t>
            </w:r>
            <w:r w:rsidR="0007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18,5 mln zł, w następnych </w:t>
            </w:r>
            <w:r w:rsidR="00074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latach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ok. 11,7 mln zł i 12,4 mln zł</w:t>
            </w:r>
            <w:r w:rsidR="00363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4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42A3522" w14:textId="22978EE1" w:rsidR="00FB00BA" w:rsidRDefault="00731411" w:rsidP="007314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FB0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rudno obecnie prognozować wzrost kosztów po stronie sądów administracyjnych, </w:t>
            </w:r>
            <w:r w:rsidR="00824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00BA">
              <w:rPr>
                <w:rFonts w:ascii="Times New Roman" w:hAnsi="Times New Roman"/>
                <w:color w:val="000000"/>
                <w:sz w:val="24"/>
                <w:szCs w:val="24"/>
              </w:rPr>
              <w:t>gdyż są one</w:t>
            </w:r>
            <w:r w:rsidR="00966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trudne do oszacowania – z uwagi na </w:t>
            </w:r>
            <w:r w:rsidR="00824A61">
              <w:rPr>
                <w:rFonts w:ascii="Times New Roman" w:hAnsi="Times New Roman"/>
                <w:color w:val="000000"/>
                <w:sz w:val="24"/>
                <w:szCs w:val="24"/>
              </w:rPr>
              <w:t>brak m</w:t>
            </w:r>
            <w:r w:rsidR="00966C5C">
              <w:rPr>
                <w:rFonts w:ascii="Times New Roman" w:hAnsi="Times New Roman"/>
                <w:color w:val="000000"/>
                <w:sz w:val="24"/>
                <w:szCs w:val="24"/>
              </w:rPr>
              <w:t>ożliwości precyzyjnego określenia liczby spraw, które trafią do tego etapu odwoławczego</w:t>
            </w:r>
            <w:r w:rsidR="00FB00BA">
              <w:rPr>
                <w:rFonts w:ascii="Times New Roman" w:hAnsi="Times New Roman"/>
                <w:color w:val="000000"/>
                <w:sz w:val="24"/>
                <w:szCs w:val="24"/>
              </w:rPr>
              <w:t>, szczególnie,</w:t>
            </w:r>
            <w:r w:rsidR="00967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że część spraw rozpatrywanych w ramach kontroli z urzędu – nie trafi do sądów</w:t>
            </w:r>
            <w:r w:rsidR="006220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0A1E33" w14:textId="51A9A71A" w:rsidR="00FB00BA" w:rsidRDefault="00FB00BA" w:rsidP="00731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Zakłada się, że ewentualny wzrost kosztów po stronie </w:t>
            </w:r>
            <w:r w:rsidRPr="003D79DC">
              <w:rPr>
                <w:rFonts w:ascii="Times New Roman" w:hAnsi="Times New Roman"/>
                <w:sz w:val="24"/>
                <w:szCs w:val="24"/>
              </w:rPr>
              <w:t>sądów administracyjnych</w:t>
            </w:r>
            <w:r w:rsidR="00731411">
              <w:rPr>
                <w:rFonts w:ascii="Times New Roman" w:hAnsi="Times New Roman"/>
                <w:sz w:val="24"/>
                <w:szCs w:val="24"/>
              </w:rPr>
              <w:t>, jak i po stronie PIP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będzie rekompensowany poprzez </w:t>
            </w:r>
            <w:r w:rsidR="00A40423">
              <w:rPr>
                <w:rFonts w:ascii="Times New Roman" w:hAnsi="Times New Roman"/>
                <w:sz w:val="24"/>
                <w:szCs w:val="24"/>
              </w:rPr>
              <w:t xml:space="preserve">coroczne, dostosowane do realnych potrzeb, </w:t>
            </w:r>
            <w:r>
              <w:rPr>
                <w:rFonts w:ascii="Times New Roman" w:hAnsi="Times New Roman"/>
                <w:sz w:val="24"/>
                <w:szCs w:val="24"/>
              </w:rPr>
              <w:t>podwyższenie limitu wydatków</w:t>
            </w:r>
            <w:r w:rsidR="00A4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odpowiednich częściach budżetowych. </w:t>
            </w:r>
          </w:p>
          <w:p w14:paraId="6FF1EB50" w14:textId="77777777" w:rsidR="00FF3619" w:rsidRDefault="00FF361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773677" w14:textId="77777777" w:rsidR="006220BF" w:rsidRDefault="006220B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120188" w14:textId="2EDD579F" w:rsidR="006220BF" w:rsidRPr="00E06D5F" w:rsidRDefault="006220B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E06D5F" w14:paraId="1B1BBFE4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7574C0F7" w14:textId="77777777" w:rsidR="006A701A" w:rsidRPr="00E06D5F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Wpływ na </w:t>
            </w:r>
            <w:r w:rsidR="00563199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</w:t>
            </w:r>
            <w:r w:rsidR="005E7371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gospodark</w:t>
            </w:r>
            <w:r w:rsidR="00563199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5E7371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05A29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563199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przedsiębiorczość</w:t>
            </w:r>
            <w:r w:rsidR="00472E45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5E7371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05A29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 tym </w:t>
            </w:r>
            <w:r w:rsidR="005E7371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funkcjonowanie przedsiębi</w:t>
            </w:r>
            <w:r w:rsidR="00B93834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orców</w:t>
            </w:r>
            <w:r w:rsidR="00472E45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93834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oraz na </w:t>
            </w:r>
            <w:r w:rsidR="00BB0DCA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rodzinę, </w:t>
            </w:r>
            <w:r w:rsidR="00B93834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obywateli i gospodarstwa domowe </w:t>
            </w:r>
          </w:p>
        </w:tc>
      </w:tr>
      <w:tr w:rsidR="005E7371" w:rsidRPr="00E06D5F" w14:paraId="35C26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29D408F" w14:textId="77777777" w:rsidR="005E7371" w:rsidRPr="00E06D5F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2E6D63" w:rsidRPr="00E06D5F" w14:paraId="4B262317" w14:textId="77777777" w:rsidTr="00EF5274">
        <w:trPr>
          <w:gridAfter w:val="1"/>
          <w:wAfter w:w="10" w:type="dxa"/>
          <w:trHeight w:val="142"/>
        </w:trPr>
        <w:tc>
          <w:tcPr>
            <w:tcW w:w="3886" w:type="dxa"/>
            <w:gridSpan w:val="7"/>
            <w:shd w:val="clear" w:color="auto" w:fill="FFFFFF"/>
          </w:tcPr>
          <w:p w14:paraId="7CF54635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935018" w14:textId="77777777" w:rsidR="002E6D63" w:rsidRPr="00E06D5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7497D6" w14:textId="77777777" w:rsidR="002E6D63" w:rsidRPr="00E06D5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F1D4E4" w14:textId="77777777" w:rsidR="002E6D63" w:rsidRPr="00E06D5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5811B3F" w14:textId="77777777" w:rsidR="002E6D63" w:rsidRPr="00E06D5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4FF39CC" w14:textId="77777777" w:rsidR="002E6D63" w:rsidRPr="00E06D5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E590EE3" w14:textId="77777777" w:rsidR="002E6D63" w:rsidRPr="00E06D5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FFFFFF"/>
          </w:tcPr>
          <w:p w14:paraId="699D1B1D" w14:textId="77777777" w:rsidR="002E6D63" w:rsidRPr="00E06D5F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E06D5F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2E6D63" w:rsidRPr="00E06D5F" w14:paraId="5AFEF615" w14:textId="77777777" w:rsidTr="00EF5274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111D175A" w14:textId="77777777" w:rsidR="006F78C4" w:rsidRPr="00E06D5F" w:rsidRDefault="002E6D63" w:rsidP="006F7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1B346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ujęciu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pieniężnym</w:t>
            </w:r>
          </w:p>
          <w:p w14:paraId="2415A40D" w14:textId="77777777" w:rsidR="006F78C4" w:rsidRPr="00E06D5F" w:rsidRDefault="006F78C4" w:rsidP="006F78C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6D433DB8" w14:textId="77777777" w:rsidR="002E6D63" w:rsidRPr="00E06D5F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ceny </w:t>
            </w:r>
            <w:r w:rsidR="00CF5F4F" w:rsidRPr="00E06D5F">
              <w:rPr>
                <w:rFonts w:ascii="Times New Roman" w:hAnsi="Times New Roman"/>
                <w:spacing w:val="-2"/>
                <w:sz w:val="24"/>
                <w:szCs w:val="24"/>
              </w:rPr>
              <w:t>stałe</w:t>
            </w:r>
            <w:r w:rsidRPr="00E06D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47A3A21F" w14:textId="77777777" w:rsidR="002E6D63" w:rsidRPr="00E06D5F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B8F56DA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503CFFE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E4F4B92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312E31A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69F25B9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2771CC6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14:paraId="3E97A76E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E6D63" w:rsidRPr="00E06D5F" w14:paraId="2B5FFC80" w14:textId="77777777" w:rsidTr="00EF5274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02337CA4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C416078" w14:textId="77777777" w:rsidR="002E6D63" w:rsidRPr="00E06D5F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31E9A9C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81E3A4B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AEFB75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F1716C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9925BC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0496D8B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14:paraId="4BFC5BF1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E6D63" w:rsidRPr="00E06D5F" w14:paraId="1B451E1F" w14:textId="77777777" w:rsidTr="00EF5274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1C668D13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253ECBD3" w14:textId="77777777" w:rsidR="002E6D63" w:rsidRPr="00E06D5F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sz w:val="24"/>
                <w:szCs w:val="24"/>
              </w:rPr>
              <w:t xml:space="preserve">rodzina, </w:t>
            </w:r>
            <w:r w:rsidR="009E3C4B" w:rsidRPr="00E06D5F">
              <w:rPr>
                <w:rFonts w:ascii="Times New Roman" w:hAnsi="Times New Roman"/>
                <w:sz w:val="24"/>
                <w:szCs w:val="24"/>
              </w:rPr>
              <w:t>o</w:t>
            </w:r>
            <w:r w:rsidR="002E6D63" w:rsidRPr="00E06D5F">
              <w:rPr>
                <w:rFonts w:ascii="Times New Roman" w:hAnsi="Times New Roman"/>
                <w:sz w:val="24"/>
                <w:szCs w:val="24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1E20C9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FDCB5A2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30D001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8A8B37E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AFACFCC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302BC06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14:paraId="1AF3EFD9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E6D63" w:rsidRPr="00E06D5F" w14:paraId="38D3B5EF" w14:textId="77777777" w:rsidTr="00EF5274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45A13DEA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5D10BC1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06D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FBCCB78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8D6AB10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6D50F0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2C6F602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5D87714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5D17A0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14:paraId="5A603B67" w14:textId="77777777" w:rsidR="002E6D63" w:rsidRPr="00E06D5F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608F" w:rsidRPr="00E06D5F" w14:paraId="40163624" w14:textId="77777777" w:rsidTr="00EF5274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2CF771A9" w14:textId="77777777" w:rsidR="008A608F" w:rsidRPr="00E06D5F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97181B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ujęciu 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2BD02016" w14:textId="77777777" w:rsidR="008A608F" w:rsidRPr="00E06D5F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duże p</w:t>
            </w:r>
            <w:r w:rsidR="008A608F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rzedsiębiorstwa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6A6BAE9A" w14:textId="77777777" w:rsidR="008A608F" w:rsidRPr="00E06D5F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608F" w:rsidRPr="00E06D5F" w14:paraId="685B8233" w14:textId="77777777" w:rsidTr="00EF5274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2F27E802" w14:textId="77777777" w:rsidR="008A608F" w:rsidRPr="00E06D5F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28FC61E8" w14:textId="77777777" w:rsidR="008A608F" w:rsidRPr="00E06D5F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8A608F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ektor mikro-, małych i średnich przedsiębiorstw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7544B833" w14:textId="77777777" w:rsidR="008A608F" w:rsidRPr="00E06D5F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E3C4B" w:rsidRPr="00E06D5F" w14:paraId="02F1CA62" w14:textId="77777777" w:rsidTr="00EF5274">
        <w:trPr>
          <w:gridAfter w:val="1"/>
          <w:wAfter w:w="10" w:type="dxa"/>
          <w:trHeight w:val="596"/>
        </w:trPr>
        <w:tc>
          <w:tcPr>
            <w:tcW w:w="1594" w:type="dxa"/>
            <w:vMerge/>
            <w:shd w:val="clear" w:color="auto" w:fill="FFFFFF"/>
          </w:tcPr>
          <w:p w14:paraId="199EBA2B" w14:textId="77777777" w:rsidR="009E3C4B" w:rsidRPr="00E06D5F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958BCB7" w14:textId="77777777" w:rsidR="009E3C4B" w:rsidRPr="00E06D5F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sz w:val="24"/>
                <w:szCs w:val="24"/>
              </w:rPr>
              <w:t xml:space="preserve">rodzina, </w:t>
            </w:r>
            <w:r w:rsidR="009E3C4B" w:rsidRPr="00E06D5F">
              <w:rPr>
                <w:rFonts w:ascii="Times New Roman" w:hAnsi="Times New Roman"/>
                <w:sz w:val="24"/>
                <w:szCs w:val="24"/>
              </w:rPr>
              <w:t>obywatele oraz gospodarstwa domowe</w:t>
            </w:r>
            <w:r w:rsidR="009E3C4B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5C4CA20E" w14:textId="77777777" w:rsidR="009E3C4B" w:rsidRPr="00E06D5F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608F" w:rsidRPr="00E06D5F" w14:paraId="3F65D4F0" w14:textId="77777777" w:rsidTr="00EF5274">
        <w:trPr>
          <w:gridAfter w:val="1"/>
          <w:wAfter w:w="10" w:type="dxa"/>
          <w:trHeight w:val="240"/>
        </w:trPr>
        <w:tc>
          <w:tcPr>
            <w:tcW w:w="1594" w:type="dxa"/>
            <w:vMerge/>
            <w:shd w:val="clear" w:color="auto" w:fill="FFFFFF"/>
          </w:tcPr>
          <w:p w14:paraId="10EDB62B" w14:textId="77777777" w:rsidR="008A608F" w:rsidRPr="00E06D5F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A725BAE" w14:textId="77777777" w:rsidR="008A608F" w:rsidRPr="00E06D5F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06D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6033D456" w14:textId="77777777" w:rsidR="008A608F" w:rsidRPr="00E06D5F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E7371" w:rsidRPr="00E06D5F" w14:paraId="54B554A0" w14:textId="77777777" w:rsidTr="00EF5274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40A6D208" w14:textId="77777777" w:rsidR="005E7371" w:rsidRPr="00E06D5F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5AD44463" w14:textId="77777777" w:rsidR="005E7371" w:rsidRPr="00E06D5F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06D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1C506EBF" w14:textId="77777777" w:rsidR="005E7371" w:rsidRPr="00E06D5F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E7371" w:rsidRPr="00E06D5F" w14:paraId="0B69CB22" w14:textId="77777777" w:rsidTr="00EF5274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4B7C63A7" w14:textId="77777777" w:rsidR="005E7371" w:rsidRPr="00E06D5F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E07DC39" w14:textId="77777777" w:rsidR="005E7371" w:rsidRPr="00E06D5F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06D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0E987FC1" w14:textId="77777777" w:rsidR="005E7371" w:rsidRPr="00E06D5F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24BD7" w:rsidRPr="00E06D5F" w14:paraId="763E9ACD" w14:textId="77777777" w:rsidTr="00EF5274">
        <w:trPr>
          <w:gridAfter w:val="1"/>
          <w:wAfter w:w="10" w:type="dxa"/>
          <w:trHeight w:val="1520"/>
        </w:trPr>
        <w:tc>
          <w:tcPr>
            <w:tcW w:w="2240" w:type="dxa"/>
            <w:gridSpan w:val="2"/>
            <w:shd w:val="clear" w:color="auto" w:fill="FFFFFF"/>
          </w:tcPr>
          <w:p w14:paraId="74A29DC8" w14:textId="77777777" w:rsidR="00E24BD7" w:rsidRPr="00E06D5F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7" w:type="dxa"/>
            <w:gridSpan w:val="26"/>
            <w:shd w:val="clear" w:color="auto" w:fill="FFFFFF"/>
            <w:vAlign w:val="center"/>
          </w:tcPr>
          <w:p w14:paraId="1DB4B7BE" w14:textId="17650C0B" w:rsidR="005F5565" w:rsidRDefault="005F5565" w:rsidP="00264C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565">
              <w:rPr>
                <w:rFonts w:ascii="Times New Roman" w:hAnsi="Times New Roman"/>
                <w:color w:val="000000"/>
                <w:sz w:val="24"/>
                <w:szCs w:val="24"/>
              </w:rPr>
              <w:t>Projektowana ustawa nie będzie miała wpływu na konkurencyjność gospodarki</w:t>
            </w:r>
            <w:r w:rsidR="0026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4CF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5565">
              <w:rPr>
                <w:rFonts w:ascii="Times New Roman" w:hAnsi="Times New Roman"/>
                <w:color w:val="000000"/>
                <w:sz w:val="24"/>
                <w:szCs w:val="24"/>
              </w:rPr>
              <w:t>i przedsiębiorczość, w tym na funkcjonowanie przedsiębiorców.</w:t>
            </w:r>
          </w:p>
          <w:p w14:paraId="38F9B4E9" w14:textId="77777777" w:rsidR="004060F4" w:rsidRPr="004060F4" w:rsidRDefault="004060F4" w:rsidP="00264C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0F4">
              <w:rPr>
                <w:rFonts w:ascii="Times New Roman" w:hAnsi="Times New Roman"/>
                <w:color w:val="000000"/>
                <w:sz w:val="24"/>
                <w:szCs w:val="24"/>
              </w:rPr>
              <w:t>Projektowana regulacja nie będzie  miała wpływu na sytuację osób niepełnosprawnych oraz osób starszych.</w:t>
            </w:r>
          </w:p>
          <w:p w14:paraId="5E9E3405" w14:textId="77777777" w:rsidR="00E24BD7" w:rsidRPr="00E06D5F" w:rsidRDefault="00E24BD7" w:rsidP="005F55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E06D5F" w14:paraId="6901255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AC59565" w14:textId="77777777" w:rsidR="006A701A" w:rsidRPr="00E06D5F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A117A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Zmiana o</w:t>
            </w: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bciąże</w:t>
            </w:r>
            <w:r w:rsidR="00FA117A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ń</w:t>
            </w: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regulacyjn</w:t>
            </w:r>
            <w:r w:rsidR="00FA117A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ych</w:t>
            </w:r>
            <w:r w:rsidR="00653688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(w tym obowiązk</w:t>
            </w:r>
            <w:r w:rsidR="00FA117A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ów </w:t>
            </w:r>
            <w:r w:rsidR="00653688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informacyjn</w:t>
            </w:r>
            <w:r w:rsidR="00FA117A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ych</w:t>
            </w:r>
            <w:r w:rsidR="00653688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wynikając</w:t>
            </w:r>
            <w:r w:rsidR="00FA117A"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ych</w:t>
            </w: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 projektu</w:t>
            </w:r>
          </w:p>
        </w:tc>
      </w:tr>
      <w:tr w:rsidR="00D86AFF" w:rsidRPr="00E06D5F" w14:paraId="1795294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6C01AEA0" w14:textId="497B5BA6" w:rsidR="00D86AFF" w:rsidRPr="00E06D5F" w:rsidRDefault="004A18A6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5F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86AFF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D86AFF" w:rsidRPr="00E06D5F" w14:paraId="6023A8EF" w14:textId="77777777" w:rsidTr="00EF5274">
        <w:trPr>
          <w:gridAfter w:val="1"/>
          <w:wAfter w:w="10" w:type="dxa"/>
          <w:trHeight w:val="946"/>
        </w:trPr>
        <w:tc>
          <w:tcPr>
            <w:tcW w:w="5108" w:type="dxa"/>
            <w:gridSpan w:val="12"/>
            <w:shd w:val="clear" w:color="auto" w:fill="FFFFFF"/>
          </w:tcPr>
          <w:p w14:paraId="505DA46B" w14:textId="77777777" w:rsidR="00D86AFF" w:rsidRPr="00E06D5F" w:rsidRDefault="00D86AFF" w:rsidP="001B346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337980FA" w14:textId="77777777" w:rsidR="00D86AFF" w:rsidRPr="00E06D5F" w:rsidRDefault="004A18A6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AFF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5755C412" w14:textId="77777777" w:rsidR="00D86AFF" w:rsidRPr="00E06D5F" w:rsidRDefault="004A18A6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AFF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nie</w:t>
            </w:r>
          </w:p>
          <w:p w14:paraId="104FCACC" w14:textId="3AD88117" w:rsidR="00D86AFF" w:rsidRPr="00E06D5F" w:rsidRDefault="004A18A6" w:rsidP="004F4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5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AFF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nie dotyczy</w:t>
            </w:r>
          </w:p>
        </w:tc>
      </w:tr>
      <w:tr w:rsidR="001B3460" w:rsidRPr="00E06D5F" w14:paraId="6868EE60" w14:textId="77777777" w:rsidTr="00EF5274">
        <w:trPr>
          <w:gridAfter w:val="1"/>
          <w:wAfter w:w="10" w:type="dxa"/>
          <w:trHeight w:val="1245"/>
        </w:trPr>
        <w:tc>
          <w:tcPr>
            <w:tcW w:w="5108" w:type="dxa"/>
            <w:gridSpan w:val="12"/>
            <w:shd w:val="clear" w:color="auto" w:fill="FFFFFF"/>
          </w:tcPr>
          <w:p w14:paraId="5314B4D6" w14:textId="77777777" w:rsidR="001B3460" w:rsidRPr="00E06D5F" w:rsidRDefault="004A18A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5C6A51AE" w14:textId="77777777" w:rsidR="001B3460" w:rsidRPr="00E06D5F" w:rsidRDefault="004A18A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75CC552D" w14:textId="77777777" w:rsidR="001B3460" w:rsidRPr="00E06D5F" w:rsidRDefault="004A18A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</w:t>
            </w:r>
            <w:r w:rsidR="00CF5F4F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 załatwienie sprawy</w:t>
            </w:r>
          </w:p>
          <w:p w14:paraId="3AEC9ECD" w14:textId="77777777" w:rsidR="001B3460" w:rsidRPr="00E06D5F" w:rsidRDefault="004A18A6" w:rsidP="007415D0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="001B346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2294F744" w14:textId="1256FDCF" w:rsidR="001B3460" w:rsidRPr="00E06D5F" w:rsidRDefault="004A18A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2104995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962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47DEA88B" w14:textId="6F7E51DE" w:rsidR="001B3460" w:rsidRPr="00E06D5F" w:rsidRDefault="004A18A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76241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96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43F4C938" w14:textId="3CA86861" w:rsidR="001B3460" w:rsidRPr="00E06D5F" w:rsidRDefault="004A18A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357036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5F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</w:t>
            </w:r>
            <w:r w:rsidR="00CF5F4F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 załatwienie sprawy</w:t>
            </w:r>
          </w:p>
          <w:p w14:paraId="2DB13548" w14:textId="3874B22C" w:rsidR="00F73D5F" w:rsidRPr="00F73D5F" w:rsidRDefault="004A18A6" w:rsidP="00F73D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149557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5F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="00B43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3D5F">
              <w:rPr>
                <w:rFonts w:ascii="Times New Roman" w:hAnsi="Times New Roman"/>
                <w:color w:val="000000"/>
                <w:sz w:val="24"/>
                <w:szCs w:val="24"/>
              </w:rPr>
              <w:t>Powstanie obowiązek poinformowania ZUS przez PIP o</w:t>
            </w:r>
            <w:r w:rsidR="00F73D5F" w:rsidRPr="00F73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wszczęciu k</w:t>
            </w:r>
            <w:r w:rsidR="00F73D5F">
              <w:rPr>
                <w:rFonts w:ascii="Times New Roman" w:hAnsi="Times New Roman"/>
                <w:color w:val="000000"/>
                <w:sz w:val="24"/>
                <w:szCs w:val="24"/>
              </w:rPr>
              <w:t>ontroli z urzędu wykazu lub ewidencji</w:t>
            </w:r>
            <w:r w:rsidR="00F73D5F" w:rsidRPr="00F73D5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73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wymienionych w art. 41 ust.</w:t>
            </w:r>
            <w:r w:rsidR="00EA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3D5F">
              <w:rPr>
                <w:rFonts w:ascii="Times New Roman" w:hAnsi="Times New Roman"/>
                <w:color w:val="000000"/>
                <w:sz w:val="24"/>
                <w:szCs w:val="24"/>
              </w:rPr>
              <w:t>4 pkt 1 i 2, oraz jej wynikach.</w:t>
            </w:r>
          </w:p>
          <w:p w14:paraId="20D83253" w14:textId="2D2C83F3" w:rsidR="001B3460" w:rsidRPr="00E06D5F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0F70D9" w14:textId="77777777" w:rsidR="001B3460" w:rsidRPr="00E06D5F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DA2" w:rsidRPr="00E06D5F" w14:paraId="316DB479" w14:textId="77777777" w:rsidTr="00EF5274">
        <w:trPr>
          <w:gridAfter w:val="1"/>
          <w:wAfter w:w="10" w:type="dxa"/>
          <w:trHeight w:val="868"/>
        </w:trPr>
        <w:tc>
          <w:tcPr>
            <w:tcW w:w="5108" w:type="dxa"/>
            <w:gridSpan w:val="12"/>
            <w:shd w:val="clear" w:color="auto" w:fill="FFFFFF"/>
          </w:tcPr>
          <w:p w14:paraId="1C8DC5E6" w14:textId="77777777" w:rsidR="00BF0DA2" w:rsidRPr="00E06D5F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05EDC70C" w14:textId="77777777" w:rsidR="00BF0DA2" w:rsidRPr="00E06D5F" w:rsidRDefault="004A18A6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0DA2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0DF9DD92" w14:textId="77777777" w:rsidR="00BF0DA2" w:rsidRPr="00E06D5F" w:rsidRDefault="004A18A6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0DA2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nie</w:t>
            </w:r>
          </w:p>
          <w:p w14:paraId="45B5E515" w14:textId="50E41E68" w:rsidR="00BF0DA2" w:rsidRPr="00E06D5F" w:rsidRDefault="004A18A6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5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0DA2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nie dotyczy</w:t>
            </w:r>
          </w:p>
          <w:p w14:paraId="6E223590" w14:textId="77777777" w:rsidR="00117017" w:rsidRPr="00E06D5F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017" w:rsidRPr="00E06D5F" w14:paraId="76043189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8"/>
            <w:shd w:val="clear" w:color="auto" w:fill="FFFFFF"/>
          </w:tcPr>
          <w:p w14:paraId="538F7617" w14:textId="7E52F337" w:rsidR="00FA1638" w:rsidRDefault="00117017" w:rsidP="00264C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  <w:r w:rsidR="00F73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Ewentualne wydłużenie czasu załatwianie sprawy zostanie zrekompensowane ochroną </w:t>
            </w:r>
            <w:r w:rsidR="00264CF7">
              <w:rPr>
                <w:rFonts w:ascii="Times New Roman" w:hAnsi="Times New Roman"/>
                <w:color w:val="000000"/>
                <w:sz w:val="24"/>
                <w:szCs w:val="24"/>
              </w:rPr>
              <w:t>interesów pracownika (</w:t>
            </w:r>
            <w:r w:rsidR="00F73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który dzięki </w:t>
            </w:r>
            <w:r w:rsidR="00264CF7">
              <w:rPr>
                <w:rFonts w:ascii="Times New Roman" w:hAnsi="Times New Roman"/>
                <w:color w:val="000000"/>
                <w:sz w:val="24"/>
                <w:szCs w:val="24"/>
              </w:rPr>
              <w:t>rozszerzeniu oceny</w:t>
            </w:r>
            <w:r w:rsidR="00FA1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prawidłowości</w:t>
            </w:r>
            <w:r w:rsidR="00F73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kwalifikowania</w:t>
            </w:r>
            <w:r w:rsidR="0026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4CF7" w:rsidRPr="00264CF7">
              <w:rPr>
                <w:rFonts w:ascii="Times New Roman" w:hAnsi="Times New Roman"/>
                <w:color w:val="000000"/>
                <w:sz w:val="24"/>
                <w:szCs w:val="24"/>
              </w:rPr>
              <w:t>przez płatnika składek</w:t>
            </w:r>
            <w:r w:rsidR="00FA1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wykonywanych u niego</w:t>
            </w:r>
            <w:r w:rsidR="0026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prac</w:t>
            </w:r>
            <w:r w:rsidR="00F73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jako </w:t>
            </w:r>
            <w:r w:rsidR="00FA1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prac </w:t>
            </w:r>
            <w:r w:rsidR="0026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szczególnych warunkach lub o szczególnym charakterze, będzie mógł </w:t>
            </w:r>
            <w:r w:rsidR="00264C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uzyskać </w:t>
            </w:r>
            <w:r w:rsidR="00D4184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6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 spełnieniu pozostałych warunków </w:t>
            </w:r>
            <w:r w:rsidR="00D4184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6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prawo do emerytury pomostowej) oraz większymi wpływami do FEP. </w:t>
            </w:r>
          </w:p>
          <w:p w14:paraId="25E8FB7A" w14:textId="7199DD6E" w:rsidR="00117017" w:rsidRPr="00E06D5F" w:rsidRDefault="00264CF7" w:rsidP="00264C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Zwiększenie zaś obowiązków informacyjnych</w:t>
            </w:r>
            <w:r w:rsidR="00F86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procedur i </w:t>
            </w:r>
            <w:r w:rsidR="00536EB1">
              <w:rPr>
                <w:rFonts w:ascii="Times New Roman" w:hAnsi="Times New Roman"/>
                <w:color w:val="000000"/>
                <w:sz w:val="24"/>
                <w:szCs w:val="24"/>
              </w:rPr>
              <w:t>dokumentów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 stronie PIP przyczyni się do prawidłowości wydawani</w:t>
            </w:r>
            <w:r w:rsidR="00FA1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decyzji przez organy rentowe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przedmiocie prawa do emerytury pomostowej oraz składek na FEP.</w:t>
            </w:r>
          </w:p>
        </w:tc>
      </w:tr>
      <w:tr w:rsidR="001B3460" w:rsidRPr="00E06D5F" w14:paraId="41A7FD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19ED5A25" w14:textId="77777777" w:rsidR="001B3460" w:rsidRPr="00E06D5F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Wpływ na rynek pracy </w:t>
            </w:r>
          </w:p>
        </w:tc>
      </w:tr>
      <w:tr w:rsidR="001B3460" w:rsidRPr="00E06D5F" w14:paraId="5AFF0A74" w14:textId="77777777" w:rsidTr="00270E7D">
        <w:trPr>
          <w:gridAfter w:val="1"/>
          <w:wAfter w:w="10" w:type="dxa"/>
          <w:trHeight w:val="444"/>
        </w:trPr>
        <w:tc>
          <w:tcPr>
            <w:tcW w:w="10937" w:type="dxa"/>
            <w:gridSpan w:val="28"/>
            <w:shd w:val="clear" w:color="auto" w:fill="auto"/>
          </w:tcPr>
          <w:p w14:paraId="07C10CD5" w14:textId="77777777" w:rsidR="001B3460" w:rsidRDefault="00DA694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Projektowan</w:t>
            </w:r>
            <w:r w:rsidR="00F44DE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DEA">
              <w:rPr>
                <w:rFonts w:ascii="Times New Roman" w:hAnsi="Times New Roman"/>
                <w:color w:val="000000"/>
                <w:sz w:val="24"/>
                <w:szCs w:val="24"/>
              </w:rPr>
              <w:t>ustawa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będzie miał</w:t>
            </w:r>
            <w:r w:rsidR="00F44DE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wpływu na rynek pracy.</w:t>
            </w:r>
          </w:p>
          <w:p w14:paraId="64A9A3D5" w14:textId="29539D2A" w:rsidR="00EA4D8C" w:rsidRPr="00E06D5F" w:rsidRDefault="00EA4D8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460" w:rsidRPr="00E06D5F" w14:paraId="2648841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0540E973" w14:textId="77777777" w:rsidR="001B3460" w:rsidRPr="00E06D5F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1B3460" w:rsidRPr="00E06D5F" w14:paraId="01F46738" w14:textId="77777777" w:rsidTr="00EF5274">
        <w:trPr>
          <w:gridAfter w:val="1"/>
          <w:wAfter w:w="10" w:type="dxa"/>
          <w:trHeight w:val="1031"/>
        </w:trPr>
        <w:tc>
          <w:tcPr>
            <w:tcW w:w="3544" w:type="dxa"/>
            <w:gridSpan w:val="5"/>
            <w:shd w:val="clear" w:color="auto" w:fill="FFFFFF"/>
          </w:tcPr>
          <w:p w14:paraId="46FF6F38" w14:textId="77777777" w:rsidR="001B3460" w:rsidRPr="00E06D5F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5A9886" w14:textId="77777777" w:rsidR="001B3460" w:rsidRPr="00E06D5F" w:rsidRDefault="004A18A6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3E9A3D13" w14:textId="77777777" w:rsidR="001B3460" w:rsidRPr="00E06D5F" w:rsidRDefault="004A18A6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sytuacja i rozwój regionalny</w:t>
            </w:r>
          </w:p>
          <w:p w14:paraId="3E25C710" w14:textId="72DB38E9" w:rsidR="001B3460" w:rsidRPr="00E06D5F" w:rsidRDefault="004A18A6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366884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4A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33E6A" w:rsidRPr="00233E6A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A527D64" w14:textId="77777777" w:rsidR="001B3460" w:rsidRPr="00E06D5F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A1313B" w14:textId="77777777" w:rsidR="001B3460" w:rsidRPr="00E06D5F" w:rsidRDefault="004A18A6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75D49744" w14:textId="2C37393C" w:rsidR="001B3460" w:rsidRDefault="004A18A6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4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mienie państwowe</w:t>
            </w:r>
          </w:p>
          <w:p w14:paraId="17EA7E5A" w14:textId="0BC4CC35" w:rsidR="00D4184A" w:rsidRPr="00E06D5F" w:rsidRDefault="00D4184A" w:rsidP="00F61E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84A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 xml:space="preserve"> </w:t>
            </w:r>
            <w:r w:rsidRPr="00D4184A">
              <w:rPr>
                <w:rFonts w:ascii="Times New Roman" w:hAnsi="Times New Roman"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3706" w:type="dxa"/>
            <w:gridSpan w:val="8"/>
            <w:shd w:val="clear" w:color="auto" w:fill="FFFFFF"/>
          </w:tcPr>
          <w:p w14:paraId="19FDF4FA" w14:textId="77777777" w:rsidR="001B3460" w:rsidRPr="00E06D5F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ABC9BA" w14:textId="77777777" w:rsidR="001B3460" w:rsidRPr="00E06D5F" w:rsidRDefault="004A18A6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 w:rsidRPr="00E06D5F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5F66B32B" w14:textId="77777777" w:rsidR="001B3460" w:rsidRPr="00E06D5F" w:rsidRDefault="004A18A6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77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7415D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B3460"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1B3460" w:rsidRPr="00E06D5F" w14:paraId="5133E713" w14:textId="77777777" w:rsidTr="00EF5274">
        <w:trPr>
          <w:gridAfter w:val="1"/>
          <w:wAfter w:w="10" w:type="dxa"/>
          <w:trHeight w:val="71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182886B8" w14:textId="77777777" w:rsidR="001B3460" w:rsidRPr="00E06D5F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697" w:type="dxa"/>
            <w:gridSpan w:val="26"/>
            <w:shd w:val="clear" w:color="auto" w:fill="FFFFFF"/>
            <w:vAlign w:val="center"/>
          </w:tcPr>
          <w:p w14:paraId="42550988" w14:textId="180778A5" w:rsidR="00233E6A" w:rsidRDefault="00233E6A" w:rsidP="00233E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33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Projektowana ustawa – w związku z ewentualnym zwiększeniem liczby pracowników wykonujących prace  w szczególnych warunkach lub o szczególnym  charakterze – może przyczynić się do zakończenia wykonywania prac przekraczających poziom ich możliwości, ograniczony w wyniku procesu starzenia się jeszcze przed osiągnięciem wieku emerytalnego, w stopniu utrudniającym ich pracę na dotychczasowym stanowisku.</w:t>
            </w:r>
          </w:p>
          <w:p w14:paraId="71AC027E" w14:textId="77777777" w:rsidR="00233E6A" w:rsidRDefault="00233E6A" w:rsidP="00233E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7DA5083D" w14:textId="1AC4304C" w:rsidR="00BD2F14" w:rsidRDefault="00233E6A" w:rsidP="00233E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33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Rozszerzenie zakresu przedmiotowego kontroli i wydawanych środków prawnych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przez</w:t>
            </w:r>
            <w:r w:rsidR="00BD2F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PIP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33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(decyzje doty</w:t>
            </w:r>
            <w:r w:rsidR="00BD2F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czące wykazu i</w:t>
            </w:r>
            <w:r w:rsidRPr="00233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ewidencji</w:t>
            </w:r>
            <w:r w:rsidR="00BD2F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o których mowa w art. 41 ust. 4 ustawy </w:t>
            </w:r>
            <w:r w:rsidR="0037770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="00BD2F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 emeryturach pomostowych) </w:t>
            </w:r>
            <w:r w:rsidRPr="00233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spowoduje wzrost liczby odwołań od</w:t>
            </w:r>
            <w:r w:rsidR="00BD2F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tych decyzji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="00BD2F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 w konsekwencji również</w:t>
            </w:r>
            <w:r w:rsidRPr="00233E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sk</w:t>
            </w:r>
            <w:r w:rsidR="00BD2F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arg do sądów a</w:t>
            </w:r>
            <w:r w:rsidR="0037770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dministracyjnych (a więc także</w:t>
            </w:r>
            <w:r w:rsidR="00BD2F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liczby spraw rozpatrywanych przez te sądy). </w:t>
            </w:r>
          </w:p>
          <w:p w14:paraId="40A1AE24" w14:textId="306DF440" w:rsidR="00233E6A" w:rsidRDefault="00BD2F14" w:rsidP="00233E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Wzrost kosztów </w:t>
            </w:r>
            <w:r w:rsidRPr="00BD2F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 stronie sądów administracyjnych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został omówiony w pkt 6 OSR.</w:t>
            </w:r>
          </w:p>
          <w:p w14:paraId="72DD5AD9" w14:textId="77777777" w:rsidR="00BD2F14" w:rsidRPr="00233E6A" w:rsidRDefault="00BD2F14" w:rsidP="00233E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65C4FD3C" w14:textId="1D95D48A" w:rsidR="001B3460" w:rsidRPr="00E06D5F" w:rsidRDefault="001B3460" w:rsidP="00BD2F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B3460" w:rsidRPr="00E06D5F" w14:paraId="306655C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F349C8B" w14:textId="77777777" w:rsidR="001B3460" w:rsidRPr="00E06D5F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</w:t>
            </w:r>
            <w:r w:rsidR="00CF5F4F"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owane</w:t>
            </w:r>
            <w:r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w</w:t>
            </w:r>
            <w:r w:rsidR="00627221"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ykonani</w:t>
            </w:r>
            <w:r w:rsidR="00CF5F4F"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e</w:t>
            </w:r>
            <w:r w:rsidR="00627221"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przepisów aktu prawnego</w:t>
            </w:r>
          </w:p>
        </w:tc>
      </w:tr>
      <w:tr w:rsidR="001B3460" w:rsidRPr="00E06D5F" w14:paraId="3445BD1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3A6CCDE" w14:textId="77777777" w:rsidR="009F5C52" w:rsidRPr="00342EC9" w:rsidRDefault="009F5C52" w:rsidP="009F5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C9">
              <w:rPr>
                <w:rFonts w:ascii="Times New Roman" w:hAnsi="Times New Roman"/>
                <w:sz w:val="24"/>
                <w:szCs w:val="24"/>
              </w:rPr>
              <w:t>Proponuje się, aby ustawa weszła w życie po upływie 3 miesięcy od dnia ogłoszenia.</w:t>
            </w:r>
          </w:p>
          <w:p w14:paraId="60F50ECD" w14:textId="37308047" w:rsidR="00EA4D8C" w:rsidRPr="009F5C52" w:rsidRDefault="009F5C52" w:rsidP="009F5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C9">
              <w:rPr>
                <w:rFonts w:ascii="Times New Roman" w:hAnsi="Times New Roman"/>
                <w:sz w:val="24"/>
                <w:szCs w:val="24"/>
              </w:rPr>
              <w:t xml:space="preserve">Uregulowania przepisu przejściowego zostały spowodowane troską o ochronę interesów ubezpieczonych. Zaproponowano mianowicie, aby korzystniejsze (wprowadzone </w:t>
            </w:r>
            <w:r w:rsidR="00C869E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342EC9">
              <w:rPr>
                <w:rFonts w:ascii="Times New Roman" w:hAnsi="Times New Roman"/>
                <w:sz w:val="24"/>
                <w:szCs w:val="24"/>
              </w:rPr>
              <w:t>projekcie) dla pracownika zasady dotyczące kontroli ewidencji i wykazu, o których mowa w art. 41 ust. 4 ustawy o emeryturach pomostowych, byłyby stosowane do postępowań, w których nie zostały wydane ostateczne decyzje przed dniem wejścia w życie projektowanej nowelizac</w:t>
            </w:r>
            <w:r>
              <w:rPr>
                <w:rFonts w:ascii="Times New Roman" w:hAnsi="Times New Roman"/>
                <w:sz w:val="24"/>
                <w:szCs w:val="24"/>
              </w:rPr>
              <w:t>ji.</w:t>
            </w:r>
          </w:p>
        </w:tc>
      </w:tr>
      <w:tr w:rsidR="001B3460" w:rsidRPr="00E06D5F" w14:paraId="43A957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27312E9" w14:textId="77777777" w:rsidR="001B3460" w:rsidRPr="00E06D5F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W jaki sposób i kiedy nastąpi ewaluacja efektów projektu </w:t>
            </w:r>
            <w:r w:rsidR="00A47BDF"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oraz</w:t>
            </w:r>
            <w:r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jakie mierniki zostaną </w:t>
            </w:r>
            <w:r w:rsidR="00C33027"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zastosowane?</w:t>
            </w:r>
          </w:p>
        </w:tc>
      </w:tr>
      <w:tr w:rsidR="001B3460" w:rsidRPr="00E06D5F" w14:paraId="31F9B0F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28ACD7A" w14:textId="77777777" w:rsidR="001B3460" w:rsidRPr="00E06D5F" w:rsidRDefault="003B7D7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1B3460" w:rsidRPr="00E06D5F" w14:paraId="44FE03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03ECC590" w14:textId="10BAE084" w:rsidR="00EA4D8C" w:rsidRPr="00FA1638" w:rsidRDefault="001B3460" w:rsidP="00FA16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06D5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(istotne dokumenty źródłowe, badania, analizy </w:t>
            </w:r>
            <w:r w:rsidR="00C33027" w:rsidRPr="00E06D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itp.</w:t>
            </w:r>
            <w:r w:rsidRPr="00E06D5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  <w:p w14:paraId="5306BFEF" w14:textId="319555E5" w:rsidR="00FF3619" w:rsidRPr="00FA1638" w:rsidRDefault="00FF3619" w:rsidP="00FA163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5FCF7668" w14:textId="77777777" w:rsidR="006176ED" w:rsidRPr="00E06D5F" w:rsidRDefault="006176ED" w:rsidP="00E06D5F">
      <w:pPr>
        <w:pStyle w:val="Nagwek1"/>
        <w:rPr>
          <w:rFonts w:ascii="Times New Roman" w:hAnsi="Times New Roman"/>
          <w:sz w:val="24"/>
          <w:szCs w:val="24"/>
        </w:rPr>
      </w:pPr>
    </w:p>
    <w:sectPr w:rsidR="006176ED" w:rsidRPr="00E06D5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0A0AA" w14:textId="77777777" w:rsidR="004A18A6" w:rsidRDefault="004A18A6" w:rsidP="00044739">
      <w:pPr>
        <w:spacing w:line="240" w:lineRule="auto"/>
      </w:pPr>
      <w:r>
        <w:separator/>
      </w:r>
    </w:p>
  </w:endnote>
  <w:endnote w:type="continuationSeparator" w:id="0">
    <w:p w14:paraId="19A259FA" w14:textId="77777777" w:rsidR="004A18A6" w:rsidRDefault="004A18A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DE55" w14:textId="77777777" w:rsidR="004A18A6" w:rsidRDefault="004A18A6" w:rsidP="00044739">
      <w:pPr>
        <w:spacing w:line="240" w:lineRule="auto"/>
      </w:pPr>
      <w:r>
        <w:separator/>
      </w:r>
    </w:p>
  </w:footnote>
  <w:footnote w:type="continuationSeparator" w:id="0">
    <w:p w14:paraId="7FB1CD05" w14:textId="77777777" w:rsidR="004A18A6" w:rsidRDefault="004A18A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10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84E4FDB"/>
    <w:multiLevelType w:val="hybridMultilevel"/>
    <w:tmpl w:val="EB32926A"/>
    <w:lvl w:ilvl="0" w:tplc="5B10D2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562"/>
    <w:multiLevelType w:val="hybridMultilevel"/>
    <w:tmpl w:val="6D944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43F5670"/>
    <w:multiLevelType w:val="hybridMultilevel"/>
    <w:tmpl w:val="EBDE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15F8"/>
    <w:multiLevelType w:val="hybridMultilevel"/>
    <w:tmpl w:val="04E8B2C0"/>
    <w:lvl w:ilvl="0" w:tplc="92EA95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5A690F"/>
    <w:multiLevelType w:val="hybridMultilevel"/>
    <w:tmpl w:val="68DA0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87528"/>
    <w:multiLevelType w:val="hybridMultilevel"/>
    <w:tmpl w:val="F2FA2378"/>
    <w:lvl w:ilvl="0" w:tplc="3CAC01A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BF22F7"/>
    <w:multiLevelType w:val="hybridMultilevel"/>
    <w:tmpl w:val="ACD6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347EA3"/>
    <w:multiLevelType w:val="hybridMultilevel"/>
    <w:tmpl w:val="05249AC0"/>
    <w:lvl w:ilvl="0" w:tplc="87B218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3"/>
  </w:num>
  <w:num w:numId="5">
    <w:abstractNumId w:val="2"/>
  </w:num>
  <w:num w:numId="6">
    <w:abstractNumId w:val="10"/>
  </w:num>
  <w:num w:numId="7">
    <w:abstractNumId w:val="15"/>
  </w:num>
  <w:num w:numId="8">
    <w:abstractNumId w:val="7"/>
  </w:num>
  <w:num w:numId="9">
    <w:abstractNumId w:val="17"/>
  </w:num>
  <w:num w:numId="10">
    <w:abstractNumId w:val="14"/>
  </w:num>
  <w:num w:numId="11">
    <w:abstractNumId w:val="16"/>
  </w:num>
  <w:num w:numId="12">
    <w:abstractNumId w:val="4"/>
  </w:num>
  <w:num w:numId="13">
    <w:abstractNumId w:val="13"/>
  </w:num>
  <w:num w:numId="14">
    <w:abstractNumId w:val="24"/>
  </w:num>
  <w:num w:numId="15">
    <w:abstractNumId w:val="18"/>
  </w:num>
  <w:num w:numId="16">
    <w:abstractNumId w:val="22"/>
  </w:num>
  <w:num w:numId="17">
    <w:abstractNumId w:val="8"/>
  </w:num>
  <w:num w:numId="18">
    <w:abstractNumId w:val="25"/>
  </w:num>
  <w:num w:numId="19">
    <w:abstractNumId w:val="2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5"/>
  </w:num>
  <w:num w:numId="25">
    <w:abstractNumId w:val="19"/>
  </w:num>
  <w:num w:numId="26">
    <w:abstractNumId w:val="26"/>
  </w:num>
  <w:num w:numId="27">
    <w:abstractNumId w:val="1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779C"/>
    <w:rsid w:val="0001166A"/>
    <w:rsid w:val="00012D11"/>
    <w:rsid w:val="00013EB5"/>
    <w:rsid w:val="00023836"/>
    <w:rsid w:val="00030278"/>
    <w:rsid w:val="000356A9"/>
    <w:rsid w:val="0004250C"/>
    <w:rsid w:val="00044138"/>
    <w:rsid w:val="00044739"/>
    <w:rsid w:val="00051637"/>
    <w:rsid w:val="00056681"/>
    <w:rsid w:val="00056E17"/>
    <w:rsid w:val="000648A7"/>
    <w:rsid w:val="0006618B"/>
    <w:rsid w:val="000670C0"/>
    <w:rsid w:val="00071B99"/>
    <w:rsid w:val="0007441F"/>
    <w:rsid w:val="00074653"/>
    <w:rsid w:val="00075369"/>
    <w:rsid w:val="000756E5"/>
    <w:rsid w:val="0007704E"/>
    <w:rsid w:val="00080EC8"/>
    <w:rsid w:val="000857F9"/>
    <w:rsid w:val="00086FAF"/>
    <w:rsid w:val="000944AC"/>
    <w:rsid w:val="00094CB9"/>
    <w:rsid w:val="000956B2"/>
    <w:rsid w:val="000969E7"/>
    <w:rsid w:val="00096BBD"/>
    <w:rsid w:val="00097F1A"/>
    <w:rsid w:val="000A1004"/>
    <w:rsid w:val="000A23DE"/>
    <w:rsid w:val="000A3645"/>
    <w:rsid w:val="000A4020"/>
    <w:rsid w:val="000B54FB"/>
    <w:rsid w:val="000C29B0"/>
    <w:rsid w:val="000C76FC"/>
    <w:rsid w:val="000D38FC"/>
    <w:rsid w:val="000D40A7"/>
    <w:rsid w:val="000D4D90"/>
    <w:rsid w:val="000D752A"/>
    <w:rsid w:val="000E2D10"/>
    <w:rsid w:val="000F3204"/>
    <w:rsid w:val="0010548B"/>
    <w:rsid w:val="00105560"/>
    <w:rsid w:val="001072D1"/>
    <w:rsid w:val="00117017"/>
    <w:rsid w:val="001171C8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02BA"/>
    <w:rsid w:val="001625BE"/>
    <w:rsid w:val="001643A4"/>
    <w:rsid w:val="001717EB"/>
    <w:rsid w:val="001727BB"/>
    <w:rsid w:val="00180D25"/>
    <w:rsid w:val="0018318D"/>
    <w:rsid w:val="0018572C"/>
    <w:rsid w:val="00187E79"/>
    <w:rsid w:val="00187F0D"/>
    <w:rsid w:val="00192CC5"/>
    <w:rsid w:val="001930C0"/>
    <w:rsid w:val="001956A7"/>
    <w:rsid w:val="001A118A"/>
    <w:rsid w:val="001A27F4"/>
    <w:rsid w:val="001A2D95"/>
    <w:rsid w:val="001A304F"/>
    <w:rsid w:val="001B3460"/>
    <w:rsid w:val="001B4CA1"/>
    <w:rsid w:val="001B54D9"/>
    <w:rsid w:val="001B75D8"/>
    <w:rsid w:val="001C1060"/>
    <w:rsid w:val="001C3C63"/>
    <w:rsid w:val="001D43F7"/>
    <w:rsid w:val="001D4732"/>
    <w:rsid w:val="001D6A3C"/>
    <w:rsid w:val="001D6D51"/>
    <w:rsid w:val="001E5DFD"/>
    <w:rsid w:val="001E6C70"/>
    <w:rsid w:val="001F11D9"/>
    <w:rsid w:val="001F3490"/>
    <w:rsid w:val="001F653A"/>
    <w:rsid w:val="001F6979"/>
    <w:rsid w:val="00202BC6"/>
    <w:rsid w:val="002040CD"/>
    <w:rsid w:val="00205141"/>
    <w:rsid w:val="0020516B"/>
    <w:rsid w:val="0020525D"/>
    <w:rsid w:val="00206B9B"/>
    <w:rsid w:val="00213559"/>
    <w:rsid w:val="00213EFD"/>
    <w:rsid w:val="00215A9A"/>
    <w:rsid w:val="002172F1"/>
    <w:rsid w:val="00223C7B"/>
    <w:rsid w:val="00224AB1"/>
    <w:rsid w:val="0022687A"/>
    <w:rsid w:val="00230728"/>
    <w:rsid w:val="00233E6A"/>
    <w:rsid w:val="00234040"/>
    <w:rsid w:val="00235CD2"/>
    <w:rsid w:val="00236898"/>
    <w:rsid w:val="00241D0A"/>
    <w:rsid w:val="00254DED"/>
    <w:rsid w:val="00255619"/>
    <w:rsid w:val="00255DAD"/>
    <w:rsid w:val="00256108"/>
    <w:rsid w:val="00260F33"/>
    <w:rsid w:val="002613BD"/>
    <w:rsid w:val="002624F1"/>
    <w:rsid w:val="00264CF7"/>
    <w:rsid w:val="00264E57"/>
    <w:rsid w:val="0026788E"/>
    <w:rsid w:val="00270C81"/>
    <w:rsid w:val="00270E7D"/>
    <w:rsid w:val="00271558"/>
    <w:rsid w:val="00274862"/>
    <w:rsid w:val="00282834"/>
    <w:rsid w:val="00282D72"/>
    <w:rsid w:val="00283402"/>
    <w:rsid w:val="00285E70"/>
    <w:rsid w:val="00290FD6"/>
    <w:rsid w:val="00294259"/>
    <w:rsid w:val="002A2C81"/>
    <w:rsid w:val="002B0D1A"/>
    <w:rsid w:val="002B0ED0"/>
    <w:rsid w:val="002B3D1A"/>
    <w:rsid w:val="002B4FC2"/>
    <w:rsid w:val="002B67DC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2F7D50"/>
    <w:rsid w:val="00300991"/>
    <w:rsid w:val="00301959"/>
    <w:rsid w:val="00305B8A"/>
    <w:rsid w:val="003100EC"/>
    <w:rsid w:val="00312B28"/>
    <w:rsid w:val="00312EC1"/>
    <w:rsid w:val="003168C0"/>
    <w:rsid w:val="00331BF9"/>
    <w:rsid w:val="0033495E"/>
    <w:rsid w:val="00334A79"/>
    <w:rsid w:val="00334D8D"/>
    <w:rsid w:val="0033653A"/>
    <w:rsid w:val="00337345"/>
    <w:rsid w:val="00337DD2"/>
    <w:rsid w:val="003404D1"/>
    <w:rsid w:val="0034183B"/>
    <w:rsid w:val="003422A5"/>
    <w:rsid w:val="003443FF"/>
    <w:rsid w:val="003453A4"/>
    <w:rsid w:val="00355808"/>
    <w:rsid w:val="00362C7E"/>
    <w:rsid w:val="00363309"/>
    <w:rsid w:val="00363601"/>
    <w:rsid w:val="00363E88"/>
    <w:rsid w:val="003644FE"/>
    <w:rsid w:val="0037173A"/>
    <w:rsid w:val="00371857"/>
    <w:rsid w:val="00371A5D"/>
    <w:rsid w:val="00376AC9"/>
    <w:rsid w:val="0037770B"/>
    <w:rsid w:val="0038087E"/>
    <w:rsid w:val="00391508"/>
    <w:rsid w:val="00393032"/>
    <w:rsid w:val="00393B75"/>
    <w:rsid w:val="00394B69"/>
    <w:rsid w:val="00397078"/>
    <w:rsid w:val="003A6953"/>
    <w:rsid w:val="003A7FAF"/>
    <w:rsid w:val="003B3EC2"/>
    <w:rsid w:val="003B6083"/>
    <w:rsid w:val="003B7D78"/>
    <w:rsid w:val="003C3838"/>
    <w:rsid w:val="003C5847"/>
    <w:rsid w:val="003D0681"/>
    <w:rsid w:val="003D12F6"/>
    <w:rsid w:val="003D1426"/>
    <w:rsid w:val="003D37F7"/>
    <w:rsid w:val="003E2F4E"/>
    <w:rsid w:val="003E720A"/>
    <w:rsid w:val="003E7B18"/>
    <w:rsid w:val="00403E6E"/>
    <w:rsid w:val="004060F4"/>
    <w:rsid w:val="004061A5"/>
    <w:rsid w:val="004129B4"/>
    <w:rsid w:val="00417EF0"/>
    <w:rsid w:val="00422181"/>
    <w:rsid w:val="004244A8"/>
    <w:rsid w:val="00425F72"/>
    <w:rsid w:val="00427736"/>
    <w:rsid w:val="0043243A"/>
    <w:rsid w:val="0043490B"/>
    <w:rsid w:val="004363F5"/>
    <w:rsid w:val="00441787"/>
    <w:rsid w:val="00444F2D"/>
    <w:rsid w:val="00452034"/>
    <w:rsid w:val="00455FA6"/>
    <w:rsid w:val="0046606F"/>
    <w:rsid w:val="00466C70"/>
    <w:rsid w:val="004702C9"/>
    <w:rsid w:val="00472E45"/>
    <w:rsid w:val="00473FEA"/>
    <w:rsid w:val="00474E78"/>
    <w:rsid w:val="0047579D"/>
    <w:rsid w:val="00483262"/>
    <w:rsid w:val="00484107"/>
    <w:rsid w:val="00485240"/>
    <w:rsid w:val="00485CC5"/>
    <w:rsid w:val="0049343F"/>
    <w:rsid w:val="004964FC"/>
    <w:rsid w:val="004A145E"/>
    <w:rsid w:val="004A18A6"/>
    <w:rsid w:val="004A1F15"/>
    <w:rsid w:val="004A2A81"/>
    <w:rsid w:val="004A7BD7"/>
    <w:rsid w:val="004C0B48"/>
    <w:rsid w:val="004C15C2"/>
    <w:rsid w:val="004C36D8"/>
    <w:rsid w:val="004D1248"/>
    <w:rsid w:val="004D1E3C"/>
    <w:rsid w:val="004D4169"/>
    <w:rsid w:val="004D6E14"/>
    <w:rsid w:val="004E699F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36EB1"/>
    <w:rsid w:val="005403FF"/>
    <w:rsid w:val="00544597"/>
    <w:rsid w:val="00544FFE"/>
    <w:rsid w:val="005473F5"/>
    <w:rsid w:val="005477E7"/>
    <w:rsid w:val="00552794"/>
    <w:rsid w:val="00563199"/>
    <w:rsid w:val="00564874"/>
    <w:rsid w:val="00567877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A6BD3"/>
    <w:rsid w:val="005A7E8F"/>
    <w:rsid w:val="005B1206"/>
    <w:rsid w:val="005B37E8"/>
    <w:rsid w:val="005C0056"/>
    <w:rsid w:val="005D61D6"/>
    <w:rsid w:val="005D7283"/>
    <w:rsid w:val="005E0D13"/>
    <w:rsid w:val="005E5047"/>
    <w:rsid w:val="005E6DB5"/>
    <w:rsid w:val="005E7205"/>
    <w:rsid w:val="005E7371"/>
    <w:rsid w:val="005F116C"/>
    <w:rsid w:val="005F2131"/>
    <w:rsid w:val="005F5565"/>
    <w:rsid w:val="005F7E7E"/>
    <w:rsid w:val="00603FE2"/>
    <w:rsid w:val="00605EF6"/>
    <w:rsid w:val="00606455"/>
    <w:rsid w:val="0061254D"/>
    <w:rsid w:val="006126AA"/>
    <w:rsid w:val="00614929"/>
    <w:rsid w:val="00616511"/>
    <w:rsid w:val="006176ED"/>
    <w:rsid w:val="006202F3"/>
    <w:rsid w:val="0062097A"/>
    <w:rsid w:val="00621DA6"/>
    <w:rsid w:val="006220BF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56137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86DE6"/>
    <w:rsid w:val="0069486B"/>
    <w:rsid w:val="00695E63"/>
    <w:rsid w:val="006A2390"/>
    <w:rsid w:val="006A3CC5"/>
    <w:rsid w:val="006A4904"/>
    <w:rsid w:val="006A548F"/>
    <w:rsid w:val="006A701A"/>
    <w:rsid w:val="006B64DC"/>
    <w:rsid w:val="006B7A91"/>
    <w:rsid w:val="006D05B3"/>
    <w:rsid w:val="006D3449"/>
    <w:rsid w:val="006D4704"/>
    <w:rsid w:val="006D5302"/>
    <w:rsid w:val="006D6A2D"/>
    <w:rsid w:val="006E1E18"/>
    <w:rsid w:val="006E31CE"/>
    <w:rsid w:val="006E34D3"/>
    <w:rsid w:val="006F1435"/>
    <w:rsid w:val="006F6C92"/>
    <w:rsid w:val="006F78C4"/>
    <w:rsid w:val="007031A0"/>
    <w:rsid w:val="00705A29"/>
    <w:rsid w:val="00707498"/>
    <w:rsid w:val="00711A65"/>
    <w:rsid w:val="00713F5E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411"/>
    <w:rsid w:val="007318DD"/>
    <w:rsid w:val="00733167"/>
    <w:rsid w:val="00737BB9"/>
    <w:rsid w:val="00737D27"/>
    <w:rsid w:val="00740D2C"/>
    <w:rsid w:val="007415D0"/>
    <w:rsid w:val="00742464"/>
    <w:rsid w:val="00744BF9"/>
    <w:rsid w:val="00752623"/>
    <w:rsid w:val="00753F8F"/>
    <w:rsid w:val="0075701E"/>
    <w:rsid w:val="00760F1F"/>
    <w:rsid w:val="0076423E"/>
    <w:rsid w:val="007646CB"/>
    <w:rsid w:val="0076658F"/>
    <w:rsid w:val="0077040A"/>
    <w:rsid w:val="00772D64"/>
    <w:rsid w:val="00781BD4"/>
    <w:rsid w:val="00792609"/>
    <w:rsid w:val="00792887"/>
    <w:rsid w:val="007943E2"/>
    <w:rsid w:val="00794F2C"/>
    <w:rsid w:val="007A30D5"/>
    <w:rsid w:val="007A3BC7"/>
    <w:rsid w:val="007A5AC4"/>
    <w:rsid w:val="007B0FDD"/>
    <w:rsid w:val="007B29D5"/>
    <w:rsid w:val="007B4802"/>
    <w:rsid w:val="007B5091"/>
    <w:rsid w:val="007B6668"/>
    <w:rsid w:val="007B6B33"/>
    <w:rsid w:val="007C2701"/>
    <w:rsid w:val="007C51D9"/>
    <w:rsid w:val="007D2192"/>
    <w:rsid w:val="007D222C"/>
    <w:rsid w:val="007D500B"/>
    <w:rsid w:val="007D5498"/>
    <w:rsid w:val="007E4067"/>
    <w:rsid w:val="007E733E"/>
    <w:rsid w:val="007F0021"/>
    <w:rsid w:val="007F2F52"/>
    <w:rsid w:val="00801F71"/>
    <w:rsid w:val="00805F28"/>
    <w:rsid w:val="0080749F"/>
    <w:rsid w:val="00811D46"/>
    <w:rsid w:val="008125B0"/>
    <w:rsid w:val="00812995"/>
    <w:rsid w:val="008144CB"/>
    <w:rsid w:val="00816EC2"/>
    <w:rsid w:val="00821717"/>
    <w:rsid w:val="00822C77"/>
    <w:rsid w:val="00824210"/>
    <w:rsid w:val="00824A61"/>
    <w:rsid w:val="008263C0"/>
    <w:rsid w:val="00841422"/>
    <w:rsid w:val="00841D3B"/>
    <w:rsid w:val="0084314C"/>
    <w:rsid w:val="00843171"/>
    <w:rsid w:val="00846CEC"/>
    <w:rsid w:val="00856799"/>
    <w:rsid w:val="008575C3"/>
    <w:rsid w:val="00863D28"/>
    <w:rsid w:val="008648C3"/>
    <w:rsid w:val="00870258"/>
    <w:rsid w:val="00880F26"/>
    <w:rsid w:val="00883C27"/>
    <w:rsid w:val="00895190"/>
    <w:rsid w:val="00895DE3"/>
    <w:rsid w:val="00896C2E"/>
    <w:rsid w:val="008A19F9"/>
    <w:rsid w:val="008A5095"/>
    <w:rsid w:val="008A608F"/>
    <w:rsid w:val="008B1A9A"/>
    <w:rsid w:val="008B4FE6"/>
    <w:rsid w:val="008B6C37"/>
    <w:rsid w:val="008C4BCC"/>
    <w:rsid w:val="008D1EA4"/>
    <w:rsid w:val="008E18F7"/>
    <w:rsid w:val="008E1E10"/>
    <w:rsid w:val="008E291B"/>
    <w:rsid w:val="008E4F2F"/>
    <w:rsid w:val="008E74B0"/>
    <w:rsid w:val="009008A8"/>
    <w:rsid w:val="009014F4"/>
    <w:rsid w:val="009033B4"/>
    <w:rsid w:val="00903F26"/>
    <w:rsid w:val="00905BC0"/>
    <w:rsid w:val="009063B0"/>
    <w:rsid w:val="00907106"/>
    <w:rsid w:val="009107FD"/>
    <w:rsid w:val="0091137C"/>
    <w:rsid w:val="00911567"/>
    <w:rsid w:val="00916575"/>
    <w:rsid w:val="00917AAE"/>
    <w:rsid w:val="009251A9"/>
    <w:rsid w:val="00930699"/>
    <w:rsid w:val="00931F69"/>
    <w:rsid w:val="00934123"/>
    <w:rsid w:val="0093618A"/>
    <w:rsid w:val="0095328C"/>
    <w:rsid w:val="009536E2"/>
    <w:rsid w:val="00955774"/>
    <w:rsid w:val="009560B5"/>
    <w:rsid w:val="00966C5C"/>
    <w:rsid w:val="00967CBA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66"/>
    <w:rsid w:val="00991F96"/>
    <w:rsid w:val="00996F0A"/>
    <w:rsid w:val="009A0658"/>
    <w:rsid w:val="009A1D86"/>
    <w:rsid w:val="009B049C"/>
    <w:rsid w:val="009B11C8"/>
    <w:rsid w:val="009B2BCF"/>
    <w:rsid w:val="009B2FF8"/>
    <w:rsid w:val="009B4BDC"/>
    <w:rsid w:val="009B5BA3"/>
    <w:rsid w:val="009C6C54"/>
    <w:rsid w:val="009D0027"/>
    <w:rsid w:val="009D0655"/>
    <w:rsid w:val="009D7AA9"/>
    <w:rsid w:val="009E1E98"/>
    <w:rsid w:val="009E3ABE"/>
    <w:rsid w:val="009E3C4B"/>
    <w:rsid w:val="009E4E49"/>
    <w:rsid w:val="009F0514"/>
    <w:rsid w:val="009F0637"/>
    <w:rsid w:val="009F212C"/>
    <w:rsid w:val="009F5C52"/>
    <w:rsid w:val="009F62A6"/>
    <w:rsid w:val="009F674F"/>
    <w:rsid w:val="009F799E"/>
    <w:rsid w:val="009F7E22"/>
    <w:rsid w:val="009F7F7B"/>
    <w:rsid w:val="00A02020"/>
    <w:rsid w:val="00A02C4E"/>
    <w:rsid w:val="00A031D8"/>
    <w:rsid w:val="00A056CB"/>
    <w:rsid w:val="00A05F83"/>
    <w:rsid w:val="00A07A29"/>
    <w:rsid w:val="00A10FF1"/>
    <w:rsid w:val="00A14962"/>
    <w:rsid w:val="00A1506B"/>
    <w:rsid w:val="00A17CB2"/>
    <w:rsid w:val="00A20500"/>
    <w:rsid w:val="00A23191"/>
    <w:rsid w:val="00A319C0"/>
    <w:rsid w:val="00A33560"/>
    <w:rsid w:val="00A356E2"/>
    <w:rsid w:val="00A364E4"/>
    <w:rsid w:val="00A371A5"/>
    <w:rsid w:val="00A40423"/>
    <w:rsid w:val="00A45CA1"/>
    <w:rsid w:val="00A47BDF"/>
    <w:rsid w:val="00A51CD7"/>
    <w:rsid w:val="00A52ADB"/>
    <w:rsid w:val="00A533E8"/>
    <w:rsid w:val="00A542D9"/>
    <w:rsid w:val="00A56386"/>
    <w:rsid w:val="00A56E64"/>
    <w:rsid w:val="00A624C3"/>
    <w:rsid w:val="00A63718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733A"/>
    <w:rsid w:val="00AB1ACD"/>
    <w:rsid w:val="00AB277F"/>
    <w:rsid w:val="00AB4099"/>
    <w:rsid w:val="00AB449A"/>
    <w:rsid w:val="00AC1A53"/>
    <w:rsid w:val="00AD14F9"/>
    <w:rsid w:val="00AD35D6"/>
    <w:rsid w:val="00AD58C5"/>
    <w:rsid w:val="00AD7C03"/>
    <w:rsid w:val="00AE1754"/>
    <w:rsid w:val="00AE36C4"/>
    <w:rsid w:val="00AE3C8A"/>
    <w:rsid w:val="00AE472C"/>
    <w:rsid w:val="00AE4F7E"/>
    <w:rsid w:val="00AE5375"/>
    <w:rsid w:val="00AE6CF8"/>
    <w:rsid w:val="00AF4CAC"/>
    <w:rsid w:val="00B03E0D"/>
    <w:rsid w:val="00B054F8"/>
    <w:rsid w:val="00B17639"/>
    <w:rsid w:val="00B2219A"/>
    <w:rsid w:val="00B2748A"/>
    <w:rsid w:val="00B3581B"/>
    <w:rsid w:val="00B368DF"/>
    <w:rsid w:val="00B36B81"/>
    <w:rsid w:val="00B36FEE"/>
    <w:rsid w:val="00B37C80"/>
    <w:rsid w:val="00B435C7"/>
    <w:rsid w:val="00B5092B"/>
    <w:rsid w:val="00B5194E"/>
    <w:rsid w:val="00B51AF5"/>
    <w:rsid w:val="00B531FC"/>
    <w:rsid w:val="00B55347"/>
    <w:rsid w:val="00B5571A"/>
    <w:rsid w:val="00B575B6"/>
    <w:rsid w:val="00B57E5E"/>
    <w:rsid w:val="00B615B8"/>
    <w:rsid w:val="00B61F37"/>
    <w:rsid w:val="00B669DA"/>
    <w:rsid w:val="00B70C48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9746C"/>
    <w:rsid w:val="00BA0DA2"/>
    <w:rsid w:val="00BA2981"/>
    <w:rsid w:val="00BA2BB7"/>
    <w:rsid w:val="00BA42EE"/>
    <w:rsid w:val="00BA48F9"/>
    <w:rsid w:val="00BA5D23"/>
    <w:rsid w:val="00BB0DCA"/>
    <w:rsid w:val="00BB2666"/>
    <w:rsid w:val="00BB6B80"/>
    <w:rsid w:val="00BC2579"/>
    <w:rsid w:val="00BC3773"/>
    <w:rsid w:val="00BC381A"/>
    <w:rsid w:val="00BD0962"/>
    <w:rsid w:val="00BD1EED"/>
    <w:rsid w:val="00BD2F14"/>
    <w:rsid w:val="00BD453D"/>
    <w:rsid w:val="00BD7792"/>
    <w:rsid w:val="00BE0294"/>
    <w:rsid w:val="00BF0DA2"/>
    <w:rsid w:val="00BF109C"/>
    <w:rsid w:val="00BF34FA"/>
    <w:rsid w:val="00C004B6"/>
    <w:rsid w:val="00C047A7"/>
    <w:rsid w:val="00C05DE5"/>
    <w:rsid w:val="00C16C85"/>
    <w:rsid w:val="00C20C44"/>
    <w:rsid w:val="00C33027"/>
    <w:rsid w:val="00C37667"/>
    <w:rsid w:val="00C435DB"/>
    <w:rsid w:val="00C44D73"/>
    <w:rsid w:val="00C50B42"/>
    <w:rsid w:val="00C516FF"/>
    <w:rsid w:val="00C52BFA"/>
    <w:rsid w:val="00C53AF0"/>
    <w:rsid w:val="00C53D1D"/>
    <w:rsid w:val="00C53F26"/>
    <w:rsid w:val="00C540BC"/>
    <w:rsid w:val="00C5499D"/>
    <w:rsid w:val="00C55211"/>
    <w:rsid w:val="00C64F7D"/>
    <w:rsid w:val="00C67309"/>
    <w:rsid w:val="00C74E7E"/>
    <w:rsid w:val="00C7614E"/>
    <w:rsid w:val="00C77BF1"/>
    <w:rsid w:val="00C80D60"/>
    <w:rsid w:val="00C82FBD"/>
    <w:rsid w:val="00C851E0"/>
    <w:rsid w:val="00C85267"/>
    <w:rsid w:val="00C85673"/>
    <w:rsid w:val="00C869E9"/>
    <w:rsid w:val="00C8721B"/>
    <w:rsid w:val="00C9372C"/>
    <w:rsid w:val="00C9470E"/>
    <w:rsid w:val="00C95CEB"/>
    <w:rsid w:val="00CA1054"/>
    <w:rsid w:val="00CA63EB"/>
    <w:rsid w:val="00CA69F1"/>
    <w:rsid w:val="00CB6991"/>
    <w:rsid w:val="00CC1070"/>
    <w:rsid w:val="00CC6194"/>
    <w:rsid w:val="00CC6305"/>
    <w:rsid w:val="00CC78A5"/>
    <w:rsid w:val="00CD0516"/>
    <w:rsid w:val="00CD756B"/>
    <w:rsid w:val="00CE3B95"/>
    <w:rsid w:val="00CE734F"/>
    <w:rsid w:val="00CF112E"/>
    <w:rsid w:val="00CF583C"/>
    <w:rsid w:val="00CF5F4F"/>
    <w:rsid w:val="00D02A4C"/>
    <w:rsid w:val="00D218DC"/>
    <w:rsid w:val="00D24E56"/>
    <w:rsid w:val="00D31643"/>
    <w:rsid w:val="00D31AEB"/>
    <w:rsid w:val="00D32ECD"/>
    <w:rsid w:val="00D361E4"/>
    <w:rsid w:val="00D4184A"/>
    <w:rsid w:val="00D42A8F"/>
    <w:rsid w:val="00D439F6"/>
    <w:rsid w:val="00D459C6"/>
    <w:rsid w:val="00D50729"/>
    <w:rsid w:val="00D508EA"/>
    <w:rsid w:val="00D50C19"/>
    <w:rsid w:val="00D5379E"/>
    <w:rsid w:val="00D62643"/>
    <w:rsid w:val="00D64C0F"/>
    <w:rsid w:val="00D72EFE"/>
    <w:rsid w:val="00D76227"/>
    <w:rsid w:val="00D77DF1"/>
    <w:rsid w:val="00D81149"/>
    <w:rsid w:val="00D85F2B"/>
    <w:rsid w:val="00D86AFF"/>
    <w:rsid w:val="00D95A44"/>
    <w:rsid w:val="00D95D16"/>
    <w:rsid w:val="00D97B0F"/>
    <w:rsid w:val="00D97C76"/>
    <w:rsid w:val="00DA59B0"/>
    <w:rsid w:val="00DA6944"/>
    <w:rsid w:val="00DB02B4"/>
    <w:rsid w:val="00DB0CB4"/>
    <w:rsid w:val="00DB538D"/>
    <w:rsid w:val="00DC275C"/>
    <w:rsid w:val="00DC4B0D"/>
    <w:rsid w:val="00DC7FE1"/>
    <w:rsid w:val="00DD3F3F"/>
    <w:rsid w:val="00DD503C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4D8"/>
    <w:rsid w:val="00E06CA1"/>
    <w:rsid w:val="00E06D5F"/>
    <w:rsid w:val="00E172B8"/>
    <w:rsid w:val="00E17FB4"/>
    <w:rsid w:val="00E20B75"/>
    <w:rsid w:val="00E214F2"/>
    <w:rsid w:val="00E216D5"/>
    <w:rsid w:val="00E2371E"/>
    <w:rsid w:val="00E24BD7"/>
    <w:rsid w:val="00E26523"/>
    <w:rsid w:val="00E26809"/>
    <w:rsid w:val="00E3412D"/>
    <w:rsid w:val="00E519D1"/>
    <w:rsid w:val="00E57322"/>
    <w:rsid w:val="00E57BA6"/>
    <w:rsid w:val="00E628CB"/>
    <w:rsid w:val="00E62AD9"/>
    <w:rsid w:val="00E638C8"/>
    <w:rsid w:val="00E72A4B"/>
    <w:rsid w:val="00E7509B"/>
    <w:rsid w:val="00E86590"/>
    <w:rsid w:val="00E907FF"/>
    <w:rsid w:val="00E910CE"/>
    <w:rsid w:val="00EA2CEE"/>
    <w:rsid w:val="00EA42D1"/>
    <w:rsid w:val="00EA42EF"/>
    <w:rsid w:val="00EA4D8C"/>
    <w:rsid w:val="00EA5AFE"/>
    <w:rsid w:val="00EB2DD1"/>
    <w:rsid w:val="00EB6B37"/>
    <w:rsid w:val="00EC14FE"/>
    <w:rsid w:val="00EC29FE"/>
    <w:rsid w:val="00EC3C70"/>
    <w:rsid w:val="00EC7E48"/>
    <w:rsid w:val="00ED0AD4"/>
    <w:rsid w:val="00ED1A58"/>
    <w:rsid w:val="00ED3A3D"/>
    <w:rsid w:val="00ED538A"/>
    <w:rsid w:val="00ED6FBC"/>
    <w:rsid w:val="00ED78DF"/>
    <w:rsid w:val="00EE2F16"/>
    <w:rsid w:val="00EE3861"/>
    <w:rsid w:val="00EF290C"/>
    <w:rsid w:val="00EF2E73"/>
    <w:rsid w:val="00EF5274"/>
    <w:rsid w:val="00EF6D74"/>
    <w:rsid w:val="00EF7683"/>
    <w:rsid w:val="00EF7A2D"/>
    <w:rsid w:val="00F0065F"/>
    <w:rsid w:val="00F04F8D"/>
    <w:rsid w:val="00F1053A"/>
    <w:rsid w:val="00F10AD0"/>
    <w:rsid w:val="00F116CC"/>
    <w:rsid w:val="00F12A93"/>
    <w:rsid w:val="00F12BD1"/>
    <w:rsid w:val="00F15327"/>
    <w:rsid w:val="00F158AF"/>
    <w:rsid w:val="00F168CF"/>
    <w:rsid w:val="00F2555C"/>
    <w:rsid w:val="00F26242"/>
    <w:rsid w:val="00F31DF3"/>
    <w:rsid w:val="00F33AE5"/>
    <w:rsid w:val="00F3597D"/>
    <w:rsid w:val="00F37C9E"/>
    <w:rsid w:val="00F428E6"/>
    <w:rsid w:val="00F429DA"/>
    <w:rsid w:val="00F4376D"/>
    <w:rsid w:val="00F44DEA"/>
    <w:rsid w:val="00F45399"/>
    <w:rsid w:val="00F465EA"/>
    <w:rsid w:val="00F54BC0"/>
    <w:rsid w:val="00F54E7B"/>
    <w:rsid w:val="00F55A88"/>
    <w:rsid w:val="00F61E6E"/>
    <w:rsid w:val="00F73D5F"/>
    <w:rsid w:val="00F74005"/>
    <w:rsid w:val="00F76884"/>
    <w:rsid w:val="00F80EBF"/>
    <w:rsid w:val="00F83D24"/>
    <w:rsid w:val="00F83DD9"/>
    <w:rsid w:val="00F83F40"/>
    <w:rsid w:val="00F86962"/>
    <w:rsid w:val="00F92F41"/>
    <w:rsid w:val="00F96068"/>
    <w:rsid w:val="00FA117A"/>
    <w:rsid w:val="00FA1638"/>
    <w:rsid w:val="00FB00BA"/>
    <w:rsid w:val="00FB386A"/>
    <w:rsid w:val="00FC0786"/>
    <w:rsid w:val="00FC4544"/>
    <w:rsid w:val="00FC49EF"/>
    <w:rsid w:val="00FE36E2"/>
    <w:rsid w:val="00FF11AD"/>
    <w:rsid w:val="00FF2971"/>
    <w:rsid w:val="00FF34D4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A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Wyliczanie,List Paragraph,BulletC,Listaszerű bekezdés1,List Paragraph à moi,Dot pt,F5 List Paragraph,Numbered Para 1,No Spacing1,List Paragraph Char Char Char,Indicator Text,Bullet Points,MAIN CONTENT,IFCL - 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Ppogrubienie">
    <w:name w:val="_P_ – pogrubienie"/>
    <w:basedOn w:val="Domylnaczcionkaakapitu"/>
    <w:qFormat/>
    <w:rsid w:val="00F37C9E"/>
    <w:rPr>
      <w:b/>
      <w:bCs w:val="0"/>
    </w:rPr>
  </w:style>
  <w:style w:type="paragraph" w:styleId="Poprawka">
    <w:name w:val="Revision"/>
    <w:hidden/>
    <w:uiPriority w:val="99"/>
    <w:semiHidden/>
    <w:rsid w:val="00695E63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619"/>
    <w:pPr>
      <w:spacing w:before="100" w:beforeAutospacing="1" w:after="120" w:afterAutospacing="1"/>
      <w:ind w:left="283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619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aliases w:val="Wyliczanie Znak,List Paragraph Znak,BulletC Znak,Listaszerű bekezdés1 Znak,List Paragraph à moi Znak,Dot pt Znak,F5 List Paragraph Znak,Numbered Para 1 Znak,No Spacing1 Znak,List Paragraph Char Char Char Znak,Indicator Text Znak"/>
    <w:link w:val="Akapitzlist"/>
    <w:uiPriority w:val="34"/>
    <w:qFormat/>
    <w:rsid w:val="00FB00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4483F"/>
    <w:rsid w:val="00065E7C"/>
    <w:rsid w:val="000B374B"/>
    <w:rsid w:val="000C14DD"/>
    <w:rsid w:val="000C68A0"/>
    <w:rsid w:val="00162835"/>
    <w:rsid w:val="00176B21"/>
    <w:rsid w:val="001F2675"/>
    <w:rsid w:val="00252735"/>
    <w:rsid w:val="002658AA"/>
    <w:rsid w:val="00274B90"/>
    <w:rsid w:val="002E2CE2"/>
    <w:rsid w:val="00312C30"/>
    <w:rsid w:val="0035596D"/>
    <w:rsid w:val="003E7E00"/>
    <w:rsid w:val="00485F37"/>
    <w:rsid w:val="004B3847"/>
    <w:rsid w:val="004F0D3B"/>
    <w:rsid w:val="005127DC"/>
    <w:rsid w:val="00541E30"/>
    <w:rsid w:val="00570016"/>
    <w:rsid w:val="005A1DAB"/>
    <w:rsid w:val="005E7CD9"/>
    <w:rsid w:val="00603C6D"/>
    <w:rsid w:val="00617F90"/>
    <w:rsid w:val="006250F3"/>
    <w:rsid w:val="00643318"/>
    <w:rsid w:val="00650644"/>
    <w:rsid w:val="0067026B"/>
    <w:rsid w:val="00670728"/>
    <w:rsid w:val="006A76D9"/>
    <w:rsid w:val="00747DE8"/>
    <w:rsid w:val="007A1E1E"/>
    <w:rsid w:val="007A6F30"/>
    <w:rsid w:val="007C1ABD"/>
    <w:rsid w:val="007D2A5E"/>
    <w:rsid w:val="007F29F7"/>
    <w:rsid w:val="00841516"/>
    <w:rsid w:val="00872727"/>
    <w:rsid w:val="008B6072"/>
    <w:rsid w:val="008C7CA2"/>
    <w:rsid w:val="008D7C56"/>
    <w:rsid w:val="00991B4A"/>
    <w:rsid w:val="009B747D"/>
    <w:rsid w:val="00A07F0B"/>
    <w:rsid w:val="00A178DC"/>
    <w:rsid w:val="00A21087"/>
    <w:rsid w:val="00A6361D"/>
    <w:rsid w:val="00A660B5"/>
    <w:rsid w:val="00AD20CE"/>
    <w:rsid w:val="00AD66A9"/>
    <w:rsid w:val="00AF44DC"/>
    <w:rsid w:val="00B3450F"/>
    <w:rsid w:val="00B35EE5"/>
    <w:rsid w:val="00B53F8D"/>
    <w:rsid w:val="00B752B7"/>
    <w:rsid w:val="00BD1405"/>
    <w:rsid w:val="00BD46BC"/>
    <w:rsid w:val="00BD6247"/>
    <w:rsid w:val="00C17AB3"/>
    <w:rsid w:val="00C30897"/>
    <w:rsid w:val="00C5058A"/>
    <w:rsid w:val="00CA0BCF"/>
    <w:rsid w:val="00CA4928"/>
    <w:rsid w:val="00CB207A"/>
    <w:rsid w:val="00CB5A6F"/>
    <w:rsid w:val="00CD5E8A"/>
    <w:rsid w:val="00CE5411"/>
    <w:rsid w:val="00D30E33"/>
    <w:rsid w:val="00DF5EF5"/>
    <w:rsid w:val="00E149B3"/>
    <w:rsid w:val="00E17234"/>
    <w:rsid w:val="00E71BC7"/>
    <w:rsid w:val="00E74552"/>
    <w:rsid w:val="00E948C0"/>
    <w:rsid w:val="00EB3450"/>
    <w:rsid w:val="00EF171D"/>
    <w:rsid w:val="00F06E3E"/>
    <w:rsid w:val="00F523DD"/>
    <w:rsid w:val="00F667A2"/>
    <w:rsid w:val="00FA2FD4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3143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21958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/>
  <cp:lastModifiedBy/>
  <cp:revision>1</cp:revision>
  <dcterms:created xsi:type="dcterms:W3CDTF">2021-12-03T11:04:00Z</dcterms:created>
  <dcterms:modified xsi:type="dcterms:W3CDTF">2021-12-03T11:04:00Z</dcterms:modified>
</cp:coreProperties>
</file>