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33DC" w14:textId="77777777" w:rsidR="00A81549" w:rsidRDefault="00A81549" w:rsidP="00A81549">
      <w:pPr>
        <w:tabs>
          <w:tab w:val="left" w:pos="425"/>
        </w:tabs>
        <w:spacing w:before="120"/>
        <w:ind w:left="425" w:hanging="425"/>
        <w:jc w:val="center"/>
        <w:rPr>
          <w:rFonts w:ascii="Times New Roman" w:hAnsi="Times New Roman"/>
          <w:b/>
          <w:sz w:val="24"/>
          <w:szCs w:val="24"/>
        </w:rPr>
      </w:pPr>
      <w:bookmarkStart w:id="0" w:name="_GoBack"/>
      <w:bookmarkEnd w:id="0"/>
      <w:r w:rsidRPr="009060BF">
        <w:rPr>
          <w:rFonts w:ascii="Times New Roman" w:hAnsi="Times New Roman"/>
          <w:b/>
          <w:sz w:val="24"/>
          <w:szCs w:val="24"/>
        </w:rPr>
        <w:t>UZASADNIENIE</w:t>
      </w:r>
    </w:p>
    <w:p w14:paraId="2C576EA4" w14:textId="1EEA242C" w:rsidR="00A81549" w:rsidRPr="009060BF" w:rsidRDefault="00FD5D28" w:rsidP="00A81549">
      <w:pPr>
        <w:widowControl/>
        <w:autoSpaceDE/>
        <w:autoSpaceDN/>
        <w:adjustRightInd/>
        <w:spacing w:before="120"/>
        <w:jc w:val="both"/>
        <w:rPr>
          <w:rFonts w:ascii="Times New Roman" w:hAnsi="Times New Roman"/>
          <w:sz w:val="24"/>
          <w:szCs w:val="24"/>
        </w:rPr>
      </w:pPr>
      <w:r>
        <w:rPr>
          <w:rFonts w:ascii="Times New Roman" w:hAnsi="Times New Roman"/>
          <w:sz w:val="24"/>
          <w:szCs w:val="24"/>
        </w:rPr>
        <w:t>R</w:t>
      </w:r>
      <w:r w:rsidR="00A81549" w:rsidRPr="009060BF">
        <w:rPr>
          <w:rFonts w:ascii="Times New Roman" w:hAnsi="Times New Roman"/>
          <w:sz w:val="24"/>
          <w:szCs w:val="24"/>
        </w:rPr>
        <w:t>ozporządzenie Ministra Finansów z dnia 25 kwietnia 2019 r. w sprawie szczegółowych warunków, jakie musi spełniać rynek oficjalnych notowań oraz emitenci papierów wartościowych dopuszczonych do obrotu na tym rynku (Dz. U. poz. 803) stanowi wykonanie upoważnienia</w:t>
      </w:r>
      <w:r w:rsidR="00BC71BF">
        <w:rPr>
          <w:rFonts w:ascii="Times New Roman" w:hAnsi="Times New Roman"/>
          <w:sz w:val="24"/>
          <w:szCs w:val="24"/>
        </w:rPr>
        <w:t xml:space="preserve"> ustawowego</w:t>
      </w:r>
      <w:r w:rsidR="00A81549" w:rsidRPr="009060BF">
        <w:rPr>
          <w:rFonts w:ascii="Times New Roman" w:hAnsi="Times New Roman"/>
          <w:sz w:val="24"/>
          <w:szCs w:val="24"/>
        </w:rPr>
        <w:t xml:space="preserve"> zawartego w art. 17 ust. 1 pkt 2 ustawy z dnia 29 lipca 2005 r. o obrocie instrumentami finansowymi (Dz. U. z 2021 r. poz. 328, z późn. zm.).</w:t>
      </w:r>
    </w:p>
    <w:p w14:paraId="5B9EE2E7" w14:textId="41AA2450" w:rsidR="001B0947" w:rsidRPr="009060BF" w:rsidRDefault="001B0947" w:rsidP="001B0947">
      <w:pPr>
        <w:widowControl/>
        <w:autoSpaceDE/>
        <w:autoSpaceDN/>
        <w:adjustRightInd/>
        <w:spacing w:before="120" w:after="120"/>
        <w:jc w:val="both"/>
        <w:rPr>
          <w:rFonts w:ascii="Times New Roman" w:hAnsi="Times New Roman"/>
          <w:sz w:val="24"/>
          <w:szCs w:val="24"/>
        </w:rPr>
      </w:pPr>
      <w:r w:rsidRPr="009060BF">
        <w:rPr>
          <w:rFonts w:ascii="Times New Roman" w:hAnsi="Times New Roman"/>
          <w:sz w:val="24"/>
          <w:szCs w:val="24"/>
        </w:rPr>
        <w:t>Propozycja zmiany rozporządzenia ma na celu skrócenie okresu</w:t>
      </w:r>
      <w:r w:rsidR="00B753F3">
        <w:rPr>
          <w:rFonts w:ascii="Times New Roman" w:hAnsi="Times New Roman"/>
          <w:sz w:val="24"/>
          <w:szCs w:val="24"/>
        </w:rPr>
        <w:t>, w którym emitent pozyskał w </w:t>
      </w:r>
      <w:r w:rsidRPr="001B0947">
        <w:rPr>
          <w:rFonts w:ascii="Times New Roman" w:hAnsi="Times New Roman"/>
          <w:sz w:val="24"/>
          <w:szCs w:val="24"/>
        </w:rPr>
        <w:t xml:space="preserve">wyniku </w:t>
      </w:r>
      <w:r w:rsidR="005B6A83">
        <w:rPr>
          <w:rFonts w:ascii="Times New Roman" w:hAnsi="Times New Roman"/>
          <w:sz w:val="24"/>
          <w:szCs w:val="24"/>
        </w:rPr>
        <w:t xml:space="preserve">oferty publicznej inwestorów, i </w:t>
      </w:r>
      <w:r w:rsidRPr="001B0947">
        <w:rPr>
          <w:rFonts w:ascii="Times New Roman" w:hAnsi="Times New Roman"/>
          <w:sz w:val="24"/>
          <w:szCs w:val="24"/>
        </w:rPr>
        <w:t>podejmuje działania w celu doprowadzenia do rozpoczęcia notowań akcji na giełdzie. Skrócenie czasu trwania fazy pomiędzy zakończonym przydziałem akcji a debiutem giełdowym przyczyni się do zwiększenia bezpieczeństwa dla inwestorów.</w:t>
      </w:r>
    </w:p>
    <w:p w14:paraId="73C1DCEC" w14:textId="249B674C" w:rsidR="00715D25" w:rsidRPr="009060BF" w:rsidRDefault="00715D25" w:rsidP="00715D25">
      <w:pPr>
        <w:widowControl/>
        <w:autoSpaceDE/>
        <w:autoSpaceDN/>
        <w:adjustRightInd/>
        <w:spacing w:before="120"/>
        <w:jc w:val="both"/>
        <w:rPr>
          <w:rFonts w:ascii="Times New Roman" w:hAnsi="Times New Roman"/>
          <w:sz w:val="24"/>
          <w:szCs w:val="24"/>
        </w:rPr>
      </w:pPr>
      <w:r w:rsidRPr="009060BF">
        <w:rPr>
          <w:rFonts w:ascii="Times New Roman" w:hAnsi="Times New Roman"/>
          <w:sz w:val="24"/>
          <w:szCs w:val="24"/>
        </w:rPr>
        <w:t>Projekt przewiduje</w:t>
      </w:r>
      <w:r w:rsidR="005B6A83" w:rsidRPr="005B6A83">
        <w:rPr>
          <w:rFonts w:ascii="Times New Roman" w:eastAsiaTheme="minorHAnsi" w:hAnsi="Times New Roman"/>
          <w:sz w:val="24"/>
          <w:szCs w:val="24"/>
          <w:lang w:eastAsia="en-US"/>
        </w:rPr>
        <w:t xml:space="preserve"> </w:t>
      </w:r>
      <w:r w:rsidR="00CC07FD">
        <w:rPr>
          <w:rFonts w:ascii="Times New Roman" w:eastAsiaTheme="minorHAnsi" w:hAnsi="Times New Roman"/>
          <w:sz w:val="24"/>
          <w:szCs w:val="24"/>
          <w:lang w:eastAsia="en-US"/>
        </w:rPr>
        <w:t>zmiany</w:t>
      </w:r>
      <w:r w:rsidR="005B6A83" w:rsidRPr="009060BF">
        <w:rPr>
          <w:rFonts w:ascii="Times New Roman" w:eastAsiaTheme="minorHAnsi" w:hAnsi="Times New Roman"/>
          <w:sz w:val="24"/>
          <w:szCs w:val="24"/>
          <w:lang w:eastAsia="en-US"/>
        </w:rPr>
        <w:t xml:space="preserve"> brzmienia </w:t>
      </w:r>
      <w:r w:rsidR="001E2767">
        <w:rPr>
          <w:rFonts w:ascii="Times New Roman" w:eastAsiaTheme="minorHAnsi" w:hAnsi="Times New Roman"/>
          <w:sz w:val="24"/>
          <w:szCs w:val="24"/>
          <w:lang w:eastAsia="en-US"/>
        </w:rPr>
        <w:t xml:space="preserve">w </w:t>
      </w:r>
      <w:r w:rsidR="005B6A83" w:rsidRPr="009060BF">
        <w:rPr>
          <w:rFonts w:ascii="Times New Roman" w:eastAsiaTheme="minorHAnsi" w:hAnsi="Times New Roman"/>
          <w:sz w:val="24"/>
          <w:szCs w:val="24"/>
          <w:lang w:eastAsia="en-US"/>
        </w:rPr>
        <w:t>§ 1</w:t>
      </w:r>
      <w:r w:rsidRPr="009060BF">
        <w:rPr>
          <w:rFonts w:ascii="Times New Roman" w:hAnsi="Times New Roman"/>
          <w:sz w:val="24"/>
          <w:szCs w:val="24"/>
        </w:rPr>
        <w:t>:</w:t>
      </w:r>
    </w:p>
    <w:p w14:paraId="4CFC32EC" w14:textId="6CBB781B" w:rsidR="00A81549" w:rsidRPr="009060BF" w:rsidRDefault="00715D25" w:rsidP="009060BF">
      <w:pPr>
        <w:widowControl/>
        <w:tabs>
          <w:tab w:val="left" w:pos="426"/>
        </w:tabs>
        <w:spacing w:before="60"/>
        <w:ind w:left="568" w:hanging="284"/>
        <w:jc w:val="both"/>
        <w:rPr>
          <w:rFonts w:ascii="Times New Roman" w:eastAsiaTheme="minorHAnsi" w:hAnsi="Times New Roman"/>
          <w:sz w:val="24"/>
          <w:szCs w:val="24"/>
          <w:lang w:eastAsia="en-US"/>
        </w:rPr>
      </w:pPr>
      <w:r w:rsidRPr="009060BF">
        <w:rPr>
          <w:rFonts w:ascii="Times New Roman" w:eastAsiaTheme="minorHAnsi" w:hAnsi="Times New Roman"/>
          <w:sz w:val="24"/>
          <w:szCs w:val="24"/>
          <w:lang w:eastAsia="en-US"/>
        </w:rPr>
        <w:t>1)</w:t>
      </w:r>
      <w:r w:rsidRPr="009060BF">
        <w:rPr>
          <w:rFonts w:ascii="Times New Roman" w:eastAsiaTheme="minorHAnsi" w:hAnsi="Times New Roman"/>
          <w:sz w:val="24"/>
          <w:szCs w:val="24"/>
          <w:lang w:eastAsia="en-US"/>
        </w:rPr>
        <w:tab/>
      </w:r>
      <w:r w:rsidR="005B6A83">
        <w:rPr>
          <w:rFonts w:ascii="Times New Roman" w:eastAsiaTheme="minorHAnsi" w:hAnsi="Times New Roman"/>
          <w:sz w:val="24"/>
          <w:szCs w:val="24"/>
          <w:lang w:eastAsia="en-US"/>
        </w:rPr>
        <w:t>w</w:t>
      </w:r>
      <w:r w:rsidR="005B6A83" w:rsidRPr="009060BF">
        <w:rPr>
          <w:rFonts w:ascii="Times New Roman" w:eastAsiaTheme="minorHAnsi" w:hAnsi="Times New Roman"/>
          <w:sz w:val="24"/>
          <w:szCs w:val="24"/>
          <w:lang w:eastAsia="en-US"/>
        </w:rPr>
        <w:t xml:space="preserve"> </w:t>
      </w:r>
      <w:r w:rsidRPr="009060BF">
        <w:rPr>
          <w:rFonts w:ascii="Times New Roman" w:eastAsiaTheme="minorHAnsi" w:hAnsi="Times New Roman"/>
          <w:sz w:val="24"/>
          <w:szCs w:val="24"/>
          <w:lang w:eastAsia="en-US"/>
        </w:rPr>
        <w:t>ust</w:t>
      </w:r>
      <w:r w:rsidR="005D7C6A" w:rsidRPr="009060BF">
        <w:rPr>
          <w:rFonts w:ascii="Times New Roman" w:eastAsiaTheme="minorHAnsi" w:hAnsi="Times New Roman"/>
          <w:sz w:val="24"/>
          <w:szCs w:val="24"/>
          <w:lang w:eastAsia="en-US"/>
        </w:rPr>
        <w:t>. 1 pkt 5 i ust. 2 dotyczących rozproszenia akcji</w:t>
      </w:r>
      <w:r w:rsidR="009060BF">
        <w:rPr>
          <w:rFonts w:ascii="Times New Roman" w:eastAsiaTheme="minorHAnsi" w:hAnsi="Times New Roman"/>
          <w:sz w:val="24"/>
          <w:szCs w:val="24"/>
          <w:lang w:eastAsia="en-US"/>
        </w:rPr>
        <w:t>, tak aby</w:t>
      </w:r>
      <w:r w:rsidR="00A81549" w:rsidRPr="009060BF">
        <w:rPr>
          <w:rFonts w:ascii="Times New Roman" w:eastAsiaTheme="minorHAnsi" w:hAnsi="Times New Roman"/>
          <w:sz w:val="24"/>
          <w:szCs w:val="24"/>
          <w:lang w:eastAsia="en-US"/>
        </w:rPr>
        <w:t xml:space="preserve"> weryfikacja free float odbywała się według przewidywanego stanu posiadania akcji najpóźniej w pierwszym dniu notowań, a nie według stanu posiadania na dzień złożenia wniosku o dopuszczenie akcji do obrotu</w:t>
      </w:r>
      <w:r w:rsidR="005B6A83">
        <w:rPr>
          <w:rFonts w:ascii="Times New Roman" w:eastAsiaTheme="minorHAnsi" w:hAnsi="Times New Roman"/>
          <w:sz w:val="24"/>
          <w:szCs w:val="24"/>
          <w:lang w:eastAsia="en-US"/>
        </w:rPr>
        <w:t>. Z</w:t>
      </w:r>
      <w:r w:rsidR="00A81549" w:rsidRPr="009060BF">
        <w:rPr>
          <w:rFonts w:ascii="Times New Roman" w:eastAsiaTheme="minorHAnsi" w:hAnsi="Times New Roman"/>
          <w:sz w:val="24"/>
          <w:szCs w:val="24"/>
          <w:lang w:eastAsia="en-US"/>
        </w:rPr>
        <w:t xml:space="preserve"> różnych przyczyn stan posiadania akcji nie jest jeszcze ustalony w dniu złożenia wniosku o dopuszczenie do obrotu (np. w związku z wydłużającym się procesem opłacania akcji przez inwestorów instytucjonalnych zagranicznych, czy oczekiwaniem na rejestrację podwyższenia):</w:t>
      </w:r>
      <w:r w:rsidR="005E0067">
        <w:rPr>
          <w:rFonts w:ascii="Times New Roman" w:eastAsiaTheme="minorHAnsi" w:hAnsi="Times New Roman"/>
          <w:sz w:val="24"/>
          <w:szCs w:val="24"/>
          <w:lang w:eastAsia="en-US"/>
        </w:rPr>
        <w:t xml:space="preserve"> </w:t>
      </w:r>
    </w:p>
    <w:p w14:paraId="298D362E" w14:textId="27E1AB96" w:rsidR="009060BF" w:rsidRPr="009060BF" w:rsidRDefault="00A81549" w:rsidP="0096649F">
      <w:pPr>
        <w:widowControl/>
        <w:spacing w:before="60"/>
        <w:ind w:left="851" w:hanging="284"/>
        <w:jc w:val="both"/>
        <w:rPr>
          <w:rFonts w:ascii="Times New Roman" w:eastAsiaTheme="minorHAnsi" w:hAnsi="Times New Roman"/>
          <w:sz w:val="24"/>
          <w:szCs w:val="24"/>
          <w:lang w:eastAsia="en-US"/>
        </w:rPr>
      </w:pPr>
      <w:r w:rsidRPr="009060BF">
        <w:rPr>
          <w:rFonts w:ascii="Times New Roman" w:eastAsiaTheme="minorHAnsi" w:hAnsi="Times New Roman"/>
          <w:sz w:val="24"/>
          <w:szCs w:val="24"/>
          <w:lang w:eastAsia="en-US"/>
        </w:rPr>
        <w:t>–</w:t>
      </w:r>
      <w:r w:rsidRPr="009060BF">
        <w:rPr>
          <w:rFonts w:ascii="Times New Roman" w:eastAsiaTheme="minorHAnsi" w:hAnsi="Times New Roman"/>
          <w:sz w:val="24"/>
          <w:szCs w:val="24"/>
          <w:lang w:eastAsia="en-US"/>
        </w:rPr>
        <w:tab/>
        <w:t>z punktu widzenia bezpieczeństwa obrotu istotnym jest, aby free float był odpowiedni w chwili rozpoczęcia notowań</w:t>
      </w:r>
      <w:r w:rsidR="0096649F">
        <w:rPr>
          <w:rFonts w:ascii="Times New Roman" w:eastAsiaTheme="minorHAnsi" w:hAnsi="Times New Roman"/>
          <w:sz w:val="24"/>
          <w:szCs w:val="24"/>
          <w:lang w:eastAsia="en-US"/>
        </w:rPr>
        <w:t>.</w:t>
      </w:r>
      <w:r w:rsidRPr="009060BF">
        <w:rPr>
          <w:rFonts w:ascii="Times New Roman" w:eastAsiaTheme="minorHAnsi" w:hAnsi="Times New Roman"/>
          <w:sz w:val="24"/>
          <w:szCs w:val="24"/>
          <w:lang w:eastAsia="en-US"/>
        </w:rPr>
        <w:t xml:space="preserve"> </w:t>
      </w:r>
      <w:r w:rsidR="0096649F">
        <w:rPr>
          <w:rFonts w:ascii="Times New Roman" w:eastAsiaTheme="minorHAnsi" w:hAnsi="Times New Roman"/>
          <w:sz w:val="24"/>
          <w:szCs w:val="24"/>
          <w:lang w:eastAsia="en-US"/>
        </w:rPr>
        <w:t>W</w:t>
      </w:r>
      <w:r w:rsidRPr="009060BF">
        <w:rPr>
          <w:rFonts w:ascii="Times New Roman" w:eastAsiaTheme="minorHAnsi" w:hAnsi="Times New Roman"/>
          <w:sz w:val="24"/>
          <w:szCs w:val="24"/>
          <w:lang w:eastAsia="en-US"/>
        </w:rPr>
        <w:t xml:space="preserve"> </w:t>
      </w:r>
      <w:r w:rsidR="00EC14B7">
        <w:rPr>
          <w:rFonts w:ascii="Times New Roman" w:eastAsiaTheme="minorHAnsi" w:hAnsi="Times New Roman"/>
          <w:sz w:val="24"/>
          <w:szCs w:val="24"/>
          <w:lang w:eastAsia="en-US"/>
        </w:rPr>
        <w:t>związku z tym</w:t>
      </w:r>
      <w:r w:rsidRPr="009060BF">
        <w:rPr>
          <w:rFonts w:ascii="Times New Roman" w:eastAsiaTheme="minorHAnsi" w:hAnsi="Times New Roman"/>
          <w:sz w:val="24"/>
          <w:szCs w:val="24"/>
          <w:lang w:eastAsia="en-US"/>
        </w:rPr>
        <w:t xml:space="preserve"> obowiązek weryfikacji free float wyłącznie </w:t>
      </w:r>
      <w:r w:rsidR="005B6A83" w:rsidRPr="009060BF">
        <w:rPr>
          <w:rFonts w:ascii="Times New Roman" w:eastAsiaTheme="minorHAnsi" w:hAnsi="Times New Roman"/>
          <w:sz w:val="24"/>
          <w:szCs w:val="24"/>
          <w:lang w:eastAsia="en-US"/>
        </w:rPr>
        <w:t xml:space="preserve">w oparciu </w:t>
      </w:r>
      <w:r w:rsidRPr="009060BF">
        <w:rPr>
          <w:rFonts w:ascii="Times New Roman" w:eastAsiaTheme="minorHAnsi" w:hAnsi="Times New Roman"/>
          <w:sz w:val="24"/>
          <w:szCs w:val="24"/>
          <w:lang w:eastAsia="en-US"/>
        </w:rPr>
        <w:t xml:space="preserve">o stan posiadania </w:t>
      </w:r>
      <w:r w:rsidR="005B6A83">
        <w:rPr>
          <w:rFonts w:ascii="Times New Roman" w:eastAsiaTheme="minorHAnsi" w:hAnsi="Times New Roman"/>
          <w:sz w:val="24"/>
          <w:szCs w:val="24"/>
          <w:lang w:eastAsia="en-US"/>
        </w:rPr>
        <w:t xml:space="preserve">akcji </w:t>
      </w:r>
      <w:r w:rsidRPr="009060BF">
        <w:rPr>
          <w:rFonts w:ascii="Times New Roman" w:eastAsiaTheme="minorHAnsi" w:hAnsi="Times New Roman"/>
          <w:sz w:val="24"/>
          <w:szCs w:val="24"/>
          <w:lang w:eastAsia="en-US"/>
        </w:rPr>
        <w:t xml:space="preserve">w dniu złożenia wniosku o dopuszczenie do obrotu </w:t>
      </w:r>
      <w:r w:rsidR="005B6A83">
        <w:rPr>
          <w:rFonts w:ascii="Times New Roman" w:eastAsiaTheme="minorHAnsi" w:hAnsi="Times New Roman"/>
          <w:sz w:val="24"/>
          <w:szCs w:val="24"/>
          <w:lang w:eastAsia="en-US"/>
        </w:rPr>
        <w:t>wydaje się</w:t>
      </w:r>
      <w:r w:rsidRPr="009060BF">
        <w:rPr>
          <w:rFonts w:ascii="Times New Roman" w:eastAsiaTheme="minorHAnsi" w:hAnsi="Times New Roman"/>
          <w:sz w:val="24"/>
          <w:szCs w:val="24"/>
          <w:lang w:eastAsia="en-US"/>
        </w:rPr>
        <w:t xml:space="preserve"> </w:t>
      </w:r>
      <w:r w:rsidR="0096649F">
        <w:rPr>
          <w:rFonts w:ascii="Times New Roman" w:eastAsiaTheme="minorHAnsi" w:hAnsi="Times New Roman"/>
          <w:sz w:val="24"/>
          <w:szCs w:val="24"/>
          <w:lang w:eastAsia="en-US"/>
        </w:rPr>
        <w:t>niewłaściwym</w:t>
      </w:r>
      <w:r w:rsidRPr="009060BF">
        <w:rPr>
          <w:rFonts w:ascii="Times New Roman" w:eastAsiaTheme="minorHAnsi" w:hAnsi="Times New Roman"/>
          <w:sz w:val="24"/>
          <w:szCs w:val="24"/>
          <w:lang w:eastAsia="en-US"/>
        </w:rPr>
        <w:t xml:space="preserve"> rozwiązaniem</w:t>
      </w:r>
      <w:r w:rsidR="0096649F">
        <w:rPr>
          <w:rFonts w:ascii="Times New Roman" w:eastAsiaTheme="minorHAnsi" w:hAnsi="Times New Roman"/>
          <w:sz w:val="24"/>
          <w:szCs w:val="24"/>
          <w:lang w:eastAsia="en-US"/>
        </w:rPr>
        <w:t xml:space="preserve">. Należy przy tym zauważyć, że </w:t>
      </w:r>
      <w:r w:rsidRPr="009060BF">
        <w:rPr>
          <w:rFonts w:ascii="Times New Roman" w:eastAsiaTheme="minorHAnsi" w:hAnsi="Times New Roman"/>
          <w:sz w:val="24"/>
          <w:szCs w:val="24"/>
          <w:lang w:eastAsia="en-US"/>
        </w:rPr>
        <w:t>zgodnie z art. 48 ust. 1 dyrektywy 2001/34/WE</w:t>
      </w:r>
      <w:r w:rsidR="0096649F" w:rsidRPr="0096649F">
        <w:rPr>
          <w:rFonts w:ascii="Times New Roman" w:eastAsiaTheme="minorHAnsi" w:hAnsi="Times New Roman"/>
          <w:sz w:val="24"/>
          <w:szCs w:val="24"/>
          <w:lang w:eastAsia="en-US"/>
        </w:rPr>
        <w:t xml:space="preserve"> </w:t>
      </w:r>
      <w:r w:rsidR="0096649F" w:rsidRPr="009060BF">
        <w:rPr>
          <w:rFonts w:ascii="Times New Roman" w:eastAsiaTheme="minorHAnsi" w:hAnsi="Times New Roman"/>
          <w:sz w:val="24"/>
          <w:szCs w:val="24"/>
          <w:lang w:eastAsia="en-US"/>
        </w:rPr>
        <w:t xml:space="preserve">Parlamentu Europejskiego i Rady z dnia 28 maja 2001 r. </w:t>
      </w:r>
      <w:r w:rsidR="00FF08B9">
        <w:rPr>
          <w:rFonts w:ascii="Times New Roman" w:eastAsiaTheme="minorHAnsi" w:hAnsi="Times New Roman"/>
          <w:sz w:val="24"/>
          <w:szCs w:val="24"/>
          <w:lang w:eastAsia="en-US"/>
        </w:rPr>
        <w:t xml:space="preserve">w </w:t>
      </w:r>
      <w:r w:rsidR="0096649F" w:rsidRPr="009060BF">
        <w:rPr>
          <w:rFonts w:ascii="Times New Roman" w:eastAsiaTheme="minorHAnsi" w:hAnsi="Times New Roman"/>
          <w:sz w:val="24"/>
          <w:szCs w:val="24"/>
          <w:lang w:eastAsia="en-US"/>
        </w:rPr>
        <w:t xml:space="preserve">sprawie dopuszczenia papierów wartościowych do publicznego obrotu giełdowego oraz informacji dotyczących tych papierów wartościowych, które </w:t>
      </w:r>
      <w:r w:rsidR="00B753F3">
        <w:rPr>
          <w:rFonts w:ascii="Times New Roman" w:eastAsiaTheme="minorHAnsi" w:hAnsi="Times New Roman"/>
          <w:sz w:val="24"/>
          <w:szCs w:val="24"/>
          <w:lang w:eastAsia="en-US"/>
        </w:rPr>
        <w:t>podlegają publikacji (Dz. Urz. U</w:t>
      </w:r>
      <w:r w:rsidR="0096649F" w:rsidRPr="009060BF">
        <w:rPr>
          <w:rFonts w:ascii="Times New Roman" w:eastAsiaTheme="minorHAnsi" w:hAnsi="Times New Roman"/>
          <w:sz w:val="24"/>
          <w:szCs w:val="24"/>
          <w:lang w:eastAsia="en-US"/>
        </w:rPr>
        <w:t>E L 184 z 06.07.2001, str. 1 – Dz. Urz. UE Polskie wydanie specjalne rozdz. 6, t. 4, str. 24, z późn. zm.)</w:t>
      </w:r>
      <w:r w:rsidRPr="009060BF">
        <w:rPr>
          <w:rFonts w:ascii="Times New Roman" w:eastAsiaTheme="minorHAnsi" w:hAnsi="Times New Roman"/>
          <w:sz w:val="24"/>
          <w:szCs w:val="24"/>
          <w:lang w:eastAsia="en-US"/>
        </w:rPr>
        <w:t xml:space="preserve">, warunek rozproszenia akcji musi zostać spełniony nie później niż w momencie dopuszczenia do obrotu, przy czym dyrektywa ta nie odróżnia dopuszczenia do obrotu od rozpoczęcia notowania danymi papierami wartościowymi, czyli wprowadzenia do obrotu. W polskim ustawodawstwie obowiązuje natomiast dwustopniowy proces dopuszczania papierów wartościowych do obrotu na rynku regulowanym (dopuszczenie i wprowadzenie). Biorąc pod uwagę powyższy fakt oraz brzmienie dyrektywy 2001/34/WE należałoby uznać, że podejmując decyzję o dopuszczeniu do obrotu, </w:t>
      </w:r>
      <w:r w:rsidR="00EC14B7">
        <w:rPr>
          <w:rFonts w:ascii="Times New Roman" w:eastAsiaTheme="minorHAnsi" w:hAnsi="Times New Roman"/>
          <w:sz w:val="24"/>
          <w:szCs w:val="24"/>
          <w:lang w:eastAsia="en-US"/>
        </w:rPr>
        <w:t xml:space="preserve">giełda </w:t>
      </w:r>
      <w:r w:rsidRPr="009060BF">
        <w:rPr>
          <w:rFonts w:ascii="Times New Roman" w:eastAsiaTheme="minorHAnsi" w:hAnsi="Times New Roman"/>
          <w:sz w:val="24"/>
          <w:szCs w:val="24"/>
          <w:lang w:eastAsia="en-US"/>
        </w:rPr>
        <w:t>powinna zweryfikować, czy warunek rozproszenia będzie spełniony w dniu rozpoczęcia notowań akcji danej spółki,</w:t>
      </w:r>
    </w:p>
    <w:p w14:paraId="1B9C2787" w14:textId="218D2856" w:rsidR="00A81549" w:rsidRPr="009060BF" w:rsidRDefault="00A81549" w:rsidP="009060BF">
      <w:pPr>
        <w:widowControl/>
        <w:spacing w:before="60"/>
        <w:ind w:left="851" w:hanging="284"/>
        <w:jc w:val="both"/>
        <w:rPr>
          <w:rFonts w:ascii="Times New Roman" w:eastAsiaTheme="minorHAnsi" w:hAnsi="Times New Roman"/>
          <w:sz w:val="24"/>
          <w:szCs w:val="24"/>
          <w:lang w:eastAsia="en-US"/>
        </w:rPr>
      </w:pPr>
      <w:r w:rsidRPr="009060BF">
        <w:rPr>
          <w:rFonts w:ascii="Times New Roman" w:eastAsiaTheme="minorHAnsi" w:hAnsi="Times New Roman"/>
          <w:sz w:val="24"/>
          <w:szCs w:val="24"/>
          <w:lang w:eastAsia="en-US"/>
        </w:rPr>
        <w:t>–</w:t>
      </w:r>
      <w:r w:rsidRPr="009060BF">
        <w:rPr>
          <w:rFonts w:ascii="Times New Roman" w:eastAsiaTheme="minorHAnsi" w:hAnsi="Times New Roman"/>
          <w:sz w:val="24"/>
          <w:szCs w:val="24"/>
          <w:lang w:eastAsia="en-US"/>
        </w:rPr>
        <w:tab/>
        <w:t>giełda, dokonując oceny czy rozproszenie dopuszczanych do obrotu akcji zapewni płynność obrotu, powinna brać pod uwagę akcje będące w posiadaniu dotychczasowych akcjonariuszy, akcje objęte w ramach subskrypcji, jak i akcje skutecznie objęte przez inwestorów w ramach sprzedaży na podstawie pierwszej oferty publicznej. Zgodnie z art. 48 ust. 5 dyrektywy 2001/34/WE „Liczbę rozprowadzonych akcji uważa się za wystarczającą, gdy w przypadku akcji, o których dopuszczenie do publicznego obrotu został złożony wniosek, w rękach inwestorów znajduje się przynajmniej 25% kapitału subskrybowanego reprezentowanego przez dany rodzaj akcji albo, gdy ze względu na dużą liczbę akcji tego samego rodzaju i ich zakres dystrybucji, rynek będzie funkcjonował prawidłowo przy mniejszym udziale procentowym.”</w:t>
      </w:r>
      <w:r w:rsidR="005B6A83">
        <w:rPr>
          <w:rFonts w:ascii="Times New Roman" w:eastAsiaTheme="minorHAnsi" w:hAnsi="Times New Roman"/>
          <w:sz w:val="24"/>
          <w:szCs w:val="24"/>
          <w:lang w:eastAsia="en-US"/>
        </w:rPr>
        <w:t>.</w:t>
      </w:r>
      <w:r w:rsidR="009060BF">
        <w:rPr>
          <w:rFonts w:ascii="Times New Roman" w:eastAsiaTheme="minorHAnsi" w:hAnsi="Times New Roman"/>
          <w:sz w:val="24"/>
          <w:szCs w:val="24"/>
          <w:lang w:eastAsia="en-US"/>
        </w:rPr>
        <w:t xml:space="preserve"> </w:t>
      </w:r>
      <w:r w:rsidRPr="009060BF">
        <w:rPr>
          <w:rFonts w:ascii="Times New Roman" w:eastAsiaTheme="minorHAnsi" w:hAnsi="Times New Roman"/>
          <w:sz w:val="24"/>
          <w:szCs w:val="24"/>
          <w:lang w:eastAsia="en-US"/>
        </w:rPr>
        <w:t xml:space="preserve">Jak wynika z literalnego brzmienia tego przepisu na dzień </w:t>
      </w:r>
      <w:r w:rsidRPr="009060BF">
        <w:rPr>
          <w:rFonts w:ascii="Times New Roman" w:eastAsiaTheme="minorHAnsi" w:hAnsi="Times New Roman"/>
          <w:sz w:val="24"/>
          <w:szCs w:val="24"/>
          <w:lang w:eastAsia="en-US"/>
        </w:rPr>
        <w:lastRenderedPageBreak/>
        <w:t>podejmowania decyzji o dopuszczeniu wystarczy zatem, żeby akcje wliczane do free float zostały przez inwestorów objęte (przydzielone inwestorom), czyli by znajdowały się „w ich rękach” (w tym miejscu dyrektywa nie odnosi się do wymogu faktycznego posiad</w:t>
      </w:r>
      <w:r w:rsidR="00D338CA">
        <w:rPr>
          <w:rFonts w:ascii="Times New Roman" w:eastAsiaTheme="minorHAnsi" w:hAnsi="Times New Roman"/>
          <w:sz w:val="24"/>
          <w:szCs w:val="24"/>
          <w:lang w:eastAsia="en-US"/>
        </w:rPr>
        <w:t>ania akcji przez akcjonariuszy);</w:t>
      </w:r>
    </w:p>
    <w:p w14:paraId="50A52714" w14:textId="51C379CF" w:rsidR="00A81549" w:rsidRPr="009060BF" w:rsidRDefault="005D7C6A" w:rsidP="00A81549">
      <w:pPr>
        <w:widowControl/>
        <w:tabs>
          <w:tab w:val="left" w:pos="426"/>
        </w:tabs>
        <w:spacing w:before="60"/>
        <w:ind w:left="568" w:hanging="284"/>
        <w:jc w:val="both"/>
        <w:rPr>
          <w:rFonts w:ascii="Times New Roman" w:eastAsiaTheme="minorHAnsi" w:hAnsi="Times New Roman"/>
          <w:sz w:val="24"/>
          <w:szCs w:val="24"/>
          <w:lang w:eastAsia="en-US"/>
        </w:rPr>
      </w:pPr>
      <w:r w:rsidRPr="009060BF">
        <w:rPr>
          <w:rFonts w:ascii="Times New Roman" w:eastAsiaTheme="minorHAnsi" w:hAnsi="Times New Roman"/>
          <w:sz w:val="24"/>
          <w:szCs w:val="24"/>
          <w:lang w:eastAsia="en-US"/>
        </w:rPr>
        <w:t>2)</w:t>
      </w:r>
      <w:r w:rsidRPr="009060BF">
        <w:rPr>
          <w:rFonts w:ascii="Times New Roman" w:eastAsiaTheme="minorHAnsi" w:hAnsi="Times New Roman"/>
          <w:sz w:val="24"/>
          <w:szCs w:val="24"/>
          <w:lang w:eastAsia="en-US"/>
        </w:rPr>
        <w:tab/>
      </w:r>
      <w:r w:rsidR="0059009E">
        <w:rPr>
          <w:rFonts w:ascii="Times New Roman" w:eastAsiaTheme="minorHAnsi" w:hAnsi="Times New Roman"/>
          <w:sz w:val="24"/>
          <w:szCs w:val="24"/>
          <w:lang w:eastAsia="en-US"/>
        </w:rPr>
        <w:t xml:space="preserve">modyfikacja </w:t>
      </w:r>
      <w:r w:rsidR="00C8393C">
        <w:rPr>
          <w:rFonts w:ascii="Times New Roman" w:eastAsiaTheme="minorHAnsi" w:hAnsi="Times New Roman"/>
          <w:sz w:val="24"/>
          <w:szCs w:val="24"/>
          <w:lang w:eastAsia="en-US"/>
        </w:rPr>
        <w:t>wyjąt</w:t>
      </w:r>
      <w:r w:rsidR="00A81549" w:rsidRPr="009060BF">
        <w:rPr>
          <w:rFonts w:ascii="Times New Roman" w:eastAsiaTheme="minorHAnsi" w:hAnsi="Times New Roman"/>
          <w:sz w:val="24"/>
          <w:szCs w:val="24"/>
          <w:lang w:eastAsia="en-US"/>
        </w:rPr>
        <w:t>k</w:t>
      </w:r>
      <w:r w:rsidR="00C8393C">
        <w:rPr>
          <w:rFonts w:ascii="Times New Roman" w:eastAsiaTheme="minorHAnsi" w:hAnsi="Times New Roman"/>
          <w:sz w:val="24"/>
          <w:szCs w:val="24"/>
          <w:lang w:eastAsia="en-US"/>
        </w:rPr>
        <w:t>u</w:t>
      </w:r>
      <w:r w:rsidR="00A81549" w:rsidRPr="009060BF">
        <w:rPr>
          <w:rFonts w:ascii="Times New Roman" w:eastAsiaTheme="minorHAnsi" w:hAnsi="Times New Roman"/>
          <w:sz w:val="24"/>
          <w:szCs w:val="24"/>
          <w:lang w:eastAsia="en-US"/>
        </w:rPr>
        <w:t xml:space="preserve"> od wymogu spełnienia warunku minimalnego </w:t>
      </w:r>
      <w:r w:rsidR="00C8393C">
        <w:rPr>
          <w:rFonts w:ascii="Times New Roman" w:eastAsiaTheme="minorHAnsi" w:hAnsi="Times New Roman"/>
          <w:sz w:val="24"/>
          <w:szCs w:val="24"/>
          <w:lang w:eastAsia="en-US"/>
        </w:rPr>
        <w:t>rozproszenia akcji</w:t>
      </w:r>
      <w:r w:rsidR="0059009E">
        <w:rPr>
          <w:rFonts w:ascii="Times New Roman" w:eastAsiaTheme="minorHAnsi" w:hAnsi="Times New Roman"/>
          <w:sz w:val="24"/>
          <w:szCs w:val="24"/>
          <w:lang w:eastAsia="en-US"/>
        </w:rPr>
        <w:t>, przewidzianego w</w:t>
      </w:r>
      <w:r w:rsidR="0059009E" w:rsidRPr="0059009E">
        <w:rPr>
          <w:rFonts w:ascii="Times New Roman" w:eastAsiaTheme="minorHAnsi" w:hAnsi="Times New Roman"/>
          <w:sz w:val="24"/>
          <w:szCs w:val="24"/>
          <w:lang w:eastAsia="en-US"/>
        </w:rPr>
        <w:t xml:space="preserve"> </w:t>
      </w:r>
      <w:r w:rsidR="0059009E">
        <w:rPr>
          <w:rFonts w:ascii="Times New Roman" w:eastAsiaTheme="minorHAnsi" w:hAnsi="Times New Roman"/>
          <w:sz w:val="24"/>
          <w:szCs w:val="24"/>
          <w:lang w:eastAsia="en-US"/>
        </w:rPr>
        <w:t>ust. 5 pkt 2</w:t>
      </w:r>
      <w:r w:rsidR="00C8393C">
        <w:rPr>
          <w:rFonts w:ascii="Times New Roman" w:eastAsiaTheme="minorHAnsi" w:hAnsi="Times New Roman"/>
          <w:sz w:val="24"/>
          <w:szCs w:val="24"/>
          <w:lang w:eastAsia="en-US"/>
        </w:rPr>
        <w:t xml:space="preserve">, </w:t>
      </w:r>
      <w:r w:rsidR="0059009E">
        <w:rPr>
          <w:rFonts w:ascii="Times New Roman" w:eastAsiaTheme="minorHAnsi" w:hAnsi="Times New Roman"/>
          <w:sz w:val="24"/>
          <w:szCs w:val="24"/>
          <w:lang w:eastAsia="en-US"/>
        </w:rPr>
        <w:t xml:space="preserve">przez objęcie tym wyjątkiem również </w:t>
      </w:r>
      <w:r w:rsidR="00A81549" w:rsidRPr="009060BF">
        <w:rPr>
          <w:rFonts w:ascii="Times New Roman" w:eastAsiaTheme="minorHAnsi" w:hAnsi="Times New Roman"/>
          <w:sz w:val="24"/>
          <w:szCs w:val="24"/>
          <w:lang w:eastAsia="en-US"/>
        </w:rPr>
        <w:t>emitentów debiutujących na rynku:</w:t>
      </w:r>
    </w:p>
    <w:p w14:paraId="6AD91D94" w14:textId="3588198E" w:rsidR="00A81549" w:rsidRPr="009060BF" w:rsidRDefault="00A81549" w:rsidP="00A81549">
      <w:pPr>
        <w:widowControl/>
        <w:spacing w:before="60"/>
        <w:ind w:left="851" w:hanging="284"/>
        <w:jc w:val="both"/>
        <w:rPr>
          <w:rFonts w:ascii="Times New Roman" w:eastAsiaTheme="minorHAnsi" w:hAnsi="Times New Roman"/>
          <w:sz w:val="24"/>
          <w:szCs w:val="24"/>
          <w:lang w:eastAsia="en-US"/>
        </w:rPr>
      </w:pPr>
      <w:r w:rsidRPr="009060BF">
        <w:rPr>
          <w:rFonts w:ascii="Times New Roman" w:eastAsiaTheme="minorHAnsi" w:hAnsi="Times New Roman"/>
          <w:sz w:val="24"/>
          <w:szCs w:val="24"/>
          <w:lang w:eastAsia="en-US"/>
        </w:rPr>
        <w:t>–</w:t>
      </w:r>
      <w:r w:rsidRPr="009060BF">
        <w:rPr>
          <w:rFonts w:ascii="Times New Roman" w:eastAsiaTheme="minorHAnsi" w:hAnsi="Times New Roman"/>
          <w:sz w:val="24"/>
          <w:szCs w:val="24"/>
          <w:lang w:eastAsia="en-US"/>
        </w:rPr>
        <w:tab/>
        <w:t xml:space="preserve">wprowadzenie </w:t>
      </w:r>
      <w:r w:rsidR="005C514D">
        <w:rPr>
          <w:rFonts w:ascii="Times New Roman" w:eastAsiaTheme="minorHAnsi" w:hAnsi="Times New Roman"/>
          <w:sz w:val="24"/>
          <w:szCs w:val="24"/>
          <w:lang w:eastAsia="en-US"/>
        </w:rPr>
        <w:t xml:space="preserve">tego </w:t>
      </w:r>
      <w:r w:rsidRPr="009060BF">
        <w:rPr>
          <w:rFonts w:ascii="Times New Roman" w:eastAsiaTheme="minorHAnsi" w:hAnsi="Times New Roman"/>
          <w:sz w:val="24"/>
          <w:szCs w:val="24"/>
          <w:lang w:eastAsia="en-US"/>
        </w:rPr>
        <w:t>wyjątku pozwoli na dopuszczenie do obrotu na rynku oficjalnych notowań akcji spółki, która nie posiada jeszcze akcji dopuszczonych do takiego obrotu, a rozproszenie akcji objętych wnioskiem istniejące bądź przewidywane na dzień pierwszego notowania nie osiąga/nie osiągnie wartości określonych w § 1 ust. 2 rozporządzenia,</w:t>
      </w:r>
    </w:p>
    <w:p w14:paraId="7EEA580B" w14:textId="454C0600" w:rsidR="00A81549" w:rsidRPr="009060BF" w:rsidRDefault="00A81549" w:rsidP="00A81549">
      <w:pPr>
        <w:widowControl/>
        <w:spacing w:before="60"/>
        <w:ind w:left="851" w:hanging="284"/>
        <w:jc w:val="both"/>
        <w:rPr>
          <w:rFonts w:ascii="Times New Roman" w:eastAsiaTheme="minorHAnsi" w:hAnsi="Times New Roman"/>
          <w:sz w:val="24"/>
          <w:szCs w:val="24"/>
          <w:lang w:eastAsia="en-US"/>
        </w:rPr>
      </w:pPr>
      <w:r w:rsidRPr="009060BF">
        <w:rPr>
          <w:rFonts w:ascii="Times New Roman" w:eastAsiaTheme="minorHAnsi" w:hAnsi="Times New Roman"/>
          <w:sz w:val="24"/>
          <w:szCs w:val="24"/>
          <w:lang w:eastAsia="en-US"/>
        </w:rPr>
        <w:t>–</w:t>
      </w:r>
      <w:r w:rsidRPr="009060BF">
        <w:rPr>
          <w:rFonts w:ascii="Times New Roman" w:eastAsiaTheme="minorHAnsi" w:hAnsi="Times New Roman"/>
          <w:sz w:val="24"/>
          <w:szCs w:val="24"/>
          <w:lang w:eastAsia="en-US"/>
        </w:rPr>
        <w:tab/>
        <w:t xml:space="preserve">dopuszczenie akcji do obrotu na rynku oficjalnych notowań w takim przypadku byłoby możliwe, jeżeli liczba akcji objętych wnioskiem oraz sposób przeprowadzenia ich subskrypcji lub sprzedaży pozwoli uznać </w:t>
      </w:r>
      <w:r w:rsidR="005C514D" w:rsidRPr="005C514D">
        <w:rPr>
          <w:rFonts w:ascii="Times New Roman" w:eastAsiaTheme="minorHAnsi" w:hAnsi="Times New Roman"/>
          <w:sz w:val="24"/>
          <w:szCs w:val="24"/>
          <w:lang w:eastAsia="en-US"/>
        </w:rPr>
        <w:t>właściwemu organowi spółki prowadzącej rynek oficjalnych notowań</w:t>
      </w:r>
      <w:r w:rsidRPr="009060BF">
        <w:rPr>
          <w:rFonts w:ascii="Times New Roman" w:eastAsiaTheme="minorHAnsi" w:hAnsi="Times New Roman"/>
          <w:sz w:val="24"/>
          <w:szCs w:val="24"/>
          <w:lang w:eastAsia="en-US"/>
        </w:rPr>
        <w:t xml:space="preserve">, że obrót tymi akcjami na </w:t>
      </w:r>
      <w:r w:rsidR="005C514D">
        <w:rPr>
          <w:rFonts w:ascii="Times New Roman" w:eastAsiaTheme="minorHAnsi" w:hAnsi="Times New Roman"/>
          <w:sz w:val="24"/>
          <w:szCs w:val="24"/>
          <w:lang w:eastAsia="en-US"/>
        </w:rPr>
        <w:t xml:space="preserve">tym </w:t>
      </w:r>
      <w:r w:rsidRPr="009060BF">
        <w:rPr>
          <w:rFonts w:ascii="Times New Roman" w:eastAsiaTheme="minorHAnsi" w:hAnsi="Times New Roman"/>
          <w:sz w:val="24"/>
          <w:szCs w:val="24"/>
          <w:lang w:eastAsia="en-US"/>
        </w:rPr>
        <w:t>rynku uzysk</w:t>
      </w:r>
      <w:r w:rsidR="0059009E">
        <w:rPr>
          <w:rFonts w:ascii="Times New Roman" w:eastAsiaTheme="minorHAnsi" w:hAnsi="Times New Roman"/>
          <w:sz w:val="24"/>
          <w:szCs w:val="24"/>
          <w:lang w:eastAsia="en-US"/>
        </w:rPr>
        <w:t>a wielkość zapewniającą płynność</w:t>
      </w:r>
      <w:r w:rsidR="00C8393C">
        <w:rPr>
          <w:rFonts w:ascii="Times New Roman" w:eastAsiaTheme="minorHAnsi" w:hAnsi="Times New Roman"/>
          <w:sz w:val="24"/>
          <w:szCs w:val="24"/>
          <w:lang w:eastAsia="en-US"/>
        </w:rPr>
        <w:t>.</w:t>
      </w:r>
    </w:p>
    <w:p w14:paraId="2D01F288" w14:textId="478DF0A7" w:rsidR="00715D25" w:rsidRPr="009060BF" w:rsidRDefault="00F37510" w:rsidP="00715D25">
      <w:pPr>
        <w:widowControl/>
        <w:autoSpaceDE/>
        <w:autoSpaceDN/>
        <w:adjustRightInd/>
        <w:spacing w:before="240"/>
        <w:jc w:val="both"/>
        <w:rPr>
          <w:rFonts w:ascii="Times New Roman" w:hAnsi="Times New Roman"/>
          <w:sz w:val="24"/>
          <w:szCs w:val="24"/>
        </w:rPr>
      </w:pPr>
      <w:r>
        <w:rPr>
          <w:rFonts w:ascii="Times New Roman" w:hAnsi="Times New Roman"/>
          <w:sz w:val="24"/>
          <w:szCs w:val="24"/>
        </w:rPr>
        <w:t xml:space="preserve">Zgodnie z </w:t>
      </w:r>
      <w:r w:rsidRPr="009060BF">
        <w:rPr>
          <w:rFonts w:ascii="Times New Roman" w:hAnsi="Times New Roman"/>
          <w:sz w:val="24"/>
          <w:szCs w:val="24"/>
        </w:rPr>
        <w:t>§ 2</w:t>
      </w:r>
      <w:r w:rsidR="00715D25" w:rsidRPr="009060BF">
        <w:rPr>
          <w:rFonts w:ascii="Times New Roman" w:hAnsi="Times New Roman"/>
          <w:sz w:val="24"/>
          <w:szCs w:val="24"/>
        </w:rPr>
        <w:t xml:space="preserve"> rozporządzenie wejdzie w życie po </w:t>
      </w:r>
      <w:r w:rsidR="00D7331D">
        <w:rPr>
          <w:rFonts w:ascii="Times New Roman" w:hAnsi="Times New Roman"/>
          <w:sz w:val="24"/>
          <w:szCs w:val="24"/>
        </w:rPr>
        <w:t xml:space="preserve">upływie </w:t>
      </w:r>
      <w:r w:rsidR="00715D25" w:rsidRPr="009060BF">
        <w:rPr>
          <w:rFonts w:ascii="Times New Roman" w:hAnsi="Times New Roman"/>
          <w:sz w:val="24"/>
          <w:szCs w:val="24"/>
        </w:rPr>
        <w:t xml:space="preserve">14 dni od dnia ogłoszenia. Mając na uwadze fakt, że wejście w życie projektowanego rozporządzenia jest niezbędne dla prawidłowego funkcjonowania ustawy z dnia 29 lipca 2005 r. o obrocie instrumentami finansowymi, </w:t>
      </w:r>
      <w:r w:rsidR="00D338CA">
        <w:rPr>
          <w:rFonts w:ascii="Times New Roman" w:hAnsi="Times New Roman"/>
          <w:sz w:val="24"/>
          <w:szCs w:val="24"/>
        </w:rPr>
        <w:t xml:space="preserve">jest </w:t>
      </w:r>
      <w:r w:rsidR="00715D25" w:rsidRPr="009060BF">
        <w:rPr>
          <w:rFonts w:ascii="Times New Roman" w:hAnsi="Times New Roman"/>
          <w:sz w:val="24"/>
          <w:szCs w:val="24"/>
        </w:rPr>
        <w:t>uzasadnione, zgodnie z § 1 ust. 2 uchwały nr 20 Rady Ministrów z dnia 18 lutego 2014 r. w sprawie zaleceń ujednolicenia terminów wejścia w życie niektórych aktów normatywnych (M.P. poz. 205), odstąpienie od zasady określonej w § 1 ust. 1 tej uchwały, zgodnie z którą, jeżeli akt normatywny zawiera przepisy określające warunki wykonywania działalności gospodarczej, termin wejścia w życie tego aktu normatywnego powinien być wyznaczony na dzień 1 stycznia albo 1 czerwca.</w:t>
      </w:r>
    </w:p>
    <w:p w14:paraId="3EC21DC1" w14:textId="1CE38C5E" w:rsidR="00715D25" w:rsidRPr="009060BF" w:rsidRDefault="00715D25" w:rsidP="00715D25">
      <w:pPr>
        <w:widowControl/>
        <w:autoSpaceDE/>
        <w:autoSpaceDN/>
        <w:adjustRightInd/>
        <w:spacing w:before="120"/>
        <w:jc w:val="both"/>
        <w:rPr>
          <w:rFonts w:ascii="Times New Roman" w:eastAsia="Times New Roman" w:hAnsi="Times New Roman"/>
          <w:sz w:val="24"/>
          <w:szCs w:val="24"/>
        </w:rPr>
      </w:pPr>
      <w:r w:rsidRPr="009060BF">
        <w:rPr>
          <w:rFonts w:ascii="Times New Roman" w:eastAsiaTheme="minorHAnsi" w:hAnsi="Times New Roman"/>
          <w:sz w:val="24"/>
          <w:szCs w:val="24"/>
          <w:lang w:eastAsia="en-US"/>
        </w:rPr>
        <w:t xml:space="preserve">Stosownie do art. 4 ustawy z dnia 7 lipca 2005 r. o działalności lobbingowej w procesie stanowienia prawa (Dz. U. z 2017 r. poz. 248) projekt </w:t>
      </w:r>
      <w:r w:rsidRPr="009060BF">
        <w:rPr>
          <w:rFonts w:ascii="Times New Roman" w:eastAsia="Times New Roman" w:hAnsi="Times New Roman"/>
          <w:sz w:val="24"/>
          <w:szCs w:val="24"/>
        </w:rPr>
        <w:t>rozporządzenia</w:t>
      </w:r>
      <w:r w:rsidRPr="009060BF">
        <w:rPr>
          <w:rFonts w:ascii="Times New Roman" w:eastAsiaTheme="minorHAnsi" w:hAnsi="Times New Roman"/>
          <w:sz w:val="24"/>
          <w:szCs w:val="24"/>
          <w:lang w:eastAsia="en-US"/>
        </w:rPr>
        <w:t xml:space="preserve"> zosta</w:t>
      </w:r>
      <w:r w:rsidR="00027DD1">
        <w:rPr>
          <w:rFonts w:ascii="Times New Roman" w:eastAsiaTheme="minorHAnsi" w:hAnsi="Times New Roman"/>
          <w:sz w:val="24"/>
          <w:szCs w:val="24"/>
          <w:lang w:eastAsia="en-US"/>
        </w:rPr>
        <w:t>ł</w:t>
      </w:r>
      <w:r w:rsidR="00985363">
        <w:rPr>
          <w:rFonts w:ascii="Times New Roman" w:eastAsiaTheme="minorHAnsi" w:hAnsi="Times New Roman"/>
          <w:sz w:val="24"/>
          <w:szCs w:val="24"/>
          <w:lang w:eastAsia="en-US"/>
        </w:rPr>
        <w:t xml:space="preserve"> zamieszczony w </w:t>
      </w:r>
      <w:r w:rsidRPr="009060BF">
        <w:rPr>
          <w:rFonts w:ascii="Times New Roman" w:eastAsiaTheme="minorHAnsi" w:hAnsi="Times New Roman"/>
          <w:sz w:val="24"/>
          <w:szCs w:val="24"/>
          <w:lang w:eastAsia="en-US"/>
        </w:rPr>
        <w:t>wykazie prac legislacyjnych Ministra Finansów. Z</w:t>
      </w:r>
      <w:r w:rsidRPr="009060BF">
        <w:rPr>
          <w:rFonts w:ascii="Times New Roman" w:eastAsia="Times New Roman" w:hAnsi="Times New Roman"/>
          <w:sz w:val="24"/>
          <w:szCs w:val="24"/>
        </w:rPr>
        <w:t xml:space="preserve">godnie z art. 5 tej ustawy oraz § 52 uchwały nr 190 Rady Ministrów z dnia 29 października 2013 r. – Regulamin pracy Rady Ministrów (M.P. z 2016 r. poz. 1006, z późn. zm.), projekt </w:t>
      </w:r>
      <w:r w:rsidR="00027DD1" w:rsidRPr="009060BF">
        <w:rPr>
          <w:rFonts w:ascii="Times New Roman" w:eastAsia="Times New Roman" w:hAnsi="Times New Roman"/>
          <w:sz w:val="24"/>
          <w:szCs w:val="24"/>
        </w:rPr>
        <w:t>zosta</w:t>
      </w:r>
      <w:r w:rsidR="00027DD1">
        <w:rPr>
          <w:rFonts w:ascii="Times New Roman" w:eastAsia="Times New Roman" w:hAnsi="Times New Roman"/>
          <w:sz w:val="24"/>
          <w:szCs w:val="24"/>
        </w:rPr>
        <w:t>ł</w:t>
      </w:r>
      <w:r w:rsidR="00027DD1" w:rsidRPr="009060BF">
        <w:rPr>
          <w:rFonts w:ascii="Times New Roman" w:eastAsia="Times New Roman" w:hAnsi="Times New Roman"/>
          <w:sz w:val="24"/>
          <w:szCs w:val="24"/>
        </w:rPr>
        <w:t xml:space="preserve"> </w:t>
      </w:r>
      <w:r w:rsidRPr="009060BF">
        <w:rPr>
          <w:rFonts w:ascii="Times New Roman" w:eastAsia="Times New Roman" w:hAnsi="Times New Roman"/>
          <w:sz w:val="24"/>
          <w:szCs w:val="24"/>
        </w:rPr>
        <w:t>udostępniony w Biuletynie Informacji Publicznej na stronie podmiotowej Rządowego Centrum Legislacji.</w:t>
      </w:r>
    </w:p>
    <w:p w14:paraId="37FC407E" w14:textId="3808F898" w:rsidR="00715D25" w:rsidRPr="009060BF" w:rsidRDefault="00715D25" w:rsidP="00715D25">
      <w:pPr>
        <w:spacing w:before="120"/>
        <w:jc w:val="both"/>
        <w:rPr>
          <w:rFonts w:ascii="Times New Roman" w:eastAsia="Times New Roman" w:hAnsi="Times New Roman"/>
          <w:sz w:val="24"/>
          <w:szCs w:val="24"/>
        </w:rPr>
      </w:pPr>
      <w:r w:rsidRPr="009060BF">
        <w:rPr>
          <w:rFonts w:ascii="Times New Roman" w:eastAsia="Times New Roman" w:hAnsi="Times New Roman"/>
          <w:sz w:val="24"/>
          <w:szCs w:val="24"/>
        </w:rPr>
        <w:t xml:space="preserve">Projekt rozporządzenia nie wymaga przedstawienia organom i instytucjom Unii Europejskiej w celu uzyskania opinii, dokonania powiadomienia, </w:t>
      </w:r>
      <w:r w:rsidR="00985363">
        <w:rPr>
          <w:rFonts w:ascii="Times New Roman" w:eastAsia="Times New Roman" w:hAnsi="Times New Roman"/>
          <w:sz w:val="24"/>
          <w:szCs w:val="24"/>
        </w:rPr>
        <w:t>konsultacji albo uzgodnienia. W </w:t>
      </w:r>
      <w:r w:rsidRPr="009060BF">
        <w:rPr>
          <w:rFonts w:ascii="Times New Roman" w:eastAsia="Times New Roman" w:hAnsi="Times New Roman"/>
          <w:sz w:val="24"/>
          <w:szCs w:val="24"/>
        </w:rPr>
        <w:t>szczególności, zgodnie z art. 2 ust. 1 decyzji Rady 98/415/WE z dnia 29 czerwca 1998 r. w sprawie konsultacji Europejskiego Banku Centralnego udzielanych władzom krajowym w sprawie projektó</w:t>
      </w:r>
      <w:r w:rsidR="00985363">
        <w:rPr>
          <w:rFonts w:ascii="Times New Roman" w:eastAsia="Times New Roman" w:hAnsi="Times New Roman"/>
          <w:sz w:val="24"/>
          <w:szCs w:val="24"/>
        </w:rPr>
        <w:t>w przepisów prawnych (Dz. Urz. U</w:t>
      </w:r>
      <w:r w:rsidRPr="009060BF">
        <w:rPr>
          <w:rFonts w:ascii="Times New Roman" w:eastAsia="Times New Roman" w:hAnsi="Times New Roman"/>
          <w:sz w:val="24"/>
          <w:szCs w:val="24"/>
        </w:rPr>
        <w:t>E L 189 z 03.07.1998, str. 42; Dz. Urz. UE Polskie Wydanie Specjalne rozdz. 1, t. 1, str. 446), projekt rozporządzenia nie podlega konsultacji z Europejskim Bankiem Centralnym.</w:t>
      </w:r>
    </w:p>
    <w:p w14:paraId="6342F145" w14:textId="77777777" w:rsidR="00715D25" w:rsidRPr="009060BF" w:rsidRDefault="00715D25" w:rsidP="00715D25">
      <w:pPr>
        <w:widowControl/>
        <w:autoSpaceDE/>
        <w:autoSpaceDN/>
        <w:adjustRightInd/>
        <w:spacing w:before="120"/>
        <w:jc w:val="both"/>
        <w:rPr>
          <w:rFonts w:ascii="Times New Roman" w:eastAsia="Times New Roman" w:hAnsi="Times New Roman"/>
          <w:sz w:val="24"/>
          <w:szCs w:val="24"/>
        </w:rPr>
      </w:pPr>
      <w:r w:rsidRPr="009060BF">
        <w:rPr>
          <w:rFonts w:ascii="Times New Roman" w:eastAsia="Times New Roman" w:hAnsi="Times New Roman"/>
          <w:sz w:val="24"/>
          <w:szCs w:val="24"/>
        </w:rPr>
        <w:t>Projekt rozporządzenia nie zawiera norm technicznych w rozumieniu przepisów rozporządzenia Rady Ministrów z dnia 23 grudnia 2002 r. w sprawie sposobu funkcjonowania krajowego systemu notyfikacji norm i aktów prawnych (Dz. U. poz. 2039, z późn. zm.), w związku z czym nie podlega notyfikacji zgodnie z trybem przewidzianym w tych przepisach.</w:t>
      </w:r>
    </w:p>
    <w:p w14:paraId="1A2ED98E" w14:textId="69526591" w:rsidR="00715D25" w:rsidRPr="009060BF" w:rsidRDefault="00715D25" w:rsidP="00715D25">
      <w:pPr>
        <w:widowControl/>
        <w:autoSpaceDE/>
        <w:autoSpaceDN/>
        <w:adjustRightInd/>
        <w:spacing w:before="120"/>
        <w:jc w:val="both"/>
        <w:rPr>
          <w:rFonts w:ascii="Times New Roman" w:eastAsiaTheme="minorHAnsi" w:hAnsi="Times New Roman"/>
          <w:sz w:val="24"/>
          <w:szCs w:val="24"/>
          <w:lang w:eastAsia="en-US"/>
        </w:rPr>
      </w:pPr>
      <w:r w:rsidRPr="009060BF">
        <w:rPr>
          <w:rFonts w:ascii="Times New Roman" w:eastAsiaTheme="minorHAnsi" w:hAnsi="Times New Roman"/>
          <w:sz w:val="24"/>
          <w:szCs w:val="24"/>
          <w:lang w:eastAsia="en-US"/>
        </w:rPr>
        <w:t>Mając na uwadze art. 66 ust. 2 ustawy z dnia 6 marca 2018 r. – Prawo przedsiębiorców (Dz. U. z 2021 r. poz. 162</w:t>
      </w:r>
      <w:r w:rsidR="001027C3">
        <w:rPr>
          <w:rFonts w:ascii="Times New Roman" w:eastAsiaTheme="minorHAnsi" w:hAnsi="Times New Roman"/>
          <w:sz w:val="24"/>
          <w:szCs w:val="24"/>
          <w:lang w:eastAsia="en-US"/>
        </w:rPr>
        <w:t>, z późn. zm.</w:t>
      </w:r>
      <w:r w:rsidRPr="009060BF">
        <w:rPr>
          <w:rFonts w:ascii="Times New Roman" w:eastAsiaTheme="minorHAnsi" w:hAnsi="Times New Roman"/>
          <w:sz w:val="24"/>
          <w:szCs w:val="24"/>
          <w:lang w:eastAsia="en-US"/>
        </w:rPr>
        <w:t>) przewiduje się, że projektowane rozporządzenie nie wpłynie na działalność mikroprzedsiębiorców, małych i średnich przedsiębiorców.</w:t>
      </w:r>
    </w:p>
    <w:p w14:paraId="125CEF3C" w14:textId="77C0A160" w:rsidR="00715D25" w:rsidRPr="009060BF" w:rsidRDefault="00715D25" w:rsidP="00715D25">
      <w:pPr>
        <w:widowControl/>
        <w:autoSpaceDE/>
        <w:autoSpaceDN/>
        <w:adjustRightInd/>
        <w:spacing w:before="120"/>
        <w:jc w:val="both"/>
        <w:rPr>
          <w:rFonts w:ascii="Times New Roman" w:hAnsi="Times New Roman"/>
          <w:sz w:val="24"/>
          <w:szCs w:val="24"/>
        </w:rPr>
      </w:pPr>
      <w:r w:rsidRPr="009060BF">
        <w:rPr>
          <w:rFonts w:ascii="Times New Roman" w:eastAsiaTheme="minorHAnsi" w:hAnsi="Times New Roman"/>
          <w:sz w:val="24"/>
          <w:szCs w:val="24"/>
          <w:lang w:eastAsia="en-US"/>
        </w:rPr>
        <w:t>Projekt rozporządzenia jest zgodny z prawem Unii Europejskiej.</w:t>
      </w:r>
    </w:p>
    <w:sectPr w:rsidR="00715D25" w:rsidRPr="009060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F3DE4" w14:textId="77777777" w:rsidR="0026162A" w:rsidRDefault="0026162A" w:rsidP="001027C3">
      <w:r>
        <w:separator/>
      </w:r>
    </w:p>
  </w:endnote>
  <w:endnote w:type="continuationSeparator" w:id="0">
    <w:p w14:paraId="1B7FF554" w14:textId="77777777" w:rsidR="0026162A" w:rsidRDefault="0026162A" w:rsidP="0010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0F8B" w14:textId="77777777" w:rsidR="0026162A" w:rsidRDefault="0026162A" w:rsidP="001027C3">
      <w:r>
        <w:separator/>
      </w:r>
    </w:p>
  </w:footnote>
  <w:footnote w:type="continuationSeparator" w:id="0">
    <w:p w14:paraId="47F9BC26" w14:textId="77777777" w:rsidR="0026162A" w:rsidRDefault="0026162A" w:rsidP="00102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D8"/>
    <w:rsid w:val="00027DD1"/>
    <w:rsid w:val="001027C3"/>
    <w:rsid w:val="00156526"/>
    <w:rsid w:val="001B0947"/>
    <w:rsid w:val="001E2767"/>
    <w:rsid w:val="0026162A"/>
    <w:rsid w:val="002F62F2"/>
    <w:rsid w:val="003B6609"/>
    <w:rsid w:val="0059009E"/>
    <w:rsid w:val="005B6A83"/>
    <w:rsid w:val="005C514D"/>
    <w:rsid w:val="005D7C6A"/>
    <w:rsid w:val="005E0067"/>
    <w:rsid w:val="00715D25"/>
    <w:rsid w:val="00742B7B"/>
    <w:rsid w:val="007A3A12"/>
    <w:rsid w:val="007F1F8F"/>
    <w:rsid w:val="008553F2"/>
    <w:rsid w:val="008647D8"/>
    <w:rsid w:val="009060BF"/>
    <w:rsid w:val="0096649F"/>
    <w:rsid w:val="00985363"/>
    <w:rsid w:val="00993B2F"/>
    <w:rsid w:val="009A7FA8"/>
    <w:rsid w:val="00A81549"/>
    <w:rsid w:val="00B753F3"/>
    <w:rsid w:val="00BC71BF"/>
    <w:rsid w:val="00C8393C"/>
    <w:rsid w:val="00CC07FD"/>
    <w:rsid w:val="00CF71A3"/>
    <w:rsid w:val="00D338CA"/>
    <w:rsid w:val="00D7331D"/>
    <w:rsid w:val="00EC14B7"/>
    <w:rsid w:val="00F25553"/>
    <w:rsid w:val="00F32F22"/>
    <w:rsid w:val="00F37510"/>
    <w:rsid w:val="00FA27C9"/>
    <w:rsid w:val="00FD5D28"/>
    <w:rsid w:val="00FF08B9"/>
    <w:rsid w:val="00FF4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75886"/>
  <w15:chartTrackingRefBased/>
  <w15:docId w15:val="{FFB66248-D6B1-47CA-A9BB-0547D466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1549"/>
    <w:pPr>
      <w:widowControl w:val="0"/>
      <w:autoSpaceDE w:val="0"/>
      <w:autoSpaceDN w:val="0"/>
      <w:adjustRightInd w:val="0"/>
      <w:spacing w:after="0" w:line="240" w:lineRule="auto"/>
    </w:pPr>
    <w:rPr>
      <w:rFonts w:ascii="Verdana" w:eastAsiaTheme="minorEastAsia"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F1F8F"/>
    <w:rPr>
      <w:sz w:val="16"/>
      <w:szCs w:val="16"/>
    </w:rPr>
  </w:style>
  <w:style w:type="paragraph" w:styleId="Tekstkomentarza">
    <w:name w:val="annotation text"/>
    <w:basedOn w:val="Normalny"/>
    <w:link w:val="TekstkomentarzaZnak"/>
    <w:uiPriority w:val="99"/>
    <w:semiHidden/>
    <w:unhideWhenUsed/>
    <w:rsid w:val="007F1F8F"/>
  </w:style>
  <w:style w:type="character" w:customStyle="1" w:styleId="TekstkomentarzaZnak">
    <w:name w:val="Tekst komentarza Znak"/>
    <w:basedOn w:val="Domylnaczcionkaakapitu"/>
    <w:link w:val="Tekstkomentarza"/>
    <w:uiPriority w:val="99"/>
    <w:semiHidden/>
    <w:rsid w:val="007F1F8F"/>
    <w:rPr>
      <w:rFonts w:ascii="Verdana" w:eastAsiaTheme="minorEastAsia"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1F8F"/>
    <w:rPr>
      <w:b/>
      <w:bCs/>
    </w:rPr>
  </w:style>
  <w:style w:type="character" w:customStyle="1" w:styleId="TematkomentarzaZnak">
    <w:name w:val="Temat komentarza Znak"/>
    <w:basedOn w:val="TekstkomentarzaZnak"/>
    <w:link w:val="Tematkomentarza"/>
    <w:uiPriority w:val="99"/>
    <w:semiHidden/>
    <w:rsid w:val="007F1F8F"/>
    <w:rPr>
      <w:rFonts w:ascii="Verdana" w:eastAsiaTheme="minorEastAsia" w:hAnsi="Verdana" w:cs="Times New Roman"/>
      <w:b/>
      <w:bCs/>
      <w:sz w:val="20"/>
      <w:szCs w:val="20"/>
      <w:lang w:eastAsia="pl-PL"/>
    </w:rPr>
  </w:style>
  <w:style w:type="paragraph" w:styleId="Tekstdymka">
    <w:name w:val="Balloon Text"/>
    <w:basedOn w:val="Normalny"/>
    <w:link w:val="TekstdymkaZnak"/>
    <w:uiPriority w:val="99"/>
    <w:semiHidden/>
    <w:unhideWhenUsed/>
    <w:rsid w:val="007F1F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F8F"/>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6217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Borysewicz Krzysztof</dc:creator>
  <cp:keywords/>
  <dc:description/>
  <cp:lastModifiedBy>KGHM</cp:lastModifiedBy>
  <cp:revision>2</cp:revision>
  <dcterms:created xsi:type="dcterms:W3CDTF">2021-12-20T04:55:00Z</dcterms:created>
  <dcterms:modified xsi:type="dcterms:W3CDTF">2021-12-20T04:55:00Z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MF\HJIF;Krakowiak-Wąsik Magdalena</vt:lpwstr>
  </property>
  <property fmtid="{D5CDD505-2E9C-101B-9397-08002B2CF9AE}" pid="4" name="MFClassificationDate">
    <vt:lpwstr>2021-12-07T10:46:36.4142133+01:00</vt:lpwstr>
  </property>
  <property fmtid="{D5CDD505-2E9C-101B-9397-08002B2CF9AE}" pid="5" name="MFClassifiedBySID">
    <vt:lpwstr>MF\S-1-5-21-1525952054-1005573771-2909822258-439051</vt:lpwstr>
  </property>
  <property fmtid="{D5CDD505-2E9C-101B-9397-08002B2CF9AE}" pid="6" name="MFGRNItemId">
    <vt:lpwstr>GRN-6d27681a-803d-4ad0-a216-8a690fcdbc04</vt:lpwstr>
  </property>
  <property fmtid="{D5CDD505-2E9C-101B-9397-08002B2CF9AE}" pid="7" name="MFHash">
    <vt:lpwstr>JS0Dd/TPU0Nlum6Raor2dcsacxc8dz3w27SRPejxYy8=</vt:lpwstr>
  </property>
  <property fmtid="{D5CDD505-2E9C-101B-9397-08002B2CF9AE}" pid="8" name="DLPManualFileClassification">
    <vt:lpwstr>{2755b7d9-e53d-4779-a40c-03797dcf43b3}</vt:lpwstr>
  </property>
  <property fmtid="{D5CDD505-2E9C-101B-9397-08002B2CF9AE}" pid="9" name="MFRefresh">
    <vt:lpwstr>False</vt:lpwstr>
  </property>
</Properties>
</file>