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FCAAC" w14:textId="42C1B1DC" w:rsidR="00D8285A" w:rsidRPr="006520D9" w:rsidRDefault="00804077" w:rsidP="002454D6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  <w:lang w:eastAsia="pl-PL"/>
        </w:rPr>
        <w:drawing>
          <wp:inline distT="0" distB="0" distL="0" distR="0" wp14:anchorId="742BAB4B" wp14:editId="6441936D">
            <wp:extent cx="5783580" cy="5151120"/>
            <wp:effectExtent l="0" t="0" r="7620" b="0"/>
            <wp:docPr id="2" name="Obraz 1" descr="A64741D0-4BE5-4374-B399-80159553C2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4741D0-4BE5-4374-B399-80159553C2E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1AEF476" w14:textId="77777777" w:rsidR="00D8285A" w:rsidRPr="006520D9" w:rsidRDefault="00D8285A" w:rsidP="00D8285A">
      <w:pPr>
        <w:rPr>
          <w:noProof/>
        </w:rPr>
        <w:sectPr w:rsidR="00D8285A" w:rsidRPr="006520D9" w:rsidSect="002454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6FE533BF" w14:textId="77777777" w:rsidR="00DF6261" w:rsidRPr="006520D9" w:rsidRDefault="00DF6261" w:rsidP="00DF6261">
      <w:pPr>
        <w:pStyle w:val="Pagedecouverture"/>
        <w:rPr>
          <w:noProof/>
        </w:rPr>
      </w:pPr>
    </w:p>
    <w:p w14:paraId="46FF2145" w14:textId="77777777" w:rsidR="00DF6261" w:rsidRPr="006520D9" w:rsidRDefault="00DF6261" w:rsidP="00DF6261">
      <w:pPr>
        <w:spacing w:after="240" w:line="360" w:lineRule="auto"/>
        <w:ind w:left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„</w:t>
      </w:r>
      <w:r w:rsidRPr="009F6C0C">
        <w:rPr>
          <w:rFonts w:ascii="Times New Roman" w:hAnsi="Times New Roman"/>
          <w:noProof/>
          <w:sz w:val="24"/>
          <w:szCs w:val="24"/>
        </w:rPr>
        <w:t>Ta dekada będzie miała kluczowe znaczenie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w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kon</w:t>
      </w:r>
      <w:r w:rsidRPr="009F6C0C">
        <w:rPr>
          <w:rFonts w:ascii="Times New Roman" w:hAnsi="Times New Roman"/>
          <w:noProof/>
          <w:sz w:val="24"/>
          <w:szCs w:val="24"/>
        </w:rPr>
        <w:t>tekście walki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z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kry</w:t>
      </w:r>
      <w:r w:rsidRPr="009F6C0C">
        <w:rPr>
          <w:rFonts w:ascii="Times New Roman" w:hAnsi="Times New Roman"/>
          <w:noProof/>
          <w:sz w:val="24"/>
          <w:szCs w:val="24"/>
        </w:rPr>
        <w:t>zysem klimatycznym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i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kry</w:t>
      </w:r>
      <w:r w:rsidRPr="009F6C0C">
        <w:rPr>
          <w:rFonts w:ascii="Times New Roman" w:hAnsi="Times New Roman"/>
          <w:noProof/>
          <w:sz w:val="24"/>
          <w:szCs w:val="24"/>
        </w:rPr>
        <w:t>zysem związanym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z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róż</w:t>
      </w:r>
      <w:r w:rsidRPr="009F6C0C">
        <w:rPr>
          <w:rFonts w:ascii="Times New Roman" w:hAnsi="Times New Roman"/>
          <w:noProof/>
          <w:sz w:val="24"/>
          <w:szCs w:val="24"/>
        </w:rPr>
        <w:t>norodnością biologiczną. Dziewięciu na dziesięciu Europejczyków zgadza się co do tego, że należy podjąć działania, aby ograniczyć poziom generowanych przez nas emisji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i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zap</w:t>
      </w:r>
      <w:r w:rsidRPr="009F6C0C">
        <w:rPr>
          <w:rFonts w:ascii="Times New Roman" w:hAnsi="Times New Roman"/>
          <w:noProof/>
          <w:sz w:val="24"/>
          <w:szCs w:val="24"/>
        </w:rPr>
        <w:t xml:space="preserve">ewnić neutralność Unii Europejskiej dla klimatu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 w:rsidRPr="009F6C0C"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50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Pr="009F6C0C">
        <w:rPr>
          <w:rFonts w:ascii="Times New Roman" w:hAnsi="Times New Roman"/>
          <w:noProof/>
          <w:sz w:val="24"/>
          <w:szCs w:val="24"/>
        </w:rPr>
        <w:t xml:space="preserve"> UE wyznaczyła ambitne cele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w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tym</w:t>
      </w:r>
      <w:r w:rsidRPr="009F6C0C">
        <w:rPr>
          <w:rFonts w:ascii="Times New Roman" w:hAnsi="Times New Roman"/>
          <w:noProof/>
          <w:sz w:val="24"/>
          <w:szCs w:val="24"/>
        </w:rPr>
        <w:t xml:space="preserve"> zakresie,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a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wni</w:t>
      </w:r>
      <w:r w:rsidRPr="009F6C0C">
        <w:rPr>
          <w:rFonts w:ascii="Times New Roman" w:hAnsi="Times New Roman"/>
          <w:noProof/>
          <w:sz w:val="24"/>
          <w:szCs w:val="24"/>
        </w:rPr>
        <w:t>oski przedstawione przez Komisję wskazują,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w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jak</w:t>
      </w:r>
      <w:r w:rsidRPr="009F6C0C">
        <w:rPr>
          <w:rFonts w:ascii="Times New Roman" w:hAnsi="Times New Roman"/>
          <w:noProof/>
          <w:sz w:val="24"/>
          <w:szCs w:val="24"/>
        </w:rPr>
        <w:t>i sposób można je osiągnąć. Zagwarantowanie ekologicznej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i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zdr</w:t>
      </w:r>
      <w:r w:rsidRPr="009F6C0C">
        <w:rPr>
          <w:rFonts w:ascii="Times New Roman" w:hAnsi="Times New Roman"/>
          <w:noProof/>
          <w:sz w:val="24"/>
          <w:szCs w:val="24"/>
        </w:rPr>
        <w:t>owej przyszłości dla wszystkich będzie wiązało się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z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kon</w:t>
      </w:r>
      <w:r w:rsidRPr="009F6C0C">
        <w:rPr>
          <w:rFonts w:ascii="Times New Roman" w:hAnsi="Times New Roman"/>
          <w:noProof/>
          <w:sz w:val="24"/>
          <w:szCs w:val="24"/>
        </w:rPr>
        <w:t>iecznością podejmowania istotnych starań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w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każ</w:t>
      </w:r>
      <w:r w:rsidRPr="009F6C0C">
        <w:rPr>
          <w:rFonts w:ascii="Times New Roman" w:hAnsi="Times New Roman"/>
          <w:noProof/>
          <w:sz w:val="24"/>
          <w:szCs w:val="24"/>
        </w:rPr>
        <w:t>dym sektorze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i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w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każ</w:t>
      </w:r>
      <w:r w:rsidRPr="009F6C0C">
        <w:rPr>
          <w:rFonts w:ascii="Times New Roman" w:hAnsi="Times New Roman"/>
          <w:noProof/>
          <w:sz w:val="24"/>
          <w:szCs w:val="24"/>
        </w:rPr>
        <w:t>dym państwie członkowskim. Transformacja klimatyczna Europy będzie sprawiedliwa, ekologiczna</w:t>
      </w:r>
      <w:r w:rsidR="00D928C3" w:rsidRPr="009F6C0C">
        <w:rPr>
          <w:rFonts w:ascii="Times New Roman" w:hAnsi="Times New Roman"/>
          <w:noProof/>
          <w:sz w:val="24"/>
          <w:szCs w:val="24"/>
        </w:rPr>
        <w:t xml:space="preserve"> i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 w:rsidRPr="009F6C0C">
        <w:rPr>
          <w:rFonts w:ascii="Times New Roman" w:hAnsi="Times New Roman"/>
          <w:noProof/>
          <w:sz w:val="24"/>
          <w:szCs w:val="24"/>
        </w:rPr>
        <w:t>kon</w:t>
      </w:r>
      <w:r w:rsidRPr="009F6C0C">
        <w:rPr>
          <w:rFonts w:ascii="Times New Roman" w:hAnsi="Times New Roman"/>
          <w:noProof/>
          <w:sz w:val="24"/>
          <w:szCs w:val="24"/>
        </w:rPr>
        <w:t>kurencyjna</w:t>
      </w:r>
      <w:r>
        <w:rPr>
          <w:rFonts w:ascii="Times New Roman" w:hAnsi="Times New Roman"/>
          <w:i/>
          <w:noProof/>
          <w:sz w:val="24"/>
          <w:szCs w:val="24"/>
        </w:rPr>
        <w:t>”.</w:t>
      </w:r>
    </w:p>
    <w:p w14:paraId="44AC29B6" w14:textId="77777777" w:rsidR="00DF6261" w:rsidRPr="006520D9" w:rsidRDefault="00DF6261" w:rsidP="00DF6261">
      <w:pPr>
        <w:spacing w:after="12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BC8F633" w14:textId="77777777" w:rsidR="00DF6261" w:rsidRPr="006520D9" w:rsidRDefault="00DF6261" w:rsidP="00D1350D">
      <w:pPr>
        <w:pStyle w:val="Nagwek1"/>
        <w:numPr>
          <w:ilvl w:val="0"/>
          <w:numId w:val="0"/>
        </w:numPr>
        <w:spacing w:line="240" w:lineRule="auto"/>
        <w:ind w:left="567" w:right="522"/>
        <w:jc w:val="both"/>
        <w:rPr>
          <w:b w:val="0"/>
          <w:i/>
          <w:noProof/>
        </w:rPr>
      </w:pPr>
      <w:r>
        <w:rPr>
          <w:noProof/>
        </w:rPr>
        <w:t>Frans Timmermans</w:t>
      </w:r>
      <w:r>
        <w:rPr>
          <w:b w:val="0"/>
          <w:noProof/>
        </w:rPr>
        <w:t>,</w:t>
      </w:r>
      <w:r>
        <w:rPr>
          <w:noProof/>
          <w:shd w:val="clear" w:color="auto" w:fill="FFFFFF"/>
        </w:rPr>
        <w:t xml:space="preserve"> </w:t>
      </w:r>
      <w:r>
        <w:rPr>
          <w:b w:val="0"/>
          <w:noProof/>
          <w:shd w:val="clear" w:color="auto" w:fill="FFFFFF"/>
        </w:rPr>
        <w:t>wiceprzewodniczący wykonawczy do spraw Europejskiego Zielonego Ładu</w:t>
      </w:r>
    </w:p>
    <w:p w14:paraId="0799B628" w14:textId="77777777" w:rsidR="00DF6261" w:rsidRPr="006520D9" w:rsidRDefault="00DF6261" w:rsidP="00DF6261">
      <w:pPr>
        <w:spacing w:after="120" w:line="24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EEDD5C7" w14:textId="77777777" w:rsidR="00DF6261" w:rsidRPr="006520D9" w:rsidRDefault="00DF6261" w:rsidP="00DF6261">
      <w:pPr>
        <w:spacing w:line="240" w:lineRule="auto"/>
        <w:jc w:val="both"/>
        <w:rPr>
          <w:noProof/>
          <w:lang w:eastAsia="en-GB"/>
        </w:rPr>
      </w:pPr>
    </w:p>
    <w:p w14:paraId="752F0470" w14:textId="77777777" w:rsidR="00DF6261" w:rsidRPr="006520D9" w:rsidRDefault="00DF6261" w:rsidP="00DF6261">
      <w:pPr>
        <w:spacing w:line="240" w:lineRule="auto"/>
        <w:jc w:val="both"/>
        <w:rPr>
          <w:noProof/>
          <w:lang w:eastAsia="en-GB"/>
        </w:rPr>
      </w:pPr>
    </w:p>
    <w:p w14:paraId="27CA3207" w14:textId="77777777" w:rsidR="00DF6261" w:rsidRPr="006520D9" w:rsidRDefault="00DF6261" w:rsidP="00DF6261">
      <w:pPr>
        <w:jc w:val="both"/>
        <w:rPr>
          <w:noProof/>
        </w:rPr>
      </w:pPr>
      <w:r>
        <w:rPr>
          <w:noProof/>
        </w:rPr>
        <w:br w:type="page"/>
      </w:r>
    </w:p>
    <w:p w14:paraId="12EDFB68" w14:textId="77777777" w:rsidR="00DF6261" w:rsidRPr="006520D9" w:rsidRDefault="00DF6261" w:rsidP="00DF6261">
      <w:pPr>
        <w:spacing w:line="240" w:lineRule="auto"/>
        <w:jc w:val="both"/>
        <w:rPr>
          <w:noProof/>
          <w:lang w:eastAsia="en-GB"/>
        </w:rPr>
      </w:pPr>
    </w:p>
    <w:p w14:paraId="4ED2757C" w14:textId="77777777" w:rsidR="00DF6261" w:rsidRPr="006520D9" w:rsidRDefault="00DF6261" w:rsidP="00DF6261">
      <w:pPr>
        <w:pStyle w:val="Nagwek1"/>
        <w:spacing w:before="0" w:after="120" w:line="240" w:lineRule="auto"/>
        <w:ind w:left="714" w:hanging="357"/>
        <w:jc w:val="both"/>
        <w:rPr>
          <w:noProof/>
          <w:szCs w:val="24"/>
        </w:rPr>
      </w:pPr>
      <w:r>
        <w:rPr>
          <w:noProof/>
        </w:rPr>
        <w:t>WYPEŁNIANIE MIĘDZYNARODOWYCH ZOBOWIĄZAŃ UNII EUROPEJSKIEJ</w:t>
      </w:r>
    </w:p>
    <w:p w14:paraId="7AF1F26E" w14:textId="77777777" w:rsidR="00DF6261" w:rsidRPr="00644CDA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 xml:space="preserve">UE osiągnęła swój cel redukcji emisji gazów cieplarnianych 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na</w:t>
      </w:r>
      <w:r w:rsidR="00D928C3" w:rsidRPr="00D928C3">
        <w:rPr>
          <w:rFonts w:ascii="Times New Roman" w:hAnsi="Times New Roman"/>
          <w:b/>
          <w:i/>
          <w:noProof/>
          <w:sz w:val="24"/>
          <w:szCs w:val="24"/>
        </w:rPr>
        <w:t> 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2</w:t>
      </w:r>
      <w:r>
        <w:rPr>
          <w:rFonts w:ascii="Times New Roman" w:hAnsi="Times New Roman"/>
          <w:b/>
          <w:i/>
          <w:noProof/>
          <w:sz w:val="24"/>
          <w:szCs w:val="24"/>
        </w:rPr>
        <w:t>0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b/>
          <w:i/>
          <w:noProof/>
          <w:sz w:val="24"/>
          <w:szCs w:val="24"/>
        </w:rPr>
        <w:t> 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r.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z nad</w:t>
      </w:r>
      <w:r>
        <w:rPr>
          <w:rFonts w:ascii="Times New Roman" w:hAnsi="Times New Roman"/>
          <w:b/>
          <w:i/>
          <w:noProof/>
          <w:sz w:val="24"/>
          <w:szCs w:val="24"/>
        </w:rPr>
        <w:t>wyżką,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a wsk</w:t>
      </w:r>
      <w:r>
        <w:rPr>
          <w:rFonts w:ascii="Times New Roman" w:hAnsi="Times New Roman"/>
          <w:b/>
          <w:i/>
          <w:noProof/>
          <w:sz w:val="24"/>
          <w:szCs w:val="24"/>
        </w:rPr>
        <w:t>utek pandemii COVID-19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2</w:t>
      </w:r>
      <w:r>
        <w:rPr>
          <w:rFonts w:ascii="Times New Roman" w:hAnsi="Times New Roman"/>
          <w:b/>
          <w:i/>
          <w:noProof/>
          <w:sz w:val="24"/>
          <w:szCs w:val="24"/>
        </w:rPr>
        <w:t>0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b/>
          <w:i/>
          <w:noProof/>
          <w:sz w:val="24"/>
          <w:szCs w:val="24"/>
        </w:rPr>
        <w:t> 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r.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odnotowano rekordowy spadek poziomu emisji</w:t>
      </w:r>
    </w:p>
    <w:p w14:paraId="2EEE64BE" w14:textId="77777777" w:rsidR="00685E44" w:rsidRPr="00787BC5" w:rsidRDefault="00DF6261">
      <w:pPr>
        <w:spacing w:after="24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20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wielkość emisji gazów cieplarnianych na szczeblu krajowym w UE-27,</w:t>
      </w:r>
      <w:r w:rsidR="00D928C3">
        <w:rPr>
          <w:rFonts w:ascii="Times New Roman" w:hAnsi="Times New Roman"/>
          <w:noProof/>
          <w:sz w:val="24"/>
          <w:szCs w:val="24"/>
        </w:rPr>
        <w:t xml:space="preserve"> z uwz</w:t>
      </w:r>
      <w:r>
        <w:rPr>
          <w:rFonts w:ascii="Times New Roman" w:hAnsi="Times New Roman"/>
          <w:noProof/>
          <w:sz w:val="24"/>
          <w:szCs w:val="24"/>
        </w:rPr>
        <w:t>ględnieniem lotnictwa międzynarodowego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2"/>
      </w:r>
      <w:r>
        <w:rPr>
          <w:rFonts w:ascii="Times New Roman" w:hAnsi="Times New Roman"/>
          <w:noProof/>
          <w:sz w:val="24"/>
          <w:szCs w:val="24"/>
        </w:rPr>
        <w:t>, spadła</w:t>
      </w:r>
      <w:r w:rsidR="00D928C3">
        <w:rPr>
          <w:rFonts w:ascii="Times New Roman" w:hAnsi="Times New Roman"/>
          <w:noProof/>
          <w:sz w:val="24"/>
          <w:szCs w:val="24"/>
        </w:rPr>
        <w:t xml:space="preserve"> o 3</w:t>
      </w:r>
      <w:r w:rsidRPr="00D928C3">
        <w:rPr>
          <w:rFonts w:ascii="Times New Roman" w:hAnsi="Times New Roman"/>
          <w:noProof/>
          <w:sz w:val="24"/>
          <w:szCs w:val="24"/>
        </w:rPr>
        <w:t>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3"/>
      </w:r>
      <w:r w:rsidR="00D928C3">
        <w:rPr>
          <w:rFonts w:ascii="Times New Roman" w:hAnsi="Times New Roman"/>
          <w:noProof/>
          <w:sz w:val="24"/>
          <w:szCs w:val="24"/>
        </w:rPr>
        <w:t xml:space="preserve"> w por</w:t>
      </w:r>
      <w:r>
        <w:rPr>
          <w:rFonts w:ascii="Times New Roman" w:hAnsi="Times New Roman"/>
          <w:noProof/>
          <w:sz w:val="24"/>
          <w:szCs w:val="24"/>
        </w:rPr>
        <w:t>ównaniu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poz</w:t>
      </w:r>
      <w:r>
        <w:rPr>
          <w:rFonts w:ascii="Times New Roman" w:hAnsi="Times New Roman"/>
          <w:noProof/>
          <w:sz w:val="24"/>
          <w:szCs w:val="24"/>
        </w:rPr>
        <w:t>iomem</w:t>
      </w:r>
      <w:r w:rsidR="00D928C3">
        <w:rPr>
          <w:rFonts w:ascii="Times New Roman" w:hAnsi="Times New Roman"/>
          <w:noProof/>
          <w:sz w:val="24"/>
          <w:szCs w:val="24"/>
        </w:rPr>
        <w:t xml:space="preserve"> z 1</w:t>
      </w:r>
      <w:r>
        <w:rPr>
          <w:rFonts w:ascii="Times New Roman" w:hAnsi="Times New Roman"/>
          <w:noProof/>
          <w:sz w:val="24"/>
          <w:szCs w:val="24"/>
        </w:rPr>
        <w:t>9</w:t>
      </w:r>
      <w:r w:rsidRPr="00D928C3">
        <w:rPr>
          <w:rFonts w:ascii="Times New Roman" w:hAnsi="Times New Roman"/>
          <w:noProof/>
          <w:sz w:val="24"/>
          <w:szCs w:val="24"/>
        </w:rPr>
        <w:t>90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="00D928C3">
        <w:rPr>
          <w:rFonts w:ascii="Times New Roman" w:hAnsi="Times New Roman"/>
          <w:noProof/>
          <w:sz w:val="24"/>
          <w:szCs w:val="24"/>
        </w:rPr>
        <w:t xml:space="preserve"> i </w:t>
      </w:r>
      <w:r w:rsidR="00D928C3">
        <w:rPr>
          <w:rFonts w:ascii="Times New Roman" w:hAnsi="Times New Roman"/>
          <w:b/>
          <w:noProof/>
          <w:sz w:val="24"/>
          <w:szCs w:val="24"/>
        </w:rPr>
        <w:t>osi</w:t>
      </w:r>
      <w:r>
        <w:rPr>
          <w:rFonts w:ascii="Times New Roman" w:hAnsi="Times New Roman"/>
          <w:b/>
          <w:noProof/>
          <w:sz w:val="24"/>
          <w:szCs w:val="24"/>
        </w:rPr>
        <w:t>ągnęła najniższy poziom na przestrzeni ostatnich 30 lat.</w:t>
      </w:r>
      <w:r>
        <w:rPr>
          <w:rFonts w:ascii="Times New Roman" w:hAnsi="Times New Roman"/>
          <w:noProof/>
          <w:sz w:val="24"/>
          <w:szCs w:val="24"/>
        </w:rPr>
        <w:t xml:space="preserve"> Po uwzględnieniu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poc</w:t>
      </w:r>
      <w:r>
        <w:rPr>
          <w:rFonts w:ascii="Times New Roman" w:hAnsi="Times New Roman"/>
          <w:noProof/>
          <w:sz w:val="24"/>
          <w:szCs w:val="24"/>
        </w:rPr>
        <w:t>hłaniania będących wynikiem użytkowania gruntów, zmiany użytkowania gruntów</w:t>
      </w:r>
      <w:r w:rsidR="00D928C3">
        <w:rPr>
          <w:rFonts w:ascii="Times New Roman" w:hAnsi="Times New Roman"/>
          <w:noProof/>
          <w:sz w:val="24"/>
          <w:szCs w:val="24"/>
        </w:rPr>
        <w:t xml:space="preserve"> i leś</w:t>
      </w:r>
      <w:r>
        <w:rPr>
          <w:rFonts w:ascii="Times New Roman" w:hAnsi="Times New Roman"/>
          <w:noProof/>
          <w:sz w:val="24"/>
          <w:szCs w:val="24"/>
        </w:rPr>
        <w:t>nictwa (LULUCF) osiągnięta redukcja emisji netto wynosi 3</w:t>
      </w:r>
      <w:r w:rsidRPr="00D928C3">
        <w:rPr>
          <w:rFonts w:ascii="Times New Roman" w:hAnsi="Times New Roman"/>
          <w:noProof/>
          <w:sz w:val="24"/>
          <w:szCs w:val="24"/>
        </w:rPr>
        <w:t>4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4"/>
      </w:r>
      <w:r w:rsidR="00D928C3">
        <w:rPr>
          <w:rFonts w:ascii="Times New Roman" w:hAnsi="Times New Roman"/>
          <w:noProof/>
          <w:sz w:val="24"/>
          <w:szCs w:val="24"/>
        </w:rPr>
        <w:t xml:space="preserve">. </w:t>
      </w:r>
      <w:r w:rsidR="00D928C3">
        <w:rPr>
          <w:rFonts w:ascii="Times New Roman" w:hAnsi="Times New Roman"/>
          <w:b/>
          <w:noProof/>
          <w:sz w:val="24"/>
          <w:szCs w:val="24"/>
        </w:rPr>
        <w:t>W</w:t>
      </w:r>
      <w:r w:rsidR="00D928C3">
        <w:rPr>
          <w:rFonts w:ascii="Times New Roman" w:hAnsi="Times New Roman"/>
          <w:noProof/>
          <w:sz w:val="24"/>
          <w:szCs w:val="24"/>
        </w:rPr>
        <w:t> </w:t>
      </w:r>
      <w:r w:rsidR="00D928C3">
        <w:rPr>
          <w:rFonts w:ascii="Times New Roman" w:hAnsi="Times New Roman"/>
          <w:b/>
          <w:noProof/>
          <w:sz w:val="24"/>
          <w:szCs w:val="24"/>
        </w:rPr>
        <w:t>zwi</w:t>
      </w:r>
      <w:r>
        <w:rPr>
          <w:rFonts w:ascii="Times New Roman" w:hAnsi="Times New Roman"/>
          <w:b/>
          <w:noProof/>
          <w:sz w:val="24"/>
          <w:szCs w:val="24"/>
        </w:rPr>
        <w:t>ązku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z tym</w:t>
      </w:r>
      <w:r>
        <w:rPr>
          <w:rFonts w:ascii="Times New Roman" w:hAnsi="Times New Roman"/>
          <w:b/>
          <w:noProof/>
          <w:sz w:val="24"/>
          <w:szCs w:val="24"/>
        </w:rPr>
        <w:t xml:space="preserve"> UE osiągnęła ze znaczną nadwyżką cel wyznaczony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w Ram</w:t>
      </w:r>
      <w:r>
        <w:rPr>
          <w:rFonts w:ascii="Times New Roman" w:hAnsi="Times New Roman"/>
          <w:b/>
          <w:noProof/>
          <w:sz w:val="24"/>
          <w:szCs w:val="24"/>
        </w:rPr>
        <w:t>owej konwencji ONZ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w spr</w:t>
      </w:r>
      <w:r>
        <w:rPr>
          <w:rFonts w:ascii="Times New Roman" w:hAnsi="Times New Roman"/>
          <w:b/>
          <w:noProof/>
          <w:sz w:val="24"/>
          <w:szCs w:val="24"/>
        </w:rPr>
        <w:t>awie zmian klimatu</w:t>
      </w:r>
      <w:r>
        <w:rPr>
          <w:rFonts w:ascii="Times New Roman" w:hAnsi="Times New Roman"/>
          <w:noProof/>
          <w:sz w:val="24"/>
          <w:szCs w:val="24"/>
        </w:rPr>
        <w:t xml:space="preserve"> (UNFCCC), polegający na ograniczeniu emisji gazów cieplarnianych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o 2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por</w:t>
      </w:r>
      <w:r>
        <w:rPr>
          <w:rFonts w:ascii="Times New Roman" w:hAnsi="Times New Roman"/>
          <w:noProof/>
          <w:sz w:val="24"/>
          <w:szCs w:val="24"/>
        </w:rPr>
        <w:t>ównaniu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poz</w:t>
      </w:r>
      <w:r>
        <w:rPr>
          <w:rFonts w:ascii="Times New Roman" w:hAnsi="Times New Roman"/>
          <w:noProof/>
          <w:sz w:val="24"/>
          <w:szCs w:val="24"/>
        </w:rPr>
        <w:t>iomem</w:t>
      </w:r>
      <w:r w:rsidR="00D928C3">
        <w:rPr>
          <w:rFonts w:ascii="Times New Roman" w:hAnsi="Times New Roman"/>
          <w:noProof/>
          <w:sz w:val="24"/>
          <w:szCs w:val="24"/>
        </w:rPr>
        <w:t xml:space="preserve"> z 1</w:t>
      </w:r>
      <w:r>
        <w:rPr>
          <w:rFonts w:ascii="Times New Roman" w:hAnsi="Times New Roman"/>
          <w:noProof/>
          <w:sz w:val="24"/>
          <w:szCs w:val="24"/>
        </w:rPr>
        <w:t>9</w:t>
      </w:r>
      <w:r w:rsidRPr="00D928C3">
        <w:rPr>
          <w:rFonts w:ascii="Times New Roman" w:hAnsi="Times New Roman"/>
          <w:noProof/>
          <w:sz w:val="24"/>
          <w:szCs w:val="24"/>
        </w:rPr>
        <w:t>90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5"/>
      </w:r>
      <w:r>
        <w:rPr>
          <w:rFonts w:ascii="Times New Roman" w:hAnsi="Times New Roman"/>
          <w:noProof/>
          <w:sz w:val="24"/>
          <w:szCs w:val="24"/>
        </w:rPr>
        <w:t xml:space="preserve">. Dzięki ustawicznym staraniom na rzecz obniżenia emisyjności podejmowanym na przestrzeni ostatniego dziesięciolecia cel ten osiągnięto jeszcze przed wybuchem pandemii COVID-19. </w:t>
      </w:r>
      <w:r>
        <w:rPr>
          <w:rFonts w:ascii="Times New Roman" w:hAnsi="Times New Roman"/>
          <w:noProof/>
          <w:color w:val="000000"/>
          <w:sz w:val="24"/>
          <w:szCs w:val="24"/>
        </w:rPr>
        <w:t>Od wprowadzenia unijnego systemu handlu uprawnieniami do emisji (EU ETS)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05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emisje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sek</w:t>
      </w:r>
      <w:r>
        <w:rPr>
          <w:rFonts w:ascii="Times New Roman" w:hAnsi="Times New Roman"/>
          <w:noProof/>
          <w:color w:val="000000"/>
          <w:sz w:val="24"/>
          <w:szCs w:val="24"/>
        </w:rPr>
        <w:t>torach objętych tym systemem (sektor produkcji energii elektrycznej, znaczna część sektora produkcji przemysłowej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sek</w:t>
      </w:r>
      <w:r>
        <w:rPr>
          <w:rFonts w:ascii="Times New Roman" w:hAnsi="Times New Roman"/>
          <w:noProof/>
          <w:color w:val="000000"/>
          <w:sz w:val="24"/>
          <w:szCs w:val="24"/>
        </w:rPr>
        <w:t>tor lotnictwa na terytorium Europejskiego Obszaru Gospodarczego (EOG)) zmniejszyły się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oko</w:t>
      </w:r>
      <w:r>
        <w:rPr>
          <w:rFonts w:ascii="Times New Roman" w:hAnsi="Times New Roman"/>
          <w:noProof/>
          <w:color w:val="000000"/>
          <w:sz w:val="24"/>
          <w:szCs w:val="24"/>
        </w:rPr>
        <w:t>ło 4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Przyczyniło się to istotnie do osiągnięcia ogólnego celu UE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sek</w:t>
      </w:r>
      <w:r>
        <w:rPr>
          <w:rFonts w:ascii="Times New Roman" w:hAnsi="Times New Roman"/>
          <w:noProof/>
          <w:color w:val="000000"/>
          <w:sz w:val="24"/>
          <w:szCs w:val="24"/>
        </w:rPr>
        <w:t>torach nieobjętych ETS (takich jak sektory przemysłowe nieobjęte ETS, sektor transportu, sektor budowlany, sektor rolnictwa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sek</w:t>
      </w:r>
      <w:r>
        <w:rPr>
          <w:rFonts w:ascii="Times New Roman" w:hAnsi="Times New Roman"/>
          <w:noProof/>
          <w:color w:val="000000"/>
          <w:sz w:val="24"/>
          <w:szCs w:val="24"/>
        </w:rPr>
        <w:t>tor gospodarowania odpadami) emisje obniżyły się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1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por</w:t>
      </w:r>
      <w:r>
        <w:rPr>
          <w:rFonts w:ascii="Times New Roman" w:hAnsi="Times New Roman"/>
          <w:noProof/>
          <w:color w:val="000000"/>
          <w:sz w:val="24"/>
          <w:szCs w:val="24"/>
        </w:rPr>
        <w:t>ównaniu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poz</w:t>
      </w:r>
      <w:r>
        <w:rPr>
          <w:rFonts w:ascii="Times New Roman" w:hAnsi="Times New Roman"/>
          <w:noProof/>
          <w:color w:val="000000"/>
          <w:sz w:val="24"/>
          <w:szCs w:val="24"/>
        </w:rPr>
        <w:t>iomem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05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>, tj. cel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resie wspólnego wysiłku redukcyjnego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(-1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>) również został osiągnięty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nad</w:t>
      </w:r>
      <w:r>
        <w:rPr>
          <w:rFonts w:ascii="Times New Roman" w:hAnsi="Times New Roman"/>
          <w:noProof/>
          <w:color w:val="000000"/>
          <w:sz w:val="24"/>
          <w:szCs w:val="24"/>
        </w:rPr>
        <w:t>wyżką. Zgodnie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wst</w:t>
      </w:r>
      <w:r>
        <w:rPr>
          <w:rFonts w:ascii="Times New Roman" w:hAnsi="Times New Roman"/>
          <w:noProof/>
          <w:color w:val="000000"/>
          <w:sz w:val="24"/>
          <w:szCs w:val="24"/>
        </w:rPr>
        <w:t>ępnymi wynikami symulacji księgowych przeprowadzonych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ram</w:t>
      </w:r>
      <w:r>
        <w:rPr>
          <w:rFonts w:ascii="Times New Roman" w:hAnsi="Times New Roman"/>
          <w:noProof/>
          <w:color w:val="000000"/>
          <w:sz w:val="24"/>
          <w:szCs w:val="24"/>
        </w:rPr>
        <w:t>ach protokołu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Kio</w:t>
      </w:r>
      <w:r>
        <w:rPr>
          <w:rFonts w:ascii="Times New Roman" w:hAnsi="Times New Roman"/>
          <w:noProof/>
          <w:color w:val="000000"/>
          <w:sz w:val="24"/>
          <w:szCs w:val="24"/>
        </w:rPr>
        <w:t>to rozliczone saldo jednostek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tyt</w:t>
      </w:r>
      <w:r>
        <w:rPr>
          <w:rFonts w:ascii="Times New Roman" w:hAnsi="Times New Roman"/>
          <w:noProof/>
          <w:color w:val="000000"/>
          <w:sz w:val="24"/>
          <w:szCs w:val="24"/>
        </w:rPr>
        <w:t>ułu LULUCF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uję</w:t>
      </w:r>
      <w:r>
        <w:rPr>
          <w:rFonts w:ascii="Times New Roman" w:hAnsi="Times New Roman"/>
          <w:noProof/>
          <w:color w:val="000000"/>
          <w:sz w:val="24"/>
          <w:szCs w:val="24"/>
        </w:rPr>
        <w:t>ciu rocznym zmniejszyło się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lat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ach 2013–2019. </w:t>
      </w:r>
    </w:p>
    <w:p w14:paraId="0A9B8D64" w14:textId="77777777" w:rsidR="00DF6261" w:rsidRPr="006520D9" w:rsidRDefault="0060616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 19</w:t>
      </w:r>
      <w:r w:rsidRPr="00D928C3">
        <w:rPr>
          <w:rFonts w:ascii="Times New Roman" w:hAnsi="Times New Roman"/>
          <w:noProof/>
          <w:sz w:val="24"/>
          <w:szCs w:val="24"/>
        </w:rPr>
        <w:t>90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łączny PKB Unii Europejskiej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wzrósł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o pon</w:t>
      </w:r>
      <w:r>
        <w:rPr>
          <w:rFonts w:ascii="Times New Roman" w:hAnsi="Times New Roman"/>
          <w:b/>
          <w:noProof/>
          <w:sz w:val="24"/>
          <w:szCs w:val="24"/>
        </w:rPr>
        <w:t>ad 5</w:t>
      </w:r>
      <w:r w:rsidRPr="00D928C3">
        <w:rPr>
          <w:rFonts w:ascii="Times New Roman" w:hAnsi="Times New Roman"/>
          <w:b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b/>
          <w:noProof/>
          <w:sz w:val="24"/>
          <w:szCs w:val="24"/>
        </w:rPr>
        <w:t> </w:t>
      </w:r>
      <w:r w:rsidRPr="00D928C3">
        <w:rPr>
          <w:rFonts w:ascii="Times New Roman" w:hAnsi="Times New Roman"/>
          <w:b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, podczas gdy intensywność emisji gazów cieplarnianych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gos</w:t>
      </w:r>
      <w:r>
        <w:rPr>
          <w:rFonts w:ascii="Times New Roman" w:hAnsi="Times New Roman"/>
          <w:noProof/>
          <w:sz w:val="24"/>
          <w:szCs w:val="24"/>
        </w:rPr>
        <w:t>podarce, definiowana jako stosunek emisji do PKB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6"/>
      </w:r>
      <w:r>
        <w:rPr>
          <w:rFonts w:ascii="Times New Roman" w:hAnsi="Times New Roman"/>
          <w:noProof/>
          <w:sz w:val="24"/>
          <w:szCs w:val="24"/>
        </w:rPr>
        <w:t>, spadła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71 g ekwiwalentu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noProof/>
        </w:rPr>
        <w:t>/</w:t>
      </w:r>
      <w:r>
        <w:rPr>
          <w:rFonts w:ascii="Times New Roman" w:hAnsi="Times New Roman"/>
          <w:noProof/>
          <w:sz w:val="24"/>
          <w:szCs w:val="24"/>
        </w:rPr>
        <w:t>EUR</w:t>
      </w:r>
      <w:r>
        <w:rPr>
          <w:rFonts w:ascii="Times New Roman" w:hAnsi="Times New Roman"/>
          <w:noProof/>
          <w:sz w:val="24"/>
          <w:szCs w:val="24"/>
          <w:vertAlign w:val="subscript"/>
        </w:rPr>
        <w:t>2015</w:t>
      </w:r>
      <w:r>
        <w:rPr>
          <w:rFonts w:ascii="Times New Roman" w:hAnsi="Times New Roman"/>
          <w:noProof/>
          <w:sz w:val="24"/>
          <w:szCs w:val="24"/>
        </w:rPr>
        <w:t>, czyli do mniej niż połowy poziomu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1</w:t>
      </w:r>
      <w:r>
        <w:rPr>
          <w:rFonts w:ascii="Times New Roman" w:hAnsi="Times New Roman"/>
          <w:noProof/>
          <w:sz w:val="24"/>
          <w:szCs w:val="24"/>
        </w:rPr>
        <w:t>9</w:t>
      </w:r>
      <w:r w:rsidRPr="00D928C3">
        <w:rPr>
          <w:rFonts w:ascii="Times New Roman" w:hAnsi="Times New Roman"/>
          <w:noProof/>
          <w:sz w:val="24"/>
          <w:szCs w:val="24"/>
        </w:rPr>
        <w:t>90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Świadczy to</w:t>
      </w:r>
      <w:r w:rsidR="00D928C3">
        <w:rPr>
          <w:rFonts w:ascii="Times New Roman" w:hAnsi="Times New Roman"/>
          <w:noProof/>
          <w:sz w:val="24"/>
          <w:szCs w:val="24"/>
        </w:rPr>
        <w:t xml:space="preserve"> o tym</w:t>
      </w:r>
      <w:r>
        <w:rPr>
          <w:rFonts w:ascii="Times New Roman" w:hAnsi="Times New Roman"/>
          <w:noProof/>
          <w:sz w:val="24"/>
          <w:szCs w:val="24"/>
        </w:rPr>
        <w:t>, że obniżanie emisyjności może iść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par</w:t>
      </w:r>
      <w:r>
        <w:rPr>
          <w:rFonts w:ascii="Times New Roman" w:hAnsi="Times New Roman"/>
          <w:noProof/>
          <w:sz w:val="24"/>
          <w:szCs w:val="24"/>
        </w:rPr>
        <w:t>ze ze wzrostem gospodarczym, zgodnie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zał</w:t>
      </w:r>
      <w:r>
        <w:rPr>
          <w:rFonts w:ascii="Times New Roman" w:hAnsi="Times New Roman"/>
          <w:noProof/>
          <w:sz w:val="24"/>
          <w:szCs w:val="24"/>
        </w:rPr>
        <w:t>ożeniami nowej unijnej strategii na rzecz wzrostu – Europejskiego Zielonego Ładu</w:t>
      </w:r>
      <w:r>
        <w:rPr>
          <w:rStyle w:val="Odwoanieprzypisudolnego"/>
          <w:rFonts w:ascii="Times New Roman" w:hAnsi="Times New Roman" w:cs="Times New Roman"/>
          <w:noProof/>
          <w:color w:val="000000"/>
          <w:sz w:val="24"/>
          <w:szCs w:val="24"/>
        </w:rPr>
        <w:footnoteReference w:id="7"/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C8BE9EE" w14:textId="77777777" w:rsidR="00BE46EE" w:rsidRDefault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20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emisje gazów cieplarnianych zmniejszyły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o prz</w:t>
      </w:r>
      <w:r>
        <w:rPr>
          <w:rFonts w:ascii="Times New Roman" w:hAnsi="Times New Roman"/>
          <w:noProof/>
          <w:sz w:val="24"/>
          <w:szCs w:val="24"/>
        </w:rPr>
        <w:t>ynajmniej 1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por</w:t>
      </w:r>
      <w:r>
        <w:rPr>
          <w:rFonts w:ascii="Times New Roman" w:hAnsi="Times New Roman"/>
          <w:noProof/>
          <w:sz w:val="24"/>
          <w:szCs w:val="24"/>
        </w:rPr>
        <w:t>ównaniu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co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stanowi bezprecedensowy tymczasowy spadek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poziomu emisji spowodowany pandemią. Emisje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ins</w:t>
      </w:r>
      <w:r>
        <w:rPr>
          <w:rFonts w:ascii="Times New Roman" w:hAnsi="Times New Roman"/>
          <w:noProof/>
          <w:color w:val="000000"/>
          <w:sz w:val="24"/>
          <w:szCs w:val="24"/>
        </w:rPr>
        <w:t>talacji stacjonarnych objętych EU ETS obniżyły się znacznie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1</w:t>
      </w:r>
      <w:r>
        <w:rPr>
          <w:rFonts w:ascii="Times New Roman" w:hAnsi="Times New Roman"/>
          <w:noProof/>
          <w:color w:val="000000"/>
          <w:sz w:val="24"/>
          <w:szCs w:val="24"/>
        </w:rPr>
        <w:t>1,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4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t>natomiast emisje nieobjęte systemem handlu uprawnieniami do emisji zmniejszyły się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5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6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sek</w:t>
      </w:r>
      <w:r>
        <w:rPr>
          <w:rFonts w:ascii="Times New Roman" w:hAnsi="Times New Roman"/>
          <w:noProof/>
          <w:color w:val="000000"/>
          <w:sz w:val="24"/>
          <w:szCs w:val="24"/>
        </w:rPr>
        <w:t>torze lotnictwa odnotowano rekordowy spadek (-63,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>)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poz</w:t>
      </w:r>
      <w:r>
        <w:rPr>
          <w:rFonts w:ascii="Times New Roman" w:hAnsi="Times New Roman"/>
          <w:noProof/>
          <w:color w:val="000000"/>
          <w:sz w:val="24"/>
          <w:szCs w:val="24"/>
        </w:rPr>
        <w:t>iomie emisji generowanych przez loty nad terytorium EOG oraz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glo</w:t>
      </w:r>
      <w:r>
        <w:rPr>
          <w:rFonts w:ascii="Times New Roman" w:hAnsi="Times New Roman"/>
          <w:noProof/>
          <w:color w:val="000000"/>
          <w:sz w:val="24"/>
          <w:szCs w:val="24"/>
        </w:rPr>
        <w:t>balnym poziomie emisji generowanych przez lotnictwo międzynarodowe (-5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4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>)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8"/>
      </w:r>
      <w:r>
        <w:rPr>
          <w:rFonts w:ascii="Times New Roman" w:hAnsi="Times New Roman"/>
          <w:noProof/>
          <w:color w:val="000000"/>
          <w:sz w:val="24"/>
          <w:szCs w:val="24"/>
        </w:rPr>
        <w:t>. Wyniki przeprowadzonego niedawno badania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9"/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wskazują jednak, że</w:t>
      </w:r>
      <w:r>
        <w:rPr>
          <w:rFonts w:ascii="Times New Roman" w:hAnsi="Times New Roman"/>
          <w:noProof/>
          <w:sz w:val="24"/>
          <w:szCs w:val="24"/>
        </w:rPr>
        <w:t xml:space="preserve"> emisje inne niż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generowane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sek</w:t>
      </w:r>
      <w:r>
        <w:rPr>
          <w:rFonts w:ascii="Times New Roman" w:hAnsi="Times New Roman"/>
          <w:noProof/>
          <w:sz w:val="24"/>
          <w:szCs w:val="24"/>
        </w:rPr>
        <w:t>torze lotnictwa odpowiadają za ponad połowę (6</w:t>
      </w:r>
      <w:r w:rsidRPr="00D928C3">
        <w:rPr>
          <w:rFonts w:ascii="Times New Roman" w:hAnsi="Times New Roman"/>
          <w:noProof/>
          <w:sz w:val="24"/>
          <w:szCs w:val="24"/>
        </w:rPr>
        <w:t>6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) efektywnego wymuszania radiacyjnego tego sektora (w 20</w:t>
      </w:r>
      <w:r w:rsidRPr="00D928C3">
        <w:rPr>
          <w:rFonts w:ascii="Times New Roman" w:hAnsi="Times New Roman"/>
          <w:noProof/>
          <w:sz w:val="24"/>
          <w:szCs w:val="24"/>
        </w:rPr>
        <w:t>18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>). Wynika</w:t>
      </w:r>
      <w:r w:rsidR="00D928C3">
        <w:rPr>
          <w:rFonts w:ascii="Times New Roman" w:hAnsi="Times New Roman"/>
          <w:noProof/>
          <w:sz w:val="24"/>
          <w:szCs w:val="24"/>
        </w:rPr>
        <w:t xml:space="preserve"> z teg</w:t>
      </w:r>
      <w:r>
        <w:rPr>
          <w:rFonts w:ascii="Times New Roman" w:hAnsi="Times New Roman"/>
          <w:noProof/>
          <w:sz w:val="24"/>
          <w:szCs w:val="24"/>
        </w:rPr>
        <w:t>o, że konieczne jest rozważenie,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jak</w:t>
      </w:r>
      <w:r>
        <w:rPr>
          <w:rFonts w:ascii="Times New Roman" w:hAnsi="Times New Roman"/>
          <w:noProof/>
          <w:sz w:val="24"/>
          <w:szCs w:val="24"/>
        </w:rPr>
        <w:t>i sposób najlepiej będzie rozwiązać problem wpływu emisji innych niż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>, aby przyczynić się do osiągnięcia celów klimatycznych UE oraz porozumienia paryskiego, co będzie uzupełnieniem już podejmowanych działań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 xml:space="preserve">edzinie klimatu. </w:t>
      </w:r>
    </w:p>
    <w:p w14:paraId="6E9A1691" w14:textId="77777777" w:rsidR="00085441" w:rsidRPr="00B7742C" w:rsidRDefault="00FB26F4">
      <w:pPr>
        <w:spacing w:after="24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Mimo że transport morski jest jednym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naj</w:t>
      </w:r>
      <w:r>
        <w:rPr>
          <w:rFonts w:ascii="Times New Roman" w:hAnsi="Times New Roman"/>
          <w:noProof/>
          <w:color w:val="000000"/>
          <w:sz w:val="24"/>
          <w:szCs w:val="24"/>
        </w:rPr>
        <w:t>bardziej energooszczędnych rodzajów transportu, sektor transportu morskiego odpowiadał za około 3–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4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wszystkich emisji CO</w:t>
      </w: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w UE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lat</w:t>
      </w:r>
      <w:r>
        <w:rPr>
          <w:rFonts w:ascii="Times New Roman" w:hAnsi="Times New Roman"/>
          <w:noProof/>
          <w:color w:val="000000"/>
          <w:sz w:val="24"/>
          <w:szCs w:val="24"/>
        </w:rPr>
        <w:t>ach 2018–2019, przy czym około 6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tych emisji zostało wygenerowanych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tra</w:t>
      </w:r>
      <w:r>
        <w:rPr>
          <w:rFonts w:ascii="Times New Roman" w:hAnsi="Times New Roman"/>
          <w:noProof/>
          <w:color w:val="000000"/>
          <w:sz w:val="24"/>
          <w:szCs w:val="24"/>
        </w:rPr>
        <w:t>kcie rejsów do lub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por</w:t>
      </w:r>
      <w:r>
        <w:rPr>
          <w:rFonts w:ascii="Times New Roman" w:hAnsi="Times New Roman"/>
          <w:noProof/>
          <w:color w:val="000000"/>
          <w:sz w:val="24"/>
          <w:szCs w:val="24"/>
        </w:rPr>
        <w:t>tu położonego poza EOG</w:t>
      </w:r>
      <w:r>
        <w:rPr>
          <w:rStyle w:val="Odwoanieprzypisudolnego"/>
          <w:rFonts w:ascii="Times New Roman" w:hAnsi="Times New Roman" w:cs="Times New Roman"/>
          <w:noProof/>
          <w:color w:val="000000"/>
          <w:sz w:val="24"/>
          <w:szCs w:val="24"/>
        </w:rPr>
        <w:footnoteReference w:id="10"/>
      </w:r>
      <w:r>
        <w:rPr>
          <w:rFonts w:ascii="Times New Roman" w:hAnsi="Times New Roman"/>
          <w:noProof/>
          <w:color w:val="000000"/>
          <w:sz w:val="24"/>
          <w:szCs w:val="24"/>
        </w:rPr>
        <w:t>. W 20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również ten sektor dotkliwie odczuł skutki pandemii (-1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5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emisji CO</w:t>
      </w: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rok do roku)</w:t>
      </w:r>
      <w:r>
        <w:rPr>
          <w:rStyle w:val="Odwoanieprzypisudolnego"/>
          <w:rFonts w:ascii="Times New Roman" w:hAnsi="Times New Roman" w:cs="Times New Roman"/>
          <w:noProof/>
          <w:color w:val="000000"/>
          <w:sz w:val="24"/>
          <w:szCs w:val="24"/>
        </w:rPr>
        <w:footnoteReference w:id="11"/>
      </w:r>
      <w:r>
        <w:rPr>
          <w:rFonts w:ascii="Times New Roman" w:hAnsi="Times New Roman"/>
          <w:noProof/>
          <w:color w:val="000000"/>
          <w:sz w:val="24"/>
          <w:szCs w:val="24"/>
        </w:rPr>
        <w:t>. Pomimo dotychczasowych osiągnięć należy przypomnieć, że szybkie ożywienie koniunktury może jednak doprowadzić do mocnego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gwa</w:t>
      </w:r>
      <w:r>
        <w:rPr>
          <w:rFonts w:ascii="Times New Roman" w:hAnsi="Times New Roman"/>
          <w:noProof/>
          <w:color w:val="000000"/>
          <w:sz w:val="24"/>
          <w:szCs w:val="24"/>
        </w:rPr>
        <w:t>łtownego wzrostu poziomu emisji,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ile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nie będą mu towarzyszyły środki zachęcające do zielonej transformacji. Ponadto, biorąc pod uwagę bezprecedensowe skutki zmiany klimatu</w:t>
      </w:r>
      <w:r>
        <w:rPr>
          <w:rStyle w:val="Odwoanieprzypisudolnego"/>
          <w:rFonts w:ascii="Times New Roman" w:hAnsi="Times New Roman" w:cs="Times New Roman"/>
          <w:noProof/>
          <w:color w:val="000000"/>
          <w:sz w:val="24"/>
          <w:szCs w:val="24"/>
        </w:rPr>
        <w:footnoteReference w:id="12"/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należy działać szybciej niż kiedykolwiek wcześniej, aby zapewnić ekologiczną, sprawiedliwą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i dos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tatnią przyszłość. </w:t>
      </w:r>
    </w:p>
    <w:p w14:paraId="2860A0FA" w14:textId="77777777" w:rsidR="009D5AB7" w:rsidRPr="006520D9" w:rsidRDefault="00820779" w:rsidP="00F06FA3">
      <w:pPr>
        <w:spacing w:after="240" w:line="240" w:lineRule="auto"/>
        <w:jc w:val="both"/>
        <w:rPr>
          <w:rFonts w:ascii="Calibri" w:hAnsi="Calibri" w:cs="Calibri"/>
          <w:noProof/>
        </w:rPr>
      </w:pPr>
      <w:r w:rsidRPr="003E611E">
        <w:rPr>
          <w:noProof/>
          <w:lang w:eastAsia="pl-PL"/>
        </w:rPr>
        <w:lastRenderedPageBreak/>
        <w:drawing>
          <wp:inline distT="0" distB="0" distL="0" distR="0" wp14:anchorId="4A5750C2" wp14:editId="12C20DB4">
            <wp:extent cx="5731510" cy="49390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C6AAB" w14:textId="77777777" w:rsidR="00DF6261" w:rsidRPr="006520D9" w:rsidRDefault="00DF6261" w:rsidP="00B7742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>Wykres 1: Łączne poziomy emisji</w:t>
      </w:r>
      <w:r w:rsidR="00D928C3">
        <w:rPr>
          <w:rFonts w:ascii="Calibri" w:hAnsi="Calibri"/>
          <w:b/>
          <w:noProof/>
          <w:sz w:val="20"/>
          <w:szCs w:val="20"/>
        </w:rPr>
        <w:t xml:space="preserve"> i poc</w:t>
      </w:r>
      <w:r>
        <w:rPr>
          <w:rFonts w:ascii="Calibri" w:hAnsi="Calibri"/>
          <w:b/>
          <w:noProof/>
          <w:sz w:val="20"/>
          <w:szCs w:val="20"/>
        </w:rPr>
        <w:t>hłaniania gazów cieplarnianych (z uwzględnieniem lotnictwa międzynarodowego)</w:t>
      </w:r>
      <w:r w:rsidR="00D928C3">
        <w:rPr>
          <w:rFonts w:ascii="Calibri" w:hAnsi="Calibri"/>
          <w:b/>
          <w:noProof/>
          <w:sz w:val="20"/>
          <w:szCs w:val="20"/>
        </w:rPr>
        <w:t xml:space="preserve"> w pań</w:t>
      </w:r>
      <w:r>
        <w:rPr>
          <w:rFonts w:ascii="Calibri" w:hAnsi="Calibri"/>
          <w:b/>
          <w:noProof/>
          <w:sz w:val="20"/>
          <w:szCs w:val="20"/>
        </w:rPr>
        <w:t>stwach UE-27</w:t>
      </w:r>
      <w:r w:rsidR="00D928C3">
        <w:rPr>
          <w:rFonts w:ascii="Calibri" w:hAnsi="Calibri"/>
          <w:b/>
          <w:noProof/>
          <w:sz w:val="20"/>
          <w:szCs w:val="20"/>
        </w:rPr>
        <w:t xml:space="preserve"> w lat</w:t>
      </w:r>
      <w:r>
        <w:rPr>
          <w:rFonts w:ascii="Calibri" w:hAnsi="Calibri"/>
          <w:b/>
          <w:noProof/>
          <w:sz w:val="20"/>
          <w:szCs w:val="20"/>
        </w:rPr>
        <w:t>ach 1990–2020, cele oraz poziomy emisji</w:t>
      </w:r>
      <w:r w:rsidR="00D928C3">
        <w:rPr>
          <w:rFonts w:ascii="Calibri" w:hAnsi="Calibri"/>
          <w:b/>
          <w:noProof/>
          <w:sz w:val="20"/>
          <w:szCs w:val="20"/>
        </w:rPr>
        <w:t xml:space="preserve"> i poc</w:t>
      </w:r>
      <w:r>
        <w:rPr>
          <w:rFonts w:ascii="Calibri" w:hAnsi="Calibri"/>
          <w:b/>
          <w:noProof/>
          <w:sz w:val="20"/>
          <w:szCs w:val="20"/>
        </w:rPr>
        <w:t>hłaniania prognozowane na podstawie modeli na lata 2020–2050</w:t>
      </w:r>
      <w:r>
        <w:rPr>
          <w:rStyle w:val="Odwoanieprzypisudolnego"/>
          <w:b/>
          <w:noProof/>
          <w:sz w:val="20"/>
          <w:szCs w:val="20"/>
        </w:rPr>
        <w:footnoteReference w:id="13"/>
      </w:r>
    </w:p>
    <w:p w14:paraId="5D64DF69" w14:textId="77777777" w:rsidR="00480B80" w:rsidRDefault="00480B80" w:rsidP="00B7742C">
      <w:pPr>
        <w:spacing w:after="240" w:line="240" w:lineRule="auto"/>
        <w:jc w:val="both"/>
        <w:rPr>
          <w:noProof/>
          <w:szCs w:val="24"/>
        </w:rPr>
      </w:pPr>
    </w:p>
    <w:p w14:paraId="01DBAF51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Znaczna intensyfikacja działań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dzi</w:t>
      </w:r>
      <w:r>
        <w:rPr>
          <w:rFonts w:ascii="Times New Roman" w:hAnsi="Times New Roman"/>
          <w:b/>
          <w:i/>
          <w:noProof/>
          <w:sz w:val="24"/>
          <w:szCs w:val="24"/>
        </w:rPr>
        <w:t>edzinie klimatu podejmowanych na szczeblu europejskim</w:t>
      </w:r>
    </w:p>
    <w:p w14:paraId="63E166AE" w14:textId="77777777" w:rsidR="009401B3" w:rsidRDefault="00DF6261" w:rsidP="00B7742C">
      <w:pPr>
        <w:pStyle w:val="CAPRbody"/>
        <w:spacing w:after="240"/>
        <w:rPr>
          <w:b/>
          <w:bCs/>
          <w:noProof/>
          <w:color w:val="FF0000"/>
          <w:sz w:val="20"/>
        </w:rPr>
      </w:pPr>
      <w:r>
        <w:rPr>
          <w:noProof/>
          <w:color w:val="000000"/>
          <w:szCs w:val="24"/>
        </w:rPr>
        <w:lastRenderedPageBreak/>
        <w:t>Zgodnie</w:t>
      </w:r>
      <w:r w:rsidR="00D928C3">
        <w:rPr>
          <w:noProof/>
          <w:color w:val="000000"/>
          <w:szCs w:val="24"/>
        </w:rPr>
        <w:t xml:space="preserve"> z por</w:t>
      </w:r>
      <w:r>
        <w:rPr>
          <w:noProof/>
          <w:color w:val="000000"/>
          <w:szCs w:val="24"/>
        </w:rPr>
        <w:t>ozumieniem paryskim</w:t>
      </w:r>
      <w:r w:rsidR="00D928C3">
        <w:rPr>
          <w:noProof/>
          <w:color w:val="000000"/>
          <w:szCs w:val="24"/>
        </w:rPr>
        <w:t xml:space="preserve"> w gru</w:t>
      </w:r>
      <w:r>
        <w:rPr>
          <w:noProof/>
          <w:color w:val="000000"/>
          <w:szCs w:val="24"/>
        </w:rPr>
        <w:t>dniu 20</w:t>
      </w:r>
      <w:r w:rsidRPr="00D928C3">
        <w:rPr>
          <w:noProof/>
          <w:color w:val="000000"/>
          <w:szCs w:val="24"/>
        </w:rPr>
        <w:t>19</w:t>
      </w:r>
      <w:r w:rsidR="00D928C3" w:rsidRPr="00D928C3">
        <w:rPr>
          <w:noProof/>
          <w:color w:val="000000"/>
          <w:szCs w:val="24"/>
        </w:rPr>
        <w:t> </w:t>
      </w:r>
      <w:r w:rsidRPr="00D928C3">
        <w:rPr>
          <w:noProof/>
          <w:color w:val="000000"/>
          <w:szCs w:val="24"/>
        </w:rPr>
        <w:t>r.</w:t>
      </w:r>
      <w:r>
        <w:rPr>
          <w:noProof/>
          <w:color w:val="000000"/>
          <w:szCs w:val="24"/>
        </w:rPr>
        <w:t xml:space="preserve"> UE wyznaczyła </w:t>
      </w:r>
      <w:r>
        <w:rPr>
          <w:b/>
          <w:noProof/>
          <w:color w:val="000000"/>
          <w:szCs w:val="24"/>
        </w:rPr>
        <w:t xml:space="preserve">cel zakładający osiągnięcie neutralności klimatycznej </w:t>
      </w:r>
      <w:r w:rsidRPr="00D928C3">
        <w:rPr>
          <w:b/>
          <w:noProof/>
          <w:color w:val="000000"/>
          <w:szCs w:val="24"/>
        </w:rPr>
        <w:t>do</w:t>
      </w:r>
      <w:r w:rsidR="00D928C3" w:rsidRPr="00D928C3">
        <w:rPr>
          <w:b/>
          <w:noProof/>
          <w:color w:val="000000"/>
          <w:szCs w:val="24"/>
        </w:rPr>
        <w:t> </w:t>
      </w:r>
      <w:r w:rsidRPr="00D928C3">
        <w:rPr>
          <w:b/>
          <w:noProof/>
          <w:color w:val="000000"/>
          <w:szCs w:val="24"/>
        </w:rPr>
        <w:t>2</w:t>
      </w:r>
      <w:r>
        <w:rPr>
          <w:b/>
          <w:noProof/>
          <w:color w:val="000000"/>
          <w:szCs w:val="24"/>
        </w:rPr>
        <w:t>0</w:t>
      </w:r>
      <w:r w:rsidRPr="00D928C3">
        <w:rPr>
          <w:b/>
          <w:noProof/>
          <w:color w:val="000000"/>
          <w:szCs w:val="24"/>
        </w:rPr>
        <w:t>50</w:t>
      </w:r>
      <w:r w:rsidR="00D928C3" w:rsidRPr="00D928C3">
        <w:rPr>
          <w:b/>
          <w:noProof/>
          <w:color w:val="000000"/>
          <w:szCs w:val="24"/>
        </w:rPr>
        <w:t> </w:t>
      </w:r>
      <w:r w:rsidRPr="00D928C3">
        <w:rPr>
          <w:b/>
          <w:noProof/>
          <w:color w:val="000000"/>
          <w:szCs w:val="24"/>
        </w:rPr>
        <w:t>r.</w:t>
      </w:r>
      <w:r w:rsidR="00D928C3" w:rsidRPr="00D928C3">
        <w:rPr>
          <w:noProof/>
          <w:color w:val="000000"/>
          <w:szCs w:val="24"/>
        </w:rPr>
        <w:t xml:space="preserve"> </w:t>
      </w:r>
      <w:r w:rsidRPr="00D928C3">
        <w:rPr>
          <w:noProof/>
          <w:color w:val="000000"/>
          <w:szCs w:val="24"/>
        </w:rPr>
        <w:t>U</w:t>
      </w:r>
      <w:r>
        <w:rPr>
          <w:noProof/>
          <w:color w:val="000000"/>
          <w:szCs w:val="24"/>
        </w:rPr>
        <w:t>E przyjęła również Europejski Zielony Ład – wielosektorowy plan działania służący zapewnieniu zielonej</w:t>
      </w:r>
      <w:r w:rsidR="00D928C3">
        <w:rPr>
          <w:noProof/>
          <w:color w:val="000000"/>
          <w:szCs w:val="24"/>
        </w:rPr>
        <w:t xml:space="preserve"> i spr</w:t>
      </w:r>
      <w:r>
        <w:rPr>
          <w:noProof/>
          <w:color w:val="000000"/>
          <w:szCs w:val="24"/>
        </w:rPr>
        <w:t>awiedliwej transformacji –</w:t>
      </w:r>
      <w:r w:rsidR="00D928C3">
        <w:rPr>
          <w:noProof/>
          <w:color w:val="000000"/>
          <w:szCs w:val="24"/>
        </w:rPr>
        <w:t xml:space="preserve"> w któ</w:t>
      </w:r>
      <w:r>
        <w:rPr>
          <w:noProof/>
          <w:color w:val="000000"/>
          <w:szCs w:val="24"/>
        </w:rPr>
        <w:t>rym technologie cyfrowe odgrywają coraz istotniejszą rolę</w:t>
      </w:r>
      <w:r w:rsidR="00D928C3">
        <w:rPr>
          <w:noProof/>
          <w:color w:val="000000"/>
          <w:szCs w:val="24"/>
        </w:rPr>
        <w:t xml:space="preserve"> w obs</w:t>
      </w:r>
      <w:r>
        <w:rPr>
          <w:noProof/>
          <w:color w:val="000000"/>
          <w:szCs w:val="24"/>
        </w:rPr>
        <w:t>zarze łagodzenia</w:t>
      </w:r>
      <w:r w:rsidR="00D928C3">
        <w:rPr>
          <w:noProof/>
          <w:color w:val="000000"/>
          <w:szCs w:val="24"/>
        </w:rPr>
        <w:t xml:space="preserve"> i prz</w:t>
      </w:r>
      <w:r>
        <w:rPr>
          <w:noProof/>
          <w:color w:val="000000"/>
          <w:szCs w:val="24"/>
        </w:rPr>
        <w:t>ystosowywania się do zmiany klimatu</w:t>
      </w:r>
      <w:r w:rsidR="00D928C3">
        <w:rPr>
          <w:noProof/>
          <w:color w:val="000000"/>
          <w:szCs w:val="24"/>
        </w:rPr>
        <w:t>. W gru</w:t>
      </w:r>
      <w:r>
        <w:rPr>
          <w:noProof/>
          <w:color w:val="000000"/>
          <w:szCs w:val="24"/>
        </w:rPr>
        <w:t>dniu 20</w:t>
      </w:r>
      <w:r w:rsidRPr="00D928C3">
        <w:rPr>
          <w:noProof/>
          <w:color w:val="000000"/>
          <w:szCs w:val="24"/>
        </w:rPr>
        <w:t>20</w:t>
      </w:r>
      <w:r w:rsidR="00D928C3" w:rsidRPr="00D928C3">
        <w:rPr>
          <w:noProof/>
          <w:color w:val="000000"/>
          <w:szCs w:val="24"/>
        </w:rPr>
        <w:t> </w:t>
      </w:r>
      <w:r w:rsidRPr="00D928C3">
        <w:rPr>
          <w:noProof/>
          <w:color w:val="000000"/>
          <w:szCs w:val="24"/>
        </w:rPr>
        <w:t>r.</w:t>
      </w:r>
      <w:r>
        <w:rPr>
          <w:noProof/>
          <w:color w:val="000000"/>
          <w:szCs w:val="24"/>
        </w:rPr>
        <w:t xml:space="preserve"> Rada Europejska zatwierdziła ambitniejszy cel </w:t>
      </w:r>
      <w:r w:rsidRPr="00D928C3">
        <w:rPr>
          <w:noProof/>
          <w:color w:val="000000"/>
          <w:szCs w:val="24"/>
        </w:rPr>
        <w:t>na</w:t>
      </w:r>
      <w:r w:rsidR="00D928C3" w:rsidRPr="00D928C3">
        <w:rPr>
          <w:noProof/>
          <w:color w:val="000000"/>
          <w:szCs w:val="24"/>
        </w:rPr>
        <w:t> </w:t>
      </w:r>
      <w:r w:rsidRPr="00D928C3">
        <w:rPr>
          <w:noProof/>
          <w:color w:val="000000"/>
          <w:szCs w:val="24"/>
        </w:rPr>
        <w:t>2</w:t>
      </w:r>
      <w:r>
        <w:rPr>
          <w:noProof/>
          <w:color w:val="000000"/>
          <w:szCs w:val="24"/>
        </w:rPr>
        <w:t>0</w:t>
      </w:r>
      <w:r w:rsidRPr="00D928C3">
        <w:rPr>
          <w:noProof/>
          <w:color w:val="000000"/>
          <w:szCs w:val="24"/>
        </w:rPr>
        <w:t>30</w:t>
      </w:r>
      <w:r w:rsidR="00D928C3" w:rsidRPr="00D928C3">
        <w:rPr>
          <w:noProof/>
          <w:color w:val="000000"/>
          <w:szCs w:val="24"/>
        </w:rPr>
        <w:t> </w:t>
      </w:r>
      <w:r w:rsidRPr="00D928C3">
        <w:rPr>
          <w:noProof/>
          <w:color w:val="000000"/>
          <w:szCs w:val="24"/>
        </w:rPr>
        <w:t>r.</w:t>
      </w:r>
      <w:r>
        <w:rPr>
          <w:noProof/>
          <w:color w:val="000000"/>
          <w:szCs w:val="24"/>
        </w:rPr>
        <w:t xml:space="preserve"> zakładający obniżenie poziomu emisji netto o co najmniej 5</w:t>
      </w:r>
      <w:r w:rsidRPr="00D928C3">
        <w:rPr>
          <w:noProof/>
          <w:color w:val="000000"/>
          <w:szCs w:val="24"/>
        </w:rPr>
        <w:t>5</w:t>
      </w:r>
      <w:r w:rsidR="00D928C3" w:rsidRPr="00D928C3">
        <w:rPr>
          <w:noProof/>
          <w:color w:val="000000"/>
          <w:szCs w:val="24"/>
        </w:rPr>
        <w:t> </w:t>
      </w:r>
      <w:r w:rsidRPr="00D928C3">
        <w:rPr>
          <w:noProof/>
          <w:color w:val="000000"/>
          <w:szCs w:val="24"/>
        </w:rPr>
        <w:t>%</w:t>
      </w:r>
      <w:r>
        <w:rPr>
          <w:noProof/>
          <w:color w:val="000000"/>
          <w:szCs w:val="24"/>
        </w:rPr>
        <w:t xml:space="preserve"> (w porównaniu</w:t>
      </w:r>
      <w:r w:rsidR="00D928C3">
        <w:rPr>
          <w:noProof/>
          <w:color w:val="000000"/>
          <w:szCs w:val="24"/>
        </w:rPr>
        <w:t xml:space="preserve"> z wcz</w:t>
      </w:r>
      <w:r>
        <w:rPr>
          <w:noProof/>
          <w:color w:val="000000"/>
          <w:szCs w:val="24"/>
        </w:rPr>
        <w:t>eśniejszym celem zakładającym zmniejszenie emisji gazów cieplarnianych</w:t>
      </w:r>
      <w:r w:rsidR="00D928C3">
        <w:rPr>
          <w:noProof/>
          <w:color w:val="000000"/>
          <w:szCs w:val="24"/>
        </w:rPr>
        <w:t xml:space="preserve"> o 4</w:t>
      </w:r>
      <w:r w:rsidRPr="00D928C3">
        <w:rPr>
          <w:noProof/>
          <w:color w:val="000000"/>
          <w:szCs w:val="24"/>
        </w:rPr>
        <w:t>0</w:t>
      </w:r>
      <w:r w:rsidR="00D928C3" w:rsidRPr="00D928C3">
        <w:rPr>
          <w:noProof/>
          <w:color w:val="000000"/>
          <w:szCs w:val="24"/>
        </w:rPr>
        <w:t> </w:t>
      </w:r>
      <w:r w:rsidRPr="00D928C3">
        <w:rPr>
          <w:noProof/>
          <w:color w:val="000000"/>
          <w:szCs w:val="24"/>
        </w:rPr>
        <w:t>%</w:t>
      </w:r>
      <w:r>
        <w:rPr>
          <w:noProof/>
          <w:color w:val="000000"/>
          <w:szCs w:val="24"/>
        </w:rPr>
        <w:t xml:space="preserve">) po opublikowaniu przez Komisję </w:t>
      </w:r>
      <w:r>
        <w:rPr>
          <w:b/>
          <w:noProof/>
          <w:color w:val="000000"/>
          <w:szCs w:val="24"/>
        </w:rPr>
        <w:t>Planu</w:t>
      </w:r>
      <w:r w:rsidR="00D928C3">
        <w:rPr>
          <w:b/>
          <w:noProof/>
          <w:color w:val="000000"/>
          <w:szCs w:val="24"/>
        </w:rPr>
        <w:t xml:space="preserve"> w zak</w:t>
      </w:r>
      <w:r>
        <w:rPr>
          <w:b/>
          <w:noProof/>
          <w:color w:val="000000"/>
          <w:szCs w:val="24"/>
        </w:rPr>
        <w:t xml:space="preserve">resie celów klimatycznych </w:t>
      </w:r>
      <w:r w:rsidRPr="00D928C3">
        <w:rPr>
          <w:b/>
          <w:noProof/>
          <w:color w:val="000000"/>
          <w:szCs w:val="24"/>
        </w:rPr>
        <w:t>na</w:t>
      </w:r>
      <w:r w:rsidR="00D928C3" w:rsidRPr="00D928C3">
        <w:rPr>
          <w:b/>
          <w:noProof/>
          <w:color w:val="000000"/>
          <w:szCs w:val="24"/>
        </w:rPr>
        <w:t> </w:t>
      </w:r>
      <w:r w:rsidRPr="00D928C3">
        <w:rPr>
          <w:b/>
          <w:noProof/>
          <w:color w:val="000000"/>
          <w:szCs w:val="24"/>
        </w:rPr>
        <w:t>2</w:t>
      </w:r>
      <w:r>
        <w:rPr>
          <w:b/>
          <w:noProof/>
          <w:color w:val="000000"/>
          <w:szCs w:val="24"/>
        </w:rPr>
        <w:t>0</w:t>
      </w:r>
      <w:r w:rsidRPr="00D928C3">
        <w:rPr>
          <w:b/>
          <w:noProof/>
          <w:color w:val="000000"/>
          <w:szCs w:val="24"/>
        </w:rPr>
        <w:t>30</w:t>
      </w:r>
      <w:r w:rsidR="00D928C3" w:rsidRPr="00D928C3">
        <w:rPr>
          <w:b/>
          <w:noProof/>
          <w:color w:val="000000"/>
          <w:szCs w:val="24"/>
        </w:rPr>
        <w:t> </w:t>
      </w:r>
      <w:r w:rsidRPr="00D928C3">
        <w:rPr>
          <w:b/>
          <w:noProof/>
          <w:color w:val="000000"/>
          <w:szCs w:val="24"/>
        </w:rPr>
        <w:t>r.</w:t>
      </w:r>
      <w:r>
        <w:rPr>
          <w:rStyle w:val="Odwoanieprzypisudolnego"/>
          <w:noProof/>
          <w:color w:val="000000"/>
          <w:szCs w:val="24"/>
        </w:rPr>
        <w:footnoteReference w:id="14"/>
      </w:r>
      <w:r>
        <w:rPr>
          <w:b/>
          <w:noProof/>
          <w:color w:val="000000"/>
          <w:szCs w:val="24"/>
        </w:rPr>
        <w:t>,</w:t>
      </w:r>
      <w:r w:rsidR="00D928C3">
        <w:rPr>
          <w:b/>
          <w:noProof/>
          <w:color w:val="000000"/>
          <w:szCs w:val="24"/>
        </w:rPr>
        <w:t xml:space="preserve"> </w:t>
      </w:r>
      <w:r w:rsidR="00D928C3">
        <w:rPr>
          <w:noProof/>
          <w:color w:val="000000"/>
          <w:szCs w:val="24"/>
        </w:rPr>
        <w:t>w</w:t>
      </w:r>
      <w:r w:rsidR="00D928C3">
        <w:rPr>
          <w:b/>
          <w:noProof/>
          <w:color w:val="000000"/>
          <w:szCs w:val="24"/>
        </w:rPr>
        <w:t> </w:t>
      </w:r>
      <w:r w:rsidR="00D928C3">
        <w:rPr>
          <w:noProof/>
          <w:color w:val="000000"/>
          <w:szCs w:val="24"/>
        </w:rPr>
        <w:t>któ</w:t>
      </w:r>
      <w:r>
        <w:rPr>
          <w:noProof/>
          <w:color w:val="000000"/>
          <w:szCs w:val="24"/>
        </w:rPr>
        <w:t>rym zaproponowano bardziej zrównoważoną ścieżkę</w:t>
      </w:r>
      <w:r w:rsidR="00D928C3">
        <w:rPr>
          <w:noProof/>
          <w:color w:val="000000"/>
          <w:szCs w:val="24"/>
        </w:rPr>
        <w:t xml:space="preserve"> w kie</w:t>
      </w:r>
      <w:r>
        <w:rPr>
          <w:noProof/>
          <w:color w:val="000000"/>
          <w:szCs w:val="24"/>
        </w:rPr>
        <w:t>runku neutralności klimatycznej</w:t>
      </w:r>
      <w:r w:rsidR="00D928C3">
        <w:rPr>
          <w:noProof/>
          <w:color w:val="000000"/>
          <w:szCs w:val="24"/>
        </w:rPr>
        <w:t>. W rez</w:t>
      </w:r>
      <w:r>
        <w:rPr>
          <w:noProof/>
          <w:color w:val="000000"/>
          <w:szCs w:val="24"/>
        </w:rPr>
        <w:t>ultacie</w:t>
      </w:r>
      <w:r w:rsidR="00D928C3">
        <w:rPr>
          <w:noProof/>
          <w:color w:val="000000"/>
          <w:szCs w:val="24"/>
        </w:rPr>
        <w:t xml:space="preserve"> w gru</w:t>
      </w:r>
      <w:r>
        <w:rPr>
          <w:noProof/>
          <w:color w:val="000000"/>
          <w:szCs w:val="24"/>
        </w:rPr>
        <w:t>dniu 20</w:t>
      </w:r>
      <w:r w:rsidRPr="00D928C3">
        <w:rPr>
          <w:noProof/>
          <w:color w:val="000000"/>
          <w:szCs w:val="24"/>
        </w:rPr>
        <w:t>20</w:t>
      </w:r>
      <w:r w:rsidR="00D928C3" w:rsidRPr="00D928C3">
        <w:rPr>
          <w:noProof/>
          <w:color w:val="000000"/>
          <w:szCs w:val="24"/>
        </w:rPr>
        <w:t> </w:t>
      </w:r>
      <w:r w:rsidRPr="00D928C3">
        <w:rPr>
          <w:noProof/>
          <w:color w:val="000000"/>
          <w:szCs w:val="24"/>
        </w:rPr>
        <w:t>r.</w:t>
      </w:r>
      <w:r>
        <w:rPr>
          <w:noProof/>
          <w:color w:val="000000"/>
          <w:szCs w:val="24"/>
        </w:rPr>
        <w:t xml:space="preserve"> UE</w:t>
      </w:r>
      <w:r w:rsidR="00D928C3">
        <w:rPr>
          <w:noProof/>
          <w:color w:val="000000"/>
          <w:szCs w:val="24"/>
        </w:rPr>
        <w:t xml:space="preserve"> i jej</w:t>
      </w:r>
      <w:r>
        <w:rPr>
          <w:noProof/>
          <w:color w:val="000000"/>
          <w:szCs w:val="24"/>
        </w:rPr>
        <w:t xml:space="preserve"> państwa członkowskie przedstawiły UNFCCC zaktualizowane </w:t>
      </w:r>
      <w:r>
        <w:rPr>
          <w:b/>
          <w:bCs/>
          <w:noProof/>
          <w:color w:val="000000"/>
          <w:szCs w:val="24"/>
        </w:rPr>
        <w:t>ustalone na poziomie krajowym wkłady</w:t>
      </w:r>
      <w:r>
        <w:rPr>
          <w:noProof/>
          <w:color w:val="000000"/>
          <w:szCs w:val="24"/>
        </w:rPr>
        <w:t xml:space="preserve">. </w:t>
      </w:r>
      <w:r>
        <w:rPr>
          <w:noProof/>
        </w:rPr>
        <w:t>Do października 20</w:t>
      </w:r>
      <w:r w:rsidRPr="00D928C3">
        <w:rPr>
          <w:noProof/>
        </w:rPr>
        <w:t>21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20 państw członkowskich</w:t>
      </w:r>
      <w:r>
        <w:rPr>
          <w:rStyle w:val="Odwoanieprzypisudolnego"/>
          <w:noProof/>
          <w:szCs w:val="24"/>
        </w:rPr>
        <w:footnoteReference w:id="15"/>
      </w:r>
      <w:r>
        <w:rPr>
          <w:noProof/>
        </w:rPr>
        <w:t xml:space="preserve"> przedłożyło UE swoje </w:t>
      </w:r>
      <w:r>
        <w:rPr>
          <w:b/>
          <w:noProof/>
          <w:szCs w:val="24"/>
        </w:rPr>
        <w:t>strategie długoterminowe</w:t>
      </w:r>
      <w:r>
        <w:rPr>
          <w:rStyle w:val="Odwoanieprzypisudolnego"/>
          <w:noProof/>
          <w:szCs w:val="24"/>
        </w:rPr>
        <w:footnoteReference w:id="16"/>
      </w:r>
      <w:r>
        <w:rPr>
          <w:noProof/>
        </w:rPr>
        <w:t>, przy czym państwa członkowskie zachęca się do rozważenia możliwości zaktualizowania tych strategii i,</w:t>
      </w:r>
      <w:r w:rsidR="00D928C3">
        <w:rPr>
          <w:noProof/>
        </w:rPr>
        <w:t xml:space="preserve"> w mia</w:t>
      </w:r>
      <w:r>
        <w:rPr>
          <w:noProof/>
        </w:rPr>
        <w:t>rę możliwości, wyznaczenia ambitniejszych celów.</w:t>
      </w:r>
    </w:p>
    <w:p w14:paraId="592CFA27" w14:textId="77777777" w:rsidR="00DF6261" w:rsidRPr="007703D0" w:rsidRDefault="00DF6261">
      <w:pPr>
        <w:spacing w:after="24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Wraz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wej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ściem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Europejskiego prawa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o kli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macie</w:t>
      </w:r>
      <w:r>
        <w:rPr>
          <w:rStyle w:val="Odwoanieprzypisudolnego"/>
          <w:rFonts w:ascii="Times New Roman" w:hAnsi="Times New Roman" w:cs="Times New Roman"/>
          <w:noProof/>
          <w:color w:val="000000"/>
          <w:sz w:val="24"/>
          <w:szCs w:val="24"/>
        </w:rPr>
        <w:footnoteReference w:id="17"/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w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życ</w:t>
      </w:r>
      <w:r>
        <w:rPr>
          <w:rFonts w:ascii="Times New Roman" w:hAnsi="Times New Roman"/>
          <w:noProof/>
          <w:color w:val="000000"/>
          <w:sz w:val="24"/>
          <w:szCs w:val="24"/>
        </w:rPr>
        <w:t>ie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cze</w:t>
      </w:r>
      <w:r>
        <w:rPr>
          <w:rFonts w:ascii="Times New Roman" w:hAnsi="Times New Roman"/>
          <w:noProof/>
          <w:color w:val="000000"/>
          <w:sz w:val="24"/>
          <w:szCs w:val="24"/>
        </w:rPr>
        <w:t>rwcu 20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zarówno cele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>, jak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cel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e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50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stały się prawnie wiążące w UE. Przepisy prawa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kli</w:t>
      </w:r>
      <w:r>
        <w:rPr>
          <w:rFonts w:ascii="Times New Roman" w:hAnsi="Times New Roman"/>
          <w:noProof/>
          <w:color w:val="000000"/>
          <w:sz w:val="24"/>
          <w:szCs w:val="24"/>
        </w:rPr>
        <w:t>macie ograniczają również maksymalny poziom wkładu, jaki działania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</w:rPr>
        <w:t>resie usuwania dwutlenku węgla mogą wnieść na poczet redukcji emisji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>, aby zapewnić podejmowanie odpowiednich starań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obs</w:t>
      </w:r>
      <w:r>
        <w:rPr>
          <w:rFonts w:ascii="Times New Roman" w:hAnsi="Times New Roman"/>
          <w:noProof/>
          <w:color w:val="000000"/>
          <w:sz w:val="24"/>
          <w:szCs w:val="24"/>
        </w:rPr>
        <w:t>zarze łagodzenia zmiany klimatu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pra</w:t>
      </w:r>
      <w:r>
        <w:rPr>
          <w:rFonts w:ascii="Times New Roman" w:hAnsi="Times New Roman"/>
          <w:noProof/>
          <w:color w:val="000000"/>
          <w:sz w:val="24"/>
          <w:szCs w:val="24"/>
        </w:rPr>
        <w:t>wie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kli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macie zachęca się odpowiednie sektory do opracowywania planów działania na rzecz osiągnięcia celu neutralności klimatycznej; na mocy przepisów tego prawa powołano również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europejski naukowy komitet doradczy ds. zmiany klimatu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14:paraId="2D858BF3" w14:textId="77777777" w:rsidR="007C521E" w:rsidRPr="00495651" w:rsidRDefault="00DF6261" w:rsidP="00B7742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Aby zapewnić odpowiednie dostosowanie ram polityki UE do jej nowego celu klimatycznego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lip</w:t>
      </w:r>
      <w:r>
        <w:rPr>
          <w:rFonts w:ascii="Times New Roman" w:hAnsi="Times New Roman"/>
          <w:noProof/>
          <w:color w:val="000000"/>
          <w:sz w:val="24"/>
          <w:szCs w:val="24"/>
        </w:rPr>
        <w:t>cu 20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Komisja zaproponowała najbardziej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kompleksowy pakiet przepisów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resie klimatu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i ene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rgii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18"/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his</w:t>
      </w:r>
      <w:r>
        <w:rPr>
          <w:rFonts w:ascii="Times New Roman" w:hAnsi="Times New Roman"/>
          <w:noProof/>
          <w:color w:val="000000"/>
          <w:sz w:val="24"/>
          <w:szCs w:val="24"/>
        </w:rPr>
        <w:t>torii. Celem tego pakietu jest stopniowe wprowadzanie zmian oraz przedstawienie szeregu narzędzi wspierających dokonywanie transformacji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spo</w:t>
      </w:r>
      <w:r>
        <w:rPr>
          <w:rFonts w:ascii="Times New Roman" w:hAnsi="Times New Roman"/>
          <w:noProof/>
          <w:color w:val="000000"/>
          <w:sz w:val="24"/>
          <w:szCs w:val="24"/>
        </w:rPr>
        <w:t>łecznie akceptowalny sposób. Jeżeli chodzi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emi</w:t>
      </w:r>
      <w:r>
        <w:rPr>
          <w:rFonts w:ascii="Times New Roman" w:hAnsi="Times New Roman"/>
          <w:noProof/>
          <w:color w:val="000000"/>
          <w:sz w:val="24"/>
          <w:szCs w:val="24"/>
        </w:rPr>
        <w:t>sje gazów cieplarnianych,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pak</w:t>
      </w:r>
      <w:r>
        <w:rPr>
          <w:rFonts w:ascii="Times New Roman" w:hAnsi="Times New Roman"/>
          <w:noProof/>
          <w:color w:val="000000"/>
          <w:sz w:val="24"/>
          <w:szCs w:val="24"/>
        </w:rPr>
        <w:t>iecie zaproponowano wzmocnienie obowiązującego unijnego systemu handlu uprawnieniami do emisji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roz</w:t>
      </w:r>
      <w:r>
        <w:rPr>
          <w:rFonts w:ascii="Times New Roman" w:hAnsi="Times New Roman"/>
          <w:noProof/>
          <w:color w:val="000000"/>
          <w:sz w:val="24"/>
          <w:szCs w:val="24"/>
        </w:rPr>
        <w:t>szerzenie systemu ustalania opłat za emisję gazów cieplarnianych na sektor transportu morskiego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pak</w:t>
      </w:r>
      <w:r>
        <w:rPr>
          <w:rFonts w:ascii="Times New Roman" w:hAnsi="Times New Roman"/>
          <w:noProof/>
          <w:color w:val="000000"/>
          <w:sz w:val="24"/>
          <w:szCs w:val="24"/>
        </w:rPr>
        <w:t>iecie przedstawiono również propozycje rozwiązań przyczyniających się do zwiększenia stopnia wykorzystania zrównoważonych paliw alternatywnych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sek</w:t>
      </w:r>
      <w:r>
        <w:rPr>
          <w:rFonts w:ascii="Times New Roman" w:hAnsi="Times New Roman"/>
          <w:noProof/>
          <w:color w:val="000000"/>
          <w:sz w:val="24"/>
          <w:szCs w:val="24"/>
        </w:rPr>
        <w:t>torze gospodarki morskiej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w sek</w:t>
      </w:r>
      <w:r>
        <w:rPr>
          <w:rFonts w:ascii="Times New Roman" w:hAnsi="Times New Roman"/>
          <w:noProof/>
          <w:color w:val="000000"/>
          <w:sz w:val="24"/>
          <w:szCs w:val="24"/>
        </w:rPr>
        <w:t>torze lotnictwa. Ponadto zaproponowano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nim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stopniowe zniesienie bezpłatnych uprawnień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sek</w:t>
      </w:r>
      <w:r>
        <w:rPr>
          <w:rFonts w:ascii="Times New Roman" w:hAnsi="Times New Roman"/>
          <w:noProof/>
          <w:color w:val="000000"/>
          <w:sz w:val="24"/>
          <w:szCs w:val="24"/>
        </w:rPr>
        <w:t>torze lotnictwa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wdr</w:t>
      </w:r>
      <w:r>
        <w:rPr>
          <w:rFonts w:ascii="Times New Roman" w:hAnsi="Times New Roman"/>
          <w:noProof/>
          <w:color w:val="000000"/>
          <w:sz w:val="24"/>
          <w:szCs w:val="24"/>
        </w:rPr>
        <w:t>ożenie –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sto</w:t>
      </w:r>
      <w:r>
        <w:rPr>
          <w:rFonts w:ascii="Times New Roman" w:hAnsi="Times New Roman"/>
          <w:noProof/>
          <w:color w:val="000000"/>
          <w:sz w:val="24"/>
          <w:szCs w:val="24"/>
        </w:rPr>
        <w:t>sownych przypadkach – globalnego mechanizmu kompensacji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red</w:t>
      </w:r>
      <w:r>
        <w:rPr>
          <w:rFonts w:ascii="Times New Roman" w:hAnsi="Times New Roman"/>
          <w:noProof/>
          <w:color w:val="000000"/>
          <w:sz w:val="24"/>
          <w:szCs w:val="24"/>
        </w:rPr>
        <w:t>ukcji CO</w:t>
      </w:r>
      <w:r w:rsidRPr="00D928C3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t>2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t xml:space="preserve">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d</w:t>
      </w:r>
      <w:r>
        <w:rPr>
          <w:rFonts w:ascii="Times New Roman" w:hAnsi="Times New Roman"/>
          <w:noProof/>
          <w:color w:val="000000"/>
          <w:sz w:val="24"/>
          <w:szCs w:val="24"/>
        </w:rPr>
        <w:t>la lotnictwa międzynarodowego (CORSIA)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odn</w:t>
      </w:r>
      <w:r>
        <w:rPr>
          <w:rFonts w:ascii="Times New Roman" w:hAnsi="Times New Roman"/>
          <w:noProof/>
          <w:color w:val="000000"/>
          <w:sz w:val="24"/>
          <w:szCs w:val="24"/>
        </w:rPr>
        <w:t>iesieniu do lotów poza EOG. Co więcej,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pak</w:t>
      </w:r>
      <w:r>
        <w:rPr>
          <w:rFonts w:ascii="Times New Roman" w:hAnsi="Times New Roman"/>
          <w:noProof/>
          <w:color w:val="000000"/>
          <w:sz w:val="24"/>
          <w:szCs w:val="24"/>
        </w:rPr>
        <w:t>iecie zaproponowano ustanowienie odrębnego systemu handlu emisjami dla paliw wykorzystywanych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sek</w:t>
      </w:r>
      <w:r>
        <w:rPr>
          <w:rFonts w:ascii="Times New Roman" w:hAnsi="Times New Roman"/>
          <w:noProof/>
          <w:color w:val="000000"/>
          <w:sz w:val="24"/>
          <w:szCs w:val="24"/>
        </w:rPr>
        <w:t>torze transportu drogowego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w sek</w:t>
      </w:r>
      <w:r>
        <w:rPr>
          <w:rFonts w:ascii="Times New Roman" w:hAnsi="Times New Roman"/>
          <w:noProof/>
          <w:color w:val="000000"/>
          <w:sz w:val="24"/>
          <w:szCs w:val="24"/>
        </w:rPr>
        <w:t>torze budowlanym, wyznaczenie wyższego celu redukcji emisji CO</w:t>
      </w:r>
      <w:r>
        <w:rPr>
          <w:rFonts w:ascii="Times New Roman" w:hAnsi="Times New Roman"/>
          <w:noProof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dla nowych samochodów osobowych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dos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tawczych oraz przyspieszenie wdrażania infrastruktury paliw alternatywnych. Jeżeli </w:t>
      </w: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t>chodzi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sek</w:t>
      </w:r>
      <w:r>
        <w:rPr>
          <w:rFonts w:ascii="Times New Roman" w:hAnsi="Times New Roman"/>
          <w:noProof/>
          <w:color w:val="000000"/>
          <w:sz w:val="24"/>
          <w:szCs w:val="24"/>
        </w:rPr>
        <w:t>tory, które nie są obecnie objęte EU ETS (sektor budowlany, sektor transportu drogowego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kra</w:t>
      </w:r>
      <w:r>
        <w:rPr>
          <w:rFonts w:ascii="Times New Roman" w:hAnsi="Times New Roman"/>
          <w:noProof/>
          <w:color w:val="000000"/>
          <w:sz w:val="24"/>
          <w:szCs w:val="24"/>
        </w:rPr>
        <w:t>jowy sektor transportu morskiego, sektor rolnictwa, sektor gospodarowania odpadami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sek</w:t>
      </w:r>
      <w:r>
        <w:rPr>
          <w:rFonts w:ascii="Times New Roman" w:hAnsi="Times New Roman"/>
          <w:noProof/>
          <w:color w:val="000000"/>
          <w:sz w:val="24"/>
          <w:szCs w:val="24"/>
        </w:rPr>
        <w:t>tor przemysłu drobnego),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pak</w:t>
      </w:r>
      <w:r>
        <w:rPr>
          <w:rFonts w:ascii="Times New Roman" w:hAnsi="Times New Roman"/>
          <w:noProof/>
          <w:color w:val="000000"/>
          <w:sz w:val="24"/>
          <w:szCs w:val="24"/>
        </w:rPr>
        <w:t>iecie zwiększono poziom ambicji wiążących celów redukcji emisji gazów cieplarnianych dla poszczególnych państw członkowskich. Wyznaczono również konkretne cele służące zachowaniu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zwi</w:t>
      </w:r>
      <w:r>
        <w:rPr>
          <w:rFonts w:ascii="Times New Roman" w:hAnsi="Times New Roman"/>
          <w:noProof/>
          <w:color w:val="000000"/>
          <w:sz w:val="24"/>
          <w:szCs w:val="24"/>
        </w:rPr>
        <w:t>ększeniu powierzchni naturalnych pochłaniaczy dwutlenku węgla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pak</w:t>
      </w:r>
      <w:r>
        <w:rPr>
          <w:rFonts w:ascii="Times New Roman" w:hAnsi="Times New Roman"/>
          <w:noProof/>
          <w:color w:val="000000"/>
          <w:sz w:val="24"/>
          <w:szCs w:val="24"/>
        </w:rPr>
        <w:t>iecie ustanowiono również ambitniejsze cele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</w:rPr>
        <w:t>resie stopnia wykorzystania odnawialnych źródeł energii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prz</w:t>
      </w:r>
      <w:r>
        <w:rPr>
          <w:rFonts w:ascii="Times New Roman" w:hAnsi="Times New Roman"/>
          <w:noProof/>
          <w:color w:val="000000"/>
          <w:sz w:val="24"/>
          <w:szCs w:val="24"/>
        </w:rPr>
        <w:t>edstawiono środki służące przyspieszeniu ich wprowadzania we wszystkich sektorach zastosowań końcowych,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a tak</w:t>
      </w:r>
      <w:r>
        <w:rPr>
          <w:rFonts w:ascii="Times New Roman" w:hAnsi="Times New Roman"/>
          <w:noProof/>
          <w:color w:val="000000"/>
          <w:sz w:val="24"/>
          <w:szCs w:val="24"/>
        </w:rPr>
        <w:t>że zaproponowano działania przyczyniające się do poprawy integracji systemu energetycznego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pak</w:t>
      </w:r>
      <w:r>
        <w:rPr>
          <w:rFonts w:ascii="Times New Roman" w:hAnsi="Times New Roman"/>
          <w:noProof/>
          <w:color w:val="000000"/>
          <w:sz w:val="24"/>
          <w:szCs w:val="24"/>
        </w:rPr>
        <w:t>iecie wyznaczono również ambitniejsze cele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</w:rPr>
        <w:t>resie efektywności energetycznej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ust</w:t>
      </w:r>
      <w:r>
        <w:rPr>
          <w:rFonts w:ascii="Times New Roman" w:hAnsi="Times New Roman"/>
          <w:noProof/>
          <w:color w:val="000000"/>
          <w:sz w:val="24"/>
          <w:szCs w:val="24"/>
        </w:rPr>
        <w:t>anowiono wymóg stosowania szerzej zakrojonych środków na rzecz oszczędności energii, uwzględniając ustanowienie wyższych wskaźników renowacji dla budynków publicznych, zaproponowano opodatkowania źródeł energii zgodnie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cel</w:t>
      </w:r>
      <w:r>
        <w:rPr>
          <w:rFonts w:ascii="Times New Roman" w:hAnsi="Times New Roman"/>
          <w:noProof/>
          <w:color w:val="000000"/>
          <w:sz w:val="24"/>
          <w:szCs w:val="24"/>
        </w:rPr>
        <w:t>ami klimatycznymi,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a tak</w:t>
      </w:r>
      <w:r>
        <w:rPr>
          <w:rFonts w:ascii="Times New Roman" w:hAnsi="Times New Roman"/>
          <w:noProof/>
          <w:color w:val="000000"/>
          <w:sz w:val="24"/>
          <w:szCs w:val="24"/>
        </w:rPr>
        <w:t>że przedstawiono środki służące przeciwdziałaniu zjawisku ucieczki emisji gazów cieplarnianych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lip</w:t>
      </w:r>
      <w:r>
        <w:rPr>
          <w:rFonts w:ascii="Times New Roman" w:hAnsi="Times New Roman"/>
          <w:noProof/>
          <w:color w:val="000000"/>
          <w:sz w:val="24"/>
          <w:szCs w:val="24"/>
        </w:rPr>
        <w:t>cu 20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Komisja przyjęła również nową strategię leśną UE 2030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19"/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str</w:t>
      </w:r>
      <w:r>
        <w:rPr>
          <w:rFonts w:ascii="Times New Roman" w:hAnsi="Times New Roman"/>
          <w:noProof/>
          <w:color w:val="000000"/>
          <w:sz w:val="24"/>
          <w:szCs w:val="24"/>
        </w:rPr>
        <w:t>ategii tej zwrócono uwagę na kluczową rolę lasów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cał</w:t>
      </w:r>
      <w:r>
        <w:rPr>
          <w:rFonts w:ascii="Times New Roman" w:hAnsi="Times New Roman"/>
          <w:noProof/>
          <w:color w:val="000000"/>
          <w:sz w:val="24"/>
          <w:szCs w:val="24"/>
        </w:rPr>
        <w:t>ego łańcucha wartości bazującego na lasach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dąż</w:t>
      </w:r>
      <w:r>
        <w:rPr>
          <w:rFonts w:ascii="Times New Roman" w:hAnsi="Times New Roman"/>
          <w:noProof/>
          <w:color w:val="000000"/>
          <w:sz w:val="24"/>
          <w:szCs w:val="24"/>
        </w:rPr>
        <w:t>eniu do osiągnięcia celów UE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</w:rPr>
        <w:t>resie różnorodności biologicznej,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a tak</w:t>
      </w:r>
      <w:r>
        <w:rPr>
          <w:rFonts w:ascii="Times New Roman" w:hAnsi="Times New Roman"/>
          <w:noProof/>
          <w:color w:val="000000"/>
          <w:sz w:val="24"/>
          <w:szCs w:val="24"/>
        </w:rPr>
        <w:t>że nowego celu redukcji emisji gazów cieplarnianych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cel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u zakładającego osiągnięcie neutralności klimatycznej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50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14:paraId="7756C4B0" w14:textId="77777777" w:rsidR="00252A5E" w:rsidRPr="006520D9" w:rsidRDefault="007A36C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Biorąc pod uwagę fakt, że państwa członkowskie różnią się, jeżeli chodzi</w:t>
      </w:r>
      <w:r w:rsidR="00D928C3">
        <w:rPr>
          <w:rFonts w:ascii="Times New Roman" w:hAnsi="Times New Roman"/>
          <w:noProof/>
          <w:sz w:val="24"/>
          <w:szCs w:val="24"/>
        </w:rPr>
        <w:t xml:space="preserve"> o ich</w:t>
      </w:r>
      <w:r>
        <w:rPr>
          <w:rFonts w:ascii="Times New Roman" w:hAnsi="Times New Roman"/>
          <w:noProof/>
          <w:sz w:val="24"/>
          <w:szCs w:val="24"/>
        </w:rPr>
        <w:t xml:space="preserve"> wyjściową sytuację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tym</w:t>
      </w:r>
      <w:r>
        <w:rPr>
          <w:rFonts w:ascii="Times New Roman" w:hAnsi="Times New Roman"/>
          <w:noProof/>
          <w:sz w:val="24"/>
          <w:szCs w:val="24"/>
        </w:rPr>
        <w:t xml:space="preserve"> zakresie, oraz że zielona transformacja wywrze na nie odmienny wpływ, </w:t>
      </w:r>
      <w:r>
        <w:rPr>
          <w:rFonts w:ascii="Times New Roman" w:hAnsi="Times New Roman"/>
          <w:b/>
          <w:noProof/>
          <w:sz w:val="24"/>
          <w:szCs w:val="24"/>
        </w:rPr>
        <w:t>należy zagwarantować dokonanie tej transformacji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w spr</w:t>
      </w:r>
      <w:r>
        <w:rPr>
          <w:rFonts w:ascii="Times New Roman" w:hAnsi="Times New Roman"/>
          <w:b/>
          <w:noProof/>
          <w:sz w:val="24"/>
          <w:szCs w:val="24"/>
        </w:rPr>
        <w:t>awiedliwy sposób</w:t>
      </w:r>
      <w:r>
        <w:rPr>
          <w:rFonts w:ascii="Times New Roman" w:hAnsi="Times New Roman"/>
          <w:noProof/>
          <w:sz w:val="24"/>
          <w:szCs w:val="24"/>
        </w:rPr>
        <w:t>. Ambitniejsze cele redukcji emisji dla poszczególnych państw członkowskich wyznaczono na podstawie poziomu ich PKB na mieszkańca, po dokonaniu odpowiednich korekt</w:t>
      </w:r>
      <w:r w:rsidR="00D928C3">
        <w:rPr>
          <w:rFonts w:ascii="Times New Roman" w:hAnsi="Times New Roman"/>
          <w:noProof/>
          <w:sz w:val="24"/>
          <w:szCs w:val="24"/>
        </w:rPr>
        <w:t xml:space="preserve"> w cel</w:t>
      </w:r>
      <w:r>
        <w:rPr>
          <w:rFonts w:ascii="Times New Roman" w:hAnsi="Times New Roman"/>
          <w:noProof/>
          <w:sz w:val="24"/>
          <w:szCs w:val="24"/>
        </w:rPr>
        <w:t>u uwzględnienia oszczędności kosztowej</w:t>
      </w:r>
      <w:r w:rsidR="00D928C3">
        <w:rPr>
          <w:rFonts w:ascii="Times New Roman" w:hAnsi="Times New Roman"/>
          <w:noProof/>
          <w:sz w:val="24"/>
          <w:szCs w:val="24"/>
        </w:rPr>
        <w:t xml:space="preserve"> i spe</w:t>
      </w:r>
      <w:r>
        <w:rPr>
          <w:rFonts w:ascii="Times New Roman" w:hAnsi="Times New Roman"/>
          <w:noProof/>
          <w:sz w:val="24"/>
          <w:szCs w:val="24"/>
        </w:rPr>
        <w:t>cyficznej sytuacji danego państwa. Aby odnieść się do skutków dystrybucyjnych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i spo</w:t>
      </w:r>
      <w:r>
        <w:rPr>
          <w:rFonts w:ascii="Times New Roman" w:hAnsi="Times New Roman"/>
          <w:noProof/>
          <w:sz w:val="24"/>
          <w:szCs w:val="24"/>
        </w:rPr>
        <w:t>łecznych transformacji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kon</w:t>
      </w:r>
      <w:r>
        <w:rPr>
          <w:rFonts w:ascii="Times New Roman" w:hAnsi="Times New Roman"/>
          <w:noProof/>
          <w:sz w:val="24"/>
          <w:szCs w:val="24"/>
        </w:rPr>
        <w:t>tekście stosunków między państwami członkowskimi,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tak</w:t>
      </w:r>
      <w:r>
        <w:rPr>
          <w:rFonts w:ascii="Times New Roman" w:hAnsi="Times New Roman"/>
          <w:noProof/>
          <w:sz w:val="24"/>
          <w:szCs w:val="24"/>
        </w:rPr>
        <w:t>że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kon</w:t>
      </w:r>
      <w:r>
        <w:rPr>
          <w:rFonts w:ascii="Times New Roman" w:hAnsi="Times New Roman"/>
          <w:noProof/>
          <w:sz w:val="24"/>
          <w:szCs w:val="24"/>
        </w:rPr>
        <w:t>tekście ich sytuacji wewnętrznej,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pak</w:t>
      </w:r>
      <w:r>
        <w:rPr>
          <w:rFonts w:ascii="Times New Roman" w:hAnsi="Times New Roman"/>
          <w:noProof/>
          <w:sz w:val="24"/>
          <w:szCs w:val="24"/>
        </w:rPr>
        <w:t>iecie zaproponowano również zwiększenie puli środków udostępnianych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 xml:space="preserve">ach funduszu modernizacyjnego oraz </w:t>
      </w:r>
      <w:r>
        <w:rPr>
          <w:rFonts w:ascii="Times New Roman" w:hAnsi="Times New Roman"/>
          <w:noProof/>
          <w:color w:val="000000"/>
          <w:sz w:val="24"/>
          <w:szCs w:val="24"/>
        </w:rPr>
        <w:t>przekazywanie części przychodów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tyt</w:t>
      </w:r>
      <w:r>
        <w:rPr>
          <w:rFonts w:ascii="Times New Roman" w:hAnsi="Times New Roman"/>
          <w:noProof/>
          <w:color w:val="000000"/>
          <w:sz w:val="24"/>
          <w:szCs w:val="24"/>
        </w:rPr>
        <w:t>ułu nowego ETS obejmującego sektory transportu drogowego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bud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ownictwa </w:t>
      </w:r>
      <w:r>
        <w:rPr>
          <w:rFonts w:ascii="Times New Roman" w:hAnsi="Times New Roman"/>
          <w:noProof/>
          <w:sz w:val="24"/>
          <w:szCs w:val="24"/>
        </w:rPr>
        <w:t>gospodarstwom domowym, mikroprzedsiębiorstwom</w:t>
      </w:r>
      <w:r w:rsidR="00D928C3">
        <w:rPr>
          <w:rFonts w:ascii="Times New Roman" w:hAnsi="Times New Roman"/>
          <w:noProof/>
          <w:sz w:val="24"/>
          <w:szCs w:val="24"/>
        </w:rPr>
        <w:t xml:space="preserve"> i uży</w:t>
      </w:r>
      <w:r>
        <w:rPr>
          <w:rFonts w:ascii="Times New Roman" w:hAnsi="Times New Roman"/>
          <w:noProof/>
          <w:sz w:val="24"/>
          <w:szCs w:val="24"/>
        </w:rPr>
        <w:t>tkownikom transportu znajdującym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tru</w:t>
      </w:r>
      <w:r>
        <w:rPr>
          <w:rFonts w:ascii="Times New Roman" w:hAnsi="Times New Roman"/>
          <w:noProof/>
          <w:sz w:val="24"/>
          <w:szCs w:val="24"/>
        </w:rPr>
        <w:t xml:space="preserve">dnej sytuacji za pośrednictwem nowego Społecznego Funduszu Klimatycznego. </w:t>
      </w:r>
    </w:p>
    <w:p w14:paraId="56C484DA" w14:textId="77777777" w:rsidR="00613CE0" w:rsidRPr="00B7742C" w:rsidRDefault="00471B44" w:rsidP="00B7742C">
      <w:pPr>
        <w:pStyle w:val="CAPRbody"/>
        <w:rPr>
          <w:noProof/>
          <w:szCs w:val="24"/>
        </w:rPr>
      </w:pPr>
      <w:r>
        <w:rPr>
          <w:noProof/>
        </w:rPr>
        <w:t>Aby przystosować się do niemożliwych do uniknięcia skutków zmiany klimatu</w:t>
      </w:r>
      <w:r w:rsidR="00D928C3">
        <w:rPr>
          <w:noProof/>
        </w:rPr>
        <w:t xml:space="preserve"> i dop</w:t>
      </w:r>
      <w:r>
        <w:rPr>
          <w:noProof/>
        </w:rPr>
        <w:t xml:space="preserve">rowadzić do powstania społeczeństwa odpornego na zmianę klimatu </w:t>
      </w:r>
      <w:r w:rsidRPr="00D928C3">
        <w:rPr>
          <w:noProof/>
        </w:rPr>
        <w:t>do</w:t>
      </w:r>
      <w:r w:rsidR="00D928C3" w:rsidRPr="00D928C3">
        <w:rPr>
          <w:noProof/>
        </w:rPr>
        <w:t> </w:t>
      </w:r>
      <w:r w:rsidRPr="00D928C3">
        <w:rPr>
          <w:noProof/>
        </w:rPr>
        <w:t>2</w:t>
      </w:r>
      <w:r>
        <w:rPr>
          <w:noProof/>
        </w:rPr>
        <w:t>0</w:t>
      </w:r>
      <w:r w:rsidRPr="00D928C3">
        <w:rPr>
          <w:noProof/>
        </w:rPr>
        <w:t>50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>,</w:t>
      </w:r>
      <w:r w:rsidR="00D928C3">
        <w:rPr>
          <w:noProof/>
        </w:rPr>
        <w:t xml:space="preserve"> w 2</w:t>
      </w:r>
      <w:r>
        <w:rPr>
          <w:noProof/>
        </w:rPr>
        <w:t>0</w:t>
      </w:r>
      <w:r w:rsidRPr="00D928C3">
        <w:rPr>
          <w:noProof/>
        </w:rPr>
        <w:t>21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Komisja przyjęła </w:t>
      </w:r>
      <w:r>
        <w:rPr>
          <w:b/>
          <w:noProof/>
          <w:szCs w:val="24"/>
        </w:rPr>
        <w:t>nową Strategię</w:t>
      </w:r>
      <w:r w:rsidR="00D928C3">
        <w:rPr>
          <w:b/>
          <w:noProof/>
          <w:szCs w:val="24"/>
        </w:rPr>
        <w:t xml:space="preserve"> w zak</w:t>
      </w:r>
      <w:r>
        <w:rPr>
          <w:b/>
          <w:noProof/>
          <w:szCs w:val="24"/>
        </w:rPr>
        <w:t>resie przystosowania do zmiany klimatu</w:t>
      </w:r>
      <w:r>
        <w:rPr>
          <w:noProof/>
          <w:szCs w:val="24"/>
          <w:vertAlign w:val="superscript"/>
          <w:lang w:eastAsia="en-GB"/>
        </w:rPr>
        <w:footnoteReference w:id="20"/>
      </w:r>
      <w:r>
        <w:rPr>
          <w:noProof/>
        </w:rPr>
        <w:t>. Jej celem</w:t>
      </w:r>
      <w:r>
        <w:rPr>
          <w:noProof/>
          <w:color w:val="000000"/>
          <w:szCs w:val="24"/>
        </w:rPr>
        <w:t xml:space="preserve"> jest zapewnienie szybszego</w:t>
      </w:r>
      <w:r w:rsidR="00D928C3">
        <w:rPr>
          <w:noProof/>
          <w:color w:val="000000"/>
          <w:szCs w:val="24"/>
        </w:rPr>
        <w:t xml:space="preserve"> i bar</w:t>
      </w:r>
      <w:r>
        <w:rPr>
          <w:noProof/>
          <w:color w:val="000000"/>
          <w:szCs w:val="24"/>
        </w:rPr>
        <w:t>dziej systematycznego podejmowania inteligentniejszych działań przystosowawczych, aby zwiększyć zdolności przystosowawcze</w:t>
      </w:r>
      <w:r w:rsidR="00D928C3">
        <w:rPr>
          <w:noProof/>
          <w:color w:val="000000"/>
          <w:szCs w:val="24"/>
        </w:rPr>
        <w:t xml:space="preserve"> i ogr</w:t>
      </w:r>
      <w:r>
        <w:rPr>
          <w:noProof/>
          <w:color w:val="000000"/>
          <w:szCs w:val="24"/>
        </w:rPr>
        <w:t>aniczyć do minimum wrażliwość państw członkowskich i UE rozumianej jako całość na skutki zmiany klimatu,</w:t>
      </w:r>
      <w:r w:rsidR="00D928C3">
        <w:rPr>
          <w:noProof/>
          <w:color w:val="000000"/>
          <w:szCs w:val="24"/>
        </w:rPr>
        <w:t xml:space="preserve"> a tak</w:t>
      </w:r>
      <w:r>
        <w:rPr>
          <w:noProof/>
          <w:color w:val="000000"/>
          <w:szCs w:val="24"/>
        </w:rPr>
        <w:t>że zacieśnić współpracę</w:t>
      </w:r>
      <w:r w:rsidR="00D928C3">
        <w:rPr>
          <w:noProof/>
          <w:color w:val="000000"/>
          <w:szCs w:val="24"/>
        </w:rPr>
        <w:t xml:space="preserve"> z kra</w:t>
      </w:r>
      <w:r>
        <w:rPr>
          <w:noProof/>
          <w:color w:val="000000"/>
          <w:szCs w:val="24"/>
        </w:rPr>
        <w:t>jami partnerskimi na całym świecie</w:t>
      </w:r>
      <w:r w:rsidR="00D928C3">
        <w:rPr>
          <w:noProof/>
          <w:color w:val="000000"/>
          <w:szCs w:val="24"/>
        </w:rPr>
        <w:t xml:space="preserve">. </w:t>
      </w:r>
      <w:r w:rsidR="00D928C3">
        <w:rPr>
          <w:noProof/>
        </w:rPr>
        <w:t>W</w:t>
      </w:r>
      <w:r w:rsidR="00D928C3">
        <w:rPr>
          <w:noProof/>
          <w:color w:val="000000"/>
          <w:szCs w:val="24"/>
        </w:rPr>
        <w:t> </w:t>
      </w:r>
      <w:r w:rsidR="00D928C3">
        <w:rPr>
          <w:noProof/>
        </w:rPr>
        <w:t>paź</w:t>
      </w:r>
      <w:r>
        <w:rPr>
          <w:noProof/>
        </w:rPr>
        <w:t>dzierniku 20</w:t>
      </w:r>
      <w:r w:rsidRPr="00D928C3">
        <w:rPr>
          <w:noProof/>
        </w:rPr>
        <w:t>21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UE przekazała UNFCCC swój </w:t>
      </w:r>
      <w:r>
        <w:rPr>
          <w:b/>
          <w:noProof/>
          <w:szCs w:val="24"/>
        </w:rPr>
        <w:t>komunikat</w:t>
      </w:r>
      <w:r w:rsidR="00D928C3">
        <w:rPr>
          <w:b/>
          <w:noProof/>
          <w:szCs w:val="24"/>
        </w:rPr>
        <w:t xml:space="preserve"> w spr</w:t>
      </w:r>
      <w:r>
        <w:rPr>
          <w:b/>
          <w:noProof/>
          <w:szCs w:val="24"/>
        </w:rPr>
        <w:t>awie przystosowania do zmiany klimatu</w:t>
      </w:r>
      <w:r>
        <w:rPr>
          <w:noProof/>
        </w:rPr>
        <w:t>,</w:t>
      </w:r>
      <w:r w:rsidR="00D928C3">
        <w:rPr>
          <w:noProof/>
        </w:rPr>
        <w:t xml:space="preserve"> w któ</w:t>
      </w:r>
      <w:r>
        <w:rPr>
          <w:noProof/>
        </w:rPr>
        <w:t>rym przedstawiono poziom ambicji UE</w:t>
      </w:r>
      <w:r w:rsidR="00D928C3">
        <w:rPr>
          <w:noProof/>
        </w:rPr>
        <w:t xml:space="preserve"> w dzi</w:t>
      </w:r>
      <w:r>
        <w:rPr>
          <w:noProof/>
        </w:rPr>
        <w:t>edzinie przystosowywania się do zmiany klimatu wyznaczony</w:t>
      </w:r>
      <w:r w:rsidR="00D928C3">
        <w:rPr>
          <w:noProof/>
        </w:rPr>
        <w:t xml:space="preserve"> w str</w:t>
      </w:r>
      <w:r>
        <w:rPr>
          <w:noProof/>
        </w:rPr>
        <w:t>ategii UE</w:t>
      </w:r>
      <w:r w:rsidR="00D928C3">
        <w:rPr>
          <w:noProof/>
        </w:rPr>
        <w:t xml:space="preserve"> w zak</w:t>
      </w:r>
      <w:r>
        <w:rPr>
          <w:noProof/>
        </w:rPr>
        <w:t>resie przystosowania do zmiany klimatu,</w:t>
      </w:r>
      <w:r w:rsidR="00D928C3">
        <w:rPr>
          <w:noProof/>
        </w:rPr>
        <w:t xml:space="preserve"> a tak</w:t>
      </w:r>
      <w:r>
        <w:rPr>
          <w:noProof/>
        </w:rPr>
        <w:t>że przykłady dobrych praktyk stosowanych</w:t>
      </w:r>
      <w:r w:rsidR="00D928C3">
        <w:rPr>
          <w:noProof/>
        </w:rPr>
        <w:t xml:space="preserve"> w pań</w:t>
      </w:r>
      <w:r>
        <w:rPr>
          <w:noProof/>
        </w:rPr>
        <w:t>stwach członkowskich</w:t>
      </w:r>
      <w:r>
        <w:rPr>
          <w:rStyle w:val="Odwoanieprzypisudolnego"/>
          <w:noProof/>
          <w:szCs w:val="24"/>
        </w:rPr>
        <w:footnoteReference w:id="21"/>
      </w:r>
      <w:r>
        <w:rPr>
          <w:noProof/>
        </w:rPr>
        <w:t>.</w:t>
      </w:r>
    </w:p>
    <w:p w14:paraId="4C299535" w14:textId="77777777" w:rsidR="00DF6261" w:rsidRPr="00480B80" w:rsidRDefault="00DF6261" w:rsidP="00B7742C">
      <w:pPr>
        <w:spacing w:after="24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t>Finansowanie zielonej transformacji</w:t>
      </w:r>
    </w:p>
    <w:p w14:paraId="724DEF50" w14:textId="77777777" w:rsidR="007C521E" w:rsidRPr="00B7742C" w:rsidRDefault="00DF626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Zielona transformacja będzie wiązała się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kon</w:t>
      </w:r>
      <w:r>
        <w:rPr>
          <w:rFonts w:ascii="Times New Roman" w:hAnsi="Times New Roman"/>
          <w:noProof/>
          <w:color w:val="000000"/>
          <w:sz w:val="24"/>
          <w:szCs w:val="24"/>
        </w:rPr>
        <w:t>iecznością poczynienia bezprecedensowych inwestycji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inn</w:t>
      </w:r>
      <w:r>
        <w:rPr>
          <w:rFonts w:ascii="Times New Roman" w:hAnsi="Times New Roman"/>
          <w:noProof/>
          <w:color w:val="000000"/>
          <w:sz w:val="24"/>
          <w:szCs w:val="24"/>
        </w:rPr>
        <w:t>owacje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now</w:t>
      </w:r>
      <w:r>
        <w:rPr>
          <w:rFonts w:ascii="Times New Roman" w:hAnsi="Times New Roman"/>
          <w:noProof/>
          <w:color w:val="000000"/>
          <w:sz w:val="24"/>
          <w:szCs w:val="24"/>
        </w:rPr>
        <w:t>e technologie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nad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chodzących latach. UE będzie potrzebowała dodatkowych inwestycji opiewających na kwotę około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390 mld EUR rocznie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22"/>
      </w:r>
      <w:r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t>,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23"/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por</w:t>
      </w:r>
      <w:r>
        <w:rPr>
          <w:rFonts w:ascii="Times New Roman" w:hAnsi="Times New Roman"/>
          <w:noProof/>
          <w:color w:val="000000"/>
          <w:sz w:val="24"/>
          <w:szCs w:val="24"/>
        </w:rPr>
        <w:t>ównaniu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lat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ami 2011–2020, aby osiągnąć swój cel redukcji emisji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niezależnie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od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b/>
          <w:noProof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30 mld EUR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rocznie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24"/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na realizację innych celów środowiskowych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tym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celu niezbędne będzie wykorzystanie wszystkich źródeł finansowania – publicznych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pry</w:t>
      </w:r>
      <w:r>
        <w:rPr>
          <w:rFonts w:ascii="Times New Roman" w:hAnsi="Times New Roman"/>
          <w:noProof/>
          <w:color w:val="000000"/>
          <w:sz w:val="24"/>
          <w:szCs w:val="24"/>
        </w:rPr>
        <w:t>watnych oraz krajowych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wie</w:t>
      </w:r>
      <w:r>
        <w:rPr>
          <w:rFonts w:ascii="Times New Roman" w:hAnsi="Times New Roman"/>
          <w:noProof/>
          <w:color w:val="000000"/>
          <w:sz w:val="24"/>
          <w:szCs w:val="24"/>
        </w:rPr>
        <w:t>lostronnych. Zarówno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now</w:t>
      </w:r>
      <w:r>
        <w:rPr>
          <w:rFonts w:ascii="Times New Roman" w:hAnsi="Times New Roman"/>
          <w:noProof/>
          <w:color w:val="000000"/>
          <w:sz w:val="24"/>
          <w:szCs w:val="24"/>
        </w:rPr>
        <w:t>ych wieloletnich ramach finansowych (WRF),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Eur</w:t>
      </w:r>
      <w:r>
        <w:rPr>
          <w:rFonts w:ascii="Times New Roman" w:hAnsi="Times New Roman"/>
          <w:noProof/>
          <w:color w:val="000000"/>
          <w:sz w:val="24"/>
          <w:szCs w:val="24"/>
        </w:rPr>
        <w:t>opejskim Instrumencie na rzecz Odbudowy (NextGenerationEU),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ini</w:t>
      </w:r>
      <w:r>
        <w:rPr>
          <w:rFonts w:ascii="Times New Roman" w:hAnsi="Times New Roman"/>
          <w:noProof/>
          <w:color w:val="000000"/>
          <w:sz w:val="24"/>
          <w:szCs w:val="24"/>
        </w:rPr>
        <w:t>cjatywach regulacyjnych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ini</w:t>
      </w:r>
      <w:r>
        <w:rPr>
          <w:rFonts w:ascii="Times New Roman" w:hAnsi="Times New Roman"/>
          <w:noProof/>
          <w:color w:val="000000"/>
          <w:sz w:val="24"/>
          <w:szCs w:val="24"/>
        </w:rPr>
        <w:t>cjatywach publiczno-prywatnych, jak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w pak</w:t>
      </w:r>
      <w:r>
        <w:rPr>
          <w:rFonts w:ascii="Times New Roman" w:hAnsi="Times New Roman"/>
          <w:noProof/>
          <w:color w:val="000000"/>
          <w:sz w:val="24"/>
          <w:szCs w:val="24"/>
        </w:rPr>
        <w:t>iecie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lip</w:t>
      </w:r>
      <w:r>
        <w:rPr>
          <w:rFonts w:ascii="Times New Roman" w:hAnsi="Times New Roman"/>
          <w:noProof/>
          <w:color w:val="000000"/>
          <w:sz w:val="24"/>
          <w:szCs w:val="24"/>
        </w:rPr>
        <w:t>ca 20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zaproponowano znaczne zwiększenie puli środków przeznaczonych na finansowanie działań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obs</w:t>
      </w:r>
      <w:r>
        <w:rPr>
          <w:rFonts w:ascii="Times New Roman" w:hAnsi="Times New Roman"/>
          <w:noProof/>
          <w:color w:val="000000"/>
          <w:sz w:val="24"/>
          <w:szCs w:val="24"/>
        </w:rPr>
        <w:t>zarze klimatu.</w:t>
      </w:r>
    </w:p>
    <w:p w14:paraId="32E2C0D5" w14:textId="77777777" w:rsidR="008B0370" w:rsidRPr="009401B3" w:rsidRDefault="004741B6" w:rsidP="00B7742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Aby przyczynić się do odblokowania inwestycji prywatnych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25"/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przyjęto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odnowioną strategię zrównoważonego finansowania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26"/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cel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u przekierowania przepływów kapitału prywatnego Komisja przyjęła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rozporządzenie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w spr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awie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unijnej systematyki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dotyczącej zrównoważonego finansowania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27"/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w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któ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rym ustanowiono ramy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unijnej systematyki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–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klasyfikacji zrównoważonej środowiskowo działalności gospodarczej dla przedsiębiorstw, inwestorów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dec</w:t>
      </w:r>
      <w:r>
        <w:rPr>
          <w:rFonts w:ascii="Times New Roman" w:hAnsi="Times New Roman"/>
          <w:noProof/>
          <w:color w:val="000000"/>
          <w:sz w:val="24"/>
          <w:szCs w:val="24"/>
        </w:rPr>
        <w:t>ydentów. Pierwsza część wspomnianego rozporządzenia koncentruje się na działaniach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</w:rPr>
        <w:t>resie łagodzenia zmiany klimatu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prz</w:t>
      </w:r>
      <w:r>
        <w:rPr>
          <w:rFonts w:ascii="Times New Roman" w:hAnsi="Times New Roman"/>
          <w:noProof/>
          <w:color w:val="000000"/>
          <w:sz w:val="24"/>
          <w:szCs w:val="24"/>
        </w:rPr>
        <w:t>ystosowywania się do zmiany klimatu podejmowanych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nie</w:t>
      </w:r>
      <w:r>
        <w:rPr>
          <w:rFonts w:ascii="Times New Roman" w:hAnsi="Times New Roman"/>
          <w:noProof/>
          <w:color w:val="000000"/>
          <w:sz w:val="24"/>
          <w:szCs w:val="24"/>
        </w:rPr>
        <w:t>których sektorach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28"/>
      </w:r>
      <w:r>
        <w:rPr>
          <w:rFonts w:ascii="Times New Roman" w:hAnsi="Times New Roman"/>
          <w:noProof/>
          <w:color w:val="000000"/>
          <w:sz w:val="24"/>
          <w:szCs w:val="24"/>
        </w:rPr>
        <w:t>. Prace nad innymi wymiarami środowiskowymi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spo</w:t>
      </w:r>
      <w:r>
        <w:rPr>
          <w:rFonts w:ascii="Times New Roman" w:hAnsi="Times New Roman"/>
          <w:noProof/>
          <w:color w:val="000000"/>
          <w:sz w:val="24"/>
          <w:szCs w:val="24"/>
        </w:rPr>
        <w:t>łecznymi zakończą się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22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Do końca 20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Komisja opublikuje sprawozdanie,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któ</w:t>
      </w:r>
      <w:r>
        <w:rPr>
          <w:rFonts w:ascii="Times New Roman" w:hAnsi="Times New Roman"/>
          <w:noProof/>
          <w:color w:val="000000"/>
          <w:sz w:val="24"/>
          <w:szCs w:val="24"/>
        </w:rPr>
        <w:t>rym opisze przepisy, które należy przyjąć, aby uwzględnić rodzaje działalności gospodarczej niewywierające wystarczającego wpływu na zrównoważenie środowiskowe oraz rodzaje działalności gospodarczej, które wywierają istotny szkodliwy wpływ na zrównoważenie środowiskowe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29"/>
      </w:r>
      <w:r>
        <w:rPr>
          <w:rFonts w:ascii="Times New Roman" w:hAnsi="Times New Roman"/>
          <w:noProof/>
          <w:color w:val="000000"/>
          <w:sz w:val="24"/>
          <w:szCs w:val="24"/>
        </w:rPr>
        <w:t>. UE kontynuuje współpracę mającą na celu zidentyfikowanie sposobów usprawnienia procesu realizacji transgranicznych zrównoważonych inwestycji,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szc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zególności poprzez opracowanie potencjalnej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systematyki opartej na wspólnej płaszczyźnie porozumienia</w:t>
      </w:r>
      <w:r>
        <w:rPr>
          <w:rFonts w:ascii="Times New Roman" w:hAnsi="Times New Roman"/>
          <w:noProof/>
          <w:color w:val="000000"/>
          <w:sz w:val="24"/>
          <w:szCs w:val="24"/>
        </w:rPr>
        <w:t>, ze swoimi kluczowymi partnerami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ram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ach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międzynarodowej platformy ds. zrównoważonego finansowania</w:t>
      </w:r>
      <w:r>
        <w:rPr>
          <w:rStyle w:val="Odwoanieprzypisudolnego"/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footnoteReference w:id="30"/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Ponadto Komisja przedstawiła wniosek dotyczący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dyrektywy</w:t>
      </w:r>
      <w:r w:rsidR="00D928C3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w spr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awie sprawozdawczości przedsiębiorstw</w:t>
      </w:r>
      <w:r w:rsidR="00D928C3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t>resie zrównoważonego rozwoju (CSRD)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31"/>
      </w:r>
      <w:r>
        <w:rPr>
          <w:rFonts w:ascii="Times New Roman" w:hAnsi="Times New Roman"/>
          <w:noProof/>
          <w:color w:val="000000"/>
          <w:sz w:val="24"/>
          <w:szCs w:val="24"/>
        </w:rPr>
        <w:t>, która doprowadziłaby do zmiany obowiązujących wymogów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</w:rPr>
        <w:t>resie sprawozdawczości niefinansowej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roz</w:t>
      </w:r>
      <w:r>
        <w:rPr>
          <w:rFonts w:ascii="Times New Roman" w:hAnsi="Times New Roman"/>
          <w:noProof/>
          <w:color w:val="000000"/>
          <w:sz w:val="24"/>
          <w:szCs w:val="24"/>
        </w:rPr>
        <w:t>szerzenia zakresu sprawozdawczości na wszystkie duże przedsiębiorstwa oraz na przedsiębiorstwa notowane na rynkach regulowanych,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wyj</w:t>
      </w:r>
      <w:r>
        <w:rPr>
          <w:rFonts w:ascii="Times New Roman" w:hAnsi="Times New Roman"/>
          <w:noProof/>
          <w:color w:val="000000"/>
          <w:sz w:val="24"/>
          <w:szCs w:val="24"/>
        </w:rPr>
        <w:t>ątkiem mikroprzedsiębiorstw notowanych na tych rynkach,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lastRenderedPageBreak/>
        <w:t>i w któ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rej przewidziano by obowiązek badania zgłaszanych informacji. Przyczyniłoby się to do znacznej poprawy przejrzystości. </w:t>
      </w:r>
    </w:p>
    <w:p w14:paraId="400C6D17" w14:textId="77777777" w:rsidR="00A802DF" w:rsidRPr="00930FF3" w:rsidRDefault="00A802DF" w:rsidP="00B7742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 UE </w:t>
      </w:r>
      <w:r>
        <w:rPr>
          <w:rFonts w:ascii="Times New Roman" w:hAnsi="Times New Roman"/>
          <w:b/>
          <w:noProof/>
          <w:sz w:val="24"/>
          <w:szCs w:val="24"/>
        </w:rPr>
        <w:t>sojusze przemysłowe</w:t>
      </w:r>
      <w:r>
        <w:rPr>
          <w:rFonts w:ascii="Times New Roman" w:hAnsi="Times New Roman"/>
          <w:noProof/>
          <w:sz w:val="24"/>
          <w:szCs w:val="24"/>
        </w:rPr>
        <w:t xml:space="preserve"> stanowią jeden</w:t>
      </w:r>
      <w:r w:rsidR="00D928C3">
        <w:rPr>
          <w:rFonts w:ascii="Times New Roman" w:hAnsi="Times New Roman"/>
          <w:noProof/>
          <w:sz w:val="24"/>
          <w:szCs w:val="24"/>
        </w:rPr>
        <w:t xml:space="preserve"> z ele</w:t>
      </w:r>
      <w:r>
        <w:rPr>
          <w:rFonts w:ascii="Times New Roman" w:hAnsi="Times New Roman"/>
          <w:noProof/>
          <w:sz w:val="24"/>
          <w:szCs w:val="24"/>
        </w:rPr>
        <w:t>mentów zestawu narzędzi politycznych służących mobilizowaniu inwestycji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sek</w:t>
      </w:r>
      <w:r>
        <w:rPr>
          <w:rFonts w:ascii="Times New Roman" w:hAnsi="Times New Roman"/>
          <w:noProof/>
          <w:sz w:val="24"/>
          <w:szCs w:val="24"/>
        </w:rPr>
        <w:t>torach</w:t>
      </w:r>
      <w:r w:rsidR="00D928C3">
        <w:rPr>
          <w:rFonts w:ascii="Times New Roman" w:hAnsi="Times New Roman"/>
          <w:noProof/>
          <w:sz w:val="24"/>
          <w:szCs w:val="24"/>
        </w:rPr>
        <w:t xml:space="preserve"> o klu</w:t>
      </w:r>
      <w:r>
        <w:rPr>
          <w:rFonts w:ascii="Times New Roman" w:hAnsi="Times New Roman"/>
          <w:noProof/>
          <w:sz w:val="24"/>
          <w:szCs w:val="24"/>
        </w:rPr>
        <w:t>czowym znaczeniu. Obejmują one europejski sojusz na rzecz baterii, sojusz na rzecz czystego wodoru</w:t>
      </w:r>
      <w:r w:rsidR="00D928C3">
        <w:rPr>
          <w:rFonts w:ascii="Times New Roman" w:hAnsi="Times New Roman"/>
          <w:noProof/>
          <w:sz w:val="24"/>
          <w:szCs w:val="24"/>
        </w:rPr>
        <w:t xml:space="preserve"> i eur</w:t>
      </w:r>
      <w:r>
        <w:rPr>
          <w:rFonts w:ascii="Times New Roman" w:hAnsi="Times New Roman"/>
          <w:noProof/>
          <w:sz w:val="24"/>
          <w:szCs w:val="24"/>
        </w:rPr>
        <w:t>opejski sojusz na rzecz surowców.</w:t>
      </w:r>
    </w:p>
    <w:p w14:paraId="37C1F0A9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W kierunku zielonej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i spr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awiedliwej transformacji </w:t>
      </w:r>
    </w:p>
    <w:p w14:paraId="263A4D0D" w14:textId="77777777" w:rsidR="00DF6261" w:rsidRPr="006520D9" w:rsidRDefault="00DF6261" w:rsidP="00B7742C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Od wybuchu pandemii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Europejski Zielony Ład leżał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u pod</w:t>
      </w:r>
      <w:r>
        <w:rPr>
          <w:rFonts w:ascii="Times New Roman" w:hAnsi="Times New Roman"/>
          <w:noProof/>
          <w:color w:val="000000"/>
          <w:sz w:val="24"/>
          <w:szCs w:val="24"/>
        </w:rPr>
        <w:t>staw działań UE związanych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opr</w:t>
      </w:r>
      <w:r>
        <w:rPr>
          <w:rFonts w:ascii="Times New Roman" w:hAnsi="Times New Roman"/>
          <w:noProof/>
          <w:color w:val="000000"/>
          <w:sz w:val="24"/>
          <w:szCs w:val="24"/>
        </w:rPr>
        <w:t>acowywaniem pakietu na rzecz odbudowy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prz</w:t>
      </w:r>
      <w:r>
        <w:rPr>
          <w:rFonts w:ascii="Times New Roman" w:hAnsi="Times New Roman"/>
          <w:noProof/>
          <w:color w:val="000000"/>
          <w:sz w:val="24"/>
          <w:szCs w:val="24"/>
        </w:rPr>
        <w:t>ygotowywaniem długoterminowego budżetu UE (na lata 2021–2027). Po zawarciu porozumienia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Rad</w:t>
      </w:r>
      <w:r>
        <w:rPr>
          <w:rFonts w:ascii="Times New Roman" w:hAnsi="Times New Roman"/>
          <w:noProof/>
          <w:color w:val="000000"/>
          <w:sz w:val="24"/>
          <w:szCs w:val="24"/>
        </w:rPr>
        <w:t>ą Europejską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ubi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egłym roku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co najmniej 3</w:t>
      </w:r>
      <w:r w:rsidRPr="00D928C3">
        <w:rPr>
          <w:rFonts w:ascii="Times New Roman" w:hAnsi="Times New Roman"/>
          <w:b/>
          <w:noProof/>
          <w:color w:val="000000"/>
          <w:sz w:val="24"/>
          <w:szCs w:val="24"/>
        </w:rPr>
        <w:t>0</w:t>
      </w:r>
      <w:r w:rsidR="00D928C3" w:rsidRPr="00D928C3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b/>
          <w:noProof/>
          <w:color w:val="000000"/>
          <w:sz w:val="24"/>
          <w:szCs w:val="24"/>
        </w:rPr>
        <w:t>%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D928C3" w:rsidRPr="00D928C3">
        <w:rPr>
          <w:rFonts w:ascii="Times New Roman" w:hAnsi="Times New Roman"/>
          <w:b/>
          <w:noProof/>
          <w:color w:val="000000"/>
          <w:sz w:val="24"/>
          <w:szCs w:val="24"/>
        </w:rPr>
        <w:t>z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> </w:t>
      </w:r>
      <w:r w:rsidR="00D928C3" w:rsidRPr="00D928C3">
        <w:rPr>
          <w:rFonts w:ascii="Times New Roman" w:hAnsi="Times New Roman"/>
          <w:b/>
          <w:noProof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,8 bln EUR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obejmującej zarówno tymczasowe narzędzie służące odbudowie gospodarki NextGenerationEU, jak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i bud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żet na lata 2021–2027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zostanie wykorzystane na realizację polityk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pro</w:t>
      </w:r>
      <w:r>
        <w:rPr>
          <w:rFonts w:ascii="Times New Roman" w:hAnsi="Times New Roman"/>
          <w:noProof/>
          <w:color w:val="000000"/>
          <w:sz w:val="24"/>
          <w:szCs w:val="24"/>
        </w:rPr>
        <w:t>gramów związanych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kli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matem – odpowiada to kwocie </w:t>
      </w:r>
      <w:r>
        <w:rPr>
          <w:rFonts w:ascii="Times New Roman" w:hAnsi="Times New Roman"/>
          <w:bCs/>
          <w:noProof/>
          <w:color w:val="000000"/>
          <w:sz w:val="24"/>
          <w:szCs w:val="24"/>
        </w:rPr>
        <w:t>540 mld EUR</w:t>
      </w:r>
      <w:r>
        <w:rPr>
          <w:rFonts w:ascii="Times New Roman" w:hAnsi="Times New Roman"/>
          <w:noProof/>
          <w:color w:val="000000"/>
          <w:sz w:val="24"/>
          <w:szCs w:val="24"/>
        </w:rPr>
        <w:t>. Komisja sfinansuje 3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środków NextGenerationEU, emitując obligacje ekologiczne bazujące na wydatkach na rzecz klimatu ponoszonych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ram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ach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Instrumentu na rzecz Odbudowy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i Zwi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ększania Odporności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(RFF). Aby uzyskać wsparcie z RRF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2"/>
      </w:r>
      <w:r>
        <w:rPr>
          <w:rFonts w:ascii="Times New Roman" w:hAnsi="Times New Roman"/>
          <w:noProof/>
          <w:color w:val="000000"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który stanowi główny element NextGenerationEU,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państwa członkowskie musiały sporządzić krajowe plany odbudowy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zwi</w:t>
      </w:r>
      <w:r>
        <w:rPr>
          <w:rFonts w:ascii="Times New Roman" w:hAnsi="Times New Roman"/>
          <w:noProof/>
          <w:color w:val="000000"/>
          <w:sz w:val="24"/>
          <w:szCs w:val="24"/>
        </w:rPr>
        <w:t>ększania odporności (RRP)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wsk</w:t>
      </w:r>
      <w:r>
        <w:rPr>
          <w:rFonts w:ascii="Times New Roman" w:hAnsi="Times New Roman"/>
          <w:noProof/>
          <w:color w:val="000000"/>
          <w:sz w:val="24"/>
          <w:szCs w:val="24"/>
        </w:rPr>
        <w:t>azać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nic</w:t>
      </w:r>
      <w:r>
        <w:rPr>
          <w:rFonts w:ascii="Times New Roman" w:hAnsi="Times New Roman"/>
          <w:noProof/>
          <w:color w:val="000000"/>
          <w:sz w:val="24"/>
          <w:szCs w:val="24"/>
        </w:rPr>
        <w:t>h,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jak</w:t>
      </w:r>
      <w:r>
        <w:rPr>
          <w:rFonts w:ascii="Times New Roman" w:hAnsi="Times New Roman"/>
          <w:noProof/>
          <w:color w:val="000000"/>
          <w:sz w:val="24"/>
          <w:szCs w:val="24"/>
        </w:rPr>
        <w:t>i sposób zamierzają spożytkować przydzielone im środki. Wspomniane plany muszą być zgodne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kra</w:t>
      </w:r>
      <w:r>
        <w:rPr>
          <w:rFonts w:ascii="Times New Roman" w:hAnsi="Times New Roman"/>
          <w:noProof/>
          <w:color w:val="000000"/>
          <w:sz w:val="24"/>
          <w:szCs w:val="24"/>
        </w:rPr>
        <w:t>jowymi planami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dzi</w:t>
      </w:r>
      <w:r>
        <w:rPr>
          <w:rFonts w:ascii="Times New Roman" w:hAnsi="Times New Roman"/>
          <w:noProof/>
          <w:color w:val="000000"/>
          <w:sz w:val="24"/>
          <w:szCs w:val="24"/>
        </w:rPr>
        <w:t>edzinie energii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kli</w:t>
      </w:r>
      <w:r>
        <w:rPr>
          <w:rFonts w:ascii="Times New Roman" w:hAnsi="Times New Roman"/>
          <w:noProof/>
          <w:color w:val="000000"/>
          <w:sz w:val="24"/>
          <w:szCs w:val="24"/>
        </w:rPr>
        <w:t>matu, gwarantować osiągnięcie konkretnego celu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</w:rPr>
        <w:t>resie wydatków na rzecz klimatu wynoszącego 3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oraz zapewniać poszanowanie zasady „nie czyń poważnych szkód”, aby nie dopuścić do wywarcia jakiegokolwiek negatywnego wpływu na realizację celów klimatycznych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śro</w:t>
      </w:r>
      <w:r>
        <w:rPr>
          <w:rFonts w:ascii="Times New Roman" w:hAnsi="Times New Roman"/>
          <w:noProof/>
          <w:color w:val="000000"/>
          <w:sz w:val="24"/>
          <w:szCs w:val="24"/>
        </w:rPr>
        <w:t>dowiskowych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3"/>
      </w:r>
      <w:r>
        <w:rPr>
          <w:rFonts w:ascii="Times New Roman" w:hAnsi="Times New Roman"/>
          <w:noProof/>
          <w:color w:val="000000"/>
          <w:sz w:val="24"/>
          <w:szCs w:val="24"/>
        </w:rPr>
        <w:t>. Państwa członkowskie, których RRP zostały ocenione przez Komisję, osiągnęły powyższy cel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nad</w:t>
      </w:r>
      <w:r>
        <w:rPr>
          <w:rFonts w:ascii="Times New Roman" w:hAnsi="Times New Roman"/>
          <w:noProof/>
          <w:color w:val="000000"/>
          <w:sz w:val="24"/>
          <w:szCs w:val="24"/>
        </w:rPr>
        <w:t>wyżką, przeznaczając około 4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środków na działania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dzi</w:t>
      </w:r>
      <w:r>
        <w:rPr>
          <w:rFonts w:ascii="Times New Roman" w:hAnsi="Times New Roman"/>
          <w:noProof/>
          <w:color w:val="000000"/>
          <w:sz w:val="24"/>
          <w:szCs w:val="24"/>
        </w:rPr>
        <w:t>edzinie klimatu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34"/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14:paraId="25AAB468" w14:textId="77777777" w:rsidR="00CE50C8" w:rsidRPr="006702FB" w:rsidRDefault="00B6794B" w:rsidP="00B7742C">
      <w:pPr>
        <w:spacing w:after="240" w:line="240" w:lineRule="auto"/>
        <w:jc w:val="both"/>
        <w:rPr>
          <w:rFonts w:eastAsia="Times New Roman"/>
          <w:noProof/>
          <w:color w:val="000000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Mechanizm sprawiedliwej transformacji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ustanowiono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cel</w:t>
      </w:r>
      <w:r>
        <w:rPr>
          <w:rFonts w:ascii="Times New Roman" w:hAnsi="Times New Roman"/>
          <w:noProof/>
          <w:color w:val="000000"/>
          <w:sz w:val="24"/>
          <w:szCs w:val="24"/>
        </w:rPr>
        <w:t>u zapewnienia, aby transformacja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kie</w:t>
      </w:r>
      <w:r>
        <w:rPr>
          <w:rFonts w:ascii="Times New Roman" w:hAnsi="Times New Roman"/>
          <w:noProof/>
          <w:color w:val="000000"/>
          <w:sz w:val="24"/>
          <w:szCs w:val="24"/>
        </w:rPr>
        <w:t>runku gospodarki neutralnej dla klimatu przebiegała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spo</w:t>
      </w:r>
      <w:r>
        <w:rPr>
          <w:rFonts w:ascii="Times New Roman" w:hAnsi="Times New Roman"/>
          <w:noProof/>
          <w:color w:val="000000"/>
          <w:sz w:val="24"/>
          <w:szCs w:val="24"/>
        </w:rPr>
        <w:t>sób sprawiedliwy, nie pozostawiając nikogo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tyl</w:t>
      </w:r>
      <w:r>
        <w:rPr>
          <w:rFonts w:ascii="Times New Roman" w:hAnsi="Times New Roman"/>
          <w:noProof/>
          <w:color w:val="000000"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 xml:space="preserve">. Oczekuje się, że to nowe narzędzie pozwoli zmobilizować środki opiewające na kwotę około 55 mld EUR, które posłużą do </w:t>
      </w:r>
      <w:r>
        <w:rPr>
          <w:rFonts w:ascii="Times New Roman" w:hAnsi="Times New Roman"/>
          <w:noProof/>
          <w:color w:val="000000"/>
          <w:sz w:val="24"/>
          <w:szCs w:val="24"/>
        </w:rPr>
        <w:t>łagodzenia</w:t>
      </w:r>
      <w:r>
        <w:rPr>
          <w:rFonts w:ascii="Times New Roman" w:hAnsi="Times New Roman"/>
          <w:noProof/>
          <w:sz w:val="24"/>
          <w:szCs w:val="24"/>
        </w:rPr>
        <w:t xml:space="preserve"> skutków społeczno-ekonomicznych transformacji klimatycznej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reg</w:t>
      </w:r>
      <w:r>
        <w:rPr>
          <w:rFonts w:ascii="Times New Roman" w:hAnsi="Times New Roman"/>
          <w:noProof/>
          <w:color w:val="000000"/>
          <w:sz w:val="24"/>
          <w:szCs w:val="24"/>
        </w:rPr>
        <w:t>ionach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sek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torach najbardziej dotkniętych tą transformacją. </w:t>
      </w:r>
      <w:r>
        <w:rPr>
          <w:rFonts w:ascii="Times New Roman" w:hAnsi="Times New Roman"/>
          <w:noProof/>
          <w:sz w:val="24"/>
          <w:szCs w:val="24"/>
        </w:rPr>
        <w:t xml:space="preserve">Państwa członkowskie opracowują </w:t>
      </w:r>
      <w:r>
        <w:rPr>
          <w:rFonts w:ascii="Times New Roman" w:hAnsi="Times New Roman"/>
          <w:b/>
          <w:noProof/>
          <w:sz w:val="24"/>
          <w:szCs w:val="24"/>
        </w:rPr>
        <w:t>terytorialne plany sprawiedliwej transformacji</w:t>
      </w:r>
      <w:r>
        <w:rPr>
          <w:rFonts w:ascii="Times New Roman" w:hAnsi="Times New Roman"/>
          <w:noProof/>
          <w:sz w:val="24"/>
          <w:szCs w:val="24"/>
        </w:rPr>
        <w:t>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któ</w:t>
      </w:r>
      <w:r>
        <w:rPr>
          <w:rFonts w:ascii="Times New Roman" w:hAnsi="Times New Roman"/>
          <w:noProof/>
          <w:sz w:val="24"/>
          <w:szCs w:val="24"/>
        </w:rPr>
        <w:t>rych wskazują obszary, na które transformacja wywarła największy negatywny wpływ, oraz zarysowują przebieg procesu transformacji na tych obszarach.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Kluczowe znaczenie dla osiągnięcia celów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dzi</w:t>
      </w:r>
      <w:r>
        <w:rPr>
          <w:rFonts w:ascii="Times New Roman" w:hAnsi="Times New Roman"/>
          <w:noProof/>
          <w:color w:val="000000"/>
          <w:sz w:val="24"/>
          <w:szCs w:val="24"/>
        </w:rPr>
        <w:t>edzinie energii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kli</w:t>
      </w:r>
      <w:r>
        <w:rPr>
          <w:rFonts w:ascii="Times New Roman" w:hAnsi="Times New Roman"/>
          <w:noProof/>
          <w:color w:val="000000"/>
          <w:sz w:val="24"/>
          <w:szCs w:val="24"/>
        </w:rPr>
        <w:t>matu ma zagwarantowanie, aby inwestycje wspierały proces zmiany kwalifikacji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pod</w:t>
      </w:r>
      <w:r>
        <w:rPr>
          <w:rFonts w:ascii="Times New Roman" w:hAnsi="Times New Roman"/>
          <w:noProof/>
          <w:color w:val="000000"/>
          <w:sz w:val="24"/>
          <w:szCs w:val="24"/>
        </w:rPr>
        <w:t>noszenia kwalifikacji pracowników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sek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torach negatywnie dotkniętych transformacją oraz aby </w:t>
      </w: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t>przyczyniały się do usprawnienia przepływów na rynku pracy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5"/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Style w:val="Odwoanieprzypisudolnego"/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Ponadto ustanowiono platformę sprawiedliwej transformacji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36"/>
      </w:r>
      <w:r>
        <w:rPr>
          <w:rFonts w:ascii="Times New Roman" w:hAnsi="Times New Roman"/>
          <w:noProof/>
          <w:color w:val="000000"/>
          <w:sz w:val="24"/>
          <w:szCs w:val="24"/>
        </w:rPr>
        <w:t>, której zadaniem jest udzielanie wsparcia regionom uzależnionym od stałych paliw kopalnych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wys</w:t>
      </w:r>
      <w:r>
        <w:rPr>
          <w:rFonts w:ascii="Times New Roman" w:hAnsi="Times New Roman"/>
          <w:noProof/>
          <w:color w:val="000000"/>
          <w:sz w:val="24"/>
          <w:szCs w:val="24"/>
        </w:rPr>
        <w:t>okoemisyjnych gałęzi przemysłu oraz zapewnienie przestrzeni dla prowadzenia otwartego dialogu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wym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ieniania się informacjami. </w:t>
      </w:r>
    </w:p>
    <w:p w14:paraId="20D7B49A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Intensyfikacja działań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dzi</w:t>
      </w:r>
      <w:r>
        <w:rPr>
          <w:rFonts w:ascii="Times New Roman" w:hAnsi="Times New Roman"/>
          <w:b/>
          <w:i/>
          <w:noProof/>
          <w:sz w:val="24"/>
          <w:szCs w:val="24"/>
        </w:rPr>
        <w:t>edzinie klimatu podejmowanych przez miasta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i oby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wateli </w:t>
      </w:r>
    </w:p>
    <w:p w14:paraId="0E3841FA" w14:textId="77777777" w:rsidR="004B7214" w:rsidRPr="006520D9" w:rsidRDefault="00DF6261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Walka ze zmianą klimatu to nasz wspólny obowiązek. Mieszkańcy Unii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mia</w:t>
      </w:r>
      <w:r>
        <w:rPr>
          <w:rFonts w:ascii="Times New Roman" w:hAnsi="Times New Roman"/>
          <w:noProof/>
          <w:color w:val="000000"/>
          <w:sz w:val="24"/>
          <w:szCs w:val="24"/>
        </w:rPr>
        <w:t>sta na terytorium całej UE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cor</w:t>
      </w:r>
      <w:r>
        <w:rPr>
          <w:rFonts w:ascii="Times New Roman" w:hAnsi="Times New Roman"/>
          <w:noProof/>
          <w:color w:val="000000"/>
          <w:sz w:val="24"/>
          <w:szCs w:val="24"/>
        </w:rPr>
        <w:t>az większym stopniu angażują się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dzi</w:t>
      </w:r>
      <w:r>
        <w:rPr>
          <w:rFonts w:ascii="Times New Roman" w:hAnsi="Times New Roman"/>
          <w:noProof/>
          <w:color w:val="000000"/>
          <w:sz w:val="24"/>
          <w:szCs w:val="24"/>
        </w:rPr>
        <w:t>ałania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tym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obszarze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>. W gru</w:t>
      </w:r>
      <w:r>
        <w:rPr>
          <w:rFonts w:ascii="Times New Roman" w:hAnsi="Times New Roman"/>
          <w:noProof/>
          <w:color w:val="000000"/>
          <w:sz w:val="24"/>
          <w:szCs w:val="24"/>
        </w:rPr>
        <w:t>dniu 20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Komisja uruchomiła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Europejski Pakt na rzecz Klimatu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37"/>
      </w:r>
      <w:r>
        <w:rPr>
          <w:rFonts w:ascii="Times New Roman" w:hAnsi="Times New Roman"/>
          <w:noProof/>
          <w:color w:val="000000"/>
          <w:sz w:val="24"/>
          <w:szCs w:val="24"/>
        </w:rPr>
        <w:t>, aby umożliwić obywatelom odgrywanie istotniejszej roli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pro</w:t>
      </w:r>
      <w:r>
        <w:rPr>
          <w:rFonts w:ascii="Times New Roman" w:hAnsi="Times New Roman"/>
          <w:noProof/>
          <w:color w:val="000000"/>
          <w:sz w:val="24"/>
          <w:szCs w:val="24"/>
        </w:rPr>
        <w:t>cesie opracowywania środków na rzecz łagodzenia zmiany klimatu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dos</w:t>
      </w:r>
      <w:r>
        <w:rPr>
          <w:rFonts w:ascii="Times New Roman" w:hAnsi="Times New Roman"/>
          <w:noProof/>
          <w:color w:val="000000"/>
          <w:sz w:val="24"/>
          <w:szCs w:val="24"/>
        </w:rPr>
        <w:t>tosowywania się do niej oraz aby zapewnić im dostęp do platformy,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poz</w:t>
      </w:r>
      <w:r>
        <w:rPr>
          <w:rFonts w:ascii="Times New Roman" w:hAnsi="Times New Roman"/>
          <w:noProof/>
          <w:color w:val="000000"/>
          <w:sz w:val="24"/>
          <w:szCs w:val="24"/>
        </w:rPr>
        <w:t>iomu której będą mogli podejmować skuteczne działania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tym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zakresie. Do lipca 20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otrzymano ponad 1 000 wniosków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prz</w:t>
      </w:r>
      <w:r>
        <w:rPr>
          <w:rFonts w:ascii="Times New Roman" w:hAnsi="Times New Roman"/>
          <w:noProof/>
          <w:color w:val="000000"/>
          <w:sz w:val="24"/>
          <w:szCs w:val="24"/>
        </w:rPr>
        <w:t>ystąpienie do paktu, przy czym ponad 500 obywateli pełni już funkcję pełnoprawnych ambasadorów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38"/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</w:p>
    <w:p w14:paraId="1F47D8FB" w14:textId="77777777" w:rsidR="00346BA4" w:rsidRPr="006520D9" w:rsidRDefault="00DF6261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Do końca 20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około 9 900 europejskich miast przystąpiło do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Porozumienia Burmistrzów</w:t>
      </w:r>
      <w:r>
        <w:rPr>
          <w:rStyle w:val="Odwoanieprzypisudolnego"/>
          <w:rFonts w:ascii="Times New Roman" w:eastAsia="Times New Roman" w:hAnsi="Times New Roman" w:cs="Times New Roman"/>
          <w:noProof/>
          <w:color w:val="000000"/>
          <w:sz w:val="24"/>
          <w:szCs w:val="24"/>
        </w:rPr>
        <w:footnoteReference w:id="39"/>
      </w:r>
      <w:r>
        <w:rPr>
          <w:rFonts w:ascii="Times New Roman" w:hAnsi="Times New Roman"/>
          <w:noProof/>
          <w:color w:val="000000"/>
          <w:sz w:val="24"/>
          <w:szCs w:val="24"/>
        </w:rPr>
        <w:t>, podejmując zbiorowe zobowiązanie do ograniczenia emisji gazów cieplarnianych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3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i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o 4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7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%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por</w:t>
      </w:r>
      <w:r>
        <w:rPr>
          <w:rFonts w:ascii="Times New Roman" w:hAnsi="Times New Roman"/>
          <w:noProof/>
          <w:color w:val="000000"/>
          <w:sz w:val="24"/>
          <w:szCs w:val="24"/>
        </w:rPr>
        <w:t>ównaniu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poz</w:t>
      </w:r>
      <w:r>
        <w:rPr>
          <w:rFonts w:ascii="Times New Roman" w:hAnsi="Times New Roman"/>
          <w:noProof/>
          <w:color w:val="000000"/>
          <w:sz w:val="24"/>
          <w:szCs w:val="24"/>
        </w:rPr>
        <w:t>iomem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z 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05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.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kon</w:t>
      </w:r>
      <w:r>
        <w:rPr>
          <w:rFonts w:ascii="Times New Roman" w:hAnsi="Times New Roman"/>
          <w:noProof/>
          <w:color w:val="000000"/>
          <w:sz w:val="24"/>
          <w:szCs w:val="24"/>
        </w:rPr>
        <w:t>tekście programu ramowego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</w:rPr>
        <w:t>resie badań naukowych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inn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owacji „Horyzont Europa” Komisja uruchamia również 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misję „Neutralne dla klimatu</w:t>
      </w:r>
      <w:r w:rsidR="00D928C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i int</w: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t>eligentne miasta”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zakładającą osiągnięcie neutralności klimatycznej przez co najmniej 100 miast 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2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</w:rPr>
        <w:t>, która będzie sprzyjać eksperymentom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inn</w:t>
      </w:r>
      <w:r>
        <w:rPr>
          <w:rFonts w:ascii="Times New Roman" w:hAnsi="Times New Roman"/>
          <w:noProof/>
          <w:color w:val="000000"/>
          <w:sz w:val="24"/>
          <w:szCs w:val="24"/>
        </w:rPr>
        <w:t>owacjom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tej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dziedzinie, podczas gdy inne misje – poświęcone przystosowywaniu się do zmiany klimatu, oceanom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wod</w:t>
      </w:r>
      <w:r>
        <w:rPr>
          <w:rFonts w:ascii="Times New Roman" w:hAnsi="Times New Roman"/>
          <w:noProof/>
          <w:color w:val="000000"/>
          <w:sz w:val="24"/>
          <w:szCs w:val="24"/>
        </w:rPr>
        <w:t>om śródlądowym oraz zdrowiu gleby – będą propagowały działania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w dzi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edzinie klimatu dzięki szerokiemu zaangażowaniu obywatelskiemu. </w:t>
      </w:r>
    </w:p>
    <w:p w14:paraId="225BE1C3" w14:textId="77777777" w:rsidR="00DF6261" w:rsidRPr="00495651" w:rsidRDefault="005D784C">
      <w:pPr>
        <w:spacing w:before="0" w:after="20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noProof/>
        </w:rPr>
        <w:br w:type="page"/>
      </w:r>
    </w:p>
    <w:p w14:paraId="39F0C1BE" w14:textId="77777777" w:rsidR="00DF6261" w:rsidRPr="00495651" w:rsidRDefault="00DF6261" w:rsidP="00DF6261">
      <w:pPr>
        <w:pStyle w:val="Nagwek1"/>
        <w:spacing w:before="0" w:after="240" w:line="240" w:lineRule="auto"/>
        <w:ind w:left="714" w:hanging="357"/>
        <w:jc w:val="both"/>
        <w:rPr>
          <w:noProof/>
        </w:rPr>
      </w:pPr>
      <w:r>
        <w:rPr>
          <w:noProof/>
        </w:rPr>
        <w:lastRenderedPageBreak/>
        <w:t xml:space="preserve">UNIJNY SYSTEM HANDLU UPRAWNIENIAMI DO EMISJI </w:t>
      </w:r>
    </w:p>
    <w:p w14:paraId="64456FEF" w14:textId="77777777" w:rsidR="00DF6261" w:rsidRPr="009401B3" w:rsidRDefault="00DF6261" w:rsidP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  <w:szCs w:val="24"/>
        </w:rPr>
        <w:t>Unijny system handlu uprawnieniami do emisji (EU ETS)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40"/>
      </w:r>
      <w:r>
        <w:rPr>
          <w:rFonts w:ascii="Times New Roman" w:hAnsi="Times New Roman"/>
          <w:noProof/>
          <w:sz w:val="24"/>
          <w:szCs w:val="24"/>
        </w:rPr>
        <w:t xml:space="preserve"> obejmuje obecnie około 3</w:t>
      </w:r>
      <w:r w:rsidRPr="00D928C3">
        <w:rPr>
          <w:rFonts w:ascii="Times New Roman" w:hAnsi="Times New Roman"/>
          <w:noProof/>
          <w:sz w:val="24"/>
          <w:szCs w:val="24"/>
        </w:rPr>
        <w:t>6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łącznych emisji gazów cieplarnianych w UE generowanych przez niemal 9 500 elektrowni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zak</w:t>
      </w:r>
      <w:r>
        <w:rPr>
          <w:rFonts w:ascii="Times New Roman" w:hAnsi="Times New Roman"/>
          <w:noProof/>
          <w:sz w:val="24"/>
          <w:szCs w:val="24"/>
        </w:rPr>
        <w:t>ładów produkcyjnych (tj. instalacji stacjonarnych),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tak</w:t>
      </w:r>
      <w:r>
        <w:rPr>
          <w:rFonts w:ascii="Times New Roman" w:hAnsi="Times New Roman"/>
          <w:noProof/>
          <w:sz w:val="24"/>
          <w:szCs w:val="24"/>
        </w:rPr>
        <w:t>że przez loty odbywające się na terytorium EOG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41"/>
      </w:r>
      <w:r>
        <w:rPr>
          <w:rFonts w:ascii="Times New Roman" w:hAnsi="Times New Roman"/>
          <w:noProof/>
          <w:sz w:val="24"/>
          <w:szCs w:val="24"/>
        </w:rPr>
        <w:t xml:space="preserve">. Ogółem,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poziom objętych EU ETS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z ins</w:t>
      </w:r>
      <w:r>
        <w:rPr>
          <w:rFonts w:ascii="Times New Roman" w:hAnsi="Times New Roman"/>
          <w:noProof/>
          <w:sz w:val="24"/>
          <w:szCs w:val="24"/>
        </w:rPr>
        <w:t>talacji stacjonarnych obniżył się już</w:t>
      </w:r>
      <w:r w:rsidR="00D928C3">
        <w:rPr>
          <w:rFonts w:ascii="Times New Roman" w:hAnsi="Times New Roman"/>
          <w:noProof/>
          <w:sz w:val="24"/>
          <w:szCs w:val="24"/>
        </w:rPr>
        <w:t xml:space="preserve"> o 4</w:t>
      </w:r>
      <w:r w:rsidRPr="00D928C3">
        <w:rPr>
          <w:rFonts w:ascii="Times New Roman" w:hAnsi="Times New Roman"/>
          <w:noProof/>
          <w:sz w:val="24"/>
          <w:szCs w:val="24"/>
        </w:rPr>
        <w:t>3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por</w:t>
      </w:r>
      <w:r>
        <w:rPr>
          <w:rFonts w:ascii="Times New Roman" w:hAnsi="Times New Roman"/>
          <w:noProof/>
          <w:sz w:val="24"/>
          <w:szCs w:val="24"/>
        </w:rPr>
        <w:t>ównaniu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poz</w:t>
      </w:r>
      <w:r>
        <w:rPr>
          <w:rFonts w:ascii="Times New Roman" w:hAnsi="Times New Roman"/>
          <w:noProof/>
          <w:sz w:val="24"/>
          <w:szCs w:val="24"/>
        </w:rPr>
        <w:t>iomem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05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42"/>
      </w:r>
      <w:r>
        <w:rPr>
          <w:rFonts w:ascii="Times New Roman" w:hAnsi="Times New Roman"/>
          <w:noProof/>
          <w:sz w:val="24"/>
          <w:szCs w:val="24"/>
        </w:rPr>
        <w:t xml:space="preserve"> Największy udział</w:t>
      </w:r>
      <w:r w:rsidR="00D928C3">
        <w:rPr>
          <w:rFonts w:ascii="Times New Roman" w:hAnsi="Times New Roman"/>
          <w:noProof/>
          <w:sz w:val="24"/>
          <w:szCs w:val="24"/>
        </w:rPr>
        <w:t xml:space="preserve"> w obs</w:t>
      </w:r>
      <w:r>
        <w:rPr>
          <w:rFonts w:ascii="Times New Roman" w:hAnsi="Times New Roman"/>
          <w:noProof/>
          <w:sz w:val="24"/>
          <w:szCs w:val="24"/>
        </w:rPr>
        <w:t>erwowanym spadku poziomu emisji miały sektory produkcji energii elektrycznej</w:t>
      </w:r>
      <w:r w:rsidR="00D928C3">
        <w:rPr>
          <w:rFonts w:ascii="Times New Roman" w:hAnsi="Times New Roman"/>
          <w:noProof/>
          <w:sz w:val="24"/>
          <w:szCs w:val="24"/>
        </w:rPr>
        <w:t xml:space="preserve"> i ene</w:t>
      </w:r>
      <w:r>
        <w:rPr>
          <w:rFonts w:ascii="Times New Roman" w:hAnsi="Times New Roman"/>
          <w:noProof/>
          <w:sz w:val="24"/>
          <w:szCs w:val="24"/>
        </w:rPr>
        <w:t>rgii cieplnej (-1</w:t>
      </w:r>
      <w:r w:rsidRPr="00D928C3">
        <w:rPr>
          <w:rFonts w:ascii="Times New Roman" w:hAnsi="Times New Roman"/>
          <w:noProof/>
          <w:sz w:val="24"/>
          <w:szCs w:val="24"/>
        </w:rPr>
        <w:t>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), co stanowiło odzwierciedlenie wcześniejszych tendencji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>resie obniżania emisyjności (takich jak odchodzenie od wytwarzania energii elektrycznej</w:t>
      </w:r>
      <w:r w:rsidR="00D928C3">
        <w:rPr>
          <w:rFonts w:ascii="Times New Roman" w:hAnsi="Times New Roman"/>
          <w:noProof/>
          <w:sz w:val="24"/>
          <w:szCs w:val="24"/>
        </w:rPr>
        <w:t xml:space="preserve"> w ele</w:t>
      </w:r>
      <w:r>
        <w:rPr>
          <w:rFonts w:ascii="Times New Roman" w:hAnsi="Times New Roman"/>
          <w:noProof/>
          <w:sz w:val="24"/>
          <w:szCs w:val="24"/>
        </w:rPr>
        <w:t>ktrowniach opalanych węglem na rzecz elektrowni opalanych gazem ziemnym oraz zastępowanie paliw kopalnych odnawialnymi źródłami energii zgodnie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pol</w:t>
      </w:r>
      <w:r>
        <w:rPr>
          <w:rFonts w:ascii="Times New Roman" w:hAnsi="Times New Roman"/>
          <w:noProof/>
          <w:sz w:val="24"/>
          <w:szCs w:val="24"/>
        </w:rPr>
        <w:t>ityką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>resie energii ze źródeł odnawialnych realizowaną na szczeblu UE i na szczeblu państw członkowskich);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odnotowano również spadek zużycia energii elektrycznej spowodowany wybuchem pandemii. Szacuje się, że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– wskutek pandemii – poziom emisji generowanych przez instalacje stacjonarne zmniejszył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o 1</w:t>
      </w:r>
      <w:r>
        <w:rPr>
          <w:rFonts w:ascii="Times New Roman" w:hAnsi="Times New Roman"/>
          <w:noProof/>
          <w:sz w:val="24"/>
          <w:szCs w:val="24"/>
        </w:rPr>
        <w:t>1,</w:t>
      </w:r>
      <w:r w:rsidRPr="00D928C3">
        <w:rPr>
          <w:rFonts w:ascii="Times New Roman" w:hAnsi="Times New Roman"/>
          <w:noProof/>
          <w:sz w:val="24"/>
          <w:szCs w:val="24"/>
        </w:rPr>
        <w:t>4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; odnotowano jednocześnie największy spadek emisji generowanych przez sektor przemysłu (-</w:t>
      </w:r>
      <w:r w:rsidRPr="00D928C3">
        <w:rPr>
          <w:rFonts w:ascii="Times New Roman" w:hAnsi="Times New Roman"/>
          <w:noProof/>
          <w:sz w:val="24"/>
          <w:szCs w:val="24"/>
        </w:rPr>
        <w:t>7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) od rozpoczęcia 3. etapu EU ETS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13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>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w sek</w:t>
      </w:r>
      <w:r>
        <w:rPr>
          <w:rFonts w:ascii="Times New Roman" w:hAnsi="Times New Roman"/>
          <w:noProof/>
          <w:sz w:val="24"/>
          <w:szCs w:val="24"/>
        </w:rPr>
        <w:t>torze lotnictwa doszło do największego spadku poziomu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his</w:t>
      </w:r>
      <w:r>
        <w:rPr>
          <w:rFonts w:ascii="Times New Roman" w:hAnsi="Times New Roman"/>
          <w:noProof/>
          <w:sz w:val="24"/>
          <w:szCs w:val="24"/>
        </w:rPr>
        <w:t>torii (-63,</w:t>
      </w:r>
      <w:r w:rsidRPr="00D928C3">
        <w:rPr>
          <w:rFonts w:ascii="Times New Roman" w:hAnsi="Times New Roman"/>
          <w:noProof/>
          <w:sz w:val="24"/>
          <w:szCs w:val="24"/>
        </w:rPr>
        <w:t>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). </w:t>
      </w:r>
    </w:p>
    <w:p w14:paraId="56E422D4" w14:textId="77777777" w:rsidR="00DF6261" w:rsidRPr="006520D9" w:rsidRDefault="00820779" w:rsidP="00DF6261">
      <w:pPr>
        <w:spacing w:after="120" w:line="240" w:lineRule="auto"/>
        <w:jc w:val="both"/>
        <w:rPr>
          <w:noProof/>
          <w:highlight w:val="yellow"/>
        </w:rPr>
      </w:pPr>
      <w:r w:rsidRPr="000848D0">
        <w:rPr>
          <w:noProof/>
          <w:highlight w:val="yellow"/>
          <w:lang w:eastAsia="pl-PL"/>
        </w:rPr>
        <w:drawing>
          <wp:inline distT="0" distB="0" distL="0" distR="0" wp14:anchorId="39946318" wp14:editId="0CAA6C1C">
            <wp:extent cx="5731510" cy="386969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F44A" w14:textId="77777777" w:rsidR="00DF6261" w:rsidRPr="00787BC5" w:rsidRDefault="00DF6261">
      <w:pPr>
        <w:pStyle w:val="Legenda"/>
        <w:spacing w:line="240" w:lineRule="auto"/>
        <w:jc w:val="both"/>
        <w:rPr>
          <w:noProof/>
        </w:rPr>
      </w:pPr>
      <w:r>
        <w:rPr>
          <w:noProof/>
        </w:rPr>
        <w:lastRenderedPageBreak/>
        <w:t>Wykres 2: Zweryfikowane (historyczne) emisje objęte ETS</w:t>
      </w:r>
      <w:r w:rsidR="00D928C3">
        <w:rPr>
          <w:noProof/>
        </w:rPr>
        <w:t xml:space="preserve"> w lat</w:t>
      </w:r>
      <w:r>
        <w:rPr>
          <w:noProof/>
        </w:rPr>
        <w:t>ach 2005–2020 w Mt ekwiwalentu CO</w:t>
      </w:r>
      <w:r>
        <w:rPr>
          <w:noProof/>
          <w:vertAlign w:val="subscript"/>
        </w:rPr>
        <w:t>2</w:t>
      </w:r>
      <w:r>
        <w:rPr>
          <w:rStyle w:val="Odwoanieprzypisudolnego"/>
          <w:noProof/>
        </w:rPr>
        <w:footnoteReference w:id="43"/>
      </w:r>
      <w:r>
        <w:rPr>
          <w:noProof/>
        </w:rPr>
        <w:t>, prognozy państw członkowskich przy zastosowaniu istniejących środków na lata 2021–2030, pułapy ETS etapów 2, 3</w:t>
      </w:r>
      <w:r w:rsidR="00D928C3">
        <w:rPr>
          <w:noProof/>
        </w:rPr>
        <w:t xml:space="preserve"> i 4</w:t>
      </w:r>
      <w:r>
        <w:rPr>
          <w:noProof/>
        </w:rPr>
        <w:t xml:space="preserve"> oraz skumulowana nadwyżka uprawnień</w:t>
      </w:r>
      <w:r w:rsidR="00D928C3">
        <w:rPr>
          <w:noProof/>
        </w:rPr>
        <w:t xml:space="preserve"> w ram</w:t>
      </w:r>
      <w:r>
        <w:rPr>
          <w:noProof/>
        </w:rPr>
        <w:t>ach ETS na lata 2008–2020,</w:t>
      </w:r>
      <w:r w:rsidR="00D928C3">
        <w:rPr>
          <w:noProof/>
        </w:rPr>
        <w:t xml:space="preserve"> z uwz</w:t>
      </w:r>
      <w:r>
        <w:rPr>
          <w:noProof/>
        </w:rPr>
        <w:t>ględnieniem Zjednoczonego Królestwa (Irlandia Północna), Norwegii</w:t>
      </w:r>
      <w:r w:rsidR="00D928C3">
        <w:rPr>
          <w:noProof/>
        </w:rPr>
        <w:t xml:space="preserve"> i Isl</w:t>
      </w:r>
      <w:r>
        <w:rPr>
          <w:noProof/>
        </w:rPr>
        <w:t>andii</w:t>
      </w:r>
    </w:p>
    <w:p w14:paraId="1D60631F" w14:textId="77777777" w:rsidR="00754A9F" w:rsidRPr="0011564C" w:rsidRDefault="0064779F" w:rsidP="00B7742C">
      <w:pPr>
        <w:pStyle w:val="Body"/>
        <w:spacing w:after="240"/>
        <w:rPr>
          <w:rFonts w:cs="Times New Roman"/>
          <w:noProof/>
        </w:rPr>
      </w:pPr>
      <w:r>
        <w:rPr>
          <w:noProof/>
        </w:rPr>
        <w:t xml:space="preserve">Na przestrzeni ostatnich kilku </w:t>
      </w:r>
      <w:r w:rsidRPr="00D928C3">
        <w:rPr>
          <w:noProof/>
        </w:rPr>
        <w:t>lat</w:t>
      </w:r>
      <w:r w:rsidR="00D928C3" w:rsidRPr="00D928C3">
        <w:rPr>
          <w:noProof/>
        </w:rPr>
        <w:t> </w:t>
      </w:r>
      <w:r w:rsidRPr="00D928C3">
        <w:rPr>
          <w:noProof/>
        </w:rPr>
        <w:t>3</w:t>
      </w:r>
      <w:r>
        <w:rPr>
          <w:noProof/>
        </w:rPr>
        <w:t>. etapu można było zaobserwować wzmocnienie sygnałów cenowych dotyczących emisji dwutlenku węgla. Do podobnej sytuacji doszło również</w:t>
      </w:r>
      <w:r w:rsidR="00D928C3">
        <w:rPr>
          <w:noProof/>
        </w:rPr>
        <w:t xml:space="preserve"> w 2</w:t>
      </w:r>
      <w:r>
        <w:rPr>
          <w:noProof/>
        </w:rPr>
        <w:t>020</w:t>
      </w:r>
      <w:r w:rsidR="00D928C3">
        <w:rPr>
          <w:noProof/>
        </w:rPr>
        <w:t xml:space="preserve"> i 2</w:t>
      </w:r>
      <w:r>
        <w:rPr>
          <w:noProof/>
        </w:rPr>
        <w:t>0</w:t>
      </w:r>
      <w:r w:rsidRPr="00D928C3">
        <w:rPr>
          <w:noProof/>
        </w:rPr>
        <w:t>21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>, gdy pomimo trudnej sytuacji gospodarczej</w:t>
      </w:r>
      <w:r w:rsidR="00D928C3">
        <w:rPr>
          <w:noProof/>
        </w:rPr>
        <w:t xml:space="preserve"> w sek</w:t>
      </w:r>
      <w:r>
        <w:rPr>
          <w:noProof/>
        </w:rPr>
        <w:t>torze przemysłu</w:t>
      </w:r>
      <w:r w:rsidR="00D928C3">
        <w:rPr>
          <w:noProof/>
        </w:rPr>
        <w:t xml:space="preserve"> i lot</w:t>
      </w:r>
      <w:r>
        <w:rPr>
          <w:noProof/>
        </w:rPr>
        <w:t>nictwa wywołanej pandemią opłata za emisję gazów cieplarnianych utrzymywała się na wysokim poziomie</w:t>
      </w:r>
      <w:r w:rsidR="00D928C3">
        <w:rPr>
          <w:noProof/>
        </w:rPr>
        <w:t xml:space="preserve"> z uwa</w:t>
      </w:r>
      <w:r>
        <w:rPr>
          <w:noProof/>
        </w:rPr>
        <w:t>gi na wysokie ceny gazu</w:t>
      </w:r>
      <w:r w:rsidR="00D928C3">
        <w:rPr>
          <w:noProof/>
        </w:rPr>
        <w:t xml:space="preserve"> i prz</w:t>
      </w:r>
      <w:r>
        <w:rPr>
          <w:noProof/>
        </w:rPr>
        <w:t xml:space="preserve">ygotowywanie się rynku do wyznaczenia ambitniejszych celów klimatycznych </w:t>
      </w:r>
      <w:r w:rsidRPr="00D928C3">
        <w:rPr>
          <w:noProof/>
        </w:rPr>
        <w:t>na</w:t>
      </w:r>
      <w:r w:rsidR="00D928C3" w:rsidRPr="00D928C3">
        <w:rPr>
          <w:noProof/>
        </w:rPr>
        <w:t> </w:t>
      </w:r>
      <w:r w:rsidRPr="00D928C3">
        <w:rPr>
          <w:noProof/>
        </w:rPr>
        <w:t>2</w:t>
      </w:r>
      <w:r>
        <w:rPr>
          <w:noProof/>
        </w:rPr>
        <w:t>0</w:t>
      </w:r>
      <w:r w:rsidRPr="00D928C3">
        <w:rPr>
          <w:noProof/>
        </w:rPr>
        <w:t>30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Opłaty za emisję gazów cieplarnianych zwiększyły się na przestrzeni 20</w:t>
      </w:r>
      <w:r w:rsidRPr="00D928C3">
        <w:rPr>
          <w:noProof/>
        </w:rPr>
        <w:t>21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>, co przyczyniło się do wzrostu cen hurtowych energii elektrycznej, choć</w:t>
      </w:r>
      <w:r w:rsidR="00D928C3">
        <w:rPr>
          <w:noProof/>
        </w:rPr>
        <w:t xml:space="preserve"> w zna</w:t>
      </w:r>
      <w:r>
        <w:rPr>
          <w:noProof/>
        </w:rPr>
        <w:t>cznie mniejszym stopniu niż do wzrostu ceny gazu.</w:t>
      </w:r>
    </w:p>
    <w:p w14:paraId="15C7647F" w14:textId="77777777" w:rsidR="0064779F" w:rsidRPr="009401B3" w:rsidRDefault="00880799" w:rsidP="00B7742C">
      <w:pPr>
        <w:pStyle w:val="Body"/>
        <w:spacing w:after="240"/>
        <w:rPr>
          <w:noProof/>
        </w:rPr>
      </w:pPr>
      <w:r>
        <w:rPr>
          <w:noProof/>
        </w:rPr>
        <w:t>Każdego roku Komisja publikuje informacje na temat nadwyżki uprawnień</w:t>
      </w:r>
      <w:r w:rsidR="00D928C3">
        <w:rPr>
          <w:noProof/>
        </w:rPr>
        <w:t xml:space="preserve"> z pop</w:t>
      </w:r>
      <w:r>
        <w:rPr>
          <w:noProof/>
        </w:rPr>
        <w:t>rzedniego roku. Zgodnie</w:t>
      </w:r>
      <w:r w:rsidR="00D928C3">
        <w:rPr>
          <w:noProof/>
        </w:rPr>
        <w:t xml:space="preserve"> z inf</w:t>
      </w:r>
      <w:r>
        <w:rPr>
          <w:noProof/>
        </w:rPr>
        <w:t>ormacjami</w:t>
      </w:r>
      <w:r w:rsidR="00D928C3">
        <w:rPr>
          <w:noProof/>
        </w:rPr>
        <w:t xml:space="preserve"> z maj</w:t>
      </w:r>
      <w:r>
        <w:rPr>
          <w:noProof/>
        </w:rPr>
        <w:t>a 20</w:t>
      </w:r>
      <w:r w:rsidRPr="00D928C3">
        <w:rPr>
          <w:noProof/>
        </w:rPr>
        <w:t>21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nadwyżka</w:t>
      </w:r>
      <w:r w:rsidR="00D928C3">
        <w:rPr>
          <w:noProof/>
        </w:rPr>
        <w:t xml:space="preserve"> w 2</w:t>
      </w:r>
      <w:r>
        <w:rPr>
          <w:noProof/>
        </w:rPr>
        <w:t>0</w:t>
      </w:r>
      <w:r w:rsidRPr="00D928C3">
        <w:rPr>
          <w:noProof/>
        </w:rPr>
        <w:t>20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wynosiła około 1,58 mld uprawnień</w:t>
      </w:r>
      <w:r>
        <w:rPr>
          <w:rFonts w:cs="Times New Roman"/>
          <w:noProof/>
          <w:vertAlign w:val="superscript"/>
        </w:rPr>
        <w:footnoteReference w:id="44"/>
      </w:r>
      <w:r w:rsidR="00D928C3">
        <w:rPr>
          <w:noProof/>
        </w:rPr>
        <w:t xml:space="preserve"> i był</w:t>
      </w:r>
      <w:r>
        <w:rPr>
          <w:noProof/>
        </w:rPr>
        <w:t>a nieco wyższa niż nadwyżka</w:t>
      </w:r>
      <w:r w:rsidR="00D928C3">
        <w:rPr>
          <w:noProof/>
        </w:rPr>
        <w:t xml:space="preserve"> w 2</w:t>
      </w:r>
      <w:r>
        <w:rPr>
          <w:noProof/>
        </w:rPr>
        <w:t>0</w:t>
      </w:r>
      <w:r w:rsidRPr="00D928C3">
        <w:rPr>
          <w:noProof/>
        </w:rPr>
        <w:t>19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(1,39 mld uprawnień),</w:t>
      </w:r>
      <w:r w:rsidR="00D928C3">
        <w:rPr>
          <w:noProof/>
        </w:rPr>
        <w:t xml:space="preserve"> z uwa</w:t>
      </w:r>
      <w:r>
        <w:rPr>
          <w:noProof/>
        </w:rPr>
        <w:t>gi na ustawiczny spadek poziomu emisji wskutek pandemii. Biorąc pod uwagę aktualną nadwyżkę, wolumeny uprawnień przeznaczonych do sprzedaży na aukcji</w:t>
      </w:r>
      <w:r w:rsidR="00D928C3">
        <w:rPr>
          <w:noProof/>
        </w:rPr>
        <w:t xml:space="preserve"> w okr</w:t>
      </w:r>
      <w:r>
        <w:rPr>
          <w:noProof/>
        </w:rPr>
        <w:t>esie od września 20</w:t>
      </w:r>
      <w:r w:rsidRPr="00D928C3">
        <w:rPr>
          <w:noProof/>
        </w:rPr>
        <w:t>21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do sierpnia 20</w:t>
      </w:r>
      <w:r w:rsidRPr="00D928C3">
        <w:rPr>
          <w:noProof/>
        </w:rPr>
        <w:t>22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zmniejszą się</w:t>
      </w:r>
      <w:r w:rsidR="00D928C3">
        <w:rPr>
          <w:noProof/>
        </w:rPr>
        <w:t xml:space="preserve"> o 3</w:t>
      </w:r>
      <w:r>
        <w:rPr>
          <w:noProof/>
        </w:rPr>
        <w:t xml:space="preserve">78 mln uprawnień. Wyniki pierwszego przeglądu </w:t>
      </w:r>
      <w:r>
        <w:rPr>
          <w:b/>
          <w:noProof/>
        </w:rPr>
        <w:t>rezerwy stabilności rynkowej</w:t>
      </w:r>
      <w:r>
        <w:rPr>
          <w:rStyle w:val="Odwoanieprzypisudolnego"/>
          <w:noProof/>
        </w:rPr>
        <w:footnoteReference w:id="45"/>
      </w:r>
      <w:r>
        <w:rPr>
          <w:noProof/>
        </w:rPr>
        <w:t xml:space="preserve"> funkcjonującej </w:t>
      </w:r>
      <w:r w:rsidRPr="00D928C3">
        <w:rPr>
          <w:noProof/>
        </w:rPr>
        <w:t>od</w:t>
      </w:r>
      <w:r w:rsidR="00D928C3" w:rsidRPr="00D928C3">
        <w:rPr>
          <w:noProof/>
        </w:rPr>
        <w:t> </w:t>
      </w:r>
      <w:r w:rsidRPr="00D928C3">
        <w:rPr>
          <w:noProof/>
        </w:rPr>
        <w:t>2</w:t>
      </w:r>
      <w:r>
        <w:rPr>
          <w:noProof/>
        </w:rPr>
        <w:t>0</w:t>
      </w:r>
      <w:r w:rsidRPr="00D928C3">
        <w:rPr>
          <w:noProof/>
        </w:rPr>
        <w:t>19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wykazały, że spełniła ona swój cel polegający na zredukowaniu nadwyżki historycznej</w:t>
      </w:r>
      <w:r w:rsidR="00D928C3">
        <w:rPr>
          <w:noProof/>
        </w:rPr>
        <w:t xml:space="preserve"> i ust</w:t>
      </w:r>
      <w:r>
        <w:rPr>
          <w:noProof/>
        </w:rPr>
        <w:t>abilizowaniu rynku, pomimo ograniczenia poziomu emisji</w:t>
      </w:r>
      <w:r w:rsidR="00D928C3">
        <w:rPr>
          <w:noProof/>
        </w:rPr>
        <w:t xml:space="preserve"> w nas</w:t>
      </w:r>
      <w:r>
        <w:rPr>
          <w:noProof/>
        </w:rPr>
        <w:t>tępstwie wybuchu pandemii COVID-19. Jak dotąd, ustanowienie rezerwy doprowadziło do poboru (zmniejszone wolumeny uprawnień przeznaczonych do sprzedaży na aukcji) niemal 1,1 mld uprawnień, przy czym oczekuje się, że tendencja ta utrzyma się również</w:t>
      </w:r>
      <w:r w:rsidR="00D928C3">
        <w:rPr>
          <w:noProof/>
        </w:rPr>
        <w:t xml:space="preserve"> w kol</w:t>
      </w:r>
      <w:r>
        <w:rPr>
          <w:noProof/>
        </w:rPr>
        <w:t xml:space="preserve">ejnych latach. </w:t>
      </w:r>
    </w:p>
    <w:p w14:paraId="1D671383" w14:textId="77777777" w:rsidR="0064779F" w:rsidRPr="00B7742C" w:rsidRDefault="0064779F">
      <w:pPr>
        <w:pStyle w:val="Body"/>
        <w:spacing w:after="240"/>
        <w:rPr>
          <w:rStyle w:val="None"/>
          <w:rFonts w:eastAsia="Calibri" w:cs="Calibri"/>
          <w:noProof/>
        </w:rPr>
      </w:pPr>
      <w:r>
        <w:rPr>
          <w:noProof/>
        </w:rPr>
        <w:t>Jeżeli chodzi</w:t>
      </w:r>
      <w:r w:rsidR="00D928C3">
        <w:rPr>
          <w:noProof/>
        </w:rPr>
        <w:t xml:space="preserve"> o </w:t>
      </w:r>
      <w:r w:rsidR="00D928C3">
        <w:rPr>
          <w:b/>
          <w:noProof/>
        </w:rPr>
        <w:t>mię</w:t>
      </w:r>
      <w:r>
        <w:rPr>
          <w:b/>
          <w:noProof/>
        </w:rPr>
        <w:t>dzynarodowe jednostki emisji</w:t>
      </w:r>
      <w:r>
        <w:rPr>
          <w:noProof/>
        </w:rPr>
        <w:t xml:space="preserve">, na początku 3. etapu analitycy rynkowi oszacowali, że liczba uprawnień do międzynarodowych jednostek emisji wykorzystanych </w:t>
      </w:r>
      <w:r w:rsidRPr="00D928C3">
        <w:rPr>
          <w:noProof/>
        </w:rPr>
        <w:t>na</w:t>
      </w:r>
      <w:r w:rsidR="00D928C3" w:rsidRPr="00D928C3">
        <w:rPr>
          <w:noProof/>
        </w:rPr>
        <w:t> </w:t>
      </w:r>
      <w:r w:rsidRPr="00D928C3">
        <w:rPr>
          <w:noProof/>
        </w:rPr>
        <w:t>2</w:t>
      </w:r>
      <w:r>
        <w:rPr>
          <w:noProof/>
        </w:rPr>
        <w:t>.</w:t>
      </w:r>
      <w:r w:rsidR="00D928C3">
        <w:rPr>
          <w:noProof/>
        </w:rPr>
        <w:t xml:space="preserve"> i 3</w:t>
      </w:r>
      <w:r>
        <w:rPr>
          <w:noProof/>
        </w:rPr>
        <w:t>. etapie (lata 2008–2020) wynosiłaby około 1,6 mld jednostek emisji. Według stanu na koniec maja 20</w:t>
      </w:r>
      <w:r w:rsidRPr="00D928C3">
        <w:rPr>
          <w:noProof/>
        </w:rPr>
        <w:t>21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rFonts w:cs="Times New Roman"/>
          <w:noProof/>
          <w:vertAlign w:val="superscript"/>
        </w:rPr>
        <w:footnoteReference w:id="46"/>
      </w:r>
      <w:r>
        <w:rPr>
          <w:noProof/>
        </w:rPr>
        <w:t xml:space="preserve"> łączna liczba wykorzystanych lub wymienionych międzynarodowych jednostek emisji wynosiła około 1,565 mld, co stanowi niemal 9</w:t>
      </w:r>
      <w:r w:rsidRPr="00D928C3">
        <w:rPr>
          <w:noProof/>
        </w:rPr>
        <w:t>8</w:t>
      </w:r>
      <w:r w:rsidR="00D928C3" w:rsidRPr="00D928C3">
        <w:rPr>
          <w:noProof/>
        </w:rPr>
        <w:t> </w:t>
      </w:r>
      <w:r w:rsidRPr="00D928C3">
        <w:rPr>
          <w:noProof/>
        </w:rPr>
        <w:t>%</w:t>
      </w:r>
      <w:r>
        <w:rPr>
          <w:noProof/>
        </w:rPr>
        <w:t xml:space="preserve"> szacunkowej maksymalnej liczby jednostek emisji. Na samym tylko 3. etapie (lata 2013–2020) wymieniono 506,3 mln międzynarodowych jednostek emisji. </w:t>
      </w:r>
      <w:r>
        <w:rPr>
          <w:rStyle w:val="None"/>
          <w:noProof/>
        </w:rPr>
        <w:t>Zgodnie</w:t>
      </w:r>
      <w:r w:rsidR="00D928C3">
        <w:rPr>
          <w:rStyle w:val="None"/>
          <w:noProof/>
        </w:rPr>
        <w:t xml:space="preserve"> z prz</w:t>
      </w:r>
      <w:r>
        <w:rPr>
          <w:rStyle w:val="None"/>
          <w:noProof/>
        </w:rPr>
        <w:t>episami dyrektywy EU ETS międzynarodowe jednostki emisji nie będą mogły być już dłużej stosowane</w:t>
      </w:r>
      <w:r w:rsidR="00D928C3">
        <w:rPr>
          <w:rStyle w:val="None"/>
          <w:noProof/>
        </w:rPr>
        <w:t xml:space="preserve"> w odn</w:t>
      </w:r>
      <w:r>
        <w:rPr>
          <w:rStyle w:val="None"/>
          <w:noProof/>
        </w:rPr>
        <w:t>iesieniu do EU ETS</w:t>
      </w:r>
      <w:r w:rsidR="00D928C3">
        <w:rPr>
          <w:rStyle w:val="None"/>
          <w:noProof/>
        </w:rPr>
        <w:t xml:space="preserve"> w ram</w:t>
      </w:r>
      <w:r>
        <w:rPr>
          <w:rStyle w:val="None"/>
          <w:noProof/>
        </w:rPr>
        <w:t>ach czwartego okresu rozliczeniowego tego systemu (lata 2021–2030).</w:t>
      </w:r>
    </w:p>
    <w:p w14:paraId="166444FC" w14:textId="77777777" w:rsidR="00DF6261" w:rsidRPr="006520D9" w:rsidRDefault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Dochody ze sprzedaży uprawnień na europejskim rynku uprawnień do emisji dwutlenku węgla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w ram</w:t>
      </w:r>
      <w:r>
        <w:rPr>
          <w:rFonts w:ascii="Times New Roman" w:hAnsi="Times New Roman"/>
          <w:b/>
          <w:noProof/>
          <w:sz w:val="24"/>
          <w:szCs w:val="24"/>
        </w:rPr>
        <w:t>ach aukcji</w:t>
      </w:r>
      <w:r>
        <w:rPr>
          <w:rFonts w:ascii="Times New Roman" w:hAnsi="Times New Roman"/>
          <w:noProof/>
          <w:sz w:val="24"/>
          <w:szCs w:val="24"/>
        </w:rPr>
        <w:t xml:space="preserve"> nadal rosły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="00D928C3">
        <w:rPr>
          <w:rFonts w:ascii="Times New Roman" w:hAnsi="Times New Roman"/>
          <w:noProof/>
          <w:sz w:val="24"/>
          <w:szCs w:val="24"/>
        </w:rPr>
        <w:t xml:space="preserve"> z uwa</w:t>
      </w:r>
      <w:r>
        <w:rPr>
          <w:rFonts w:ascii="Times New Roman" w:hAnsi="Times New Roman"/>
          <w:noProof/>
          <w:sz w:val="24"/>
          <w:szCs w:val="24"/>
        </w:rPr>
        <w:t>gi na zwiększającą się wysokość opłaty za emisję gazów cieplarnianych. Łączne dochody uzyskane przez państwa członkowskie, Zjednoczone Królestwo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pań</w:t>
      </w:r>
      <w:r>
        <w:rPr>
          <w:rFonts w:ascii="Times New Roman" w:hAnsi="Times New Roman"/>
          <w:noProof/>
          <w:sz w:val="24"/>
          <w:szCs w:val="24"/>
        </w:rPr>
        <w:t>stwa EOG</w:t>
      </w:r>
      <w:r w:rsidR="00D928C3">
        <w:rPr>
          <w:rFonts w:ascii="Times New Roman" w:hAnsi="Times New Roman"/>
          <w:noProof/>
          <w:sz w:val="24"/>
          <w:szCs w:val="24"/>
        </w:rPr>
        <w:t xml:space="preserve"> z auk</w:t>
      </w:r>
      <w:r>
        <w:rPr>
          <w:rFonts w:ascii="Times New Roman" w:hAnsi="Times New Roman"/>
          <w:noProof/>
          <w:sz w:val="24"/>
          <w:szCs w:val="24"/>
        </w:rPr>
        <w:t xml:space="preserve">cji przeprowadzonych </w:t>
      </w:r>
      <w:r w:rsidRPr="00D928C3">
        <w:rPr>
          <w:rFonts w:ascii="Times New Roman" w:hAnsi="Times New Roman"/>
          <w:noProof/>
          <w:sz w:val="24"/>
          <w:szCs w:val="24"/>
        </w:rPr>
        <w:t>od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12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do dnia 30 czerwca 20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wyniosły niemal 83,5 mld EUR</w:t>
      </w:r>
      <w:r w:rsidR="00D928C3">
        <w:rPr>
          <w:rFonts w:ascii="Times New Roman" w:hAnsi="Times New Roman"/>
          <w:noProof/>
          <w:sz w:val="24"/>
          <w:szCs w:val="24"/>
        </w:rPr>
        <w:t>. W sam</w:t>
      </w:r>
      <w:r>
        <w:rPr>
          <w:rFonts w:ascii="Times New Roman" w:hAnsi="Times New Roman"/>
          <w:noProof/>
          <w:sz w:val="24"/>
          <w:szCs w:val="24"/>
        </w:rPr>
        <w:t>ym 20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łączne uzyskane dochody opiewały na kwotę 16,5 mld EUR (państwa UE-27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pań</w:t>
      </w:r>
      <w:r>
        <w:rPr>
          <w:rFonts w:ascii="Times New Roman" w:hAnsi="Times New Roman"/>
          <w:noProof/>
          <w:sz w:val="24"/>
          <w:szCs w:val="24"/>
        </w:rPr>
        <w:t xml:space="preserve">stwa EOG) lub na kwotę 19 mld EUR </w:t>
      </w:r>
      <w:r>
        <w:rPr>
          <w:rFonts w:ascii="Times New Roman" w:hAnsi="Times New Roman"/>
          <w:noProof/>
          <w:sz w:val="24"/>
          <w:szCs w:val="24"/>
        </w:rPr>
        <w:lastRenderedPageBreak/>
        <w:t>po uwzględnieniu Zjednoczonego Królestwa</w:t>
      </w:r>
      <w:r w:rsidR="00D928C3">
        <w:rPr>
          <w:rFonts w:ascii="Times New Roman" w:hAnsi="Times New Roman"/>
          <w:noProof/>
          <w:sz w:val="24"/>
          <w:szCs w:val="24"/>
        </w:rPr>
        <w:t>. W cią</w:t>
      </w:r>
      <w:r>
        <w:rPr>
          <w:rFonts w:ascii="Times New Roman" w:hAnsi="Times New Roman"/>
          <w:noProof/>
          <w:sz w:val="24"/>
          <w:szCs w:val="24"/>
        </w:rPr>
        <w:t>gu pierwszych sześciu miesięcy 20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dochody (państwa UE-27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pań</w:t>
      </w:r>
      <w:r>
        <w:rPr>
          <w:rFonts w:ascii="Times New Roman" w:hAnsi="Times New Roman"/>
          <w:noProof/>
          <w:sz w:val="24"/>
          <w:szCs w:val="24"/>
        </w:rPr>
        <w:t>stwa EOG) oscylowały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gra</w:t>
      </w:r>
      <w:r>
        <w:rPr>
          <w:rFonts w:ascii="Times New Roman" w:hAnsi="Times New Roman"/>
          <w:noProof/>
          <w:sz w:val="24"/>
          <w:szCs w:val="24"/>
        </w:rPr>
        <w:t>nicach 14 mld EUR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47"/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FB73A76" w14:textId="77777777" w:rsidR="00645510" w:rsidRPr="00B7742C" w:rsidRDefault="00645510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Działania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sek</w:t>
      </w:r>
      <w:r>
        <w:rPr>
          <w:rFonts w:ascii="Times New Roman" w:hAnsi="Times New Roman"/>
          <w:b/>
          <w:i/>
          <w:noProof/>
          <w:sz w:val="24"/>
          <w:szCs w:val="24"/>
        </w:rPr>
        <w:t>torach lotnictwa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i tra</w:t>
      </w:r>
      <w:r>
        <w:rPr>
          <w:rFonts w:ascii="Times New Roman" w:hAnsi="Times New Roman"/>
          <w:b/>
          <w:i/>
          <w:noProof/>
          <w:sz w:val="24"/>
          <w:szCs w:val="24"/>
        </w:rPr>
        <w:t>nsportu morskiego</w:t>
      </w:r>
    </w:p>
    <w:p w14:paraId="534A7C36" w14:textId="77777777" w:rsidR="00645510" w:rsidRPr="00495651" w:rsidRDefault="00645510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Emisje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lot</w:t>
      </w:r>
      <w:r>
        <w:rPr>
          <w:rFonts w:ascii="Times New Roman" w:hAnsi="Times New Roman"/>
          <w:noProof/>
          <w:sz w:val="24"/>
          <w:szCs w:val="24"/>
        </w:rPr>
        <w:t>nictwa pozaeuropejskiego, tj. emisje generowane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tra</w:t>
      </w:r>
      <w:r>
        <w:rPr>
          <w:rFonts w:ascii="Times New Roman" w:hAnsi="Times New Roman"/>
          <w:noProof/>
          <w:sz w:val="24"/>
          <w:szCs w:val="24"/>
        </w:rPr>
        <w:t>kcie lotów do EOG</w:t>
      </w:r>
      <w:r w:rsidR="00D928C3">
        <w:rPr>
          <w:rFonts w:ascii="Times New Roman" w:hAnsi="Times New Roman"/>
          <w:noProof/>
          <w:sz w:val="24"/>
          <w:szCs w:val="24"/>
        </w:rPr>
        <w:t xml:space="preserve"> i lot</w:t>
      </w:r>
      <w:r>
        <w:rPr>
          <w:rFonts w:ascii="Times New Roman" w:hAnsi="Times New Roman"/>
          <w:noProof/>
          <w:sz w:val="24"/>
          <w:szCs w:val="24"/>
        </w:rPr>
        <w:t>ów z EOG do innych państw,</w:t>
      </w:r>
      <w:r w:rsidR="00D928C3">
        <w:rPr>
          <w:rFonts w:ascii="Times New Roman" w:hAnsi="Times New Roman"/>
          <w:noProof/>
          <w:sz w:val="24"/>
          <w:szCs w:val="24"/>
        </w:rPr>
        <w:t xml:space="preserve"> z wyj</w:t>
      </w:r>
      <w:r>
        <w:rPr>
          <w:rFonts w:ascii="Times New Roman" w:hAnsi="Times New Roman"/>
          <w:noProof/>
          <w:sz w:val="24"/>
          <w:szCs w:val="24"/>
        </w:rPr>
        <w:t>ątkiem lotów z EOG do Zjednoczonego Królestwa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Szw</w:t>
      </w:r>
      <w:r>
        <w:rPr>
          <w:rFonts w:ascii="Times New Roman" w:hAnsi="Times New Roman"/>
          <w:noProof/>
          <w:sz w:val="24"/>
          <w:szCs w:val="24"/>
        </w:rPr>
        <w:t>ajcarii, nie podlegają obecnie wycenie w EU ETS zgodnie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prz</w:t>
      </w:r>
      <w:r>
        <w:rPr>
          <w:rFonts w:ascii="Times New Roman" w:hAnsi="Times New Roman"/>
          <w:noProof/>
          <w:sz w:val="24"/>
          <w:szCs w:val="24"/>
        </w:rPr>
        <w:t xml:space="preserve">episem dyrektywy EU ETS dotyczącym tymczasowego odstępstwa. </w:t>
      </w:r>
    </w:p>
    <w:p w14:paraId="6B8BF80F" w14:textId="77777777" w:rsidR="00A66A23" w:rsidRPr="006520D9" w:rsidRDefault="00645510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20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UE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dal</w:t>
      </w:r>
      <w:r>
        <w:rPr>
          <w:rFonts w:ascii="Times New Roman" w:hAnsi="Times New Roman"/>
          <w:noProof/>
          <w:sz w:val="24"/>
          <w:szCs w:val="24"/>
        </w:rPr>
        <w:t>szym ciągu wspierała wdrażanie pierwotnej strategii redukcji emisji gazów cieplarnianych Międzynarodowej Organizacji Morskiej, koncentrując się na środkach krótkoterminowych. Komisja podpisała również protokół ustaleń dotyczący nowego partnerstwa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kon</w:t>
      </w:r>
      <w:r>
        <w:rPr>
          <w:rFonts w:ascii="Times New Roman" w:hAnsi="Times New Roman"/>
          <w:noProof/>
          <w:sz w:val="24"/>
          <w:szCs w:val="24"/>
        </w:rPr>
        <w:t>tekście programu „Horyzont Europa”,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 xml:space="preserve">ach którego planuje się zainwestować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,8 mld EUR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ałania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>resie badań naukowych</w:t>
      </w:r>
      <w:r w:rsidR="00D928C3">
        <w:rPr>
          <w:rFonts w:ascii="Times New Roman" w:hAnsi="Times New Roman"/>
          <w:noProof/>
          <w:sz w:val="24"/>
          <w:szCs w:val="24"/>
        </w:rPr>
        <w:t xml:space="preserve"> i inn</w:t>
      </w:r>
      <w:r>
        <w:rPr>
          <w:rFonts w:ascii="Times New Roman" w:hAnsi="Times New Roman"/>
          <w:noProof/>
          <w:sz w:val="24"/>
          <w:szCs w:val="24"/>
        </w:rPr>
        <w:t>owacji, aby opracować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prz</w:t>
      </w:r>
      <w:r>
        <w:rPr>
          <w:rFonts w:ascii="Times New Roman" w:hAnsi="Times New Roman"/>
          <w:noProof/>
          <w:sz w:val="24"/>
          <w:szCs w:val="24"/>
        </w:rPr>
        <w:t>edstawić możliwe do wdrożenia rozwiązania bezemisyjne dla wszystkich najważniejszych rodzajów statków</w:t>
      </w:r>
      <w:r w:rsidR="00D928C3">
        <w:rPr>
          <w:rFonts w:ascii="Times New Roman" w:hAnsi="Times New Roman"/>
          <w:noProof/>
          <w:sz w:val="24"/>
          <w:szCs w:val="24"/>
        </w:rPr>
        <w:t xml:space="preserve"> i usł</w:t>
      </w:r>
      <w:r>
        <w:rPr>
          <w:rFonts w:ascii="Times New Roman" w:hAnsi="Times New Roman"/>
          <w:noProof/>
          <w:sz w:val="24"/>
          <w:szCs w:val="24"/>
        </w:rPr>
        <w:t xml:space="preserve">ug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</w:t>
      </w:r>
      <w:r w:rsidR="00D928C3" w:rsidRPr="00D928C3">
        <w:rPr>
          <w:rFonts w:ascii="Times New Roman" w:hAnsi="Times New Roman"/>
          <w:noProof/>
          <w:sz w:val="24"/>
          <w:szCs w:val="24"/>
        </w:rPr>
        <w:t>.</w:t>
      </w:r>
      <w:r w:rsidR="00D928C3">
        <w:rPr>
          <w:rFonts w:ascii="Times New Roman" w:hAnsi="Times New Roman"/>
          <w:noProof/>
          <w:sz w:val="24"/>
          <w:szCs w:val="24"/>
        </w:rPr>
        <w:t xml:space="preserve"> W lip</w:t>
      </w:r>
      <w:r>
        <w:rPr>
          <w:rFonts w:ascii="Times New Roman" w:hAnsi="Times New Roman"/>
          <w:noProof/>
          <w:sz w:val="24"/>
          <w:szCs w:val="24"/>
        </w:rPr>
        <w:t>cu 20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Komisja zaproponowała również rozszerzenie EU ETS</w:t>
      </w:r>
      <w:r w:rsidR="00D928C3">
        <w:rPr>
          <w:rFonts w:ascii="Times New Roman" w:hAnsi="Times New Roman"/>
          <w:noProof/>
          <w:sz w:val="24"/>
          <w:szCs w:val="24"/>
        </w:rPr>
        <w:t xml:space="preserve"> w cel</w:t>
      </w:r>
      <w:r>
        <w:rPr>
          <w:rFonts w:ascii="Times New Roman" w:hAnsi="Times New Roman"/>
          <w:noProof/>
          <w:sz w:val="24"/>
          <w:szCs w:val="24"/>
        </w:rPr>
        <w:t>u uwzględnienia emisji generowanych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sek</w:t>
      </w:r>
      <w:r>
        <w:rPr>
          <w:rFonts w:ascii="Times New Roman" w:hAnsi="Times New Roman"/>
          <w:noProof/>
          <w:sz w:val="24"/>
          <w:szCs w:val="24"/>
        </w:rPr>
        <w:t>torze transportu morskiego oraz zwiększenie stopnia wykorzystania zrównoważonych paliw alternatywnych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tym</w:t>
      </w:r>
      <w:r>
        <w:rPr>
          <w:rFonts w:ascii="Times New Roman" w:hAnsi="Times New Roman"/>
          <w:noProof/>
          <w:sz w:val="24"/>
          <w:szCs w:val="24"/>
        </w:rPr>
        <w:t xml:space="preserve"> sektorze.</w:t>
      </w:r>
      <w:r>
        <w:rPr>
          <w:noProof/>
        </w:rPr>
        <w:t xml:space="preserve"> </w:t>
      </w:r>
    </w:p>
    <w:p w14:paraId="73B84C7C" w14:textId="77777777" w:rsidR="00645510" w:rsidRPr="006520D9" w:rsidRDefault="005D784C">
      <w:pPr>
        <w:spacing w:before="0" w:after="200"/>
        <w:rPr>
          <w:rFonts w:ascii="Times New Roman" w:eastAsiaTheme="majorEastAsia" w:hAnsi="Times New Roman" w:cs="Times New Roman"/>
          <w:b/>
          <w:noProof/>
          <w:sz w:val="24"/>
          <w:szCs w:val="32"/>
        </w:rPr>
      </w:pPr>
      <w:r>
        <w:rPr>
          <w:noProof/>
        </w:rPr>
        <w:br w:type="page"/>
      </w:r>
    </w:p>
    <w:p w14:paraId="005B26C3" w14:textId="77777777" w:rsidR="00DF6261" w:rsidRPr="006520D9" w:rsidRDefault="00DF6261">
      <w:pPr>
        <w:pStyle w:val="Nagwek1"/>
        <w:spacing w:before="0" w:after="240" w:line="240" w:lineRule="auto"/>
        <w:ind w:left="714" w:hanging="357"/>
        <w:jc w:val="both"/>
        <w:rPr>
          <w:noProof/>
        </w:rPr>
      </w:pPr>
      <w:r>
        <w:rPr>
          <w:noProof/>
        </w:rPr>
        <w:lastRenderedPageBreak/>
        <w:t xml:space="preserve">EMISJE OBJĘTE WSPÓLNYM WYSIŁKIEM REDUKCYJNYM </w:t>
      </w:r>
    </w:p>
    <w:p w14:paraId="43EAC81A" w14:textId="77777777" w:rsidR="002D18B1" w:rsidRPr="006520D9" w:rsidRDefault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Przepisy unijne dotyczące wspólnego wysiłku redukcyjnego obejmują emisje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sek</w:t>
      </w:r>
      <w:r>
        <w:rPr>
          <w:rFonts w:ascii="Times New Roman" w:hAnsi="Times New Roman"/>
          <w:noProof/>
          <w:sz w:val="24"/>
          <w:szCs w:val="24"/>
        </w:rPr>
        <w:t>torów nieobjętych ETS, takich jak sektor transportu, sektory przemysłowe nieobjęte ETS, sektor budownictwa, sektor rolnictwa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sek</w:t>
      </w:r>
      <w:r>
        <w:rPr>
          <w:rFonts w:ascii="Times New Roman" w:hAnsi="Times New Roman"/>
          <w:noProof/>
          <w:sz w:val="24"/>
          <w:szCs w:val="24"/>
        </w:rPr>
        <w:t>tor gospodarowania odpadami</w:t>
      </w:r>
      <w:r w:rsidR="00D928C3">
        <w:rPr>
          <w:rFonts w:ascii="Times New Roman" w:hAnsi="Times New Roman"/>
          <w:noProof/>
          <w:sz w:val="24"/>
          <w:szCs w:val="24"/>
        </w:rPr>
        <w:t>. W dec</w:t>
      </w:r>
      <w:r>
        <w:rPr>
          <w:rFonts w:ascii="Times New Roman" w:hAnsi="Times New Roman"/>
          <w:noProof/>
          <w:sz w:val="24"/>
          <w:szCs w:val="24"/>
        </w:rPr>
        <w:t>yzji dotyczącej wspólnego wysiłku redukcyjnego ustanowiono krajowe cele redukcji emisji do roku 2020, wyrażone jako zmiana procentowa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sto</w:t>
      </w:r>
      <w:r>
        <w:rPr>
          <w:rFonts w:ascii="Times New Roman" w:hAnsi="Times New Roman"/>
          <w:noProof/>
          <w:sz w:val="24"/>
          <w:szCs w:val="24"/>
        </w:rPr>
        <w:t>sunku do poziomów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05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Wyznaczono</w:t>
      </w:r>
      <w:r w:rsidR="00D928C3">
        <w:rPr>
          <w:rFonts w:ascii="Times New Roman" w:hAnsi="Times New Roman"/>
          <w:noProof/>
          <w:sz w:val="24"/>
          <w:szCs w:val="24"/>
        </w:rPr>
        <w:t xml:space="preserve"> w nie</w:t>
      </w:r>
      <w:r>
        <w:rPr>
          <w:rFonts w:ascii="Times New Roman" w:hAnsi="Times New Roman"/>
          <w:noProof/>
          <w:sz w:val="24"/>
          <w:szCs w:val="24"/>
        </w:rPr>
        <w:t>j również roczne limity emisji (AEA), których państwa członkowskie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48"/>
      </w:r>
      <w:r>
        <w:rPr>
          <w:rFonts w:ascii="Times New Roman" w:hAnsi="Times New Roman"/>
          <w:noProof/>
          <w:sz w:val="24"/>
          <w:szCs w:val="24"/>
        </w:rPr>
        <w:t xml:space="preserve"> są zobowiązane przestrzegać. Podobnie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roz</w:t>
      </w:r>
      <w:r>
        <w:rPr>
          <w:rFonts w:ascii="Times New Roman" w:hAnsi="Times New Roman"/>
          <w:noProof/>
          <w:sz w:val="24"/>
          <w:szCs w:val="24"/>
        </w:rPr>
        <w:t>porządzeniu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spr</w:t>
      </w:r>
      <w:r>
        <w:rPr>
          <w:rFonts w:ascii="Times New Roman" w:hAnsi="Times New Roman"/>
          <w:noProof/>
          <w:sz w:val="24"/>
          <w:szCs w:val="24"/>
        </w:rPr>
        <w:t>awie wspólnego wysiłku redukcyjnego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49"/>
      </w:r>
      <w:r>
        <w:rPr>
          <w:rFonts w:ascii="Times New Roman" w:hAnsi="Times New Roman"/>
          <w:noProof/>
          <w:sz w:val="24"/>
          <w:szCs w:val="24"/>
        </w:rPr>
        <w:t xml:space="preserve"> (rozporządzenie ESR), będącym następcą decyzji dotyczącej wspólnego wysiłku redukcyjnego, ustanowiono krajowe cele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 xml:space="preserve">resie emisji </w:t>
      </w:r>
      <w:r w:rsidRPr="00D928C3">
        <w:rPr>
          <w:rFonts w:ascii="Times New Roman" w:hAnsi="Times New Roman"/>
          <w:noProof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oraz AEA na lata 2021–2030,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tym</w:t>
      </w:r>
      <w:r>
        <w:rPr>
          <w:rFonts w:ascii="Times New Roman" w:hAnsi="Times New Roman"/>
          <w:noProof/>
          <w:sz w:val="24"/>
          <w:szCs w:val="24"/>
        </w:rPr>
        <w:t xml:space="preserve"> również dla Islandii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Nor</w:t>
      </w:r>
      <w:r>
        <w:rPr>
          <w:rFonts w:ascii="Times New Roman" w:hAnsi="Times New Roman"/>
          <w:noProof/>
          <w:sz w:val="24"/>
          <w:szCs w:val="24"/>
        </w:rPr>
        <w:t>wegii</w:t>
      </w:r>
      <w:r>
        <w:rPr>
          <w:rStyle w:val="Odwoanieprzypisudolnego"/>
          <w:rFonts w:ascii="Times New Roman" w:hAnsi="Times New Roman" w:cs="Times New Roman"/>
          <w:noProof/>
          <w:color w:val="000000"/>
          <w:sz w:val="24"/>
          <w:szCs w:val="24"/>
        </w:rPr>
        <w:footnoteReference w:id="50"/>
      </w:r>
      <w:r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</w:rPr>
        <w:t>Islandia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Nor</w:t>
      </w:r>
      <w:r>
        <w:rPr>
          <w:rFonts w:ascii="Times New Roman" w:hAnsi="Times New Roman"/>
          <w:noProof/>
          <w:color w:val="000000"/>
          <w:sz w:val="24"/>
          <w:szCs w:val="24"/>
        </w:rPr>
        <w:t>wegia podjęły dalsze kroki na rzecz wdrożenia rozporządzenia ESR</w:t>
      </w:r>
      <w:r w:rsidR="00D928C3">
        <w:rPr>
          <w:rFonts w:ascii="Times New Roman" w:hAnsi="Times New Roman"/>
          <w:noProof/>
          <w:color w:val="000000"/>
          <w:sz w:val="24"/>
          <w:szCs w:val="24"/>
        </w:rPr>
        <w:t xml:space="preserve"> i obe</w:t>
      </w:r>
      <w:r>
        <w:rPr>
          <w:rFonts w:ascii="Times New Roman" w:hAnsi="Times New Roman"/>
          <w:noProof/>
          <w:color w:val="000000"/>
          <w:sz w:val="24"/>
          <w:szCs w:val="24"/>
        </w:rPr>
        <w:t>cnie obydwa państwa przedłożyły już swoje plany krajowe Komisji</w:t>
      </w:r>
      <w:r>
        <w:rPr>
          <w:rStyle w:val="Odwoanieprzypisudolnego"/>
          <w:rFonts w:ascii="Times New Roman" w:hAnsi="Times New Roman" w:cs="Times New Roman"/>
          <w:noProof/>
          <w:color w:val="000000"/>
          <w:sz w:val="24"/>
          <w:szCs w:val="24"/>
        </w:rPr>
        <w:footnoteReference w:id="51"/>
      </w:r>
      <w:r>
        <w:rPr>
          <w:rFonts w:ascii="Times New Roman" w:hAnsi="Times New Roman"/>
          <w:noProof/>
          <w:color w:val="000000"/>
          <w:sz w:val="24"/>
          <w:szCs w:val="24"/>
          <w:vertAlign w:val="superscript"/>
        </w:rPr>
        <w:t>,</w:t>
      </w:r>
      <w:r>
        <w:rPr>
          <w:rStyle w:val="Odwoanieprzypisudolnego"/>
          <w:rFonts w:ascii="Times New Roman" w:hAnsi="Times New Roman" w:cs="Times New Roman"/>
          <w:noProof/>
          <w:color w:val="000000"/>
          <w:sz w:val="24"/>
          <w:szCs w:val="24"/>
        </w:rPr>
        <w:footnoteReference w:id="52"/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</w:p>
    <w:p w14:paraId="210B6F4E" w14:textId="77777777" w:rsidR="009C1881" w:rsidRPr="00495651" w:rsidRDefault="00045400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Od czasu uruchomienia systemu wspólnego wysiłku redukcyjnego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13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emisje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ska</w:t>
      </w:r>
      <w:r>
        <w:rPr>
          <w:rFonts w:ascii="Times New Roman" w:hAnsi="Times New Roman"/>
          <w:noProof/>
          <w:sz w:val="24"/>
          <w:szCs w:val="24"/>
        </w:rPr>
        <w:t>li całej Unii Europejskiej co roku były niższe od maksymalnych zakładanych wartości. Wielkość emisji w UE-27 będących przedmiotem decyzji dotyczącej wspólnego wysiłku redukcyjnego była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niemal</w:t>
      </w:r>
      <w:r w:rsidR="00D928C3">
        <w:rPr>
          <w:rFonts w:ascii="Times New Roman" w:hAnsi="Times New Roman"/>
          <w:noProof/>
          <w:sz w:val="24"/>
          <w:szCs w:val="24"/>
        </w:rPr>
        <w:t xml:space="preserve"> o 1</w:t>
      </w:r>
      <w:r w:rsidRPr="00D928C3">
        <w:rPr>
          <w:rFonts w:ascii="Times New Roman" w:hAnsi="Times New Roman"/>
          <w:noProof/>
          <w:sz w:val="24"/>
          <w:szCs w:val="24"/>
        </w:rPr>
        <w:t>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niższa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por</w:t>
      </w:r>
      <w:r>
        <w:rPr>
          <w:rFonts w:ascii="Times New Roman" w:hAnsi="Times New Roman"/>
          <w:noProof/>
          <w:sz w:val="24"/>
          <w:szCs w:val="24"/>
        </w:rPr>
        <w:t>ównaniu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05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Oznacza to, że cel </w:t>
      </w:r>
      <w:r w:rsidRPr="00D928C3">
        <w:rPr>
          <w:rFonts w:ascii="Times New Roman" w:hAnsi="Times New Roman"/>
          <w:noProof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(zmniejszenie wielkości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o 1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) został osiągnięty</w:t>
      </w:r>
      <w:r w:rsidR="00D928C3">
        <w:rPr>
          <w:rFonts w:ascii="Times New Roman" w:hAnsi="Times New Roman"/>
          <w:noProof/>
          <w:sz w:val="24"/>
          <w:szCs w:val="24"/>
        </w:rPr>
        <w:t xml:space="preserve"> z nad</w:t>
      </w:r>
      <w:r>
        <w:rPr>
          <w:rFonts w:ascii="Times New Roman" w:hAnsi="Times New Roman"/>
          <w:noProof/>
          <w:sz w:val="24"/>
          <w:szCs w:val="24"/>
        </w:rPr>
        <w:t>wyżką jeszcze przed wybuchem kryzysu związanego z COVID-19 (zob. wykres 3).</w:t>
      </w:r>
    </w:p>
    <w:p w14:paraId="4EB9CDBD" w14:textId="77777777" w:rsidR="00BE46EE" w:rsidRDefault="00820779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796E">
        <w:rPr>
          <w:noProof/>
          <w:lang w:eastAsia="pl-PL"/>
        </w:rPr>
        <w:drawing>
          <wp:inline distT="0" distB="0" distL="0" distR="0" wp14:anchorId="0102203A" wp14:editId="499B116F">
            <wp:extent cx="5731510" cy="3279140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B3A9" w14:textId="77777777" w:rsidR="009C1881" w:rsidRPr="006520D9" w:rsidRDefault="132DBCBD" w:rsidP="00B7742C">
      <w:pPr>
        <w:spacing w:line="240" w:lineRule="auto"/>
        <w:jc w:val="both"/>
        <w:rPr>
          <w:b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t>Wykres 3</w:t>
      </w:r>
      <w:r>
        <w:rPr>
          <w:b/>
          <w:noProof/>
          <w:sz w:val="20"/>
          <w:szCs w:val="20"/>
        </w:rPr>
        <w:t>: Emisje</w:t>
      </w:r>
      <w:r w:rsidR="00D928C3">
        <w:rPr>
          <w:b/>
          <w:noProof/>
          <w:sz w:val="20"/>
          <w:szCs w:val="20"/>
        </w:rPr>
        <w:t xml:space="preserve"> w sek</w:t>
      </w:r>
      <w:r>
        <w:rPr>
          <w:b/>
          <w:noProof/>
          <w:sz w:val="20"/>
          <w:szCs w:val="20"/>
        </w:rPr>
        <w:t>torach objętych przepisami dotyczącymi wspólnego wysiłku redukcyjnego</w:t>
      </w:r>
      <w:r w:rsidR="00D928C3">
        <w:rPr>
          <w:b/>
          <w:noProof/>
          <w:sz w:val="20"/>
          <w:szCs w:val="20"/>
        </w:rPr>
        <w:t xml:space="preserve"> w lat</w:t>
      </w:r>
      <w:r>
        <w:rPr>
          <w:b/>
          <w:noProof/>
          <w:sz w:val="20"/>
          <w:szCs w:val="20"/>
        </w:rPr>
        <w:t>ach 2005–2030 oraz uwzględnione</w:t>
      </w:r>
      <w:r w:rsidR="00D928C3">
        <w:rPr>
          <w:b/>
          <w:noProof/>
          <w:sz w:val="20"/>
          <w:szCs w:val="20"/>
        </w:rPr>
        <w:t xml:space="preserve"> w roc</w:t>
      </w:r>
      <w:r>
        <w:rPr>
          <w:b/>
          <w:noProof/>
          <w:sz w:val="20"/>
          <w:szCs w:val="20"/>
        </w:rPr>
        <w:t>znych limitach emisji (AEA) w UE-27 oraz Islandii</w:t>
      </w:r>
      <w:r w:rsidR="00D928C3">
        <w:rPr>
          <w:b/>
          <w:noProof/>
          <w:sz w:val="20"/>
          <w:szCs w:val="20"/>
        </w:rPr>
        <w:t xml:space="preserve"> i Nor</w:t>
      </w:r>
      <w:r>
        <w:rPr>
          <w:b/>
          <w:noProof/>
          <w:sz w:val="20"/>
          <w:szCs w:val="20"/>
        </w:rPr>
        <w:t>wegii (wyrażone jako Mt ekwiwalentu CO</w:t>
      </w:r>
      <w:r>
        <w:rPr>
          <w:b/>
          <w:noProof/>
          <w:sz w:val="20"/>
          <w:szCs w:val="20"/>
          <w:vertAlign w:val="subscript"/>
        </w:rPr>
        <w:t>2</w:t>
      </w:r>
      <w:r>
        <w:rPr>
          <w:b/>
          <w:noProof/>
          <w:sz w:val="20"/>
          <w:szCs w:val="20"/>
        </w:rPr>
        <w:t>)</w:t>
      </w:r>
      <w:r>
        <w:rPr>
          <w:rStyle w:val="Odwoanieprzypisudolnego"/>
          <w:b/>
          <w:noProof/>
          <w:sz w:val="20"/>
          <w:szCs w:val="20"/>
        </w:rPr>
        <w:footnoteReference w:id="53"/>
      </w:r>
      <w:r>
        <w:rPr>
          <w:rFonts w:ascii="Calibri" w:hAnsi="Calibri"/>
          <w:b/>
          <w:bCs/>
          <w:noProof/>
          <w:sz w:val="20"/>
          <w:szCs w:val="20"/>
          <w:highlight w:val="yellow"/>
        </w:rPr>
        <w:t xml:space="preserve"> </w:t>
      </w:r>
    </w:p>
    <w:p w14:paraId="06F738BC" w14:textId="77777777" w:rsidR="009C1881" w:rsidRPr="00B7742C" w:rsidRDefault="009C188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Wywiązywanie się przez państwa członkowskie ze spoczywających na nich zobowiązań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zak</w:t>
      </w:r>
      <w:r>
        <w:rPr>
          <w:rFonts w:ascii="Times New Roman" w:hAnsi="Times New Roman"/>
          <w:b/>
          <w:i/>
          <w:noProof/>
          <w:sz w:val="24"/>
          <w:szCs w:val="24"/>
        </w:rPr>
        <w:t>resie wspólnego wysiłku redukcyjnego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lat</w:t>
      </w:r>
      <w:r>
        <w:rPr>
          <w:rFonts w:ascii="Times New Roman" w:hAnsi="Times New Roman"/>
          <w:b/>
          <w:i/>
          <w:noProof/>
          <w:sz w:val="24"/>
          <w:szCs w:val="24"/>
        </w:rPr>
        <w:t>ach 2013–2020</w:t>
      </w:r>
    </w:p>
    <w:p w14:paraId="55482BB5" w14:textId="77777777" w:rsidR="009C1881" w:rsidRPr="006702FB" w:rsidRDefault="009C188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Wszystkie państwa członkowskie wywiązały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w lat</w:t>
      </w:r>
      <w:r>
        <w:rPr>
          <w:rFonts w:ascii="Times New Roman" w:hAnsi="Times New Roman"/>
          <w:noProof/>
          <w:sz w:val="24"/>
          <w:szCs w:val="24"/>
        </w:rPr>
        <w:t>ach 2013–2018 ze swoich zobowiązań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>resie wspólnego wysiłku redukcyjnego. Choć Malta przekraczała swoje AEA każdego roku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tym</w:t>
      </w:r>
      <w:r>
        <w:rPr>
          <w:rFonts w:ascii="Times New Roman" w:hAnsi="Times New Roman"/>
          <w:noProof/>
          <w:sz w:val="24"/>
          <w:szCs w:val="24"/>
        </w:rPr>
        <w:t xml:space="preserve"> okresie, pokryła ten deficyt poprzez zakup rocznych limitów emisji od Bułgarii. W 20</w:t>
      </w:r>
      <w:r w:rsidRPr="00D928C3">
        <w:rPr>
          <w:rFonts w:ascii="Times New Roman" w:hAnsi="Times New Roman"/>
          <w:noProof/>
          <w:sz w:val="24"/>
          <w:szCs w:val="24"/>
        </w:rPr>
        <w:t>18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Austria, Belgia, Bułgaria, Cypr, Estonia, Finlandia, Niemcy, Irlandia, Luksemburg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Pol</w:t>
      </w:r>
      <w:r>
        <w:rPr>
          <w:rFonts w:ascii="Times New Roman" w:hAnsi="Times New Roman"/>
          <w:noProof/>
          <w:sz w:val="24"/>
          <w:szCs w:val="24"/>
        </w:rPr>
        <w:t>ska również przekroczyły swoje AEA, ale były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sta</w:t>
      </w:r>
      <w:r>
        <w:rPr>
          <w:rFonts w:ascii="Times New Roman" w:hAnsi="Times New Roman"/>
          <w:noProof/>
          <w:sz w:val="24"/>
          <w:szCs w:val="24"/>
        </w:rPr>
        <w:t>nie wykorzystać zachowane nadwyżki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pop</w:t>
      </w:r>
      <w:r>
        <w:rPr>
          <w:rFonts w:ascii="Times New Roman" w:hAnsi="Times New Roman"/>
          <w:noProof/>
          <w:sz w:val="24"/>
          <w:szCs w:val="24"/>
        </w:rPr>
        <w:t>rzednich lat do pokrycia tego deficytu. Szwecja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Zje</w:t>
      </w:r>
      <w:r>
        <w:rPr>
          <w:rFonts w:ascii="Times New Roman" w:hAnsi="Times New Roman"/>
          <w:noProof/>
          <w:sz w:val="24"/>
          <w:szCs w:val="24"/>
        </w:rPr>
        <w:t>dnoczone Królestwo unieważniły nadwyżki AEA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18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="00D928C3">
        <w:rPr>
          <w:rFonts w:ascii="Times New Roman" w:hAnsi="Times New Roman"/>
          <w:noProof/>
          <w:sz w:val="24"/>
          <w:szCs w:val="24"/>
        </w:rPr>
        <w:t xml:space="preserve"> w cel</w:t>
      </w:r>
      <w:r>
        <w:rPr>
          <w:rFonts w:ascii="Times New Roman" w:hAnsi="Times New Roman"/>
          <w:noProof/>
          <w:sz w:val="24"/>
          <w:szCs w:val="24"/>
        </w:rPr>
        <w:t>u poprawy integralności środowiskowej systemu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54"/>
      </w:r>
      <w:r>
        <w:rPr>
          <w:rFonts w:ascii="Times New Roman" w:hAnsi="Times New Roman"/>
          <w:noProof/>
          <w:sz w:val="24"/>
          <w:szCs w:val="24"/>
        </w:rPr>
        <w:t>. Wszystkie pozostałe państwa członkowskie przeniosły swoje nadwyżki</w:t>
      </w:r>
      <w:r w:rsidR="00D928C3">
        <w:rPr>
          <w:rFonts w:ascii="Times New Roman" w:hAnsi="Times New Roman"/>
          <w:noProof/>
          <w:sz w:val="24"/>
          <w:szCs w:val="24"/>
        </w:rPr>
        <w:t xml:space="preserve"> z myś</w:t>
      </w:r>
      <w:r>
        <w:rPr>
          <w:rFonts w:ascii="Times New Roman" w:hAnsi="Times New Roman"/>
          <w:noProof/>
          <w:sz w:val="24"/>
          <w:szCs w:val="24"/>
        </w:rPr>
        <w:t>lą</w:t>
      </w:r>
      <w:r w:rsidR="00D928C3">
        <w:rPr>
          <w:rFonts w:ascii="Times New Roman" w:hAnsi="Times New Roman"/>
          <w:noProof/>
          <w:sz w:val="24"/>
          <w:szCs w:val="24"/>
        </w:rPr>
        <w:t xml:space="preserve"> o ich</w:t>
      </w:r>
      <w:r>
        <w:rPr>
          <w:rFonts w:ascii="Times New Roman" w:hAnsi="Times New Roman"/>
          <w:noProof/>
          <w:sz w:val="24"/>
          <w:szCs w:val="24"/>
        </w:rPr>
        <w:t xml:space="preserve"> potencjalnym wykorzystaniu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póź</w:t>
      </w:r>
      <w:r>
        <w:rPr>
          <w:rFonts w:ascii="Times New Roman" w:hAnsi="Times New Roman"/>
          <w:noProof/>
          <w:sz w:val="24"/>
          <w:szCs w:val="24"/>
        </w:rPr>
        <w:t>niejszym okresie. Przy wywiązywaniu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z zob</w:t>
      </w:r>
      <w:r>
        <w:rPr>
          <w:rFonts w:ascii="Times New Roman" w:hAnsi="Times New Roman"/>
          <w:noProof/>
          <w:sz w:val="24"/>
          <w:szCs w:val="24"/>
        </w:rPr>
        <w:t>owiązań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>resie wspólnego wysiłku redukcyjnego nie wykorzystywano międzynarodowych jednostek</w:t>
      </w:r>
      <w:r w:rsidR="00D928C3">
        <w:rPr>
          <w:rFonts w:ascii="Times New Roman" w:hAnsi="Times New Roman"/>
          <w:noProof/>
          <w:sz w:val="24"/>
          <w:szCs w:val="24"/>
        </w:rPr>
        <w:t xml:space="preserve"> z tyt</w:t>
      </w:r>
      <w:r>
        <w:rPr>
          <w:rFonts w:ascii="Times New Roman" w:hAnsi="Times New Roman"/>
          <w:noProof/>
          <w:sz w:val="24"/>
          <w:szCs w:val="24"/>
        </w:rPr>
        <w:t>ułu projektu mechanizmu czystego rozwoju ani mechanizmu wspólnego wdrożenia.</w:t>
      </w:r>
    </w:p>
    <w:p w14:paraId="4CC1AD6C" w14:textId="77777777" w:rsidR="005F310D" w:rsidRPr="006520D9" w:rsidRDefault="009C188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Cykl weryfikacji zgodności </w:t>
      </w:r>
      <w:r w:rsidRPr="00D928C3">
        <w:rPr>
          <w:rFonts w:ascii="Times New Roman" w:hAnsi="Times New Roman"/>
          <w:noProof/>
          <w:sz w:val="24"/>
          <w:szCs w:val="24"/>
        </w:rPr>
        <w:t>za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jeszcze się nie zakończył. Wyniki rocznego przeglądu wykazu przeprowadzonego zgodnie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dec</w:t>
      </w:r>
      <w:r>
        <w:rPr>
          <w:rFonts w:ascii="Times New Roman" w:hAnsi="Times New Roman"/>
          <w:noProof/>
          <w:sz w:val="24"/>
          <w:szCs w:val="24"/>
        </w:rPr>
        <w:t>yzją dotyczącą wspólnego wysiłku redukcyjnego wskazują, że Malta przekroczyła swoje AEA</w:t>
      </w:r>
      <w:r w:rsidR="00D928C3">
        <w:rPr>
          <w:rFonts w:ascii="Times New Roman" w:hAnsi="Times New Roman"/>
          <w:noProof/>
          <w:sz w:val="24"/>
          <w:szCs w:val="24"/>
        </w:rPr>
        <w:t xml:space="preserve"> o 2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zat</w:t>
      </w:r>
      <w:r>
        <w:rPr>
          <w:rFonts w:ascii="Times New Roman" w:hAnsi="Times New Roman"/>
          <w:noProof/>
          <w:sz w:val="24"/>
          <w:szCs w:val="24"/>
        </w:rPr>
        <w:t>em ponownie będzie musiała je zakupić. Emisje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ewięciu innych państwach członkowskich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55"/>
      </w:r>
      <w:r>
        <w:rPr>
          <w:rFonts w:ascii="Times New Roman" w:hAnsi="Times New Roman"/>
          <w:noProof/>
          <w:sz w:val="24"/>
          <w:szCs w:val="24"/>
        </w:rPr>
        <w:t xml:space="preserve"> przekraczały AEA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nawet</w:t>
      </w:r>
      <w:r w:rsidR="00D928C3">
        <w:rPr>
          <w:rFonts w:ascii="Times New Roman" w:hAnsi="Times New Roman"/>
          <w:noProof/>
          <w:sz w:val="24"/>
          <w:szCs w:val="24"/>
        </w:rPr>
        <w:t xml:space="preserve"> o 1</w:t>
      </w:r>
      <w:r w:rsidRPr="00D928C3">
        <w:rPr>
          <w:rFonts w:ascii="Times New Roman" w:hAnsi="Times New Roman"/>
          <w:noProof/>
          <w:sz w:val="24"/>
          <w:szCs w:val="24"/>
        </w:rPr>
        <w:t>8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. Wszystkie te państwa –</w:t>
      </w:r>
      <w:r w:rsidR="00D928C3">
        <w:rPr>
          <w:rFonts w:ascii="Times New Roman" w:hAnsi="Times New Roman"/>
          <w:noProof/>
          <w:sz w:val="24"/>
          <w:szCs w:val="24"/>
        </w:rPr>
        <w:t xml:space="preserve"> z wyj</w:t>
      </w:r>
      <w:r>
        <w:rPr>
          <w:rFonts w:ascii="Times New Roman" w:hAnsi="Times New Roman"/>
          <w:noProof/>
          <w:sz w:val="24"/>
          <w:szCs w:val="24"/>
        </w:rPr>
        <w:t>ątkiem Irlandii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Nie</w:t>
      </w:r>
      <w:r>
        <w:rPr>
          <w:rFonts w:ascii="Times New Roman" w:hAnsi="Times New Roman"/>
          <w:noProof/>
          <w:sz w:val="24"/>
          <w:szCs w:val="24"/>
        </w:rPr>
        <w:t>miec – dysponowały wystarczającą nadwyżką AEA przeniesioną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pop</w:t>
      </w:r>
      <w:r>
        <w:rPr>
          <w:rFonts w:ascii="Times New Roman" w:hAnsi="Times New Roman"/>
          <w:noProof/>
          <w:sz w:val="24"/>
          <w:szCs w:val="24"/>
        </w:rPr>
        <w:t>rzednich lat. Orientacyjne dane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wyk</w:t>
      </w:r>
      <w:r>
        <w:rPr>
          <w:rFonts w:ascii="Times New Roman" w:hAnsi="Times New Roman"/>
          <w:noProof/>
          <w:sz w:val="24"/>
          <w:szCs w:val="24"/>
        </w:rPr>
        <w:t xml:space="preserve">azów </w:t>
      </w:r>
      <w:r w:rsidRPr="00D928C3">
        <w:rPr>
          <w:rFonts w:ascii="Times New Roman" w:hAnsi="Times New Roman"/>
          <w:noProof/>
          <w:sz w:val="24"/>
          <w:szCs w:val="24"/>
        </w:rPr>
        <w:t>za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wskazują, że Bułgaria, Cypr, Finlandia, Niemcy, Irlandia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Mal</w:t>
      </w:r>
      <w:r>
        <w:rPr>
          <w:rFonts w:ascii="Times New Roman" w:hAnsi="Times New Roman"/>
          <w:noProof/>
          <w:sz w:val="24"/>
          <w:szCs w:val="24"/>
        </w:rPr>
        <w:t xml:space="preserve">ta przekroczyły swoje AEA – skala tych przekroczeń waha się </w:t>
      </w:r>
      <w:r w:rsidRPr="00D928C3">
        <w:rPr>
          <w:rFonts w:ascii="Times New Roman" w:hAnsi="Times New Roman"/>
          <w:noProof/>
          <w:sz w:val="24"/>
          <w:szCs w:val="24"/>
        </w:rPr>
        <w:t>od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,4 % (Finlandia)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4 % (Irlandia). Państwa członkowskie, które nie dysponują nadwyżką AEA (Irlandia, Niemcy</w:t>
      </w:r>
      <w:r w:rsidR="00D928C3">
        <w:rPr>
          <w:rFonts w:ascii="Times New Roman" w:hAnsi="Times New Roman"/>
          <w:noProof/>
          <w:sz w:val="24"/>
          <w:szCs w:val="24"/>
        </w:rPr>
        <w:t xml:space="preserve"> i Mal</w:t>
      </w:r>
      <w:r>
        <w:rPr>
          <w:rFonts w:ascii="Times New Roman" w:hAnsi="Times New Roman"/>
          <w:noProof/>
          <w:sz w:val="24"/>
          <w:szCs w:val="24"/>
        </w:rPr>
        <w:t>ta), mogą skorzystać</w:t>
      </w:r>
      <w:r w:rsidR="00D928C3">
        <w:rPr>
          <w:rFonts w:ascii="Times New Roman" w:hAnsi="Times New Roman"/>
          <w:noProof/>
          <w:sz w:val="24"/>
          <w:szCs w:val="24"/>
        </w:rPr>
        <w:t xml:space="preserve"> z ela</w:t>
      </w:r>
      <w:r>
        <w:rPr>
          <w:rFonts w:ascii="Times New Roman" w:hAnsi="Times New Roman"/>
          <w:noProof/>
          <w:sz w:val="24"/>
          <w:szCs w:val="24"/>
        </w:rPr>
        <w:t>stycznych mechanizmów przewidzianych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dec</w:t>
      </w:r>
      <w:r>
        <w:rPr>
          <w:rFonts w:ascii="Times New Roman" w:hAnsi="Times New Roman"/>
          <w:noProof/>
          <w:sz w:val="24"/>
          <w:szCs w:val="24"/>
        </w:rPr>
        <w:t>yzji dotyczącej wspólnego wysiłku redukcyjnego (poza przenoszeniem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poż</w:t>
      </w:r>
      <w:r>
        <w:rPr>
          <w:rFonts w:ascii="Times New Roman" w:hAnsi="Times New Roman"/>
          <w:noProof/>
          <w:sz w:val="24"/>
          <w:szCs w:val="24"/>
        </w:rPr>
        <w:t xml:space="preserve">yczaniem AEA). </w:t>
      </w:r>
    </w:p>
    <w:p w14:paraId="3D26ECF0" w14:textId="77777777" w:rsidR="009C1881" w:rsidRPr="006520D9" w:rsidRDefault="009C1881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CF8AA49" wp14:editId="4AA9AB74">
            <wp:extent cx="5058888" cy="5581403"/>
            <wp:effectExtent l="0" t="0" r="8890" b="63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95C91D3" w14:textId="77777777" w:rsidR="009C1881" w:rsidRPr="006702FB" w:rsidRDefault="009C1881" w:rsidP="00B7742C">
      <w:pPr>
        <w:spacing w:line="240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Wykres </w:t>
      </w:r>
      <w:r>
        <w:rPr>
          <w:b/>
          <w:bCs/>
          <w:noProof/>
          <w:sz w:val="20"/>
          <w:szCs w:val="20"/>
        </w:rPr>
        <w:t>4</w:t>
      </w:r>
      <w:r>
        <w:rPr>
          <w:b/>
          <w:noProof/>
          <w:sz w:val="20"/>
          <w:szCs w:val="20"/>
        </w:rPr>
        <w:t>: Łączna nadwyżka AEA</w:t>
      </w:r>
      <w:r w:rsidR="00D928C3">
        <w:rPr>
          <w:b/>
          <w:noProof/>
          <w:sz w:val="20"/>
          <w:szCs w:val="20"/>
        </w:rPr>
        <w:t xml:space="preserve"> w lat</w:t>
      </w:r>
      <w:r>
        <w:rPr>
          <w:b/>
          <w:noProof/>
          <w:sz w:val="20"/>
          <w:szCs w:val="20"/>
        </w:rPr>
        <w:t>ach 2013–2019 jako odsetek emisji</w:t>
      </w:r>
      <w:r w:rsidR="00D928C3">
        <w:rPr>
          <w:b/>
          <w:noProof/>
          <w:sz w:val="20"/>
          <w:szCs w:val="20"/>
        </w:rPr>
        <w:t xml:space="preserve"> z rok</w:t>
      </w:r>
      <w:r>
        <w:rPr>
          <w:b/>
          <w:noProof/>
          <w:sz w:val="20"/>
          <w:szCs w:val="20"/>
        </w:rPr>
        <w:t>u bazowego 2005 dla UE-27</w:t>
      </w:r>
      <w:r w:rsidR="00D928C3">
        <w:rPr>
          <w:b/>
          <w:noProof/>
          <w:sz w:val="20"/>
          <w:szCs w:val="20"/>
        </w:rPr>
        <w:t xml:space="preserve"> i Zje</w:t>
      </w:r>
      <w:r>
        <w:rPr>
          <w:b/>
          <w:noProof/>
          <w:sz w:val="20"/>
          <w:szCs w:val="20"/>
        </w:rPr>
        <w:t>dnoczonego Królestwa</w:t>
      </w:r>
    </w:p>
    <w:p w14:paraId="0F530EF1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Postępy na drodze do osiągnięcia celów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zak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resie wspólnego wysiłku redukcyjnego 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na</w:t>
      </w:r>
      <w:r w:rsidR="00D928C3" w:rsidRPr="00D928C3">
        <w:rPr>
          <w:rFonts w:ascii="Times New Roman" w:hAnsi="Times New Roman"/>
          <w:b/>
          <w:i/>
          <w:noProof/>
          <w:sz w:val="24"/>
          <w:szCs w:val="24"/>
        </w:rPr>
        <w:t> 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2</w:t>
      </w:r>
      <w:r>
        <w:rPr>
          <w:rFonts w:ascii="Times New Roman" w:hAnsi="Times New Roman"/>
          <w:b/>
          <w:i/>
          <w:noProof/>
          <w:sz w:val="24"/>
          <w:szCs w:val="24"/>
        </w:rPr>
        <w:t>0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30</w:t>
      </w:r>
      <w:r w:rsidR="00D928C3" w:rsidRPr="00D928C3">
        <w:rPr>
          <w:rFonts w:ascii="Times New Roman" w:hAnsi="Times New Roman"/>
          <w:b/>
          <w:i/>
          <w:noProof/>
          <w:sz w:val="24"/>
          <w:szCs w:val="24"/>
        </w:rPr>
        <w:t> </w:t>
      </w:r>
      <w:r w:rsidRPr="00D928C3">
        <w:rPr>
          <w:rFonts w:ascii="Times New Roman" w:hAnsi="Times New Roman"/>
          <w:b/>
          <w:i/>
          <w:noProof/>
          <w:sz w:val="24"/>
          <w:szCs w:val="24"/>
        </w:rPr>
        <w:t>r.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14:paraId="0070EB60" w14:textId="77777777" w:rsidR="00DF6261" w:rsidRPr="006520D9" w:rsidRDefault="00DF6261" w:rsidP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Państwa członkowskie opracowują, przyjmują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wdr</w:t>
      </w:r>
      <w:r>
        <w:rPr>
          <w:rFonts w:ascii="Times New Roman" w:hAnsi="Times New Roman"/>
          <w:noProof/>
          <w:sz w:val="24"/>
          <w:szCs w:val="24"/>
        </w:rPr>
        <w:t>ażają politykę</w:t>
      </w:r>
      <w:r w:rsidR="00D928C3">
        <w:rPr>
          <w:rFonts w:ascii="Times New Roman" w:hAnsi="Times New Roman"/>
          <w:noProof/>
          <w:sz w:val="24"/>
          <w:szCs w:val="24"/>
        </w:rPr>
        <w:t xml:space="preserve"> i śro</w:t>
      </w:r>
      <w:r>
        <w:rPr>
          <w:rFonts w:ascii="Times New Roman" w:hAnsi="Times New Roman"/>
          <w:noProof/>
          <w:sz w:val="24"/>
          <w:szCs w:val="24"/>
        </w:rPr>
        <w:t>dki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cel</w:t>
      </w:r>
      <w:r>
        <w:rPr>
          <w:rFonts w:ascii="Times New Roman" w:hAnsi="Times New Roman"/>
          <w:noProof/>
          <w:sz w:val="24"/>
          <w:szCs w:val="24"/>
        </w:rPr>
        <w:t>u osiągnięcia swoich obecnych celów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 xml:space="preserve">resie wspólnego wysiłku redukcyjnego na </w:t>
      </w:r>
      <w:r w:rsidRPr="00D928C3">
        <w:rPr>
          <w:rFonts w:ascii="Times New Roman" w:hAnsi="Times New Roman"/>
          <w:noProof/>
          <w:sz w:val="24"/>
          <w:szCs w:val="24"/>
        </w:rPr>
        <w:t>rok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030 zgodnie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roz</w:t>
      </w:r>
      <w:r>
        <w:rPr>
          <w:rFonts w:ascii="Times New Roman" w:hAnsi="Times New Roman"/>
          <w:noProof/>
          <w:sz w:val="24"/>
          <w:szCs w:val="24"/>
        </w:rPr>
        <w:t>porządzeniem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spr</w:t>
      </w:r>
      <w:r>
        <w:rPr>
          <w:rFonts w:ascii="Times New Roman" w:hAnsi="Times New Roman"/>
          <w:noProof/>
          <w:sz w:val="24"/>
          <w:szCs w:val="24"/>
        </w:rPr>
        <w:t xml:space="preserve">awie wspólnego wysiłku redukcyjnego. Jeżeli wdrażane obecnie krajowe strategie polityczne potraktuje się łącznie,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UE-27 zmniejszyłaby emisje objęte wspólnym wysiłkiem redukcyjnym</w:t>
      </w:r>
      <w:r w:rsidR="00D928C3">
        <w:rPr>
          <w:rFonts w:ascii="Times New Roman" w:hAnsi="Times New Roman"/>
          <w:noProof/>
          <w:sz w:val="24"/>
          <w:szCs w:val="24"/>
        </w:rPr>
        <w:t xml:space="preserve"> o 2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sto</w:t>
      </w:r>
      <w:r>
        <w:rPr>
          <w:rFonts w:ascii="Times New Roman" w:hAnsi="Times New Roman"/>
          <w:noProof/>
          <w:sz w:val="24"/>
          <w:szCs w:val="24"/>
        </w:rPr>
        <w:t>sunku do poziomu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05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Wartość ta jest znacznie niższa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por</w:t>
      </w:r>
      <w:r>
        <w:rPr>
          <w:rFonts w:ascii="Times New Roman" w:hAnsi="Times New Roman"/>
          <w:noProof/>
          <w:sz w:val="24"/>
          <w:szCs w:val="24"/>
        </w:rPr>
        <w:t>ównaniu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akt</w:t>
      </w:r>
      <w:r>
        <w:rPr>
          <w:rFonts w:ascii="Times New Roman" w:hAnsi="Times New Roman"/>
          <w:noProof/>
          <w:sz w:val="24"/>
          <w:szCs w:val="24"/>
        </w:rPr>
        <w:t>ualnym ogólnym celem redukcji emisji zakładającym obniżenie ich poziomu</w:t>
      </w:r>
      <w:r w:rsidR="00D928C3">
        <w:rPr>
          <w:rFonts w:ascii="Times New Roman" w:hAnsi="Times New Roman"/>
          <w:noProof/>
          <w:sz w:val="24"/>
          <w:szCs w:val="24"/>
        </w:rPr>
        <w:t xml:space="preserve"> o 3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tak</w:t>
      </w:r>
      <w:r>
        <w:rPr>
          <w:rFonts w:ascii="Times New Roman" w:hAnsi="Times New Roman"/>
          <w:noProof/>
          <w:sz w:val="24"/>
          <w:szCs w:val="24"/>
        </w:rPr>
        <w:t>że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amb</w:t>
      </w:r>
      <w:r>
        <w:rPr>
          <w:rFonts w:ascii="Times New Roman" w:hAnsi="Times New Roman"/>
          <w:noProof/>
          <w:sz w:val="24"/>
          <w:szCs w:val="24"/>
        </w:rPr>
        <w:t>itniejszym celem obniżenia poziomu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o 4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zaproponowanym</w:t>
      </w:r>
      <w:r w:rsidR="00D928C3">
        <w:rPr>
          <w:rFonts w:ascii="Times New Roman" w:hAnsi="Times New Roman"/>
          <w:noProof/>
          <w:sz w:val="24"/>
          <w:szCs w:val="24"/>
        </w:rPr>
        <w:t xml:space="preserve"> w lip</w:t>
      </w:r>
      <w:r>
        <w:rPr>
          <w:rFonts w:ascii="Times New Roman" w:hAnsi="Times New Roman"/>
          <w:noProof/>
          <w:sz w:val="24"/>
          <w:szCs w:val="24"/>
        </w:rPr>
        <w:t>cu 20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Nawet jeżeli wszystkie dodatkowe strategie polityczne zgłoszone przez państwa członkowskie zostałyby wdrożone, wystarczyłoby to zaledwie do zredukowania poziomu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o 3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. Świadczy to</w:t>
      </w:r>
      <w:r w:rsidR="00D928C3">
        <w:rPr>
          <w:rFonts w:ascii="Times New Roman" w:hAnsi="Times New Roman"/>
          <w:noProof/>
          <w:sz w:val="24"/>
          <w:szCs w:val="24"/>
        </w:rPr>
        <w:t xml:space="preserve"> o sil</w:t>
      </w:r>
      <w:r>
        <w:rPr>
          <w:rFonts w:ascii="Times New Roman" w:hAnsi="Times New Roman"/>
          <w:noProof/>
          <w:sz w:val="24"/>
          <w:szCs w:val="24"/>
        </w:rPr>
        <w:t>nej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pil</w:t>
      </w:r>
      <w:r>
        <w:rPr>
          <w:rFonts w:ascii="Times New Roman" w:hAnsi="Times New Roman"/>
          <w:noProof/>
          <w:sz w:val="24"/>
          <w:szCs w:val="24"/>
        </w:rPr>
        <w:t>nej potrzebie zaplanowania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pod</w:t>
      </w:r>
      <w:r>
        <w:rPr>
          <w:rFonts w:ascii="Times New Roman" w:hAnsi="Times New Roman"/>
          <w:noProof/>
          <w:sz w:val="24"/>
          <w:szCs w:val="24"/>
        </w:rPr>
        <w:t>jęcia przez państwa członkowskie dodatkowych działań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edzinie klimatu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sek</w:t>
      </w:r>
      <w:r>
        <w:rPr>
          <w:rFonts w:ascii="Times New Roman" w:hAnsi="Times New Roman"/>
          <w:noProof/>
          <w:sz w:val="24"/>
          <w:szCs w:val="24"/>
        </w:rPr>
        <w:t>torach objętych wspólnym wysiłkiem redukcyjnym.</w:t>
      </w:r>
      <w:r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</w:p>
    <w:p w14:paraId="070281B8" w14:textId="77777777" w:rsidR="009F10D5" w:rsidRPr="006520D9" w:rsidRDefault="00820779">
      <w:pPr>
        <w:pStyle w:val="Legenda"/>
        <w:spacing w:after="120" w:line="240" w:lineRule="auto"/>
        <w:rPr>
          <w:noProof/>
          <w:highlight w:val="yellow"/>
        </w:rPr>
      </w:pPr>
      <w:r>
        <w:rPr>
          <w:noProof/>
          <w:lang w:eastAsia="pl-PL"/>
        </w:rPr>
        <w:lastRenderedPageBreak/>
        <w:drawing>
          <wp:inline distT="0" distB="0" distL="0" distR="0" wp14:anchorId="6A23616C" wp14:editId="6A5D55BB">
            <wp:extent cx="4572000" cy="70580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6371A09" w14:textId="77777777" w:rsidR="00DF6261" w:rsidRPr="00495651" w:rsidRDefault="00DF6261" w:rsidP="00B7742C">
      <w:pPr>
        <w:pStyle w:val="Legenda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t>Wykres 5</w:t>
      </w:r>
      <w:r>
        <w:rPr>
          <w:rStyle w:val="Odwoanieprzypisudolnego"/>
          <w:noProof/>
        </w:rPr>
        <w:footnoteReference w:id="56"/>
      </w:r>
      <w:r>
        <w:rPr>
          <w:noProof/>
        </w:rPr>
        <w:t xml:space="preserve">: Rozbieżności między celami </w:t>
      </w:r>
      <w:r w:rsidRPr="00D928C3">
        <w:rPr>
          <w:noProof/>
        </w:rPr>
        <w:t>na</w:t>
      </w:r>
      <w:r w:rsidR="00D928C3" w:rsidRPr="00D928C3">
        <w:rPr>
          <w:noProof/>
        </w:rPr>
        <w:t> </w:t>
      </w:r>
      <w:r w:rsidRPr="00D928C3">
        <w:rPr>
          <w:noProof/>
        </w:rPr>
        <w:t>2</w:t>
      </w:r>
      <w:r>
        <w:rPr>
          <w:noProof/>
        </w:rPr>
        <w:t>0</w:t>
      </w:r>
      <w:r w:rsidRPr="00D928C3">
        <w:rPr>
          <w:noProof/>
        </w:rPr>
        <w:t>30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określonymi</w:t>
      </w:r>
      <w:r w:rsidR="00D928C3">
        <w:rPr>
          <w:noProof/>
        </w:rPr>
        <w:t xml:space="preserve"> w roz</w:t>
      </w:r>
      <w:r>
        <w:rPr>
          <w:noProof/>
        </w:rPr>
        <w:t>porządzeniu ESR</w:t>
      </w:r>
      <w:r w:rsidR="00D928C3">
        <w:rPr>
          <w:noProof/>
        </w:rPr>
        <w:t xml:space="preserve"> a pro</w:t>
      </w:r>
      <w:r>
        <w:rPr>
          <w:noProof/>
        </w:rPr>
        <w:t>gnozowanymi emisjami</w:t>
      </w:r>
      <w:r>
        <w:rPr>
          <w:rStyle w:val="Odwoanieprzypisudolnego"/>
          <w:noProof/>
        </w:rPr>
        <w:footnoteReference w:id="57"/>
      </w:r>
      <w:r w:rsidR="00D928C3">
        <w:rPr>
          <w:noProof/>
        </w:rPr>
        <w:t xml:space="preserve"> z ist</w:t>
      </w:r>
      <w:r>
        <w:rPr>
          <w:noProof/>
        </w:rPr>
        <w:t>niejącymi środkami</w:t>
      </w:r>
      <w:r w:rsidR="00D928C3">
        <w:rPr>
          <w:noProof/>
        </w:rPr>
        <w:t xml:space="preserve"> i dod</w:t>
      </w:r>
      <w:r>
        <w:rPr>
          <w:noProof/>
        </w:rPr>
        <w:t>atkowymi środkami</w:t>
      </w:r>
      <w:r w:rsidR="00D928C3">
        <w:rPr>
          <w:noProof/>
        </w:rPr>
        <w:t xml:space="preserve"> w uję</w:t>
      </w:r>
      <w:r>
        <w:rPr>
          <w:noProof/>
        </w:rPr>
        <w:t>ciu procentowym</w:t>
      </w:r>
      <w:r w:rsidR="00D928C3">
        <w:rPr>
          <w:noProof/>
        </w:rPr>
        <w:t xml:space="preserve"> w sto</w:t>
      </w:r>
      <w:r>
        <w:rPr>
          <w:noProof/>
        </w:rPr>
        <w:t>sunku do emisji</w:t>
      </w:r>
      <w:r w:rsidR="00D928C3">
        <w:rPr>
          <w:noProof/>
        </w:rPr>
        <w:t xml:space="preserve"> </w:t>
      </w:r>
      <w:r w:rsidR="00D928C3">
        <w:rPr>
          <w:noProof/>
        </w:rPr>
        <w:lastRenderedPageBreak/>
        <w:t>w rok</w:t>
      </w:r>
      <w:r>
        <w:rPr>
          <w:noProof/>
        </w:rPr>
        <w:t>u bazowym 2005 dla UE-27, Islandii</w:t>
      </w:r>
      <w:r w:rsidR="00D928C3">
        <w:rPr>
          <w:noProof/>
        </w:rPr>
        <w:t xml:space="preserve"> i Nor</w:t>
      </w:r>
      <w:r>
        <w:rPr>
          <w:noProof/>
        </w:rPr>
        <w:t>wegii. Wartości dodatnie wskazują na prognozowane osiągnięcie celów</w:t>
      </w:r>
      <w:r w:rsidR="00D928C3">
        <w:rPr>
          <w:noProof/>
        </w:rPr>
        <w:t xml:space="preserve"> z nad</w:t>
      </w:r>
      <w:r>
        <w:rPr>
          <w:noProof/>
        </w:rPr>
        <w:t>wyżką; wartości ujemne wskazują, że prognozowane cele nie zostaną osiągnięte</w:t>
      </w:r>
    </w:p>
    <w:p w14:paraId="0AEE6E01" w14:textId="77777777" w:rsidR="00DF6261" w:rsidRPr="00B7742C" w:rsidRDefault="00531BDB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Strategie polityczne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klu</w:t>
      </w:r>
      <w:r>
        <w:rPr>
          <w:rFonts w:ascii="Times New Roman" w:hAnsi="Times New Roman"/>
          <w:b/>
          <w:i/>
          <w:noProof/>
          <w:sz w:val="24"/>
          <w:szCs w:val="24"/>
        </w:rPr>
        <w:t>czowych sektorach</w:t>
      </w:r>
    </w:p>
    <w:p w14:paraId="77FEC3F6" w14:textId="77777777" w:rsidR="00DF6261" w:rsidRPr="006520D9" w:rsidRDefault="00C372E9" w:rsidP="00DF6261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 okresie spadku</w:t>
      </w:r>
      <w:r w:rsidR="00D928C3">
        <w:rPr>
          <w:rFonts w:ascii="Times New Roman" w:hAnsi="Times New Roman"/>
          <w:noProof/>
          <w:sz w:val="24"/>
          <w:szCs w:val="24"/>
        </w:rPr>
        <w:t xml:space="preserve"> w nas</w:t>
      </w:r>
      <w:r>
        <w:rPr>
          <w:rFonts w:ascii="Times New Roman" w:hAnsi="Times New Roman"/>
          <w:noProof/>
          <w:sz w:val="24"/>
          <w:szCs w:val="24"/>
        </w:rPr>
        <w:t>tępstwie kryzysu finansowego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emisje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</w:t>
      </w:r>
      <w:r w:rsidR="00D928C3">
        <w:rPr>
          <w:rFonts w:ascii="Times New Roman" w:hAnsi="Times New Roman"/>
          <w:b/>
          <w:noProof/>
          <w:sz w:val="24"/>
          <w:szCs w:val="24"/>
        </w:rPr>
        <w:t>sek</w:t>
      </w:r>
      <w:r>
        <w:rPr>
          <w:rFonts w:ascii="Times New Roman" w:hAnsi="Times New Roman"/>
          <w:b/>
          <w:noProof/>
          <w:sz w:val="24"/>
          <w:szCs w:val="24"/>
        </w:rPr>
        <w:t>torze transportu drogowego</w:t>
      </w:r>
      <w:r>
        <w:rPr>
          <w:rFonts w:ascii="Times New Roman" w:hAnsi="Times New Roman"/>
          <w:noProof/>
          <w:sz w:val="24"/>
          <w:szCs w:val="24"/>
        </w:rPr>
        <w:t>, będącym drugim co do wielkości źródłem emisji w UE, ponownie osiągnęły swój poziom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05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Przewiduje się, że po pandemii dojdzie do ich wzrostu, przy czym ich obniżenie bez wdrożenia dodatkowych środków wydaje się mało prawdopodobne. Normy emisji </w:t>
      </w:r>
      <w:r>
        <w:rPr>
          <w:rFonts w:ascii="Times New Roman" w:hAnsi="Times New Roman"/>
          <w:b/>
          <w:noProof/>
          <w:sz w:val="24"/>
          <w:szCs w:val="24"/>
        </w:rPr>
        <w:t>CO</w:t>
      </w:r>
      <w:r>
        <w:rPr>
          <w:rFonts w:ascii="Times New Roman" w:hAnsi="Times New Roman"/>
          <w:b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noProof/>
          <w:sz w:val="24"/>
          <w:szCs w:val="24"/>
        </w:rPr>
        <w:t xml:space="preserve"> dla nowych samochodów osobowych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i dos</w:t>
      </w:r>
      <w:r>
        <w:rPr>
          <w:rFonts w:ascii="Times New Roman" w:hAnsi="Times New Roman"/>
          <w:b/>
          <w:noProof/>
          <w:sz w:val="24"/>
          <w:szCs w:val="24"/>
        </w:rPr>
        <w:t>tawczych oraz pojazdów ciężkich</w:t>
      </w:r>
      <w:r>
        <w:rPr>
          <w:rFonts w:ascii="Times New Roman" w:hAnsi="Times New Roman"/>
          <w:noProof/>
          <w:sz w:val="24"/>
          <w:szCs w:val="24"/>
        </w:rPr>
        <w:t xml:space="preserve"> są zatem kluczowymi czynnikami przyczyniającymi się do zmniejszania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z tra</w:t>
      </w:r>
      <w:r>
        <w:rPr>
          <w:rFonts w:ascii="Times New Roman" w:hAnsi="Times New Roman"/>
          <w:noProof/>
          <w:sz w:val="24"/>
          <w:szCs w:val="24"/>
        </w:rPr>
        <w:t>nsportu drogowego. Średnie emisje generowane przez nowe samochody osobowe zmniejszyły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poz</w:t>
      </w:r>
      <w:r>
        <w:rPr>
          <w:rFonts w:ascii="Times New Roman" w:hAnsi="Times New Roman"/>
          <w:noProof/>
          <w:sz w:val="24"/>
          <w:szCs w:val="24"/>
        </w:rPr>
        <w:t>iomu 122,3 g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>/km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do poziomu 107,8 g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>/km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58"/>
      </w:r>
      <w:r>
        <w:rPr>
          <w:rFonts w:ascii="Times New Roman" w:hAnsi="Times New Roman"/>
          <w:noProof/>
          <w:sz w:val="24"/>
          <w:szCs w:val="24"/>
        </w:rPr>
        <w:t xml:space="preserve"> Jest to zdecydowanie największy spadek poziomu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ska</w:t>
      </w:r>
      <w:r>
        <w:rPr>
          <w:rFonts w:ascii="Times New Roman" w:hAnsi="Times New Roman"/>
          <w:noProof/>
          <w:sz w:val="24"/>
          <w:szCs w:val="24"/>
        </w:rPr>
        <w:t>li roku od czasu przyjęcia norm emisji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>, wynikający</w:t>
      </w:r>
      <w:r w:rsidR="00D928C3">
        <w:rPr>
          <w:rFonts w:ascii="Times New Roman" w:hAnsi="Times New Roman"/>
          <w:noProof/>
          <w:sz w:val="24"/>
          <w:szCs w:val="24"/>
        </w:rPr>
        <w:t xml:space="preserve"> z ust</w:t>
      </w:r>
      <w:r>
        <w:rPr>
          <w:rFonts w:ascii="Times New Roman" w:hAnsi="Times New Roman"/>
          <w:noProof/>
          <w:sz w:val="24"/>
          <w:szCs w:val="24"/>
        </w:rPr>
        <w:t>anowienia bardziej rygorystycznego docelowego poziomu emisji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dla całej floty pojazdów w UE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Świadczy to ponadto</w:t>
      </w:r>
      <w:r w:rsidR="00D928C3">
        <w:rPr>
          <w:rFonts w:ascii="Times New Roman" w:hAnsi="Times New Roman"/>
          <w:noProof/>
          <w:sz w:val="24"/>
          <w:szCs w:val="24"/>
        </w:rPr>
        <w:t xml:space="preserve"> o wpł</w:t>
      </w:r>
      <w:r>
        <w:rPr>
          <w:rFonts w:ascii="Times New Roman" w:hAnsi="Times New Roman"/>
          <w:noProof/>
          <w:sz w:val="24"/>
          <w:szCs w:val="24"/>
        </w:rPr>
        <w:t>ywie ukierunkowanych środków zaradczych wdrożonych przez państwa członkowskie, które stymulowały upowszechnianie pojazdów bezemisyjnych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poj</w:t>
      </w:r>
      <w:r>
        <w:rPr>
          <w:rFonts w:ascii="Times New Roman" w:hAnsi="Times New Roman"/>
          <w:noProof/>
          <w:sz w:val="24"/>
          <w:szCs w:val="24"/>
        </w:rPr>
        <w:t>azdów niskoemisyjnych oraz sprzyjały inwestycjom</w:t>
      </w:r>
      <w:r w:rsidR="00D928C3">
        <w:rPr>
          <w:rFonts w:ascii="Times New Roman" w:hAnsi="Times New Roman"/>
          <w:noProof/>
          <w:sz w:val="24"/>
          <w:szCs w:val="24"/>
        </w:rPr>
        <w:t xml:space="preserve"> w inf</w:t>
      </w:r>
      <w:r>
        <w:rPr>
          <w:rFonts w:ascii="Times New Roman" w:hAnsi="Times New Roman"/>
          <w:noProof/>
          <w:sz w:val="24"/>
          <w:szCs w:val="24"/>
        </w:rPr>
        <w:t>rastrukturę ładowania pojazdów elektrycznych. W 20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liczba zarejestrowanych pojazdów elektrycznych potroiła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por</w:t>
      </w:r>
      <w:r>
        <w:rPr>
          <w:rFonts w:ascii="Times New Roman" w:hAnsi="Times New Roman"/>
          <w:noProof/>
          <w:sz w:val="24"/>
          <w:szCs w:val="24"/>
        </w:rPr>
        <w:t>ównaniu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(z poziomu 3,</w:t>
      </w:r>
      <w:r w:rsidRPr="00D928C3">
        <w:rPr>
          <w:rFonts w:ascii="Times New Roman" w:hAnsi="Times New Roman"/>
          <w:noProof/>
          <w:sz w:val="24"/>
          <w:szCs w:val="24"/>
        </w:rPr>
        <w:t>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do poziomu ponad 1</w:t>
      </w:r>
      <w:r w:rsidRPr="00D928C3">
        <w:rPr>
          <w:rFonts w:ascii="Times New Roman" w:hAnsi="Times New Roman"/>
          <w:noProof/>
          <w:sz w:val="24"/>
          <w:szCs w:val="24"/>
        </w:rPr>
        <w:t>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,</w:t>
      </w:r>
      <w:r w:rsidR="00D928C3">
        <w:rPr>
          <w:rFonts w:ascii="Times New Roman" w:hAnsi="Times New Roman"/>
          <w:noProof/>
          <w:sz w:val="24"/>
          <w:szCs w:val="24"/>
        </w:rPr>
        <w:t xml:space="preserve"> z cze</w:t>
      </w:r>
      <w:r>
        <w:rPr>
          <w:rFonts w:ascii="Times New Roman" w:hAnsi="Times New Roman"/>
          <w:noProof/>
          <w:sz w:val="24"/>
          <w:szCs w:val="24"/>
        </w:rPr>
        <w:t xml:space="preserve">go </w:t>
      </w:r>
      <w:r w:rsidRPr="00D928C3">
        <w:rPr>
          <w:rFonts w:ascii="Times New Roman" w:hAnsi="Times New Roman"/>
          <w:noProof/>
          <w:sz w:val="24"/>
          <w:szCs w:val="24"/>
        </w:rPr>
        <w:t>6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stanowiły pojazdy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peł</w:t>
      </w:r>
      <w:r>
        <w:rPr>
          <w:rFonts w:ascii="Times New Roman" w:hAnsi="Times New Roman"/>
          <w:noProof/>
          <w:sz w:val="24"/>
          <w:szCs w:val="24"/>
        </w:rPr>
        <w:t>ni elektryczne,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</w:t>
      </w:r>
      <w:r w:rsidR="00D928C3" w:rsidRPr="00D928C3">
        <w:rPr>
          <w:rFonts w:ascii="Times New Roman" w:hAnsi="Times New Roman"/>
          <w:noProof/>
          <w:sz w:val="24"/>
          <w:szCs w:val="24"/>
        </w:rPr>
        <w:t>5 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– pojazdy hybrydowe typu plug-in). W 20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, dzięki zaostrzeniu obowiązujących norm, odnotowano również spadek średniego poziomu emisji generowanych przez nowe samochody dostawcze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55,7 g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>/km (zob. wykres 6). Pojazdy ciężkie, takie jak samochody ciężarowe, ciężkie samochody dostawcze, autobusy</w:t>
      </w:r>
      <w:r w:rsidR="00D928C3">
        <w:rPr>
          <w:rFonts w:ascii="Times New Roman" w:hAnsi="Times New Roman"/>
          <w:noProof/>
          <w:sz w:val="24"/>
          <w:szCs w:val="24"/>
        </w:rPr>
        <w:t xml:space="preserve"> i aut</w:t>
      </w:r>
      <w:r>
        <w:rPr>
          <w:rFonts w:ascii="Times New Roman" w:hAnsi="Times New Roman"/>
          <w:noProof/>
          <w:sz w:val="24"/>
          <w:szCs w:val="24"/>
        </w:rPr>
        <w:t>okary odpowiadają za około 3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łącznych emisji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generowanych przez transport drogowy</w:t>
      </w:r>
      <w:r w:rsidR="00D928C3">
        <w:rPr>
          <w:rFonts w:ascii="Times New Roman" w:hAnsi="Times New Roman"/>
          <w:noProof/>
          <w:sz w:val="24"/>
          <w:szCs w:val="24"/>
        </w:rPr>
        <w:t>. W obo</w:t>
      </w:r>
      <w:r>
        <w:rPr>
          <w:rFonts w:ascii="Times New Roman" w:hAnsi="Times New Roman"/>
          <w:noProof/>
          <w:sz w:val="24"/>
          <w:szCs w:val="24"/>
        </w:rPr>
        <w:t>wiązujących przepisach ustanowiono wymóg obniżenia średnich emisji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wytwarzanych przez flotę nowych ciężkich samochodów ciężarowych danego producenta</w:t>
      </w:r>
      <w:r w:rsidR="00D928C3">
        <w:rPr>
          <w:rFonts w:ascii="Times New Roman" w:hAnsi="Times New Roman"/>
          <w:noProof/>
          <w:sz w:val="24"/>
          <w:szCs w:val="24"/>
        </w:rPr>
        <w:t xml:space="preserve"> o 1</w:t>
      </w:r>
      <w:r w:rsidRPr="00D928C3">
        <w:rPr>
          <w:rFonts w:ascii="Times New Roman" w:hAnsi="Times New Roman"/>
          <w:noProof/>
          <w:sz w:val="24"/>
          <w:szCs w:val="24"/>
        </w:rPr>
        <w:t>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 w:rsidR="00D928C3">
        <w:rPr>
          <w:rFonts w:ascii="Times New Roman" w:hAnsi="Times New Roman"/>
          <w:noProof/>
          <w:sz w:val="24"/>
          <w:szCs w:val="24"/>
        </w:rPr>
        <w:t xml:space="preserve"> i 3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od – odpowiednio – 20</w:t>
      </w:r>
      <w:r w:rsidRPr="00D928C3">
        <w:rPr>
          <w:rFonts w:ascii="Times New Roman" w:hAnsi="Times New Roman"/>
          <w:noProof/>
          <w:sz w:val="24"/>
          <w:szCs w:val="24"/>
        </w:rPr>
        <w:t>25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="00D928C3">
        <w:rPr>
          <w:rFonts w:ascii="Times New Roman" w:hAnsi="Times New Roman"/>
          <w:noProof/>
          <w:sz w:val="24"/>
          <w:szCs w:val="24"/>
        </w:rPr>
        <w:t xml:space="preserve"> i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por</w:t>
      </w:r>
      <w:r>
        <w:rPr>
          <w:rFonts w:ascii="Times New Roman" w:hAnsi="Times New Roman"/>
          <w:noProof/>
          <w:sz w:val="24"/>
          <w:szCs w:val="24"/>
        </w:rPr>
        <w:t>ównaniu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poz</w:t>
      </w:r>
      <w:r>
        <w:rPr>
          <w:rFonts w:ascii="Times New Roman" w:hAnsi="Times New Roman"/>
          <w:noProof/>
          <w:sz w:val="24"/>
          <w:szCs w:val="24"/>
        </w:rPr>
        <w:t>iomem bazowym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</w:p>
    <w:p w14:paraId="03B0A148" w14:textId="77777777" w:rsidR="000559F5" w:rsidRPr="006520D9" w:rsidRDefault="00820779" w:rsidP="00DF6261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7783">
        <w:rPr>
          <w:noProof/>
          <w:lang w:eastAsia="pl-PL"/>
        </w:rPr>
        <w:lastRenderedPageBreak/>
        <w:drawing>
          <wp:inline distT="0" distB="0" distL="0" distR="0" wp14:anchorId="19AEDD8C" wp14:editId="64760BF0">
            <wp:extent cx="5731510" cy="3487420"/>
            <wp:effectExtent l="0" t="0" r="254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7E80D" w14:textId="77777777" w:rsidR="005D784C" w:rsidRPr="006520D9" w:rsidRDefault="005D784C" w:rsidP="00DF6261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7FE0A98" w14:textId="77777777" w:rsidR="00DF6261" w:rsidRPr="006520D9" w:rsidRDefault="00820779" w:rsidP="00DF6261">
      <w:pPr>
        <w:spacing w:line="240" w:lineRule="auto"/>
        <w:rPr>
          <w:noProof/>
        </w:rPr>
      </w:pPr>
      <w:r w:rsidRPr="00387783">
        <w:rPr>
          <w:noProof/>
          <w:lang w:eastAsia="pl-PL"/>
        </w:rPr>
        <w:drawing>
          <wp:inline distT="0" distB="0" distL="0" distR="0" wp14:anchorId="1FB4EC5A" wp14:editId="7ADBFD54">
            <wp:extent cx="5731510" cy="3157855"/>
            <wp:effectExtent l="0" t="0" r="2540" b="444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5B2F" w14:textId="77777777" w:rsidR="00DF6261" w:rsidRPr="006520D9" w:rsidRDefault="00DF6261" w:rsidP="00B7742C">
      <w:pPr>
        <w:pStyle w:val="Legenda"/>
        <w:spacing w:line="240" w:lineRule="auto"/>
        <w:rPr>
          <w:noProof/>
          <w:sz w:val="24"/>
          <w:szCs w:val="24"/>
        </w:rPr>
      </w:pPr>
      <w:r>
        <w:rPr>
          <w:noProof/>
        </w:rPr>
        <w:t>Wykres 6: Średnia wielkość emisji (w g CO</w:t>
      </w:r>
      <w:r>
        <w:rPr>
          <w:noProof/>
          <w:vertAlign w:val="subscript"/>
        </w:rPr>
        <w:t>2</w:t>
      </w:r>
      <w:r>
        <w:rPr>
          <w:noProof/>
        </w:rPr>
        <w:t>/km) generowanych przez nowo sprzedane samochody osobowe</w:t>
      </w:r>
      <w:r w:rsidR="00D928C3">
        <w:rPr>
          <w:noProof/>
        </w:rPr>
        <w:t xml:space="preserve"> i dos</w:t>
      </w:r>
      <w:r>
        <w:rPr>
          <w:noProof/>
        </w:rPr>
        <w:t>tawcze oraz wartości docelowe dla całej floty pojazdów</w:t>
      </w:r>
      <w:r>
        <w:rPr>
          <w:rStyle w:val="Odwoanieprzypisudolnego"/>
          <w:noProof/>
        </w:rPr>
        <w:footnoteReference w:id="59"/>
      </w:r>
    </w:p>
    <w:p w14:paraId="5E5BFE7A" w14:textId="77777777" w:rsidR="00394A8F" w:rsidRPr="006520D9" w:rsidRDefault="00DF6261" w:rsidP="00394A8F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Innym narzędziem wykorzystywanym do obniżania poziomu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sek</w:t>
      </w:r>
      <w:r>
        <w:rPr>
          <w:rFonts w:ascii="Times New Roman" w:hAnsi="Times New Roman"/>
          <w:noProof/>
          <w:sz w:val="24"/>
          <w:szCs w:val="24"/>
        </w:rPr>
        <w:t xml:space="preserve">torze transportu jest </w:t>
      </w:r>
      <w:r>
        <w:rPr>
          <w:rFonts w:ascii="Times New Roman" w:hAnsi="Times New Roman"/>
          <w:b/>
          <w:noProof/>
          <w:sz w:val="24"/>
          <w:szCs w:val="24"/>
        </w:rPr>
        <w:t>dyrektywa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w spr</w:t>
      </w:r>
      <w:r>
        <w:rPr>
          <w:rFonts w:ascii="Times New Roman" w:hAnsi="Times New Roman"/>
          <w:b/>
          <w:noProof/>
          <w:sz w:val="24"/>
          <w:szCs w:val="24"/>
        </w:rPr>
        <w:t>awie jakości paliw</w:t>
      </w:r>
      <w:r>
        <w:rPr>
          <w:rFonts w:ascii="Times New Roman" w:hAnsi="Times New Roman"/>
          <w:noProof/>
          <w:sz w:val="24"/>
          <w:szCs w:val="24"/>
        </w:rPr>
        <w:t>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któ</w:t>
      </w:r>
      <w:r>
        <w:rPr>
          <w:rFonts w:ascii="Times New Roman" w:hAnsi="Times New Roman"/>
          <w:noProof/>
          <w:sz w:val="24"/>
          <w:szCs w:val="24"/>
        </w:rPr>
        <w:t>rej ustanowiono wymóg zmniejszenia intensywności emisji gazów cieplarnianych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cał</w:t>
      </w:r>
      <w:r>
        <w:rPr>
          <w:rFonts w:ascii="Times New Roman" w:hAnsi="Times New Roman"/>
          <w:noProof/>
          <w:sz w:val="24"/>
          <w:szCs w:val="24"/>
        </w:rPr>
        <w:t>ym cyklu życia paliw</w:t>
      </w:r>
      <w:r w:rsidR="00D928C3">
        <w:rPr>
          <w:rFonts w:ascii="Times New Roman" w:hAnsi="Times New Roman"/>
          <w:noProof/>
          <w:sz w:val="24"/>
          <w:szCs w:val="24"/>
        </w:rPr>
        <w:t xml:space="preserve"> o </w:t>
      </w:r>
      <w:r w:rsidR="00D928C3" w:rsidRPr="00D928C3">
        <w:rPr>
          <w:rFonts w:ascii="Times New Roman" w:hAnsi="Times New Roman"/>
          <w:noProof/>
          <w:sz w:val="24"/>
          <w:szCs w:val="24"/>
        </w:rPr>
        <w:t>6 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>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por</w:t>
      </w:r>
      <w:r>
        <w:rPr>
          <w:rFonts w:ascii="Times New Roman" w:hAnsi="Times New Roman"/>
          <w:noProof/>
          <w:sz w:val="24"/>
          <w:szCs w:val="24"/>
        </w:rPr>
        <w:t>ównaniu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poz</w:t>
      </w:r>
      <w:r>
        <w:rPr>
          <w:rFonts w:ascii="Times New Roman" w:hAnsi="Times New Roman"/>
          <w:noProof/>
          <w:sz w:val="24"/>
          <w:szCs w:val="24"/>
        </w:rPr>
        <w:t>iomem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Średnia intensywność emisji gazów cieplarnianych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pal</w:t>
      </w:r>
      <w:r>
        <w:rPr>
          <w:rFonts w:ascii="Times New Roman" w:hAnsi="Times New Roman"/>
          <w:noProof/>
          <w:sz w:val="24"/>
          <w:szCs w:val="24"/>
        </w:rPr>
        <w:t>iw dostarczonych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była</w:t>
      </w:r>
      <w:r w:rsidR="00D928C3">
        <w:rPr>
          <w:rFonts w:ascii="Times New Roman" w:hAnsi="Times New Roman"/>
          <w:noProof/>
          <w:sz w:val="24"/>
          <w:szCs w:val="24"/>
        </w:rPr>
        <w:t xml:space="preserve"> o 4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928C3">
        <w:rPr>
          <w:rFonts w:ascii="Times New Roman" w:hAnsi="Times New Roman"/>
          <w:noProof/>
          <w:sz w:val="24"/>
          <w:szCs w:val="24"/>
        </w:rPr>
        <w:t>3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niższa od poziomu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(zob. wykres 7). </w:t>
      </w:r>
      <w:r>
        <w:rPr>
          <w:rFonts w:ascii="Times New Roman" w:hAnsi="Times New Roman"/>
          <w:noProof/>
          <w:sz w:val="24"/>
          <w:szCs w:val="24"/>
        </w:rPr>
        <w:lastRenderedPageBreak/>
        <w:t>Choć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pań</w:t>
      </w:r>
      <w:r>
        <w:rPr>
          <w:rFonts w:ascii="Times New Roman" w:hAnsi="Times New Roman"/>
          <w:noProof/>
          <w:sz w:val="24"/>
          <w:szCs w:val="24"/>
        </w:rPr>
        <w:t>stwach przekazujących informacje można zaobserwować zróżnicowane postępy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rea</w:t>
      </w:r>
      <w:r>
        <w:rPr>
          <w:rFonts w:ascii="Times New Roman" w:hAnsi="Times New Roman"/>
          <w:noProof/>
          <w:sz w:val="24"/>
          <w:szCs w:val="24"/>
        </w:rPr>
        <w:t xml:space="preserve">lizacji tego celu, niemal wszystkie państwa członkowskie muszą szybko podjąć dodatkowe działania, aby osiągnąć cel </w:t>
      </w:r>
      <w:r w:rsidRPr="00D928C3">
        <w:rPr>
          <w:rFonts w:ascii="Times New Roman" w:hAnsi="Times New Roman"/>
          <w:noProof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</w:t>
      </w:r>
      <w:r w:rsidR="00D928C3" w:rsidRPr="00D928C3">
        <w:rPr>
          <w:rFonts w:ascii="Times New Roman" w:hAnsi="Times New Roman"/>
          <w:noProof/>
          <w:sz w:val="24"/>
          <w:szCs w:val="24"/>
        </w:rPr>
        <w:t>.</w:t>
      </w:r>
      <w:r w:rsidR="00D928C3">
        <w:rPr>
          <w:rFonts w:ascii="Times New Roman" w:hAnsi="Times New Roman"/>
          <w:noProof/>
          <w:sz w:val="24"/>
          <w:szCs w:val="24"/>
        </w:rPr>
        <w:t xml:space="preserve"> W lip</w:t>
      </w:r>
      <w:r>
        <w:rPr>
          <w:rFonts w:ascii="Times New Roman" w:hAnsi="Times New Roman"/>
          <w:noProof/>
          <w:sz w:val="24"/>
          <w:szCs w:val="24"/>
        </w:rPr>
        <w:t>cu,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>ach rewizji dyrektywy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spr</w:t>
      </w:r>
      <w:r>
        <w:rPr>
          <w:rFonts w:ascii="Times New Roman" w:hAnsi="Times New Roman"/>
          <w:noProof/>
          <w:sz w:val="24"/>
          <w:szCs w:val="24"/>
        </w:rPr>
        <w:t>awie odnawialnych źródeł energii, zaproponowano wyznaczenie celu zakładającego obniżenie intensywności emisji gazów cieplarnianych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o 1</w:t>
      </w:r>
      <w:r w:rsidRPr="00D928C3">
        <w:rPr>
          <w:rFonts w:ascii="Times New Roman" w:hAnsi="Times New Roman"/>
          <w:noProof/>
          <w:sz w:val="24"/>
          <w:szCs w:val="24"/>
        </w:rPr>
        <w:t>3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 w:rsidR="00D928C3">
        <w:rPr>
          <w:rFonts w:ascii="Times New Roman" w:hAnsi="Times New Roman"/>
          <w:noProof/>
          <w:sz w:val="24"/>
          <w:szCs w:val="24"/>
        </w:rPr>
        <w:t xml:space="preserve"> w odn</w:t>
      </w:r>
      <w:r>
        <w:rPr>
          <w:rFonts w:ascii="Times New Roman" w:hAnsi="Times New Roman"/>
          <w:noProof/>
          <w:sz w:val="24"/>
          <w:szCs w:val="24"/>
        </w:rPr>
        <w:t xml:space="preserve">iesieniu do wszystkich paliw transportowych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Ponadto państwa członkowskie są zobowiązane do osiągnięcia celów pobocznych dotyczących paliw odnawialnych pochodzenia niebiologicznego (2,</w:t>
      </w:r>
      <w:r w:rsidRPr="00D928C3">
        <w:rPr>
          <w:rFonts w:ascii="Times New Roman" w:hAnsi="Times New Roman"/>
          <w:noProof/>
          <w:sz w:val="24"/>
          <w:szCs w:val="24"/>
        </w:rPr>
        <w:t>6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) oraz zaawansowanych biopaliw (2,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).</w:t>
      </w:r>
    </w:p>
    <w:p w14:paraId="0A3E7773" w14:textId="77777777" w:rsidR="00DF6261" w:rsidRPr="006520D9" w:rsidRDefault="00820779" w:rsidP="00DF6261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B038A">
        <w:rPr>
          <w:noProof/>
          <w:lang w:eastAsia="pl-PL"/>
        </w:rPr>
        <w:drawing>
          <wp:inline distT="0" distB="0" distL="0" distR="0" wp14:anchorId="6492680A" wp14:editId="5FAE3075">
            <wp:extent cx="5731510" cy="3976370"/>
            <wp:effectExtent l="0" t="0" r="2540" b="508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92430" w14:textId="77777777" w:rsidR="00DF6261" w:rsidRPr="00787BC5" w:rsidRDefault="00DF6261">
      <w:pPr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b/>
          <w:bCs/>
          <w:noProof/>
          <w:sz w:val="20"/>
          <w:szCs w:val="20"/>
        </w:rPr>
        <w:t xml:space="preserve">Wykres 7: </w:t>
      </w:r>
      <w:r>
        <w:rPr>
          <w:b/>
          <w:noProof/>
          <w:sz w:val="20"/>
          <w:szCs w:val="20"/>
        </w:rPr>
        <w:t>Redukcja intensywności emisji gazów cieplarnianych</w:t>
      </w:r>
      <w:r w:rsidR="00D928C3">
        <w:rPr>
          <w:b/>
          <w:noProof/>
          <w:sz w:val="20"/>
          <w:szCs w:val="20"/>
        </w:rPr>
        <w:t xml:space="preserve"> z pal</w:t>
      </w:r>
      <w:r>
        <w:rPr>
          <w:b/>
          <w:noProof/>
          <w:sz w:val="20"/>
          <w:szCs w:val="20"/>
        </w:rPr>
        <w:t>iw osiągnięta przez unijnych dostawców paliw</w:t>
      </w:r>
      <w:r w:rsidR="00D928C3">
        <w:rPr>
          <w:b/>
          <w:noProof/>
          <w:sz w:val="20"/>
          <w:szCs w:val="20"/>
        </w:rPr>
        <w:t xml:space="preserve"> w 2</w:t>
      </w:r>
      <w:r>
        <w:rPr>
          <w:b/>
          <w:noProof/>
          <w:sz w:val="20"/>
          <w:szCs w:val="20"/>
        </w:rPr>
        <w:t>7 państwach członkowskich</w:t>
      </w:r>
      <w:r w:rsidR="00D928C3">
        <w:rPr>
          <w:b/>
          <w:noProof/>
          <w:sz w:val="20"/>
          <w:szCs w:val="20"/>
        </w:rPr>
        <w:t xml:space="preserve"> i Zje</w:t>
      </w:r>
      <w:r>
        <w:rPr>
          <w:b/>
          <w:noProof/>
          <w:sz w:val="20"/>
          <w:szCs w:val="20"/>
        </w:rPr>
        <w:t>dnoczonym Królestwie</w:t>
      </w:r>
      <w:r w:rsidR="00D928C3">
        <w:rPr>
          <w:b/>
          <w:noProof/>
          <w:sz w:val="20"/>
          <w:szCs w:val="20"/>
        </w:rPr>
        <w:t xml:space="preserve"> w lat</w:t>
      </w:r>
      <w:r>
        <w:rPr>
          <w:b/>
          <w:noProof/>
          <w:sz w:val="20"/>
          <w:szCs w:val="20"/>
        </w:rPr>
        <w:t>ach 2010–</w:t>
      </w:r>
      <w:r>
        <w:rPr>
          <w:b/>
          <w:bCs/>
          <w:noProof/>
          <w:sz w:val="20"/>
          <w:szCs w:val="20"/>
        </w:rPr>
        <w:t>2019</w:t>
      </w:r>
    </w:p>
    <w:p w14:paraId="576DFBC2" w14:textId="77777777" w:rsidR="003F1328" w:rsidRPr="0011564C" w:rsidRDefault="004B7214" w:rsidP="00B7742C">
      <w:pPr>
        <w:pStyle w:val="NormalnyWeb"/>
        <w:spacing w:before="120" w:beforeAutospacing="0" w:after="240" w:afterAutospacing="0"/>
        <w:jc w:val="both"/>
        <w:rPr>
          <w:noProof/>
        </w:rPr>
      </w:pPr>
      <w:r>
        <w:rPr>
          <w:b/>
          <w:bCs/>
          <w:noProof/>
        </w:rPr>
        <w:t>Fluorowane gazy cieplarniane</w:t>
      </w:r>
      <w:r>
        <w:rPr>
          <w:noProof/>
        </w:rPr>
        <w:t xml:space="preserve"> (F-gazy) to bardzo silne gazy cieplarniane, których emisje zlicza się zgodnie</w:t>
      </w:r>
      <w:r w:rsidR="00D928C3">
        <w:rPr>
          <w:noProof/>
        </w:rPr>
        <w:t xml:space="preserve"> z dec</w:t>
      </w:r>
      <w:r>
        <w:rPr>
          <w:noProof/>
        </w:rPr>
        <w:t xml:space="preserve">yzją dotyczącą wspólnego wysiłku redukcyjnego. Począwszy </w:t>
      </w:r>
      <w:r w:rsidRPr="00D928C3">
        <w:rPr>
          <w:noProof/>
        </w:rPr>
        <w:t>od</w:t>
      </w:r>
      <w:r w:rsidR="00D928C3" w:rsidRPr="00D928C3">
        <w:rPr>
          <w:noProof/>
        </w:rPr>
        <w:t> </w:t>
      </w:r>
      <w:r w:rsidRPr="00D928C3">
        <w:rPr>
          <w:noProof/>
        </w:rPr>
        <w:t>2</w:t>
      </w:r>
      <w:r>
        <w:rPr>
          <w:noProof/>
        </w:rPr>
        <w:t>0</w:t>
      </w:r>
      <w:r w:rsidRPr="00D928C3">
        <w:rPr>
          <w:noProof/>
        </w:rPr>
        <w:t>19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UE jest również zobowiązana do przestrzegania limitów zużycia wodorofluorowęglowodorów (HFC) ustanowionych</w:t>
      </w:r>
      <w:r w:rsidR="00D928C3">
        <w:rPr>
          <w:noProof/>
        </w:rPr>
        <w:t xml:space="preserve"> w </w:t>
      </w:r>
      <w:r w:rsidR="00D928C3">
        <w:rPr>
          <w:i/>
          <w:noProof/>
        </w:rPr>
        <w:t>Pro</w:t>
      </w:r>
      <w:r>
        <w:rPr>
          <w:i/>
          <w:noProof/>
        </w:rPr>
        <w:t>tokole montrealskim</w:t>
      </w:r>
      <w:r w:rsidR="00D928C3">
        <w:rPr>
          <w:i/>
          <w:noProof/>
        </w:rPr>
        <w:t xml:space="preserve"> w spr</w:t>
      </w:r>
      <w:r>
        <w:rPr>
          <w:i/>
          <w:noProof/>
        </w:rPr>
        <w:t>awie substancji zubożających warstwę ozonową</w:t>
      </w:r>
      <w:r>
        <w:rPr>
          <w:noProof/>
        </w:rPr>
        <w:t>. Celem aktualnie obowiązującego rozporządzenia</w:t>
      </w:r>
      <w:r w:rsidR="00D928C3">
        <w:rPr>
          <w:noProof/>
        </w:rPr>
        <w:t xml:space="preserve"> w spr</w:t>
      </w:r>
      <w:r>
        <w:rPr>
          <w:noProof/>
        </w:rPr>
        <w:t>awie F-gazów</w:t>
      </w:r>
      <w:r>
        <w:rPr>
          <w:rStyle w:val="Odwoanieprzypisudolnego"/>
          <w:noProof/>
        </w:rPr>
        <w:footnoteReference w:id="60"/>
      </w:r>
      <w:r>
        <w:rPr>
          <w:noProof/>
        </w:rPr>
        <w:t xml:space="preserve"> jest obniżanie poziomu emisji poprzez propagowanie odchodzenia od F-gazów, które</w:t>
      </w:r>
      <w:r w:rsidR="00D928C3">
        <w:rPr>
          <w:noProof/>
        </w:rPr>
        <w:t xml:space="preserve"> w zna</w:t>
      </w:r>
      <w:r>
        <w:rPr>
          <w:noProof/>
        </w:rPr>
        <w:t>cznym stopniu przyczyniają się do globalnego ocieplenia, na rzecz gazów</w:t>
      </w:r>
      <w:r w:rsidR="00D928C3">
        <w:rPr>
          <w:noProof/>
        </w:rPr>
        <w:t xml:space="preserve"> o niż</w:t>
      </w:r>
      <w:r>
        <w:rPr>
          <w:noProof/>
        </w:rPr>
        <w:t>szym współczynniku globalnego ocieplenia. W 20</w:t>
      </w:r>
      <w:r w:rsidRPr="00D928C3">
        <w:rPr>
          <w:noProof/>
        </w:rPr>
        <w:t>20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ilość F-gazów dostarczonych na rynek UE zmniejszyła się już</w:t>
      </w:r>
      <w:r w:rsidR="00D928C3">
        <w:rPr>
          <w:noProof/>
        </w:rPr>
        <w:t xml:space="preserve"> o 4</w:t>
      </w:r>
      <w:r w:rsidRPr="00D928C3">
        <w:rPr>
          <w:noProof/>
        </w:rPr>
        <w:t>0</w:t>
      </w:r>
      <w:r w:rsidR="00D928C3" w:rsidRPr="00D928C3">
        <w:rPr>
          <w:noProof/>
        </w:rPr>
        <w:t> </w:t>
      </w:r>
      <w:r w:rsidRPr="00D928C3">
        <w:rPr>
          <w:noProof/>
        </w:rPr>
        <w:t>%</w:t>
      </w:r>
      <w:r w:rsidR="00D928C3">
        <w:rPr>
          <w:noProof/>
        </w:rPr>
        <w:t xml:space="preserve"> w por</w:t>
      </w:r>
      <w:r>
        <w:rPr>
          <w:noProof/>
        </w:rPr>
        <w:t>ównaniu</w:t>
      </w:r>
      <w:r w:rsidR="00D928C3">
        <w:rPr>
          <w:noProof/>
        </w:rPr>
        <w:t xml:space="preserve"> z poz</w:t>
      </w:r>
      <w:r>
        <w:rPr>
          <w:noProof/>
        </w:rPr>
        <w:t>iomem</w:t>
      </w:r>
      <w:r w:rsidR="00D928C3">
        <w:rPr>
          <w:noProof/>
        </w:rPr>
        <w:t xml:space="preserve"> z 2</w:t>
      </w:r>
      <w:r>
        <w:rPr>
          <w:noProof/>
        </w:rPr>
        <w:t>0</w:t>
      </w:r>
      <w:r w:rsidRPr="00D928C3">
        <w:rPr>
          <w:noProof/>
        </w:rPr>
        <w:t>15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, biorąc pod uwagę potencjalny wpływ tych gazów na klimat. Ponadto UE znajdowała się znacznie poniżej swojego limitu zużycia HFC </w:t>
      </w:r>
      <w:r w:rsidRPr="00D928C3">
        <w:rPr>
          <w:noProof/>
        </w:rPr>
        <w:t>na</w:t>
      </w:r>
      <w:r w:rsidR="00D928C3" w:rsidRPr="00D928C3">
        <w:rPr>
          <w:noProof/>
        </w:rPr>
        <w:t> </w:t>
      </w:r>
      <w:r w:rsidRPr="00D928C3">
        <w:rPr>
          <w:noProof/>
        </w:rPr>
        <w:t>2</w:t>
      </w:r>
      <w:r>
        <w:rPr>
          <w:noProof/>
        </w:rPr>
        <w:t>0</w:t>
      </w:r>
      <w:r w:rsidRPr="00D928C3">
        <w:rPr>
          <w:noProof/>
        </w:rPr>
        <w:t>20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wyznaczonego</w:t>
      </w:r>
      <w:r w:rsidR="00D928C3">
        <w:rPr>
          <w:noProof/>
        </w:rPr>
        <w:t xml:space="preserve"> w </w:t>
      </w:r>
      <w:r w:rsidR="00D928C3">
        <w:rPr>
          <w:i/>
          <w:noProof/>
        </w:rPr>
        <w:t>pro</w:t>
      </w:r>
      <w:r>
        <w:rPr>
          <w:i/>
          <w:noProof/>
        </w:rPr>
        <w:t>tokole</w:t>
      </w:r>
      <w:r>
        <w:rPr>
          <w:noProof/>
        </w:rPr>
        <w:t>. W 20</w:t>
      </w:r>
      <w:r w:rsidRPr="00D928C3">
        <w:rPr>
          <w:noProof/>
        </w:rPr>
        <w:t>21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Komisja</w:t>
      </w:r>
      <w:r w:rsidR="00D928C3">
        <w:rPr>
          <w:noProof/>
        </w:rPr>
        <w:t xml:space="preserve"> w dal</w:t>
      </w:r>
      <w:r>
        <w:rPr>
          <w:noProof/>
        </w:rPr>
        <w:t>szym ciągu rozszerzała zakres swojego systemu monitorowania działającego</w:t>
      </w:r>
      <w:r w:rsidR="00D928C3">
        <w:rPr>
          <w:noProof/>
        </w:rPr>
        <w:t xml:space="preserve"> w cza</w:t>
      </w:r>
      <w:r>
        <w:rPr>
          <w:noProof/>
        </w:rPr>
        <w:t>sie rzeczywistym – unijnego środowiska jednego okienka</w:t>
      </w:r>
      <w:r w:rsidR="00D928C3">
        <w:rPr>
          <w:noProof/>
        </w:rPr>
        <w:t xml:space="preserve"> w dzi</w:t>
      </w:r>
      <w:r>
        <w:rPr>
          <w:noProof/>
        </w:rPr>
        <w:t xml:space="preserve">edzinie ceł – aby wspierać </w:t>
      </w:r>
      <w:r>
        <w:rPr>
          <w:noProof/>
        </w:rPr>
        <w:lastRenderedPageBreak/>
        <w:t>właściwe organy państw członkowskich</w:t>
      </w:r>
      <w:r w:rsidR="00D928C3">
        <w:rPr>
          <w:noProof/>
        </w:rPr>
        <w:t xml:space="preserve"> w prz</w:t>
      </w:r>
      <w:r>
        <w:rPr>
          <w:noProof/>
        </w:rPr>
        <w:t>eciwdziałaniu nielegalnemu przywozowi HFC nieobjętych systemem kwot.</w:t>
      </w:r>
    </w:p>
    <w:p w14:paraId="316035C4" w14:textId="77777777" w:rsidR="004B7214" w:rsidRPr="006520D9" w:rsidRDefault="004B7214" w:rsidP="00B7742C">
      <w:pPr>
        <w:pStyle w:val="NormalnyWeb"/>
        <w:spacing w:before="120" w:beforeAutospacing="0" w:after="240" w:afterAutospacing="0"/>
        <w:jc w:val="both"/>
        <w:rPr>
          <w:noProof/>
        </w:rPr>
      </w:pPr>
      <w:r>
        <w:rPr>
          <w:noProof/>
        </w:rPr>
        <w:t xml:space="preserve">W wielu przypadkach F-gazy zastąpiły </w:t>
      </w:r>
      <w:r>
        <w:rPr>
          <w:b/>
          <w:noProof/>
        </w:rPr>
        <w:t>substancje zubożające warstwę ozonową</w:t>
      </w:r>
      <w:r>
        <w:rPr>
          <w:noProof/>
        </w:rPr>
        <w:t xml:space="preserve"> (SZWO), które niejednokrotnie również są bardzo silnymi gazami cieplarnianymi. Jak dotąd, UE wycofała SZWO</w:t>
      </w:r>
      <w:r w:rsidR="00D928C3">
        <w:rPr>
          <w:noProof/>
        </w:rPr>
        <w:t xml:space="preserve"> i sku</w:t>
      </w:r>
      <w:r>
        <w:rPr>
          <w:noProof/>
        </w:rPr>
        <w:t>tecznie wywiązała się</w:t>
      </w:r>
      <w:r w:rsidR="00D928C3">
        <w:rPr>
          <w:noProof/>
        </w:rPr>
        <w:t xml:space="preserve"> z zob</w:t>
      </w:r>
      <w:r>
        <w:rPr>
          <w:noProof/>
        </w:rPr>
        <w:t>owiązań spoczywających na niej zgodnie</w:t>
      </w:r>
      <w:r w:rsidR="00D928C3">
        <w:rPr>
          <w:noProof/>
        </w:rPr>
        <w:t xml:space="preserve"> z </w:t>
      </w:r>
      <w:r w:rsidR="00D928C3">
        <w:rPr>
          <w:i/>
          <w:noProof/>
        </w:rPr>
        <w:t>pro</w:t>
      </w:r>
      <w:r>
        <w:rPr>
          <w:i/>
          <w:noProof/>
        </w:rPr>
        <w:t>tokołem montrealskim</w:t>
      </w:r>
      <w:r>
        <w:rPr>
          <w:noProof/>
        </w:rPr>
        <w:t>. Ponieważ SZWO mogą jednak być wciąż wykorzystywane na potrzeby niektórych rodzajów działalności zwolnionych</w:t>
      </w:r>
      <w:r w:rsidR="00D928C3">
        <w:rPr>
          <w:noProof/>
        </w:rPr>
        <w:t xml:space="preserve"> z obo</w:t>
      </w:r>
      <w:r>
        <w:rPr>
          <w:noProof/>
        </w:rPr>
        <w:t>wiązujących przepisów, dalsze wdrażanie strategii</w:t>
      </w:r>
      <w:r w:rsidR="00D928C3">
        <w:rPr>
          <w:noProof/>
        </w:rPr>
        <w:t xml:space="preserve"> w tym</w:t>
      </w:r>
      <w:r>
        <w:rPr>
          <w:noProof/>
        </w:rPr>
        <w:t xml:space="preserve"> zakresie ma kluczowe znaczenie. </w:t>
      </w:r>
    </w:p>
    <w:p w14:paraId="52FB7672" w14:textId="77777777" w:rsidR="004B7214" w:rsidRPr="006520D9" w:rsidRDefault="004B7214">
      <w:pPr>
        <w:pStyle w:val="NormalnyWeb"/>
        <w:spacing w:before="0" w:beforeAutospacing="0" w:after="120" w:afterAutospacing="0"/>
        <w:jc w:val="both"/>
        <w:rPr>
          <w:noProof/>
        </w:rPr>
      </w:pPr>
    </w:p>
    <w:p w14:paraId="13FBCFE1" w14:textId="77777777" w:rsidR="00E60145" w:rsidRPr="006520D9" w:rsidRDefault="00E60145">
      <w:pPr>
        <w:pStyle w:val="NormalnyWeb"/>
        <w:spacing w:before="0" w:beforeAutospacing="0" w:after="120" w:afterAutospacing="0"/>
        <w:jc w:val="both"/>
        <w:rPr>
          <w:noProof/>
        </w:rPr>
      </w:pPr>
    </w:p>
    <w:p w14:paraId="3E62A3C2" w14:textId="77777777" w:rsidR="007D1B4E" w:rsidRPr="00787BC5" w:rsidRDefault="007D1B4E">
      <w:pPr>
        <w:spacing w:before="0" w:after="200"/>
        <w:rPr>
          <w:rFonts w:ascii="Times New Roman" w:eastAsiaTheme="majorEastAsia" w:hAnsi="Times New Roman" w:cs="Times New Roman"/>
          <w:b/>
          <w:noProof/>
          <w:sz w:val="24"/>
          <w:szCs w:val="32"/>
        </w:rPr>
      </w:pPr>
      <w:r>
        <w:rPr>
          <w:noProof/>
        </w:rPr>
        <w:br w:type="page"/>
      </w:r>
    </w:p>
    <w:p w14:paraId="69312C14" w14:textId="77777777" w:rsidR="00DF6261" w:rsidRPr="006702FB" w:rsidRDefault="00DF6261" w:rsidP="00DF6261">
      <w:pPr>
        <w:pStyle w:val="Nagwek1"/>
        <w:spacing w:after="240" w:line="240" w:lineRule="auto"/>
        <w:ind w:left="714" w:hanging="357"/>
        <w:jc w:val="both"/>
        <w:rPr>
          <w:noProof/>
        </w:rPr>
      </w:pPr>
      <w:r>
        <w:rPr>
          <w:noProof/>
        </w:rPr>
        <w:lastRenderedPageBreak/>
        <w:t>UŻYTKOWANIE GRUNTÓW, ZMIANA UŻYTKOWANIA GRUNTÓW I LEŚNICTWO (LULUCF)</w:t>
      </w:r>
    </w:p>
    <w:p w14:paraId="1E74FCF8" w14:textId="77777777" w:rsidR="00AE5C2D" w:rsidRPr="00B7742C" w:rsidRDefault="00DF6261" w:rsidP="00B7742C">
      <w:pPr>
        <w:spacing w:after="240" w:line="240" w:lineRule="auto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Choć działania związane z LULUCF mogą prowadzić do uwalniania emisji gazów cieplarnianych do atmosfery, mogą one również przyczyniać się do wychwytywania</w:t>
      </w:r>
      <w:r w:rsidR="00D928C3">
        <w:rPr>
          <w:rFonts w:ascii="Times New Roman" w:hAnsi="Times New Roman"/>
          <w:noProof/>
          <w:sz w:val="24"/>
          <w:szCs w:val="24"/>
        </w:rPr>
        <w:t xml:space="preserve"> z nie</w:t>
      </w:r>
      <w:r>
        <w:rPr>
          <w:rFonts w:ascii="Times New Roman" w:hAnsi="Times New Roman"/>
          <w:noProof/>
          <w:sz w:val="24"/>
          <w:szCs w:val="24"/>
        </w:rPr>
        <w:t>j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>. Państwa członkowskie zobowiązały się do zapewnienia, aby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lat</w:t>
      </w:r>
      <w:r>
        <w:rPr>
          <w:rFonts w:ascii="Times New Roman" w:hAnsi="Times New Roman"/>
          <w:noProof/>
          <w:sz w:val="24"/>
          <w:szCs w:val="24"/>
        </w:rPr>
        <w:t>ach 2013–2020 emisje gazów cieplarnianych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poc</w:t>
      </w:r>
      <w:r>
        <w:rPr>
          <w:rFonts w:ascii="Times New Roman" w:hAnsi="Times New Roman"/>
          <w:noProof/>
          <w:sz w:val="24"/>
          <w:szCs w:val="24"/>
        </w:rPr>
        <w:t>hłanianie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będące wynikiem dodatkowych działań były zaliczane na poczet realizacji celu redukcji emisji określonego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pro</w:t>
      </w:r>
      <w:r>
        <w:rPr>
          <w:rFonts w:ascii="Times New Roman" w:hAnsi="Times New Roman"/>
          <w:noProof/>
          <w:sz w:val="24"/>
          <w:szCs w:val="24"/>
        </w:rPr>
        <w:t>tokole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Kio</w:t>
      </w:r>
      <w:r>
        <w:rPr>
          <w:rFonts w:ascii="Times New Roman" w:hAnsi="Times New Roman"/>
          <w:noProof/>
          <w:sz w:val="24"/>
          <w:szCs w:val="24"/>
        </w:rPr>
        <w:t xml:space="preserve">to. Począwszy </w:t>
      </w:r>
      <w:r w:rsidRPr="00D928C3">
        <w:rPr>
          <w:rFonts w:ascii="Times New Roman" w:hAnsi="Times New Roman"/>
          <w:noProof/>
          <w:sz w:val="24"/>
          <w:szCs w:val="24"/>
        </w:rPr>
        <w:t>od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unijne ramy polityki klimatyczno-energetycznej do roku 2030 łączą emisje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poc</w:t>
      </w:r>
      <w:r>
        <w:rPr>
          <w:rFonts w:ascii="Times New Roman" w:hAnsi="Times New Roman"/>
          <w:noProof/>
          <w:sz w:val="24"/>
          <w:szCs w:val="24"/>
        </w:rPr>
        <w:t>hłanianie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sek</w:t>
      </w:r>
      <w:r>
        <w:rPr>
          <w:rFonts w:ascii="Times New Roman" w:hAnsi="Times New Roman"/>
          <w:noProof/>
          <w:sz w:val="24"/>
          <w:szCs w:val="24"/>
        </w:rPr>
        <w:t>tora gruntów przy zastosowaniu dostosowanego zbioru zasad rozliczania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pro</w:t>
      </w:r>
      <w:r>
        <w:rPr>
          <w:rFonts w:ascii="Times New Roman" w:hAnsi="Times New Roman"/>
          <w:noProof/>
          <w:sz w:val="24"/>
          <w:szCs w:val="24"/>
        </w:rPr>
        <w:t>tokołu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Kio</w:t>
      </w:r>
      <w:r>
        <w:rPr>
          <w:rFonts w:ascii="Times New Roman" w:hAnsi="Times New Roman"/>
          <w:noProof/>
          <w:sz w:val="24"/>
          <w:szCs w:val="24"/>
        </w:rPr>
        <w:t xml:space="preserve">to. </w:t>
      </w:r>
    </w:p>
    <w:p w14:paraId="091979AF" w14:textId="77777777" w:rsidR="00A207B9" w:rsidRPr="00B7742C" w:rsidRDefault="00DF6261" w:rsidP="00B7742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Rozporządzenie LULUCF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61"/>
      </w:r>
      <w:r>
        <w:rPr>
          <w:rFonts w:ascii="Times New Roman" w:hAnsi="Times New Roman"/>
          <w:noProof/>
          <w:sz w:val="24"/>
          <w:szCs w:val="24"/>
        </w:rPr>
        <w:t xml:space="preserve"> zawiera wymóg zobowiązujący każde państwo członkowskie do zapewnienia, aby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lat</w:t>
      </w:r>
      <w:r>
        <w:rPr>
          <w:rFonts w:ascii="Times New Roman" w:hAnsi="Times New Roman"/>
          <w:noProof/>
          <w:sz w:val="24"/>
          <w:szCs w:val="24"/>
        </w:rPr>
        <w:t>ach 2021–2030 rozliczane emisje gazów cieplarnianych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z uży</w:t>
      </w:r>
      <w:r>
        <w:rPr>
          <w:rFonts w:ascii="Times New Roman" w:hAnsi="Times New Roman"/>
          <w:noProof/>
          <w:sz w:val="24"/>
          <w:szCs w:val="24"/>
        </w:rPr>
        <w:t>tkowania gruntów, zmiany użytkowania gruntów</w:t>
      </w:r>
      <w:r w:rsidR="00D928C3">
        <w:rPr>
          <w:rFonts w:ascii="Times New Roman" w:hAnsi="Times New Roman"/>
          <w:noProof/>
          <w:sz w:val="24"/>
          <w:szCs w:val="24"/>
        </w:rPr>
        <w:t xml:space="preserve"> i leś</w:t>
      </w:r>
      <w:r>
        <w:rPr>
          <w:rFonts w:ascii="Times New Roman" w:hAnsi="Times New Roman"/>
          <w:noProof/>
          <w:sz w:val="24"/>
          <w:szCs w:val="24"/>
        </w:rPr>
        <w:t>nictwa były równoważone przynajmniej analogicznym rozliczonym pochłanianiem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="00D928C3">
        <w:rPr>
          <w:rFonts w:ascii="Times New Roman" w:hAnsi="Times New Roman"/>
          <w:noProof/>
          <w:sz w:val="24"/>
          <w:szCs w:val="24"/>
        </w:rPr>
        <w:t xml:space="preserve"> z atm</w:t>
      </w:r>
      <w:r>
        <w:rPr>
          <w:rFonts w:ascii="Times New Roman" w:hAnsi="Times New Roman"/>
          <w:noProof/>
          <w:sz w:val="24"/>
          <w:szCs w:val="24"/>
        </w:rPr>
        <w:t>osfery (zasada „zerowego salda”). Wyznaczono również poziomy referencyjne dla lasów państw członkowskich na lata 2021–2025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62"/>
      </w:r>
      <w:r>
        <w:rPr>
          <w:rFonts w:ascii="Times New Roman" w:hAnsi="Times New Roman"/>
          <w:noProof/>
          <w:sz w:val="24"/>
          <w:szCs w:val="24"/>
        </w:rPr>
        <w:t>. Urząd Nadzoru EFTA (Europejski Urząd Nadzoru) wyznaczył analogiczne poziomy referencyjne dla Islandii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Nor</w:t>
      </w:r>
      <w:r>
        <w:rPr>
          <w:rFonts w:ascii="Times New Roman" w:hAnsi="Times New Roman"/>
          <w:noProof/>
          <w:sz w:val="24"/>
          <w:szCs w:val="24"/>
        </w:rPr>
        <w:t>wegii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63"/>
      </w:r>
      <w:r>
        <w:rPr>
          <w:rFonts w:ascii="Times New Roman" w:hAnsi="Times New Roman"/>
          <w:noProof/>
          <w:sz w:val="24"/>
          <w:szCs w:val="24"/>
        </w:rPr>
        <w:t xml:space="preserve">, stosując zbliżoną procedurę. </w:t>
      </w:r>
    </w:p>
    <w:p w14:paraId="315DDBE8" w14:textId="77777777" w:rsidR="005D784C" w:rsidRPr="006520D9" w:rsidRDefault="00820779" w:rsidP="00B34BAC">
      <w:pPr>
        <w:keepNext/>
        <w:spacing w:line="240" w:lineRule="auto"/>
        <w:jc w:val="center"/>
        <w:rPr>
          <w:noProof/>
        </w:rPr>
      </w:pPr>
      <w:r w:rsidRPr="00640CE3">
        <w:rPr>
          <w:noProof/>
          <w:lang w:eastAsia="pl-PL"/>
        </w:rPr>
        <w:drawing>
          <wp:inline distT="0" distB="0" distL="0" distR="0" wp14:anchorId="3885D6C4" wp14:editId="018CE404">
            <wp:extent cx="5731510" cy="2475230"/>
            <wp:effectExtent l="0" t="0" r="2540" b="127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28FF" w14:textId="77777777" w:rsidR="005D784C" w:rsidRPr="006520D9" w:rsidRDefault="005D784C" w:rsidP="00B7742C">
      <w:pPr>
        <w:pStyle w:val="Legenda"/>
        <w:spacing w:line="240" w:lineRule="auto"/>
        <w:jc w:val="both"/>
        <w:rPr>
          <w:noProof/>
        </w:rPr>
      </w:pPr>
      <w:r>
        <w:rPr>
          <w:noProof/>
        </w:rPr>
        <w:t>Wykres 8: Emisje</w:t>
      </w:r>
      <w:r w:rsidR="00D928C3">
        <w:rPr>
          <w:noProof/>
        </w:rPr>
        <w:t xml:space="preserve"> i poc</w:t>
      </w:r>
      <w:r>
        <w:rPr>
          <w:noProof/>
        </w:rPr>
        <w:t>hłanianie zgłoszone (R)</w:t>
      </w:r>
      <w:r w:rsidR="00D928C3">
        <w:rPr>
          <w:noProof/>
        </w:rPr>
        <w:t xml:space="preserve"> i wst</w:t>
      </w:r>
      <w:r>
        <w:rPr>
          <w:noProof/>
        </w:rPr>
        <w:t>ępnie rozliczone (A) zgodnie</w:t>
      </w:r>
      <w:r w:rsidR="00D928C3">
        <w:rPr>
          <w:noProof/>
        </w:rPr>
        <w:t xml:space="preserve"> z pro</w:t>
      </w:r>
      <w:r>
        <w:rPr>
          <w:noProof/>
        </w:rPr>
        <w:t>tokołem</w:t>
      </w:r>
      <w:r w:rsidR="00D928C3">
        <w:rPr>
          <w:noProof/>
        </w:rPr>
        <w:t xml:space="preserve"> z Kio</w:t>
      </w:r>
      <w:r>
        <w:rPr>
          <w:noProof/>
        </w:rPr>
        <w:t>to, drugi okres rozliczeniowy, UE-27</w:t>
      </w:r>
      <w:r>
        <w:rPr>
          <w:rStyle w:val="Odwoanieprzypisudolnego"/>
          <w:noProof/>
        </w:rPr>
        <w:t xml:space="preserve"> </w:t>
      </w:r>
      <w:r>
        <w:rPr>
          <w:rStyle w:val="Odwoanieprzypisudolnego"/>
          <w:noProof/>
        </w:rPr>
        <w:footnoteReference w:id="64"/>
      </w:r>
    </w:p>
    <w:p w14:paraId="7E93B70B" w14:textId="77777777" w:rsidR="0056125E" w:rsidRPr="001300AB" w:rsidRDefault="0056125E" w:rsidP="0056125E">
      <w:pPr>
        <w:spacing w:after="240" w:line="240" w:lineRule="auto"/>
        <w:jc w:val="both"/>
        <w:rPr>
          <w:rFonts w:ascii="Times New Roman" w:hAnsi="Times New Roman" w:cs="Times New Roman"/>
          <w:noProof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 wykresu 8 wynika, że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lat</w:t>
      </w:r>
      <w:r>
        <w:rPr>
          <w:rFonts w:ascii="Times New Roman" w:hAnsi="Times New Roman"/>
          <w:noProof/>
          <w:sz w:val="24"/>
          <w:szCs w:val="24"/>
        </w:rPr>
        <w:t>ach 2013–2019 można było zaobserwować słabnące zjawisko pochłaniania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odn</w:t>
      </w:r>
      <w:r>
        <w:rPr>
          <w:rFonts w:ascii="Times New Roman" w:hAnsi="Times New Roman"/>
          <w:noProof/>
          <w:sz w:val="24"/>
          <w:szCs w:val="24"/>
        </w:rPr>
        <w:t>iesieniu do poziomów emisji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poc</w:t>
      </w:r>
      <w:r>
        <w:rPr>
          <w:rFonts w:ascii="Times New Roman" w:hAnsi="Times New Roman"/>
          <w:noProof/>
          <w:sz w:val="24"/>
          <w:szCs w:val="24"/>
        </w:rPr>
        <w:t>hłaniania „zgłaszanych” w UE dla poszczególnych rodzajów działalności – średni poziom pochłaniania netto wyniósł -344,9 Mt ekwiwalentu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="00D928C3" w:rsidRPr="00D928C3">
        <w:rPr>
          <w:rFonts w:ascii="Times New Roman" w:hAnsi="Times New Roman"/>
          <w:noProof/>
          <w:sz w:val="24"/>
          <w:szCs w:val="24"/>
        </w:rPr>
        <w:t>. Z</w:t>
      </w:r>
      <w:r w:rsidR="00D928C3">
        <w:rPr>
          <w:rFonts w:ascii="Times New Roman" w:hAnsi="Times New Roman"/>
          <w:noProof/>
          <w:sz w:val="24"/>
          <w:szCs w:val="24"/>
        </w:rPr>
        <w:t> sal</w:t>
      </w:r>
      <w:r>
        <w:rPr>
          <w:rFonts w:ascii="Times New Roman" w:hAnsi="Times New Roman"/>
          <w:noProof/>
          <w:sz w:val="24"/>
          <w:szCs w:val="24"/>
        </w:rPr>
        <w:t xml:space="preserve">da „rozliczonego” przy zastosowaniu określonych zasad rozliczania </w:t>
      </w:r>
      <w:r>
        <w:rPr>
          <w:rFonts w:ascii="Times New Roman" w:hAnsi="Times New Roman"/>
          <w:noProof/>
          <w:sz w:val="24"/>
          <w:szCs w:val="24"/>
        </w:rPr>
        <w:lastRenderedPageBreak/>
        <w:t>przewidzianych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pro</w:t>
      </w:r>
      <w:r>
        <w:rPr>
          <w:rFonts w:ascii="Times New Roman" w:hAnsi="Times New Roman"/>
          <w:noProof/>
          <w:sz w:val="24"/>
          <w:szCs w:val="24"/>
        </w:rPr>
        <w:t>tokole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Kio</w:t>
      </w:r>
      <w:r>
        <w:rPr>
          <w:rFonts w:ascii="Times New Roman" w:hAnsi="Times New Roman"/>
          <w:noProof/>
          <w:sz w:val="24"/>
          <w:szCs w:val="24"/>
        </w:rPr>
        <w:t>to wynika, że średnie roczne pochłanianie (lub średnia roczna jednostka) wyniosły -115,0 Mt ekwiwalentu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Fonts w:ascii="Times New Roman" w:hAnsi="Times New Roman"/>
          <w:noProof/>
          <w:sz w:val="24"/>
          <w:szCs w:val="24"/>
        </w:rPr>
        <w:t>. Rozliczone saldo jednostek zmniejszyło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poz</w:t>
      </w:r>
      <w:r>
        <w:rPr>
          <w:rFonts w:ascii="Times New Roman" w:hAnsi="Times New Roman"/>
          <w:noProof/>
          <w:sz w:val="24"/>
          <w:szCs w:val="24"/>
        </w:rPr>
        <w:t>iomu -153,3 do poziom</w:t>
      </w:r>
      <w:r w:rsidRPr="00D928C3">
        <w:rPr>
          <w:rFonts w:ascii="Times New Roman" w:hAnsi="Times New Roman"/>
          <w:noProof/>
          <w:sz w:val="24"/>
          <w:szCs w:val="24"/>
        </w:rPr>
        <w:t>u</w:t>
      </w:r>
      <w:r w:rsidR="00D928C3" w:rsidRPr="00D928C3">
        <w:rPr>
          <w:rFonts w:ascii="Times New Roman" w:hAnsi="Times New Roman"/>
          <w:noProof/>
          <w:sz w:val="24"/>
          <w:szCs w:val="24"/>
        </w:rPr>
        <w:t xml:space="preserve"> </w:t>
      </w:r>
      <w:r w:rsidRPr="00D928C3">
        <w:rPr>
          <w:noProof/>
        </w:rPr>
        <w:br/>
      </w:r>
      <w:r>
        <w:rPr>
          <w:rFonts w:ascii="Times New Roman" w:hAnsi="Times New Roman"/>
          <w:noProof/>
          <w:sz w:val="24"/>
          <w:szCs w:val="24"/>
        </w:rPr>
        <w:t>-85,3 M</w:t>
      </w:r>
      <w:r w:rsidRPr="00D928C3">
        <w:rPr>
          <w:rFonts w:ascii="Times New Roman" w:hAnsi="Times New Roman"/>
          <w:noProof/>
          <w:sz w:val="24"/>
          <w:szCs w:val="24"/>
        </w:rPr>
        <w:t>t</w:t>
      </w:r>
      <w:r w:rsidR="00D928C3" w:rsidRPr="00D928C3">
        <w:rPr>
          <w:rFonts w:ascii="Times New Roman" w:hAnsi="Times New Roman"/>
          <w:noProof/>
          <w:sz w:val="24"/>
          <w:szCs w:val="24"/>
        </w:rPr>
        <w:t xml:space="preserve"> </w:t>
      </w:r>
      <w:r w:rsidRPr="00D928C3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kwiwalentu CO</w:t>
      </w:r>
      <w:r>
        <w:rPr>
          <w:rFonts w:ascii="Times New Roman" w:hAnsi="Times New Roman"/>
          <w:noProof/>
          <w:sz w:val="24"/>
          <w:szCs w:val="24"/>
          <w:vertAlign w:val="subscript"/>
        </w:rPr>
        <w:t>2</w:t>
      </w:r>
      <w:r>
        <w:rPr>
          <w:rStyle w:val="Odwoanieprzypisudolnego"/>
          <w:rFonts w:ascii="Times New Roman" w:hAnsi="Times New Roman" w:cs="Times New Roman"/>
          <w:noProof/>
          <w:spacing w:val="-6"/>
          <w:sz w:val="24"/>
          <w:szCs w:val="24"/>
        </w:rPr>
        <w:footnoteReference w:id="65"/>
      </w:r>
      <w:r>
        <w:rPr>
          <w:rFonts w:ascii="Times New Roman" w:hAnsi="Times New Roman"/>
          <w:noProof/>
          <w:sz w:val="24"/>
          <w:szCs w:val="24"/>
        </w:rPr>
        <w:t>. Wartości te obejmują zarówno działalność „obowiązkową”, tj. zalesianie/ponowne zalesianie, wylesianie oraz gospodarkę leśną, jak też działalność „wybraną” na podstawie protokołu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Kio</w:t>
      </w:r>
      <w:r>
        <w:rPr>
          <w:rFonts w:ascii="Times New Roman" w:hAnsi="Times New Roman"/>
          <w:noProof/>
          <w:sz w:val="24"/>
          <w:szCs w:val="24"/>
        </w:rPr>
        <w:t>to</w:t>
      </w:r>
      <w:r>
        <w:rPr>
          <w:rStyle w:val="Odwoanieprzypisudolnego"/>
          <w:rFonts w:ascii="Times New Roman" w:hAnsi="Times New Roman" w:cs="Times New Roman"/>
          <w:noProof/>
          <w:spacing w:val="-6"/>
          <w:sz w:val="24"/>
          <w:szCs w:val="24"/>
        </w:rPr>
        <w:footnoteReference w:id="66"/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3E21D4E" w14:textId="77777777" w:rsidR="000756CC" w:rsidRPr="009401B3" w:rsidRDefault="00FB2277" w:rsidP="00B7742C">
      <w:pPr>
        <w:pStyle w:val="Body"/>
        <w:spacing w:after="240"/>
        <w:rPr>
          <w:rFonts w:cs="Times New Roman"/>
          <w:noProof/>
        </w:rPr>
      </w:pPr>
      <w:r>
        <w:rPr>
          <w:noProof/>
        </w:rPr>
        <w:t>Głównym czynnikiem stojącym za spadkiem poziomu pochłaniania emisji z LULUCF w UE jest ograniczenie zgłaszanych poziomów pochłaniania</w:t>
      </w:r>
      <w:r w:rsidR="00D928C3">
        <w:rPr>
          <w:noProof/>
        </w:rPr>
        <w:t xml:space="preserve"> i obn</w:t>
      </w:r>
      <w:r>
        <w:rPr>
          <w:noProof/>
        </w:rPr>
        <w:t>iżenie rozliczonego salda jednostek</w:t>
      </w:r>
      <w:r w:rsidR="00D928C3">
        <w:rPr>
          <w:noProof/>
        </w:rPr>
        <w:t xml:space="preserve"> w zak</w:t>
      </w:r>
      <w:r>
        <w:rPr>
          <w:noProof/>
        </w:rPr>
        <w:t>resie gospodarki leśnej na lata 2013–2019</w:t>
      </w:r>
      <w:r>
        <w:rPr>
          <w:rFonts w:cs="Times New Roman"/>
          <w:noProof/>
          <w:vertAlign w:val="superscript"/>
        </w:rPr>
        <w:footnoteReference w:id="67"/>
      </w:r>
      <w:r>
        <w:rPr>
          <w:noProof/>
        </w:rPr>
        <w:t>. Ograniczenie skali usuwania dwutlenku węgla wynika</w:t>
      </w:r>
      <w:r w:rsidR="00D928C3">
        <w:rPr>
          <w:noProof/>
        </w:rPr>
        <w:t xml:space="preserve"> z poł</w:t>
      </w:r>
      <w:r>
        <w:rPr>
          <w:noProof/>
        </w:rPr>
        <w:t>ączenia szeregu czynników, m.in. wzrostu popytu na drewno (np.</w:t>
      </w:r>
      <w:r w:rsidR="00D928C3">
        <w:rPr>
          <w:noProof/>
        </w:rPr>
        <w:t xml:space="preserve"> w 2</w:t>
      </w:r>
      <w:r>
        <w:rPr>
          <w:noProof/>
        </w:rPr>
        <w:t>0</w:t>
      </w:r>
      <w:r w:rsidRPr="00D928C3">
        <w:rPr>
          <w:noProof/>
        </w:rPr>
        <w:t>18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 w:rsidR="00D928C3">
        <w:rPr>
          <w:noProof/>
        </w:rPr>
        <w:t xml:space="preserve"> w Fin</w:t>
      </w:r>
      <w:r>
        <w:rPr>
          <w:noProof/>
        </w:rPr>
        <w:t>landii), zwiększającego się udziału lasów osiągających poziom dojrzałości umożliwiający prowadzenie</w:t>
      </w:r>
      <w:r w:rsidR="00D928C3">
        <w:rPr>
          <w:noProof/>
        </w:rPr>
        <w:t xml:space="preserve"> w nic</w:t>
      </w:r>
      <w:r>
        <w:rPr>
          <w:noProof/>
        </w:rPr>
        <w:t>h działalności</w:t>
      </w:r>
      <w:r w:rsidR="00D928C3">
        <w:rPr>
          <w:noProof/>
        </w:rPr>
        <w:t xml:space="preserve"> w zak</w:t>
      </w:r>
      <w:r>
        <w:rPr>
          <w:noProof/>
        </w:rPr>
        <w:t xml:space="preserve">resie pozyskiwania drewna (Estonia, Łotwa) oraz wzrost częstotliwości występowania zjawisk katastrofalnych takich jak inwazje owadów (Republika Czeska </w:t>
      </w:r>
      <w:r w:rsidRPr="00D928C3">
        <w:rPr>
          <w:noProof/>
        </w:rPr>
        <w:t>od</w:t>
      </w:r>
      <w:r w:rsidR="00D928C3" w:rsidRPr="00D928C3">
        <w:rPr>
          <w:noProof/>
        </w:rPr>
        <w:t> </w:t>
      </w:r>
      <w:r w:rsidRPr="00D928C3">
        <w:rPr>
          <w:noProof/>
        </w:rPr>
        <w:t>2</w:t>
      </w:r>
      <w:r>
        <w:rPr>
          <w:noProof/>
        </w:rPr>
        <w:t>0</w:t>
      </w:r>
      <w:r w:rsidRPr="00D928C3">
        <w:rPr>
          <w:noProof/>
        </w:rPr>
        <w:t>15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>), burze (20</w:t>
      </w:r>
      <w:r w:rsidRPr="00D928C3">
        <w:rPr>
          <w:noProof/>
        </w:rPr>
        <w:t>19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 w:rsidR="00D928C3">
        <w:rPr>
          <w:noProof/>
        </w:rPr>
        <w:t xml:space="preserve"> w Pol</w:t>
      </w:r>
      <w:r>
        <w:rPr>
          <w:noProof/>
        </w:rPr>
        <w:t>sce), susze</w:t>
      </w:r>
      <w:r w:rsidR="00D928C3">
        <w:rPr>
          <w:noProof/>
        </w:rPr>
        <w:t xml:space="preserve"> i poż</w:t>
      </w:r>
      <w:r>
        <w:rPr>
          <w:noProof/>
        </w:rPr>
        <w:t>ary lasów (</w:t>
      </w:r>
      <w:r w:rsidRPr="00D928C3">
        <w:rPr>
          <w:noProof/>
        </w:rPr>
        <w:t>np.</w:t>
      </w:r>
      <w:r w:rsidR="00D928C3" w:rsidRPr="00D928C3">
        <w:rPr>
          <w:noProof/>
        </w:rPr>
        <w:t> </w:t>
      </w:r>
      <w:r w:rsidRPr="00D928C3">
        <w:rPr>
          <w:noProof/>
        </w:rPr>
        <w:t>2</w:t>
      </w:r>
      <w:r>
        <w:rPr>
          <w:noProof/>
        </w:rPr>
        <w:t>0</w:t>
      </w:r>
      <w:r w:rsidRPr="00D928C3">
        <w:rPr>
          <w:noProof/>
        </w:rPr>
        <w:t>17</w:t>
      </w:r>
      <w:r w:rsidR="00D928C3" w:rsidRPr="00D928C3">
        <w:rPr>
          <w:noProof/>
        </w:rPr>
        <w:t> </w:t>
      </w:r>
      <w:r w:rsidRPr="00D928C3">
        <w:rPr>
          <w:noProof/>
        </w:rPr>
        <w:t>r.</w:t>
      </w:r>
      <w:r>
        <w:rPr>
          <w:noProof/>
        </w:rPr>
        <w:t xml:space="preserve"> we Włoszech</w:t>
      </w:r>
      <w:r w:rsidR="00D928C3">
        <w:rPr>
          <w:noProof/>
        </w:rPr>
        <w:t xml:space="preserve"> i w Por</w:t>
      </w:r>
      <w:r>
        <w:rPr>
          <w:noProof/>
        </w:rPr>
        <w:t>tugalii)</w:t>
      </w:r>
      <w:r>
        <w:rPr>
          <w:noProof/>
          <w:vertAlign w:val="superscript"/>
        </w:rPr>
        <w:footnoteReference w:id="68"/>
      </w:r>
      <w:r>
        <w:rPr>
          <w:noProof/>
        </w:rPr>
        <w:t>. Zgodnie ze wstępnymi szacunkami,</w:t>
      </w:r>
      <w:r w:rsidR="00D928C3">
        <w:rPr>
          <w:noProof/>
        </w:rPr>
        <w:t xml:space="preserve"> w któ</w:t>
      </w:r>
      <w:r>
        <w:rPr>
          <w:noProof/>
        </w:rPr>
        <w:t>rych wykorzystano zasady rozliczania dotyczące drugiego okresu rozliczeniowego na podstawie protokołu</w:t>
      </w:r>
      <w:r w:rsidR="00D928C3">
        <w:rPr>
          <w:noProof/>
        </w:rPr>
        <w:t xml:space="preserve"> z Kio</w:t>
      </w:r>
      <w:r>
        <w:rPr>
          <w:noProof/>
        </w:rPr>
        <w:t>to, Cypr, Finlandia</w:t>
      </w:r>
      <w:r w:rsidR="00D928C3">
        <w:rPr>
          <w:noProof/>
        </w:rPr>
        <w:t xml:space="preserve"> i Nid</w:t>
      </w:r>
      <w:r>
        <w:rPr>
          <w:noProof/>
        </w:rPr>
        <w:t>erlandy odnotowały średnie roczne ujemne saldo netto z LULUCF poniżej 1 Mt CO</w:t>
      </w:r>
      <w:r>
        <w:rPr>
          <w:noProof/>
          <w:vertAlign w:val="subscript"/>
        </w:rPr>
        <w:t>2</w:t>
      </w:r>
      <w:r>
        <w:rPr>
          <w:noProof/>
        </w:rPr>
        <w:t>. Wyższe poziomy salda ujemnego przewiduje się</w:t>
      </w:r>
      <w:r w:rsidR="00D928C3">
        <w:rPr>
          <w:noProof/>
        </w:rPr>
        <w:t xml:space="preserve"> w prz</w:t>
      </w:r>
      <w:r>
        <w:rPr>
          <w:noProof/>
        </w:rPr>
        <w:t>ypadku Republiki Czeskiej, Łotwy</w:t>
      </w:r>
      <w:r w:rsidR="00D928C3">
        <w:rPr>
          <w:noProof/>
        </w:rPr>
        <w:t xml:space="preserve"> i Sło</w:t>
      </w:r>
      <w:r>
        <w:rPr>
          <w:noProof/>
        </w:rPr>
        <w:t>wenii (odpowiednio 2,6, 2,4</w:t>
      </w:r>
      <w:r w:rsidR="00D928C3">
        <w:rPr>
          <w:noProof/>
        </w:rPr>
        <w:t xml:space="preserve"> i 3</w:t>
      </w:r>
      <w:r>
        <w:rPr>
          <w:noProof/>
        </w:rPr>
        <w:t>,9 Mt ekwiwalentu CO</w:t>
      </w:r>
      <w:r>
        <w:rPr>
          <w:noProof/>
          <w:vertAlign w:val="subscript"/>
        </w:rPr>
        <w:t>2</w:t>
      </w:r>
      <w:r>
        <w:rPr>
          <w:noProof/>
        </w:rPr>
        <w:t xml:space="preserve"> rocznie). </w:t>
      </w:r>
    </w:p>
    <w:p w14:paraId="148AFA01" w14:textId="77777777" w:rsidR="005D784C" w:rsidRPr="00B7742C" w:rsidRDefault="00AC5DF0" w:rsidP="00B7742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Aby odwrócić obserwowaną tendencję malejącą</w:t>
      </w:r>
      <w:r w:rsid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 zak</w:t>
      </w: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resie pochłaniania netto z LULUCF, Komisja zaproponowała wyznaczenie nowego celu zakładającego obniżenie poziomu emisji</w:t>
      </w:r>
      <w:r w:rsid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 3</w:t>
      </w: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10 Mt ekwiwalentu CO</w:t>
      </w: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:vertAlign w:val="subscript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 2</w:t>
      </w: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30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r.</w:t>
      </w: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na potrzeby pochłaniania dwutlenku węgla</w:t>
      </w:r>
      <w:r w:rsid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 neu</w:t>
      </w: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tralnego dla klimatu sektora gruntów, który doprowadzi do połączenia pochłaniania netto</w:t>
      </w:r>
      <w:r w:rsid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 emi</w:t>
      </w: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sjami generowanymi przez zwierzęta gospodarskie</w:t>
      </w:r>
      <w:r w:rsid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 naw</w:t>
      </w: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ozy</w:t>
      </w:r>
      <w:r w:rsid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 2</w:t>
      </w:r>
      <w:r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35</w:t>
      </w:r>
      <w:r w:rsidR="00D928C3" w:rsidRP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D928C3">
        <w:rPr>
          <w:rFonts w:ascii="Times New Roman" w:hAnsi="Times New Roman"/>
          <w:noProof/>
          <w:color w:val="000000"/>
          <w:sz w:val="24"/>
          <w:szCs w:val="24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r.</w: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color="000000"/>
          <w:bdr w:val="nil"/>
          <w:vertAlign w:val="superscript"/>
        </w:rPr>
        <w:footnoteReference w:id="69"/>
      </w:r>
    </w:p>
    <w:p w14:paraId="32A5A279" w14:textId="77777777" w:rsidR="00DF6261" w:rsidRPr="006520D9" w:rsidRDefault="005D784C" w:rsidP="00DF6261">
      <w:pPr>
        <w:pStyle w:val="Nagwek1"/>
        <w:spacing w:after="240" w:line="240" w:lineRule="auto"/>
        <w:ind w:left="714" w:hanging="357"/>
        <w:jc w:val="both"/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t xml:space="preserve">PRZYSTOSOWANIE SIĘ DO ZMIANY KLIMATU </w:t>
      </w:r>
    </w:p>
    <w:p w14:paraId="1756D8F2" w14:textId="77777777" w:rsidR="00B846B8" w:rsidRPr="00930FF3" w:rsidRDefault="00B846B8" w:rsidP="00B7742C">
      <w:pPr>
        <w:pStyle w:val="paragraph"/>
        <w:spacing w:before="120" w:beforeAutospacing="0" w:after="240" w:afterAutospacing="0"/>
        <w:jc w:val="both"/>
        <w:textAlignment w:val="baseline"/>
        <w:rPr>
          <w:rStyle w:val="normaltextrun"/>
          <w:rFonts w:eastAsiaTheme="majorEastAsia"/>
          <w:b/>
          <w:noProof/>
          <w:szCs w:val="32"/>
        </w:rPr>
      </w:pPr>
      <w:r>
        <w:rPr>
          <w:rStyle w:val="normaltextrun"/>
          <w:noProof/>
        </w:rPr>
        <w:t>Przystosowanie się do zmiany klimatu jest obecnie włączane do głównego nurtu polityki UE</w:t>
      </w:r>
      <w:r w:rsidR="00D928C3">
        <w:rPr>
          <w:rStyle w:val="normaltextrun"/>
          <w:noProof/>
        </w:rPr>
        <w:t xml:space="preserve"> i uwz</w:t>
      </w:r>
      <w:r>
        <w:rPr>
          <w:rStyle w:val="normaltextrun"/>
          <w:noProof/>
        </w:rPr>
        <w:t>ględniane</w:t>
      </w:r>
      <w:r w:rsidR="00D928C3">
        <w:rPr>
          <w:rStyle w:val="normaltextrun"/>
          <w:noProof/>
        </w:rPr>
        <w:t xml:space="preserve"> w uni</w:t>
      </w:r>
      <w:r>
        <w:rPr>
          <w:rStyle w:val="normaltextrun"/>
          <w:noProof/>
        </w:rPr>
        <w:t>jnym budżecie. Do 20</w:t>
      </w:r>
      <w:r w:rsidRPr="00D928C3">
        <w:rPr>
          <w:rStyle w:val="normaltextrun"/>
          <w:noProof/>
        </w:rPr>
        <w:t>20</w:t>
      </w:r>
      <w:r w:rsidR="00D928C3" w:rsidRPr="00D928C3">
        <w:rPr>
          <w:rStyle w:val="normaltextrun"/>
          <w:noProof/>
        </w:rPr>
        <w:t> </w:t>
      </w:r>
      <w:r w:rsidRPr="00D928C3">
        <w:rPr>
          <w:rStyle w:val="normaltextrun"/>
          <w:noProof/>
        </w:rPr>
        <w:t>r.</w:t>
      </w:r>
      <w:r>
        <w:rPr>
          <w:rStyle w:val="normaltextrun"/>
          <w:noProof/>
        </w:rPr>
        <w:t xml:space="preserve"> wszystkie państwa członkowskie wprowadziły krajową strategię lub krajowy plan przystosowania się do zmiany klimatu</w:t>
      </w:r>
      <w:r w:rsidRPr="00D928C3">
        <w:rPr>
          <w:rStyle w:val="normaltextrun"/>
          <w:noProof/>
        </w:rPr>
        <w:t>.</w:t>
      </w:r>
      <w:r w:rsidR="00D928C3" w:rsidRPr="00D928C3">
        <w:rPr>
          <w:rStyle w:val="normaltextrun"/>
          <w:noProof/>
        </w:rPr>
        <w:t xml:space="preserve"> </w:t>
      </w:r>
      <w:r w:rsidRPr="00D928C3">
        <w:rPr>
          <w:rStyle w:val="normaltextrun"/>
          <w:noProof/>
        </w:rPr>
        <w:t>E</w:t>
      </w:r>
      <w:r>
        <w:rPr>
          <w:rStyle w:val="normaltextrun"/>
          <w:noProof/>
        </w:rPr>
        <w:t>uropejska platforma przystosowania się do zmiany klimatu (Climate-ADAPT) stała się kluczowym punktem odniesienia jako źródło wiedzy dotyczącej przystosowania się do zmiany klimatu. W 20</w:t>
      </w:r>
      <w:r w:rsidRPr="00D928C3">
        <w:rPr>
          <w:rStyle w:val="normaltextrun"/>
          <w:noProof/>
        </w:rPr>
        <w:t>21</w:t>
      </w:r>
      <w:r w:rsidR="00D928C3" w:rsidRPr="00D928C3">
        <w:rPr>
          <w:rStyle w:val="normaltextrun"/>
          <w:noProof/>
        </w:rPr>
        <w:t> </w:t>
      </w:r>
      <w:r w:rsidRPr="00D928C3">
        <w:rPr>
          <w:rStyle w:val="normaltextrun"/>
          <w:noProof/>
        </w:rPr>
        <w:t>r.</w:t>
      </w:r>
      <w:r>
        <w:rPr>
          <w:rStyle w:val="normaltextrun"/>
          <w:noProof/>
        </w:rPr>
        <w:t xml:space="preserve"> Komisja przyjęła </w:t>
      </w:r>
      <w:r>
        <w:rPr>
          <w:rStyle w:val="normaltextrun"/>
          <w:b/>
          <w:noProof/>
        </w:rPr>
        <w:t>nową unijną Strategię</w:t>
      </w:r>
      <w:r w:rsidR="00D928C3">
        <w:rPr>
          <w:rStyle w:val="normaltextrun"/>
          <w:b/>
          <w:noProof/>
        </w:rPr>
        <w:t xml:space="preserve"> w zak</w:t>
      </w:r>
      <w:r>
        <w:rPr>
          <w:rStyle w:val="normaltextrun"/>
          <w:b/>
          <w:noProof/>
        </w:rPr>
        <w:t>resie przystosowania do zmiany klimatu</w:t>
      </w:r>
      <w:r>
        <w:rPr>
          <w:rStyle w:val="Odwoanieprzypisudolnego"/>
          <w:noProof/>
        </w:rPr>
        <w:footnoteReference w:id="70"/>
      </w:r>
      <w:r>
        <w:rPr>
          <w:rStyle w:val="normaltextrun"/>
          <w:noProof/>
        </w:rPr>
        <w:t>,</w:t>
      </w:r>
      <w:r w:rsidR="00D928C3">
        <w:rPr>
          <w:rStyle w:val="normaltextrun"/>
          <w:b/>
          <w:noProof/>
        </w:rPr>
        <w:t xml:space="preserve"> </w:t>
      </w:r>
      <w:r w:rsidR="00D928C3">
        <w:rPr>
          <w:rStyle w:val="normaltextrun"/>
          <w:noProof/>
        </w:rPr>
        <w:t>w</w:t>
      </w:r>
      <w:r w:rsidR="00D928C3">
        <w:rPr>
          <w:rStyle w:val="normaltextrun"/>
          <w:b/>
          <w:noProof/>
        </w:rPr>
        <w:t> </w:t>
      </w:r>
      <w:r w:rsidR="00D928C3">
        <w:rPr>
          <w:rStyle w:val="normaltextrun"/>
          <w:noProof/>
        </w:rPr>
        <w:t>któ</w:t>
      </w:r>
      <w:r>
        <w:rPr>
          <w:rStyle w:val="normaltextrun"/>
          <w:noProof/>
        </w:rPr>
        <w:t>rej określiła ścieżkę przygotowania się na nieuniknione skutki zmiany klimatu</w:t>
      </w:r>
      <w:r w:rsidR="00D928C3">
        <w:rPr>
          <w:rStyle w:val="normaltextrun"/>
          <w:noProof/>
        </w:rPr>
        <w:t xml:space="preserve"> i osi</w:t>
      </w:r>
      <w:r>
        <w:rPr>
          <w:rStyle w:val="normaltextrun"/>
          <w:noProof/>
        </w:rPr>
        <w:t xml:space="preserve">ągnięcia odporności na zmianę klimatu </w:t>
      </w:r>
      <w:r w:rsidRPr="00D928C3">
        <w:rPr>
          <w:rStyle w:val="normaltextrun"/>
          <w:noProof/>
        </w:rPr>
        <w:t>do</w:t>
      </w:r>
      <w:r w:rsidR="00D928C3" w:rsidRPr="00D928C3">
        <w:rPr>
          <w:rStyle w:val="normaltextrun"/>
          <w:noProof/>
        </w:rPr>
        <w:t> </w:t>
      </w:r>
      <w:r w:rsidRPr="00D928C3">
        <w:rPr>
          <w:rStyle w:val="normaltextrun"/>
          <w:noProof/>
        </w:rPr>
        <w:t>2</w:t>
      </w:r>
      <w:r>
        <w:rPr>
          <w:rStyle w:val="normaltextrun"/>
          <w:noProof/>
        </w:rPr>
        <w:t>0</w:t>
      </w:r>
      <w:r w:rsidRPr="00D928C3">
        <w:rPr>
          <w:rStyle w:val="normaltextrun"/>
          <w:noProof/>
        </w:rPr>
        <w:t>50</w:t>
      </w:r>
      <w:r w:rsidR="00D928C3" w:rsidRPr="00D928C3">
        <w:rPr>
          <w:rStyle w:val="normaltextrun"/>
          <w:noProof/>
        </w:rPr>
        <w:t> </w:t>
      </w:r>
      <w:r w:rsidRPr="00D928C3">
        <w:rPr>
          <w:rStyle w:val="normaltextrun"/>
          <w:noProof/>
        </w:rPr>
        <w:t>r.</w:t>
      </w:r>
      <w:r>
        <w:rPr>
          <w:rStyle w:val="normaltextrun"/>
          <w:noProof/>
        </w:rPr>
        <w:t xml:space="preserve"> Ma ona polegać na poszerzeniu</w:t>
      </w:r>
      <w:r w:rsidR="00D928C3">
        <w:rPr>
          <w:rStyle w:val="normaltextrun"/>
          <w:noProof/>
        </w:rPr>
        <w:t xml:space="preserve"> i wym</w:t>
      </w:r>
      <w:r>
        <w:rPr>
          <w:rStyle w:val="normaltextrun"/>
          <w:noProof/>
        </w:rPr>
        <w:t>ianie wiedzy (np. za pośrednictwem unijnych platform</w:t>
      </w:r>
      <w:r w:rsidR="00D928C3">
        <w:rPr>
          <w:rStyle w:val="normaltextrun"/>
          <w:noProof/>
        </w:rPr>
        <w:t xml:space="preserve"> i obs</w:t>
      </w:r>
      <w:r>
        <w:rPr>
          <w:rStyle w:val="normaltextrun"/>
          <w:noProof/>
        </w:rPr>
        <w:t>erwatoriów),</w:t>
      </w:r>
      <w:r w:rsidR="00D928C3">
        <w:rPr>
          <w:rStyle w:val="normaltextrun"/>
          <w:noProof/>
        </w:rPr>
        <w:t xml:space="preserve"> a tak</w:t>
      </w:r>
      <w:r>
        <w:rPr>
          <w:rStyle w:val="normaltextrun"/>
          <w:noProof/>
        </w:rPr>
        <w:t>że gromadzeniu większej ilości lepszych danych dotyczących ryzyka</w:t>
      </w:r>
      <w:r w:rsidR="00D928C3">
        <w:rPr>
          <w:rStyle w:val="normaltextrun"/>
          <w:noProof/>
        </w:rPr>
        <w:t xml:space="preserve"> i str</w:t>
      </w:r>
      <w:r>
        <w:rPr>
          <w:rStyle w:val="normaltextrun"/>
          <w:noProof/>
        </w:rPr>
        <w:t>at związanych ze zmianą klimatu</w:t>
      </w:r>
      <w:r w:rsidR="00D928C3">
        <w:rPr>
          <w:rStyle w:val="normaltextrun"/>
          <w:noProof/>
        </w:rPr>
        <w:t>. W str</w:t>
      </w:r>
      <w:r>
        <w:rPr>
          <w:rStyle w:val="normaltextrun"/>
          <w:noProof/>
        </w:rPr>
        <w:t>ategii podkreślono konieczność wspierania rozwoju polityki na wszystkich szczeblach i we wszystkich sektorach, szczególnie</w:t>
      </w:r>
      <w:r w:rsidR="00D928C3">
        <w:rPr>
          <w:rStyle w:val="normaltextrun"/>
          <w:noProof/>
        </w:rPr>
        <w:t xml:space="preserve"> w kon</w:t>
      </w:r>
      <w:r>
        <w:rPr>
          <w:rStyle w:val="normaltextrun"/>
          <w:noProof/>
        </w:rPr>
        <w:t xml:space="preserve">tekście </w:t>
      </w:r>
      <w:r>
        <w:rPr>
          <w:rStyle w:val="normaltextrun"/>
          <w:b/>
          <w:noProof/>
        </w:rPr>
        <w:t>lokalnej</w:t>
      </w:r>
      <w:r w:rsidR="00D928C3">
        <w:rPr>
          <w:rStyle w:val="normaltextrun"/>
          <w:b/>
          <w:noProof/>
        </w:rPr>
        <w:t xml:space="preserve"> i spr</w:t>
      </w:r>
      <w:r>
        <w:rPr>
          <w:rStyle w:val="normaltextrun"/>
          <w:b/>
          <w:noProof/>
        </w:rPr>
        <w:t>awiedliwej odporności</w:t>
      </w:r>
      <w:r>
        <w:rPr>
          <w:rStyle w:val="normaltextrun"/>
          <w:noProof/>
        </w:rPr>
        <w:t>. Przeanalizowano</w:t>
      </w:r>
      <w:r w:rsidR="00D928C3">
        <w:rPr>
          <w:rStyle w:val="normaltextrun"/>
          <w:noProof/>
        </w:rPr>
        <w:t xml:space="preserve"> w nie</w:t>
      </w:r>
      <w:r>
        <w:rPr>
          <w:rStyle w:val="normaltextrun"/>
          <w:noProof/>
        </w:rPr>
        <w:t>j ryzyko związane ze zmianą klimatu</w:t>
      </w:r>
      <w:r w:rsidR="00D928C3">
        <w:rPr>
          <w:rStyle w:val="normaltextrun"/>
          <w:noProof/>
        </w:rPr>
        <w:t xml:space="preserve"> i klę</w:t>
      </w:r>
      <w:r>
        <w:rPr>
          <w:rStyle w:val="normaltextrun"/>
          <w:noProof/>
        </w:rPr>
        <w:t>skami żywiołowymi</w:t>
      </w:r>
      <w:r w:rsidR="00D928C3">
        <w:rPr>
          <w:rStyle w:val="normaltextrun"/>
          <w:noProof/>
        </w:rPr>
        <w:t xml:space="preserve"> z per</w:t>
      </w:r>
      <w:r>
        <w:rPr>
          <w:rStyle w:val="normaltextrun"/>
          <w:noProof/>
        </w:rPr>
        <w:t>spektywy makroekonomiczno-budżetowej,</w:t>
      </w:r>
      <w:r w:rsidR="00D928C3">
        <w:rPr>
          <w:rStyle w:val="normaltextrun"/>
          <w:noProof/>
        </w:rPr>
        <w:t xml:space="preserve"> a tak</w:t>
      </w:r>
      <w:r>
        <w:rPr>
          <w:rStyle w:val="normaltextrun"/>
          <w:noProof/>
        </w:rPr>
        <w:t>że podkreślono znaczenie uwzględnienia odporności na zmianę klimatu</w:t>
      </w:r>
      <w:r w:rsidR="00D928C3">
        <w:rPr>
          <w:rStyle w:val="normaltextrun"/>
          <w:noProof/>
        </w:rPr>
        <w:t xml:space="preserve"> w kra</w:t>
      </w:r>
      <w:r>
        <w:rPr>
          <w:rStyle w:val="normaltextrun"/>
          <w:noProof/>
        </w:rPr>
        <w:t>jowych ramach fiskalnych. Uwypuklono</w:t>
      </w:r>
      <w:r w:rsidR="00D928C3">
        <w:rPr>
          <w:rStyle w:val="normaltextrun"/>
          <w:noProof/>
        </w:rPr>
        <w:t xml:space="preserve"> w nie</w:t>
      </w:r>
      <w:r>
        <w:rPr>
          <w:rStyle w:val="normaltextrun"/>
          <w:noProof/>
        </w:rPr>
        <w:t xml:space="preserve">j również rozwiązania oparte na zasobach przyrody. </w:t>
      </w:r>
    </w:p>
    <w:p w14:paraId="79CD7F59" w14:textId="77777777" w:rsidR="005D784C" w:rsidRPr="00B7742C" w:rsidRDefault="007B4943" w:rsidP="00B7742C">
      <w:pPr>
        <w:pStyle w:val="paragraph"/>
        <w:spacing w:before="120" w:beforeAutospacing="0" w:after="240" w:afterAutospacing="0"/>
        <w:jc w:val="both"/>
        <w:textAlignment w:val="baseline"/>
        <w:rPr>
          <w:rStyle w:val="normaltextrun"/>
          <w:rFonts w:eastAsiaTheme="majorEastAsia"/>
          <w:noProof/>
        </w:rPr>
      </w:pPr>
      <w:r>
        <w:rPr>
          <w:rStyle w:val="normaltextrun"/>
          <w:noProof/>
        </w:rPr>
        <w:t>Rozwiązania umożliwiające szybsze przystosowanie się do zmiany klimatu będą testowane</w:t>
      </w:r>
      <w:r w:rsidR="00D928C3">
        <w:rPr>
          <w:rStyle w:val="normaltextrun"/>
          <w:noProof/>
        </w:rPr>
        <w:t xml:space="preserve"> i roz</w:t>
      </w:r>
      <w:r>
        <w:rPr>
          <w:rStyle w:val="normaltextrun"/>
          <w:noProof/>
        </w:rPr>
        <w:t>szerzane za pomocą realizowanej</w:t>
      </w:r>
      <w:r w:rsidR="00D928C3">
        <w:rPr>
          <w:rStyle w:val="normaltextrun"/>
          <w:noProof/>
        </w:rPr>
        <w:t xml:space="preserve"> w ram</w:t>
      </w:r>
      <w:r>
        <w:rPr>
          <w:rStyle w:val="normaltextrun"/>
          <w:noProof/>
        </w:rPr>
        <w:t>ach programu „Horyzont Europa” misji dotyczącej przystosowania się do zmiany klimatu. Jej celem jest wsparcie co najmniej 150 regionów</w:t>
      </w:r>
      <w:r w:rsidR="00D928C3">
        <w:rPr>
          <w:rStyle w:val="normaltextrun"/>
          <w:noProof/>
        </w:rPr>
        <w:t xml:space="preserve"> i spo</w:t>
      </w:r>
      <w:r>
        <w:rPr>
          <w:rStyle w:val="normaltextrun"/>
          <w:noProof/>
        </w:rPr>
        <w:t>łeczności oraz przetestowanie co najmniej 75 kompleksowych przykładów rozwiązań. Bezpośrednie znaczenie dla przystosowania się do zmiany klimatu mają także zaplanowane</w:t>
      </w:r>
      <w:r w:rsidR="00D928C3">
        <w:rPr>
          <w:rStyle w:val="normaltextrun"/>
          <w:noProof/>
        </w:rPr>
        <w:t xml:space="preserve"> w ram</w:t>
      </w:r>
      <w:r>
        <w:rPr>
          <w:rStyle w:val="normaltextrun"/>
          <w:noProof/>
        </w:rPr>
        <w:t>ach programu „Horyzont Europa” misje dotyczące zdrowia gleby, miast neutralnych dla klimatu oraz oceanów</w:t>
      </w:r>
      <w:r w:rsidR="00D928C3">
        <w:rPr>
          <w:rStyle w:val="normaltextrun"/>
          <w:noProof/>
        </w:rPr>
        <w:t xml:space="preserve"> i wód</w:t>
      </w:r>
      <w:r>
        <w:rPr>
          <w:rStyle w:val="normaltextrun"/>
          <w:noProof/>
        </w:rPr>
        <w:t xml:space="preserve"> śródlądowych. </w:t>
      </w:r>
    </w:p>
    <w:p w14:paraId="5B9B6574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Pierwsza ocena sprawozdawczości dotyczącej krajowych polityk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zak</w:t>
      </w:r>
      <w:r>
        <w:rPr>
          <w:rFonts w:ascii="Times New Roman" w:hAnsi="Times New Roman"/>
          <w:b/>
          <w:i/>
          <w:noProof/>
          <w:sz w:val="24"/>
          <w:szCs w:val="24"/>
        </w:rPr>
        <w:t>resie przystosowania się do zmiany klimatu</w:t>
      </w:r>
    </w:p>
    <w:p w14:paraId="738FF12C" w14:textId="77777777" w:rsidR="00DF6261" w:rsidRPr="006520D9" w:rsidRDefault="00DC69B4" w:rsidP="00B7742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Począwszy </w:t>
      </w:r>
      <w:r w:rsidRPr="00D928C3">
        <w:rPr>
          <w:rFonts w:ascii="Times New Roman" w:hAnsi="Times New Roman"/>
          <w:noProof/>
          <w:sz w:val="24"/>
          <w:szCs w:val="24"/>
        </w:rPr>
        <w:t>od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państwa członkowskie są zobowiązane do przedstawiania sprawozdań dotyczących ich krajowych polityk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>resie przystosowania się do zmiany klimatu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71"/>
      </w:r>
      <w:r>
        <w:rPr>
          <w:rFonts w:ascii="Times New Roman" w:hAnsi="Times New Roman"/>
          <w:noProof/>
          <w:sz w:val="24"/>
          <w:szCs w:val="24"/>
        </w:rPr>
        <w:t>. Wszystkie państwa członkowskie złożyły gotowe sprawozdania. Choć jest jeszcze za wcześniej na ocenę rzeczywistych postępów we wdrażaniu tej polityki, można przedstawić krótki opis najważniejszych odnotowanych zagrożeń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prz</w:t>
      </w:r>
      <w:r>
        <w:rPr>
          <w:rFonts w:ascii="Times New Roman" w:hAnsi="Times New Roman"/>
          <w:noProof/>
          <w:sz w:val="24"/>
          <w:szCs w:val="24"/>
        </w:rPr>
        <w:t>yszłych rodzajów ryzyka, które mogą posłużyć jako punkt wyjścia do oceny postępów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23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72"/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424239C" w14:textId="77777777" w:rsidR="00841888" w:rsidRPr="006520D9" w:rsidRDefault="00D256E7" w:rsidP="00B7742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 najczęściej obserwowanych poważnych zagrożeń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pań</w:t>
      </w:r>
      <w:r>
        <w:rPr>
          <w:rFonts w:ascii="Times New Roman" w:hAnsi="Times New Roman"/>
          <w:noProof/>
          <w:sz w:val="24"/>
          <w:szCs w:val="24"/>
        </w:rPr>
        <w:t>stwach członkowskich należą fale upałów</w:t>
      </w:r>
      <w:r w:rsidR="00D928C3">
        <w:rPr>
          <w:rFonts w:ascii="Times New Roman" w:hAnsi="Times New Roman"/>
          <w:noProof/>
          <w:sz w:val="24"/>
          <w:szCs w:val="24"/>
        </w:rPr>
        <w:t xml:space="preserve"> i sus</w:t>
      </w:r>
      <w:r>
        <w:rPr>
          <w:rFonts w:ascii="Times New Roman" w:hAnsi="Times New Roman"/>
          <w:noProof/>
          <w:sz w:val="24"/>
          <w:szCs w:val="24"/>
        </w:rPr>
        <w:t>ze (we wszystkich krajach), silne opady (prowadzące do powodzi), burze, osuwiska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poż</w:t>
      </w:r>
      <w:r>
        <w:rPr>
          <w:rFonts w:ascii="Times New Roman" w:hAnsi="Times New Roman"/>
          <w:noProof/>
          <w:sz w:val="24"/>
          <w:szCs w:val="24"/>
        </w:rPr>
        <w:t>ary lasu (wiele krajów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każ</w:t>
      </w:r>
      <w:r>
        <w:rPr>
          <w:rFonts w:ascii="Times New Roman" w:hAnsi="Times New Roman"/>
          <w:noProof/>
          <w:sz w:val="24"/>
          <w:szCs w:val="24"/>
        </w:rPr>
        <w:t>dej strefie klimatycznej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73"/>
      </w:r>
      <w:r>
        <w:rPr>
          <w:rFonts w:ascii="Times New Roman" w:hAnsi="Times New Roman"/>
          <w:noProof/>
          <w:sz w:val="24"/>
          <w:szCs w:val="24"/>
        </w:rPr>
        <w:t>). Do najczęściej obserwowanych stałych zagrożeń należą zmiany temperatury, zmiany wzorców</w:t>
      </w:r>
      <w:r w:rsidR="00D928C3">
        <w:rPr>
          <w:rFonts w:ascii="Times New Roman" w:hAnsi="Times New Roman"/>
          <w:noProof/>
          <w:sz w:val="24"/>
          <w:szCs w:val="24"/>
        </w:rPr>
        <w:t xml:space="preserve"> i rod</w:t>
      </w:r>
      <w:r>
        <w:rPr>
          <w:rFonts w:ascii="Times New Roman" w:hAnsi="Times New Roman"/>
          <w:noProof/>
          <w:sz w:val="24"/>
          <w:szCs w:val="24"/>
        </w:rPr>
        <w:t>zajów opadów (a także ich wzmożona zmienność) oraz erozja obszarów przybrzeżnych. Ponadto występują pewne zagrożenia, które choć są odróżniane, występują tylko</w:t>
      </w:r>
      <w:r w:rsidR="00D928C3">
        <w:rPr>
          <w:rFonts w:ascii="Times New Roman" w:hAnsi="Times New Roman"/>
          <w:noProof/>
          <w:sz w:val="24"/>
          <w:szCs w:val="24"/>
        </w:rPr>
        <w:t xml:space="preserve"> w okr</w:t>
      </w:r>
      <w:r>
        <w:rPr>
          <w:rFonts w:ascii="Times New Roman" w:hAnsi="Times New Roman"/>
          <w:noProof/>
          <w:sz w:val="24"/>
          <w:szCs w:val="24"/>
        </w:rPr>
        <w:t>eślonych strefach klimatycznych: niedobór wody, degradacja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ero</w:t>
      </w:r>
      <w:r>
        <w:rPr>
          <w:rFonts w:ascii="Times New Roman" w:hAnsi="Times New Roman"/>
          <w:noProof/>
          <w:sz w:val="24"/>
          <w:szCs w:val="24"/>
        </w:rPr>
        <w:t>zja gleby są niemal niespotykane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pół</w:t>
      </w:r>
      <w:r>
        <w:rPr>
          <w:rFonts w:ascii="Times New Roman" w:hAnsi="Times New Roman"/>
          <w:noProof/>
          <w:sz w:val="24"/>
          <w:szCs w:val="24"/>
        </w:rPr>
        <w:t>nocnej strefie; zmiana cyrkulacji wiatru, jak wynika</w:t>
      </w:r>
      <w:r w:rsidR="00D928C3">
        <w:rPr>
          <w:rFonts w:ascii="Times New Roman" w:hAnsi="Times New Roman"/>
          <w:noProof/>
          <w:sz w:val="24"/>
          <w:szCs w:val="24"/>
        </w:rPr>
        <w:t xml:space="preserve"> z obs</w:t>
      </w:r>
      <w:r>
        <w:rPr>
          <w:rFonts w:ascii="Times New Roman" w:hAnsi="Times New Roman"/>
          <w:noProof/>
          <w:sz w:val="24"/>
          <w:szCs w:val="24"/>
        </w:rPr>
        <w:t xml:space="preserve">erwacji, dotyczy głównie stref </w:t>
      </w:r>
      <w:r>
        <w:rPr>
          <w:rFonts w:ascii="Times New Roman" w:hAnsi="Times New Roman"/>
          <w:noProof/>
          <w:sz w:val="24"/>
          <w:szCs w:val="24"/>
        </w:rPr>
        <w:lastRenderedPageBreak/>
        <w:t>północnej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wsc</w:t>
      </w:r>
      <w:r>
        <w:rPr>
          <w:rFonts w:ascii="Times New Roman" w:hAnsi="Times New Roman"/>
          <w:noProof/>
          <w:sz w:val="24"/>
          <w:szCs w:val="24"/>
        </w:rPr>
        <w:t>hodniej; intruzja wód morskich jest szczególnie problematyczna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pół</w:t>
      </w:r>
      <w:r>
        <w:rPr>
          <w:rFonts w:ascii="Times New Roman" w:hAnsi="Times New Roman"/>
          <w:noProof/>
          <w:sz w:val="24"/>
          <w:szCs w:val="24"/>
        </w:rPr>
        <w:t>nocnej strefie. Ogółem najwyższą liczbę zagrożeń odnotowuje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w Fin</w:t>
      </w:r>
      <w:r>
        <w:rPr>
          <w:rFonts w:ascii="Times New Roman" w:hAnsi="Times New Roman"/>
          <w:noProof/>
          <w:sz w:val="24"/>
          <w:szCs w:val="24"/>
        </w:rPr>
        <w:t>landii, we Francji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 His</w:t>
      </w:r>
      <w:r>
        <w:rPr>
          <w:rFonts w:ascii="Times New Roman" w:hAnsi="Times New Roman"/>
          <w:noProof/>
          <w:sz w:val="24"/>
          <w:szCs w:val="24"/>
        </w:rPr>
        <w:t>zpanii,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naj</w:t>
      </w:r>
      <w:r>
        <w:rPr>
          <w:rFonts w:ascii="Times New Roman" w:hAnsi="Times New Roman"/>
          <w:noProof/>
          <w:sz w:val="24"/>
          <w:szCs w:val="24"/>
        </w:rPr>
        <w:t>mniejszą –</w:t>
      </w:r>
      <w:r w:rsidR="00D928C3">
        <w:rPr>
          <w:rFonts w:ascii="Times New Roman" w:hAnsi="Times New Roman"/>
          <w:noProof/>
          <w:sz w:val="24"/>
          <w:szCs w:val="24"/>
        </w:rPr>
        <w:t xml:space="preserve"> w Irl</w:t>
      </w:r>
      <w:r>
        <w:rPr>
          <w:rFonts w:ascii="Times New Roman" w:hAnsi="Times New Roman"/>
          <w:noProof/>
          <w:sz w:val="24"/>
          <w:szCs w:val="24"/>
        </w:rPr>
        <w:t>andii, we Włoszech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 Luk</w:t>
      </w:r>
      <w:r>
        <w:rPr>
          <w:rFonts w:ascii="Times New Roman" w:hAnsi="Times New Roman"/>
          <w:noProof/>
          <w:sz w:val="24"/>
          <w:szCs w:val="24"/>
        </w:rPr>
        <w:t>semburgu. Ponad 6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państw członkowskich wskazało zdrowie, rolnictwo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pro</w:t>
      </w:r>
      <w:r>
        <w:rPr>
          <w:rFonts w:ascii="Times New Roman" w:hAnsi="Times New Roman"/>
          <w:noProof/>
          <w:sz w:val="24"/>
          <w:szCs w:val="24"/>
        </w:rPr>
        <w:t>dukcję żywności, leśnictwo, różnorodność biologiczną, gospodarkę wodną, turystykę</w:t>
      </w:r>
      <w:r w:rsidR="00D928C3">
        <w:rPr>
          <w:rFonts w:ascii="Times New Roman" w:hAnsi="Times New Roman"/>
          <w:noProof/>
          <w:sz w:val="24"/>
          <w:szCs w:val="24"/>
        </w:rPr>
        <w:t xml:space="preserve"> i ene</w:t>
      </w:r>
      <w:r>
        <w:rPr>
          <w:rFonts w:ascii="Times New Roman" w:hAnsi="Times New Roman"/>
          <w:noProof/>
          <w:sz w:val="24"/>
          <w:szCs w:val="24"/>
        </w:rPr>
        <w:t>rgetykę jako sektory najmocniej dotknięte przyszłym ryzykiem wynikającym ze zmiany klimatu. W Portugalii, Hiszpanii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Szw</w:t>
      </w:r>
      <w:r>
        <w:rPr>
          <w:rFonts w:ascii="Times New Roman" w:hAnsi="Times New Roman"/>
          <w:noProof/>
          <w:sz w:val="24"/>
          <w:szCs w:val="24"/>
        </w:rPr>
        <w:t>ecji odnotowano najwyższą liczbę sektorów narażonych na przyszłe ryzyko.</w:t>
      </w:r>
    </w:p>
    <w:p w14:paraId="297716FA" w14:textId="77777777" w:rsidR="00370A88" w:rsidRPr="006520D9" w:rsidRDefault="00370A88">
      <w:pPr>
        <w:spacing w:before="0" w:after="200"/>
        <w:rPr>
          <w:rFonts w:ascii="Times New Roman" w:eastAsiaTheme="majorEastAsia" w:hAnsi="Times New Roman" w:cs="Times New Roman"/>
          <w:b/>
          <w:noProof/>
          <w:sz w:val="24"/>
          <w:szCs w:val="24"/>
        </w:rPr>
      </w:pPr>
      <w:r>
        <w:rPr>
          <w:noProof/>
        </w:rPr>
        <w:br w:type="page"/>
      </w:r>
    </w:p>
    <w:p w14:paraId="58B93FAC" w14:textId="77777777" w:rsidR="00DF6261" w:rsidRPr="006520D9" w:rsidRDefault="00DF6261" w:rsidP="00E624FB">
      <w:pPr>
        <w:pStyle w:val="Nagwek1"/>
        <w:spacing w:before="0" w:after="240" w:line="240" w:lineRule="auto"/>
        <w:ind w:left="714" w:hanging="357"/>
        <w:jc w:val="both"/>
        <w:rPr>
          <w:noProof/>
        </w:rPr>
      </w:pPr>
      <w:r>
        <w:rPr>
          <w:noProof/>
        </w:rPr>
        <w:lastRenderedPageBreak/>
        <w:t>FINANSOWANIE DZIAŁAŃ W DZIEDZINIE KLIMATU</w:t>
      </w:r>
      <w:bookmarkStart w:id="2" w:name="_Toc526502291"/>
      <w:bookmarkStart w:id="3" w:name="_Toc529975170"/>
    </w:p>
    <w:p w14:paraId="55CC94EE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Uwzględnienie aspektu polityki klimatycznej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w bud</w:t>
      </w:r>
      <w:r>
        <w:rPr>
          <w:rFonts w:ascii="Times New Roman" w:hAnsi="Times New Roman"/>
          <w:b/>
          <w:i/>
          <w:noProof/>
          <w:sz w:val="24"/>
          <w:szCs w:val="24"/>
        </w:rPr>
        <w:t>żecie UE</w:t>
      </w:r>
      <w:bookmarkEnd w:id="2"/>
      <w:bookmarkEnd w:id="3"/>
      <w:r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</w:p>
    <w:p w14:paraId="247A5A6F" w14:textId="77777777" w:rsidR="00505AD0" w:rsidRPr="00787BC5" w:rsidRDefault="00675EA2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Jak przedstawiono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roz</w:t>
      </w:r>
      <w:r>
        <w:rPr>
          <w:rFonts w:ascii="Times New Roman" w:hAnsi="Times New Roman"/>
          <w:noProof/>
          <w:sz w:val="24"/>
          <w:szCs w:val="24"/>
        </w:rPr>
        <w:t>dziale 1, transformacja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kie</w:t>
      </w:r>
      <w:r>
        <w:rPr>
          <w:rFonts w:ascii="Times New Roman" w:hAnsi="Times New Roman"/>
          <w:noProof/>
          <w:sz w:val="24"/>
          <w:szCs w:val="24"/>
        </w:rPr>
        <w:t>runku neutralności klimatycznej</w:t>
      </w:r>
      <w:r w:rsidR="00D928C3">
        <w:rPr>
          <w:rFonts w:ascii="Times New Roman" w:hAnsi="Times New Roman"/>
          <w:noProof/>
          <w:sz w:val="24"/>
          <w:szCs w:val="24"/>
        </w:rPr>
        <w:t xml:space="preserve"> i odp</w:t>
      </w:r>
      <w:r>
        <w:rPr>
          <w:rFonts w:ascii="Times New Roman" w:hAnsi="Times New Roman"/>
          <w:noProof/>
          <w:sz w:val="24"/>
          <w:szCs w:val="24"/>
        </w:rPr>
        <w:t xml:space="preserve">orności na zmianę klimatu wymaga znacznych inwestycji. Co najmniej </w:t>
      </w:r>
      <w:r>
        <w:rPr>
          <w:rFonts w:ascii="Times New Roman" w:hAnsi="Times New Roman"/>
          <w:b/>
          <w:noProof/>
          <w:sz w:val="24"/>
          <w:szCs w:val="24"/>
        </w:rPr>
        <w:t>3</w:t>
      </w:r>
      <w:r w:rsidRPr="00D928C3">
        <w:rPr>
          <w:rFonts w:ascii="Times New Roman" w:hAnsi="Times New Roman"/>
          <w:b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b/>
          <w:noProof/>
          <w:sz w:val="24"/>
          <w:szCs w:val="24"/>
        </w:rPr>
        <w:t> </w:t>
      </w:r>
      <w:r w:rsidRPr="00D928C3">
        <w:rPr>
          <w:rFonts w:ascii="Times New Roman" w:hAnsi="Times New Roman"/>
          <w:b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– więcej niż kiedykolwiek wcześniej – </w:t>
      </w:r>
      <w:r>
        <w:rPr>
          <w:rFonts w:ascii="Times New Roman" w:hAnsi="Times New Roman"/>
          <w:b/>
          <w:noProof/>
          <w:sz w:val="24"/>
          <w:szCs w:val="24"/>
        </w:rPr>
        <w:t>kolejnego długoterminowego budżetu UE</w:t>
      </w:r>
      <w:r>
        <w:rPr>
          <w:rFonts w:ascii="Times New Roman" w:hAnsi="Times New Roman"/>
          <w:noProof/>
          <w:sz w:val="24"/>
          <w:szCs w:val="24"/>
        </w:rPr>
        <w:t xml:space="preserve"> (na lata 2021–2027) przeznaczono na działania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edzinie klimatu (to wzrost</w:t>
      </w:r>
      <w:r w:rsidR="00D928C3">
        <w:rPr>
          <w:rFonts w:ascii="Times New Roman" w:hAnsi="Times New Roman"/>
          <w:noProof/>
          <w:sz w:val="24"/>
          <w:szCs w:val="24"/>
        </w:rPr>
        <w:t xml:space="preserve"> z 2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 w:rsidR="00D928C3">
        <w:rPr>
          <w:rFonts w:ascii="Times New Roman" w:hAnsi="Times New Roman"/>
          <w:noProof/>
          <w:sz w:val="24"/>
          <w:szCs w:val="24"/>
        </w:rPr>
        <w:t xml:space="preserve"> w okr</w:t>
      </w:r>
      <w:r>
        <w:rPr>
          <w:rFonts w:ascii="Times New Roman" w:hAnsi="Times New Roman"/>
          <w:noProof/>
          <w:sz w:val="24"/>
          <w:szCs w:val="24"/>
        </w:rPr>
        <w:t>esie 2014–2020). Jest to równowartość około 625 mld EUR,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wię</w:t>
      </w:r>
      <w:r>
        <w:rPr>
          <w:rFonts w:ascii="Times New Roman" w:hAnsi="Times New Roman"/>
          <w:noProof/>
          <w:sz w:val="24"/>
          <w:szCs w:val="24"/>
        </w:rPr>
        <w:t>c znacznie więcej niż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pop</w:t>
      </w:r>
      <w:r>
        <w:rPr>
          <w:rFonts w:ascii="Times New Roman" w:hAnsi="Times New Roman"/>
          <w:noProof/>
          <w:sz w:val="24"/>
          <w:szCs w:val="24"/>
        </w:rPr>
        <w:t>rzednim okresie (210 mld EUR)</w:t>
      </w:r>
      <w:r w:rsidR="00D928C3">
        <w:rPr>
          <w:rFonts w:ascii="Times New Roman" w:hAnsi="Times New Roman"/>
          <w:noProof/>
          <w:sz w:val="24"/>
          <w:szCs w:val="24"/>
        </w:rPr>
        <w:t>. W kon</w:t>
      </w:r>
      <w:r>
        <w:rPr>
          <w:rFonts w:ascii="Times New Roman" w:hAnsi="Times New Roman"/>
          <w:noProof/>
          <w:sz w:val="24"/>
          <w:szCs w:val="24"/>
        </w:rPr>
        <w:t>kretnych programach wydatków przewidziano wyższe cele klimatyczne („Horyzont Europa” – 3</w:t>
      </w:r>
      <w:r w:rsidRPr="00D928C3">
        <w:rPr>
          <w:rFonts w:ascii="Times New Roman" w:hAnsi="Times New Roman"/>
          <w:noProof/>
          <w:sz w:val="24"/>
          <w:szCs w:val="24"/>
        </w:rPr>
        <w:t>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, Fundusz Spójności – 3</w:t>
      </w:r>
      <w:r w:rsidRPr="00D928C3">
        <w:rPr>
          <w:rFonts w:ascii="Times New Roman" w:hAnsi="Times New Roman"/>
          <w:noProof/>
          <w:sz w:val="24"/>
          <w:szCs w:val="24"/>
        </w:rPr>
        <w:t>7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, WPR – 4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, instrument „Łącząc Europę” – 6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, program LIFE – 6</w:t>
      </w:r>
      <w:r w:rsidRPr="00D928C3">
        <w:rPr>
          <w:rFonts w:ascii="Times New Roman" w:hAnsi="Times New Roman"/>
          <w:noProof/>
          <w:sz w:val="24"/>
          <w:szCs w:val="24"/>
        </w:rPr>
        <w:t>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, Fundusz na rzecz Sprawiedliwej Transformacji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74"/>
      </w:r>
      <w:r>
        <w:rPr>
          <w:rFonts w:ascii="Times New Roman" w:hAnsi="Times New Roman"/>
          <w:noProof/>
          <w:sz w:val="24"/>
          <w:szCs w:val="24"/>
        </w:rPr>
        <w:t xml:space="preserve"> – 10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>), co pozwoli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jes</w:t>
      </w:r>
      <w:r>
        <w:rPr>
          <w:rFonts w:ascii="Times New Roman" w:hAnsi="Times New Roman"/>
          <w:noProof/>
          <w:sz w:val="24"/>
          <w:szCs w:val="24"/>
        </w:rPr>
        <w:t xml:space="preserve">zcze większym stopniu przyczynić się do realizacji ambitnych planów budżetu całkowitego. </w:t>
      </w:r>
    </w:p>
    <w:p w14:paraId="04EC245A" w14:textId="77777777" w:rsidR="00517ECC" w:rsidRPr="006702FB" w:rsidRDefault="006802CF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Aby móc skorzystać</w:t>
      </w:r>
      <w:r w:rsidR="00D928C3">
        <w:rPr>
          <w:rFonts w:ascii="Times New Roman" w:hAnsi="Times New Roman"/>
          <w:noProof/>
          <w:sz w:val="24"/>
          <w:szCs w:val="24"/>
        </w:rPr>
        <w:t xml:space="preserve"> z </w:t>
      </w:r>
      <w:r w:rsidR="00D928C3">
        <w:rPr>
          <w:rFonts w:ascii="Times New Roman" w:hAnsi="Times New Roman"/>
          <w:b/>
          <w:noProof/>
          <w:sz w:val="24"/>
          <w:szCs w:val="24"/>
        </w:rPr>
        <w:t>poż</w:t>
      </w:r>
      <w:r>
        <w:rPr>
          <w:rFonts w:ascii="Times New Roman" w:hAnsi="Times New Roman"/>
          <w:b/>
          <w:noProof/>
          <w:sz w:val="24"/>
          <w:szCs w:val="24"/>
        </w:rPr>
        <w:t>yczek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i dot</w:t>
      </w:r>
      <w:r>
        <w:rPr>
          <w:rFonts w:ascii="Times New Roman" w:hAnsi="Times New Roman"/>
          <w:b/>
          <w:noProof/>
          <w:sz w:val="24"/>
          <w:szCs w:val="24"/>
        </w:rPr>
        <w:t>acji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o war</w:t>
      </w:r>
      <w:r>
        <w:rPr>
          <w:rFonts w:ascii="Times New Roman" w:hAnsi="Times New Roman"/>
          <w:b/>
          <w:noProof/>
          <w:sz w:val="24"/>
          <w:szCs w:val="24"/>
        </w:rPr>
        <w:t xml:space="preserve">tości </w:t>
      </w:r>
      <w:r w:rsidRPr="00D928C3">
        <w:rPr>
          <w:rFonts w:ascii="Times New Roman" w:hAnsi="Times New Roman"/>
          <w:b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b/>
          <w:noProof/>
          <w:sz w:val="24"/>
          <w:szCs w:val="24"/>
        </w:rPr>
        <w:t> </w:t>
      </w:r>
      <w:r w:rsidRPr="00D928C3">
        <w:rPr>
          <w:rFonts w:ascii="Times New Roman" w:hAnsi="Times New Roman"/>
          <w:b/>
          <w:noProof/>
          <w:sz w:val="24"/>
          <w:szCs w:val="24"/>
        </w:rPr>
        <w:t>7</w:t>
      </w:r>
      <w:r>
        <w:rPr>
          <w:rFonts w:ascii="Times New Roman" w:hAnsi="Times New Roman"/>
          <w:b/>
          <w:noProof/>
          <w:sz w:val="24"/>
          <w:szCs w:val="24"/>
        </w:rPr>
        <w:t>23,8 mld EUR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w ram</w:t>
      </w:r>
      <w:r>
        <w:rPr>
          <w:rFonts w:ascii="Times New Roman" w:hAnsi="Times New Roman"/>
          <w:b/>
          <w:noProof/>
          <w:sz w:val="24"/>
          <w:szCs w:val="24"/>
        </w:rPr>
        <w:t>ach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RRF</w:t>
      </w:r>
      <w:r>
        <w:rPr>
          <w:rFonts w:ascii="Times New Roman" w:hAnsi="Times New Roman"/>
          <w:noProof/>
          <w:sz w:val="24"/>
          <w:szCs w:val="24"/>
        </w:rPr>
        <w:t>, państwa członkowskie przygotowywały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plany odbudowy</w:t>
      </w:r>
      <w:r w:rsidR="00D928C3">
        <w:rPr>
          <w:rFonts w:ascii="Times New Roman" w:hAnsi="Times New Roman"/>
          <w:noProof/>
          <w:sz w:val="24"/>
          <w:szCs w:val="24"/>
        </w:rPr>
        <w:t xml:space="preserve"> i odp</w:t>
      </w:r>
      <w:r>
        <w:rPr>
          <w:rFonts w:ascii="Times New Roman" w:hAnsi="Times New Roman"/>
          <w:noProof/>
          <w:sz w:val="24"/>
          <w:szCs w:val="24"/>
        </w:rPr>
        <w:t>orności (RRP). Plany te obejmują inicjatywy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>resie inwestycji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ref</w:t>
      </w:r>
      <w:r>
        <w:rPr>
          <w:rFonts w:ascii="Times New Roman" w:hAnsi="Times New Roman"/>
          <w:noProof/>
          <w:sz w:val="24"/>
          <w:szCs w:val="24"/>
        </w:rPr>
        <w:t>orm, które zapewnią wartość dodaną UE jako całości, takie jak rozwój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wyk</w:t>
      </w:r>
      <w:r>
        <w:rPr>
          <w:rFonts w:ascii="Times New Roman" w:hAnsi="Times New Roman"/>
          <w:noProof/>
          <w:sz w:val="24"/>
          <w:szCs w:val="24"/>
        </w:rPr>
        <w:t>orzystanie odnawialnych źródeł energii,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tym</w:t>
      </w:r>
      <w:r>
        <w:rPr>
          <w:rFonts w:ascii="Times New Roman" w:hAnsi="Times New Roman"/>
          <w:noProof/>
          <w:sz w:val="24"/>
          <w:szCs w:val="24"/>
        </w:rPr>
        <w:t xml:space="preserve"> wodoru, renowacja budynków</w:t>
      </w:r>
      <w:r w:rsidR="00D928C3">
        <w:rPr>
          <w:rFonts w:ascii="Times New Roman" w:hAnsi="Times New Roman"/>
          <w:noProof/>
          <w:sz w:val="24"/>
          <w:szCs w:val="24"/>
        </w:rPr>
        <w:t xml:space="preserve"> i efe</w:t>
      </w:r>
      <w:r>
        <w:rPr>
          <w:rFonts w:ascii="Times New Roman" w:hAnsi="Times New Roman"/>
          <w:noProof/>
          <w:sz w:val="24"/>
          <w:szCs w:val="24"/>
        </w:rPr>
        <w:t>ktywność energetyczna oraz rozwój infrastruktury paliw alternatywnych lub transportu kolejowego. Cel szczegółowy, jakim jest przeznaczenie 3</w:t>
      </w:r>
      <w:r w:rsidRPr="00D928C3">
        <w:rPr>
          <w:rFonts w:ascii="Times New Roman" w:hAnsi="Times New Roman"/>
          <w:noProof/>
          <w:sz w:val="24"/>
          <w:szCs w:val="24"/>
        </w:rPr>
        <w:t>7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wydatków na kwestie związane ze zmianą klimatu, został osiągnięty</w:t>
      </w:r>
      <w:r w:rsidR="00D928C3">
        <w:rPr>
          <w:rFonts w:ascii="Times New Roman" w:hAnsi="Times New Roman"/>
          <w:noProof/>
          <w:sz w:val="24"/>
          <w:szCs w:val="24"/>
        </w:rPr>
        <w:t xml:space="preserve"> z nad</w:t>
      </w:r>
      <w:r>
        <w:rPr>
          <w:rFonts w:ascii="Times New Roman" w:hAnsi="Times New Roman"/>
          <w:noProof/>
          <w:sz w:val="24"/>
          <w:szCs w:val="24"/>
        </w:rPr>
        <w:t>wyżką, ponieważ łączne inwestycje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edzinie klimatu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>ach 22 ocenionych planów, przyjętych przez Komisję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75"/>
      </w:r>
      <w:r>
        <w:rPr>
          <w:rFonts w:ascii="Times New Roman" w:hAnsi="Times New Roman"/>
          <w:noProof/>
          <w:sz w:val="24"/>
          <w:szCs w:val="24"/>
        </w:rPr>
        <w:t xml:space="preserve"> wyniosły 177 mld EUR, czyli około 4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całkowitego przyznanego na RRF finansowania. Około 43 % kwoty przeznaczonej na działania na rzecz klimatu zostanie przeznaczone n</w:t>
      </w:r>
      <w:r w:rsidRPr="00D928C3">
        <w:rPr>
          <w:rFonts w:ascii="Times New Roman" w:hAnsi="Times New Roman"/>
          <w:noProof/>
          <w:sz w:val="24"/>
          <w:szCs w:val="24"/>
        </w:rPr>
        <w:t>a</w:t>
      </w:r>
      <w:r w:rsidR="00D928C3" w:rsidRPr="00D928C3">
        <w:rPr>
          <w:rFonts w:ascii="Times New Roman" w:hAnsi="Times New Roman"/>
          <w:noProof/>
          <w:sz w:val="24"/>
          <w:szCs w:val="24"/>
        </w:rPr>
        <w:t xml:space="preserve"> </w:t>
      </w:r>
      <w:r w:rsidRPr="00D928C3">
        <w:rPr>
          <w:rFonts w:ascii="Times New Roman" w:hAnsi="Times New Roman"/>
          <w:noProof/>
          <w:sz w:val="24"/>
          <w:szCs w:val="24"/>
        </w:rPr>
        <w:t>e</w:t>
      </w:r>
      <w:r>
        <w:rPr>
          <w:rFonts w:ascii="Times New Roman" w:hAnsi="Times New Roman"/>
          <w:noProof/>
          <w:sz w:val="24"/>
          <w:szCs w:val="24"/>
        </w:rPr>
        <w:t>nergię ze źródeł odnawialnych, sieci energetyczne</w:t>
      </w:r>
      <w:r w:rsidR="00D928C3">
        <w:rPr>
          <w:rFonts w:ascii="Times New Roman" w:hAnsi="Times New Roman"/>
          <w:noProof/>
          <w:sz w:val="24"/>
          <w:szCs w:val="24"/>
        </w:rPr>
        <w:t xml:space="preserve"> i efe</w:t>
      </w:r>
      <w:r>
        <w:rPr>
          <w:rFonts w:ascii="Times New Roman" w:hAnsi="Times New Roman"/>
          <w:noProof/>
          <w:sz w:val="24"/>
          <w:szCs w:val="24"/>
        </w:rPr>
        <w:t>ktywność energetyczną,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3</w:t>
      </w:r>
      <w:r>
        <w:rPr>
          <w:rFonts w:ascii="Times New Roman" w:hAnsi="Times New Roman"/>
          <w:noProof/>
          <w:sz w:val="24"/>
          <w:szCs w:val="24"/>
        </w:rPr>
        <w:t>5 % – na mobilność zgodną</w:t>
      </w:r>
      <w:r w:rsidR="00D928C3">
        <w:rPr>
          <w:rFonts w:ascii="Times New Roman" w:hAnsi="Times New Roman"/>
          <w:noProof/>
          <w:sz w:val="24"/>
          <w:szCs w:val="24"/>
        </w:rPr>
        <w:t xml:space="preserve"> z zas</w:t>
      </w:r>
      <w:r>
        <w:rPr>
          <w:rFonts w:ascii="Times New Roman" w:hAnsi="Times New Roman"/>
          <w:noProof/>
          <w:sz w:val="24"/>
          <w:szCs w:val="24"/>
        </w:rPr>
        <w:t xml:space="preserve">adami zrównoważonego rozwoju. Tym samym RRP już teraz mogą pomóc państwom członkowskim osiągnąć bardziej ambitne cele </w:t>
      </w:r>
      <w:r w:rsidRPr="00D928C3">
        <w:rPr>
          <w:rFonts w:ascii="Times New Roman" w:hAnsi="Times New Roman"/>
          <w:noProof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Komisja włączyła techniczne kryteria kwalifikacji określone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uni</w:t>
      </w:r>
      <w:r>
        <w:rPr>
          <w:rFonts w:ascii="Times New Roman" w:hAnsi="Times New Roman"/>
          <w:noProof/>
          <w:sz w:val="24"/>
          <w:szCs w:val="24"/>
        </w:rPr>
        <w:t>jnej systematyce dotyczącej zrównoważonego rozwoju tam, gdzie było to wykonalne, aby monitorować wydatki klimatyczne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>ach RRF</w:t>
      </w:r>
      <w:r w:rsidR="00D928C3">
        <w:rPr>
          <w:rFonts w:ascii="Times New Roman" w:hAnsi="Times New Roman"/>
          <w:noProof/>
          <w:sz w:val="24"/>
          <w:szCs w:val="24"/>
        </w:rPr>
        <w:t xml:space="preserve"> i fun</w:t>
      </w:r>
      <w:r>
        <w:rPr>
          <w:rFonts w:ascii="Times New Roman" w:hAnsi="Times New Roman"/>
          <w:noProof/>
          <w:sz w:val="24"/>
          <w:szCs w:val="24"/>
        </w:rPr>
        <w:t>duszy strukturalnych</w:t>
      </w:r>
      <w:r w:rsidR="00D928C3">
        <w:rPr>
          <w:rFonts w:ascii="Times New Roman" w:hAnsi="Times New Roman"/>
          <w:noProof/>
          <w:sz w:val="24"/>
          <w:szCs w:val="24"/>
        </w:rPr>
        <w:t>. W prz</w:t>
      </w:r>
      <w:r>
        <w:rPr>
          <w:rFonts w:ascii="Times New Roman" w:hAnsi="Times New Roman"/>
          <w:noProof/>
          <w:sz w:val="24"/>
          <w:szCs w:val="24"/>
        </w:rPr>
        <w:t>yjętych we wrześniu 20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ramach dotyczących obligacji ekologicznych NGEU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76"/>
      </w:r>
      <w:r>
        <w:rPr>
          <w:rFonts w:ascii="Times New Roman" w:hAnsi="Times New Roman"/>
          <w:noProof/>
          <w:sz w:val="24"/>
          <w:szCs w:val="24"/>
        </w:rPr>
        <w:t xml:space="preserve"> przewidziano niezbędne gwarancje, że zyski zostaną przeznaczone na sfinansowanie zielonych inwestycji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inw</w:t>
      </w:r>
      <w:r>
        <w:rPr>
          <w:rFonts w:ascii="Times New Roman" w:hAnsi="Times New Roman"/>
          <w:noProof/>
          <w:sz w:val="24"/>
          <w:szCs w:val="24"/>
        </w:rPr>
        <w:t>estycji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edzinie klimatu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>ach RRF.</w:t>
      </w:r>
    </w:p>
    <w:p w14:paraId="723B43DE" w14:textId="77777777" w:rsidR="00DF6261" w:rsidRPr="00495651" w:rsidRDefault="00DF6261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Oczekuje się, że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w ram</w:t>
      </w:r>
      <w:r>
        <w:rPr>
          <w:rFonts w:ascii="Times New Roman" w:hAnsi="Times New Roman"/>
          <w:b/>
          <w:noProof/>
          <w:sz w:val="24"/>
          <w:szCs w:val="24"/>
        </w:rPr>
        <w:t>ach mechanizmu sprawiedliwej transformacji uruchomionych zostanie około 55 mld EUR</w:t>
      </w:r>
      <w:r>
        <w:rPr>
          <w:rFonts w:ascii="Times New Roman" w:hAnsi="Times New Roman"/>
          <w:noProof/>
          <w:sz w:val="24"/>
          <w:szCs w:val="24"/>
        </w:rPr>
        <w:t xml:space="preserve"> (w latach 2021–2027)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prz</w:t>
      </w:r>
      <w:r>
        <w:rPr>
          <w:rFonts w:ascii="Times New Roman" w:hAnsi="Times New Roman"/>
          <w:noProof/>
          <w:sz w:val="24"/>
          <w:szCs w:val="24"/>
        </w:rPr>
        <w:t>eznaczeniem na inwestycje,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sam</w:t>
      </w:r>
      <w:r>
        <w:rPr>
          <w:rFonts w:ascii="Times New Roman" w:hAnsi="Times New Roman"/>
          <w:noProof/>
          <w:sz w:val="24"/>
          <w:szCs w:val="24"/>
        </w:rPr>
        <w:t xml:space="preserve"> mechanizm będzie składał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z trz</w:t>
      </w:r>
      <w:r>
        <w:rPr>
          <w:rFonts w:ascii="Times New Roman" w:hAnsi="Times New Roman"/>
          <w:noProof/>
          <w:sz w:val="24"/>
          <w:szCs w:val="24"/>
        </w:rPr>
        <w:t xml:space="preserve">ech filarów: </w:t>
      </w:r>
    </w:p>
    <w:p w14:paraId="66A79E2C" w14:textId="77777777" w:rsidR="00DF6261" w:rsidRPr="00930FF3" w:rsidRDefault="00DF6261" w:rsidP="00B7742C">
      <w:pPr>
        <w:pStyle w:val="Akapitzlist"/>
        <w:numPr>
          <w:ilvl w:val="0"/>
          <w:numId w:val="21"/>
        </w:numPr>
        <w:spacing w:before="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Funduszu na rzecz Sprawiedliwej Transformacji</w:t>
      </w:r>
      <w:r w:rsidR="00D928C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928C3">
        <w:rPr>
          <w:rFonts w:ascii="Times New Roman" w:hAnsi="Times New Roman"/>
          <w:noProof/>
          <w:sz w:val="24"/>
          <w:szCs w:val="24"/>
        </w:rPr>
        <w:t>o</w:t>
      </w:r>
      <w:r w:rsidR="00D928C3">
        <w:rPr>
          <w:rFonts w:ascii="Times New Roman" w:hAnsi="Times New Roman"/>
          <w:b/>
          <w:noProof/>
          <w:sz w:val="24"/>
          <w:szCs w:val="24"/>
        </w:rPr>
        <w:t> </w:t>
      </w:r>
      <w:r w:rsidR="00D928C3">
        <w:rPr>
          <w:rFonts w:ascii="Times New Roman" w:hAnsi="Times New Roman"/>
          <w:noProof/>
          <w:sz w:val="24"/>
          <w:szCs w:val="24"/>
        </w:rPr>
        <w:t>war</w:t>
      </w:r>
      <w:r>
        <w:rPr>
          <w:rFonts w:ascii="Times New Roman" w:hAnsi="Times New Roman"/>
          <w:noProof/>
          <w:sz w:val="24"/>
          <w:szCs w:val="24"/>
        </w:rPr>
        <w:t>tości co najmniej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25 mld EUR; </w:t>
      </w:r>
    </w:p>
    <w:p w14:paraId="476BE802" w14:textId="77777777" w:rsidR="001953C7" w:rsidRPr="00B7742C" w:rsidRDefault="00175529" w:rsidP="00B7742C">
      <w:pPr>
        <w:pStyle w:val="Akapitzlist"/>
        <w:numPr>
          <w:ilvl w:val="0"/>
          <w:numId w:val="21"/>
        </w:numPr>
        <w:spacing w:before="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S</w:t>
      </w:r>
      <w:r w:rsidR="00DF6261">
        <w:rPr>
          <w:rFonts w:ascii="Times New Roman" w:hAnsi="Times New Roman"/>
          <w:b/>
          <w:noProof/>
          <w:sz w:val="24"/>
          <w:szCs w:val="24"/>
        </w:rPr>
        <w:t>ystemu sprawiedliwej transformacji InvestEU</w:t>
      </w:r>
      <w:r w:rsidR="00DF6261">
        <w:rPr>
          <w:rFonts w:ascii="Times New Roman" w:hAnsi="Times New Roman"/>
          <w:noProof/>
          <w:sz w:val="24"/>
          <w:szCs w:val="24"/>
        </w:rPr>
        <w:t xml:space="preserve"> – gwarancji budżetowej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 w:rsidR="00DF6261">
        <w:rPr>
          <w:rFonts w:ascii="Times New Roman" w:hAnsi="Times New Roman"/>
          <w:noProof/>
          <w:sz w:val="24"/>
          <w:szCs w:val="24"/>
        </w:rPr>
        <w:t>ach programu InvestEU służącej uruchomieniu inwestycji prywatnych;</w:t>
      </w:r>
    </w:p>
    <w:p w14:paraId="11B06F65" w14:textId="77777777" w:rsidR="00DF6261" w:rsidRPr="00346E84" w:rsidRDefault="00175529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I</w:t>
      </w:r>
      <w:r w:rsidR="00DF6261">
        <w:rPr>
          <w:rFonts w:ascii="Times New Roman" w:hAnsi="Times New Roman"/>
          <w:b/>
          <w:noProof/>
          <w:sz w:val="24"/>
          <w:szCs w:val="24"/>
        </w:rPr>
        <w:t>nstrumentu pożyczkowego na rzecz sektora publicznego</w:t>
      </w:r>
      <w:r w:rsidR="00DF6261">
        <w:rPr>
          <w:rFonts w:ascii="Times New Roman" w:hAnsi="Times New Roman"/>
          <w:noProof/>
          <w:sz w:val="24"/>
          <w:szCs w:val="24"/>
        </w:rPr>
        <w:t>, obejmującego dotacje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bud</w:t>
      </w:r>
      <w:r w:rsidR="00DF6261">
        <w:rPr>
          <w:rFonts w:ascii="Times New Roman" w:hAnsi="Times New Roman"/>
          <w:noProof/>
          <w:sz w:val="24"/>
          <w:szCs w:val="24"/>
        </w:rPr>
        <w:t>żetu UE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wys</w:t>
      </w:r>
      <w:r w:rsidR="00DF6261">
        <w:rPr>
          <w:rFonts w:ascii="Times New Roman" w:hAnsi="Times New Roman"/>
          <w:noProof/>
          <w:sz w:val="24"/>
          <w:szCs w:val="24"/>
        </w:rPr>
        <w:t>okości 1,5 mld EUR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poż</w:t>
      </w:r>
      <w:r w:rsidR="00DF6261">
        <w:rPr>
          <w:rFonts w:ascii="Times New Roman" w:hAnsi="Times New Roman"/>
          <w:noProof/>
          <w:sz w:val="24"/>
          <w:szCs w:val="24"/>
        </w:rPr>
        <w:t>yczki</w:t>
      </w:r>
      <w:r w:rsidR="00D928C3">
        <w:rPr>
          <w:rFonts w:ascii="Times New Roman" w:hAnsi="Times New Roman"/>
          <w:noProof/>
          <w:sz w:val="24"/>
          <w:szCs w:val="24"/>
        </w:rPr>
        <w:t xml:space="preserve"> z Eur</w:t>
      </w:r>
      <w:r w:rsidR="00DF6261">
        <w:rPr>
          <w:rFonts w:ascii="Times New Roman" w:hAnsi="Times New Roman"/>
          <w:noProof/>
          <w:sz w:val="24"/>
          <w:szCs w:val="24"/>
        </w:rPr>
        <w:t>opejskiego Banku Inwestycyjnego (EBI)</w:t>
      </w:r>
      <w:r w:rsidR="00D928C3">
        <w:rPr>
          <w:rFonts w:ascii="Times New Roman" w:hAnsi="Times New Roman"/>
          <w:noProof/>
          <w:sz w:val="24"/>
          <w:szCs w:val="24"/>
        </w:rPr>
        <w:t xml:space="preserve"> w wys</w:t>
      </w:r>
      <w:r w:rsidR="00DF6261">
        <w:rPr>
          <w:rFonts w:ascii="Times New Roman" w:hAnsi="Times New Roman"/>
          <w:noProof/>
          <w:sz w:val="24"/>
          <w:szCs w:val="24"/>
        </w:rPr>
        <w:t>okości 10 mld EUR służące uruchomieniu inwestycji publicznych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o war</w:t>
      </w:r>
      <w:r w:rsidR="00DF6261">
        <w:rPr>
          <w:rFonts w:ascii="Times New Roman" w:hAnsi="Times New Roman"/>
          <w:noProof/>
          <w:sz w:val="24"/>
          <w:szCs w:val="24"/>
        </w:rPr>
        <w:t xml:space="preserve">tości około 18 mld EUR. </w:t>
      </w:r>
    </w:p>
    <w:p w14:paraId="38AE20ED" w14:textId="77777777" w:rsidR="00C043B2" w:rsidRPr="006520D9" w:rsidRDefault="00C043B2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0B31F686" w14:textId="77777777" w:rsidR="00C5179C" w:rsidRDefault="00DF6261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Od 20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częściami różnych programów UE, które przyczyniają się do realizacji założeń Europejskiego Zielonego Ładu, takimi jak instrument „Łącząc Europę”, program „Horyzont Europa”, fundusz innowacyjny, program LIFE, instrument pożyczkowy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>ach mechanizmu sprawiedliwej transformacji itp., będzie zarządzał jeden podmiot – Europejska Agencja Wykonawcza ds. Klimatu, Środowiska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Inf</w:t>
      </w:r>
      <w:r>
        <w:rPr>
          <w:rFonts w:ascii="Times New Roman" w:hAnsi="Times New Roman"/>
          <w:noProof/>
          <w:sz w:val="24"/>
          <w:szCs w:val="24"/>
        </w:rPr>
        <w:t>rastruktury (CINEA).</w:t>
      </w:r>
    </w:p>
    <w:p w14:paraId="16CB1EAA" w14:textId="77777777" w:rsidR="007446DD" w:rsidRDefault="007446DD">
      <w:pPr>
        <w:pStyle w:val="Akapitzlist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09642B24" w14:textId="77777777" w:rsidR="007446DD" w:rsidRPr="006702FB" w:rsidDel="00C5179C" w:rsidRDefault="007446DD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2D7AD36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 xml:space="preserve">Wykorzystanie przez państwa członkowskie dochodów ze sprzedaży uprawnień EU ETS na aukcji </w:t>
      </w:r>
    </w:p>
    <w:p w14:paraId="071CE61C" w14:textId="77777777" w:rsidR="00113E38" w:rsidRPr="006520D9" w:rsidRDefault="002015D8" w:rsidP="00B7742C">
      <w:pPr>
        <w:spacing w:before="0"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Wraz ze znacznym wzrostem opłaty za emisję gazów cieplarnianych </w:t>
      </w:r>
      <w:r w:rsidRPr="00D928C3">
        <w:rPr>
          <w:rFonts w:ascii="Times New Roman" w:hAnsi="Times New Roman"/>
          <w:noProof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>. etapie odpowiednio wzrosły również dochody</w:t>
      </w:r>
      <w:r w:rsidR="00D928C3">
        <w:rPr>
          <w:rFonts w:ascii="Times New Roman" w:hAnsi="Times New Roman"/>
          <w:noProof/>
          <w:sz w:val="24"/>
          <w:szCs w:val="24"/>
        </w:rPr>
        <w:t xml:space="preserve"> z auk</w:t>
      </w:r>
      <w:r>
        <w:rPr>
          <w:rFonts w:ascii="Times New Roman" w:hAnsi="Times New Roman"/>
          <w:noProof/>
          <w:sz w:val="24"/>
          <w:szCs w:val="24"/>
        </w:rPr>
        <w:t>cji –</w:t>
      </w:r>
      <w:r w:rsidR="00D928C3">
        <w:rPr>
          <w:rFonts w:ascii="Times New Roman" w:hAnsi="Times New Roman"/>
          <w:noProof/>
          <w:sz w:val="24"/>
          <w:szCs w:val="24"/>
        </w:rPr>
        <w:t xml:space="preserve"> z 3</w:t>
      </w:r>
      <w:r>
        <w:rPr>
          <w:rFonts w:ascii="Times New Roman" w:hAnsi="Times New Roman"/>
          <w:noProof/>
          <w:sz w:val="24"/>
          <w:szCs w:val="24"/>
        </w:rPr>
        <w:t>,1 mld EUR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13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4,4 mld EUR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w UE-27. Na podstawie rocznych sprawozdań szacuje się, że na cele związane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kli</w:t>
      </w:r>
      <w:r>
        <w:rPr>
          <w:rFonts w:ascii="Times New Roman" w:hAnsi="Times New Roman"/>
          <w:noProof/>
          <w:sz w:val="24"/>
          <w:szCs w:val="24"/>
        </w:rPr>
        <w:t>matem</w:t>
      </w:r>
      <w:r w:rsidR="00D928C3">
        <w:rPr>
          <w:rFonts w:ascii="Times New Roman" w:hAnsi="Times New Roman"/>
          <w:noProof/>
          <w:sz w:val="24"/>
          <w:szCs w:val="24"/>
        </w:rPr>
        <w:t xml:space="preserve"> i ene</w:t>
      </w:r>
      <w:r>
        <w:rPr>
          <w:rFonts w:ascii="Times New Roman" w:hAnsi="Times New Roman"/>
          <w:noProof/>
          <w:sz w:val="24"/>
          <w:szCs w:val="24"/>
        </w:rPr>
        <w:t>rgią na etapie 3. wykorzystano 7</w:t>
      </w:r>
      <w:r w:rsidRPr="00D928C3">
        <w:rPr>
          <w:rFonts w:ascii="Times New Roman" w:hAnsi="Times New Roman"/>
          <w:noProof/>
          <w:sz w:val="24"/>
          <w:szCs w:val="24"/>
        </w:rPr>
        <w:t>5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całkowitych dochodów (56,5 mld EUR), 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– 7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 w:rsidR="00D928C3">
        <w:rPr>
          <w:rFonts w:ascii="Times New Roman" w:hAnsi="Times New Roman"/>
          <w:noProof/>
          <w:sz w:val="24"/>
          <w:szCs w:val="24"/>
        </w:rPr>
        <w:t>. W pra</w:t>
      </w:r>
      <w:r>
        <w:rPr>
          <w:rFonts w:ascii="Times New Roman" w:hAnsi="Times New Roman"/>
          <w:noProof/>
          <w:sz w:val="24"/>
          <w:szCs w:val="24"/>
        </w:rPr>
        <w:t>ktyce państwa członkowskie wydają więcej na zmianę klimatu</w:t>
      </w:r>
      <w:r w:rsidR="00D928C3">
        <w:rPr>
          <w:rFonts w:ascii="Times New Roman" w:hAnsi="Times New Roman"/>
          <w:noProof/>
          <w:sz w:val="24"/>
          <w:szCs w:val="24"/>
        </w:rPr>
        <w:t xml:space="preserve"> i ene</w:t>
      </w:r>
      <w:r>
        <w:rPr>
          <w:rFonts w:ascii="Times New Roman" w:hAnsi="Times New Roman"/>
          <w:noProof/>
          <w:sz w:val="24"/>
          <w:szCs w:val="24"/>
        </w:rPr>
        <w:t>rgię niż wynoszą ich dochody</w:t>
      </w:r>
      <w:r w:rsidR="00D928C3">
        <w:rPr>
          <w:rFonts w:ascii="Times New Roman" w:hAnsi="Times New Roman"/>
          <w:noProof/>
          <w:sz w:val="24"/>
          <w:szCs w:val="24"/>
        </w:rPr>
        <w:t xml:space="preserve"> z auk</w:t>
      </w:r>
      <w:r>
        <w:rPr>
          <w:rFonts w:ascii="Times New Roman" w:hAnsi="Times New Roman"/>
          <w:noProof/>
          <w:sz w:val="24"/>
          <w:szCs w:val="24"/>
        </w:rPr>
        <w:t>cji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footnoteReference w:id="77"/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7AB46C74" w14:textId="77777777" w:rsidR="00113E38" w:rsidRPr="00B7742C" w:rsidRDefault="00820779" w:rsidP="00B7742C">
      <w:pPr>
        <w:spacing w:line="240" w:lineRule="auto"/>
        <w:jc w:val="both"/>
        <w:rPr>
          <w:b/>
          <w:noProof/>
          <w:sz w:val="20"/>
          <w:szCs w:val="20"/>
        </w:rPr>
      </w:pPr>
      <w:r w:rsidRPr="001E1C81">
        <w:rPr>
          <w:noProof/>
          <w:lang w:eastAsia="pl-PL"/>
        </w:rPr>
        <w:drawing>
          <wp:inline distT="0" distB="0" distL="0" distR="0" wp14:anchorId="15141385" wp14:editId="3E3D9349">
            <wp:extent cx="5731510" cy="2672715"/>
            <wp:effectExtent l="0" t="0" r="254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1C4">
        <w:rPr>
          <w:b/>
          <w:noProof/>
          <w:sz w:val="20"/>
          <w:szCs w:val="20"/>
        </w:rPr>
        <w:t xml:space="preserve">Wykres </w:t>
      </w:r>
      <w:r w:rsidR="004321C4">
        <w:rPr>
          <w:b/>
          <w:bCs/>
          <w:noProof/>
          <w:sz w:val="20"/>
          <w:szCs w:val="20"/>
        </w:rPr>
        <w:t>9</w:t>
      </w:r>
      <w:r w:rsidR="004321C4">
        <w:rPr>
          <w:b/>
          <w:noProof/>
          <w:sz w:val="20"/>
          <w:szCs w:val="20"/>
        </w:rPr>
        <w:t>: Dochody</w:t>
      </w:r>
      <w:r w:rsidR="00D928C3">
        <w:rPr>
          <w:b/>
          <w:noProof/>
          <w:sz w:val="20"/>
          <w:szCs w:val="20"/>
        </w:rPr>
        <w:t xml:space="preserve"> z auk</w:t>
      </w:r>
      <w:r w:rsidR="004321C4">
        <w:rPr>
          <w:b/>
          <w:noProof/>
          <w:sz w:val="20"/>
          <w:szCs w:val="20"/>
        </w:rPr>
        <w:t>cji</w:t>
      </w:r>
      <w:r w:rsidR="00D928C3">
        <w:rPr>
          <w:b/>
          <w:noProof/>
          <w:sz w:val="20"/>
          <w:szCs w:val="20"/>
        </w:rPr>
        <w:t xml:space="preserve"> i ich</w:t>
      </w:r>
      <w:r w:rsidR="004321C4">
        <w:rPr>
          <w:b/>
          <w:noProof/>
          <w:sz w:val="20"/>
          <w:szCs w:val="20"/>
        </w:rPr>
        <w:t xml:space="preserve"> zgłaszane wykorzystanie (mld EUR)</w:t>
      </w:r>
      <w:r w:rsidR="00D928C3">
        <w:rPr>
          <w:b/>
          <w:noProof/>
          <w:sz w:val="20"/>
          <w:szCs w:val="20"/>
        </w:rPr>
        <w:t xml:space="preserve"> w lat</w:t>
      </w:r>
      <w:r w:rsidR="004321C4">
        <w:rPr>
          <w:b/>
          <w:noProof/>
          <w:sz w:val="20"/>
          <w:szCs w:val="20"/>
        </w:rPr>
        <w:t>ach 2013–2020, UE-27</w:t>
      </w:r>
    </w:p>
    <w:p w14:paraId="76B18564" w14:textId="77777777" w:rsidR="00AE4C2E" w:rsidRPr="00D928C3" w:rsidRDefault="00113E38" w:rsidP="00B7742C">
      <w:pPr>
        <w:spacing w:after="120" w:line="240" w:lineRule="auto"/>
        <w:jc w:val="both"/>
        <w:rPr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t>Na 3. etapie dodatkowe roczne dochody wynikające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ros</w:t>
      </w:r>
      <w:r>
        <w:rPr>
          <w:rFonts w:ascii="Times New Roman" w:hAnsi="Times New Roman"/>
          <w:noProof/>
          <w:sz w:val="24"/>
          <w:szCs w:val="24"/>
        </w:rPr>
        <w:t>nących opłat za emisję gazów cieplarnianych były przeznaczane głównie na wydatki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pos</w:t>
      </w:r>
      <w:r>
        <w:rPr>
          <w:rFonts w:ascii="Times New Roman" w:hAnsi="Times New Roman"/>
          <w:noProof/>
          <w:sz w:val="24"/>
          <w:szCs w:val="24"/>
        </w:rPr>
        <w:t>zczególnych krajach, natomiast zgłoszone roczne wydatki międzynarodowe utrzymywały się na całkiem stabilnym poziomie (</w:t>
      </w:r>
      <w:r w:rsidRPr="00D928C3">
        <w:rPr>
          <w:rFonts w:ascii="Times New Roman" w:hAnsi="Times New Roman"/>
          <w:noProof/>
          <w:sz w:val="24"/>
          <w:szCs w:val="24"/>
        </w:rPr>
        <w:t>ok.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00–200 mln EUR rocznie). Te ostatnie były kierowane za pośrednictwem funduszy</w:t>
      </w:r>
      <w:r w:rsidR="00D928C3">
        <w:rPr>
          <w:rFonts w:ascii="Times New Roman" w:hAnsi="Times New Roman"/>
          <w:noProof/>
          <w:sz w:val="24"/>
          <w:szCs w:val="24"/>
        </w:rPr>
        <w:t xml:space="preserve"> i ins</w:t>
      </w:r>
      <w:r>
        <w:rPr>
          <w:rFonts w:ascii="Times New Roman" w:hAnsi="Times New Roman"/>
          <w:noProof/>
          <w:sz w:val="24"/>
          <w:szCs w:val="24"/>
        </w:rPr>
        <w:t xml:space="preserve">tytucji wielostronnych przede wszystkim do krajów rozwijających się. Na wykresie 10 przedstawiono wydatkowanie zgłoszonych dochodów </w:t>
      </w:r>
      <w:r w:rsidRPr="00D928C3">
        <w:rPr>
          <w:rFonts w:ascii="Times New Roman" w:hAnsi="Times New Roman"/>
          <w:noProof/>
          <w:sz w:val="24"/>
          <w:szCs w:val="24"/>
        </w:rPr>
        <w:t>od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13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="00D928C3" w:rsidRPr="00D928C3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35732DC" w14:textId="77777777" w:rsidR="00113E38" w:rsidRPr="00B7742C" w:rsidRDefault="00820779">
      <w:pPr>
        <w:rPr>
          <w:b/>
          <w:noProof/>
          <w:sz w:val="20"/>
          <w:szCs w:val="20"/>
        </w:rPr>
      </w:pPr>
      <w:r w:rsidRPr="0025369D">
        <w:rPr>
          <w:noProof/>
          <w:lang w:eastAsia="pl-PL"/>
        </w:rPr>
        <w:lastRenderedPageBreak/>
        <w:drawing>
          <wp:inline distT="0" distB="0" distL="0" distR="0" wp14:anchorId="5B481ED0" wp14:editId="78D2F810">
            <wp:extent cx="4897755" cy="284416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DA32" w14:textId="77777777" w:rsidR="00113E38" w:rsidRDefault="00113E38" w:rsidP="00B7742C">
      <w:pPr>
        <w:spacing w:line="240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Wykres </w:t>
      </w:r>
      <w:r>
        <w:rPr>
          <w:b/>
          <w:bCs/>
          <w:noProof/>
          <w:sz w:val="20"/>
          <w:szCs w:val="20"/>
        </w:rPr>
        <w:t>10</w:t>
      </w:r>
      <w:r>
        <w:rPr>
          <w:b/>
          <w:noProof/>
          <w:sz w:val="20"/>
          <w:szCs w:val="20"/>
        </w:rPr>
        <w:t>: Udział zgłoszonych dochodów przeznaczonych na wydatki krajowe</w:t>
      </w:r>
      <w:r w:rsidR="00D928C3">
        <w:rPr>
          <w:b/>
          <w:noProof/>
          <w:sz w:val="20"/>
          <w:szCs w:val="20"/>
        </w:rPr>
        <w:t xml:space="preserve"> i mię</w:t>
      </w:r>
      <w:r>
        <w:rPr>
          <w:b/>
          <w:noProof/>
          <w:sz w:val="20"/>
          <w:szCs w:val="20"/>
        </w:rPr>
        <w:t>dzynarodowe na cele związane ze zmianą klimatu</w:t>
      </w:r>
      <w:r w:rsidR="00D928C3">
        <w:rPr>
          <w:b/>
          <w:noProof/>
          <w:sz w:val="20"/>
          <w:szCs w:val="20"/>
        </w:rPr>
        <w:t xml:space="preserve"> i ene</w:t>
      </w:r>
      <w:r>
        <w:rPr>
          <w:b/>
          <w:noProof/>
          <w:sz w:val="20"/>
          <w:szCs w:val="20"/>
        </w:rPr>
        <w:t>rgią</w:t>
      </w:r>
      <w:r w:rsidR="00D928C3">
        <w:rPr>
          <w:b/>
          <w:noProof/>
          <w:sz w:val="20"/>
          <w:szCs w:val="20"/>
        </w:rPr>
        <w:t xml:space="preserve"> w lat</w:t>
      </w:r>
      <w:r>
        <w:rPr>
          <w:b/>
          <w:noProof/>
          <w:sz w:val="20"/>
          <w:szCs w:val="20"/>
        </w:rPr>
        <w:t>ach 2013–2020, UE-27</w:t>
      </w:r>
    </w:p>
    <w:p w14:paraId="202D7374" w14:textId="77777777" w:rsidR="007446DD" w:rsidRPr="00B7742C" w:rsidRDefault="007446DD" w:rsidP="00B7742C">
      <w:pPr>
        <w:spacing w:line="240" w:lineRule="auto"/>
        <w:jc w:val="both"/>
        <w:rPr>
          <w:b/>
          <w:noProof/>
          <w:sz w:val="20"/>
          <w:szCs w:val="20"/>
        </w:rPr>
      </w:pPr>
    </w:p>
    <w:p w14:paraId="0AB2E0F7" w14:textId="77777777" w:rsidR="002015D8" w:rsidRPr="00B7742C" w:rsidRDefault="002015D8" w:rsidP="00B7742C">
      <w:pPr>
        <w:spacing w:before="0" w:after="120" w:line="240" w:lineRule="auto"/>
        <w:jc w:val="both"/>
        <w:rPr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t>Wreszcie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78"/>
      </w:r>
      <w:r>
        <w:rPr>
          <w:rFonts w:ascii="Times New Roman" w:hAnsi="Times New Roman"/>
          <w:noProof/>
          <w:sz w:val="24"/>
          <w:szCs w:val="24"/>
        </w:rPr>
        <w:t>,</w:t>
      </w:r>
      <w:r>
        <w:rPr>
          <w:rStyle w:val="Nagwek2Znak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państwa członkowskie wydały większość swoich zgłoszonych dochodów na bezpośrednie wsparcie, np. na instalację technologii redukujących emisje (takich jak odnawialne źródła energii). </w:t>
      </w:r>
    </w:p>
    <w:p w14:paraId="0B6D2393" w14:textId="77777777" w:rsidR="00113E38" w:rsidRPr="00B7742C" w:rsidRDefault="00820779">
      <w:pPr>
        <w:rPr>
          <w:b/>
          <w:noProof/>
          <w:sz w:val="20"/>
          <w:szCs w:val="20"/>
        </w:rPr>
      </w:pPr>
      <w:r w:rsidRPr="0025369D">
        <w:rPr>
          <w:noProof/>
          <w:lang w:eastAsia="pl-PL"/>
        </w:rPr>
        <w:drawing>
          <wp:inline distT="0" distB="0" distL="0" distR="0" wp14:anchorId="50836A3C" wp14:editId="5C8F5357">
            <wp:extent cx="5731510" cy="3263900"/>
            <wp:effectExtent l="0" t="0" r="254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6896" w14:textId="77777777" w:rsidR="0056125E" w:rsidRDefault="00113E38" w:rsidP="00B7742C">
      <w:pPr>
        <w:spacing w:line="240" w:lineRule="auto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Wykres 11: Zgłoszone udziały</w:t>
      </w:r>
      <w:r w:rsidR="00D928C3">
        <w:rPr>
          <w:b/>
          <w:noProof/>
          <w:sz w:val="20"/>
          <w:szCs w:val="20"/>
        </w:rPr>
        <w:t xml:space="preserve"> w pod</w:t>
      </w:r>
      <w:r>
        <w:rPr>
          <w:b/>
          <w:noProof/>
          <w:sz w:val="20"/>
          <w:szCs w:val="20"/>
        </w:rPr>
        <w:t>ziale na rodzaj wsparcia wydatków na cele związane ze zmianą klimatu</w:t>
      </w:r>
      <w:r w:rsidR="00D928C3">
        <w:rPr>
          <w:b/>
          <w:noProof/>
          <w:sz w:val="20"/>
          <w:szCs w:val="20"/>
        </w:rPr>
        <w:t xml:space="preserve"> i ene</w:t>
      </w:r>
      <w:r>
        <w:rPr>
          <w:b/>
          <w:noProof/>
          <w:sz w:val="20"/>
          <w:szCs w:val="20"/>
        </w:rPr>
        <w:t>rgią</w:t>
      </w:r>
      <w:r w:rsidR="00D928C3">
        <w:rPr>
          <w:b/>
          <w:noProof/>
          <w:sz w:val="20"/>
          <w:szCs w:val="20"/>
        </w:rPr>
        <w:t xml:space="preserve"> w kra</w:t>
      </w:r>
      <w:r>
        <w:rPr>
          <w:b/>
          <w:noProof/>
          <w:sz w:val="20"/>
          <w:szCs w:val="20"/>
        </w:rPr>
        <w:t>ju (w tym planowane)</w:t>
      </w:r>
      <w:r w:rsidR="00D928C3">
        <w:rPr>
          <w:b/>
          <w:noProof/>
          <w:sz w:val="20"/>
          <w:szCs w:val="20"/>
        </w:rPr>
        <w:t xml:space="preserve"> w 2</w:t>
      </w:r>
      <w:r>
        <w:rPr>
          <w:b/>
          <w:noProof/>
          <w:sz w:val="20"/>
          <w:szCs w:val="20"/>
        </w:rPr>
        <w:t>0</w:t>
      </w:r>
      <w:r w:rsidRPr="00D928C3">
        <w:rPr>
          <w:b/>
          <w:noProof/>
          <w:sz w:val="20"/>
          <w:szCs w:val="20"/>
        </w:rPr>
        <w:t>20</w:t>
      </w:r>
      <w:r w:rsidR="00D928C3" w:rsidRPr="00D928C3">
        <w:rPr>
          <w:b/>
          <w:noProof/>
          <w:sz w:val="20"/>
          <w:szCs w:val="20"/>
        </w:rPr>
        <w:t> </w:t>
      </w:r>
      <w:r w:rsidRPr="00D928C3">
        <w:rPr>
          <w:b/>
          <w:noProof/>
          <w:sz w:val="20"/>
          <w:szCs w:val="20"/>
        </w:rPr>
        <w:t>r.</w:t>
      </w:r>
      <w:r>
        <w:rPr>
          <w:b/>
          <w:noProof/>
          <w:sz w:val="20"/>
          <w:szCs w:val="20"/>
        </w:rPr>
        <w:t>, UE-27</w:t>
      </w:r>
    </w:p>
    <w:p w14:paraId="458B2672" w14:textId="77777777" w:rsidR="007446DD" w:rsidRDefault="007446DD" w:rsidP="00B7742C">
      <w:pPr>
        <w:spacing w:line="240" w:lineRule="auto"/>
        <w:jc w:val="both"/>
        <w:rPr>
          <w:b/>
          <w:noProof/>
          <w:sz w:val="20"/>
          <w:szCs w:val="20"/>
        </w:rPr>
      </w:pPr>
    </w:p>
    <w:p w14:paraId="064EC93F" w14:textId="77777777" w:rsidR="007446DD" w:rsidRPr="00B7742C" w:rsidRDefault="007446DD" w:rsidP="00B7742C">
      <w:pPr>
        <w:spacing w:line="240" w:lineRule="auto"/>
        <w:jc w:val="both"/>
        <w:rPr>
          <w:b/>
          <w:noProof/>
          <w:sz w:val="20"/>
          <w:szCs w:val="20"/>
        </w:rPr>
      </w:pPr>
    </w:p>
    <w:p w14:paraId="178B2399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t>Program NER300</w:t>
      </w:r>
    </w:p>
    <w:p w14:paraId="4FE1506A" w14:textId="77777777" w:rsidR="00DF6261" w:rsidRPr="006520D9" w:rsidRDefault="00DF6261">
      <w:pPr>
        <w:spacing w:after="240" w:line="240" w:lineRule="auto"/>
        <w:ind w:right="5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NER300 jest wielkoskalowym programem finansowania projektów demonstracyjnych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 dzi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edzinie innowacyjnych technologii niskoemisyjnych w UE związanych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tec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hnologiami energii odnawialnej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i bez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piecznym dla środowiska wychwytywaniem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i skł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adowaniem dwutlenku węgla na skalę komercyjną. Program ten jest finansowany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mon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etyzacji 300 mln uprawnień do emisji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rez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erwy dla nowych instalacji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 ram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ach etapu 3. systemu handlu emisjami. Łącznie </w:t>
      </w:r>
      <w:r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9 projektów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D928C3">
        <w:rPr>
          <w:rFonts w:ascii="Times New Roman" w:hAnsi="Times New Roman"/>
          <w:noProof/>
          <w:sz w:val="24"/>
          <w:szCs w:val="24"/>
        </w:rPr>
        <w:t>w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 państwach członkowskich przeznaczono środki finansowe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wys</w:t>
      </w:r>
      <w:r>
        <w:rPr>
          <w:rFonts w:ascii="Times New Roman" w:hAnsi="Times New Roman"/>
          <w:noProof/>
          <w:sz w:val="24"/>
          <w:szCs w:val="24"/>
        </w:rPr>
        <w:t xml:space="preserve">okości 2,1 mld EUR. Projekty są obecnie na różnych etapach, </w:t>
      </w:r>
      <w:r w:rsidRPr="00D928C3">
        <w:rPr>
          <w:rFonts w:ascii="Times New Roman" w:hAnsi="Times New Roman"/>
          <w:noProof/>
          <w:sz w:val="24"/>
          <w:szCs w:val="24"/>
        </w:rPr>
        <w:t>ale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3</w:t>
      </w:r>
      <w:r w:rsidR="00D928C3">
        <w:rPr>
          <w:rFonts w:ascii="Times New Roman" w:hAnsi="Times New Roman"/>
          <w:noProof/>
          <w:sz w:val="24"/>
          <w:szCs w:val="24"/>
        </w:rPr>
        <w:t xml:space="preserve"> z nic</w:t>
      </w:r>
      <w:r>
        <w:rPr>
          <w:rFonts w:ascii="Times New Roman" w:hAnsi="Times New Roman"/>
          <w:noProof/>
          <w:sz w:val="24"/>
          <w:szCs w:val="24"/>
        </w:rPr>
        <w:t>h zostały wycofane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pow</w:t>
      </w:r>
      <w:r>
        <w:rPr>
          <w:rFonts w:ascii="Times New Roman" w:hAnsi="Times New Roman"/>
          <w:noProof/>
          <w:sz w:val="24"/>
          <w:szCs w:val="24"/>
        </w:rPr>
        <w:t>odu trudności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zgr</w:t>
      </w:r>
      <w:r>
        <w:rPr>
          <w:rFonts w:ascii="Times New Roman" w:hAnsi="Times New Roman"/>
          <w:noProof/>
          <w:sz w:val="24"/>
          <w:szCs w:val="24"/>
        </w:rPr>
        <w:t xml:space="preserve">omadzeniu wystarczającego kapitału własnego lub przyciągnięciu dodatkowego wsparcia finansowego. </w:t>
      </w:r>
    </w:p>
    <w:p w14:paraId="11D6D651" w14:textId="77777777" w:rsidR="00DF6261" w:rsidRPr="006520D9" w:rsidRDefault="00DF6261">
      <w:pPr>
        <w:spacing w:after="240" w:line="240" w:lineRule="auto"/>
        <w:ind w:right="5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Wycofanie tych projektów wiązało się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uwo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lnieniem niemal 1,5 mld EUR. Zmieniona decyzja dotycząca NER300 umożliwiła reinwestycję niewykorzystanych środków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 kwo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cie 708,7 mln EUR poprzez istniejące instrumenty finansowe. Za sprawą projektów demonstracyjnych InnovFin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 dzi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edzinie energii (InnovFin EDP) oraz dłużnego instrumentu podziału ryzyka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 ram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ach instrumentu „Łącząc Europę”, zarządzanych przez EBI,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fin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ansowania skorzystały kolejne trzy innowacyjne projekty dotyczące ładowania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i mag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azynowania energii oraz produkcji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i dys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trybucji wodoru. Pozostałe niewykorzystane środki zostaną przekazane na fundusz innowacyjny, przy czym 746,6 mln EUR już zostało przesunięte na ten fundusz. To wszystko świadczy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o tym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 że wprowadzony mechanizm łączenia działa skutecznie,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per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spektywą pełnego rozdysponowania niewydanych środków do końca 20</w:t>
      </w:r>
      <w:r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22</w:t>
      </w:r>
      <w:r w:rsidR="00D928C3"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r.</w:t>
      </w:r>
    </w:p>
    <w:p w14:paraId="79E892CD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Fundusz innowacyjny</w:t>
      </w:r>
    </w:p>
    <w:p w14:paraId="6A54B735" w14:textId="77777777" w:rsidR="00DF6261" w:rsidRPr="006520D9" w:rsidRDefault="00DF6261">
      <w:pPr>
        <w:spacing w:after="24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Fundusz jest finansowany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doc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hodów pozyskiwanych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auk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cji 450 mln uprawnień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 lat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ach 2020–2030 oraz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ewe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ntualnych niewykorzystanych środków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z pro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gramu NER300. Pula jego łącznych środków wynosi około 25 mld EUR (przy wysokości opłaty za emisję gazów cieplarnianych na poziomie 50 EUR/tonę) </w:t>
      </w:r>
      <w:r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0</w:t>
      </w:r>
      <w:r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 </w:t>
      </w:r>
      <w:r w:rsidRPr="00D928C3">
        <w:rPr>
          <w:rFonts w:ascii="Times New Roman" w:hAnsi="Times New Roman"/>
          <w:noProof/>
          <w:color w:val="000000" w:themeColor="text1"/>
          <w:sz w:val="24"/>
          <w:szCs w:val="24"/>
        </w:rPr>
        <w:t>r.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i jes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t to największy na świecie program finansowania komercyjnych projektów demonstracyjnych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 dzi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edzinie innowacyjnych technologii niskoemisyjnych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 sek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torach energochłonnych, innowacyjnych rozwiązań</w:t>
      </w:r>
      <w:r w:rsidR="00D928C3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w zak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resie energii odnawialnej, magazynowania energii i CCUS. </w:t>
      </w:r>
    </w:p>
    <w:p w14:paraId="4F056C75" w14:textId="77777777" w:rsidR="00DF6261" w:rsidRPr="006520D9" w:rsidRDefault="00C043B2" w:rsidP="00B7742C">
      <w:pPr>
        <w:pStyle w:val="Nagwek2"/>
        <w:spacing w:before="120" w:after="240" w:line="240" w:lineRule="auto"/>
        <w:rPr>
          <w:b w:val="0"/>
          <w:i w:val="0"/>
          <w:noProof/>
        </w:rPr>
      </w:pPr>
      <w:r>
        <w:rPr>
          <w:b w:val="0"/>
          <w:i w:val="0"/>
          <w:noProof/>
          <w:color w:val="000000" w:themeColor="text1"/>
        </w:rPr>
        <w:t>W 20</w:t>
      </w:r>
      <w:r w:rsidRPr="00D928C3">
        <w:rPr>
          <w:b w:val="0"/>
          <w:i w:val="0"/>
          <w:noProof/>
          <w:color w:val="000000" w:themeColor="text1"/>
        </w:rPr>
        <w:t>20</w:t>
      </w:r>
      <w:r w:rsidR="00D928C3" w:rsidRPr="00D928C3">
        <w:rPr>
          <w:b w:val="0"/>
          <w:i w:val="0"/>
          <w:noProof/>
          <w:color w:val="000000" w:themeColor="text1"/>
        </w:rPr>
        <w:t> </w:t>
      </w:r>
      <w:r w:rsidRPr="00D928C3">
        <w:rPr>
          <w:b w:val="0"/>
          <w:i w:val="0"/>
          <w:noProof/>
          <w:color w:val="000000" w:themeColor="text1"/>
        </w:rPr>
        <w:t>r.</w:t>
      </w:r>
      <w:r>
        <w:rPr>
          <w:b w:val="0"/>
          <w:i w:val="0"/>
          <w:noProof/>
          <w:color w:val="000000" w:themeColor="text1"/>
        </w:rPr>
        <w:t xml:space="preserve"> pierwsze zaproszenie do składania wniosków cieszyło się znacznym zainteresowaniem przedsiębiorstw wszelkich rozmiarów</w:t>
      </w:r>
      <w:r w:rsidR="00D928C3">
        <w:rPr>
          <w:b w:val="0"/>
          <w:i w:val="0"/>
          <w:noProof/>
          <w:color w:val="000000" w:themeColor="text1"/>
        </w:rPr>
        <w:t xml:space="preserve"> i z roz</w:t>
      </w:r>
      <w:r>
        <w:rPr>
          <w:b w:val="0"/>
          <w:i w:val="0"/>
          <w:noProof/>
          <w:color w:val="000000" w:themeColor="text1"/>
        </w:rPr>
        <w:t>maitych sektorów w UE-27, Islandii</w:t>
      </w:r>
      <w:r w:rsidR="00D928C3">
        <w:rPr>
          <w:b w:val="0"/>
          <w:i w:val="0"/>
          <w:noProof/>
          <w:color w:val="000000" w:themeColor="text1"/>
        </w:rPr>
        <w:t xml:space="preserve"> i Nor</w:t>
      </w:r>
      <w:r>
        <w:rPr>
          <w:b w:val="0"/>
          <w:i w:val="0"/>
          <w:noProof/>
          <w:color w:val="000000" w:themeColor="text1"/>
        </w:rPr>
        <w:t>wegii</w:t>
      </w:r>
      <w:r w:rsidR="00D928C3">
        <w:rPr>
          <w:b w:val="0"/>
          <w:i w:val="0"/>
          <w:noProof/>
          <w:color w:val="000000" w:themeColor="text1"/>
        </w:rPr>
        <w:t>. W kat</w:t>
      </w:r>
      <w:r>
        <w:rPr>
          <w:b w:val="0"/>
          <w:i w:val="0"/>
          <w:noProof/>
          <w:color w:val="000000" w:themeColor="text1"/>
        </w:rPr>
        <w:t>egorii projektów na małą skalę wybrano 32 projekty,</w:t>
      </w:r>
      <w:r w:rsidR="00D928C3">
        <w:rPr>
          <w:b w:val="0"/>
          <w:i w:val="0"/>
          <w:noProof/>
          <w:color w:val="000000" w:themeColor="text1"/>
        </w:rPr>
        <w:t xml:space="preserve"> a ich</w:t>
      </w:r>
      <w:r>
        <w:rPr>
          <w:b w:val="0"/>
          <w:i w:val="0"/>
          <w:noProof/>
          <w:color w:val="000000" w:themeColor="text1"/>
        </w:rPr>
        <w:t xml:space="preserve"> autorów zaproszono do przygotowania wniosków</w:t>
      </w:r>
      <w:r w:rsidR="00D928C3">
        <w:rPr>
          <w:b w:val="0"/>
          <w:i w:val="0"/>
          <w:noProof/>
          <w:color w:val="000000" w:themeColor="text1"/>
        </w:rPr>
        <w:t xml:space="preserve"> o dot</w:t>
      </w:r>
      <w:r>
        <w:rPr>
          <w:b w:val="0"/>
          <w:i w:val="0"/>
          <w:noProof/>
          <w:color w:val="000000" w:themeColor="text1"/>
        </w:rPr>
        <w:t>ację</w:t>
      </w:r>
      <w:r w:rsidR="00D928C3">
        <w:rPr>
          <w:b w:val="0"/>
          <w:i w:val="0"/>
          <w:noProof/>
          <w:color w:val="000000" w:themeColor="text1"/>
        </w:rPr>
        <w:t xml:space="preserve"> o łąc</w:t>
      </w:r>
      <w:r>
        <w:rPr>
          <w:b w:val="0"/>
          <w:i w:val="0"/>
          <w:noProof/>
          <w:color w:val="000000" w:themeColor="text1"/>
        </w:rPr>
        <w:t>znej wartości 118 mln EUR</w:t>
      </w:r>
      <w:r w:rsidR="00D928C3">
        <w:rPr>
          <w:b w:val="0"/>
          <w:i w:val="0"/>
          <w:noProof/>
          <w:color w:val="000000" w:themeColor="text1"/>
        </w:rPr>
        <w:t>. W kat</w:t>
      </w:r>
      <w:r>
        <w:rPr>
          <w:b w:val="0"/>
          <w:i w:val="0"/>
          <w:noProof/>
          <w:color w:val="000000" w:themeColor="text1"/>
        </w:rPr>
        <w:t xml:space="preserve">egorii projektów wielkoskalowych 66 </w:t>
      </w:r>
      <w:r>
        <w:rPr>
          <w:b w:val="0"/>
          <w:i w:val="0"/>
          <w:noProof/>
        </w:rPr>
        <w:t>najlepiej ocenianych projektów (spośród 311 złożonych wniosków) przedstawiło pełne propozycje</w:t>
      </w:r>
      <w:r w:rsidR="00D928C3">
        <w:rPr>
          <w:b w:val="0"/>
          <w:i w:val="0"/>
          <w:noProof/>
        </w:rPr>
        <w:t xml:space="preserve"> o war</w:t>
      </w:r>
      <w:r>
        <w:rPr>
          <w:b w:val="0"/>
          <w:i w:val="0"/>
          <w:noProof/>
        </w:rPr>
        <w:t>tości 6 mld EUR (dla porównania zaproszenie opiewało na łączną kwotę 1 mld EUR)</w:t>
      </w:r>
      <w:r w:rsidR="00D928C3">
        <w:rPr>
          <w:b w:val="0"/>
          <w:i w:val="0"/>
          <w:noProof/>
        </w:rPr>
        <w:t>. Z tyc</w:t>
      </w:r>
      <w:r>
        <w:rPr>
          <w:b w:val="0"/>
          <w:i w:val="0"/>
          <w:noProof/>
        </w:rPr>
        <w:t xml:space="preserve">h projektów wielkoskalowych 15 wytypowano do pomocy na rozwój projektu (4 mln EUR). </w:t>
      </w:r>
    </w:p>
    <w:p w14:paraId="1E1E962E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Fundusz modernizacyjny</w:t>
      </w:r>
    </w:p>
    <w:p w14:paraId="167415BD" w14:textId="77777777" w:rsidR="00DF6261" w:rsidRPr="006520D9" w:rsidRDefault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Fundusz modernizacyjny, który działa </w:t>
      </w:r>
      <w:r w:rsidRPr="00D928C3">
        <w:rPr>
          <w:rFonts w:ascii="Times New Roman" w:hAnsi="Times New Roman"/>
          <w:noProof/>
          <w:sz w:val="24"/>
          <w:szCs w:val="24"/>
        </w:rPr>
        <w:t>od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>, jest jednym</w:t>
      </w:r>
      <w:r w:rsidR="00D928C3">
        <w:rPr>
          <w:rFonts w:ascii="Times New Roman" w:hAnsi="Times New Roman"/>
          <w:noProof/>
          <w:sz w:val="24"/>
          <w:szCs w:val="24"/>
        </w:rPr>
        <w:t xml:space="preserve"> z klu</w:t>
      </w:r>
      <w:r>
        <w:rPr>
          <w:rFonts w:ascii="Times New Roman" w:hAnsi="Times New Roman"/>
          <w:noProof/>
          <w:sz w:val="24"/>
          <w:szCs w:val="24"/>
        </w:rPr>
        <w:t>czowych instrumentów finansowania wspierającym obniżenie emisyjności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1</w:t>
      </w:r>
      <w:r>
        <w:rPr>
          <w:rFonts w:ascii="Times New Roman" w:hAnsi="Times New Roman"/>
          <w:noProof/>
          <w:sz w:val="24"/>
          <w:szCs w:val="24"/>
        </w:rPr>
        <w:t>0 państwach członkowskich</w:t>
      </w:r>
      <w:r w:rsidR="00D928C3">
        <w:rPr>
          <w:rFonts w:ascii="Times New Roman" w:hAnsi="Times New Roman"/>
          <w:noProof/>
          <w:sz w:val="24"/>
          <w:szCs w:val="24"/>
        </w:rPr>
        <w:t xml:space="preserve"> o niż</w:t>
      </w:r>
      <w:r>
        <w:rPr>
          <w:rFonts w:ascii="Times New Roman" w:hAnsi="Times New Roman"/>
          <w:noProof/>
          <w:sz w:val="24"/>
          <w:szCs w:val="24"/>
        </w:rPr>
        <w:t>szym dochodzie,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tym w odn</w:t>
      </w:r>
      <w:r>
        <w:rPr>
          <w:rFonts w:ascii="Times New Roman" w:hAnsi="Times New Roman"/>
          <w:noProof/>
          <w:sz w:val="24"/>
          <w:szCs w:val="24"/>
        </w:rPr>
        <w:t>iesieniu do sprawiedliwej transformacji. Jest on finansowany ze sprzedaży na aukcji ponad 640 mln uprawnień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sys</w:t>
      </w:r>
      <w:r>
        <w:rPr>
          <w:rFonts w:ascii="Times New Roman" w:hAnsi="Times New Roman"/>
          <w:noProof/>
          <w:sz w:val="24"/>
          <w:szCs w:val="24"/>
        </w:rPr>
        <w:t>temie handlu emisjami (2020–2030), co obejmuje dobrowolne przenoszenie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pań</w:t>
      </w:r>
      <w:r>
        <w:rPr>
          <w:rFonts w:ascii="Times New Roman" w:hAnsi="Times New Roman"/>
          <w:noProof/>
          <w:sz w:val="24"/>
          <w:szCs w:val="24"/>
        </w:rPr>
        <w:t>stw członkowskich będących beneficjentami,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jeg</w:t>
      </w:r>
      <w:r>
        <w:rPr>
          <w:rFonts w:ascii="Times New Roman" w:hAnsi="Times New Roman"/>
          <w:noProof/>
          <w:sz w:val="24"/>
          <w:szCs w:val="24"/>
        </w:rPr>
        <w:t xml:space="preserve">o </w:t>
      </w:r>
      <w:r>
        <w:rPr>
          <w:rFonts w:ascii="Times New Roman" w:hAnsi="Times New Roman"/>
          <w:noProof/>
          <w:sz w:val="24"/>
          <w:szCs w:val="24"/>
        </w:rPr>
        <w:lastRenderedPageBreak/>
        <w:t xml:space="preserve">łączna pula środków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wynosi około 31 mld EUR (przy wysokości opłaty za emisję gazów cieplarnianych na poziomie 50 EUR/tonę). </w:t>
      </w:r>
    </w:p>
    <w:p w14:paraId="7E72C1E2" w14:textId="77777777" w:rsidR="00DF6261" w:rsidRPr="006520D9" w:rsidRDefault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pierwszym przeprowadzanym dwa razy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rok</w:t>
      </w:r>
      <w:r>
        <w:rPr>
          <w:rFonts w:ascii="Times New Roman" w:hAnsi="Times New Roman"/>
          <w:noProof/>
          <w:sz w:val="24"/>
          <w:szCs w:val="24"/>
        </w:rPr>
        <w:t>u cyklu wypłat finansowaniem objęto sześć wieloletnich programów</w:t>
      </w:r>
      <w:r w:rsidR="00D928C3">
        <w:rPr>
          <w:rFonts w:ascii="Times New Roman" w:hAnsi="Times New Roman"/>
          <w:noProof/>
          <w:sz w:val="24"/>
          <w:szCs w:val="24"/>
        </w:rPr>
        <w:t xml:space="preserve"> o war</w:t>
      </w:r>
      <w:r>
        <w:rPr>
          <w:rFonts w:ascii="Times New Roman" w:hAnsi="Times New Roman"/>
          <w:noProof/>
          <w:sz w:val="24"/>
          <w:szCs w:val="24"/>
        </w:rPr>
        <w:t>tości 304 mln EUR</w:t>
      </w:r>
      <w:r w:rsidR="00D928C3">
        <w:rPr>
          <w:rFonts w:ascii="Times New Roman" w:hAnsi="Times New Roman"/>
          <w:noProof/>
          <w:sz w:val="24"/>
          <w:szCs w:val="24"/>
        </w:rPr>
        <w:t xml:space="preserve"> w Cze</w:t>
      </w:r>
      <w:r>
        <w:rPr>
          <w:rFonts w:ascii="Times New Roman" w:hAnsi="Times New Roman"/>
          <w:noProof/>
          <w:sz w:val="24"/>
          <w:szCs w:val="24"/>
        </w:rPr>
        <w:t>chach, na Węgrzech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 Pol</w:t>
      </w:r>
      <w:r>
        <w:rPr>
          <w:rFonts w:ascii="Times New Roman" w:hAnsi="Times New Roman"/>
          <w:noProof/>
          <w:sz w:val="24"/>
          <w:szCs w:val="24"/>
        </w:rPr>
        <w:t>sce, ukierunkowanych na odnawialne źródła energii, efektywność energetyczną, inteligentne sieci energetyczne oraz rozwój sieci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spo</w:t>
      </w:r>
      <w:r>
        <w:rPr>
          <w:rFonts w:ascii="Times New Roman" w:hAnsi="Times New Roman"/>
          <w:noProof/>
          <w:sz w:val="24"/>
          <w:szCs w:val="24"/>
        </w:rPr>
        <w:t xml:space="preserve">łeczności energetycznych. </w:t>
      </w:r>
    </w:p>
    <w:p w14:paraId="1384ED38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bookmarkStart w:id="4" w:name="_Toc526502289"/>
      <w:bookmarkStart w:id="5" w:name="_Toc529975168"/>
      <w:r>
        <w:rPr>
          <w:rFonts w:ascii="Times New Roman" w:hAnsi="Times New Roman"/>
          <w:b/>
          <w:i/>
          <w:noProof/>
          <w:sz w:val="24"/>
          <w:szCs w:val="24"/>
        </w:rPr>
        <w:t>Program LIFE</w:t>
      </w:r>
      <w:bookmarkEnd w:id="4"/>
      <w:bookmarkEnd w:id="5"/>
    </w:p>
    <w:p w14:paraId="6D8D4965" w14:textId="77777777" w:rsidR="00DF6261" w:rsidRPr="006520D9" w:rsidRDefault="00DF6261" w:rsidP="00DF6261">
      <w:pPr>
        <w:spacing w:after="240" w:line="240" w:lineRule="auto"/>
        <w:jc w:val="both"/>
        <w:rPr>
          <w:rFonts w:ascii="Times New Roman" w:hAnsi="Times New Roman" w:cs="Times New Roman"/>
          <w:noProof/>
          <w:color w:val="1F497D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Program LIFE to unijny instrument finansowania na rzecz środowiska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dzi</w:t>
      </w:r>
      <w:r>
        <w:rPr>
          <w:rFonts w:ascii="Times New Roman" w:hAnsi="Times New Roman"/>
          <w:noProof/>
          <w:sz w:val="24"/>
          <w:szCs w:val="24"/>
        </w:rPr>
        <w:t>ałań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edzinie klimatu,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>ach którego zapewniane jest współfinansowanie dla projektów</w:t>
      </w:r>
      <w:r w:rsidR="00D928C3">
        <w:rPr>
          <w:rFonts w:ascii="Times New Roman" w:hAnsi="Times New Roman"/>
          <w:noProof/>
          <w:sz w:val="24"/>
          <w:szCs w:val="24"/>
        </w:rPr>
        <w:t xml:space="preserve"> o eur</w:t>
      </w:r>
      <w:r>
        <w:rPr>
          <w:rFonts w:ascii="Times New Roman" w:hAnsi="Times New Roman"/>
          <w:noProof/>
          <w:sz w:val="24"/>
          <w:szCs w:val="24"/>
        </w:rPr>
        <w:t>opejskiej wartości dodanej. Budżet na okres 2021–2027 został znacznie zwiększony do kwoty 5,43</w:t>
      </w:r>
      <w:r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mld EUR przydzielonej na cztery podprogramy:</w:t>
      </w:r>
    </w:p>
    <w:p w14:paraId="60458F8A" w14:textId="77777777" w:rsidR="00DF6261" w:rsidRPr="006520D9" w:rsidRDefault="00820779" w:rsidP="00B7742C">
      <w:pPr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E5DCF">
        <w:rPr>
          <w:noProof/>
          <w:lang w:eastAsia="pl-PL"/>
        </w:rPr>
        <w:drawing>
          <wp:inline distT="0" distB="0" distL="0" distR="0" wp14:anchorId="017D1EC1" wp14:editId="3811860A">
            <wp:extent cx="4579620" cy="275082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0980B" w14:textId="77777777" w:rsidR="00DF6261" w:rsidRPr="006702FB" w:rsidRDefault="00DF6261" w:rsidP="00DF6261">
      <w:pPr>
        <w:pStyle w:val="Legenda"/>
        <w:spacing w:line="240" w:lineRule="auto"/>
        <w:jc w:val="both"/>
        <w:rPr>
          <w:noProof/>
        </w:rPr>
      </w:pPr>
      <w:r>
        <w:rPr>
          <w:noProof/>
        </w:rPr>
        <w:t xml:space="preserve">Wykres 12: Przydział środków budżetowych na program LIFE na lata 2021–2027 (w mld EUR) </w:t>
      </w:r>
    </w:p>
    <w:p w14:paraId="16F5C1F4" w14:textId="77777777" w:rsidR="00DF6261" w:rsidRPr="0011564C" w:rsidRDefault="00DF6261" w:rsidP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Liczba wniosków złożonych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>ach zaproszenia do składania wniosków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pro</w:t>
      </w:r>
      <w:r>
        <w:rPr>
          <w:rFonts w:ascii="Times New Roman" w:hAnsi="Times New Roman"/>
          <w:noProof/>
          <w:sz w:val="24"/>
          <w:szCs w:val="24"/>
        </w:rPr>
        <w:t>gramie LIFE „Działanie na rzecz klimatu”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była znacznie wyższa niż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pop</w:t>
      </w:r>
      <w:r>
        <w:rPr>
          <w:rFonts w:ascii="Times New Roman" w:hAnsi="Times New Roman"/>
          <w:noProof/>
          <w:sz w:val="24"/>
          <w:szCs w:val="24"/>
        </w:rPr>
        <w:t>rzednich latach. Ponadto nowy podprogram „Przejście na czystą energię” bezpośrednio przyczynia się do łagodzenia zmiany klimatu,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wię</w:t>
      </w:r>
      <w:r>
        <w:rPr>
          <w:rFonts w:ascii="Times New Roman" w:hAnsi="Times New Roman"/>
          <w:noProof/>
          <w:sz w:val="24"/>
          <w:szCs w:val="24"/>
        </w:rPr>
        <w:t>kszość projektów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>ach programu LIFE-Środowisko także przynosi powiązane korzyści dla klimatu.</w:t>
      </w:r>
    </w:p>
    <w:p w14:paraId="6D1E6CF4" w14:textId="77777777" w:rsidR="00DF6261" w:rsidRPr="00B7742C" w:rsidRDefault="00DF6261" w:rsidP="00B7742C">
      <w:pPr>
        <w:spacing w:after="240" w:line="240" w:lineRule="auto"/>
        <w:jc w:val="both"/>
        <w:rPr>
          <w:noProof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Instrument Wsparcia Technicznego (TSI)</w:t>
      </w:r>
    </w:p>
    <w:p w14:paraId="4346B923" w14:textId="77777777" w:rsidR="00DF6261" w:rsidRPr="006520D9" w:rsidRDefault="00DF6261" w:rsidP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Dostosowane do potrzeb wsparcie techniczne dla opracowywania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wdr</w:t>
      </w:r>
      <w:r>
        <w:rPr>
          <w:rFonts w:ascii="Times New Roman" w:hAnsi="Times New Roman"/>
          <w:noProof/>
          <w:sz w:val="24"/>
          <w:szCs w:val="24"/>
        </w:rPr>
        <w:t>ażania reform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edzinie klimatu było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dal</w:t>
      </w:r>
      <w:r>
        <w:rPr>
          <w:rFonts w:ascii="Times New Roman" w:hAnsi="Times New Roman"/>
          <w:noProof/>
          <w:sz w:val="24"/>
          <w:szCs w:val="24"/>
        </w:rPr>
        <w:t>szym ciągu rozwijane,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nie</w:t>
      </w:r>
      <w:r>
        <w:rPr>
          <w:rFonts w:ascii="Times New Roman" w:hAnsi="Times New Roman"/>
          <w:noProof/>
          <w:sz w:val="24"/>
          <w:szCs w:val="24"/>
        </w:rPr>
        <w:t>mal co trzeci projekt TSI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dotyczył wsparcia Europejskiego Zielonego Ładu. Niektóre państwa członkowskie otrzymały wsparcie techniczne przy przygotowywaniu swoich RRP, podczas gdy ponad 6</w:t>
      </w:r>
      <w:r w:rsidRPr="00D928C3">
        <w:rPr>
          <w:rFonts w:ascii="Times New Roman" w:hAnsi="Times New Roman"/>
          <w:noProof/>
          <w:sz w:val="24"/>
          <w:szCs w:val="24"/>
        </w:rPr>
        <w:t>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%</w:t>
      </w:r>
      <w:r>
        <w:rPr>
          <w:rFonts w:ascii="Times New Roman" w:hAnsi="Times New Roman"/>
          <w:noProof/>
          <w:sz w:val="24"/>
          <w:szCs w:val="24"/>
        </w:rPr>
        <w:t xml:space="preserve"> projektów TSI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służyło wsparciu realizacji RRP,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tym</w:t>
      </w:r>
      <w:r>
        <w:rPr>
          <w:rFonts w:ascii="Times New Roman" w:hAnsi="Times New Roman"/>
          <w:noProof/>
          <w:sz w:val="24"/>
          <w:szCs w:val="24"/>
        </w:rPr>
        <w:t xml:space="preserve"> wdrażaniu zasady „nie czyń poważnych szkód” lub zielonych komponentów tych planów. W 20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odbyło się szkolenie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zak</w:t>
      </w:r>
      <w:r>
        <w:rPr>
          <w:rFonts w:ascii="Times New Roman" w:hAnsi="Times New Roman"/>
          <w:noProof/>
          <w:sz w:val="24"/>
          <w:szCs w:val="24"/>
        </w:rPr>
        <w:t>resu ekologicznego planowania budżetu,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1</w:t>
      </w:r>
      <w:r>
        <w:rPr>
          <w:rFonts w:ascii="Times New Roman" w:hAnsi="Times New Roman"/>
          <w:noProof/>
          <w:sz w:val="24"/>
          <w:szCs w:val="24"/>
        </w:rPr>
        <w:t>7 państw członkowskich otrzymało pomoc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prz</w:t>
      </w:r>
      <w:r>
        <w:rPr>
          <w:rFonts w:ascii="Times New Roman" w:hAnsi="Times New Roman"/>
          <w:noProof/>
          <w:sz w:val="24"/>
          <w:szCs w:val="24"/>
        </w:rPr>
        <w:t xml:space="preserve">ygotowaniu ich terytorialnych planów sprawiedliwej transformacji. </w:t>
      </w:r>
    </w:p>
    <w:p w14:paraId="0B394E28" w14:textId="77777777" w:rsidR="00671114" w:rsidRPr="006520D9" w:rsidRDefault="00671114">
      <w:pPr>
        <w:spacing w:before="0" w:after="200"/>
        <w:rPr>
          <w:rFonts w:ascii="Times New Roman" w:eastAsiaTheme="majorEastAsia" w:hAnsi="Times New Roman" w:cs="Times New Roman"/>
          <w:b/>
          <w:noProof/>
          <w:sz w:val="24"/>
          <w:szCs w:val="32"/>
        </w:rPr>
      </w:pPr>
      <w:r>
        <w:rPr>
          <w:noProof/>
        </w:rPr>
        <w:br w:type="page"/>
      </w:r>
    </w:p>
    <w:p w14:paraId="30781139" w14:textId="77777777" w:rsidR="00DF6261" w:rsidRPr="006520D9" w:rsidRDefault="00DF6261" w:rsidP="00DF6261">
      <w:pPr>
        <w:pStyle w:val="Nagwek1"/>
        <w:spacing w:before="0" w:after="240" w:line="240" w:lineRule="auto"/>
        <w:ind w:left="714" w:hanging="357"/>
        <w:jc w:val="both"/>
        <w:rPr>
          <w:noProof/>
        </w:rPr>
      </w:pPr>
      <w:r>
        <w:rPr>
          <w:noProof/>
        </w:rPr>
        <w:lastRenderedPageBreak/>
        <w:t>MIĘDZYNARODOWE DZIAŁANIA W DZIEDZINIE KLIMATU</w:t>
      </w:r>
    </w:p>
    <w:p w14:paraId="0939967F" w14:textId="77777777" w:rsidR="003C5E2C" w:rsidRPr="006702FB" w:rsidRDefault="00DF6261" w:rsidP="00B7742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UE nadal dawała innym przykład, jeśli chodzi</w:t>
      </w:r>
      <w:r w:rsidR="00D928C3">
        <w:rPr>
          <w:rFonts w:ascii="Times New Roman" w:hAnsi="Times New Roman"/>
          <w:noProof/>
          <w:sz w:val="24"/>
          <w:szCs w:val="24"/>
        </w:rPr>
        <w:t xml:space="preserve"> o spo</w:t>
      </w:r>
      <w:r>
        <w:rPr>
          <w:rFonts w:ascii="Times New Roman" w:hAnsi="Times New Roman"/>
          <w:noProof/>
          <w:sz w:val="24"/>
          <w:szCs w:val="24"/>
        </w:rPr>
        <w:t xml:space="preserve">soby osiągnięcia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50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neutralności klimatycznej</w:t>
      </w:r>
      <w:r w:rsidR="00D928C3">
        <w:rPr>
          <w:rFonts w:ascii="Times New Roman" w:hAnsi="Times New Roman"/>
          <w:noProof/>
          <w:sz w:val="24"/>
          <w:szCs w:val="24"/>
        </w:rPr>
        <w:t xml:space="preserve"> i odp</w:t>
      </w:r>
      <w:r>
        <w:rPr>
          <w:rFonts w:ascii="Times New Roman" w:hAnsi="Times New Roman"/>
          <w:noProof/>
          <w:sz w:val="24"/>
          <w:szCs w:val="24"/>
        </w:rPr>
        <w:t>orności na zmianę klimatu. Zgodnie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por</w:t>
      </w:r>
      <w:r>
        <w:rPr>
          <w:rFonts w:ascii="Times New Roman" w:hAnsi="Times New Roman"/>
          <w:noProof/>
          <w:sz w:val="24"/>
          <w:szCs w:val="24"/>
        </w:rPr>
        <w:t xml:space="preserve">ozumieniem paryskim UE podniosła swój cel </w:t>
      </w:r>
      <w:r w:rsidRPr="00D928C3">
        <w:rPr>
          <w:rFonts w:ascii="Times New Roman" w:hAnsi="Times New Roman"/>
          <w:noProof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30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prz</w:t>
      </w:r>
      <w:r>
        <w:rPr>
          <w:rFonts w:ascii="Times New Roman" w:hAnsi="Times New Roman"/>
          <w:noProof/>
          <w:sz w:val="24"/>
          <w:szCs w:val="24"/>
        </w:rPr>
        <w:t>edłożyła UNFCCC zaktualizowane, ustalone na poziomie krajowym wkłady. Przy wdrażaniu porozumienia paryskiego UE współpracuje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par</w:t>
      </w:r>
      <w:r>
        <w:rPr>
          <w:rFonts w:ascii="Times New Roman" w:hAnsi="Times New Roman"/>
          <w:noProof/>
          <w:sz w:val="24"/>
          <w:szCs w:val="24"/>
        </w:rPr>
        <w:t>tnerami międzynarodowymi, zachęca do realizacji możliwie najbardziej ambitnych celów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pom</w:t>
      </w:r>
      <w:r>
        <w:rPr>
          <w:rFonts w:ascii="Times New Roman" w:hAnsi="Times New Roman"/>
          <w:noProof/>
          <w:sz w:val="24"/>
          <w:szCs w:val="24"/>
        </w:rPr>
        <w:t>aga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ich</w:t>
      </w:r>
      <w:r>
        <w:rPr>
          <w:rFonts w:ascii="Times New Roman" w:hAnsi="Times New Roman"/>
          <w:noProof/>
          <w:sz w:val="24"/>
          <w:szCs w:val="24"/>
        </w:rPr>
        <w:t xml:space="preserve"> realizacji,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tak</w:t>
      </w:r>
      <w:r>
        <w:rPr>
          <w:rFonts w:ascii="Times New Roman" w:hAnsi="Times New Roman"/>
          <w:noProof/>
          <w:sz w:val="24"/>
          <w:szCs w:val="24"/>
        </w:rPr>
        <w:t>że wykazuje się solidarnością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prz</w:t>
      </w:r>
      <w:r>
        <w:rPr>
          <w:rFonts w:ascii="Times New Roman" w:hAnsi="Times New Roman"/>
          <w:noProof/>
          <w:sz w:val="24"/>
          <w:szCs w:val="24"/>
        </w:rPr>
        <w:t>eciwdziałaniu skutkom zmiany klimatu. Po UE ponad 50 innych krajów, reprezentujących ponad połowę światowej gospodarki, zobowiązało się do osiągnięcia zerowych emisji netto do około połowy stulecia,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tym</w:t>
      </w:r>
      <w:r>
        <w:rPr>
          <w:rFonts w:ascii="Times New Roman" w:hAnsi="Times New Roman"/>
          <w:noProof/>
          <w:sz w:val="24"/>
          <w:szCs w:val="24"/>
        </w:rPr>
        <w:t xml:space="preserve"> Chiny, Stany Zjednoczone</w:t>
      </w:r>
      <w:r w:rsidR="00D928C3">
        <w:rPr>
          <w:rFonts w:ascii="Times New Roman" w:hAnsi="Times New Roman"/>
          <w:noProof/>
          <w:sz w:val="24"/>
          <w:szCs w:val="24"/>
        </w:rPr>
        <w:t xml:space="preserve"> i Jap</w:t>
      </w:r>
      <w:r>
        <w:rPr>
          <w:rFonts w:ascii="Times New Roman" w:hAnsi="Times New Roman"/>
          <w:noProof/>
          <w:sz w:val="24"/>
          <w:szCs w:val="24"/>
        </w:rPr>
        <w:t>onia</w:t>
      </w:r>
      <w:r w:rsidR="00D928C3">
        <w:rPr>
          <w:rFonts w:ascii="Times New Roman" w:hAnsi="Times New Roman"/>
          <w:noProof/>
          <w:sz w:val="24"/>
          <w:szCs w:val="24"/>
        </w:rPr>
        <w:t>. W ost</w:t>
      </w:r>
      <w:r>
        <w:rPr>
          <w:rFonts w:ascii="Times New Roman" w:hAnsi="Times New Roman"/>
          <w:noProof/>
          <w:sz w:val="24"/>
          <w:szCs w:val="24"/>
        </w:rPr>
        <w:t>atnich miesiącach UE zainicjowała nowe dialogi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edzinie klimatu</w:t>
      </w:r>
      <w:r w:rsidR="00D928C3">
        <w:rPr>
          <w:rFonts w:ascii="Times New Roman" w:hAnsi="Times New Roman"/>
          <w:noProof/>
          <w:sz w:val="24"/>
          <w:szCs w:val="24"/>
        </w:rPr>
        <w:t xml:space="preserve"> z Ind</w:t>
      </w:r>
      <w:r>
        <w:rPr>
          <w:rFonts w:ascii="Times New Roman" w:hAnsi="Times New Roman"/>
          <w:noProof/>
          <w:sz w:val="24"/>
          <w:szCs w:val="24"/>
        </w:rPr>
        <w:t>iami i USA,</w:t>
      </w:r>
      <w:r w:rsidR="00D928C3">
        <w:rPr>
          <w:rFonts w:ascii="Times New Roman" w:hAnsi="Times New Roman"/>
          <w:noProof/>
          <w:sz w:val="24"/>
          <w:szCs w:val="24"/>
        </w:rPr>
        <w:t xml:space="preserve"> a tak</w:t>
      </w:r>
      <w:r>
        <w:rPr>
          <w:rFonts w:ascii="Times New Roman" w:hAnsi="Times New Roman"/>
          <w:noProof/>
          <w:sz w:val="24"/>
          <w:szCs w:val="24"/>
        </w:rPr>
        <w:t>że zielony sojusz</w:t>
      </w:r>
      <w:r w:rsidR="00D928C3">
        <w:rPr>
          <w:rFonts w:ascii="Times New Roman" w:hAnsi="Times New Roman"/>
          <w:noProof/>
          <w:sz w:val="24"/>
          <w:szCs w:val="24"/>
        </w:rPr>
        <w:t xml:space="preserve"> z Jap</w:t>
      </w:r>
      <w:r>
        <w:rPr>
          <w:rFonts w:ascii="Times New Roman" w:hAnsi="Times New Roman"/>
          <w:noProof/>
          <w:sz w:val="24"/>
          <w:szCs w:val="24"/>
        </w:rPr>
        <w:t xml:space="preserve">onią. </w:t>
      </w:r>
    </w:p>
    <w:p w14:paraId="014F3100" w14:textId="77777777" w:rsidR="00DF6261" w:rsidRPr="006702FB" w:rsidRDefault="00497DF2">
      <w:pPr>
        <w:spacing w:after="24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Bałkany Zachodnie</w:t>
      </w:r>
      <w:r w:rsidR="00D928C3">
        <w:rPr>
          <w:rFonts w:ascii="Times New Roman" w:hAnsi="Times New Roman"/>
          <w:b/>
          <w:i/>
          <w:noProof/>
          <w:sz w:val="24"/>
          <w:szCs w:val="24"/>
        </w:rPr>
        <w:t xml:space="preserve"> i kra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je objęte europejską polityką sąsiedztwa </w:t>
      </w:r>
    </w:p>
    <w:p w14:paraId="56177C94" w14:textId="77777777" w:rsidR="00E93119" w:rsidRPr="00495651" w:rsidRDefault="00E93119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UE nadal wspierała rozwój strategii długoterminowych</w:t>
      </w:r>
      <w:r w:rsidR="00D928C3">
        <w:rPr>
          <w:rFonts w:ascii="Times New Roman" w:hAnsi="Times New Roman"/>
          <w:noProof/>
          <w:sz w:val="24"/>
          <w:szCs w:val="24"/>
        </w:rPr>
        <w:t xml:space="preserve"> i mon</w:t>
      </w:r>
      <w:r>
        <w:rPr>
          <w:rFonts w:ascii="Times New Roman" w:hAnsi="Times New Roman"/>
          <w:noProof/>
          <w:sz w:val="24"/>
          <w:szCs w:val="24"/>
        </w:rPr>
        <w:t>itorowanie systemów sprawozdawczości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wer</w:t>
      </w:r>
      <w:r>
        <w:rPr>
          <w:rFonts w:ascii="Times New Roman" w:hAnsi="Times New Roman"/>
          <w:noProof/>
          <w:sz w:val="24"/>
          <w:szCs w:val="24"/>
        </w:rPr>
        <w:t>yfikacji</w:t>
      </w:r>
      <w:r w:rsidR="00D928C3">
        <w:rPr>
          <w:rFonts w:ascii="Times New Roman" w:hAnsi="Times New Roman"/>
          <w:noProof/>
          <w:sz w:val="24"/>
          <w:szCs w:val="24"/>
        </w:rPr>
        <w:t xml:space="preserve"> w cel</w:t>
      </w:r>
      <w:r>
        <w:rPr>
          <w:rFonts w:ascii="Times New Roman" w:hAnsi="Times New Roman"/>
          <w:noProof/>
          <w:sz w:val="24"/>
          <w:szCs w:val="24"/>
        </w:rPr>
        <w:t>u usprawnienia zarządzania</w:t>
      </w:r>
      <w:r w:rsidR="00D928C3">
        <w:rPr>
          <w:rFonts w:ascii="Times New Roman" w:hAnsi="Times New Roman"/>
          <w:noProof/>
          <w:sz w:val="24"/>
          <w:szCs w:val="24"/>
        </w:rPr>
        <w:t xml:space="preserve"> i mob</w:t>
      </w:r>
      <w:r>
        <w:rPr>
          <w:rFonts w:ascii="Times New Roman" w:hAnsi="Times New Roman"/>
          <w:noProof/>
          <w:sz w:val="24"/>
          <w:szCs w:val="24"/>
        </w:rPr>
        <w:t>ilizacji zasobów zarówno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pań</w:t>
      </w:r>
      <w:r>
        <w:rPr>
          <w:rFonts w:ascii="Times New Roman" w:hAnsi="Times New Roman"/>
          <w:noProof/>
          <w:sz w:val="24"/>
          <w:szCs w:val="24"/>
        </w:rPr>
        <w:t>stwach ubiegających się</w:t>
      </w:r>
      <w:r w:rsidR="00D928C3">
        <w:rPr>
          <w:rFonts w:ascii="Times New Roman" w:hAnsi="Times New Roman"/>
          <w:noProof/>
          <w:sz w:val="24"/>
          <w:szCs w:val="24"/>
        </w:rPr>
        <w:t xml:space="preserve"> o czł</w:t>
      </w:r>
      <w:r>
        <w:rPr>
          <w:rFonts w:ascii="Times New Roman" w:hAnsi="Times New Roman"/>
          <w:noProof/>
          <w:sz w:val="24"/>
          <w:szCs w:val="24"/>
        </w:rPr>
        <w:t>onkostwo, jak</w:t>
      </w:r>
      <w:r w:rsidR="00D928C3">
        <w:rPr>
          <w:rFonts w:ascii="Times New Roman" w:hAnsi="Times New Roman"/>
          <w:noProof/>
          <w:sz w:val="24"/>
          <w:szCs w:val="24"/>
        </w:rPr>
        <w:t xml:space="preserve"> i obj</w:t>
      </w:r>
      <w:r>
        <w:rPr>
          <w:rFonts w:ascii="Times New Roman" w:hAnsi="Times New Roman"/>
          <w:noProof/>
          <w:sz w:val="24"/>
          <w:szCs w:val="24"/>
        </w:rPr>
        <w:t>ętych europejską polityką sąsiedztwa.</w:t>
      </w:r>
    </w:p>
    <w:p w14:paraId="5E1320B7" w14:textId="77777777" w:rsidR="00DF6261" w:rsidRPr="00787BC5" w:rsidRDefault="00796F09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Pod koniec 20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przywódcy państw Bałkanów Zachodnich zobowiązali się osiągnąć neutralność klimatyczną </w:t>
      </w:r>
      <w:r w:rsidRPr="00D928C3">
        <w:rPr>
          <w:rFonts w:ascii="Times New Roman" w:hAnsi="Times New Roman"/>
          <w:noProof/>
          <w:sz w:val="24"/>
          <w:szCs w:val="24"/>
        </w:rPr>
        <w:t>do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50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 w:rsidR="00D928C3">
        <w:rPr>
          <w:rFonts w:ascii="Times New Roman" w:hAnsi="Times New Roman"/>
          <w:noProof/>
          <w:sz w:val="24"/>
          <w:szCs w:val="24"/>
        </w:rPr>
        <w:t xml:space="preserve"> i ogr</w:t>
      </w:r>
      <w:r>
        <w:rPr>
          <w:rFonts w:ascii="Times New Roman" w:hAnsi="Times New Roman"/>
          <w:noProof/>
          <w:sz w:val="24"/>
          <w:szCs w:val="24"/>
        </w:rPr>
        <w:t>aniczyć dotacje na paliwa kopalne oraz poparli Plan gospodarczo-inwestycyjny dla Bałkanów Zachodnich opiewający na kwotę 9 mld EUR. Środki te mogą zostać wykorzystane do pozyskania 20 mld EUR za pośrednictwem nowej gwarancji dla Bałkanów Zachodnich. Wspólnota Energetyczna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79"/>
      </w:r>
      <w:r>
        <w:rPr>
          <w:rFonts w:ascii="Times New Roman" w:hAnsi="Times New Roman"/>
          <w:noProof/>
          <w:sz w:val="24"/>
          <w:szCs w:val="24"/>
        </w:rPr>
        <w:t xml:space="preserve"> zintensyfikowała prace nad przyjęciem ram polityki klimatyczno-energetycznej do roku 2030, planu dekarbonizacji, rozporządzenia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spr</w:t>
      </w:r>
      <w:r>
        <w:rPr>
          <w:rFonts w:ascii="Times New Roman" w:hAnsi="Times New Roman"/>
          <w:noProof/>
          <w:sz w:val="24"/>
          <w:szCs w:val="24"/>
        </w:rPr>
        <w:t>awie zarządzania unią energetyczną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80"/>
      </w:r>
      <w:r>
        <w:rPr>
          <w:rFonts w:ascii="Times New Roman" w:hAnsi="Times New Roman"/>
          <w:noProof/>
          <w:sz w:val="24"/>
          <w:szCs w:val="24"/>
        </w:rPr>
        <w:t xml:space="preserve"> oraz dyrektywy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spr</w:t>
      </w:r>
      <w:r>
        <w:rPr>
          <w:rFonts w:ascii="Times New Roman" w:hAnsi="Times New Roman"/>
          <w:noProof/>
          <w:sz w:val="24"/>
          <w:szCs w:val="24"/>
        </w:rPr>
        <w:t>awie odnawialnych źródeł energii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dyr</w:t>
      </w:r>
      <w:r>
        <w:rPr>
          <w:rFonts w:ascii="Times New Roman" w:hAnsi="Times New Roman"/>
          <w:noProof/>
          <w:sz w:val="24"/>
          <w:szCs w:val="24"/>
        </w:rPr>
        <w:t>ektywy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spr</w:t>
      </w:r>
      <w:r>
        <w:rPr>
          <w:rFonts w:ascii="Times New Roman" w:hAnsi="Times New Roman"/>
          <w:noProof/>
          <w:sz w:val="24"/>
          <w:szCs w:val="24"/>
        </w:rPr>
        <w:t xml:space="preserve">awie efektywności energetycznej. </w:t>
      </w:r>
    </w:p>
    <w:p w14:paraId="1EDB07D1" w14:textId="77777777" w:rsidR="00497DF2" w:rsidRPr="00495651" w:rsidRDefault="00497DF2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 ramach Unii dla Śródziemnomorza poczyniono znaczne postępy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dia</w:t>
      </w:r>
      <w:r>
        <w:rPr>
          <w:rFonts w:ascii="Times New Roman" w:hAnsi="Times New Roman"/>
          <w:noProof/>
          <w:sz w:val="24"/>
          <w:szCs w:val="24"/>
        </w:rPr>
        <w:t>logu na temat kwestii związanych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z kli</w:t>
      </w:r>
      <w:r>
        <w:rPr>
          <w:rFonts w:ascii="Times New Roman" w:hAnsi="Times New Roman"/>
          <w:noProof/>
          <w:sz w:val="24"/>
          <w:szCs w:val="24"/>
        </w:rPr>
        <w:t>matem, szczególnie</w:t>
      </w:r>
      <w:r w:rsidR="00D928C3">
        <w:rPr>
          <w:rFonts w:ascii="Times New Roman" w:hAnsi="Times New Roman"/>
          <w:noProof/>
          <w:sz w:val="24"/>
          <w:szCs w:val="24"/>
        </w:rPr>
        <w:t xml:space="preserve"> z Mar</w:t>
      </w:r>
      <w:r>
        <w:rPr>
          <w:rFonts w:ascii="Times New Roman" w:hAnsi="Times New Roman"/>
          <w:noProof/>
          <w:sz w:val="24"/>
          <w:szCs w:val="24"/>
        </w:rPr>
        <w:t>okiem</w:t>
      </w:r>
      <w:r w:rsidR="00D928C3">
        <w:rPr>
          <w:rFonts w:ascii="Times New Roman" w:hAnsi="Times New Roman"/>
          <w:noProof/>
          <w:sz w:val="24"/>
          <w:szCs w:val="24"/>
        </w:rPr>
        <w:t xml:space="preserve"> i Jor</w:t>
      </w:r>
      <w:r>
        <w:rPr>
          <w:rFonts w:ascii="Times New Roman" w:hAnsi="Times New Roman"/>
          <w:noProof/>
          <w:sz w:val="24"/>
          <w:szCs w:val="24"/>
        </w:rPr>
        <w:t>danią. Kraje Partnerstwa Wschodniego potwierdziły swoje zobowiązanie do zacieśnienia współpracy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prz</w:t>
      </w:r>
      <w:r>
        <w:rPr>
          <w:rFonts w:ascii="Times New Roman" w:hAnsi="Times New Roman"/>
          <w:noProof/>
          <w:sz w:val="24"/>
          <w:szCs w:val="24"/>
        </w:rPr>
        <w:t xml:space="preserve">yjęły Plan gospodarczo-inwestycyjny na </w:t>
      </w:r>
      <w:r w:rsidRPr="00D928C3">
        <w:rPr>
          <w:rFonts w:ascii="Times New Roman" w:hAnsi="Times New Roman"/>
          <w:noProof/>
          <w:sz w:val="24"/>
          <w:szCs w:val="24"/>
        </w:rPr>
        <w:t>rok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021. Aby dostosować swoją politykę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pra</w:t>
      </w:r>
      <w:r>
        <w:rPr>
          <w:rFonts w:ascii="Times New Roman" w:hAnsi="Times New Roman"/>
          <w:noProof/>
          <w:sz w:val="24"/>
          <w:szCs w:val="24"/>
        </w:rPr>
        <w:t>wodawstwo do Europejskiego Zielonego Ładu, Ukraina rozpoczęła specjalny dialog z UE. UE wspierała również aktualizację ustalonego na poziomie krajowym wkładu Mołdawii, Gruzji</w:t>
      </w:r>
      <w:r w:rsidR="00D928C3">
        <w:rPr>
          <w:rFonts w:ascii="Times New Roman" w:hAnsi="Times New Roman"/>
          <w:noProof/>
          <w:sz w:val="24"/>
          <w:szCs w:val="24"/>
        </w:rPr>
        <w:t xml:space="preserve"> i Arm</w:t>
      </w:r>
      <w:r>
        <w:rPr>
          <w:rFonts w:ascii="Times New Roman" w:hAnsi="Times New Roman"/>
          <w:noProof/>
          <w:sz w:val="24"/>
          <w:szCs w:val="24"/>
        </w:rPr>
        <w:t xml:space="preserve">enii za pośrednictwem regionalnego projektu EU4Climate. </w:t>
      </w:r>
    </w:p>
    <w:p w14:paraId="53C78FA7" w14:textId="77777777" w:rsidR="00CA0847" w:rsidRPr="00495651" w:rsidRDefault="00CA0847" w:rsidP="00CA0847">
      <w:pPr>
        <w:spacing w:after="24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 xml:space="preserve">Wspieranie krajów rozwijających się </w:t>
      </w:r>
    </w:p>
    <w:p w14:paraId="29DED262" w14:textId="77777777" w:rsidR="00E80B7E" w:rsidRPr="00495651" w:rsidRDefault="00DF6261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UE</w:t>
      </w:r>
      <w:r w:rsidR="00D928C3">
        <w:rPr>
          <w:rFonts w:ascii="Times New Roman" w:hAnsi="Times New Roman"/>
          <w:noProof/>
          <w:sz w:val="24"/>
          <w:szCs w:val="24"/>
        </w:rPr>
        <w:t xml:space="preserve"> i </w:t>
      </w:r>
      <w:r w:rsidR="00D928C3" w:rsidRPr="00D928C3">
        <w:rPr>
          <w:rFonts w:ascii="Times New Roman" w:hAnsi="Times New Roman"/>
          <w:noProof/>
          <w:sz w:val="24"/>
          <w:szCs w:val="24"/>
        </w:rPr>
        <w:t>jej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7 państw członkowskich stanowią największe na świecie źródło publicznego finansowania działań związanych ze zmianą klimatu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wno</w:t>
      </w:r>
      <w:r>
        <w:rPr>
          <w:rFonts w:ascii="Times New Roman" w:hAnsi="Times New Roman"/>
          <w:noProof/>
          <w:sz w:val="24"/>
          <w:szCs w:val="24"/>
        </w:rPr>
        <w:t>szą znaczący wkład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rea</w:t>
      </w:r>
      <w:r>
        <w:rPr>
          <w:rFonts w:ascii="Times New Roman" w:hAnsi="Times New Roman"/>
          <w:noProof/>
          <w:sz w:val="24"/>
          <w:szCs w:val="24"/>
        </w:rPr>
        <w:t>lizację wspólnego celu krajów rozwiniętych, jakim jest przeznaczenie 100 mld USD rocznie na wsparcie działań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edzinie klimatu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kra</w:t>
      </w:r>
      <w:r>
        <w:rPr>
          <w:rFonts w:ascii="Times New Roman" w:hAnsi="Times New Roman"/>
          <w:noProof/>
          <w:sz w:val="24"/>
          <w:szCs w:val="24"/>
        </w:rPr>
        <w:t xml:space="preserve">jach rozwijających się. Ten wkład zwiększył się ponad dwukrotnie </w:t>
      </w:r>
      <w:r w:rsidRPr="00D928C3">
        <w:rPr>
          <w:rFonts w:ascii="Times New Roman" w:hAnsi="Times New Roman"/>
          <w:noProof/>
          <w:sz w:val="24"/>
          <w:szCs w:val="24"/>
        </w:rPr>
        <w:t>od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13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>, osiągając</w:t>
      </w:r>
      <w:r w:rsidR="00D928C3">
        <w:rPr>
          <w:rFonts w:ascii="Times New Roman" w:hAnsi="Times New Roman"/>
          <w:noProof/>
          <w:sz w:val="24"/>
          <w:szCs w:val="24"/>
        </w:rPr>
        <w:t xml:space="preserve"> w 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19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kwotę niemal 22 mld EUR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81"/>
      </w:r>
      <w:r>
        <w:rPr>
          <w:rFonts w:ascii="Times New Roman" w:hAnsi="Times New Roman"/>
          <w:noProof/>
          <w:sz w:val="24"/>
          <w:szCs w:val="24"/>
        </w:rPr>
        <w:t xml:space="preserve">. Przykładowo światowy sojusz na rzecz przeciwdziałania zmianie klimatu + (GCCA+) pomógł sfinansować </w:t>
      </w:r>
      <w:r>
        <w:rPr>
          <w:rFonts w:ascii="Times New Roman" w:hAnsi="Times New Roman"/>
          <w:noProof/>
          <w:sz w:val="24"/>
          <w:szCs w:val="24"/>
        </w:rPr>
        <w:lastRenderedPageBreak/>
        <w:t>80 projektów dotyczących odporności na zmianę klimatu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prz</w:t>
      </w:r>
      <w:r>
        <w:rPr>
          <w:rFonts w:ascii="Times New Roman" w:hAnsi="Times New Roman"/>
          <w:noProof/>
          <w:sz w:val="24"/>
          <w:szCs w:val="24"/>
        </w:rPr>
        <w:t>ygotowania ustalonego na poziomie krajowym wkładu</w:t>
      </w:r>
      <w:r w:rsidR="00D928C3">
        <w:rPr>
          <w:rFonts w:ascii="Times New Roman" w:hAnsi="Times New Roman"/>
          <w:noProof/>
          <w:sz w:val="24"/>
          <w:szCs w:val="24"/>
        </w:rPr>
        <w:t xml:space="preserve"> w Afr</w:t>
      </w:r>
      <w:r>
        <w:rPr>
          <w:rFonts w:ascii="Times New Roman" w:hAnsi="Times New Roman"/>
          <w:noProof/>
          <w:sz w:val="24"/>
          <w:szCs w:val="24"/>
        </w:rPr>
        <w:t>yce, Azji, oraz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pań</w:t>
      </w:r>
      <w:r>
        <w:rPr>
          <w:rFonts w:ascii="Times New Roman" w:hAnsi="Times New Roman"/>
          <w:noProof/>
          <w:sz w:val="24"/>
          <w:szCs w:val="24"/>
        </w:rPr>
        <w:t>stwach Karaibów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Pac</w:t>
      </w:r>
      <w:r>
        <w:rPr>
          <w:rFonts w:ascii="Times New Roman" w:hAnsi="Times New Roman"/>
          <w:noProof/>
          <w:sz w:val="24"/>
          <w:szCs w:val="24"/>
        </w:rPr>
        <w:t>yfiku.</w:t>
      </w:r>
    </w:p>
    <w:p w14:paraId="6439D5D6" w14:textId="77777777" w:rsidR="002A3752" w:rsidRPr="006520D9" w:rsidRDefault="00DF6261" w:rsidP="00B7742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Unijna Strategia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 xml:space="preserve">resie przystosowania do zmiany klimatu </w:t>
      </w:r>
      <w:r w:rsidRPr="00D928C3">
        <w:rPr>
          <w:rFonts w:ascii="Times New Roman" w:hAnsi="Times New Roman"/>
          <w:noProof/>
          <w:sz w:val="24"/>
          <w:szCs w:val="24"/>
        </w:rPr>
        <w:t>na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ma na celu zwiększenie międzynarodowego finansowania na rzecz budowania odporności na zmianę klimatu oraz promowania wymiany najlepszych praktyk</w:t>
      </w:r>
      <w:r w:rsidR="00D928C3">
        <w:rPr>
          <w:rFonts w:ascii="Times New Roman" w:hAnsi="Times New Roman"/>
          <w:noProof/>
          <w:sz w:val="24"/>
          <w:szCs w:val="24"/>
        </w:rPr>
        <w:t xml:space="preserve"> i wie</w:t>
      </w:r>
      <w:r>
        <w:rPr>
          <w:rFonts w:ascii="Times New Roman" w:hAnsi="Times New Roman"/>
          <w:noProof/>
          <w:sz w:val="24"/>
          <w:szCs w:val="24"/>
        </w:rPr>
        <w:t>dzy fachowej przy jednoczesnym propagowaniu podejść na poziomie niższym niż krajowy, krajowym</w:t>
      </w:r>
      <w:r w:rsidR="00D928C3">
        <w:rPr>
          <w:rFonts w:ascii="Times New Roman" w:hAnsi="Times New Roman"/>
          <w:noProof/>
          <w:sz w:val="24"/>
          <w:szCs w:val="24"/>
        </w:rPr>
        <w:t xml:space="preserve"> i reg</w:t>
      </w:r>
      <w:r>
        <w:rPr>
          <w:rFonts w:ascii="Times New Roman" w:hAnsi="Times New Roman"/>
          <w:noProof/>
          <w:sz w:val="24"/>
          <w:szCs w:val="24"/>
        </w:rPr>
        <w:t>ionalnym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kra</w:t>
      </w:r>
      <w:r>
        <w:rPr>
          <w:rFonts w:ascii="Times New Roman" w:hAnsi="Times New Roman"/>
          <w:noProof/>
          <w:sz w:val="24"/>
          <w:szCs w:val="24"/>
        </w:rPr>
        <w:t>jach partnerskich. W 20</w:t>
      </w:r>
      <w:r w:rsidRPr="00D928C3">
        <w:rPr>
          <w:rFonts w:ascii="Times New Roman" w:hAnsi="Times New Roman"/>
          <w:noProof/>
          <w:sz w:val="24"/>
          <w:szCs w:val="24"/>
        </w:rPr>
        <w:t>20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uruchomiono globalny instrument pomocy technicznej, aby pomóc we wzmocnieniu ustalonego na poziomie krajowym wkładu, opracowywaniu</w:t>
      </w:r>
      <w:r w:rsidR="00D928C3">
        <w:rPr>
          <w:rFonts w:ascii="Times New Roman" w:hAnsi="Times New Roman"/>
          <w:noProof/>
          <w:sz w:val="24"/>
          <w:szCs w:val="24"/>
        </w:rPr>
        <w:t xml:space="preserve"> i rea</w:t>
      </w:r>
      <w:r>
        <w:rPr>
          <w:rFonts w:ascii="Times New Roman" w:hAnsi="Times New Roman"/>
          <w:noProof/>
          <w:sz w:val="24"/>
          <w:szCs w:val="24"/>
        </w:rPr>
        <w:t>lizacji krajowych planów adaptacji, polityk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pra</w:t>
      </w:r>
      <w:r>
        <w:rPr>
          <w:rFonts w:ascii="Times New Roman" w:hAnsi="Times New Roman"/>
          <w:noProof/>
          <w:sz w:val="24"/>
          <w:szCs w:val="24"/>
        </w:rPr>
        <w:t>ktyk dotyczących gruntów, strategii dotyczących ograniczania ryzyka klęsk żywiołowych</w:t>
      </w:r>
      <w:r w:rsidR="00D928C3">
        <w:rPr>
          <w:rFonts w:ascii="Times New Roman" w:hAnsi="Times New Roman"/>
          <w:noProof/>
          <w:sz w:val="24"/>
          <w:szCs w:val="24"/>
        </w:rPr>
        <w:t xml:space="preserve"> i str</w:t>
      </w:r>
      <w:r>
        <w:rPr>
          <w:rFonts w:ascii="Times New Roman" w:hAnsi="Times New Roman"/>
          <w:noProof/>
          <w:sz w:val="24"/>
          <w:szCs w:val="24"/>
        </w:rPr>
        <w:t>ategii niskoemisyjnego/neutralnego pod względem emisji dwutlenku węgla rozwoju. W 20</w:t>
      </w:r>
      <w:r w:rsidRPr="00D928C3">
        <w:rPr>
          <w:rFonts w:ascii="Times New Roman" w:hAnsi="Times New Roman"/>
          <w:noProof/>
          <w:sz w:val="24"/>
          <w:szCs w:val="24"/>
        </w:rPr>
        <w:t>21</w:t>
      </w:r>
      <w:r w:rsidR="00D928C3" w:rsidRPr="00D928C3">
        <w:rPr>
          <w:rFonts w:ascii="Times New Roman" w:hAnsi="Times New Roman"/>
          <w:noProof/>
          <w:sz w:val="24"/>
          <w:szCs w:val="24"/>
        </w:rPr>
        <w:t> </w:t>
      </w:r>
      <w:r w:rsidRPr="00D928C3">
        <w:rPr>
          <w:rFonts w:ascii="Times New Roman" w:hAnsi="Times New Roman"/>
          <w:noProof/>
          <w:sz w:val="24"/>
          <w:szCs w:val="24"/>
        </w:rPr>
        <w:t>r.</w:t>
      </w:r>
      <w:r>
        <w:rPr>
          <w:rFonts w:ascii="Times New Roman" w:hAnsi="Times New Roman"/>
          <w:noProof/>
          <w:sz w:val="24"/>
          <w:szCs w:val="24"/>
        </w:rPr>
        <w:t xml:space="preserve"> UE określiła działania mające na celu dalsze uwzględnianie wpływu zmiany klimatu</w:t>
      </w:r>
      <w:r w:rsidR="00D928C3">
        <w:rPr>
          <w:rFonts w:ascii="Times New Roman" w:hAnsi="Times New Roman"/>
          <w:noProof/>
          <w:sz w:val="24"/>
          <w:szCs w:val="24"/>
        </w:rPr>
        <w:t xml:space="preserve"> i czy</w:t>
      </w:r>
      <w:r>
        <w:rPr>
          <w:rFonts w:ascii="Times New Roman" w:hAnsi="Times New Roman"/>
          <w:noProof/>
          <w:sz w:val="24"/>
          <w:szCs w:val="24"/>
        </w:rPr>
        <w:t>nników środowiskowych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pol</w:t>
      </w:r>
      <w:r>
        <w:rPr>
          <w:rFonts w:ascii="Times New Roman" w:hAnsi="Times New Roman"/>
          <w:noProof/>
          <w:sz w:val="24"/>
          <w:szCs w:val="24"/>
        </w:rPr>
        <w:t>ityce</w:t>
      </w:r>
      <w:r w:rsidR="00D928C3">
        <w:rPr>
          <w:rFonts w:ascii="Times New Roman" w:hAnsi="Times New Roman"/>
          <w:noProof/>
          <w:sz w:val="24"/>
          <w:szCs w:val="24"/>
        </w:rPr>
        <w:t xml:space="preserve"> i pra</w:t>
      </w:r>
      <w:r>
        <w:rPr>
          <w:rFonts w:ascii="Times New Roman" w:hAnsi="Times New Roman"/>
          <w:noProof/>
          <w:sz w:val="24"/>
          <w:szCs w:val="24"/>
        </w:rPr>
        <w:t>ktyce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zak</w:t>
      </w:r>
      <w:r>
        <w:rPr>
          <w:rFonts w:ascii="Times New Roman" w:hAnsi="Times New Roman"/>
          <w:noProof/>
          <w:sz w:val="24"/>
          <w:szCs w:val="24"/>
        </w:rPr>
        <w:t>resie pomocy humanitarnej</w:t>
      </w:r>
      <w:r>
        <w:rPr>
          <w:rStyle w:val="Odwoanieprzypisudolnego"/>
          <w:rFonts w:ascii="Times New Roman" w:hAnsi="Times New Roman" w:cs="Times New Roman"/>
          <w:noProof/>
          <w:sz w:val="24"/>
          <w:szCs w:val="24"/>
        </w:rPr>
        <w:footnoteReference w:id="82"/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19CD6396" w14:textId="77777777" w:rsidR="00AD750F" w:rsidRPr="00495651" w:rsidRDefault="00AD750F" w:rsidP="00B7742C">
      <w:pPr>
        <w:spacing w:after="24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Wreszcie oczekuje się, że</w:t>
      </w:r>
      <w:r w:rsidR="00D928C3">
        <w:rPr>
          <w:rFonts w:ascii="Times New Roman" w:hAnsi="Times New Roman"/>
          <w:noProof/>
          <w:sz w:val="24"/>
          <w:szCs w:val="24"/>
        </w:rPr>
        <w:t xml:space="preserve"> w lat</w:t>
      </w:r>
      <w:r>
        <w:rPr>
          <w:rFonts w:ascii="Times New Roman" w:hAnsi="Times New Roman"/>
          <w:noProof/>
          <w:sz w:val="24"/>
          <w:szCs w:val="24"/>
        </w:rPr>
        <w:t>ach 2021–2027</w:t>
      </w:r>
      <w:r w:rsidR="00D928C3">
        <w:rPr>
          <w:rFonts w:ascii="Times New Roman" w:hAnsi="Times New Roman"/>
          <w:noProof/>
          <w:sz w:val="24"/>
          <w:szCs w:val="24"/>
        </w:rPr>
        <w:t xml:space="preserve"> w ram</w:t>
      </w:r>
      <w:r>
        <w:rPr>
          <w:rFonts w:ascii="Times New Roman" w:hAnsi="Times New Roman"/>
          <w:noProof/>
          <w:sz w:val="24"/>
          <w:szCs w:val="24"/>
        </w:rPr>
        <w:t>ach globalnego wymiaru Europy dzięki połączeniu wszystkich unijnych programów działań zewnętrznych</w:t>
      </w:r>
      <w:r w:rsidR="00D928C3">
        <w:rPr>
          <w:rFonts w:ascii="Times New Roman" w:hAnsi="Times New Roman"/>
          <w:noProof/>
          <w:sz w:val="24"/>
          <w:szCs w:val="24"/>
        </w:rPr>
        <w:t xml:space="preserve"> w jed</w:t>
      </w:r>
      <w:r>
        <w:rPr>
          <w:rFonts w:ascii="Times New Roman" w:hAnsi="Times New Roman"/>
          <w:noProof/>
          <w:sz w:val="24"/>
          <w:szCs w:val="24"/>
        </w:rPr>
        <w:t>no narzędzie finansowania na działania</w:t>
      </w:r>
      <w:r w:rsidR="00D928C3">
        <w:rPr>
          <w:rFonts w:ascii="Times New Roman" w:hAnsi="Times New Roman"/>
          <w:noProof/>
          <w:sz w:val="24"/>
          <w:szCs w:val="24"/>
        </w:rPr>
        <w:t xml:space="preserve"> w dzi</w:t>
      </w:r>
      <w:r>
        <w:rPr>
          <w:rFonts w:ascii="Times New Roman" w:hAnsi="Times New Roman"/>
          <w:noProof/>
          <w:sz w:val="24"/>
          <w:szCs w:val="24"/>
        </w:rPr>
        <w:t>edzinie klimatu przeznaczonych zostanie około 28 mld EUR. Obecnie na poziomie krajowym, regionalnym</w:t>
      </w:r>
      <w:r w:rsidR="00D928C3">
        <w:rPr>
          <w:rFonts w:ascii="Times New Roman" w:hAnsi="Times New Roman"/>
          <w:noProof/>
          <w:sz w:val="24"/>
          <w:szCs w:val="24"/>
        </w:rPr>
        <w:t xml:space="preserve"> i tem</w:t>
      </w:r>
      <w:r>
        <w:rPr>
          <w:rFonts w:ascii="Times New Roman" w:hAnsi="Times New Roman"/>
          <w:noProof/>
          <w:sz w:val="24"/>
          <w:szCs w:val="24"/>
        </w:rPr>
        <w:t>atycznym trwają prace nad programowaniem,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któ</w:t>
      </w:r>
      <w:r>
        <w:rPr>
          <w:rFonts w:ascii="Times New Roman" w:hAnsi="Times New Roman"/>
          <w:noProof/>
          <w:sz w:val="24"/>
          <w:szCs w:val="24"/>
        </w:rPr>
        <w:t>rych priorytetowo traktuje się kwestie związane ze zmianą klimatu, na przykład</w:t>
      </w:r>
      <w:r w:rsidR="00D928C3">
        <w:rPr>
          <w:rFonts w:ascii="Times New Roman" w:hAnsi="Times New Roman"/>
          <w:noProof/>
          <w:sz w:val="24"/>
          <w:szCs w:val="24"/>
        </w:rPr>
        <w:t xml:space="preserve"> w kon</w:t>
      </w:r>
      <w:r>
        <w:rPr>
          <w:rFonts w:ascii="Times New Roman" w:hAnsi="Times New Roman"/>
          <w:noProof/>
          <w:sz w:val="24"/>
          <w:szCs w:val="24"/>
        </w:rPr>
        <w:t>tekście budowania pokoju</w:t>
      </w:r>
      <w:r w:rsidR="00D928C3">
        <w:rPr>
          <w:rFonts w:ascii="Times New Roman" w:hAnsi="Times New Roman"/>
          <w:noProof/>
          <w:sz w:val="24"/>
          <w:szCs w:val="24"/>
        </w:rPr>
        <w:t xml:space="preserve"> i rea</w:t>
      </w:r>
      <w:r>
        <w:rPr>
          <w:rFonts w:ascii="Times New Roman" w:hAnsi="Times New Roman"/>
          <w:noProof/>
          <w:sz w:val="24"/>
          <w:szCs w:val="24"/>
        </w:rPr>
        <w:t xml:space="preserve">gowania kryzysowego. </w:t>
      </w:r>
    </w:p>
    <w:p w14:paraId="77723A18" w14:textId="77777777" w:rsidR="00FC06E6" w:rsidRPr="006702FB" w:rsidRDefault="00FC06E6" w:rsidP="00C043B2">
      <w:pPr>
        <w:spacing w:line="240" w:lineRule="auto"/>
        <w:jc w:val="both"/>
        <w:rPr>
          <w:noProof/>
        </w:rPr>
      </w:pPr>
    </w:p>
    <w:sectPr w:rsidR="00FC06E6" w:rsidRPr="006702FB" w:rsidSect="0028123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0CCC0" w14:textId="77777777" w:rsidR="0025193C" w:rsidRDefault="0025193C" w:rsidP="00D8285A">
      <w:pPr>
        <w:spacing w:line="240" w:lineRule="auto"/>
      </w:pPr>
      <w:r>
        <w:separator/>
      </w:r>
    </w:p>
  </w:endnote>
  <w:endnote w:type="continuationSeparator" w:id="0">
    <w:p w14:paraId="24529763" w14:textId="77777777" w:rsidR="0025193C" w:rsidRDefault="0025193C" w:rsidP="00D8285A">
      <w:pPr>
        <w:spacing w:line="240" w:lineRule="auto"/>
      </w:pPr>
      <w:r>
        <w:continuationSeparator/>
      </w:r>
    </w:p>
  </w:endnote>
  <w:endnote w:type="continuationNotice" w:id="1">
    <w:p w14:paraId="3299EB48" w14:textId="77777777" w:rsidR="0025193C" w:rsidRDefault="002519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85EFA" w14:textId="77777777" w:rsidR="002454D6" w:rsidRPr="002454D6" w:rsidRDefault="002454D6" w:rsidP="002454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2C83" w14:textId="77777777" w:rsidR="00D928C3" w:rsidRPr="002454D6" w:rsidRDefault="002454D6" w:rsidP="002454D6">
    <w:pPr>
      <w:pStyle w:val="FooterCoverPage"/>
      <w:rPr>
        <w:rFonts w:ascii="Arial" w:hAnsi="Arial" w:cs="Arial"/>
        <w:b/>
        <w:sz w:val="48"/>
      </w:rPr>
    </w:pPr>
    <w:r w:rsidRPr="002454D6">
      <w:rPr>
        <w:rFonts w:ascii="Arial" w:hAnsi="Arial" w:cs="Arial"/>
        <w:b/>
        <w:sz w:val="48"/>
      </w:rPr>
      <w:t>PL</w:t>
    </w:r>
    <w:r w:rsidRPr="002454D6">
      <w:rPr>
        <w:rFonts w:ascii="Arial" w:hAnsi="Arial" w:cs="Arial"/>
        <w:b/>
        <w:sz w:val="48"/>
      </w:rPr>
      <w:tab/>
    </w:r>
    <w:r w:rsidRPr="002454D6">
      <w:rPr>
        <w:rFonts w:ascii="Arial" w:hAnsi="Arial" w:cs="Arial"/>
        <w:b/>
        <w:sz w:val="48"/>
      </w:rPr>
      <w:tab/>
    </w:r>
    <w:r w:rsidRPr="002454D6">
      <w:tab/>
    </w:r>
    <w:r w:rsidRPr="002454D6">
      <w:rPr>
        <w:rFonts w:ascii="Arial" w:hAnsi="Arial" w:cs="Arial"/>
        <w:b/>
        <w:sz w:val="48"/>
      </w:rPr>
      <w:t>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AA06" w14:textId="77777777" w:rsidR="002454D6" w:rsidRPr="002454D6" w:rsidRDefault="002454D6" w:rsidP="002454D6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6695" w14:textId="77777777" w:rsidR="007544AC" w:rsidRDefault="007544AC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513672"/>
      <w:docPartObj>
        <w:docPartGallery w:val="Page Numbers (Bottom of Page)"/>
        <w:docPartUnique/>
      </w:docPartObj>
    </w:sdtPr>
    <w:sdtEndPr/>
    <w:sdtContent>
      <w:p w14:paraId="1C2AF4A7" w14:textId="77777777" w:rsidR="007544AC" w:rsidRDefault="007544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61A">
          <w:rPr>
            <w:noProof/>
          </w:rPr>
          <w:t>19</w:t>
        </w:r>
        <w:r>
          <w:fldChar w:fldCharType="end"/>
        </w:r>
      </w:p>
    </w:sdtContent>
  </w:sdt>
  <w:p w14:paraId="36F875E6" w14:textId="77777777" w:rsidR="007544AC" w:rsidRDefault="007544A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7D9D" w14:textId="77777777" w:rsidR="007544AC" w:rsidRDefault="00754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9B54" w14:textId="77777777" w:rsidR="0025193C" w:rsidRDefault="0025193C" w:rsidP="00D8285A">
      <w:pPr>
        <w:spacing w:line="240" w:lineRule="auto"/>
      </w:pPr>
      <w:r>
        <w:separator/>
      </w:r>
    </w:p>
  </w:footnote>
  <w:footnote w:type="continuationSeparator" w:id="0">
    <w:p w14:paraId="0E473725" w14:textId="77777777" w:rsidR="0025193C" w:rsidRDefault="0025193C" w:rsidP="00D8285A">
      <w:pPr>
        <w:spacing w:line="240" w:lineRule="auto"/>
      </w:pPr>
      <w:r>
        <w:continuationSeparator/>
      </w:r>
    </w:p>
  </w:footnote>
  <w:footnote w:type="continuationNotice" w:id="1">
    <w:p w14:paraId="78110379" w14:textId="77777777" w:rsidR="0025193C" w:rsidRDefault="0025193C">
      <w:pPr>
        <w:spacing w:line="240" w:lineRule="auto"/>
      </w:pPr>
    </w:p>
  </w:footnote>
  <w:footnote w:id="2">
    <w:p w14:paraId="008B00AD" w14:textId="77777777" w:rsidR="007544AC" w:rsidRPr="00F24281" w:rsidRDefault="007544AC" w:rsidP="00480B80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Wszystkie wyloty</w:t>
      </w:r>
      <w:r w:rsidR="00D928C3">
        <w:rPr>
          <w:rFonts w:ascii="Times New Roman" w:hAnsi="Times New Roman"/>
          <w:sz w:val="18"/>
          <w:szCs w:val="18"/>
        </w:rPr>
        <w:t xml:space="preserve"> z por</w:t>
      </w:r>
      <w:r>
        <w:rPr>
          <w:rFonts w:ascii="Times New Roman" w:hAnsi="Times New Roman"/>
          <w:sz w:val="18"/>
          <w:szCs w:val="18"/>
        </w:rPr>
        <w:t>tów lotniczych w UE.</w:t>
      </w:r>
    </w:p>
  </w:footnote>
  <w:footnote w:id="3">
    <w:p w14:paraId="6FA5AF4E" w14:textId="77777777" w:rsidR="007544AC" w:rsidRPr="00F24281" w:rsidRDefault="007544AC" w:rsidP="00480B80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Przybliżony wykaz emisji gazów cieplarnianych UE sporządzony na podstawie informacji przekazanych przez państwa członkowskie. Dane odnoszące się do BG uzupełniono danymi zaczerpniętymi z EUTL, danymi Eurostatu</w:t>
      </w:r>
      <w:r w:rsidR="00D928C3">
        <w:rPr>
          <w:rFonts w:ascii="Times New Roman" w:hAnsi="Times New Roman"/>
          <w:sz w:val="18"/>
          <w:szCs w:val="18"/>
        </w:rPr>
        <w:t xml:space="preserve"> i dan</w:t>
      </w:r>
      <w:r>
        <w:rPr>
          <w:rFonts w:ascii="Times New Roman" w:hAnsi="Times New Roman"/>
          <w:sz w:val="18"/>
          <w:szCs w:val="18"/>
        </w:rPr>
        <w:t>ymi Eurocontrol,</w:t>
      </w:r>
      <w:r w:rsidR="00D928C3">
        <w:rPr>
          <w:rFonts w:ascii="Times New Roman" w:hAnsi="Times New Roman"/>
          <w:sz w:val="18"/>
          <w:szCs w:val="18"/>
        </w:rPr>
        <w:t xml:space="preserve"> a tak</w:t>
      </w:r>
      <w:r>
        <w:rPr>
          <w:rFonts w:ascii="Times New Roman" w:hAnsi="Times New Roman"/>
          <w:sz w:val="18"/>
          <w:szCs w:val="18"/>
        </w:rPr>
        <w:t xml:space="preserve">że prognozami </w:t>
      </w:r>
      <w:r w:rsidRPr="00D928C3">
        <w:rPr>
          <w:rFonts w:ascii="Times New Roman" w:hAnsi="Times New Roman"/>
          <w:sz w:val="18"/>
          <w:szCs w:val="18"/>
        </w:rPr>
        <w:t>na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 w:rsidR="00D928C3">
        <w:rPr>
          <w:rFonts w:ascii="Times New Roman" w:hAnsi="Times New Roman"/>
          <w:sz w:val="18"/>
          <w:szCs w:val="18"/>
        </w:rPr>
        <w:t xml:space="preserve"> i dan</w:t>
      </w:r>
      <w:r>
        <w:rPr>
          <w:rFonts w:ascii="Times New Roman" w:hAnsi="Times New Roman"/>
          <w:sz w:val="18"/>
          <w:szCs w:val="18"/>
        </w:rPr>
        <w:t>ymi</w:t>
      </w:r>
      <w:r w:rsidR="00D928C3">
        <w:rPr>
          <w:rFonts w:ascii="Times New Roman" w:hAnsi="Times New Roman"/>
          <w:sz w:val="18"/>
          <w:szCs w:val="18"/>
        </w:rPr>
        <w:t xml:space="preserve"> z pop</w:t>
      </w:r>
      <w:r>
        <w:rPr>
          <w:rFonts w:ascii="Times New Roman" w:hAnsi="Times New Roman"/>
          <w:sz w:val="18"/>
          <w:szCs w:val="18"/>
        </w:rPr>
        <w:t>rzednich lat.</w:t>
      </w:r>
    </w:p>
  </w:footnote>
  <w:footnote w:id="4">
    <w:p w14:paraId="424347F6" w14:textId="77777777" w:rsidR="007544AC" w:rsidRPr="00787BC5" w:rsidRDefault="007544AC">
      <w:pPr>
        <w:pStyle w:val="Tekstprzypisukocow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 przypadku DK, EE, HR, HU, LV i SI dane dotyczące LULUCF uzupełniono danymi zawartymi</w:t>
      </w:r>
      <w:r w:rsidR="00D928C3">
        <w:rPr>
          <w:rFonts w:ascii="Times New Roman" w:hAnsi="Times New Roman"/>
          <w:sz w:val="18"/>
          <w:szCs w:val="18"/>
        </w:rPr>
        <w:t xml:space="preserve"> w pro</w:t>
      </w:r>
      <w:r>
        <w:rPr>
          <w:rFonts w:ascii="Times New Roman" w:hAnsi="Times New Roman"/>
          <w:sz w:val="18"/>
          <w:szCs w:val="18"/>
        </w:rPr>
        <w:t xml:space="preserve">gnozach państw członkowskich </w:t>
      </w:r>
      <w:r w:rsidRPr="00D928C3">
        <w:rPr>
          <w:rFonts w:ascii="Times New Roman" w:hAnsi="Times New Roman"/>
          <w:sz w:val="18"/>
          <w:szCs w:val="18"/>
        </w:rPr>
        <w:t>na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5">
    <w:p w14:paraId="2A2C7AB7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Oprócz celu określonego</w:t>
      </w:r>
      <w:r w:rsidR="00D928C3">
        <w:rPr>
          <w:rFonts w:ascii="Times New Roman" w:hAnsi="Times New Roman"/>
          <w:sz w:val="18"/>
          <w:szCs w:val="18"/>
        </w:rPr>
        <w:t xml:space="preserve"> w ram</w:t>
      </w:r>
      <w:r>
        <w:rPr>
          <w:rFonts w:ascii="Times New Roman" w:hAnsi="Times New Roman"/>
          <w:sz w:val="18"/>
          <w:szCs w:val="18"/>
        </w:rPr>
        <w:t>ach UNFCCC UE-27 wraz z IS i UK zobowiązały się również do wiążącej redukcji emisji po drugim okresie rozliczeniowym protokołu</w:t>
      </w:r>
      <w:r w:rsidR="00D928C3">
        <w:rPr>
          <w:rFonts w:ascii="Times New Roman" w:hAnsi="Times New Roman"/>
          <w:sz w:val="18"/>
          <w:szCs w:val="18"/>
        </w:rPr>
        <w:t xml:space="preserve"> z Kio</w:t>
      </w:r>
      <w:r>
        <w:rPr>
          <w:rFonts w:ascii="Times New Roman" w:hAnsi="Times New Roman"/>
          <w:sz w:val="18"/>
          <w:szCs w:val="18"/>
        </w:rPr>
        <w:t>to (lata 2013–2020). Celem jest redukcja emisji</w:t>
      </w:r>
      <w:r w:rsidR="00D928C3">
        <w:rPr>
          <w:rFonts w:ascii="Times New Roman" w:hAnsi="Times New Roman"/>
          <w:sz w:val="18"/>
          <w:szCs w:val="18"/>
        </w:rPr>
        <w:t xml:space="preserve"> o 2</w:t>
      </w:r>
      <w:r w:rsidRPr="00D928C3">
        <w:rPr>
          <w:rFonts w:ascii="Times New Roman" w:hAnsi="Times New Roman"/>
          <w:sz w:val="18"/>
          <w:szCs w:val="18"/>
        </w:rPr>
        <w:t>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%</w:t>
      </w:r>
      <w:r>
        <w:rPr>
          <w:rFonts w:ascii="Times New Roman" w:hAnsi="Times New Roman"/>
          <w:sz w:val="18"/>
          <w:szCs w:val="18"/>
        </w:rPr>
        <w:t>. Aby uzyskać szczegółowe informacje, zob. dokument roboczy służb Komisji.</w:t>
      </w:r>
    </w:p>
  </w:footnote>
  <w:footnote w:id="6">
    <w:p w14:paraId="076C89DD" w14:textId="77777777" w:rsidR="007544AC" w:rsidRPr="00F24281" w:rsidRDefault="007544AC">
      <w:pPr>
        <w:pStyle w:val="Tekstprzypisukocow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Wskaźnik podany</w:t>
      </w:r>
      <w:r w:rsidR="00D928C3">
        <w:rPr>
          <w:rFonts w:ascii="Times New Roman" w:hAnsi="Times New Roman"/>
          <w:sz w:val="18"/>
          <w:szCs w:val="18"/>
        </w:rPr>
        <w:t xml:space="preserve"> w cel</w:t>
      </w:r>
      <w:r>
        <w:rPr>
          <w:rFonts w:ascii="Times New Roman" w:hAnsi="Times New Roman"/>
          <w:sz w:val="18"/>
          <w:szCs w:val="18"/>
        </w:rPr>
        <w:t>ach ilustracyjnych, ze statystycznego punktu widzenia jest nieprecyzyjny ze względu na różnice</w:t>
      </w:r>
      <w:r w:rsidR="00D928C3">
        <w:rPr>
          <w:rFonts w:ascii="Times New Roman" w:hAnsi="Times New Roman"/>
          <w:sz w:val="18"/>
          <w:szCs w:val="18"/>
        </w:rPr>
        <w:t xml:space="preserve"> w zak</w:t>
      </w:r>
      <w:r>
        <w:rPr>
          <w:rFonts w:ascii="Times New Roman" w:hAnsi="Times New Roman"/>
          <w:sz w:val="18"/>
          <w:szCs w:val="18"/>
        </w:rPr>
        <w:t>resie PKB (rachunkowość narodowa)</w:t>
      </w:r>
      <w:r w:rsidR="00D928C3">
        <w:rPr>
          <w:rFonts w:ascii="Times New Roman" w:hAnsi="Times New Roman"/>
          <w:sz w:val="18"/>
          <w:szCs w:val="18"/>
        </w:rPr>
        <w:t xml:space="preserve"> i emi</w:t>
      </w:r>
      <w:r>
        <w:rPr>
          <w:rFonts w:ascii="Times New Roman" w:hAnsi="Times New Roman"/>
          <w:sz w:val="18"/>
          <w:szCs w:val="18"/>
        </w:rPr>
        <w:t>sji (terytorium).</w:t>
      </w:r>
    </w:p>
  </w:footnote>
  <w:footnote w:id="7">
    <w:p w14:paraId="69F18C6B" w14:textId="77777777" w:rsidR="007544AC" w:rsidRPr="00B511E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en-US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511E9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511E9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COM(2019) 640 final.</w:t>
      </w:r>
    </w:p>
  </w:footnote>
  <w:footnote w:id="8">
    <w:p w14:paraId="72A4DA5B" w14:textId="77777777" w:rsidR="007544AC" w:rsidRPr="00B511E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511E9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511E9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ICAO, C-WP/15209, </w:t>
      </w:r>
      <w:r w:rsidRPr="00D928C3">
        <w:rPr>
          <w:rFonts w:ascii="Times New Roman" w:hAnsi="Times New Roman"/>
          <w:sz w:val="18"/>
          <w:szCs w:val="18"/>
          <w:shd w:val="clear" w:color="auto" w:fill="FFFFFF"/>
        </w:rPr>
        <w:t>maj</w:t>
      </w:r>
      <w:r w:rsidR="00D928C3" w:rsidRPr="00D928C3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D928C3">
        <w:rPr>
          <w:rFonts w:ascii="Times New Roman" w:hAnsi="Times New Roman"/>
          <w:sz w:val="18"/>
          <w:szCs w:val="18"/>
          <w:shd w:val="clear" w:color="auto" w:fill="FFFFFF"/>
        </w:rPr>
        <w:t>2</w:t>
      </w:r>
      <w:r w:rsidRPr="00B511E9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0</w:t>
      </w:r>
      <w:r w:rsidRPr="00D928C3">
        <w:rPr>
          <w:rFonts w:ascii="Times New Roman" w:hAnsi="Times New Roman"/>
          <w:sz w:val="18"/>
          <w:szCs w:val="18"/>
          <w:shd w:val="clear" w:color="auto" w:fill="FFFFFF"/>
        </w:rPr>
        <w:t>21</w:t>
      </w:r>
      <w:r w:rsidR="00D928C3" w:rsidRPr="00D928C3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D928C3">
        <w:rPr>
          <w:rFonts w:ascii="Times New Roman" w:hAnsi="Times New Roman"/>
          <w:sz w:val="18"/>
          <w:szCs w:val="18"/>
          <w:shd w:val="clear" w:color="auto" w:fill="FFFFFF"/>
        </w:rPr>
        <w:t>r.</w:t>
      </w:r>
    </w:p>
  </w:footnote>
  <w:footnote w:id="9">
    <w:p w14:paraId="3959CE12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SWD(2020) 277 final.</w:t>
      </w:r>
    </w:p>
  </w:footnote>
  <w:footnote w:id="10">
    <w:p w14:paraId="45434980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(UE) 2015/757.</w:t>
      </w:r>
    </w:p>
  </w:footnote>
  <w:footnote w:id="11">
    <w:p w14:paraId="41679FD9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Wstępne szacunki sporządzone</w:t>
      </w:r>
      <w:r w:rsidR="00D928C3">
        <w:rPr>
          <w:rFonts w:ascii="Times New Roman" w:hAnsi="Times New Roman"/>
          <w:sz w:val="18"/>
          <w:szCs w:val="18"/>
        </w:rPr>
        <w:t xml:space="preserve"> w opa</w:t>
      </w:r>
      <w:r>
        <w:rPr>
          <w:rFonts w:ascii="Times New Roman" w:hAnsi="Times New Roman"/>
          <w:sz w:val="18"/>
          <w:szCs w:val="18"/>
        </w:rPr>
        <w:t>rciu</w:t>
      </w:r>
      <w:r w:rsidR="00D928C3">
        <w:rPr>
          <w:rFonts w:ascii="Times New Roman" w:hAnsi="Times New Roman"/>
          <w:sz w:val="18"/>
          <w:szCs w:val="18"/>
        </w:rPr>
        <w:t xml:space="preserve"> o dan</w:t>
      </w:r>
      <w:r>
        <w:rPr>
          <w:rFonts w:ascii="Times New Roman" w:hAnsi="Times New Roman"/>
          <w:sz w:val="18"/>
          <w:szCs w:val="18"/>
        </w:rPr>
        <w:t>e zamieszczone na portalu THETIS-MRV.</w:t>
      </w:r>
    </w:p>
  </w:footnote>
  <w:footnote w:id="12">
    <w:p w14:paraId="3F6C1456" w14:textId="77777777" w:rsidR="007544AC" w:rsidRPr="00787BC5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IPCC, część pierwsza szóstego sprawozdania oceniającego, 20</w:t>
      </w:r>
      <w:r w:rsidRPr="00D928C3">
        <w:rPr>
          <w:rFonts w:ascii="Times New Roman" w:hAnsi="Times New Roman"/>
          <w:sz w:val="18"/>
          <w:szCs w:val="18"/>
          <w:shd w:val="clear" w:color="auto" w:fill="FFFFFF"/>
        </w:rPr>
        <w:t>21</w:t>
      </w:r>
      <w:r w:rsidR="00D928C3" w:rsidRPr="00D928C3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D928C3">
        <w:rPr>
          <w:rFonts w:ascii="Times New Roman" w:hAnsi="Times New Roman"/>
          <w:sz w:val="18"/>
          <w:szCs w:val="18"/>
          <w:shd w:val="clear" w:color="auto" w:fill="FFFFFF"/>
        </w:rPr>
        <w:t>r.</w:t>
      </w:r>
    </w:p>
  </w:footnote>
  <w:footnote w:id="13">
    <w:p w14:paraId="3054EC2D" w14:textId="77777777" w:rsidR="007544AC" w:rsidRPr="006702FB" w:rsidRDefault="007544AC">
      <w:pPr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1) Dane dotyczące historycznych poziomów emisji</w:t>
      </w:r>
      <w:r w:rsidR="00D928C3">
        <w:rPr>
          <w:rFonts w:ascii="Times New Roman" w:hAnsi="Times New Roman"/>
          <w:sz w:val="18"/>
          <w:szCs w:val="18"/>
        </w:rPr>
        <w:t xml:space="preserve"> i poc</w:t>
      </w:r>
      <w:r>
        <w:rPr>
          <w:rFonts w:ascii="Times New Roman" w:hAnsi="Times New Roman"/>
          <w:sz w:val="18"/>
          <w:szCs w:val="18"/>
        </w:rPr>
        <w:t>hłaniania gazów cieplarnianych (lata 1990–2020) bazują na wykazie emisji gazów cieplarnianych Europejskiej Agencji Środowiska</w:t>
      </w:r>
      <w:r w:rsidR="00D928C3">
        <w:rPr>
          <w:rFonts w:ascii="Times New Roman" w:hAnsi="Times New Roman"/>
          <w:sz w:val="18"/>
          <w:szCs w:val="18"/>
        </w:rPr>
        <w:t xml:space="preserve"> z 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2) Prognozy dotyczące poziomów emisji</w:t>
      </w:r>
      <w:r w:rsidR="00D928C3">
        <w:rPr>
          <w:rFonts w:ascii="Times New Roman" w:hAnsi="Times New Roman"/>
          <w:sz w:val="18"/>
          <w:szCs w:val="18"/>
        </w:rPr>
        <w:t xml:space="preserve"> i poc</w:t>
      </w:r>
      <w:r>
        <w:rPr>
          <w:rFonts w:ascii="Times New Roman" w:hAnsi="Times New Roman"/>
          <w:sz w:val="18"/>
          <w:szCs w:val="18"/>
        </w:rPr>
        <w:t>hłaniania (lata 2021–2050) bazują na unijnym scenariuszu odniesienia 2020 („scenariusz odniesienia”; linie koloru szarego) oraz na scenariuszu zakładającym kombinację różnych dziedzin polityki (linie koloru pomarańczowego), które wspierają inicjatywy polityczne</w:t>
      </w:r>
      <w:r w:rsidR="00D928C3">
        <w:rPr>
          <w:rFonts w:ascii="Times New Roman" w:hAnsi="Times New Roman"/>
          <w:sz w:val="18"/>
          <w:szCs w:val="18"/>
        </w:rPr>
        <w:t xml:space="preserve"> w ram</w:t>
      </w:r>
      <w:r>
        <w:rPr>
          <w:rFonts w:ascii="Times New Roman" w:hAnsi="Times New Roman"/>
          <w:sz w:val="18"/>
          <w:szCs w:val="18"/>
        </w:rPr>
        <w:t>ach „Programu na rzecz osiągnięcia celów Europejskiego Zielonego Ładu”. 3) W odniesieniu do danych dotyczących emisji gazów cieplarnianych</w:t>
      </w:r>
      <w:r w:rsidR="00D928C3">
        <w:rPr>
          <w:rFonts w:ascii="Times New Roman" w:hAnsi="Times New Roman"/>
          <w:sz w:val="18"/>
          <w:szCs w:val="18"/>
        </w:rPr>
        <w:t xml:space="preserve"> i pro</w:t>
      </w:r>
      <w:r>
        <w:rPr>
          <w:rFonts w:ascii="Times New Roman" w:hAnsi="Times New Roman"/>
          <w:sz w:val="18"/>
          <w:szCs w:val="18"/>
        </w:rPr>
        <w:t>gnoz</w:t>
      </w:r>
      <w:r w:rsidR="00D928C3">
        <w:rPr>
          <w:rFonts w:ascii="Times New Roman" w:hAnsi="Times New Roman"/>
          <w:sz w:val="18"/>
          <w:szCs w:val="18"/>
        </w:rPr>
        <w:t xml:space="preserve"> w tym</w:t>
      </w:r>
      <w:r>
        <w:rPr>
          <w:rFonts w:ascii="Times New Roman" w:hAnsi="Times New Roman"/>
          <w:sz w:val="18"/>
          <w:szCs w:val="18"/>
        </w:rPr>
        <w:t xml:space="preserve"> zakresie zastosowano współczynniki globalnego ocieplenia przedstawione</w:t>
      </w:r>
      <w:r w:rsidR="00D928C3">
        <w:rPr>
          <w:rFonts w:ascii="Times New Roman" w:hAnsi="Times New Roman"/>
          <w:sz w:val="18"/>
          <w:szCs w:val="18"/>
        </w:rPr>
        <w:t xml:space="preserve"> w 4</w:t>
      </w:r>
      <w:r>
        <w:rPr>
          <w:rFonts w:ascii="Times New Roman" w:hAnsi="Times New Roman"/>
          <w:sz w:val="18"/>
          <w:szCs w:val="18"/>
        </w:rPr>
        <w:t>. sprawozdaniu oceniającym IPCC, aby przekształcić emisje inne niż CO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 w:rsidR="00D928C3">
        <w:rPr>
          <w:rFonts w:ascii="Times New Roman" w:hAnsi="Times New Roman"/>
          <w:sz w:val="18"/>
          <w:szCs w:val="18"/>
        </w:rPr>
        <w:t xml:space="preserve"> w emi</w:t>
      </w:r>
      <w:r>
        <w:rPr>
          <w:rFonts w:ascii="Times New Roman" w:hAnsi="Times New Roman"/>
          <w:sz w:val="18"/>
          <w:szCs w:val="18"/>
        </w:rPr>
        <w:t>sje równoważne emisjom CO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 xml:space="preserve">. 4) Cel </w:t>
      </w:r>
      <w:r w:rsidRPr="00D928C3">
        <w:rPr>
          <w:rFonts w:ascii="Times New Roman" w:hAnsi="Times New Roman"/>
          <w:sz w:val="18"/>
          <w:szCs w:val="18"/>
        </w:rPr>
        <w:t>na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30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(Europejskie prawo</w:t>
      </w:r>
      <w:r w:rsidR="00D928C3">
        <w:rPr>
          <w:rFonts w:ascii="Times New Roman" w:hAnsi="Times New Roman"/>
          <w:sz w:val="18"/>
          <w:szCs w:val="18"/>
        </w:rPr>
        <w:t xml:space="preserve"> o kli</w:t>
      </w:r>
      <w:r>
        <w:rPr>
          <w:rFonts w:ascii="Times New Roman" w:hAnsi="Times New Roman"/>
          <w:sz w:val="18"/>
          <w:szCs w:val="18"/>
        </w:rPr>
        <w:t>macie) zakłada, aby: „emisje gazów cieplarnianych netto, to znaczy emisje po odliczeniu pochłaniania, zostały zmniejszone</w:t>
      </w:r>
      <w:r w:rsidR="00D928C3">
        <w:rPr>
          <w:rFonts w:ascii="Times New Roman" w:hAnsi="Times New Roman"/>
          <w:sz w:val="18"/>
          <w:szCs w:val="18"/>
        </w:rPr>
        <w:t xml:space="preserve"> w cał</w:t>
      </w:r>
      <w:r>
        <w:rPr>
          <w:rFonts w:ascii="Times New Roman" w:hAnsi="Times New Roman"/>
          <w:sz w:val="18"/>
          <w:szCs w:val="18"/>
        </w:rPr>
        <w:t>ej gospodarce i na poziomie Unii o co najmniej 5</w:t>
      </w:r>
      <w:r w:rsidRPr="00D928C3">
        <w:rPr>
          <w:rFonts w:ascii="Times New Roman" w:hAnsi="Times New Roman"/>
          <w:sz w:val="18"/>
          <w:szCs w:val="18"/>
        </w:rPr>
        <w:t>5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%</w:t>
      </w:r>
      <w:r w:rsidR="00D928C3">
        <w:rPr>
          <w:rFonts w:ascii="Times New Roman" w:hAnsi="Times New Roman"/>
          <w:sz w:val="18"/>
          <w:szCs w:val="18"/>
        </w:rPr>
        <w:t xml:space="preserve"> w por</w:t>
      </w:r>
      <w:r>
        <w:rPr>
          <w:rFonts w:ascii="Times New Roman" w:hAnsi="Times New Roman"/>
          <w:sz w:val="18"/>
          <w:szCs w:val="18"/>
        </w:rPr>
        <w:t>ównaniu</w:t>
      </w:r>
      <w:r w:rsidR="00D928C3">
        <w:rPr>
          <w:rFonts w:ascii="Times New Roman" w:hAnsi="Times New Roman"/>
          <w:sz w:val="18"/>
          <w:szCs w:val="18"/>
        </w:rPr>
        <w:t xml:space="preserve"> z poz</w:t>
      </w:r>
      <w:r>
        <w:rPr>
          <w:rFonts w:ascii="Times New Roman" w:hAnsi="Times New Roman"/>
          <w:sz w:val="18"/>
          <w:szCs w:val="18"/>
        </w:rPr>
        <w:t>iomami</w:t>
      </w:r>
      <w:r w:rsidR="00D928C3">
        <w:rPr>
          <w:rFonts w:ascii="Times New Roman" w:hAnsi="Times New Roman"/>
          <w:sz w:val="18"/>
          <w:szCs w:val="18"/>
        </w:rPr>
        <w:t xml:space="preserve"> z 1</w:t>
      </w:r>
      <w:r>
        <w:rPr>
          <w:rFonts w:ascii="Times New Roman" w:hAnsi="Times New Roman"/>
          <w:sz w:val="18"/>
          <w:szCs w:val="18"/>
        </w:rPr>
        <w:t>9</w:t>
      </w:r>
      <w:r w:rsidRPr="00D928C3">
        <w:rPr>
          <w:rFonts w:ascii="Times New Roman" w:hAnsi="Times New Roman"/>
          <w:sz w:val="18"/>
          <w:szCs w:val="18"/>
        </w:rPr>
        <w:t>90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”. Na potrzeby porównywalności kropkę oznaczającą „cel </w:t>
      </w:r>
      <w:r w:rsidRPr="00D928C3">
        <w:rPr>
          <w:rFonts w:ascii="Times New Roman" w:hAnsi="Times New Roman"/>
          <w:sz w:val="18"/>
          <w:szCs w:val="18"/>
        </w:rPr>
        <w:t>na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30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>” umieszczono</w:t>
      </w:r>
      <w:r w:rsidR="00D928C3">
        <w:rPr>
          <w:rFonts w:ascii="Times New Roman" w:hAnsi="Times New Roman"/>
          <w:sz w:val="18"/>
          <w:szCs w:val="18"/>
        </w:rPr>
        <w:t xml:space="preserve"> w mie</w:t>
      </w:r>
      <w:r>
        <w:rPr>
          <w:rFonts w:ascii="Times New Roman" w:hAnsi="Times New Roman"/>
          <w:sz w:val="18"/>
          <w:szCs w:val="18"/>
        </w:rPr>
        <w:t>jscu odpowiadającym poziomowi po obniżeniu emisji gazów cieplarnianych netto</w:t>
      </w:r>
      <w:r w:rsidR="00D928C3">
        <w:rPr>
          <w:rFonts w:ascii="Times New Roman" w:hAnsi="Times New Roman"/>
          <w:sz w:val="18"/>
          <w:szCs w:val="18"/>
        </w:rPr>
        <w:t xml:space="preserve"> o 5</w:t>
      </w:r>
      <w:r w:rsidRPr="00D928C3">
        <w:rPr>
          <w:rFonts w:ascii="Times New Roman" w:hAnsi="Times New Roman"/>
          <w:sz w:val="18"/>
          <w:szCs w:val="18"/>
        </w:rPr>
        <w:t>5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%</w:t>
      </w:r>
      <w:r w:rsidR="00D928C3">
        <w:rPr>
          <w:rFonts w:ascii="Times New Roman" w:hAnsi="Times New Roman"/>
          <w:sz w:val="18"/>
          <w:szCs w:val="18"/>
        </w:rPr>
        <w:t xml:space="preserve"> w por</w:t>
      </w:r>
      <w:r>
        <w:rPr>
          <w:rFonts w:ascii="Times New Roman" w:hAnsi="Times New Roman"/>
          <w:sz w:val="18"/>
          <w:szCs w:val="18"/>
        </w:rPr>
        <w:t>ównaniu</w:t>
      </w:r>
      <w:r w:rsidR="00D928C3">
        <w:rPr>
          <w:rFonts w:ascii="Times New Roman" w:hAnsi="Times New Roman"/>
          <w:sz w:val="18"/>
          <w:szCs w:val="18"/>
        </w:rPr>
        <w:t xml:space="preserve"> z poz</w:t>
      </w:r>
      <w:r>
        <w:rPr>
          <w:rFonts w:ascii="Times New Roman" w:hAnsi="Times New Roman"/>
          <w:sz w:val="18"/>
          <w:szCs w:val="18"/>
        </w:rPr>
        <w:t>iomem</w:t>
      </w:r>
      <w:r w:rsidR="00D928C3">
        <w:rPr>
          <w:rFonts w:ascii="Times New Roman" w:hAnsi="Times New Roman"/>
          <w:sz w:val="18"/>
          <w:szCs w:val="18"/>
        </w:rPr>
        <w:t xml:space="preserve"> z 1</w:t>
      </w:r>
      <w:r>
        <w:rPr>
          <w:rFonts w:ascii="Times New Roman" w:hAnsi="Times New Roman"/>
          <w:sz w:val="18"/>
          <w:szCs w:val="18"/>
        </w:rPr>
        <w:t>9</w:t>
      </w:r>
      <w:r w:rsidRPr="00D928C3">
        <w:rPr>
          <w:rFonts w:ascii="Times New Roman" w:hAnsi="Times New Roman"/>
          <w:sz w:val="18"/>
          <w:szCs w:val="18"/>
        </w:rPr>
        <w:t>90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</w:p>
  </w:footnote>
  <w:footnote w:id="14">
    <w:p w14:paraId="44F55862" w14:textId="77777777" w:rsidR="007544AC" w:rsidRPr="00B511E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511E9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 COM(2020) 562 i SWD(2020) 176 final.</w:t>
      </w:r>
    </w:p>
  </w:footnote>
  <w:footnote w:id="15">
    <w:p w14:paraId="134C7FDF" w14:textId="77777777" w:rsidR="007544AC" w:rsidRPr="006702FB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511E9">
        <w:rPr>
          <w:rFonts w:ascii="Times New Roman" w:hAnsi="Times New Roman"/>
          <w:sz w:val="18"/>
          <w:szCs w:val="18"/>
          <w:lang w:val="en-US"/>
        </w:rPr>
        <w:t xml:space="preserve"> AT, BE, CZ, DE, DK, EE, EL, ES, FI, FR, HR, HU, IT, LV, LT, NL, PT, SE, SI, SK</w:t>
      </w:r>
      <w:r w:rsidR="00D928C3" w:rsidRPr="00B511E9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D928C3">
        <w:rPr>
          <w:rFonts w:ascii="Times New Roman" w:hAnsi="Times New Roman"/>
          <w:sz w:val="18"/>
          <w:szCs w:val="18"/>
        </w:rPr>
        <w:t>W</w:t>
      </w:r>
      <w:r w:rsidR="00D928C3">
        <w:rPr>
          <w:rFonts w:ascii="Times New Roman" w:hAnsi="Times New Roman"/>
          <w:sz w:val="18"/>
          <w:szCs w:val="18"/>
          <w:lang w:val="en-US"/>
        </w:rPr>
        <w:t> </w:t>
      </w:r>
      <w:r w:rsidR="00D928C3">
        <w:rPr>
          <w:rFonts w:ascii="Times New Roman" w:hAnsi="Times New Roman"/>
          <w:sz w:val="18"/>
          <w:szCs w:val="18"/>
        </w:rPr>
        <w:t>dok</w:t>
      </w:r>
      <w:r>
        <w:rPr>
          <w:rFonts w:ascii="Times New Roman" w:hAnsi="Times New Roman"/>
          <w:sz w:val="18"/>
          <w:szCs w:val="18"/>
        </w:rPr>
        <w:t>umencie roboczym służb Komisji przedstawiono tabelę zawierającą wyniki oceny podsumowującej</w:t>
      </w:r>
      <w:r w:rsidR="00D928C3">
        <w:rPr>
          <w:rFonts w:ascii="Times New Roman" w:hAnsi="Times New Roman"/>
          <w:sz w:val="18"/>
          <w:szCs w:val="18"/>
        </w:rPr>
        <w:t>. W lip</w:t>
      </w:r>
      <w:r>
        <w:rPr>
          <w:rFonts w:ascii="Times New Roman" w:hAnsi="Times New Roman"/>
          <w:sz w:val="18"/>
          <w:szCs w:val="18"/>
        </w:rPr>
        <w:t>cu 20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LT przedstawiła aktualizację swojej pierwotnej strategii długoterminowej. We wrześniu 20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Węgry przyjęły ostateczną wersję swojej krajowej strategii długoterminowej, potwierdzając dążenie do osiągnięcia neutralności klimatycznej </w:t>
      </w:r>
      <w:r w:rsidRPr="00D928C3">
        <w:rPr>
          <w:rFonts w:ascii="Times New Roman" w:hAnsi="Times New Roman"/>
          <w:sz w:val="18"/>
          <w:szCs w:val="18"/>
        </w:rPr>
        <w:t>do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50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Wspomniana strategia nie została jeszcze formalnie przedłożona Komisji</w:t>
      </w:r>
      <w:r w:rsidR="00D928C3">
        <w:rPr>
          <w:rFonts w:ascii="Times New Roman" w:hAnsi="Times New Roman"/>
          <w:sz w:val="18"/>
          <w:szCs w:val="18"/>
        </w:rPr>
        <w:t>. W lip</w:t>
      </w:r>
      <w:r>
        <w:rPr>
          <w:rFonts w:ascii="Times New Roman" w:hAnsi="Times New Roman"/>
          <w:sz w:val="18"/>
          <w:szCs w:val="18"/>
        </w:rPr>
        <w:t>cu 20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rząd Luksemburga przyjął projekt krajowej strategii długoterminowej. Przed jej ostatecznym przyjęciem zorganizowane zostaną konsultacje publiczne.</w:t>
      </w:r>
    </w:p>
  </w:footnote>
  <w:footnote w:id="16">
    <w:p w14:paraId="78D2406F" w14:textId="77777777" w:rsidR="007544AC" w:rsidRPr="00787BC5" w:rsidRDefault="007544AC">
      <w:pPr>
        <w:pStyle w:val="Char1"/>
        <w:spacing w:before="0" w:after="0" w:line="240" w:lineRule="auto"/>
        <w:rPr>
          <w:rStyle w:val="Odwoanieprzypisudolnego"/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sz w:val="18"/>
          <w:szCs w:val="18"/>
        </w:rPr>
        <w:t xml:space="preserve"> </w:t>
      </w:r>
      <w:r>
        <w:rPr>
          <w:rStyle w:val="Odwoanieprzypisudolnego"/>
          <w:rFonts w:ascii="Times New Roman" w:hAnsi="Times New Roman"/>
          <w:sz w:val="18"/>
          <w:szCs w:val="18"/>
          <w:vertAlign w:val="baseline"/>
        </w:rPr>
        <w:t>Zgodnie</w:t>
      </w:r>
      <w:r>
        <w:rPr>
          <w:rFonts w:ascii="Times New Roman" w:hAnsi="Times New Roman"/>
          <w:sz w:val="18"/>
          <w:szCs w:val="18"/>
          <w:vertAlign w:val="baseline"/>
        </w:rPr>
        <w:t xml:space="preserve">z </w:t>
      </w:r>
      <w:r>
        <w:rPr>
          <w:rStyle w:val="Odwoanieprzypisudolnego"/>
          <w:rFonts w:ascii="Times New Roman" w:hAnsi="Times New Roman"/>
          <w:sz w:val="18"/>
          <w:szCs w:val="18"/>
          <w:vertAlign w:val="baseline"/>
        </w:rPr>
        <w:t>art.</w:t>
      </w:r>
      <w:r>
        <w:rPr>
          <w:rFonts w:ascii="Times New Roman" w:hAnsi="Times New Roman"/>
          <w:sz w:val="18"/>
          <w:szCs w:val="18"/>
          <w:vertAlign w:val="baseline"/>
        </w:rPr>
        <w:t>15</w:t>
      </w:r>
      <w:r>
        <w:rPr>
          <w:rStyle w:val="Odwoanieprzypisudolnego"/>
          <w:rFonts w:ascii="Times New Roman" w:hAnsi="Times New Roman"/>
          <w:sz w:val="18"/>
          <w:szCs w:val="18"/>
          <w:vertAlign w:val="baseline"/>
        </w:rPr>
        <w:t xml:space="preserve"> rozporządzenia (UE) 2018/1999</w:t>
      </w:r>
      <w:r>
        <w:rPr>
          <w:rFonts w:ascii="Times New Roman" w:hAnsi="Times New Roman"/>
          <w:sz w:val="18"/>
          <w:szCs w:val="18"/>
          <w:vertAlign w:val="baseline"/>
        </w:rPr>
        <w:t xml:space="preserve"> państwa członkowskie powinny przedłożyć swoje strategie długoterminowe do stycznia 20</w:t>
      </w:r>
      <w:r w:rsidRPr="00D928C3">
        <w:rPr>
          <w:rFonts w:ascii="Times New Roman" w:hAnsi="Times New Roman"/>
          <w:sz w:val="18"/>
          <w:szCs w:val="18"/>
          <w:vertAlign w:val="baseline"/>
        </w:rPr>
        <w:t>20</w:t>
      </w:r>
      <w:r w:rsidR="00D928C3" w:rsidRPr="00D928C3">
        <w:rPr>
          <w:rFonts w:ascii="Times New Roman" w:hAnsi="Times New Roman"/>
          <w:sz w:val="18"/>
          <w:szCs w:val="18"/>
          <w:vertAlign w:val="baseline"/>
        </w:rPr>
        <w:t> </w:t>
      </w:r>
      <w:r w:rsidRPr="00D928C3">
        <w:rPr>
          <w:rFonts w:ascii="Times New Roman" w:hAnsi="Times New Roman"/>
          <w:sz w:val="18"/>
          <w:szCs w:val="18"/>
          <w:vertAlign w:val="baseline"/>
        </w:rPr>
        <w:t>r.</w:t>
      </w:r>
      <w:r>
        <w:rPr>
          <w:rStyle w:val="Odwoanieprzypisudolnego"/>
          <w:rFonts w:ascii="Times New Roman" w:hAnsi="Times New Roman"/>
          <w:sz w:val="18"/>
          <w:szCs w:val="18"/>
          <w:vertAlign w:val="baseline"/>
        </w:rPr>
        <w:t>.</w:t>
      </w:r>
    </w:p>
  </w:footnote>
  <w:footnote w:id="17">
    <w:p w14:paraId="34FEEBE5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>Rozporządzenie (UE) 2021/1119.</w:t>
      </w:r>
      <w:r>
        <w:tab/>
      </w:r>
    </w:p>
  </w:footnote>
  <w:footnote w:id="18">
    <w:p w14:paraId="32AC768D" w14:textId="77777777" w:rsidR="007544AC" w:rsidRPr="00787BC5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COM(2021) 550 final. Aby uzyskać dodatkowe szczegółowe informacje, zob. dokument roboczy służb Komisji.</w:t>
      </w:r>
    </w:p>
  </w:footnote>
  <w:footnote w:id="19">
    <w:p w14:paraId="1D4CC835" w14:textId="77777777" w:rsidR="007544AC" w:rsidRPr="00B511E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511E9">
        <w:rPr>
          <w:rFonts w:ascii="Times New Roman" w:hAnsi="Times New Roman"/>
          <w:sz w:val="18"/>
          <w:szCs w:val="18"/>
          <w:lang w:val="en-US"/>
        </w:rPr>
        <w:t xml:space="preserve"> COM(2021) 572 final.</w:t>
      </w:r>
    </w:p>
  </w:footnote>
  <w:footnote w:id="20">
    <w:p w14:paraId="25A94996" w14:textId="77777777" w:rsidR="007544AC" w:rsidRPr="00B511E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511E9">
        <w:rPr>
          <w:rFonts w:ascii="Times New Roman" w:hAnsi="Times New Roman"/>
          <w:sz w:val="18"/>
          <w:szCs w:val="18"/>
          <w:lang w:val="en-US"/>
        </w:rPr>
        <w:t xml:space="preserve"> COM(2021) 82 final.</w:t>
      </w:r>
    </w:p>
  </w:footnote>
  <w:footnote w:id="21">
    <w:p w14:paraId="6A78B909" w14:textId="77777777" w:rsidR="00197B70" w:rsidRPr="00B511E9" w:rsidRDefault="00197B70" w:rsidP="00B7742C">
      <w:pPr>
        <w:pStyle w:val="Tekstprzypisudolnego"/>
        <w:spacing w:before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511E9">
        <w:rPr>
          <w:rFonts w:ascii="Times New Roman" w:hAnsi="Times New Roman"/>
          <w:sz w:val="18"/>
          <w:szCs w:val="18"/>
          <w:lang w:val="en-US"/>
        </w:rPr>
        <w:t xml:space="preserve"> </w:t>
      </w:r>
      <w:hyperlink r:id="rId1" w:history="1">
        <w:r w:rsidRPr="00B511E9">
          <w:rPr>
            <w:rStyle w:val="Hipercze"/>
            <w:rFonts w:ascii="Times New Roman" w:hAnsi="Times New Roman"/>
            <w:sz w:val="18"/>
            <w:szCs w:val="18"/>
            <w:lang w:val="en-US"/>
          </w:rPr>
          <w:t>https://unfccc.int/documents/307266</w:t>
        </w:r>
      </w:hyperlink>
      <w:r w:rsidRPr="00B511E9">
        <w:rPr>
          <w:rFonts w:ascii="Times New Roman" w:hAnsi="Times New Roman"/>
          <w:sz w:val="18"/>
          <w:szCs w:val="18"/>
          <w:lang w:val="en-US"/>
        </w:rPr>
        <w:t xml:space="preserve"> </w:t>
      </w:r>
    </w:p>
  </w:footnote>
  <w:footnote w:id="22">
    <w:p w14:paraId="345F7B4B" w14:textId="77777777" w:rsidR="007544AC" w:rsidRPr="00197B70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SWD(2021) 621 final. </w:t>
      </w:r>
    </w:p>
  </w:footnote>
  <w:footnote w:id="23">
    <w:p w14:paraId="4E09AABC" w14:textId="77777777" w:rsidR="007544AC" w:rsidRPr="00A933D3" w:rsidRDefault="007544AC" w:rsidP="00B7742C">
      <w:pPr>
        <w:pStyle w:val="Tekstprzypisudolnego"/>
        <w:spacing w:before="0"/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Przedstawione szacunki nie uwzględniają kosztów inwestycji</w:t>
      </w:r>
      <w:r w:rsidR="00D928C3">
        <w:rPr>
          <w:rFonts w:ascii="Times New Roman" w:hAnsi="Times New Roman"/>
          <w:sz w:val="18"/>
          <w:szCs w:val="18"/>
        </w:rPr>
        <w:t xml:space="preserve"> w obs</w:t>
      </w:r>
      <w:r>
        <w:rPr>
          <w:rFonts w:ascii="Times New Roman" w:hAnsi="Times New Roman"/>
          <w:sz w:val="18"/>
          <w:szCs w:val="18"/>
        </w:rPr>
        <w:t>zarach takich jak zmiana kwalifikacji</w:t>
      </w:r>
      <w:r w:rsidR="00D928C3">
        <w:rPr>
          <w:rFonts w:ascii="Times New Roman" w:hAnsi="Times New Roman"/>
          <w:sz w:val="18"/>
          <w:szCs w:val="18"/>
        </w:rPr>
        <w:t xml:space="preserve"> i pod</w:t>
      </w:r>
      <w:r>
        <w:rPr>
          <w:rFonts w:ascii="Times New Roman" w:hAnsi="Times New Roman"/>
          <w:sz w:val="18"/>
          <w:szCs w:val="18"/>
        </w:rPr>
        <w:t>noszenie kwalifikacji siły roboczej; wspieranie przepływów na rynku pracy</w:t>
      </w:r>
      <w:r w:rsidR="00D928C3">
        <w:rPr>
          <w:rFonts w:ascii="Times New Roman" w:hAnsi="Times New Roman"/>
          <w:sz w:val="18"/>
          <w:szCs w:val="18"/>
        </w:rPr>
        <w:t xml:space="preserve"> i res</w:t>
      </w:r>
      <w:r>
        <w:rPr>
          <w:rFonts w:ascii="Times New Roman" w:hAnsi="Times New Roman"/>
          <w:sz w:val="18"/>
          <w:szCs w:val="18"/>
        </w:rPr>
        <w:t>trukturyzacji rynku pracy oraz udzielanie wsparcia dochodowego gospodarstwom domowym znajdującym się</w:t>
      </w:r>
      <w:r w:rsidR="00D928C3">
        <w:rPr>
          <w:rFonts w:ascii="Times New Roman" w:hAnsi="Times New Roman"/>
          <w:sz w:val="18"/>
          <w:szCs w:val="18"/>
        </w:rPr>
        <w:t xml:space="preserve"> w tru</w:t>
      </w:r>
      <w:r>
        <w:rPr>
          <w:rFonts w:ascii="Times New Roman" w:hAnsi="Times New Roman"/>
          <w:sz w:val="18"/>
          <w:szCs w:val="18"/>
        </w:rPr>
        <w:t>dnej sytuacji.</w:t>
      </w:r>
    </w:p>
  </w:footnote>
  <w:footnote w:id="24">
    <w:p w14:paraId="63E7DADE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COM(2020) 456 final.</w:t>
      </w:r>
    </w:p>
  </w:footnote>
  <w:footnote w:id="25">
    <w:p w14:paraId="50C4580E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shd w:val="clear" w:color="auto" w:fill="FFFFFF"/>
        </w:rPr>
        <w:t>„Zrównoważone finansowanie” odnosi się do należytego uwzględniania aspektów klimatycznych, środowiskowych</w:t>
      </w:r>
      <w:r w:rsidR="00D928C3">
        <w:rPr>
          <w:rFonts w:ascii="Times New Roman" w:hAnsi="Times New Roman"/>
          <w:sz w:val="18"/>
          <w:szCs w:val="18"/>
          <w:shd w:val="clear" w:color="auto" w:fill="FFFFFF"/>
        </w:rPr>
        <w:t xml:space="preserve"> i spo</w:t>
      </w:r>
      <w:r>
        <w:rPr>
          <w:rFonts w:ascii="Times New Roman" w:hAnsi="Times New Roman"/>
          <w:sz w:val="18"/>
          <w:szCs w:val="18"/>
          <w:shd w:val="clear" w:color="auto" w:fill="FFFFFF"/>
        </w:rPr>
        <w:t>łecznych przy podejmowaniu decyzji inwestycyjnych, co prowadzi do zwiększenia inwestycji</w:t>
      </w:r>
      <w:r w:rsidR="00D928C3">
        <w:rPr>
          <w:rFonts w:ascii="Times New Roman" w:hAnsi="Times New Roman"/>
          <w:sz w:val="18"/>
          <w:szCs w:val="18"/>
          <w:shd w:val="clear" w:color="auto" w:fill="FFFFFF"/>
        </w:rPr>
        <w:t xml:space="preserve"> w dzi</w:t>
      </w:r>
      <w:r>
        <w:rPr>
          <w:rFonts w:ascii="Times New Roman" w:hAnsi="Times New Roman"/>
          <w:sz w:val="18"/>
          <w:szCs w:val="18"/>
          <w:shd w:val="clear" w:color="auto" w:fill="FFFFFF"/>
        </w:rPr>
        <w:t>ałania długoterminowe</w:t>
      </w:r>
      <w:r w:rsidR="00D928C3">
        <w:rPr>
          <w:rFonts w:ascii="Times New Roman" w:hAnsi="Times New Roman"/>
          <w:sz w:val="18"/>
          <w:szCs w:val="18"/>
          <w:shd w:val="clear" w:color="auto" w:fill="FFFFFF"/>
        </w:rPr>
        <w:t xml:space="preserve"> i zgo</w:t>
      </w:r>
      <w:r>
        <w:rPr>
          <w:rFonts w:ascii="Times New Roman" w:hAnsi="Times New Roman"/>
          <w:sz w:val="18"/>
          <w:szCs w:val="18"/>
          <w:shd w:val="clear" w:color="auto" w:fill="FFFFFF"/>
        </w:rPr>
        <w:t>dne</w:t>
      </w:r>
      <w:r w:rsidR="00D928C3">
        <w:rPr>
          <w:rFonts w:ascii="Times New Roman" w:hAnsi="Times New Roman"/>
          <w:sz w:val="18"/>
          <w:szCs w:val="18"/>
          <w:shd w:val="clear" w:color="auto" w:fill="FFFFFF"/>
        </w:rPr>
        <w:t xml:space="preserve"> z zas</w:t>
      </w:r>
      <w:r>
        <w:rPr>
          <w:rFonts w:ascii="Times New Roman" w:hAnsi="Times New Roman"/>
          <w:sz w:val="18"/>
          <w:szCs w:val="18"/>
          <w:shd w:val="clear" w:color="auto" w:fill="FFFFFF"/>
        </w:rPr>
        <w:t>adami zrównoważonego rozwoju.</w:t>
      </w:r>
    </w:p>
  </w:footnote>
  <w:footnote w:id="26">
    <w:p w14:paraId="1772F006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SWD(2021) 180 final.</w:t>
      </w:r>
    </w:p>
  </w:footnote>
  <w:footnote w:id="27">
    <w:p w14:paraId="2F6ECEFA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(UE) 2020/852.</w:t>
      </w:r>
    </w:p>
  </w:footnote>
  <w:footnote w:id="28">
    <w:p w14:paraId="49071A85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Rozporządzenie delegowane Komisji uzupełniające rozporządzenie (UE) 2020/852 poprzez ustanowienie technicznych kryteriów kwalifikacji służących określeniu warunków, na jakich dana działalność gospodarcza kwalifikuje się jako wnosząca istotny wkład</w:t>
      </w:r>
      <w:r w:rsidR="00D928C3">
        <w:rPr>
          <w:rFonts w:ascii="Times New Roman" w:hAnsi="Times New Roman"/>
          <w:sz w:val="18"/>
          <w:szCs w:val="18"/>
        </w:rPr>
        <w:t xml:space="preserve"> w łag</w:t>
      </w:r>
      <w:r>
        <w:rPr>
          <w:rFonts w:ascii="Times New Roman" w:hAnsi="Times New Roman"/>
          <w:sz w:val="18"/>
          <w:szCs w:val="18"/>
        </w:rPr>
        <w:t>odzenie zmian klimatu lub</w:t>
      </w:r>
      <w:r w:rsidR="00D928C3">
        <w:rPr>
          <w:rFonts w:ascii="Times New Roman" w:hAnsi="Times New Roman"/>
          <w:sz w:val="18"/>
          <w:szCs w:val="18"/>
        </w:rPr>
        <w:t xml:space="preserve"> w ada</w:t>
      </w:r>
      <w:r>
        <w:rPr>
          <w:rFonts w:ascii="Times New Roman" w:hAnsi="Times New Roman"/>
          <w:sz w:val="18"/>
          <w:szCs w:val="18"/>
        </w:rPr>
        <w:t>ptację do zmian klimatu,</w:t>
      </w:r>
      <w:r w:rsidR="00D928C3">
        <w:rPr>
          <w:rFonts w:ascii="Times New Roman" w:hAnsi="Times New Roman"/>
          <w:sz w:val="18"/>
          <w:szCs w:val="18"/>
        </w:rPr>
        <w:t xml:space="preserve"> a tak</w:t>
      </w:r>
      <w:r>
        <w:rPr>
          <w:rFonts w:ascii="Times New Roman" w:hAnsi="Times New Roman"/>
          <w:sz w:val="18"/>
          <w:szCs w:val="18"/>
        </w:rPr>
        <w:t>że określeniu, czy ta działalność gospodarcza nie wyrządza poważonych szkód względem żadnego</w:t>
      </w:r>
      <w:r w:rsidR="00D928C3">
        <w:rPr>
          <w:rFonts w:ascii="Times New Roman" w:hAnsi="Times New Roman"/>
          <w:sz w:val="18"/>
          <w:szCs w:val="18"/>
        </w:rPr>
        <w:t xml:space="preserve"> z poz</w:t>
      </w:r>
      <w:r>
        <w:rPr>
          <w:rFonts w:ascii="Times New Roman" w:hAnsi="Times New Roman"/>
          <w:sz w:val="18"/>
          <w:szCs w:val="18"/>
        </w:rPr>
        <w:t>ostałych celów środowiskowych (C(2021) 2800 final).</w:t>
      </w:r>
    </w:p>
  </w:footnote>
  <w:footnote w:id="29">
    <w:p w14:paraId="30914805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Sprawozdanie wymagane na mocy </w:t>
      </w:r>
      <w:r w:rsidRPr="00D928C3">
        <w:rPr>
          <w:rFonts w:ascii="Times New Roman" w:hAnsi="Times New Roman"/>
          <w:sz w:val="18"/>
          <w:szCs w:val="18"/>
        </w:rPr>
        <w:t>art.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6 </w:t>
      </w:r>
      <w:r w:rsidRPr="00D928C3">
        <w:rPr>
          <w:rFonts w:ascii="Times New Roman" w:hAnsi="Times New Roman"/>
          <w:sz w:val="18"/>
          <w:szCs w:val="18"/>
        </w:rPr>
        <w:t>ust.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rozporządzenia</w:t>
      </w:r>
      <w:r w:rsidR="00D928C3">
        <w:rPr>
          <w:rFonts w:ascii="Times New Roman" w:hAnsi="Times New Roman"/>
          <w:sz w:val="18"/>
          <w:szCs w:val="18"/>
        </w:rPr>
        <w:t xml:space="preserve"> w spr</w:t>
      </w:r>
      <w:r>
        <w:rPr>
          <w:rFonts w:ascii="Times New Roman" w:hAnsi="Times New Roman"/>
          <w:sz w:val="18"/>
          <w:szCs w:val="18"/>
        </w:rPr>
        <w:t>awie systematyki.</w:t>
      </w:r>
    </w:p>
  </w:footnote>
  <w:footnote w:id="30">
    <w:p w14:paraId="5084AA47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Wspomniana platforma zrzesza 17 państw odpowiadających za ponad 5</w:t>
      </w:r>
      <w:r w:rsidRPr="00D928C3">
        <w:rPr>
          <w:rFonts w:ascii="Times New Roman" w:hAnsi="Times New Roman"/>
          <w:sz w:val="18"/>
          <w:szCs w:val="18"/>
        </w:rPr>
        <w:t>5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%</w:t>
      </w:r>
      <w:r>
        <w:rPr>
          <w:rFonts w:ascii="Times New Roman" w:hAnsi="Times New Roman"/>
          <w:sz w:val="18"/>
          <w:szCs w:val="18"/>
        </w:rPr>
        <w:t xml:space="preserve"> emisji gazów cieplarnianych na świecie.</w:t>
      </w:r>
    </w:p>
  </w:footnote>
  <w:footnote w:id="31">
    <w:p w14:paraId="0C85440E" w14:textId="77777777" w:rsidR="007544AC" w:rsidRPr="00F24281" w:rsidRDefault="007544AC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COM(2021) 189 final.</w:t>
      </w:r>
    </w:p>
  </w:footnote>
  <w:footnote w:id="32">
    <w:p w14:paraId="6F9093E4" w14:textId="77777777" w:rsidR="007544AC" w:rsidRPr="00F24281" w:rsidRDefault="007544AC">
      <w:pPr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(UE) 2021/241.</w:t>
      </w:r>
    </w:p>
  </w:footnote>
  <w:footnote w:id="33">
    <w:p w14:paraId="1886849F" w14:textId="77777777" w:rsidR="007544AC" w:rsidRPr="00F24281" w:rsidRDefault="007544AC" w:rsidP="0025227B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 przykład nie dopuszcza się możliwości realizowania inwestycji</w:t>
      </w:r>
      <w:r w:rsidR="00D928C3">
        <w:rPr>
          <w:rFonts w:ascii="Times New Roman" w:hAnsi="Times New Roman"/>
          <w:sz w:val="18"/>
          <w:szCs w:val="18"/>
        </w:rPr>
        <w:t xml:space="preserve"> w pal</w:t>
      </w:r>
      <w:r>
        <w:rPr>
          <w:rFonts w:ascii="Times New Roman" w:hAnsi="Times New Roman"/>
          <w:sz w:val="18"/>
          <w:szCs w:val="18"/>
        </w:rPr>
        <w:t>iwa kopalne</w:t>
      </w:r>
      <w:r w:rsidR="00D928C3">
        <w:rPr>
          <w:rFonts w:ascii="Times New Roman" w:hAnsi="Times New Roman"/>
          <w:sz w:val="18"/>
          <w:szCs w:val="18"/>
        </w:rPr>
        <w:t xml:space="preserve"> i inf</w:t>
      </w:r>
      <w:r>
        <w:rPr>
          <w:rFonts w:ascii="Times New Roman" w:hAnsi="Times New Roman"/>
          <w:sz w:val="18"/>
          <w:szCs w:val="18"/>
        </w:rPr>
        <w:t>rastrukturę, inwestycji</w:t>
      </w:r>
      <w:r w:rsidR="00D928C3">
        <w:rPr>
          <w:rFonts w:ascii="Times New Roman" w:hAnsi="Times New Roman"/>
          <w:sz w:val="18"/>
          <w:szCs w:val="18"/>
        </w:rPr>
        <w:t xml:space="preserve"> w bud</w:t>
      </w:r>
      <w:r>
        <w:rPr>
          <w:rFonts w:ascii="Times New Roman" w:hAnsi="Times New Roman"/>
          <w:sz w:val="18"/>
          <w:szCs w:val="18"/>
        </w:rPr>
        <w:t>owę nowych dróg ani inwestycji</w:t>
      </w:r>
      <w:r w:rsidR="00D928C3">
        <w:rPr>
          <w:rFonts w:ascii="Times New Roman" w:hAnsi="Times New Roman"/>
          <w:sz w:val="18"/>
          <w:szCs w:val="18"/>
        </w:rPr>
        <w:t xml:space="preserve"> w spa</w:t>
      </w:r>
      <w:r>
        <w:rPr>
          <w:rFonts w:ascii="Times New Roman" w:hAnsi="Times New Roman"/>
          <w:sz w:val="18"/>
          <w:szCs w:val="18"/>
        </w:rPr>
        <w:t>larnie odpadów.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</w:footnote>
  <w:footnote w:id="34">
    <w:p w14:paraId="7B9A85B9" w14:textId="77777777" w:rsidR="0025227B" w:rsidRDefault="007544AC" w:rsidP="0025227B">
      <w:pPr>
        <w:pStyle w:val="Tekstprzypisudolnego"/>
        <w:spacing w:before="0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Wydatki zgłoszone</w:t>
      </w:r>
      <w:r w:rsidR="00D928C3">
        <w:rPr>
          <w:rFonts w:ascii="Times New Roman" w:hAnsi="Times New Roman"/>
          <w:sz w:val="18"/>
          <w:szCs w:val="18"/>
        </w:rPr>
        <w:t xml:space="preserve"> w odn</w:t>
      </w:r>
      <w:r>
        <w:rPr>
          <w:rFonts w:ascii="Times New Roman" w:hAnsi="Times New Roman"/>
          <w:sz w:val="18"/>
          <w:szCs w:val="18"/>
        </w:rPr>
        <w:t>iesieniu do RRF są szacunkami przetworzonymi przez Komisję</w:t>
      </w:r>
      <w:r w:rsidR="00D928C3">
        <w:rPr>
          <w:rFonts w:ascii="Times New Roman" w:hAnsi="Times New Roman"/>
          <w:sz w:val="18"/>
          <w:szCs w:val="18"/>
        </w:rPr>
        <w:t xml:space="preserve"> w opa</w:t>
      </w:r>
      <w:r>
        <w:rPr>
          <w:rFonts w:ascii="Times New Roman" w:hAnsi="Times New Roman"/>
          <w:sz w:val="18"/>
          <w:szCs w:val="18"/>
        </w:rPr>
        <w:t>rciu</w:t>
      </w:r>
      <w:r w:rsidR="00D928C3">
        <w:rPr>
          <w:rFonts w:ascii="Times New Roman" w:hAnsi="Times New Roman"/>
          <w:sz w:val="18"/>
          <w:szCs w:val="18"/>
        </w:rPr>
        <w:t xml:space="preserve"> o inf</w:t>
      </w:r>
      <w:r>
        <w:rPr>
          <w:rFonts w:ascii="Times New Roman" w:hAnsi="Times New Roman"/>
          <w:sz w:val="18"/>
          <w:szCs w:val="18"/>
        </w:rPr>
        <w:t>ormacje</w:t>
      </w:r>
      <w:r w:rsidR="00D928C3">
        <w:rPr>
          <w:rFonts w:ascii="Times New Roman" w:hAnsi="Times New Roman"/>
          <w:sz w:val="18"/>
          <w:szCs w:val="18"/>
        </w:rPr>
        <w:t xml:space="preserve"> o mon</w:t>
      </w:r>
      <w:r>
        <w:rPr>
          <w:rFonts w:ascii="Times New Roman" w:hAnsi="Times New Roman"/>
          <w:sz w:val="18"/>
          <w:szCs w:val="18"/>
        </w:rPr>
        <w:t>itorowaniu wydatków na cele związane</w:t>
      </w:r>
      <w:r w:rsidR="00D928C3">
        <w:rPr>
          <w:rFonts w:ascii="Times New Roman" w:hAnsi="Times New Roman"/>
          <w:sz w:val="18"/>
          <w:szCs w:val="18"/>
        </w:rPr>
        <w:t xml:space="preserve"> z kli</w:t>
      </w:r>
      <w:r>
        <w:rPr>
          <w:rFonts w:ascii="Times New Roman" w:hAnsi="Times New Roman"/>
          <w:sz w:val="18"/>
          <w:szCs w:val="18"/>
        </w:rPr>
        <w:t>matem, opublikowane jako część analizy Komisji dotyczącej planów odbudowy</w:t>
      </w:r>
      <w:r w:rsidR="00D928C3">
        <w:rPr>
          <w:rFonts w:ascii="Times New Roman" w:hAnsi="Times New Roman"/>
          <w:sz w:val="18"/>
          <w:szCs w:val="18"/>
        </w:rPr>
        <w:t xml:space="preserve"> i zwi</w:t>
      </w:r>
      <w:r>
        <w:rPr>
          <w:rFonts w:ascii="Times New Roman" w:hAnsi="Times New Roman"/>
          <w:sz w:val="18"/>
          <w:szCs w:val="18"/>
        </w:rPr>
        <w:t>ększania odporności. Zgłoszone dane odpowiadają 22 krajowym planom odbudowy</w:t>
      </w:r>
      <w:r w:rsidR="00D928C3">
        <w:rPr>
          <w:rFonts w:ascii="Times New Roman" w:hAnsi="Times New Roman"/>
          <w:sz w:val="18"/>
          <w:szCs w:val="18"/>
        </w:rPr>
        <w:t xml:space="preserve"> i zwi</w:t>
      </w:r>
      <w:r>
        <w:rPr>
          <w:rFonts w:ascii="Times New Roman" w:hAnsi="Times New Roman"/>
          <w:sz w:val="18"/>
          <w:szCs w:val="18"/>
        </w:rPr>
        <w:t>ększania odporności ocenionym</w:t>
      </w:r>
      <w:r w:rsidR="00D928C3">
        <w:rPr>
          <w:rFonts w:ascii="Times New Roman" w:hAnsi="Times New Roman"/>
          <w:sz w:val="18"/>
          <w:szCs w:val="18"/>
        </w:rPr>
        <w:t xml:space="preserve"> i prz</w:t>
      </w:r>
      <w:r>
        <w:rPr>
          <w:rFonts w:ascii="Times New Roman" w:hAnsi="Times New Roman"/>
          <w:sz w:val="18"/>
          <w:szCs w:val="18"/>
        </w:rPr>
        <w:t>yjętym przez Komisję do dnia 5 października,</w:t>
      </w:r>
      <w:r w:rsidR="00D928C3">
        <w:rPr>
          <w:rFonts w:ascii="Times New Roman" w:hAnsi="Times New Roman"/>
          <w:sz w:val="18"/>
          <w:szCs w:val="18"/>
        </w:rPr>
        <w:t xml:space="preserve"> a kwo</w:t>
      </w:r>
      <w:r>
        <w:rPr>
          <w:rFonts w:ascii="Times New Roman" w:hAnsi="Times New Roman"/>
          <w:sz w:val="18"/>
          <w:szCs w:val="18"/>
        </w:rPr>
        <w:t>ta ta będzie zmieniać się, jako że więcej planów będzie przedmiotem oceny.</w:t>
      </w:r>
    </w:p>
    <w:p w14:paraId="720912B9" w14:textId="77777777" w:rsidR="007544AC" w:rsidRPr="00B7742C" w:rsidRDefault="007544AC">
      <w:pPr>
        <w:pStyle w:val="Tekstprzypisudolnego"/>
        <w:spacing w:before="0"/>
        <w:rPr>
          <w:rFonts w:ascii="Times New Roman" w:hAnsi="Times New Roman" w:cs="Times New Roman"/>
          <w:sz w:val="18"/>
          <w:szCs w:val="18"/>
        </w:rPr>
      </w:pPr>
    </w:p>
  </w:footnote>
  <w:footnote w:id="35">
    <w:p w14:paraId="6120419C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2" w:history="1">
        <w:r>
          <w:rPr>
            <w:rFonts w:ascii="Times New Roman" w:hAnsi="Times New Roman"/>
            <w:sz w:val="18"/>
            <w:szCs w:val="18"/>
            <w:shd w:val="clear" w:color="auto" w:fill="FFFFFF"/>
          </w:rPr>
          <w:t>Przegląd dotyczący zatrudnienia</w:t>
        </w:r>
        <w:r w:rsidR="00D928C3">
          <w:rPr>
            <w:rFonts w:ascii="Times New Roman" w:hAnsi="Times New Roman"/>
            <w:sz w:val="18"/>
            <w:szCs w:val="18"/>
            <w:shd w:val="clear" w:color="auto" w:fill="FFFFFF"/>
          </w:rPr>
          <w:t xml:space="preserve"> i kwe</w:t>
        </w:r>
        <w:r>
          <w:rPr>
            <w:rFonts w:ascii="Times New Roman" w:hAnsi="Times New Roman"/>
            <w:sz w:val="18"/>
            <w:szCs w:val="18"/>
            <w:shd w:val="clear" w:color="auto" w:fill="FFFFFF"/>
          </w:rPr>
          <w:t>stii społecznych</w:t>
        </w:r>
        <w:r w:rsidR="00D928C3">
          <w:rPr>
            <w:rFonts w:ascii="Times New Roman" w:hAnsi="Times New Roman"/>
            <w:sz w:val="18"/>
            <w:szCs w:val="18"/>
            <w:shd w:val="clear" w:color="auto" w:fill="FFFFFF"/>
          </w:rPr>
          <w:t xml:space="preserve"> w Eur</w:t>
        </w:r>
        <w:r>
          <w:rPr>
            <w:rFonts w:ascii="Times New Roman" w:hAnsi="Times New Roman"/>
            <w:sz w:val="18"/>
            <w:szCs w:val="18"/>
            <w:shd w:val="clear" w:color="auto" w:fill="FFFFFF"/>
          </w:rPr>
          <w:t>opie</w:t>
        </w:r>
      </w:hyperlink>
      <w:r w:rsidR="00D928C3">
        <w:rPr>
          <w:rFonts w:ascii="Times New Roman" w:hAnsi="Times New Roman"/>
          <w:sz w:val="18"/>
          <w:szCs w:val="18"/>
          <w:shd w:val="clear" w:color="auto" w:fill="FFFFFF"/>
        </w:rPr>
        <w:t xml:space="preserve"> z 2</w:t>
      </w:r>
      <w:r>
        <w:rPr>
          <w:rFonts w:ascii="Times New Roman" w:hAnsi="Times New Roman"/>
          <w:sz w:val="18"/>
          <w:szCs w:val="18"/>
          <w:shd w:val="clear" w:color="auto" w:fill="FFFFFF"/>
        </w:rPr>
        <w:t>0</w:t>
      </w:r>
      <w:r w:rsidRPr="00D928C3">
        <w:rPr>
          <w:rFonts w:ascii="Times New Roman" w:hAnsi="Times New Roman"/>
          <w:sz w:val="18"/>
          <w:szCs w:val="18"/>
          <w:shd w:val="clear" w:color="auto" w:fill="FFFFFF"/>
        </w:rPr>
        <w:t>20</w:t>
      </w:r>
      <w:r w:rsidR="00D928C3" w:rsidRPr="00D928C3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D928C3">
        <w:rPr>
          <w:rFonts w:ascii="Times New Roman" w:hAnsi="Times New Roman"/>
          <w:sz w:val="18"/>
          <w:szCs w:val="18"/>
          <w:shd w:val="clear" w:color="auto" w:fill="FFFFFF"/>
        </w:rPr>
        <w:t>r.</w:t>
      </w:r>
    </w:p>
  </w:footnote>
  <w:footnote w:id="36">
    <w:p w14:paraId="2D81E7FF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hyperlink r:id="rId3" w:anchor=":~:text=The%20Just%20Transition%20Platform%20aims%20to%20assist%20EU,support%20and%20knowledge%20related%20to%20the%20just%20transition." w:history="1">
        <w:r>
          <w:rPr>
            <w:rStyle w:val="Hipercze"/>
            <w:rFonts w:ascii="Times New Roman" w:hAnsi="Times New Roman"/>
            <w:sz w:val="18"/>
            <w:szCs w:val="18"/>
          </w:rPr>
          <w:t>https://ec.europa.eu/info/strategy/priorities-2019-2024/european-green-deal/finance-and-green-deal/just-transition-mechanism/just-transition-platform_pl</w:t>
        </w:r>
      </w:hyperlink>
    </w:p>
  </w:footnote>
  <w:footnote w:id="37">
    <w:p w14:paraId="6BADF1CF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4" w:history="1">
        <w:r>
          <w:rPr>
            <w:rStyle w:val="Hipercze"/>
            <w:rFonts w:ascii="Times New Roman" w:hAnsi="Times New Roman"/>
            <w:sz w:val="18"/>
            <w:szCs w:val="18"/>
          </w:rPr>
          <w:t>https://europa.eu/climate-pact/index_pl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38">
    <w:p w14:paraId="0B2279AE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5" w:history="1">
        <w:r>
          <w:rPr>
            <w:rStyle w:val="Hipercze"/>
            <w:rFonts w:ascii="Times New Roman" w:hAnsi="Times New Roman"/>
            <w:sz w:val="18"/>
            <w:szCs w:val="18"/>
          </w:rPr>
          <w:t>https://europa.eu/climate-pact/ambassadors/meet-our-ambassadors_pl</w:t>
        </w:r>
      </w:hyperlink>
    </w:p>
  </w:footnote>
  <w:footnote w:id="39">
    <w:p w14:paraId="44A2B5D8" w14:textId="77777777" w:rsidR="007544AC" w:rsidRPr="00F24281" w:rsidRDefault="007544AC">
      <w:pPr>
        <w:pStyle w:val="Tekstkomentarza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sz w:val="18"/>
            <w:szCs w:val="18"/>
          </w:rPr>
          <w:t>https://www.covenantofmayors.eu/about/covenant-initiative/covenant-in-figures.html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40">
    <w:p w14:paraId="3126EAB3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EU ETS obejmuje UE-27, Islandię, Liechtenstein, Norwegię</w:t>
      </w:r>
      <w:r w:rsidR="00D928C3">
        <w:rPr>
          <w:rFonts w:ascii="Times New Roman" w:hAnsi="Times New Roman"/>
          <w:sz w:val="18"/>
          <w:szCs w:val="18"/>
        </w:rPr>
        <w:t xml:space="preserve"> i Irl</w:t>
      </w:r>
      <w:r>
        <w:rPr>
          <w:rFonts w:ascii="Times New Roman" w:hAnsi="Times New Roman"/>
          <w:sz w:val="18"/>
          <w:szCs w:val="18"/>
        </w:rPr>
        <w:t>andię Północną. Do 20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obejmował on również Zjednoczone Królestwo.</w:t>
      </w:r>
      <w:r>
        <w:rPr>
          <w:rFonts w:ascii="Times New Roman" w:hAnsi="Times New Roman"/>
          <w:color w:val="111111"/>
          <w:sz w:val="18"/>
          <w:szCs w:val="18"/>
          <w:shd w:val="clear" w:color="auto" w:fill="FFFFFF"/>
        </w:rPr>
        <w:t xml:space="preserve"> </w:t>
      </w:r>
    </w:p>
  </w:footnote>
  <w:footnote w:id="41">
    <w:p w14:paraId="3D069697" w14:textId="77777777" w:rsidR="007544AC" w:rsidRPr="00F24281" w:rsidRDefault="007544AC">
      <w:pPr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Obejmuje wyłącznie emisje CO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 xml:space="preserve"> generowane</w:t>
      </w:r>
      <w:r w:rsidR="00D928C3">
        <w:rPr>
          <w:rFonts w:ascii="Times New Roman" w:hAnsi="Times New Roman"/>
          <w:sz w:val="18"/>
          <w:szCs w:val="18"/>
        </w:rPr>
        <w:t xml:space="preserve"> w tra</w:t>
      </w:r>
      <w:r>
        <w:rPr>
          <w:rFonts w:ascii="Times New Roman" w:hAnsi="Times New Roman"/>
          <w:sz w:val="18"/>
          <w:szCs w:val="18"/>
        </w:rPr>
        <w:t>kcie lotów na terytorium EOG oraz</w:t>
      </w:r>
      <w:r w:rsidR="00D928C3">
        <w:rPr>
          <w:rFonts w:ascii="Times New Roman" w:hAnsi="Times New Roman"/>
          <w:sz w:val="18"/>
          <w:szCs w:val="18"/>
        </w:rPr>
        <w:t xml:space="preserve"> w tra</w:t>
      </w:r>
      <w:r>
        <w:rPr>
          <w:rFonts w:ascii="Times New Roman" w:hAnsi="Times New Roman"/>
          <w:sz w:val="18"/>
          <w:szCs w:val="18"/>
        </w:rPr>
        <w:t>kcie lotów</w:t>
      </w:r>
      <w:r w:rsidR="00D928C3">
        <w:rPr>
          <w:rFonts w:ascii="Times New Roman" w:hAnsi="Times New Roman"/>
          <w:sz w:val="18"/>
          <w:szCs w:val="18"/>
        </w:rPr>
        <w:t xml:space="preserve"> z ter</w:t>
      </w:r>
      <w:r>
        <w:rPr>
          <w:rFonts w:ascii="Times New Roman" w:hAnsi="Times New Roman"/>
          <w:sz w:val="18"/>
          <w:szCs w:val="18"/>
        </w:rPr>
        <w:t>ytorium EOG do Szwajcarii</w:t>
      </w:r>
      <w:r w:rsidR="00D928C3">
        <w:rPr>
          <w:rFonts w:ascii="Times New Roman" w:hAnsi="Times New Roman"/>
          <w:sz w:val="18"/>
          <w:szCs w:val="18"/>
        </w:rPr>
        <w:t xml:space="preserve"> i Zje</w:t>
      </w:r>
      <w:r>
        <w:rPr>
          <w:rFonts w:ascii="Times New Roman" w:hAnsi="Times New Roman"/>
          <w:sz w:val="18"/>
          <w:szCs w:val="18"/>
        </w:rPr>
        <w:t>dnoczonego Królestwa.</w:t>
      </w:r>
    </w:p>
  </w:footnote>
  <w:footnote w:id="42">
    <w:p w14:paraId="40CBF639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Dane dotyczące zweryfikowanych emisji zaczerpnięte</w:t>
      </w:r>
      <w:r w:rsidR="00D928C3">
        <w:rPr>
          <w:rFonts w:ascii="Times New Roman" w:hAnsi="Times New Roman"/>
          <w:sz w:val="18"/>
          <w:szCs w:val="18"/>
        </w:rPr>
        <w:t xml:space="preserve"> z rej</w:t>
      </w:r>
      <w:r>
        <w:rPr>
          <w:rFonts w:ascii="Times New Roman" w:hAnsi="Times New Roman"/>
          <w:sz w:val="18"/>
          <w:szCs w:val="18"/>
        </w:rPr>
        <w:t>estru Unii.</w:t>
      </w:r>
    </w:p>
  </w:footnote>
  <w:footnote w:id="43">
    <w:p w14:paraId="6BB1BA9A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Ze względu na zmiany</w:t>
      </w:r>
      <w:r w:rsidR="00D928C3">
        <w:rPr>
          <w:rFonts w:ascii="Times New Roman" w:hAnsi="Times New Roman"/>
          <w:sz w:val="18"/>
          <w:szCs w:val="18"/>
        </w:rPr>
        <w:t xml:space="preserve"> w zak</w:t>
      </w:r>
      <w:r>
        <w:rPr>
          <w:rFonts w:ascii="Times New Roman" w:hAnsi="Times New Roman"/>
          <w:sz w:val="18"/>
          <w:szCs w:val="18"/>
        </w:rPr>
        <w:t>resie systemu handlu emisjami szeregi czasowe nie są spójne przed 20</w:t>
      </w:r>
      <w:r w:rsidRPr="00D928C3">
        <w:rPr>
          <w:rFonts w:ascii="Times New Roman" w:hAnsi="Times New Roman"/>
          <w:sz w:val="18"/>
          <w:szCs w:val="18"/>
        </w:rPr>
        <w:t>13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Dane te dotyczą wszystkich państw uczestniczących w EU ETS</w:t>
      </w:r>
      <w:r w:rsidR="00D928C3">
        <w:rPr>
          <w:rFonts w:ascii="Times New Roman" w:hAnsi="Times New Roman"/>
          <w:sz w:val="18"/>
          <w:szCs w:val="18"/>
        </w:rPr>
        <w:t xml:space="preserve"> w dan</w:t>
      </w:r>
      <w:r>
        <w:rPr>
          <w:rFonts w:ascii="Times New Roman" w:hAnsi="Times New Roman"/>
          <w:sz w:val="18"/>
          <w:szCs w:val="18"/>
        </w:rPr>
        <w:t>ych latach. Pułap etapu 4 przy istniejącym celu na poziomie 4</w:t>
      </w:r>
      <w:r w:rsidRPr="00D928C3">
        <w:rPr>
          <w:rFonts w:ascii="Times New Roman" w:hAnsi="Times New Roman"/>
          <w:sz w:val="18"/>
          <w:szCs w:val="18"/>
        </w:rPr>
        <w:t>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%</w:t>
      </w:r>
      <w:r w:rsidR="00D928C3" w:rsidRPr="00D928C3">
        <w:rPr>
          <w:rFonts w:ascii="Times New Roman" w:hAnsi="Times New Roman"/>
          <w:sz w:val="18"/>
          <w:szCs w:val="18"/>
        </w:rPr>
        <w:t>. W</w:t>
      </w:r>
      <w:r w:rsidR="00D928C3">
        <w:rPr>
          <w:rFonts w:ascii="Times New Roman" w:hAnsi="Times New Roman"/>
          <w:sz w:val="18"/>
          <w:szCs w:val="18"/>
        </w:rPr>
        <w:t> puł</w:t>
      </w:r>
      <w:r>
        <w:rPr>
          <w:rFonts w:ascii="Times New Roman" w:hAnsi="Times New Roman"/>
          <w:sz w:val="18"/>
          <w:szCs w:val="18"/>
        </w:rPr>
        <w:t xml:space="preserve">apie na lata 2021–2030 uwzględniono wystąpienie Zjednoczonego Królestwa z UE. </w:t>
      </w:r>
    </w:p>
  </w:footnote>
  <w:footnote w:id="44">
    <w:p w14:paraId="1C50943E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C(2021) 3266 final. </w:t>
      </w:r>
    </w:p>
  </w:footnote>
  <w:footnote w:id="45">
    <w:p w14:paraId="5A53D062" w14:textId="77777777" w:rsidR="007544AC" w:rsidRPr="006520D9" w:rsidRDefault="007544AC">
      <w:pPr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Załącznik 7 do dokumentu roboczego służb Komisji SWD(2021) 601 final.</w:t>
      </w:r>
    </w:p>
  </w:footnote>
  <w:footnote w:id="46">
    <w:p w14:paraId="5C6E32D7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  <w:lang w:val="en-IE"/>
        </w:rPr>
        <w:footnoteRef/>
      </w:r>
      <w:r>
        <w:rPr>
          <w:rFonts w:ascii="Times New Roman" w:hAnsi="Times New Roman"/>
          <w:sz w:val="18"/>
          <w:szCs w:val="18"/>
        </w:rPr>
        <w:t xml:space="preserve"> Wymiana międzynarodowych jednostek emisji była możliwa do końca kwietnia 20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>, tj. do zakończenia cyklu weryfikacji zgodności</w:t>
      </w:r>
      <w:r w:rsidR="00D928C3">
        <w:rPr>
          <w:rFonts w:ascii="Times New Roman" w:hAnsi="Times New Roman"/>
          <w:sz w:val="18"/>
          <w:szCs w:val="18"/>
        </w:rPr>
        <w:t xml:space="preserve"> z 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20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47">
    <w:p w14:paraId="0AA149E2" w14:textId="77777777" w:rsidR="007544AC" w:rsidRPr="006520D9" w:rsidRDefault="007544AC">
      <w:pPr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Wszystkie kwoty uwzględniają uprawnienia sprzedane na aukcji na potrzeby funduszu innowacyjnego</w:t>
      </w:r>
      <w:r w:rsidR="00D928C3">
        <w:rPr>
          <w:rFonts w:ascii="Times New Roman" w:hAnsi="Times New Roman"/>
          <w:sz w:val="18"/>
          <w:szCs w:val="18"/>
        </w:rPr>
        <w:t xml:space="preserve"> i fun</w:t>
      </w:r>
      <w:r>
        <w:rPr>
          <w:rFonts w:ascii="Times New Roman" w:hAnsi="Times New Roman"/>
          <w:sz w:val="18"/>
          <w:szCs w:val="18"/>
        </w:rPr>
        <w:t xml:space="preserve">duszu modernizacyjnego. </w:t>
      </w:r>
    </w:p>
  </w:footnote>
  <w:footnote w:id="48">
    <w:p w14:paraId="689C2C87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</w:t>
      </w:r>
      <w:r w:rsidR="00D928C3">
        <w:rPr>
          <w:rFonts w:ascii="Times New Roman" w:hAnsi="Times New Roman"/>
          <w:sz w:val="18"/>
          <w:szCs w:val="18"/>
        </w:rPr>
        <w:t xml:space="preserve"> z umo</w:t>
      </w:r>
      <w:r>
        <w:rPr>
          <w:rFonts w:ascii="Times New Roman" w:hAnsi="Times New Roman"/>
          <w:sz w:val="18"/>
          <w:szCs w:val="18"/>
        </w:rPr>
        <w:t>wą</w:t>
      </w:r>
      <w:r w:rsidR="00D928C3">
        <w:rPr>
          <w:rFonts w:ascii="Times New Roman" w:hAnsi="Times New Roman"/>
          <w:sz w:val="18"/>
          <w:szCs w:val="18"/>
        </w:rPr>
        <w:t xml:space="preserve"> o wys</w:t>
      </w:r>
      <w:r>
        <w:rPr>
          <w:rFonts w:ascii="Times New Roman" w:hAnsi="Times New Roman"/>
          <w:sz w:val="18"/>
          <w:szCs w:val="18"/>
        </w:rPr>
        <w:t>tąpieniu Zjednoczone Królestwo nadal stosuje kluczowe przepisy decyzji dotyczącej wspólnego wysiłku redukcyjnego.</w:t>
      </w:r>
    </w:p>
  </w:footnote>
  <w:footnote w:id="49">
    <w:p w14:paraId="4A65378B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(UE) 2018/842.</w:t>
      </w:r>
    </w:p>
  </w:footnote>
  <w:footnote w:id="50">
    <w:p w14:paraId="2810BD0B" w14:textId="77777777" w:rsidR="007544AC" w:rsidRPr="001152F5" w:rsidRDefault="007544AC">
      <w:pPr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Decyzja Europejskiego Urzędu Nadzoru </w:t>
      </w:r>
      <w:r w:rsidRPr="00D928C3">
        <w:rPr>
          <w:rFonts w:ascii="Times New Roman" w:hAnsi="Times New Roman"/>
          <w:sz w:val="18"/>
          <w:szCs w:val="18"/>
        </w:rPr>
        <w:t>nr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04/21/COL</w:t>
      </w:r>
      <w:r w:rsidR="00D928C3">
        <w:rPr>
          <w:rFonts w:ascii="Times New Roman" w:hAnsi="Times New Roman"/>
          <w:sz w:val="18"/>
          <w:szCs w:val="18"/>
        </w:rPr>
        <w:t xml:space="preserve"> z dni</w:t>
      </w:r>
      <w:r>
        <w:rPr>
          <w:rFonts w:ascii="Times New Roman" w:hAnsi="Times New Roman"/>
          <w:sz w:val="18"/>
          <w:szCs w:val="18"/>
        </w:rPr>
        <w:t>a 21 lipca 20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51">
    <w:p w14:paraId="253117E7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Grudzień 20</w:t>
      </w:r>
      <w:r w:rsidRPr="00D928C3">
        <w:rPr>
          <w:rFonts w:ascii="Times New Roman" w:hAnsi="Times New Roman"/>
          <w:sz w:val="18"/>
          <w:szCs w:val="18"/>
        </w:rPr>
        <w:t>19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color w:val="1F497D"/>
          <w:sz w:val="18"/>
          <w:szCs w:val="18"/>
        </w:rPr>
        <w:t xml:space="preserve"> </w:t>
      </w:r>
      <w:hyperlink r:id="rId7" w:history="1">
        <w:r>
          <w:rPr>
            <w:rStyle w:val="Hipercze"/>
            <w:rFonts w:ascii="Times New Roman" w:hAnsi="Times New Roman"/>
            <w:sz w:val="18"/>
            <w:szCs w:val="18"/>
          </w:rPr>
          <w:t xml:space="preserve">plan krajowy Norwegii dotyczący decyzji Wspólnego Komitetu EOG </w:t>
        </w:r>
        <w:r w:rsidRPr="00D928C3">
          <w:rPr>
            <w:rStyle w:val="Hipercze"/>
            <w:rFonts w:ascii="Times New Roman" w:hAnsi="Times New Roman"/>
            <w:sz w:val="18"/>
            <w:szCs w:val="18"/>
          </w:rPr>
          <w:t>nr</w:t>
        </w:r>
        <w:r w:rsidR="00D928C3" w:rsidRPr="00D928C3">
          <w:rPr>
            <w:rStyle w:val="Hipercze"/>
            <w:rFonts w:ascii="Times New Roman" w:hAnsi="Times New Roman"/>
            <w:sz w:val="18"/>
            <w:szCs w:val="18"/>
          </w:rPr>
          <w:t> </w:t>
        </w:r>
        <w:r w:rsidRPr="00D928C3">
          <w:rPr>
            <w:rStyle w:val="Hipercze"/>
            <w:rFonts w:ascii="Times New Roman" w:hAnsi="Times New Roman"/>
            <w:sz w:val="18"/>
            <w:szCs w:val="18"/>
          </w:rPr>
          <w:t>2</w:t>
        </w:r>
        <w:r>
          <w:rPr>
            <w:rStyle w:val="Hipercze"/>
            <w:rFonts w:ascii="Times New Roman" w:hAnsi="Times New Roman"/>
            <w:sz w:val="18"/>
            <w:szCs w:val="18"/>
          </w:rPr>
          <w:t>69/2019</w:t>
        </w:r>
        <w:r w:rsidR="00D928C3">
          <w:rPr>
            <w:rStyle w:val="Hipercze"/>
            <w:rFonts w:ascii="Times New Roman" w:hAnsi="Times New Roman"/>
            <w:sz w:val="18"/>
            <w:szCs w:val="18"/>
          </w:rPr>
          <w:t xml:space="preserve"> z dni</w:t>
        </w:r>
        <w:r>
          <w:rPr>
            <w:rStyle w:val="Hipercze"/>
            <w:rFonts w:ascii="Times New Roman" w:hAnsi="Times New Roman"/>
            <w:sz w:val="18"/>
            <w:szCs w:val="18"/>
          </w:rPr>
          <w:t>a 25 października 20</w:t>
        </w:r>
        <w:r w:rsidRPr="00D928C3">
          <w:rPr>
            <w:rStyle w:val="Hipercze"/>
            <w:rFonts w:ascii="Times New Roman" w:hAnsi="Times New Roman"/>
            <w:sz w:val="18"/>
            <w:szCs w:val="18"/>
          </w:rPr>
          <w:t>19</w:t>
        </w:r>
        <w:r w:rsidR="00D928C3" w:rsidRPr="00D928C3">
          <w:rPr>
            <w:rStyle w:val="Hipercze"/>
            <w:rFonts w:ascii="Times New Roman" w:hAnsi="Times New Roman"/>
            <w:sz w:val="18"/>
            <w:szCs w:val="18"/>
          </w:rPr>
          <w:t> </w:t>
        </w:r>
        <w:r w:rsidRPr="00D928C3">
          <w:rPr>
            <w:rStyle w:val="Hipercze"/>
            <w:rFonts w:ascii="Times New Roman" w:hAnsi="Times New Roman"/>
            <w:sz w:val="18"/>
            <w:szCs w:val="18"/>
          </w:rPr>
          <w:t>r.</w:t>
        </w:r>
      </w:hyperlink>
    </w:p>
  </w:footnote>
  <w:footnote w:id="52">
    <w:p w14:paraId="676EC8A4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Listopad 20</w:t>
      </w:r>
      <w:r w:rsidRPr="00D928C3">
        <w:rPr>
          <w:rFonts w:ascii="Times New Roman" w:hAnsi="Times New Roman"/>
          <w:sz w:val="18"/>
          <w:szCs w:val="18"/>
        </w:rPr>
        <w:t>20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color w:val="1F497D"/>
          <w:sz w:val="18"/>
          <w:szCs w:val="18"/>
        </w:rPr>
        <w:t xml:space="preserve"> </w:t>
      </w:r>
      <w:hyperlink r:id="rId8" w:history="1">
        <w:r>
          <w:rPr>
            <w:rStyle w:val="Hipercze"/>
            <w:rFonts w:ascii="Times New Roman" w:hAnsi="Times New Roman"/>
            <w:sz w:val="18"/>
            <w:szCs w:val="18"/>
          </w:rPr>
          <w:t>plan krajowy Islandii – sporządzony zgodnie</w:t>
        </w:r>
        <w:r w:rsidR="00D928C3">
          <w:rPr>
            <w:rStyle w:val="Hipercze"/>
            <w:rFonts w:ascii="Times New Roman" w:hAnsi="Times New Roman"/>
            <w:sz w:val="18"/>
            <w:szCs w:val="18"/>
          </w:rPr>
          <w:t xml:space="preserve"> z dek</w:t>
        </w:r>
        <w:r>
          <w:rPr>
            <w:rStyle w:val="Hipercze"/>
            <w:rFonts w:ascii="Times New Roman" w:hAnsi="Times New Roman"/>
            <w:sz w:val="18"/>
            <w:szCs w:val="18"/>
          </w:rPr>
          <w:t xml:space="preserve">laracją dotyczącą decyzji Wspólnego Komitetu EOG </w:t>
        </w:r>
        <w:r w:rsidRPr="00D928C3">
          <w:rPr>
            <w:rStyle w:val="Hipercze"/>
            <w:rFonts w:ascii="Times New Roman" w:hAnsi="Times New Roman"/>
            <w:sz w:val="18"/>
            <w:szCs w:val="18"/>
          </w:rPr>
          <w:t>nr</w:t>
        </w:r>
        <w:r w:rsidR="00D928C3" w:rsidRPr="00D928C3">
          <w:rPr>
            <w:rStyle w:val="Hipercze"/>
            <w:rFonts w:ascii="Times New Roman" w:hAnsi="Times New Roman"/>
            <w:sz w:val="18"/>
            <w:szCs w:val="18"/>
          </w:rPr>
          <w:t> </w:t>
        </w:r>
        <w:r w:rsidRPr="00D928C3">
          <w:rPr>
            <w:rStyle w:val="Hipercze"/>
            <w:rFonts w:ascii="Times New Roman" w:hAnsi="Times New Roman"/>
            <w:sz w:val="18"/>
            <w:szCs w:val="18"/>
          </w:rPr>
          <w:t>2</w:t>
        </w:r>
        <w:r>
          <w:rPr>
            <w:rStyle w:val="Hipercze"/>
            <w:rFonts w:ascii="Times New Roman" w:hAnsi="Times New Roman"/>
            <w:sz w:val="18"/>
            <w:szCs w:val="18"/>
          </w:rPr>
          <w:t>69/2019</w:t>
        </w:r>
        <w:r w:rsidR="00D928C3">
          <w:rPr>
            <w:rStyle w:val="Hipercze"/>
            <w:rFonts w:ascii="Times New Roman" w:hAnsi="Times New Roman"/>
            <w:sz w:val="18"/>
            <w:szCs w:val="18"/>
          </w:rPr>
          <w:t xml:space="preserve"> z dni</w:t>
        </w:r>
        <w:r>
          <w:rPr>
            <w:rStyle w:val="Hipercze"/>
            <w:rFonts w:ascii="Times New Roman" w:hAnsi="Times New Roman"/>
            <w:sz w:val="18"/>
            <w:szCs w:val="18"/>
          </w:rPr>
          <w:t>a 25 października 20</w:t>
        </w:r>
        <w:r w:rsidRPr="00D928C3">
          <w:rPr>
            <w:rStyle w:val="Hipercze"/>
            <w:rFonts w:ascii="Times New Roman" w:hAnsi="Times New Roman"/>
            <w:sz w:val="18"/>
            <w:szCs w:val="18"/>
          </w:rPr>
          <w:t>19</w:t>
        </w:r>
        <w:r w:rsidR="00D928C3" w:rsidRPr="00D928C3">
          <w:rPr>
            <w:rStyle w:val="Hipercze"/>
            <w:rFonts w:ascii="Times New Roman" w:hAnsi="Times New Roman"/>
            <w:sz w:val="18"/>
            <w:szCs w:val="18"/>
          </w:rPr>
          <w:t> </w:t>
        </w:r>
        <w:r w:rsidRPr="00D928C3">
          <w:rPr>
            <w:rStyle w:val="Hipercze"/>
            <w:rFonts w:ascii="Times New Roman" w:hAnsi="Times New Roman"/>
            <w:sz w:val="18"/>
            <w:szCs w:val="18"/>
          </w:rPr>
          <w:t>r.</w:t>
        </w:r>
      </w:hyperlink>
    </w:p>
  </w:footnote>
  <w:footnote w:id="53">
    <w:p w14:paraId="20141F9C" w14:textId="77777777" w:rsidR="007544AC" w:rsidRPr="006520D9" w:rsidRDefault="007544AC">
      <w:pPr>
        <w:pStyle w:val="Tekstkomentarza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Wykres sporządzono</w:t>
      </w:r>
      <w:r w:rsidR="00D928C3">
        <w:rPr>
          <w:rFonts w:ascii="Times New Roman" w:hAnsi="Times New Roman"/>
          <w:sz w:val="18"/>
          <w:szCs w:val="18"/>
        </w:rPr>
        <w:t xml:space="preserve"> w opa</w:t>
      </w:r>
      <w:r>
        <w:rPr>
          <w:rFonts w:ascii="Times New Roman" w:hAnsi="Times New Roman"/>
          <w:sz w:val="18"/>
          <w:szCs w:val="18"/>
        </w:rPr>
        <w:t>rciu</w:t>
      </w:r>
      <w:r w:rsidR="00D928C3">
        <w:rPr>
          <w:rFonts w:ascii="Times New Roman" w:hAnsi="Times New Roman"/>
          <w:sz w:val="18"/>
          <w:szCs w:val="18"/>
        </w:rPr>
        <w:t xml:space="preserve"> o pro</w:t>
      </w:r>
      <w:r>
        <w:rPr>
          <w:rFonts w:ascii="Times New Roman" w:hAnsi="Times New Roman"/>
          <w:sz w:val="18"/>
          <w:szCs w:val="18"/>
        </w:rPr>
        <w:t>gnozy zgłoszone przez państwa członkowskie zgodnie</w:t>
      </w:r>
      <w:r w:rsidR="00D928C3">
        <w:rPr>
          <w:rFonts w:ascii="Times New Roman" w:hAnsi="Times New Roman"/>
          <w:sz w:val="18"/>
          <w:szCs w:val="18"/>
        </w:rPr>
        <w:t xml:space="preserve"> z </w:t>
      </w:r>
      <w:r w:rsidR="00D928C3">
        <w:rPr>
          <w:rFonts w:ascii="Times New Roman" w:hAnsi="Times New Roman"/>
          <w:sz w:val="18"/>
          <w:szCs w:val="18"/>
          <w:shd w:val="clear" w:color="auto" w:fill="FFFFFF"/>
        </w:rPr>
        <w:t>roz</w:t>
      </w:r>
      <w:r>
        <w:rPr>
          <w:rFonts w:ascii="Times New Roman" w:hAnsi="Times New Roman"/>
          <w:sz w:val="18"/>
          <w:szCs w:val="18"/>
          <w:shd w:val="clear" w:color="auto" w:fill="FFFFFF"/>
        </w:rPr>
        <w:t>porządzeniem (UE) 2021/1119</w:t>
      </w:r>
      <w:r>
        <w:rPr>
          <w:rFonts w:ascii="Times New Roman" w:hAnsi="Times New Roman"/>
          <w:sz w:val="18"/>
          <w:szCs w:val="18"/>
        </w:rPr>
        <w:t>, które zostały następnie skompilowane</w:t>
      </w:r>
      <w:r w:rsidR="00D928C3">
        <w:rPr>
          <w:rFonts w:ascii="Times New Roman" w:hAnsi="Times New Roman"/>
          <w:sz w:val="18"/>
          <w:szCs w:val="18"/>
        </w:rPr>
        <w:t xml:space="preserve"> i pod</w:t>
      </w:r>
      <w:r>
        <w:rPr>
          <w:rFonts w:ascii="Times New Roman" w:hAnsi="Times New Roman"/>
          <w:sz w:val="18"/>
          <w:szCs w:val="18"/>
        </w:rPr>
        <w:t>dane kontroli jakości przez Europejską Agencję Środowiska. Do 20</w:t>
      </w:r>
      <w:r w:rsidRPr="00D928C3">
        <w:rPr>
          <w:rFonts w:ascii="Times New Roman" w:hAnsi="Times New Roman"/>
          <w:sz w:val="18"/>
          <w:szCs w:val="18"/>
        </w:rPr>
        <w:t>20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dane liczbowe obejmowały wyłącznie UE-27, natomiast począwszy </w:t>
      </w:r>
      <w:r w:rsidRPr="00D928C3">
        <w:rPr>
          <w:rFonts w:ascii="Times New Roman" w:hAnsi="Times New Roman"/>
          <w:sz w:val="18"/>
          <w:szCs w:val="18"/>
        </w:rPr>
        <w:t>od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21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również Islandię</w:t>
      </w:r>
      <w:r w:rsidR="00D928C3">
        <w:rPr>
          <w:rFonts w:ascii="Times New Roman" w:hAnsi="Times New Roman"/>
          <w:sz w:val="18"/>
          <w:szCs w:val="18"/>
        </w:rPr>
        <w:t xml:space="preserve"> i Nor</w:t>
      </w:r>
      <w:r>
        <w:rPr>
          <w:rFonts w:ascii="Times New Roman" w:hAnsi="Times New Roman"/>
          <w:sz w:val="18"/>
          <w:szCs w:val="18"/>
        </w:rPr>
        <w:t xml:space="preserve">wegię. </w:t>
      </w:r>
    </w:p>
  </w:footnote>
  <w:footnote w:id="54">
    <w:p w14:paraId="3F0D69F4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Szwecja unieważniła 5,8 Mt,</w:t>
      </w:r>
      <w:r w:rsidR="00D928C3">
        <w:rPr>
          <w:rFonts w:ascii="Times New Roman" w:hAnsi="Times New Roman"/>
          <w:sz w:val="18"/>
          <w:szCs w:val="18"/>
        </w:rPr>
        <w:t xml:space="preserve"> a Zje</w:t>
      </w:r>
      <w:r>
        <w:rPr>
          <w:rFonts w:ascii="Times New Roman" w:hAnsi="Times New Roman"/>
          <w:sz w:val="18"/>
          <w:szCs w:val="18"/>
        </w:rPr>
        <w:t>dnoczone Królestwo – 27,4 Mt ekwiwalentu CO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5">
    <w:p w14:paraId="00A69E05" w14:textId="77777777" w:rsidR="007544AC" w:rsidRPr="00B511E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511E9">
        <w:rPr>
          <w:rFonts w:ascii="Times New Roman" w:hAnsi="Times New Roman"/>
          <w:sz w:val="18"/>
          <w:szCs w:val="18"/>
          <w:lang w:val="en-US"/>
        </w:rPr>
        <w:t xml:space="preserve"> AT, BE, CY, DE, EE, FI, IE, LU, PL. </w:t>
      </w:r>
    </w:p>
  </w:footnote>
  <w:footnote w:id="56">
    <w:p w14:paraId="1308DA45" w14:textId="77777777" w:rsidR="007544AC" w:rsidRPr="006520D9" w:rsidRDefault="007544AC">
      <w:pPr>
        <w:pStyle w:val="Tekstprzypisukocow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Zagregowane AEA </w:t>
      </w:r>
      <w:r w:rsidRPr="00D928C3">
        <w:rPr>
          <w:rFonts w:ascii="Times New Roman" w:hAnsi="Times New Roman"/>
          <w:sz w:val="18"/>
          <w:szCs w:val="18"/>
        </w:rPr>
        <w:t>dla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7 państw członkowskich nie odpowiadają dokładnie aktualnym celom</w:t>
      </w:r>
      <w:r w:rsidR="00D928C3">
        <w:rPr>
          <w:rFonts w:ascii="Times New Roman" w:hAnsi="Times New Roman"/>
          <w:sz w:val="18"/>
          <w:szCs w:val="18"/>
        </w:rPr>
        <w:t xml:space="preserve"> w zak</w:t>
      </w:r>
      <w:r>
        <w:rPr>
          <w:rFonts w:ascii="Times New Roman" w:hAnsi="Times New Roman"/>
          <w:sz w:val="18"/>
          <w:szCs w:val="18"/>
        </w:rPr>
        <w:t>resie wspólnego wysiłku redukcyjnego na szczeblu UE</w:t>
      </w:r>
      <w:r w:rsidR="00D928C3">
        <w:rPr>
          <w:rFonts w:ascii="Times New Roman" w:hAnsi="Times New Roman"/>
          <w:sz w:val="18"/>
          <w:szCs w:val="18"/>
        </w:rPr>
        <w:t xml:space="preserve"> w uję</w:t>
      </w:r>
      <w:r>
        <w:rPr>
          <w:rFonts w:ascii="Times New Roman" w:hAnsi="Times New Roman"/>
          <w:sz w:val="18"/>
          <w:szCs w:val="18"/>
        </w:rPr>
        <w:t xml:space="preserve">ciu procentowym. Aby uzyskać dodatkowe szczegółowe informacje, zob. dokument roboczy służb Komisji. </w:t>
      </w:r>
    </w:p>
  </w:footnote>
  <w:footnote w:id="57">
    <w:p w14:paraId="55AA423D" w14:textId="77777777" w:rsidR="007544AC" w:rsidRPr="00787BC5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Europejska Agencja Środowiska uzupełniła brakujące dane dotyczące „prognoz</w:t>
      </w:r>
      <w:r w:rsidR="00D928C3">
        <w:rPr>
          <w:rFonts w:ascii="Times New Roman" w:hAnsi="Times New Roman"/>
          <w:sz w:val="18"/>
          <w:szCs w:val="18"/>
        </w:rPr>
        <w:t xml:space="preserve"> z dod</w:t>
      </w:r>
      <w:r>
        <w:rPr>
          <w:rFonts w:ascii="Times New Roman" w:hAnsi="Times New Roman"/>
          <w:sz w:val="18"/>
          <w:szCs w:val="18"/>
        </w:rPr>
        <w:t>atkowymi środkami” danymi dotyczącymi „prognoz</w:t>
      </w:r>
      <w:r w:rsidR="00D928C3">
        <w:rPr>
          <w:rFonts w:ascii="Times New Roman" w:hAnsi="Times New Roman"/>
          <w:sz w:val="18"/>
          <w:szCs w:val="18"/>
        </w:rPr>
        <w:t xml:space="preserve"> z ist</w:t>
      </w:r>
      <w:r>
        <w:rPr>
          <w:rFonts w:ascii="Times New Roman" w:hAnsi="Times New Roman"/>
          <w:sz w:val="18"/>
          <w:szCs w:val="18"/>
        </w:rPr>
        <w:t>niejącymi środkami”</w:t>
      </w:r>
      <w:r w:rsidR="00D928C3">
        <w:rPr>
          <w:rFonts w:ascii="Times New Roman" w:hAnsi="Times New Roman"/>
          <w:sz w:val="18"/>
          <w:szCs w:val="18"/>
        </w:rPr>
        <w:t>. W pie</w:t>
      </w:r>
      <w:r>
        <w:rPr>
          <w:rFonts w:ascii="Times New Roman" w:hAnsi="Times New Roman"/>
          <w:sz w:val="18"/>
          <w:szCs w:val="18"/>
        </w:rPr>
        <w:t>rwotnych danych zastosowano inne mierniki – przeprowadzona konwersja</w:t>
      </w:r>
      <w:r w:rsidR="00D928C3">
        <w:rPr>
          <w:rFonts w:ascii="Times New Roman" w:hAnsi="Times New Roman"/>
          <w:sz w:val="18"/>
          <w:szCs w:val="18"/>
        </w:rPr>
        <w:t xml:space="preserve"> w prz</w:t>
      </w:r>
      <w:r>
        <w:rPr>
          <w:rFonts w:ascii="Times New Roman" w:hAnsi="Times New Roman"/>
          <w:sz w:val="18"/>
          <w:szCs w:val="18"/>
        </w:rPr>
        <w:t xml:space="preserve">ybliżeniu koryguje tę rozbieżność. Przedstawione rozbieżności pełnią zatem czysto ilustracyjną funkcję. Aby uzyskać dodatkowe szczegółowe informacje, zob. dokument roboczy służb Komisji. </w:t>
      </w:r>
    </w:p>
  </w:footnote>
  <w:footnote w:id="58">
    <w:p w14:paraId="7FBBF3D6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Wstępne dane opublikowane przez Europejską Agencję Środowiska.</w:t>
      </w:r>
    </w:p>
  </w:footnote>
  <w:footnote w:id="59">
    <w:p w14:paraId="688660CF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Wartości docelowe na lata 2020–2024 zostaną obliczone</w:t>
      </w:r>
      <w:r w:rsidR="00D928C3">
        <w:rPr>
          <w:rFonts w:ascii="Times New Roman" w:hAnsi="Times New Roman"/>
          <w:sz w:val="18"/>
          <w:szCs w:val="18"/>
        </w:rPr>
        <w:t xml:space="preserve"> w ram</w:t>
      </w:r>
      <w:r>
        <w:rPr>
          <w:rFonts w:ascii="Times New Roman" w:hAnsi="Times New Roman"/>
          <w:sz w:val="18"/>
          <w:szCs w:val="18"/>
        </w:rPr>
        <w:t>ach światowej zharmonizowanej procedury badania pojazdów lekkich (WLTP).</w:t>
      </w:r>
    </w:p>
  </w:footnote>
  <w:footnote w:id="60">
    <w:p w14:paraId="063CE003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(UE) 517/2014.</w:t>
      </w:r>
    </w:p>
  </w:footnote>
  <w:footnote w:id="61">
    <w:p w14:paraId="686A7B66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(UE) 2018/841.</w:t>
      </w:r>
    </w:p>
  </w:footnote>
  <w:footnote w:id="62">
    <w:p w14:paraId="580CED9E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delegowane (UE) 2021/268, towarzyszący mu dokument roboczy służb Komisji SWD(2020) 236 oraz analiza naukowa (Vizzarri, M., Philli, R., Korosuo, A. i in., „Setting the forest reference levels in the European Union: overview and challenges [„Wyznaczanie poziomów referencyjnych dla lasów</w:t>
      </w:r>
      <w:r w:rsidR="00D928C3">
        <w:rPr>
          <w:rFonts w:ascii="Times New Roman" w:hAnsi="Times New Roman"/>
          <w:sz w:val="18"/>
          <w:szCs w:val="18"/>
        </w:rPr>
        <w:t xml:space="preserve"> w Uni</w:t>
      </w:r>
      <w:r>
        <w:rPr>
          <w:rFonts w:ascii="Times New Roman" w:hAnsi="Times New Roman"/>
          <w:sz w:val="18"/>
          <w:szCs w:val="18"/>
        </w:rPr>
        <w:t>i Europejskiej: przegląd</w:t>
      </w:r>
      <w:r w:rsidR="00D928C3">
        <w:rPr>
          <w:rFonts w:ascii="Times New Roman" w:hAnsi="Times New Roman"/>
          <w:sz w:val="18"/>
          <w:szCs w:val="18"/>
        </w:rPr>
        <w:t xml:space="preserve"> i wyz</w:t>
      </w:r>
      <w:r>
        <w:rPr>
          <w:rFonts w:ascii="Times New Roman" w:hAnsi="Times New Roman"/>
          <w:sz w:val="18"/>
          <w:szCs w:val="18"/>
        </w:rPr>
        <w:t xml:space="preserve">wania”]. Carbon Balance Manage 16, 23 (2021)). </w:t>
      </w:r>
    </w:p>
  </w:footnote>
  <w:footnote w:id="63">
    <w:p w14:paraId="0304A004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>
          <w:rPr>
            <w:rFonts w:ascii="Times New Roman" w:hAnsi="Times New Roman"/>
            <w:sz w:val="18"/>
            <w:szCs w:val="18"/>
          </w:rPr>
          <w:t xml:space="preserve">Decyzja Europejskiego Urzędu Nadzoru </w:t>
        </w:r>
        <w:r w:rsidRPr="00D928C3">
          <w:rPr>
            <w:rFonts w:ascii="Times New Roman" w:hAnsi="Times New Roman"/>
            <w:sz w:val="18"/>
            <w:szCs w:val="18"/>
          </w:rPr>
          <w:t>nr</w:t>
        </w:r>
        <w:r w:rsidR="00D928C3" w:rsidRPr="00D928C3">
          <w:rPr>
            <w:rFonts w:ascii="Times New Roman" w:hAnsi="Times New Roman"/>
            <w:sz w:val="18"/>
            <w:szCs w:val="18"/>
          </w:rPr>
          <w:t> </w:t>
        </w:r>
        <w:r w:rsidRPr="00D928C3">
          <w:rPr>
            <w:rFonts w:ascii="Times New Roman" w:hAnsi="Times New Roman"/>
            <w:sz w:val="18"/>
            <w:szCs w:val="18"/>
          </w:rPr>
          <w:t>1</w:t>
        </w:r>
        <w:r>
          <w:rPr>
            <w:rFonts w:ascii="Times New Roman" w:hAnsi="Times New Roman"/>
            <w:sz w:val="18"/>
            <w:szCs w:val="18"/>
          </w:rPr>
          <w:t xml:space="preserve">57/20/COL </w:t>
        </w:r>
      </w:hyperlink>
      <w:r>
        <w:rPr>
          <w:rFonts w:ascii="Times New Roman" w:hAnsi="Times New Roman"/>
          <w:sz w:val="18"/>
          <w:szCs w:val="18"/>
        </w:rPr>
        <w:t>z dnia 16 grudnia 20</w:t>
      </w:r>
      <w:r w:rsidRPr="00D928C3">
        <w:rPr>
          <w:rFonts w:ascii="Times New Roman" w:hAnsi="Times New Roman"/>
          <w:sz w:val="18"/>
          <w:szCs w:val="18"/>
        </w:rPr>
        <w:t>20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</w:t>
      </w:r>
    </w:p>
  </w:footnote>
  <w:footnote w:id="64">
    <w:p w14:paraId="637B7638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Zgłoszone emisje</w:t>
      </w:r>
      <w:r w:rsidR="00D928C3">
        <w:rPr>
          <w:rFonts w:ascii="Times New Roman" w:hAnsi="Times New Roman"/>
          <w:sz w:val="18"/>
          <w:szCs w:val="18"/>
        </w:rPr>
        <w:t xml:space="preserve"> i poc</w:t>
      </w:r>
      <w:r>
        <w:rPr>
          <w:rFonts w:ascii="Times New Roman" w:hAnsi="Times New Roman"/>
          <w:sz w:val="18"/>
          <w:szCs w:val="18"/>
        </w:rPr>
        <w:t>hłanianie z LULUCF zgodnie</w:t>
      </w:r>
      <w:r w:rsidR="00D928C3">
        <w:rPr>
          <w:rFonts w:ascii="Times New Roman" w:hAnsi="Times New Roman"/>
          <w:sz w:val="18"/>
          <w:szCs w:val="18"/>
        </w:rPr>
        <w:t xml:space="preserve"> z pro</w:t>
      </w:r>
      <w:r>
        <w:rPr>
          <w:rFonts w:ascii="Times New Roman" w:hAnsi="Times New Roman"/>
          <w:sz w:val="18"/>
          <w:szCs w:val="18"/>
        </w:rPr>
        <w:t>tokołem</w:t>
      </w:r>
      <w:r w:rsidR="00D928C3">
        <w:rPr>
          <w:rFonts w:ascii="Times New Roman" w:hAnsi="Times New Roman"/>
          <w:sz w:val="18"/>
          <w:szCs w:val="18"/>
        </w:rPr>
        <w:t xml:space="preserve"> z Kio</w:t>
      </w:r>
      <w:r>
        <w:rPr>
          <w:rFonts w:ascii="Times New Roman" w:hAnsi="Times New Roman"/>
          <w:sz w:val="18"/>
          <w:szCs w:val="18"/>
        </w:rPr>
        <w:t>to przedstawione na tym wykresie opierają się na konkretnych rodzajach działalności</w:t>
      </w:r>
      <w:r w:rsidR="00D928C3">
        <w:rPr>
          <w:rFonts w:ascii="Times New Roman" w:hAnsi="Times New Roman"/>
          <w:sz w:val="18"/>
          <w:szCs w:val="18"/>
        </w:rPr>
        <w:t xml:space="preserve"> i nie</w:t>
      </w:r>
      <w:r>
        <w:rPr>
          <w:rFonts w:ascii="Times New Roman" w:hAnsi="Times New Roman"/>
          <w:sz w:val="18"/>
          <w:szCs w:val="18"/>
        </w:rPr>
        <w:t xml:space="preserve"> są takie same jak emisje</w:t>
      </w:r>
      <w:r w:rsidR="00D928C3">
        <w:rPr>
          <w:rFonts w:ascii="Times New Roman" w:hAnsi="Times New Roman"/>
          <w:sz w:val="18"/>
          <w:szCs w:val="18"/>
        </w:rPr>
        <w:t xml:space="preserve"> i poc</w:t>
      </w:r>
      <w:r>
        <w:rPr>
          <w:rFonts w:ascii="Times New Roman" w:hAnsi="Times New Roman"/>
          <w:sz w:val="18"/>
          <w:szCs w:val="18"/>
        </w:rPr>
        <w:t>hłanianie z LULUCF zgłoszone na podstawie gruntów</w:t>
      </w:r>
      <w:r w:rsidR="00D928C3">
        <w:rPr>
          <w:rFonts w:ascii="Times New Roman" w:hAnsi="Times New Roman"/>
          <w:sz w:val="18"/>
          <w:szCs w:val="18"/>
        </w:rPr>
        <w:t xml:space="preserve"> w ram</w:t>
      </w:r>
      <w:r>
        <w:rPr>
          <w:rFonts w:ascii="Times New Roman" w:hAnsi="Times New Roman"/>
          <w:sz w:val="18"/>
          <w:szCs w:val="18"/>
        </w:rPr>
        <w:t>ach wykazu,</w:t>
      </w:r>
      <w:r w:rsidR="00D928C3">
        <w:rPr>
          <w:rFonts w:ascii="Times New Roman" w:hAnsi="Times New Roman"/>
          <w:sz w:val="18"/>
          <w:szCs w:val="18"/>
        </w:rPr>
        <w:t xml:space="preserve"> o któ</w:t>
      </w:r>
      <w:r>
        <w:rPr>
          <w:rFonts w:ascii="Times New Roman" w:hAnsi="Times New Roman"/>
          <w:sz w:val="18"/>
          <w:szCs w:val="18"/>
        </w:rPr>
        <w:t>rym mowa</w:t>
      </w:r>
      <w:r w:rsidR="00D928C3">
        <w:rPr>
          <w:rFonts w:ascii="Times New Roman" w:hAnsi="Times New Roman"/>
          <w:sz w:val="18"/>
          <w:szCs w:val="18"/>
        </w:rPr>
        <w:t xml:space="preserve"> w Ram</w:t>
      </w:r>
      <w:r>
        <w:rPr>
          <w:rFonts w:ascii="Times New Roman" w:hAnsi="Times New Roman"/>
          <w:sz w:val="18"/>
          <w:szCs w:val="18"/>
        </w:rPr>
        <w:t>owej konwencji ONZ</w:t>
      </w:r>
      <w:r w:rsidR="00D928C3">
        <w:rPr>
          <w:rFonts w:ascii="Times New Roman" w:hAnsi="Times New Roman"/>
          <w:sz w:val="18"/>
          <w:szCs w:val="18"/>
        </w:rPr>
        <w:t xml:space="preserve"> w spr</w:t>
      </w:r>
      <w:r>
        <w:rPr>
          <w:rFonts w:ascii="Times New Roman" w:hAnsi="Times New Roman"/>
          <w:sz w:val="18"/>
          <w:szCs w:val="18"/>
        </w:rPr>
        <w:t xml:space="preserve">awie zmian klimatu, uwzględnione na wykresie 1. </w:t>
      </w:r>
    </w:p>
  </w:footnote>
  <w:footnote w:id="65">
    <w:p w14:paraId="1273281A" w14:textId="77777777" w:rsidR="0056125E" w:rsidRPr="006520D9" w:rsidRDefault="0056125E" w:rsidP="0056125E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Tendencja</w:t>
      </w:r>
      <w:r w:rsidR="00D928C3">
        <w:rPr>
          <w:rFonts w:ascii="Times New Roman" w:hAnsi="Times New Roman"/>
          <w:sz w:val="18"/>
          <w:szCs w:val="18"/>
        </w:rPr>
        <w:t xml:space="preserve"> w sze</w:t>
      </w:r>
      <w:r>
        <w:rPr>
          <w:rFonts w:ascii="Times New Roman" w:hAnsi="Times New Roman"/>
          <w:sz w:val="18"/>
          <w:szCs w:val="18"/>
        </w:rPr>
        <w:t>regu czasowym zgłaszanych emisji</w:t>
      </w:r>
      <w:r w:rsidR="00D928C3">
        <w:rPr>
          <w:rFonts w:ascii="Times New Roman" w:hAnsi="Times New Roman"/>
          <w:sz w:val="18"/>
          <w:szCs w:val="18"/>
        </w:rPr>
        <w:t xml:space="preserve"> i poc</w:t>
      </w:r>
      <w:r>
        <w:rPr>
          <w:rFonts w:ascii="Times New Roman" w:hAnsi="Times New Roman"/>
          <w:sz w:val="18"/>
          <w:szCs w:val="18"/>
        </w:rPr>
        <w:t>hłaniania dla UE różni się od przedstawionego rozliczenia</w:t>
      </w:r>
      <w:r w:rsidR="00D928C3">
        <w:rPr>
          <w:rFonts w:ascii="Times New Roman" w:hAnsi="Times New Roman"/>
          <w:sz w:val="18"/>
          <w:szCs w:val="18"/>
        </w:rPr>
        <w:t xml:space="preserve"> z uwa</w:t>
      </w:r>
      <w:r>
        <w:rPr>
          <w:rFonts w:ascii="Times New Roman" w:hAnsi="Times New Roman"/>
          <w:sz w:val="18"/>
          <w:szCs w:val="18"/>
        </w:rPr>
        <w:t>gi na zastosowanie zasad rozliczania,</w:t>
      </w:r>
      <w:r w:rsidR="00D928C3">
        <w:rPr>
          <w:rFonts w:ascii="Times New Roman" w:hAnsi="Times New Roman"/>
          <w:sz w:val="18"/>
          <w:szCs w:val="18"/>
        </w:rPr>
        <w:t xml:space="preserve"> w szc</w:t>
      </w:r>
      <w:r>
        <w:rPr>
          <w:rFonts w:ascii="Times New Roman" w:hAnsi="Times New Roman"/>
          <w:sz w:val="18"/>
          <w:szCs w:val="18"/>
        </w:rPr>
        <w:t>zególności ograniczenie poziomu jednostek</w:t>
      </w:r>
      <w:r w:rsidR="00D928C3">
        <w:rPr>
          <w:rFonts w:ascii="Times New Roman" w:hAnsi="Times New Roman"/>
          <w:sz w:val="18"/>
          <w:szCs w:val="18"/>
        </w:rPr>
        <w:t xml:space="preserve"> w zak</w:t>
      </w:r>
      <w:r>
        <w:rPr>
          <w:rFonts w:ascii="Times New Roman" w:hAnsi="Times New Roman"/>
          <w:sz w:val="18"/>
          <w:szCs w:val="18"/>
        </w:rPr>
        <w:t xml:space="preserve">resie gospodarki leśnej </w:t>
      </w:r>
      <w:r w:rsidRPr="00D928C3">
        <w:rPr>
          <w:rFonts w:ascii="Times New Roman" w:hAnsi="Times New Roman"/>
          <w:sz w:val="18"/>
          <w:szCs w:val="18"/>
        </w:rPr>
        <w:t>do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,</w:t>
      </w:r>
      <w:r w:rsidRPr="00D928C3">
        <w:rPr>
          <w:rFonts w:ascii="Times New Roman" w:hAnsi="Times New Roman"/>
          <w:sz w:val="18"/>
          <w:szCs w:val="18"/>
        </w:rPr>
        <w:t>5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%</w:t>
      </w:r>
      <w:r>
        <w:rPr>
          <w:rFonts w:ascii="Times New Roman" w:hAnsi="Times New Roman"/>
          <w:sz w:val="18"/>
          <w:szCs w:val="18"/>
        </w:rPr>
        <w:t xml:space="preserve"> łącznych emisji gazów cieplarnianych</w:t>
      </w:r>
      <w:r w:rsidR="00D928C3">
        <w:rPr>
          <w:rFonts w:ascii="Times New Roman" w:hAnsi="Times New Roman"/>
          <w:sz w:val="18"/>
          <w:szCs w:val="18"/>
        </w:rPr>
        <w:t xml:space="preserve"> w rok</w:t>
      </w:r>
      <w:r>
        <w:rPr>
          <w:rFonts w:ascii="Times New Roman" w:hAnsi="Times New Roman"/>
          <w:sz w:val="18"/>
          <w:szCs w:val="18"/>
        </w:rPr>
        <w:t>u bazowym.</w:t>
      </w:r>
    </w:p>
  </w:footnote>
  <w:footnote w:id="66">
    <w:p w14:paraId="66D62B2F" w14:textId="77777777" w:rsidR="0056125E" w:rsidRPr="006520D9" w:rsidRDefault="0056125E" w:rsidP="0056125E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DK, DE, IE, ES, IT i PT zdecydowały się uwzględnić</w:t>
      </w:r>
      <w:r w:rsidR="00D928C3">
        <w:rPr>
          <w:rFonts w:ascii="Times New Roman" w:hAnsi="Times New Roman"/>
          <w:sz w:val="18"/>
          <w:szCs w:val="18"/>
        </w:rPr>
        <w:t xml:space="preserve"> w swo</w:t>
      </w:r>
      <w:r>
        <w:rPr>
          <w:rFonts w:ascii="Times New Roman" w:hAnsi="Times New Roman"/>
          <w:sz w:val="18"/>
          <w:szCs w:val="18"/>
        </w:rPr>
        <w:t>ich rozliczeniach gospodarkę gruntami uprawnymi; DE, DK, IE, IT i PT uwzględniły również gospodarkę pastwiskami; RO zdecydowała się uwzględnić odnowę szaty roślinnej.</w:t>
      </w:r>
    </w:p>
  </w:footnote>
  <w:footnote w:id="67">
    <w:p w14:paraId="41439DB0" w14:textId="77777777" w:rsidR="007544AC" w:rsidRPr="00B7742C" w:rsidRDefault="007544AC">
      <w:pPr>
        <w:pStyle w:val="Tekstprzypisudolnego"/>
        <w:spacing w:before="0"/>
        <w:jc w:val="both"/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Inne tendencje lub dynamiki, na które warto zwrócić uwagę:</w:t>
      </w:r>
      <w:r w:rsidR="00D928C3">
        <w:rPr>
          <w:rFonts w:ascii="Times New Roman" w:hAnsi="Times New Roman"/>
          <w:sz w:val="18"/>
          <w:szCs w:val="18"/>
        </w:rPr>
        <w:t xml:space="preserve"> w 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17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saldo pochłaniania lub jednostek</w:t>
      </w:r>
      <w:r w:rsidR="00D928C3">
        <w:rPr>
          <w:rFonts w:ascii="Times New Roman" w:hAnsi="Times New Roman"/>
          <w:sz w:val="18"/>
          <w:szCs w:val="18"/>
        </w:rPr>
        <w:t xml:space="preserve"> w zak</w:t>
      </w:r>
      <w:r>
        <w:rPr>
          <w:rFonts w:ascii="Times New Roman" w:hAnsi="Times New Roman"/>
          <w:sz w:val="18"/>
          <w:szCs w:val="18"/>
        </w:rPr>
        <w:t>resie zalesiania/ponownego zalesiania zmniejszyło się</w:t>
      </w:r>
      <w:r w:rsidR="00D928C3">
        <w:rPr>
          <w:rFonts w:ascii="Times New Roman" w:hAnsi="Times New Roman"/>
          <w:sz w:val="18"/>
          <w:szCs w:val="18"/>
        </w:rPr>
        <w:t xml:space="preserve"> o 7</w:t>
      </w:r>
      <w:r>
        <w:rPr>
          <w:rFonts w:ascii="Times New Roman" w:hAnsi="Times New Roman"/>
          <w:sz w:val="18"/>
          <w:szCs w:val="18"/>
        </w:rPr>
        <w:t xml:space="preserve"> Mt ekwiwalentu CO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>; saldo emisji (jednostek)</w:t>
      </w:r>
      <w:r w:rsidR="00D928C3">
        <w:rPr>
          <w:rFonts w:ascii="Times New Roman" w:hAnsi="Times New Roman"/>
          <w:sz w:val="18"/>
          <w:szCs w:val="18"/>
        </w:rPr>
        <w:t xml:space="preserve"> w zak</w:t>
      </w:r>
      <w:r>
        <w:rPr>
          <w:rFonts w:ascii="Times New Roman" w:hAnsi="Times New Roman"/>
          <w:sz w:val="18"/>
          <w:szCs w:val="18"/>
        </w:rPr>
        <w:t>resie gospodarki gruntami uprawnymi zmniejszyło się (wzrosło)</w:t>
      </w:r>
      <w:r w:rsidR="00D928C3">
        <w:rPr>
          <w:rFonts w:ascii="Times New Roman" w:hAnsi="Times New Roman"/>
          <w:sz w:val="18"/>
          <w:szCs w:val="18"/>
        </w:rPr>
        <w:t xml:space="preserve"> o 5</w:t>
      </w:r>
      <w:r>
        <w:rPr>
          <w:rFonts w:ascii="Times New Roman" w:hAnsi="Times New Roman"/>
          <w:sz w:val="18"/>
          <w:szCs w:val="18"/>
        </w:rPr>
        <w:t xml:space="preserve"> Mt ekwiwalentu CO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 xml:space="preserve"> na przestrzeni siedmiu lat.</w:t>
      </w:r>
    </w:p>
  </w:footnote>
  <w:footnote w:id="68">
    <w:p w14:paraId="5A054D31" w14:textId="77777777" w:rsidR="007544AC" w:rsidRPr="00F2428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Grassi, G., Fiorese, G., Pilli, R., Jonsson, K., Blujdea, V., Korosuo, A.</w:t>
      </w:r>
      <w:r w:rsidR="00D928C3">
        <w:rPr>
          <w:rFonts w:ascii="Times New Roman" w:hAnsi="Times New Roman"/>
          <w:sz w:val="18"/>
          <w:szCs w:val="18"/>
        </w:rPr>
        <w:t xml:space="preserve"> i Viz</w:t>
      </w:r>
      <w:r>
        <w:rPr>
          <w:rFonts w:ascii="Times New Roman" w:hAnsi="Times New Roman"/>
          <w:sz w:val="18"/>
          <w:szCs w:val="18"/>
        </w:rPr>
        <w:t>zarri, M., „Brief on the role of the forest-based bioeconomy in mitigating climate change through carbon storage and material substitution” [„Dokument analityczny na temat roli biogospodarki opartej na lasach</w:t>
      </w:r>
      <w:r w:rsidR="00D928C3">
        <w:rPr>
          <w:rFonts w:ascii="Times New Roman" w:hAnsi="Times New Roman"/>
          <w:sz w:val="18"/>
          <w:szCs w:val="18"/>
        </w:rPr>
        <w:t xml:space="preserve"> w łag</w:t>
      </w:r>
      <w:r>
        <w:rPr>
          <w:rFonts w:ascii="Times New Roman" w:hAnsi="Times New Roman"/>
          <w:sz w:val="18"/>
          <w:szCs w:val="18"/>
        </w:rPr>
        <w:t>odzeniu zmiany klimatu poprzez składowanie dwutlenku węgla</w:t>
      </w:r>
      <w:r w:rsidR="00D928C3">
        <w:rPr>
          <w:rFonts w:ascii="Times New Roman" w:hAnsi="Times New Roman"/>
          <w:sz w:val="18"/>
          <w:szCs w:val="18"/>
        </w:rPr>
        <w:t xml:space="preserve"> i zas</w:t>
      </w:r>
      <w:r>
        <w:rPr>
          <w:rFonts w:ascii="Times New Roman" w:hAnsi="Times New Roman"/>
          <w:sz w:val="18"/>
          <w:szCs w:val="18"/>
        </w:rPr>
        <w:t>tępowanie materiałów”], Sanchez Lopez, J., Jasinevičius, G.</w:t>
      </w:r>
      <w:r w:rsidR="00D928C3">
        <w:rPr>
          <w:rFonts w:ascii="Times New Roman" w:hAnsi="Times New Roman"/>
          <w:sz w:val="18"/>
          <w:szCs w:val="18"/>
        </w:rPr>
        <w:t xml:space="preserve"> i Avr</w:t>
      </w:r>
      <w:r>
        <w:rPr>
          <w:rFonts w:ascii="Times New Roman" w:hAnsi="Times New Roman"/>
          <w:sz w:val="18"/>
          <w:szCs w:val="18"/>
        </w:rPr>
        <w:t xml:space="preserve">aamides, M. (red.), Komisja Europejska, 2021, </w:t>
      </w:r>
      <w:hyperlink r:id="rId10" w:history="1">
        <w:r>
          <w:rPr>
            <w:rFonts w:ascii="Times New Roman" w:hAnsi="Times New Roman"/>
            <w:sz w:val="18"/>
            <w:szCs w:val="18"/>
          </w:rPr>
          <w:t>JRC124374</w:t>
        </w:r>
      </w:hyperlink>
      <w:r>
        <w:rPr>
          <w:rFonts w:ascii="Times New Roman" w:hAnsi="Times New Roman"/>
          <w:sz w:val="18"/>
          <w:szCs w:val="18"/>
        </w:rPr>
        <w:t>.</w:t>
      </w:r>
    </w:p>
  </w:footnote>
  <w:footnote w:id="69">
    <w:p w14:paraId="186F2BFE" w14:textId="77777777" w:rsidR="007544AC" w:rsidRPr="00787BC5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Cel ten wyznaczono</w:t>
      </w:r>
      <w:r w:rsidR="00D928C3">
        <w:rPr>
          <w:rFonts w:ascii="Times New Roman" w:hAnsi="Times New Roman"/>
          <w:sz w:val="18"/>
          <w:szCs w:val="18"/>
        </w:rPr>
        <w:t xml:space="preserve"> w opa</w:t>
      </w:r>
      <w:r>
        <w:rPr>
          <w:rFonts w:ascii="Times New Roman" w:hAnsi="Times New Roman"/>
          <w:sz w:val="18"/>
          <w:szCs w:val="18"/>
        </w:rPr>
        <w:t>rciu</w:t>
      </w:r>
      <w:r w:rsidR="00D928C3">
        <w:rPr>
          <w:rFonts w:ascii="Times New Roman" w:hAnsi="Times New Roman"/>
          <w:sz w:val="18"/>
          <w:szCs w:val="18"/>
        </w:rPr>
        <w:t xml:space="preserve"> o dan</w:t>
      </w:r>
      <w:r>
        <w:rPr>
          <w:rFonts w:ascii="Times New Roman" w:hAnsi="Times New Roman"/>
          <w:sz w:val="18"/>
          <w:szCs w:val="18"/>
        </w:rPr>
        <w:t>e dotyczące emisji z LULUCF powiązanych</w:t>
      </w:r>
      <w:r w:rsidR="00D928C3">
        <w:rPr>
          <w:rFonts w:ascii="Times New Roman" w:hAnsi="Times New Roman"/>
          <w:sz w:val="18"/>
          <w:szCs w:val="18"/>
        </w:rPr>
        <w:t xml:space="preserve"> z gru</w:t>
      </w:r>
      <w:r>
        <w:rPr>
          <w:rFonts w:ascii="Times New Roman" w:hAnsi="Times New Roman"/>
          <w:sz w:val="18"/>
          <w:szCs w:val="18"/>
        </w:rPr>
        <w:t>ntami</w:t>
      </w:r>
      <w:r w:rsidR="00D928C3">
        <w:rPr>
          <w:rFonts w:ascii="Times New Roman" w:hAnsi="Times New Roman"/>
          <w:sz w:val="18"/>
          <w:szCs w:val="18"/>
        </w:rPr>
        <w:t xml:space="preserve"> i poc</w:t>
      </w:r>
      <w:r>
        <w:rPr>
          <w:rFonts w:ascii="Times New Roman" w:hAnsi="Times New Roman"/>
          <w:sz w:val="18"/>
          <w:szCs w:val="18"/>
        </w:rPr>
        <w:t>hłaniania tych emisji, jak zgłoszono UNFCCC</w:t>
      </w:r>
      <w:r w:rsidR="00D928C3">
        <w:rPr>
          <w:rFonts w:ascii="Times New Roman" w:hAnsi="Times New Roman"/>
          <w:sz w:val="18"/>
          <w:szCs w:val="18"/>
        </w:rPr>
        <w:t>. W lat</w:t>
      </w:r>
      <w:r>
        <w:rPr>
          <w:rFonts w:ascii="Times New Roman" w:hAnsi="Times New Roman"/>
          <w:sz w:val="18"/>
          <w:szCs w:val="18"/>
        </w:rPr>
        <w:t>ach 2016–2018 średnio w UE pochłanianie netto z LULUCF było na poziomie -268 Mt ekwiwalentu CO</w:t>
      </w:r>
      <w:r>
        <w:rPr>
          <w:rFonts w:ascii="Times New Roman" w:hAnsi="Times New Roman"/>
          <w:sz w:val="18"/>
          <w:szCs w:val="18"/>
          <w:vertAlign w:val="subscript"/>
        </w:rPr>
        <w:t>2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0">
    <w:p w14:paraId="7BF764EB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COM(2021) 82.</w:t>
      </w:r>
    </w:p>
  </w:footnote>
  <w:footnote w:id="71">
    <w:p w14:paraId="5CE78DAC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Art. 29</w:t>
      </w:r>
      <w:r>
        <w:rPr>
          <w:rStyle w:val="Odwoanieprzypisudolnego"/>
          <w:rFonts w:ascii="Times New Roman" w:hAnsi="Times New Roman"/>
          <w:sz w:val="18"/>
          <w:szCs w:val="18"/>
          <w:vertAlign w:val="baseline"/>
        </w:rPr>
        <w:t xml:space="preserve"> rozporządzenia (UE) 2018/1999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2">
    <w:p w14:paraId="3A32D487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Zob. szczegółowe informacje</w:t>
      </w:r>
      <w:r w:rsidR="00D928C3">
        <w:rPr>
          <w:rFonts w:ascii="Times New Roman" w:hAnsi="Times New Roman"/>
          <w:sz w:val="18"/>
          <w:szCs w:val="18"/>
        </w:rPr>
        <w:t xml:space="preserve"> w dok</w:t>
      </w:r>
      <w:r>
        <w:rPr>
          <w:rFonts w:ascii="Times New Roman" w:hAnsi="Times New Roman"/>
          <w:sz w:val="18"/>
          <w:szCs w:val="18"/>
        </w:rPr>
        <w:t>umencie roboczym służb Komisji.</w:t>
      </w:r>
    </w:p>
  </w:footnote>
  <w:footnote w:id="73">
    <w:p w14:paraId="4B101F1A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Podział krajów na strefy klimatyczne według często stosowanej nomenklatury</w:t>
      </w:r>
      <w:r w:rsidR="00D928C3">
        <w:rPr>
          <w:rFonts w:ascii="Times New Roman" w:hAnsi="Times New Roman"/>
          <w:sz w:val="18"/>
          <w:szCs w:val="18"/>
        </w:rPr>
        <w:t xml:space="preserve"> w oce</w:t>
      </w:r>
      <w:r>
        <w:rPr>
          <w:rFonts w:ascii="Times New Roman" w:hAnsi="Times New Roman"/>
          <w:sz w:val="18"/>
          <w:szCs w:val="18"/>
        </w:rPr>
        <w:t>nach dotyczących zmian klimatu przeprowadzanych przez Europejską Agencję Środowiska</w:t>
      </w:r>
      <w:r w:rsidR="00D928C3">
        <w:rPr>
          <w:rFonts w:ascii="Times New Roman" w:hAnsi="Times New Roman"/>
          <w:sz w:val="18"/>
          <w:szCs w:val="18"/>
        </w:rPr>
        <w:t xml:space="preserve"> i Kom</w:t>
      </w:r>
      <w:r>
        <w:rPr>
          <w:rFonts w:ascii="Times New Roman" w:hAnsi="Times New Roman"/>
          <w:sz w:val="18"/>
          <w:szCs w:val="18"/>
        </w:rPr>
        <w:t>isję: kraje północne (DK, EE, FI, IE, LT, LV, SE), wschodnie (BG, CZ, HU, PL, RO, SK), południowe (CY, EL, ES, HR, IT, MT, PT, SI)</w:t>
      </w:r>
      <w:r w:rsidR="00D928C3">
        <w:rPr>
          <w:rFonts w:ascii="Times New Roman" w:hAnsi="Times New Roman"/>
          <w:sz w:val="18"/>
          <w:szCs w:val="18"/>
        </w:rPr>
        <w:t xml:space="preserve"> i zac</w:t>
      </w:r>
      <w:r>
        <w:rPr>
          <w:rFonts w:ascii="Times New Roman" w:hAnsi="Times New Roman"/>
          <w:sz w:val="18"/>
          <w:szCs w:val="18"/>
        </w:rPr>
        <w:t>hodnie (AT, BE, FR, DE, LU, NL).</w:t>
      </w:r>
    </w:p>
  </w:footnote>
  <w:footnote w:id="74">
    <w:p w14:paraId="4485FD0A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Rozporządzenie (UE) 2021/1056.</w:t>
      </w:r>
    </w:p>
  </w:footnote>
  <w:footnote w:id="75">
    <w:p w14:paraId="6349453E" w14:textId="77777777" w:rsidR="0025227B" w:rsidRPr="0025227B" w:rsidRDefault="0025227B" w:rsidP="0025227B">
      <w:pPr>
        <w:pStyle w:val="Tekstprzypisudolnego"/>
        <w:spacing w:before="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Zob. przypis 33, jeśli chodzi</w:t>
      </w:r>
      <w:r w:rsidR="00D928C3">
        <w:rPr>
          <w:rFonts w:ascii="Times New Roman" w:hAnsi="Times New Roman"/>
          <w:sz w:val="18"/>
          <w:szCs w:val="18"/>
        </w:rPr>
        <w:t xml:space="preserve"> o wyj</w:t>
      </w:r>
      <w:r>
        <w:rPr>
          <w:rFonts w:ascii="Times New Roman" w:hAnsi="Times New Roman"/>
          <w:sz w:val="18"/>
          <w:szCs w:val="18"/>
        </w:rPr>
        <w:t>aśnienia dotyczące zastosowanej metodologii.</w:t>
      </w:r>
      <w:r>
        <w:t xml:space="preserve"> </w:t>
      </w:r>
    </w:p>
  </w:footnote>
  <w:footnote w:id="76">
    <w:p w14:paraId="0CF248D9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SWD(2021)242.</w:t>
      </w:r>
    </w:p>
  </w:footnote>
  <w:footnote w:id="77">
    <w:p w14:paraId="45E160D5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Aby zapoznać się</w:t>
      </w:r>
      <w:r w:rsidR="00D928C3">
        <w:rPr>
          <w:rFonts w:ascii="Times New Roman" w:hAnsi="Times New Roman"/>
          <w:sz w:val="18"/>
          <w:szCs w:val="18"/>
        </w:rPr>
        <w:t xml:space="preserve"> z prz</w:t>
      </w:r>
      <w:r>
        <w:rPr>
          <w:rFonts w:ascii="Times New Roman" w:hAnsi="Times New Roman"/>
          <w:sz w:val="18"/>
          <w:szCs w:val="18"/>
        </w:rPr>
        <w:t>eglądem dochodów</w:t>
      </w:r>
      <w:r w:rsidR="00D928C3">
        <w:rPr>
          <w:rFonts w:ascii="Times New Roman" w:hAnsi="Times New Roman"/>
          <w:sz w:val="18"/>
          <w:szCs w:val="18"/>
        </w:rPr>
        <w:t xml:space="preserve"> i zgł</w:t>
      </w:r>
      <w:r>
        <w:rPr>
          <w:rFonts w:ascii="Times New Roman" w:hAnsi="Times New Roman"/>
          <w:sz w:val="18"/>
          <w:szCs w:val="18"/>
        </w:rPr>
        <w:t xml:space="preserve">aszanych wydatków rocznych, zob. dokument roboczy służb Komisji. </w:t>
      </w:r>
    </w:p>
  </w:footnote>
  <w:footnote w:id="78">
    <w:p w14:paraId="724CA777" w14:textId="77777777" w:rsidR="007544AC" w:rsidRPr="006520D9" w:rsidRDefault="007544AC">
      <w:pPr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20</w:t>
      </w:r>
      <w:r w:rsidRPr="00D928C3">
        <w:rPr>
          <w:rFonts w:ascii="Times New Roman" w:hAnsi="Times New Roman"/>
          <w:sz w:val="18"/>
          <w:szCs w:val="18"/>
        </w:rPr>
        <w:t>20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państwa członkowskie po raz pierwszy przedstawiły sprawozdania dotyczące rodzaju wsparcia wykorzystywanego</w:t>
      </w:r>
      <w:r w:rsidR="00D928C3">
        <w:rPr>
          <w:rFonts w:ascii="Times New Roman" w:hAnsi="Times New Roman"/>
          <w:sz w:val="18"/>
          <w:szCs w:val="18"/>
        </w:rPr>
        <w:t xml:space="preserve"> w kra</w:t>
      </w:r>
      <w:r>
        <w:rPr>
          <w:rFonts w:ascii="Times New Roman" w:hAnsi="Times New Roman"/>
          <w:sz w:val="18"/>
          <w:szCs w:val="18"/>
        </w:rPr>
        <w:t>ju zgodnie</w:t>
      </w:r>
      <w:r w:rsidR="00D928C3">
        <w:rPr>
          <w:rFonts w:ascii="Times New Roman" w:hAnsi="Times New Roman"/>
          <w:sz w:val="18"/>
          <w:szCs w:val="18"/>
        </w:rPr>
        <w:t xml:space="preserve"> z </w:t>
      </w:r>
      <w:r w:rsidR="00D928C3" w:rsidRPr="00D928C3">
        <w:rPr>
          <w:rFonts w:ascii="Times New Roman" w:hAnsi="Times New Roman"/>
          <w:sz w:val="18"/>
          <w:szCs w:val="18"/>
        </w:rPr>
        <w:t>art</w:t>
      </w:r>
      <w:r w:rsidRPr="00D928C3">
        <w:rPr>
          <w:rFonts w:ascii="Times New Roman" w:hAnsi="Times New Roman"/>
          <w:sz w:val="18"/>
          <w:szCs w:val="18"/>
        </w:rPr>
        <w:t>.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>
          <w:rPr>
            <w:rFonts w:ascii="Times New Roman" w:hAnsi="Times New Roman"/>
            <w:sz w:val="18"/>
            <w:szCs w:val="18"/>
          </w:rPr>
          <w:t>rozporządzenia wykonawczego (UE) 2020/1208</w:t>
        </w:r>
      </w:hyperlink>
      <w:r>
        <w:rPr>
          <w:rFonts w:ascii="Times New Roman" w:hAnsi="Times New Roman"/>
          <w:sz w:val="18"/>
          <w:szCs w:val="18"/>
        </w:rPr>
        <w:t>.</w:t>
      </w:r>
    </w:p>
  </w:footnote>
  <w:footnote w:id="79">
    <w:p w14:paraId="01C16324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Albania, Bośnia</w:t>
      </w:r>
      <w:r w:rsidR="00D928C3">
        <w:rPr>
          <w:rFonts w:ascii="Times New Roman" w:hAnsi="Times New Roman"/>
          <w:sz w:val="18"/>
          <w:szCs w:val="18"/>
        </w:rPr>
        <w:t xml:space="preserve"> i Her</w:t>
      </w:r>
      <w:r>
        <w:rPr>
          <w:rFonts w:ascii="Times New Roman" w:hAnsi="Times New Roman"/>
          <w:sz w:val="18"/>
          <w:szCs w:val="18"/>
        </w:rPr>
        <w:t>cegowina, Czarnogóra, Gruzja, Kosowo, Macedonia Północna, Mołdawia, Serbia</w:t>
      </w:r>
      <w:r w:rsidR="00D928C3">
        <w:rPr>
          <w:rFonts w:ascii="Times New Roman" w:hAnsi="Times New Roman"/>
          <w:sz w:val="18"/>
          <w:szCs w:val="18"/>
        </w:rPr>
        <w:t xml:space="preserve"> i Ukr</w:t>
      </w:r>
      <w:r>
        <w:rPr>
          <w:rFonts w:ascii="Times New Roman" w:hAnsi="Times New Roman"/>
          <w:sz w:val="18"/>
          <w:szCs w:val="18"/>
        </w:rPr>
        <w:t>aina.</w:t>
      </w:r>
    </w:p>
  </w:footnote>
  <w:footnote w:id="80">
    <w:p w14:paraId="7305068F" w14:textId="77777777" w:rsidR="007544AC" w:rsidRPr="00495651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Odwoanieprzypisudolnego"/>
          <w:rFonts w:ascii="Times New Roman" w:hAnsi="Times New Roman"/>
          <w:sz w:val="18"/>
          <w:szCs w:val="18"/>
          <w:vertAlign w:val="baseline"/>
        </w:rPr>
        <w:t>Rozporządzenie (UE) 2018/1999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81">
    <w:p w14:paraId="22D99BC8" w14:textId="77777777" w:rsidR="007544AC" w:rsidRPr="00813C18" w:rsidRDefault="007544AC">
      <w:pPr>
        <w:pStyle w:val="Tekstprzypisudolnego"/>
        <w:spacing w:before="0"/>
        <w:rPr>
          <w:rStyle w:val="Odwoanieprzypisudolnego"/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Style w:val="Odwoanieprzypisudolnego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Dane </w:t>
      </w:r>
      <w:r w:rsidRPr="00D928C3">
        <w:rPr>
          <w:rFonts w:ascii="Times New Roman" w:hAnsi="Times New Roman"/>
          <w:sz w:val="18"/>
          <w:szCs w:val="18"/>
        </w:rPr>
        <w:t>za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0</w:t>
      </w:r>
      <w:r w:rsidRPr="00D928C3">
        <w:rPr>
          <w:rFonts w:ascii="Times New Roman" w:hAnsi="Times New Roman"/>
          <w:sz w:val="18"/>
          <w:szCs w:val="18"/>
        </w:rPr>
        <w:t>20</w:t>
      </w:r>
      <w:r w:rsidR="00D928C3" w:rsidRPr="00D928C3">
        <w:rPr>
          <w:rFonts w:ascii="Times New Roman" w:hAnsi="Times New Roman"/>
          <w:sz w:val="18"/>
          <w:szCs w:val="18"/>
        </w:rPr>
        <w:t> </w:t>
      </w:r>
      <w:r w:rsidRPr="00D928C3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dostępne wkrótce.</w:t>
      </w:r>
    </w:p>
  </w:footnote>
  <w:footnote w:id="82">
    <w:p w14:paraId="113A0D91" w14:textId="77777777" w:rsidR="007544AC" w:rsidRPr="006520D9" w:rsidRDefault="007544AC">
      <w:pPr>
        <w:pStyle w:val="Tekstprzypisudolnego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Style w:val="Odwoanieprzypisudolnego"/>
          <w:rFonts w:ascii="Times New Roman" w:hAnsi="Times New Roman"/>
          <w:sz w:val="18"/>
          <w:szCs w:val="18"/>
          <w:vertAlign w:val="baseline"/>
        </w:rPr>
        <w:t>COM(2021) 110 final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ACF8" w14:textId="77777777" w:rsidR="002454D6" w:rsidRPr="002454D6" w:rsidRDefault="002454D6" w:rsidP="00245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33CA6" w14:textId="77777777" w:rsidR="002454D6" w:rsidRPr="002454D6" w:rsidRDefault="002454D6" w:rsidP="002454D6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98155" w14:textId="77777777" w:rsidR="002454D6" w:rsidRPr="002454D6" w:rsidRDefault="002454D6" w:rsidP="002454D6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62B6" w14:textId="77777777" w:rsidR="007544AC" w:rsidRDefault="007544AC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E71E" w14:textId="77777777" w:rsidR="007544AC" w:rsidRDefault="007544AC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E843" w14:textId="77777777" w:rsidR="007544AC" w:rsidRDefault="00754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BED"/>
    <w:multiLevelType w:val="multilevel"/>
    <w:tmpl w:val="FD0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507C6"/>
    <w:multiLevelType w:val="hybridMultilevel"/>
    <w:tmpl w:val="E9C8391E"/>
    <w:lvl w:ilvl="0" w:tplc="E6A4CE56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C91"/>
    <w:multiLevelType w:val="hybridMultilevel"/>
    <w:tmpl w:val="99DC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76CDC"/>
    <w:multiLevelType w:val="hybridMultilevel"/>
    <w:tmpl w:val="1D20ABA2"/>
    <w:lvl w:ilvl="0" w:tplc="F7CE6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6D5"/>
    <w:multiLevelType w:val="hybridMultilevel"/>
    <w:tmpl w:val="AE127D7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82979"/>
    <w:multiLevelType w:val="hybridMultilevel"/>
    <w:tmpl w:val="90766390"/>
    <w:lvl w:ilvl="0" w:tplc="271A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3E640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EE8BA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BECA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14EC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DE6E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29436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323E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AAECA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0A82FB"/>
    <w:multiLevelType w:val="hybridMultilevel"/>
    <w:tmpl w:val="0EDC7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A092B"/>
    <w:multiLevelType w:val="hybridMultilevel"/>
    <w:tmpl w:val="D20C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733"/>
    <w:multiLevelType w:val="hybridMultilevel"/>
    <w:tmpl w:val="F7647636"/>
    <w:lvl w:ilvl="0" w:tplc="3D0EC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1AAC"/>
    <w:multiLevelType w:val="hybridMultilevel"/>
    <w:tmpl w:val="381E32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462E"/>
    <w:multiLevelType w:val="hybridMultilevel"/>
    <w:tmpl w:val="3DC2A79E"/>
    <w:lvl w:ilvl="0" w:tplc="6A9C6F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07E7"/>
    <w:multiLevelType w:val="hybridMultilevel"/>
    <w:tmpl w:val="8DD6A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D1A85"/>
    <w:multiLevelType w:val="hybridMultilevel"/>
    <w:tmpl w:val="D5F48372"/>
    <w:lvl w:ilvl="0" w:tplc="8D56B7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3C02"/>
    <w:multiLevelType w:val="hybridMultilevel"/>
    <w:tmpl w:val="B83E9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15D99"/>
    <w:multiLevelType w:val="hybridMultilevel"/>
    <w:tmpl w:val="E486AD5A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381413F7"/>
    <w:multiLevelType w:val="multilevel"/>
    <w:tmpl w:val="4364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F24816"/>
    <w:multiLevelType w:val="hybridMultilevel"/>
    <w:tmpl w:val="80B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E79EF"/>
    <w:multiLevelType w:val="hybridMultilevel"/>
    <w:tmpl w:val="29EE08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914441"/>
    <w:multiLevelType w:val="multilevel"/>
    <w:tmpl w:val="634A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DC0042"/>
    <w:multiLevelType w:val="hybridMultilevel"/>
    <w:tmpl w:val="1BCCBB74"/>
    <w:lvl w:ilvl="0" w:tplc="C5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963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20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CD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63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A3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C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26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588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C4759"/>
    <w:multiLevelType w:val="hybridMultilevel"/>
    <w:tmpl w:val="B3BEED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059D8"/>
    <w:multiLevelType w:val="hybridMultilevel"/>
    <w:tmpl w:val="D0B07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A544D"/>
    <w:multiLevelType w:val="hybridMultilevel"/>
    <w:tmpl w:val="3804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80A3B"/>
    <w:multiLevelType w:val="hybridMultilevel"/>
    <w:tmpl w:val="53EE480A"/>
    <w:lvl w:ilvl="0" w:tplc="10B07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63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EF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81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C6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CE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6D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28E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61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E161B"/>
    <w:multiLevelType w:val="multilevel"/>
    <w:tmpl w:val="5D3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260EF"/>
    <w:multiLevelType w:val="hybridMultilevel"/>
    <w:tmpl w:val="2F042B4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8527F"/>
    <w:multiLevelType w:val="hybridMultilevel"/>
    <w:tmpl w:val="56BA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35B73"/>
    <w:multiLevelType w:val="hybridMultilevel"/>
    <w:tmpl w:val="9230B450"/>
    <w:lvl w:ilvl="0" w:tplc="5A2CDB7A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B20C41"/>
    <w:multiLevelType w:val="hybridMultilevel"/>
    <w:tmpl w:val="29EE0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A79B3"/>
    <w:multiLevelType w:val="hybridMultilevel"/>
    <w:tmpl w:val="BC26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D1BB8"/>
    <w:multiLevelType w:val="hybridMultilevel"/>
    <w:tmpl w:val="A3F47958"/>
    <w:lvl w:ilvl="0" w:tplc="F7CE6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55E52"/>
    <w:multiLevelType w:val="hybridMultilevel"/>
    <w:tmpl w:val="CE12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95A5C"/>
    <w:multiLevelType w:val="hybridMultilevel"/>
    <w:tmpl w:val="992E1F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7821"/>
    <w:multiLevelType w:val="hybridMultilevel"/>
    <w:tmpl w:val="BB5A0504"/>
    <w:lvl w:ilvl="0" w:tplc="ADF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47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48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A7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E7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5E6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ED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CE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84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91137"/>
    <w:multiLevelType w:val="hybridMultilevel"/>
    <w:tmpl w:val="4D2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E6A7D"/>
    <w:multiLevelType w:val="hybridMultilevel"/>
    <w:tmpl w:val="D2BAC042"/>
    <w:lvl w:ilvl="0" w:tplc="DCCC2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4423B"/>
    <w:multiLevelType w:val="hybridMultilevel"/>
    <w:tmpl w:val="0AEE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5670C"/>
    <w:multiLevelType w:val="hybridMultilevel"/>
    <w:tmpl w:val="63CE6B9E"/>
    <w:lvl w:ilvl="0" w:tplc="3B6AC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F3F4A"/>
    <w:multiLevelType w:val="hybridMultilevel"/>
    <w:tmpl w:val="61A6A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578C6"/>
    <w:multiLevelType w:val="multilevel"/>
    <w:tmpl w:val="191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4"/>
  </w:num>
  <w:num w:numId="3">
    <w:abstractNumId w:val="24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"/>
  </w:num>
  <w:num w:numId="8">
    <w:abstractNumId w:val="22"/>
  </w:num>
  <w:num w:numId="9">
    <w:abstractNumId w:val="35"/>
  </w:num>
  <w:num w:numId="10">
    <w:abstractNumId w:val="39"/>
  </w:num>
  <w:num w:numId="11">
    <w:abstractNumId w:val="1"/>
    <w:lvlOverride w:ilvl="0">
      <w:startOverride w:val="1"/>
    </w:lvlOverride>
  </w:num>
  <w:num w:numId="12">
    <w:abstractNumId w:val="15"/>
  </w:num>
  <w:num w:numId="13">
    <w:abstractNumId w:val="9"/>
  </w:num>
  <w:num w:numId="14">
    <w:abstractNumId w:val="5"/>
  </w:num>
  <w:num w:numId="15">
    <w:abstractNumId w:val="11"/>
  </w:num>
  <w:num w:numId="16">
    <w:abstractNumId w:val="32"/>
  </w:num>
  <w:num w:numId="17">
    <w:abstractNumId w:val="1"/>
    <w:lvlOverride w:ilvl="0">
      <w:startOverride w:val="1"/>
    </w:lvlOverride>
  </w:num>
  <w:num w:numId="18">
    <w:abstractNumId w:val="36"/>
  </w:num>
  <w:num w:numId="19">
    <w:abstractNumId w:val="7"/>
  </w:num>
  <w:num w:numId="20">
    <w:abstractNumId w:val="12"/>
  </w:num>
  <w:num w:numId="21">
    <w:abstractNumId w:val="18"/>
  </w:num>
  <w:num w:numId="22">
    <w:abstractNumId w:val="6"/>
  </w:num>
  <w:num w:numId="23">
    <w:abstractNumId w:val="8"/>
  </w:num>
  <w:num w:numId="24">
    <w:abstractNumId w:val="31"/>
  </w:num>
  <w:num w:numId="25">
    <w:abstractNumId w:val="3"/>
  </w:num>
  <w:num w:numId="26">
    <w:abstractNumId w:val="1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7"/>
  </w:num>
  <w:num w:numId="32">
    <w:abstractNumId w:val="16"/>
  </w:num>
  <w:num w:numId="33">
    <w:abstractNumId w:val="40"/>
  </w:num>
  <w:num w:numId="34">
    <w:abstractNumId w:val="38"/>
  </w:num>
  <w:num w:numId="35">
    <w:abstractNumId w:val="33"/>
  </w:num>
  <w:num w:numId="36">
    <w:abstractNumId w:val="23"/>
  </w:num>
  <w:num w:numId="37">
    <w:abstractNumId w:val="23"/>
  </w:num>
  <w:num w:numId="38">
    <w:abstractNumId w:val="17"/>
  </w:num>
  <w:num w:numId="39">
    <w:abstractNumId w:val="2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7"/>
  </w:num>
  <w:num w:numId="43">
    <w:abstractNumId w:val="37"/>
  </w:num>
  <w:num w:numId="44">
    <w:abstractNumId w:val="13"/>
  </w:num>
  <w:num w:numId="45">
    <w:abstractNumId w:val="25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fr-BE" w:vendorID="64" w:dllVersion="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A64741D0-4BE5-4374-B399-80159553C2E3"/>
    <w:docVar w:name="LW_COVERPAGE_TYPE" w:val="1"/>
    <w:docVar w:name="LW_CROSSREFERENCE" w:val="{COM(2021) 950 final} - {SWD(2021) 298 final}"/>
    <w:docVar w:name="LW_DocType" w:val="NORMAL"/>
    <w:docVar w:name="LW_EMISSION" w:val="26.10.2021"/>
    <w:docVar w:name="LW_EMISSION_ISODATE" w:val="2021-10-26"/>
    <w:docVar w:name="LW_EMISSION_LOCATION" w:val="BRX"/>
    <w:docVar w:name="LW_EMISSION_PREFIX" w:val="Bruksela, dnia "/>
    <w:docVar w:name="LW_EMISSION_SUFFIX" w:val=" r."/>
    <w:docVar w:name="LW_ID_DOCTYPE_NONLW" w:val="CP-008"/>
    <w:docVar w:name="LW_LANGUE" w:val="PL"/>
    <w:docVar w:name="LW_LEVEL_OF_SENSITIVITY" w:val="Standard treatment"/>
    <w:docVar w:name="LW_NOM.INST" w:val="KOMISJA EUROPEJSK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21) 96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Przyspieszenie dzia\u322?a\u324? na rzecz klimatu podejmowanych na szczeblu europejskim w kontek\u347?cie d\u261?\u380?enia do zapewniania ekologicznej, sprawiedliwej i dostatniej przysz\u322?o\u347?ci_x000d__x000d__x000b__x000d__x000d__x000d__x000d__x000d__x000d__x000d__x000b__x000d__x000d__x000d__x000d__x000d__x000b__x000d__x000d__x000d__x000d__x000d__x000b_Sprawozdanie z post\u281?pów dzia\u322?a\u324? UE na rzecz klimatu za 2021 r."/>
    <w:docVar w:name="LW_TYPE.DOC.CP" w:val="SPRAWOZDANIE KOMISJI DLA PARLAMENTU EUROPEJSKIEGO, RADY, EUROPEJSKIEGO KOMITETU EKONOMICZNO-SPO\u321?ECZNEGO I KOMITETU REGIONÓW"/>
    <w:docVar w:name="LwApiVersions" w:val="LW4CoDe 1.23.1.0; LW 8.0, Build 20210728"/>
  </w:docVars>
  <w:rsids>
    <w:rsidRoot w:val="00D8285A"/>
    <w:rsid w:val="000030E2"/>
    <w:rsid w:val="00003A53"/>
    <w:rsid w:val="00006F27"/>
    <w:rsid w:val="0001054E"/>
    <w:rsid w:val="00012679"/>
    <w:rsid w:val="00021877"/>
    <w:rsid w:val="00021884"/>
    <w:rsid w:val="00024E85"/>
    <w:rsid w:val="000266E8"/>
    <w:rsid w:val="00026C2F"/>
    <w:rsid w:val="0002787B"/>
    <w:rsid w:val="000334A1"/>
    <w:rsid w:val="000358C3"/>
    <w:rsid w:val="00036C4F"/>
    <w:rsid w:val="000378C8"/>
    <w:rsid w:val="00037B13"/>
    <w:rsid w:val="00037D70"/>
    <w:rsid w:val="00045400"/>
    <w:rsid w:val="000479F7"/>
    <w:rsid w:val="00050337"/>
    <w:rsid w:val="000509F6"/>
    <w:rsid w:val="000524C6"/>
    <w:rsid w:val="00052A9F"/>
    <w:rsid w:val="00052C02"/>
    <w:rsid w:val="00055082"/>
    <w:rsid w:val="000559F5"/>
    <w:rsid w:val="00060229"/>
    <w:rsid w:val="00060917"/>
    <w:rsid w:val="00062493"/>
    <w:rsid w:val="00065EE5"/>
    <w:rsid w:val="00067916"/>
    <w:rsid w:val="00070C4B"/>
    <w:rsid w:val="00074B78"/>
    <w:rsid w:val="000756CC"/>
    <w:rsid w:val="00076167"/>
    <w:rsid w:val="00077AF0"/>
    <w:rsid w:val="00081418"/>
    <w:rsid w:val="0008235C"/>
    <w:rsid w:val="00085441"/>
    <w:rsid w:val="00087C7A"/>
    <w:rsid w:val="000904FB"/>
    <w:rsid w:val="00095025"/>
    <w:rsid w:val="00097E6E"/>
    <w:rsid w:val="00097F4B"/>
    <w:rsid w:val="000A3E44"/>
    <w:rsid w:val="000A7ED3"/>
    <w:rsid w:val="000B2562"/>
    <w:rsid w:val="000B4C78"/>
    <w:rsid w:val="000B7BC8"/>
    <w:rsid w:val="000D03AA"/>
    <w:rsid w:val="000D10A5"/>
    <w:rsid w:val="000E1B57"/>
    <w:rsid w:val="000E4C88"/>
    <w:rsid w:val="000E4FEC"/>
    <w:rsid w:val="000E5F47"/>
    <w:rsid w:val="000E64A1"/>
    <w:rsid w:val="000F04FB"/>
    <w:rsid w:val="000F2A51"/>
    <w:rsid w:val="000F2D48"/>
    <w:rsid w:val="000F392F"/>
    <w:rsid w:val="000F579B"/>
    <w:rsid w:val="00100559"/>
    <w:rsid w:val="00104B46"/>
    <w:rsid w:val="001051FF"/>
    <w:rsid w:val="0010568E"/>
    <w:rsid w:val="001056A6"/>
    <w:rsid w:val="00105AF6"/>
    <w:rsid w:val="00107C10"/>
    <w:rsid w:val="00110DED"/>
    <w:rsid w:val="001113C2"/>
    <w:rsid w:val="00112B91"/>
    <w:rsid w:val="00112E8C"/>
    <w:rsid w:val="00113E38"/>
    <w:rsid w:val="001152F5"/>
    <w:rsid w:val="0011564C"/>
    <w:rsid w:val="00116FCB"/>
    <w:rsid w:val="00117870"/>
    <w:rsid w:val="00126F31"/>
    <w:rsid w:val="00130AC0"/>
    <w:rsid w:val="001346E7"/>
    <w:rsid w:val="001355C3"/>
    <w:rsid w:val="00137854"/>
    <w:rsid w:val="001400C6"/>
    <w:rsid w:val="00140387"/>
    <w:rsid w:val="00145F27"/>
    <w:rsid w:val="00151730"/>
    <w:rsid w:val="00152684"/>
    <w:rsid w:val="00157C7E"/>
    <w:rsid w:val="0016001C"/>
    <w:rsid w:val="001601E1"/>
    <w:rsid w:val="00163354"/>
    <w:rsid w:val="00175529"/>
    <w:rsid w:val="0018139A"/>
    <w:rsid w:val="00182F62"/>
    <w:rsid w:val="00184E6C"/>
    <w:rsid w:val="001923EA"/>
    <w:rsid w:val="00193E2C"/>
    <w:rsid w:val="001953C7"/>
    <w:rsid w:val="00196BE7"/>
    <w:rsid w:val="00197B70"/>
    <w:rsid w:val="001A02A1"/>
    <w:rsid w:val="001A4BF6"/>
    <w:rsid w:val="001B244E"/>
    <w:rsid w:val="001B315F"/>
    <w:rsid w:val="001B4E2F"/>
    <w:rsid w:val="001B6A06"/>
    <w:rsid w:val="001C42E5"/>
    <w:rsid w:val="001C4B63"/>
    <w:rsid w:val="001C56FB"/>
    <w:rsid w:val="001C5D99"/>
    <w:rsid w:val="001C7592"/>
    <w:rsid w:val="001D1922"/>
    <w:rsid w:val="001D2BCB"/>
    <w:rsid w:val="001D5516"/>
    <w:rsid w:val="001D6139"/>
    <w:rsid w:val="001D6821"/>
    <w:rsid w:val="001D75C8"/>
    <w:rsid w:val="001E1124"/>
    <w:rsid w:val="001E33B0"/>
    <w:rsid w:val="001E686B"/>
    <w:rsid w:val="001F03B2"/>
    <w:rsid w:val="001F16F6"/>
    <w:rsid w:val="001F1926"/>
    <w:rsid w:val="001F27DD"/>
    <w:rsid w:val="001F540D"/>
    <w:rsid w:val="001F6940"/>
    <w:rsid w:val="001F7E5A"/>
    <w:rsid w:val="00200878"/>
    <w:rsid w:val="002015D8"/>
    <w:rsid w:val="00205BAC"/>
    <w:rsid w:val="002065E1"/>
    <w:rsid w:val="002076F7"/>
    <w:rsid w:val="00207E29"/>
    <w:rsid w:val="00215DC4"/>
    <w:rsid w:val="0021775A"/>
    <w:rsid w:val="0022670F"/>
    <w:rsid w:val="00226D25"/>
    <w:rsid w:val="0022743F"/>
    <w:rsid w:val="00234732"/>
    <w:rsid w:val="002354F4"/>
    <w:rsid w:val="00237B03"/>
    <w:rsid w:val="00240B22"/>
    <w:rsid w:val="00241998"/>
    <w:rsid w:val="00241A1A"/>
    <w:rsid w:val="00243D41"/>
    <w:rsid w:val="00244822"/>
    <w:rsid w:val="002450B7"/>
    <w:rsid w:val="002454D6"/>
    <w:rsid w:val="0025193C"/>
    <w:rsid w:val="0025227B"/>
    <w:rsid w:val="00252A5E"/>
    <w:rsid w:val="0025330C"/>
    <w:rsid w:val="0025384D"/>
    <w:rsid w:val="002546B3"/>
    <w:rsid w:val="00254B10"/>
    <w:rsid w:val="0025549A"/>
    <w:rsid w:val="00255DC4"/>
    <w:rsid w:val="00256190"/>
    <w:rsid w:val="00256A06"/>
    <w:rsid w:val="00261E3F"/>
    <w:rsid w:val="00263C88"/>
    <w:rsid w:val="0026711C"/>
    <w:rsid w:val="002671D0"/>
    <w:rsid w:val="00267B59"/>
    <w:rsid w:val="0027346C"/>
    <w:rsid w:val="00273B06"/>
    <w:rsid w:val="00275DCA"/>
    <w:rsid w:val="00277789"/>
    <w:rsid w:val="0028123A"/>
    <w:rsid w:val="00282156"/>
    <w:rsid w:val="00282D2B"/>
    <w:rsid w:val="00285044"/>
    <w:rsid w:val="00286772"/>
    <w:rsid w:val="00287BF2"/>
    <w:rsid w:val="002901BB"/>
    <w:rsid w:val="0029570F"/>
    <w:rsid w:val="002A19A2"/>
    <w:rsid w:val="002A1D67"/>
    <w:rsid w:val="002A2044"/>
    <w:rsid w:val="002A321C"/>
    <w:rsid w:val="002A3752"/>
    <w:rsid w:val="002A3991"/>
    <w:rsid w:val="002A50F9"/>
    <w:rsid w:val="002A6C25"/>
    <w:rsid w:val="002A71BE"/>
    <w:rsid w:val="002B0A81"/>
    <w:rsid w:val="002B0FF1"/>
    <w:rsid w:val="002B58C9"/>
    <w:rsid w:val="002C0FBC"/>
    <w:rsid w:val="002C2D77"/>
    <w:rsid w:val="002D18B1"/>
    <w:rsid w:val="002D2EFB"/>
    <w:rsid w:val="002D503E"/>
    <w:rsid w:val="002D5B53"/>
    <w:rsid w:val="002E0342"/>
    <w:rsid w:val="002E09EA"/>
    <w:rsid w:val="002E408D"/>
    <w:rsid w:val="002E499E"/>
    <w:rsid w:val="002E5355"/>
    <w:rsid w:val="002F0150"/>
    <w:rsid w:val="002F65FE"/>
    <w:rsid w:val="002F7699"/>
    <w:rsid w:val="003034EF"/>
    <w:rsid w:val="003036C6"/>
    <w:rsid w:val="0030427B"/>
    <w:rsid w:val="00304ED8"/>
    <w:rsid w:val="0030530D"/>
    <w:rsid w:val="00306A03"/>
    <w:rsid w:val="003154C2"/>
    <w:rsid w:val="003158C0"/>
    <w:rsid w:val="00316E0B"/>
    <w:rsid w:val="00317237"/>
    <w:rsid w:val="003226AB"/>
    <w:rsid w:val="0032538C"/>
    <w:rsid w:val="00325D3E"/>
    <w:rsid w:val="0033499F"/>
    <w:rsid w:val="00336AD2"/>
    <w:rsid w:val="003416B0"/>
    <w:rsid w:val="00344550"/>
    <w:rsid w:val="003462A4"/>
    <w:rsid w:val="00346BA4"/>
    <w:rsid w:val="00346E84"/>
    <w:rsid w:val="003500ED"/>
    <w:rsid w:val="00360400"/>
    <w:rsid w:val="00364E93"/>
    <w:rsid w:val="00366158"/>
    <w:rsid w:val="00370A88"/>
    <w:rsid w:val="00370FE0"/>
    <w:rsid w:val="0038130C"/>
    <w:rsid w:val="00386943"/>
    <w:rsid w:val="003871B4"/>
    <w:rsid w:val="003903AD"/>
    <w:rsid w:val="00394A8F"/>
    <w:rsid w:val="00395C74"/>
    <w:rsid w:val="003A40B1"/>
    <w:rsid w:val="003A6B97"/>
    <w:rsid w:val="003B419D"/>
    <w:rsid w:val="003B5151"/>
    <w:rsid w:val="003B5780"/>
    <w:rsid w:val="003B64F3"/>
    <w:rsid w:val="003B685B"/>
    <w:rsid w:val="003B69FC"/>
    <w:rsid w:val="003B6B8D"/>
    <w:rsid w:val="003C17D8"/>
    <w:rsid w:val="003C5E2C"/>
    <w:rsid w:val="003C6B5B"/>
    <w:rsid w:val="003D0D6E"/>
    <w:rsid w:val="003D18BC"/>
    <w:rsid w:val="003D1F01"/>
    <w:rsid w:val="003D3612"/>
    <w:rsid w:val="003D3B8E"/>
    <w:rsid w:val="003D40FE"/>
    <w:rsid w:val="003D42AC"/>
    <w:rsid w:val="003D7DD0"/>
    <w:rsid w:val="003E30F6"/>
    <w:rsid w:val="003E3B9E"/>
    <w:rsid w:val="003E4AFC"/>
    <w:rsid w:val="003E5475"/>
    <w:rsid w:val="003E69E2"/>
    <w:rsid w:val="003F07A7"/>
    <w:rsid w:val="003F12A7"/>
    <w:rsid w:val="003F1328"/>
    <w:rsid w:val="003F28A6"/>
    <w:rsid w:val="003F2A6F"/>
    <w:rsid w:val="003F2A97"/>
    <w:rsid w:val="003F2E1D"/>
    <w:rsid w:val="0040099F"/>
    <w:rsid w:val="00401EB6"/>
    <w:rsid w:val="00405200"/>
    <w:rsid w:val="00405A45"/>
    <w:rsid w:val="00405F06"/>
    <w:rsid w:val="00406805"/>
    <w:rsid w:val="0040791B"/>
    <w:rsid w:val="00411FD0"/>
    <w:rsid w:val="00416C2C"/>
    <w:rsid w:val="00420D7A"/>
    <w:rsid w:val="004219CD"/>
    <w:rsid w:val="004225C8"/>
    <w:rsid w:val="00426E56"/>
    <w:rsid w:val="00430379"/>
    <w:rsid w:val="004321C4"/>
    <w:rsid w:val="00433547"/>
    <w:rsid w:val="0043474C"/>
    <w:rsid w:val="00435748"/>
    <w:rsid w:val="0044471B"/>
    <w:rsid w:val="004450D5"/>
    <w:rsid w:val="00446F7E"/>
    <w:rsid w:val="00450569"/>
    <w:rsid w:val="00450AF0"/>
    <w:rsid w:val="004520B4"/>
    <w:rsid w:val="00453DBF"/>
    <w:rsid w:val="00455201"/>
    <w:rsid w:val="00455A0C"/>
    <w:rsid w:val="004568A6"/>
    <w:rsid w:val="00457954"/>
    <w:rsid w:val="00464186"/>
    <w:rsid w:val="00466601"/>
    <w:rsid w:val="00471B44"/>
    <w:rsid w:val="004741B6"/>
    <w:rsid w:val="00475C17"/>
    <w:rsid w:val="00477F42"/>
    <w:rsid w:val="00480B80"/>
    <w:rsid w:val="00480C06"/>
    <w:rsid w:val="00483C3C"/>
    <w:rsid w:val="004849FC"/>
    <w:rsid w:val="004857D1"/>
    <w:rsid w:val="00485E99"/>
    <w:rsid w:val="00490A09"/>
    <w:rsid w:val="00491E36"/>
    <w:rsid w:val="00491FF4"/>
    <w:rsid w:val="0049503A"/>
    <w:rsid w:val="00495651"/>
    <w:rsid w:val="004970BE"/>
    <w:rsid w:val="00497DF2"/>
    <w:rsid w:val="004A055E"/>
    <w:rsid w:val="004A22BC"/>
    <w:rsid w:val="004A2809"/>
    <w:rsid w:val="004A482E"/>
    <w:rsid w:val="004B023F"/>
    <w:rsid w:val="004B12B0"/>
    <w:rsid w:val="004B2AB5"/>
    <w:rsid w:val="004B45E8"/>
    <w:rsid w:val="004B7214"/>
    <w:rsid w:val="004C3429"/>
    <w:rsid w:val="004C52A0"/>
    <w:rsid w:val="004C649D"/>
    <w:rsid w:val="004C6B58"/>
    <w:rsid w:val="004C7675"/>
    <w:rsid w:val="004D0169"/>
    <w:rsid w:val="004D13F8"/>
    <w:rsid w:val="004D4323"/>
    <w:rsid w:val="004D4F9F"/>
    <w:rsid w:val="004E1F64"/>
    <w:rsid w:val="004E4CD5"/>
    <w:rsid w:val="004E662A"/>
    <w:rsid w:val="004E7449"/>
    <w:rsid w:val="004E751E"/>
    <w:rsid w:val="004F0826"/>
    <w:rsid w:val="004F1C2D"/>
    <w:rsid w:val="004F213C"/>
    <w:rsid w:val="004F5B68"/>
    <w:rsid w:val="004F5E54"/>
    <w:rsid w:val="004F6C3C"/>
    <w:rsid w:val="004F714F"/>
    <w:rsid w:val="0050198A"/>
    <w:rsid w:val="005034D3"/>
    <w:rsid w:val="00503B32"/>
    <w:rsid w:val="00505AD0"/>
    <w:rsid w:val="00505ADA"/>
    <w:rsid w:val="00512F19"/>
    <w:rsid w:val="0051359A"/>
    <w:rsid w:val="005140BE"/>
    <w:rsid w:val="0051567E"/>
    <w:rsid w:val="0051730D"/>
    <w:rsid w:val="00517A74"/>
    <w:rsid w:val="00517ECC"/>
    <w:rsid w:val="00524F31"/>
    <w:rsid w:val="00525C5A"/>
    <w:rsid w:val="00525E75"/>
    <w:rsid w:val="00526ECF"/>
    <w:rsid w:val="005270E7"/>
    <w:rsid w:val="005312B5"/>
    <w:rsid w:val="00531BDB"/>
    <w:rsid w:val="0054092B"/>
    <w:rsid w:val="00540F68"/>
    <w:rsid w:val="005410F2"/>
    <w:rsid w:val="00545629"/>
    <w:rsid w:val="00545ED4"/>
    <w:rsid w:val="00546955"/>
    <w:rsid w:val="00547D31"/>
    <w:rsid w:val="00551932"/>
    <w:rsid w:val="0055279F"/>
    <w:rsid w:val="0055294F"/>
    <w:rsid w:val="00553871"/>
    <w:rsid w:val="00555498"/>
    <w:rsid w:val="00555E95"/>
    <w:rsid w:val="00556C48"/>
    <w:rsid w:val="00557627"/>
    <w:rsid w:val="0056125E"/>
    <w:rsid w:val="00563389"/>
    <w:rsid w:val="0056459B"/>
    <w:rsid w:val="00571571"/>
    <w:rsid w:val="005727A5"/>
    <w:rsid w:val="00574B16"/>
    <w:rsid w:val="005800D1"/>
    <w:rsid w:val="00580315"/>
    <w:rsid w:val="005804DF"/>
    <w:rsid w:val="005835E6"/>
    <w:rsid w:val="00584B8B"/>
    <w:rsid w:val="00584E20"/>
    <w:rsid w:val="00590F68"/>
    <w:rsid w:val="0059135C"/>
    <w:rsid w:val="0059195E"/>
    <w:rsid w:val="005979D7"/>
    <w:rsid w:val="005A1907"/>
    <w:rsid w:val="005A1F6B"/>
    <w:rsid w:val="005A2FB1"/>
    <w:rsid w:val="005A5962"/>
    <w:rsid w:val="005A7CF6"/>
    <w:rsid w:val="005B18DD"/>
    <w:rsid w:val="005B492C"/>
    <w:rsid w:val="005B582A"/>
    <w:rsid w:val="005B638E"/>
    <w:rsid w:val="005B6CF4"/>
    <w:rsid w:val="005C015F"/>
    <w:rsid w:val="005C0B1D"/>
    <w:rsid w:val="005C0FB3"/>
    <w:rsid w:val="005C6263"/>
    <w:rsid w:val="005C6CE0"/>
    <w:rsid w:val="005D01F4"/>
    <w:rsid w:val="005D14AA"/>
    <w:rsid w:val="005D1D2F"/>
    <w:rsid w:val="005D2901"/>
    <w:rsid w:val="005D3EC2"/>
    <w:rsid w:val="005D4665"/>
    <w:rsid w:val="005D6066"/>
    <w:rsid w:val="005D75F8"/>
    <w:rsid w:val="005D784C"/>
    <w:rsid w:val="005E228D"/>
    <w:rsid w:val="005E3225"/>
    <w:rsid w:val="005E4142"/>
    <w:rsid w:val="005F134D"/>
    <w:rsid w:val="005F1462"/>
    <w:rsid w:val="005F2A55"/>
    <w:rsid w:val="005F310D"/>
    <w:rsid w:val="005F4661"/>
    <w:rsid w:val="005F66FF"/>
    <w:rsid w:val="00601255"/>
    <w:rsid w:val="00602E10"/>
    <w:rsid w:val="00604C33"/>
    <w:rsid w:val="0060616F"/>
    <w:rsid w:val="00613CE0"/>
    <w:rsid w:val="0061423A"/>
    <w:rsid w:val="006218FE"/>
    <w:rsid w:val="00622435"/>
    <w:rsid w:val="006238F1"/>
    <w:rsid w:val="00625ACF"/>
    <w:rsid w:val="00632F03"/>
    <w:rsid w:val="00633CCB"/>
    <w:rsid w:val="00634721"/>
    <w:rsid w:val="00637678"/>
    <w:rsid w:val="0064080B"/>
    <w:rsid w:val="006414F9"/>
    <w:rsid w:val="006426A4"/>
    <w:rsid w:val="00644CDA"/>
    <w:rsid w:val="00645510"/>
    <w:rsid w:val="006474C5"/>
    <w:rsid w:val="0064779F"/>
    <w:rsid w:val="00647B89"/>
    <w:rsid w:val="00650FAA"/>
    <w:rsid w:val="006510E8"/>
    <w:rsid w:val="006520D9"/>
    <w:rsid w:val="00657A7B"/>
    <w:rsid w:val="00662566"/>
    <w:rsid w:val="00664031"/>
    <w:rsid w:val="00664A0C"/>
    <w:rsid w:val="00664AEC"/>
    <w:rsid w:val="00664B3E"/>
    <w:rsid w:val="00667989"/>
    <w:rsid w:val="006702FB"/>
    <w:rsid w:val="00671114"/>
    <w:rsid w:val="00671794"/>
    <w:rsid w:val="0067240C"/>
    <w:rsid w:val="00675352"/>
    <w:rsid w:val="00675EA2"/>
    <w:rsid w:val="00676C65"/>
    <w:rsid w:val="0067757D"/>
    <w:rsid w:val="006802CF"/>
    <w:rsid w:val="00685E44"/>
    <w:rsid w:val="00687D3D"/>
    <w:rsid w:val="00691270"/>
    <w:rsid w:val="006929F8"/>
    <w:rsid w:val="00693B34"/>
    <w:rsid w:val="006944E0"/>
    <w:rsid w:val="00695D52"/>
    <w:rsid w:val="006A119A"/>
    <w:rsid w:val="006A1DC9"/>
    <w:rsid w:val="006A6DB2"/>
    <w:rsid w:val="006B0ECD"/>
    <w:rsid w:val="006C03F0"/>
    <w:rsid w:val="006C16C8"/>
    <w:rsid w:val="006C2F41"/>
    <w:rsid w:val="006C2FA1"/>
    <w:rsid w:val="006C3B1A"/>
    <w:rsid w:val="006C52D5"/>
    <w:rsid w:val="006D2F41"/>
    <w:rsid w:val="006D5D42"/>
    <w:rsid w:val="006D6CD3"/>
    <w:rsid w:val="006E00F7"/>
    <w:rsid w:val="006E036C"/>
    <w:rsid w:val="006E27F7"/>
    <w:rsid w:val="006E2A3A"/>
    <w:rsid w:val="006E3D8D"/>
    <w:rsid w:val="006E5BEC"/>
    <w:rsid w:val="006E5E1D"/>
    <w:rsid w:val="006E76F5"/>
    <w:rsid w:val="006F1317"/>
    <w:rsid w:val="006F2E68"/>
    <w:rsid w:val="006F3DBA"/>
    <w:rsid w:val="006F4CED"/>
    <w:rsid w:val="00700185"/>
    <w:rsid w:val="00705EDE"/>
    <w:rsid w:val="00706CEC"/>
    <w:rsid w:val="00712853"/>
    <w:rsid w:val="007170AC"/>
    <w:rsid w:val="00721371"/>
    <w:rsid w:val="007215E2"/>
    <w:rsid w:val="00721CB0"/>
    <w:rsid w:val="00731FC1"/>
    <w:rsid w:val="00735E9F"/>
    <w:rsid w:val="007364A3"/>
    <w:rsid w:val="00736D77"/>
    <w:rsid w:val="00740098"/>
    <w:rsid w:val="00740B47"/>
    <w:rsid w:val="007436F7"/>
    <w:rsid w:val="007446DD"/>
    <w:rsid w:val="0074579F"/>
    <w:rsid w:val="00747692"/>
    <w:rsid w:val="00752CE6"/>
    <w:rsid w:val="007544AC"/>
    <w:rsid w:val="00754A9F"/>
    <w:rsid w:val="0075542B"/>
    <w:rsid w:val="007604A0"/>
    <w:rsid w:val="00762B2C"/>
    <w:rsid w:val="0076480F"/>
    <w:rsid w:val="00765218"/>
    <w:rsid w:val="00766ED0"/>
    <w:rsid w:val="007703D0"/>
    <w:rsid w:val="00772D0A"/>
    <w:rsid w:val="007776B6"/>
    <w:rsid w:val="00780CF9"/>
    <w:rsid w:val="00786486"/>
    <w:rsid w:val="00786C9A"/>
    <w:rsid w:val="00787BC5"/>
    <w:rsid w:val="00790912"/>
    <w:rsid w:val="00790A1D"/>
    <w:rsid w:val="00794F35"/>
    <w:rsid w:val="00795100"/>
    <w:rsid w:val="0079674F"/>
    <w:rsid w:val="00796A6B"/>
    <w:rsid w:val="00796F09"/>
    <w:rsid w:val="007A1AF4"/>
    <w:rsid w:val="007A36CB"/>
    <w:rsid w:val="007A4020"/>
    <w:rsid w:val="007A4444"/>
    <w:rsid w:val="007A505F"/>
    <w:rsid w:val="007B0144"/>
    <w:rsid w:val="007B25FB"/>
    <w:rsid w:val="007B3F44"/>
    <w:rsid w:val="007B3F9E"/>
    <w:rsid w:val="007B43E0"/>
    <w:rsid w:val="007B4943"/>
    <w:rsid w:val="007B51BA"/>
    <w:rsid w:val="007B782B"/>
    <w:rsid w:val="007B7A99"/>
    <w:rsid w:val="007C175C"/>
    <w:rsid w:val="007C319A"/>
    <w:rsid w:val="007C38BF"/>
    <w:rsid w:val="007C521E"/>
    <w:rsid w:val="007D09B3"/>
    <w:rsid w:val="007D191B"/>
    <w:rsid w:val="007D1B4E"/>
    <w:rsid w:val="007D4893"/>
    <w:rsid w:val="007D500F"/>
    <w:rsid w:val="007D5115"/>
    <w:rsid w:val="007D598D"/>
    <w:rsid w:val="007D6AC6"/>
    <w:rsid w:val="007D758D"/>
    <w:rsid w:val="007E0B30"/>
    <w:rsid w:val="007E0D91"/>
    <w:rsid w:val="007E54EC"/>
    <w:rsid w:val="007E616F"/>
    <w:rsid w:val="007F186F"/>
    <w:rsid w:val="007F2C27"/>
    <w:rsid w:val="007F3AA2"/>
    <w:rsid w:val="007F40A2"/>
    <w:rsid w:val="007F4FE3"/>
    <w:rsid w:val="007F7816"/>
    <w:rsid w:val="0080141A"/>
    <w:rsid w:val="00801691"/>
    <w:rsid w:val="00804077"/>
    <w:rsid w:val="00810192"/>
    <w:rsid w:val="00813A3B"/>
    <w:rsid w:val="00813C18"/>
    <w:rsid w:val="008166AC"/>
    <w:rsid w:val="008203AC"/>
    <w:rsid w:val="00820779"/>
    <w:rsid w:val="00822FA8"/>
    <w:rsid w:val="008238B3"/>
    <w:rsid w:val="00823DD2"/>
    <w:rsid w:val="00823ECC"/>
    <w:rsid w:val="00824787"/>
    <w:rsid w:val="008267A7"/>
    <w:rsid w:val="008307BF"/>
    <w:rsid w:val="00835378"/>
    <w:rsid w:val="008353D7"/>
    <w:rsid w:val="00837D8B"/>
    <w:rsid w:val="00840407"/>
    <w:rsid w:val="00841888"/>
    <w:rsid w:val="00844618"/>
    <w:rsid w:val="008474CD"/>
    <w:rsid w:val="008526FD"/>
    <w:rsid w:val="0085289D"/>
    <w:rsid w:val="008528C3"/>
    <w:rsid w:val="00852927"/>
    <w:rsid w:val="008532AF"/>
    <w:rsid w:val="00856B07"/>
    <w:rsid w:val="0086172B"/>
    <w:rsid w:val="00861FAB"/>
    <w:rsid w:val="008659EF"/>
    <w:rsid w:val="0087034F"/>
    <w:rsid w:val="00870831"/>
    <w:rsid w:val="008752FE"/>
    <w:rsid w:val="00876CA5"/>
    <w:rsid w:val="00877B91"/>
    <w:rsid w:val="00880799"/>
    <w:rsid w:val="0088092A"/>
    <w:rsid w:val="008824D2"/>
    <w:rsid w:val="008831FE"/>
    <w:rsid w:val="00883F1D"/>
    <w:rsid w:val="00884612"/>
    <w:rsid w:val="0088529D"/>
    <w:rsid w:val="00887198"/>
    <w:rsid w:val="00892835"/>
    <w:rsid w:val="008956CA"/>
    <w:rsid w:val="00896821"/>
    <w:rsid w:val="008A2010"/>
    <w:rsid w:val="008A3F76"/>
    <w:rsid w:val="008A609E"/>
    <w:rsid w:val="008B0370"/>
    <w:rsid w:val="008B1DEE"/>
    <w:rsid w:val="008B200D"/>
    <w:rsid w:val="008B2991"/>
    <w:rsid w:val="008B77A3"/>
    <w:rsid w:val="008C0715"/>
    <w:rsid w:val="008C0D1D"/>
    <w:rsid w:val="008C252E"/>
    <w:rsid w:val="008C3717"/>
    <w:rsid w:val="008C510B"/>
    <w:rsid w:val="008C70F8"/>
    <w:rsid w:val="008C77B2"/>
    <w:rsid w:val="008D038A"/>
    <w:rsid w:val="008D3ECF"/>
    <w:rsid w:val="008D539E"/>
    <w:rsid w:val="008D6F74"/>
    <w:rsid w:val="008D7605"/>
    <w:rsid w:val="008D7873"/>
    <w:rsid w:val="008D7C07"/>
    <w:rsid w:val="008E323D"/>
    <w:rsid w:val="008E46E4"/>
    <w:rsid w:val="008E5509"/>
    <w:rsid w:val="008E7211"/>
    <w:rsid w:val="008E7C14"/>
    <w:rsid w:val="008F361B"/>
    <w:rsid w:val="008F399C"/>
    <w:rsid w:val="008F39E2"/>
    <w:rsid w:val="008F4325"/>
    <w:rsid w:val="008F4DB9"/>
    <w:rsid w:val="008F6E30"/>
    <w:rsid w:val="009002D3"/>
    <w:rsid w:val="00900CA0"/>
    <w:rsid w:val="009013F5"/>
    <w:rsid w:val="00903FE9"/>
    <w:rsid w:val="00906818"/>
    <w:rsid w:val="00915FDD"/>
    <w:rsid w:val="009216FF"/>
    <w:rsid w:val="00921862"/>
    <w:rsid w:val="00924979"/>
    <w:rsid w:val="00924C02"/>
    <w:rsid w:val="00926A0D"/>
    <w:rsid w:val="009274A5"/>
    <w:rsid w:val="00930FF3"/>
    <w:rsid w:val="00932025"/>
    <w:rsid w:val="00933772"/>
    <w:rsid w:val="00936052"/>
    <w:rsid w:val="00937A09"/>
    <w:rsid w:val="009401B3"/>
    <w:rsid w:val="00940591"/>
    <w:rsid w:val="00943041"/>
    <w:rsid w:val="00943BA9"/>
    <w:rsid w:val="009457AF"/>
    <w:rsid w:val="0095511D"/>
    <w:rsid w:val="00960E32"/>
    <w:rsid w:val="0096449C"/>
    <w:rsid w:val="00966583"/>
    <w:rsid w:val="009700EC"/>
    <w:rsid w:val="00970887"/>
    <w:rsid w:val="00971FED"/>
    <w:rsid w:val="00975920"/>
    <w:rsid w:val="0097738A"/>
    <w:rsid w:val="00977E5C"/>
    <w:rsid w:val="009800E9"/>
    <w:rsid w:val="009812EB"/>
    <w:rsid w:val="00984876"/>
    <w:rsid w:val="00985E0B"/>
    <w:rsid w:val="009870DE"/>
    <w:rsid w:val="009900E7"/>
    <w:rsid w:val="00990B17"/>
    <w:rsid w:val="00991FE9"/>
    <w:rsid w:val="00993BD6"/>
    <w:rsid w:val="009A2E71"/>
    <w:rsid w:val="009A3E42"/>
    <w:rsid w:val="009A67B5"/>
    <w:rsid w:val="009A6A07"/>
    <w:rsid w:val="009A748C"/>
    <w:rsid w:val="009A7B25"/>
    <w:rsid w:val="009B0EEE"/>
    <w:rsid w:val="009B45C1"/>
    <w:rsid w:val="009B68AB"/>
    <w:rsid w:val="009B71FE"/>
    <w:rsid w:val="009C1881"/>
    <w:rsid w:val="009C3246"/>
    <w:rsid w:val="009C3787"/>
    <w:rsid w:val="009C3FEA"/>
    <w:rsid w:val="009C6CF7"/>
    <w:rsid w:val="009D034D"/>
    <w:rsid w:val="009D1F6F"/>
    <w:rsid w:val="009D218C"/>
    <w:rsid w:val="009D3F07"/>
    <w:rsid w:val="009D497B"/>
    <w:rsid w:val="009D5797"/>
    <w:rsid w:val="009D5AB7"/>
    <w:rsid w:val="009D6F00"/>
    <w:rsid w:val="009D7836"/>
    <w:rsid w:val="009E07E4"/>
    <w:rsid w:val="009E2B22"/>
    <w:rsid w:val="009E66FA"/>
    <w:rsid w:val="009F0999"/>
    <w:rsid w:val="009F10D5"/>
    <w:rsid w:val="009F17E3"/>
    <w:rsid w:val="009F50D5"/>
    <w:rsid w:val="009F5C07"/>
    <w:rsid w:val="009F5DFA"/>
    <w:rsid w:val="009F6C0C"/>
    <w:rsid w:val="00A02E86"/>
    <w:rsid w:val="00A03FE1"/>
    <w:rsid w:val="00A04176"/>
    <w:rsid w:val="00A055B8"/>
    <w:rsid w:val="00A057D4"/>
    <w:rsid w:val="00A179B1"/>
    <w:rsid w:val="00A20630"/>
    <w:rsid w:val="00A207B9"/>
    <w:rsid w:val="00A230D7"/>
    <w:rsid w:val="00A30C5B"/>
    <w:rsid w:val="00A320B1"/>
    <w:rsid w:val="00A36418"/>
    <w:rsid w:val="00A411A6"/>
    <w:rsid w:val="00A4123E"/>
    <w:rsid w:val="00A45969"/>
    <w:rsid w:val="00A466D1"/>
    <w:rsid w:val="00A47863"/>
    <w:rsid w:val="00A47D96"/>
    <w:rsid w:val="00A51FA5"/>
    <w:rsid w:val="00A57F21"/>
    <w:rsid w:val="00A610DC"/>
    <w:rsid w:val="00A618D9"/>
    <w:rsid w:val="00A61B50"/>
    <w:rsid w:val="00A61E65"/>
    <w:rsid w:val="00A66A23"/>
    <w:rsid w:val="00A66F40"/>
    <w:rsid w:val="00A7061A"/>
    <w:rsid w:val="00A71EDE"/>
    <w:rsid w:val="00A72733"/>
    <w:rsid w:val="00A74089"/>
    <w:rsid w:val="00A7571E"/>
    <w:rsid w:val="00A75806"/>
    <w:rsid w:val="00A75FF9"/>
    <w:rsid w:val="00A802DF"/>
    <w:rsid w:val="00A824DA"/>
    <w:rsid w:val="00A85575"/>
    <w:rsid w:val="00A86624"/>
    <w:rsid w:val="00A920DF"/>
    <w:rsid w:val="00A92DE5"/>
    <w:rsid w:val="00A933D3"/>
    <w:rsid w:val="00A96076"/>
    <w:rsid w:val="00A96F4B"/>
    <w:rsid w:val="00AB2180"/>
    <w:rsid w:val="00AB2412"/>
    <w:rsid w:val="00AB33AE"/>
    <w:rsid w:val="00AB5F60"/>
    <w:rsid w:val="00AC2E2C"/>
    <w:rsid w:val="00AC36E5"/>
    <w:rsid w:val="00AC3C9B"/>
    <w:rsid w:val="00AC51C3"/>
    <w:rsid w:val="00AC5DBE"/>
    <w:rsid w:val="00AC5DF0"/>
    <w:rsid w:val="00AD0BE4"/>
    <w:rsid w:val="00AD36B9"/>
    <w:rsid w:val="00AD3DD0"/>
    <w:rsid w:val="00AD750F"/>
    <w:rsid w:val="00AD7862"/>
    <w:rsid w:val="00AD7CE7"/>
    <w:rsid w:val="00AE0102"/>
    <w:rsid w:val="00AE0186"/>
    <w:rsid w:val="00AE3910"/>
    <w:rsid w:val="00AE4C2E"/>
    <w:rsid w:val="00AE5C2D"/>
    <w:rsid w:val="00AF0102"/>
    <w:rsid w:val="00AF09F6"/>
    <w:rsid w:val="00AF0C23"/>
    <w:rsid w:val="00AF0EDF"/>
    <w:rsid w:val="00AF2055"/>
    <w:rsid w:val="00AF2F46"/>
    <w:rsid w:val="00AF3236"/>
    <w:rsid w:val="00AF651C"/>
    <w:rsid w:val="00B02067"/>
    <w:rsid w:val="00B02F9B"/>
    <w:rsid w:val="00B04A2E"/>
    <w:rsid w:val="00B0597C"/>
    <w:rsid w:val="00B05A5D"/>
    <w:rsid w:val="00B05C01"/>
    <w:rsid w:val="00B20031"/>
    <w:rsid w:val="00B2170D"/>
    <w:rsid w:val="00B25A4A"/>
    <w:rsid w:val="00B26645"/>
    <w:rsid w:val="00B27940"/>
    <w:rsid w:val="00B3393D"/>
    <w:rsid w:val="00B33A76"/>
    <w:rsid w:val="00B34BAC"/>
    <w:rsid w:val="00B40B92"/>
    <w:rsid w:val="00B4140B"/>
    <w:rsid w:val="00B421EB"/>
    <w:rsid w:val="00B42DCC"/>
    <w:rsid w:val="00B43C5C"/>
    <w:rsid w:val="00B43C68"/>
    <w:rsid w:val="00B45148"/>
    <w:rsid w:val="00B45BB6"/>
    <w:rsid w:val="00B45DE7"/>
    <w:rsid w:val="00B5079A"/>
    <w:rsid w:val="00B511E9"/>
    <w:rsid w:val="00B51C2F"/>
    <w:rsid w:val="00B533D2"/>
    <w:rsid w:val="00B54631"/>
    <w:rsid w:val="00B5566D"/>
    <w:rsid w:val="00B55E7D"/>
    <w:rsid w:val="00B5662E"/>
    <w:rsid w:val="00B61851"/>
    <w:rsid w:val="00B636E3"/>
    <w:rsid w:val="00B668E0"/>
    <w:rsid w:val="00B6794B"/>
    <w:rsid w:val="00B7218B"/>
    <w:rsid w:val="00B7425C"/>
    <w:rsid w:val="00B75B78"/>
    <w:rsid w:val="00B7742C"/>
    <w:rsid w:val="00B81625"/>
    <w:rsid w:val="00B82548"/>
    <w:rsid w:val="00B846B8"/>
    <w:rsid w:val="00B87953"/>
    <w:rsid w:val="00B918DA"/>
    <w:rsid w:val="00B93DD0"/>
    <w:rsid w:val="00B954D4"/>
    <w:rsid w:val="00B961DA"/>
    <w:rsid w:val="00BA02B7"/>
    <w:rsid w:val="00BA3C73"/>
    <w:rsid w:val="00BA46B9"/>
    <w:rsid w:val="00BA5859"/>
    <w:rsid w:val="00BA740B"/>
    <w:rsid w:val="00BA7C8A"/>
    <w:rsid w:val="00BB0232"/>
    <w:rsid w:val="00BB048E"/>
    <w:rsid w:val="00BB1AE0"/>
    <w:rsid w:val="00BB30AC"/>
    <w:rsid w:val="00BB4C10"/>
    <w:rsid w:val="00BB5E69"/>
    <w:rsid w:val="00BB7A71"/>
    <w:rsid w:val="00BC215A"/>
    <w:rsid w:val="00BC5E39"/>
    <w:rsid w:val="00BC6D76"/>
    <w:rsid w:val="00BD012B"/>
    <w:rsid w:val="00BD0449"/>
    <w:rsid w:val="00BD30B5"/>
    <w:rsid w:val="00BD5531"/>
    <w:rsid w:val="00BE0D99"/>
    <w:rsid w:val="00BE4204"/>
    <w:rsid w:val="00BE46EE"/>
    <w:rsid w:val="00BE54B7"/>
    <w:rsid w:val="00BE650B"/>
    <w:rsid w:val="00BE68E5"/>
    <w:rsid w:val="00BE745C"/>
    <w:rsid w:val="00BF3388"/>
    <w:rsid w:val="00BF4442"/>
    <w:rsid w:val="00BF694F"/>
    <w:rsid w:val="00C01843"/>
    <w:rsid w:val="00C02348"/>
    <w:rsid w:val="00C02D60"/>
    <w:rsid w:val="00C043B2"/>
    <w:rsid w:val="00C047E7"/>
    <w:rsid w:val="00C108E4"/>
    <w:rsid w:val="00C10BFC"/>
    <w:rsid w:val="00C11B5F"/>
    <w:rsid w:val="00C155DC"/>
    <w:rsid w:val="00C162AA"/>
    <w:rsid w:val="00C168C3"/>
    <w:rsid w:val="00C1757F"/>
    <w:rsid w:val="00C17647"/>
    <w:rsid w:val="00C20FD9"/>
    <w:rsid w:val="00C260C4"/>
    <w:rsid w:val="00C26478"/>
    <w:rsid w:val="00C301EE"/>
    <w:rsid w:val="00C3470C"/>
    <w:rsid w:val="00C372E9"/>
    <w:rsid w:val="00C37355"/>
    <w:rsid w:val="00C500C2"/>
    <w:rsid w:val="00C5179C"/>
    <w:rsid w:val="00C61A3F"/>
    <w:rsid w:val="00C6564E"/>
    <w:rsid w:val="00C66D96"/>
    <w:rsid w:val="00C67C52"/>
    <w:rsid w:val="00C70D56"/>
    <w:rsid w:val="00C74D4D"/>
    <w:rsid w:val="00C80764"/>
    <w:rsid w:val="00C8265B"/>
    <w:rsid w:val="00C844D3"/>
    <w:rsid w:val="00C8495E"/>
    <w:rsid w:val="00C8518B"/>
    <w:rsid w:val="00C86844"/>
    <w:rsid w:val="00C91424"/>
    <w:rsid w:val="00C944CA"/>
    <w:rsid w:val="00C965E7"/>
    <w:rsid w:val="00CA008D"/>
    <w:rsid w:val="00CA0847"/>
    <w:rsid w:val="00CA4611"/>
    <w:rsid w:val="00CA5444"/>
    <w:rsid w:val="00CA5DEC"/>
    <w:rsid w:val="00CB0767"/>
    <w:rsid w:val="00CB0B0B"/>
    <w:rsid w:val="00CB1DC2"/>
    <w:rsid w:val="00CB2A18"/>
    <w:rsid w:val="00CB36AE"/>
    <w:rsid w:val="00CB478F"/>
    <w:rsid w:val="00CC0B2F"/>
    <w:rsid w:val="00CC0CDB"/>
    <w:rsid w:val="00CC2E04"/>
    <w:rsid w:val="00CC5B79"/>
    <w:rsid w:val="00CC6DF1"/>
    <w:rsid w:val="00CD2231"/>
    <w:rsid w:val="00CD32E5"/>
    <w:rsid w:val="00CD606A"/>
    <w:rsid w:val="00CE1FBA"/>
    <w:rsid w:val="00CE27BB"/>
    <w:rsid w:val="00CE31C4"/>
    <w:rsid w:val="00CE3443"/>
    <w:rsid w:val="00CE50C8"/>
    <w:rsid w:val="00CE6FE7"/>
    <w:rsid w:val="00CE783C"/>
    <w:rsid w:val="00CF009E"/>
    <w:rsid w:val="00CF09B5"/>
    <w:rsid w:val="00CF143A"/>
    <w:rsid w:val="00D021EC"/>
    <w:rsid w:val="00D035D4"/>
    <w:rsid w:val="00D03BF4"/>
    <w:rsid w:val="00D05DB6"/>
    <w:rsid w:val="00D06E2B"/>
    <w:rsid w:val="00D1121F"/>
    <w:rsid w:val="00D117FC"/>
    <w:rsid w:val="00D11895"/>
    <w:rsid w:val="00D1350D"/>
    <w:rsid w:val="00D159A8"/>
    <w:rsid w:val="00D17894"/>
    <w:rsid w:val="00D203A8"/>
    <w:rsid w:val="00D2085B"/>
    <w:rsid w:val="00D215F6"/>
    <w:rsid w:val="00D21826"/>
    <w:rsid w:val="00D231EF"/>
    <w:rsid w:val="00D256E7"/>
    <w:rsid w:val="00D30A12"/>
    <w:rsid w:val="00D318EC"/>
    <w:rsid w:val="00D31EA7"/>
    <w:rsid w:val="00D3335C"/>
    <w:rsid w:val="00D342ED"/>
    <w:rsid w:val="00D446EB"/>
    <w:rsid w:val="00D45DFE"/>
    <w:rsid w:val="00D46513"/>
    <w:rsid w:val="00D47FE2"/>
    <w:rsid w:val="00D51435"/>
    <w:rsid w:val="00D53EFE"/>
    <w:rsid w:val="00D54646"/>
    <w:rsid w:val="00D560FE"/>
    <w:rsid w:val="00D60BE2"/>
    <w:rsid w:val="00D61E39"/>
    <w:rsid w:val="00D62B2D"/>
    <w:rsid w:val="00D73BDB"/>
    <w:rsid w:val="00D758AA"/>
    <w:rsid w:val="00D7624D"/>
    <w:rsid w:val="00D76FCD"/>
    <w:rsid w:val="00D7761A"/>
    <w:rsid w:val="00D8285A"/>
    <w:rsid w:val="00D83484"/>
    <w:rsid w:val="00D834B4"/>
    <w:rsid w:val="00D849B9"/>
    <w:rsid w:val="00D91ECC"/>
    <w:rsid w:val="00D928C3"/>
    <w:rsid w:val="00D947CC"/>
    <w:rsid w:val="00D962EC"/>
    <w:rsid w:val="00D97ABE"/>
    <w:rsid w:val="00DA4FE3"/>
    <w:rsid w:val="00DA540D"/>
    <w:rsid w:val="00DA5EE3"/>
    <w:rsid w:val="00DA5F5C"/>
    <w:rsid w:val="00DA7252"/>
    <w:rsid w:val="00DA7D03"/>
    <w:rsid w:val="00DB3512"/>
    <w:rsid w:val="00DB3620"/>
    <w:rsid w:val="00DB4462"/>
    <w:rsid w:val="00DC0D4B"/>
    <w:rsid w:val="00DC1076"/>
    <w:rsid w:val="00DC304C"/>
    <w:rsid w:val="00DC40E5"/>
    <w:rsid w:val="00DC4C91"/>
    <w:rsid w:val="00DC4D19"/>
    <w:rsid w:val="00DC69B4"/>
    <w:rsid w:val="00DD0F9F"/>
    <w:rsid w:val="00DD2415"/>
    <w:rsid w:val="00DD7109"/>
    <w:rsid w:val="00DE18BB"/>
    <w:rsid w:val="00DE3499"/>
    <w:rsid w:val="00DE502B"/>
    <w:rsid w:val="00DE67E3"/>
    <w:rsid w:val="00DE6CDA"/>
    <w:rsid w:val="00DF2840"/>
    <w:rsid w:val="00DF577C"/>
    <w:rsid w:val="00DF6261"/>
    <w:rsid w:val="00DF78E2"/>
    <w:rsid w:val="00E017C6"/>
    <w:rsid w:val="00E032D2"/>
    <w:rsid w:val="00E06A8D"/>
    <w:rsid w:val="00E10085"/>
    <w:rsid w:val="00E1085D"/>
    <w:rsid w:val="00E15176"/>
    <w:rsid w:val="00E164A7"/>
    <w:rsid w:val="00E21FF9"/>
    <w:rsid w:val="00E22569"/>
    <w:rsid w:val="00E22B33"/>
    <w:rsid w:val="00E239CC"/>
    <w:rsid w:val="00E25309"/>
    <w:rsid w:val="00E26083"/>
    <w:rsid w:val="00E26B7B"/>
    <w:rsid w:val="00E32233"/>
    <w:rsid w:val="00E32B14"/>
    <w:rsid w:val="00E34096"/>
    <w:rsid w:val="00E3546C"/>
    <w:rsid w:val="00E3718C"/>
    <w:rsid w:val="00E41250"/>
    <w:rsid w:val="00E42366"/>
    <w:rsid w:val="00E43780"/>
    <w:rsid w:val="00E46B0C"/>
    <w:rsid w:val="00E51FE9"/>
    <w:rsid w:val="00E55917"/>
    <w:rsid w:val="00E56D10"/>
    <w:rsid w:val="00E57670"/>
    <w:rsid w:val="00E60145"/>
    <w:rsid w:val="00E605F8"/>
    <w:rsid w:val="00E61435"/>
    <w:rsid w:val="00E624FB"/>
    <w:rsid w:val="00E70131"/>
    <w:rsid w:val="00E726CC"/>
    <w:rsid w:val="00E7645D"/>
    <w:rsid w:val="00E777E6"/>
    <w:rsid w:val="00E80B7E"/>
    <w:rsid w:val="00E8176C"/>
    <w:rsid w:val="00E83278"/>
    <w:rsid w:val="00E8619C"/>
    <w:rsid w:val="00E919B9"/>
    <w:rsid w:val="00E924C5"/>
    <w:rsid w:val="00E93119"/>
    <w:rsid w:val="00E95E89"/>
    <w:rsid w:val="00EA0A4F"/>
    <w:rsid w:val="00EA2794"/>
    <w:rsid w:val="00EA5CB5"/>
    <w:rsid w:val="00EB1FCD"/>
    <w:rsid w:val="00EC0126"/>
    <w:rsid w:val="00EC0566"/>
    <w:rsid w:val="00EC215B"/>
    <w:rsid w:val="00EC27C8"/>
    <w:rsid w:val="00EC48F0"/>
    <w:rsid w:val="00EC57E6"/>
    <w:rsid w:val="00EC775A"/>
    <w:rsid w:val="00EC7C29"/>
    <w:rsid w:val="00ED40D3"/>
    <w:rsid w:val="00ED5E2C"/>
    <w:rsid w:val="00ED68E7"/>
    <w:rsid w:val="00ED7168"/>
    <w:rsid w:val="00EE1ADF"/>
    <w:rsid w:val="00EE27F1"/>
    <w:rsid w:val="00EE36B1"/>
    <w:rsid w:val="00EE58B7"/>
    <w:rsid w:val="00EE5F2B"/>
    <w:rsid w:val="00EF174B"/>
    <w:rsid w:val="00EF4125"/>
    <w:rsid w:val="00EF4144"/>
    <w:rsid w:val="00EF62E4"/>
    <w:rsid w:val="00EF6316"/>
    <w:rsid w:val="00EF6974"/>
    <w:rsid w:val="00EF6E62"/>
    <w:rsid w:val="00F036A4"/>
    <w:rsid w:val="00F038F6"/>
    <w:rsid w:val="00F03A74"/>
    <w:rsid w:val="00F04584"/>
    <w:rsid w:val="00F05931"/>
    <w:rsid w:val="00F06215"/>
    <w:rsid w:val="00F06FA3"/>
    <w:rsid w:val="00F13685"/>
    <w:rsid w:val="00F156F0"/>
    <w:rsid w:val="00F218F1"/>
    <w:rsid w:val="00F22D1C"/>
    <w:rsid w:val="00F238A4"/>
    <w:rsid w:val="00F23CA9"/>
    <w:rsid w:val="00F24281"/>
    <w:rsid w:val="00F24473"/>
    <w:rsid w:val="00F27778"/>
    <w:rsid w:val="00F306E0"/>
    <w:rsid w:val="00F31441"/>
    <w:rsid w:val="00F31F80"/>
    <w:rsid w:val="00F337BE"/>
    <w:rsid w:val="00F358CA"/>
    <w:rsid w:val="00F3779C"/>
    <w:rsid w:val="00F42C1F"/>
    <w:rsid w:val="00F4397D"/>
    <w:rsid w:val="00F43B2F"/>
    <w:rsid w:val="00F44E66"/>
    <w:rsid w:val="00F4506B"/>
    <w:rsid w:val="00F467D9"/>
    <w:rsid w:val="00F47416"/>
    <w:rsid w:val="00F51D1A"/>
    <w:rsid w:val="00F52A8F"/>
    <w:rsid w:val="00F61165"/>
    <w:rsid w:val="00F63664"/>
    <w:rsid w:val="00F65088"/>
    <w:rsid w:val="00F65604"/>
    <w:rsid w:val="00F657E5"/>
    <w:rsid w:val="00F74934"/>
    <w:rsid w:val="00F76CDF"/>
    <w:rsid w:val="00F81A36"/>
    <w:rsid w:val="00F83C7B"/>
    <w:rsid w:val="00F85EB3"/>
    <w:rsid w:val="00F8659D"/>
    <w:rsid w:val="00F87D29"/>
    <w:rsid w:val="00F9228B"/>
    <w:rsid w:val="00F92328"/>
    <w:rsid w:val="00F92402"/>
    <w:rsid w:val="00F92B23"/>
    <w:rsid w:val="00F95571"/>
    <w:rsid w:val="00F958F8"/>
    <w:rsid w:val="00F95F69"/>
    <w:rsid w:val="00F967F8"/>
    <w:rsid w:val="00F97083"/>
    <w:rsid w:val="00F9750E"/>
    <w:rsid w:val="00F97A1B"/>
    <w:rsid w:val="00FA3A69"/>
    <w:rsid w:val="00FA41E1"/>
    <w:rsid w:val="00FA602F"/>
    <w:rsid w:val="00FA7699"/>
    <w:rsid w:val="00FB2277"/>
    <w:rsid w:val="00FB26F4"/>
    <w:rsid w:val="00FB2753"/>
    <w:rsid w:val="00FB30CE"/>
    <w:rsid w:val="00FB3F92"/>
    <w:rsid w:val="00FB4C49"/>
    <w:rsid w:val="00FB70C8"/>
    <w:rsid w:val="00FB78AD"/>
    <w:rsid w:val="00FC06E6"/>
    <w:rsid w:val="00FC2085"/>
    <w:rsid w:val="00FC69F0"/>
    <w:rsid w:val="00FC722B"/>
    <w:rsid w:val="00FD0652"/>
    <w:rsid w:val="00FD19C8"/>
    <w:rsid w:val="00FD204D"/>
    <w:rsid w:val="00FD2179"/>
    <w:rsid w:val="00FD7E12"/>
    <w:rsid w:val="00FE02F2"/>
    <w:rsid w:val="00FE48C8"/>
    <w:rsid w:val="00FE6F38"/>
    <w:rsid w:val="00FF1484"/>
    <w:rsid w:val="00FF1714"/>
    <w:rsid w:val="00FF4207"/>
    <w:rsid w:val="00FF6885"/>
    <w:rsid w:val="00FF7E35"/>
    <w:rsid w:val="132DBCBD"/>
    <w:rsid w:val="4399FE6F"/>
    <w:rsid w:val="6F3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3CC4C"/>
  <w15:chartTrackingRefBased/>
  <w15:docId w15:val="{43871219-4603-4FBF-AF32-B0067DE4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6E6"/>
    <w:pPr>
      <w:spacing w:before="120"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6261"/>
    <w:pPr>
      <w:keepNext/>
      <w:keepLines/>
      <w:numPr>
        <w:numId w:val="4"/>
      </w:numPr>
      <w:spacing w:before="240" w:line="259" w:lineRule="auto"/>
      <w:outlineLvl w:val="0"/>
    </w:pPr>
    <w:rPr>
      <w:rFonts w:ascii="Times New Roman" w:eastAsiaTheme="majorEastAsia" w:hAnsi="Times New Roman" w:cs="Times New Roman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261"/>
    <w:pPr>
      <w:keepNext/>
      <w:keepLines/>
      <w:spacing w:before="40" w:line="259" w:lineRule="auto"/>
      <w:jc w:val="both"/>
      <w:outlineLvl w:val="1"/>
    </w:pPr>
    <w:rPr>
      <w:rFonts w:ascii="Times New Roman" w:eastAsiaTheme="majorEastAsia" w:hAnsi="Times New Roman" w:cs="Times New Roman"/>
      <w:b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26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626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A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sid w:val="00D8285A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rsid w:val="00D8285A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8285A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85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D8285A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85A"/>
    <w:rPr>
      <w:noProof/>
    </w:rPr>
  </w:style>
  <w:style w:type="paragraph" w:customStyle="1" w:styleId="FooterCoverPage">
    <w:name w:val="Footer Cover Page"/>
    <w:basedOn w:val="Normalny"/>
    <w:link w:val="FooterCoverPageChar"/>
    <w:rsid w:val="00D8285A"/>
    <w:pPr>
      <w:tabs>
        <w:tab w:val="center" w:pos="4535"/>
        <w:tab w:val="right" w:pos="9071"/>
        <w:tab w:val="right" w:pos="9921"/>
      </w:tabs>
      <w:spacing w:before="36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omylnaczcionkaakapitu"/>
    <w:link w:val="FooterCoverPage"/>
    <w:rsid w:val="00D8285A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ny"/>
    <w:link w:val="FooterSensitivityChar"/>
    <w:rsid w:val="00D828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omylnaczcionkaakapitu"/>
    <w:link w:val="FooterSensitivity"/>
    <w:rsid w:val="00D8285A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ny"/>
    <w:link w:val="HeaderCoverPageChar"/>
    <w:rsid w:val="00D8285A"/>
    <w:pPr>
      <w:tabs>
        <w:tab w:val="center" w:pos="4535"/>
        <w:tab w:val="right" w:pos="9071"/>
      </w:tabs>
      <w:spacing w:before="0"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omylnaczcionkaakapitu"/>
    <w:link w:val="HeaderCoverPage"/>
    <w:rsid w:val="00D8285A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ny"/>
    <w:link w:val="HeaderSensitivityChar"/>
    <w:rsid w:val="00D828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omylnaczcionkaakapitu"/>
    <w:link w:val="HeaderSensitivity"/>
    <w:rsid w:val="00D8285A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ny"/>
    <w:link w:val="HeaderSensitivityRightChar"/>
    <w:rsid w:val="00D8285A"/>
    <w:pPr>
      <w:spacing w:before="0"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omylnaczcionkaakapitu"/>
    <w:link w:val="HeaderSensitivityRight"/>
    <w:rsid w:val="00D8285A"/>
    <w:rPr>
      <w:rFonts w:ascii="Times New Roman" w:hAnsi="Times New Roman" w:cs="Times New Roman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F6261"/>
    <w:rPr>
      <w:rFonts w:ascii="Times New Roman" w:eastAsiaTheme="majorEastAsia" w:hAnsi="Times New Roman" w:cs="Times New Roman"/>
      <w:b/>
      <w:noProof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6261"/>
    <w:rPr>
      <w:rFonts w:ascii="Times New Roman" w:eastAsiaTheme="majorEastAsia" w:hAnsi="Times New Roman" w:cs="Times New Roman"/>
      <w:b/>
      <w:i/>
      <w:noProof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6261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F6261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paragraph" w:styleId="Akapitzlist">
    <w:name w:val="List Paragraph"/>
    <w:aliases w:val="Numbered Para 1,Dot pt,No Spacing1,List Paragraph Char Char Char,Indicator Text,Bullet 1,List Paragraph1,Bullet Points,MAIN CONTENT,List Paragraph12,F5 List Paragraph,Heading 2_sj,1st level - Bullet List Paragraph,Lettre d'introduction,L"/>
    <w:basedOn w:val="Normalny"/>
    <w:link w:val="AkapitzlistZnak"/>
    <w:uiPriority w:val="34"/>
    <w:qFormat/>
    <w:rsid w:val="00DF626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261"/>
    <w:rPr>
      <w:color w:val="0000FF" w:themeColor="hyperlink"/>
      <w:u w:val="single"/>
    </w:rPr>
  </w:style>
  <w:style w:type="paragraph" w:styleId="Tekstprzypisudolnego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"/>
    <w:basedOn w:val="Normalny"/>
    <w:link w:val="TekstprzypisudolnegoZnak"/>
    <w:uiPriority w:val="99"/>
    <w:unhideWhenUsed/>
    <w:qFormat/>
    <w:rsid w:val="00DF626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Char Znak,Fußnote Znak,Carattere Znak,fn Znak,Footnotes Znak,Footnote ak Znak,Footnote Text Char1 Znak,Footnote Text Char Char Znak,fn Char Char Znak,footnote text Char Char Znak,Footnotes Char Char Znak,fn Char1 Znak,ft Znak"/>
    <w:basedOn w:val="Domylnaczcionkaakapitu"/>
    <w:link w:val="Tekstprzypisudolnego"/>
    <w:uiPriority w:val="99"/>
    <w:qFormat/>
    <w:rsid w:val="00DF6261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6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F6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F6261"/>
    <w:rPr>
      <w:sz w:val="20"/>
      <w:szCs w:val="20"/>
    </w:rPr>
  </w:style>
  <w:style w:type="character" w:styleId="Odwoanieprzypisudolnego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,R"/>
    <w:basedOn w:val="Domylnaczcionkaakapitu"/>
    <w:link w:val="FootnoteReferenceCharCarCharCharCarCharCarCharCarCharCarCharCharCarCarCharCharCharCharCharCarCharCarCharCharCarCharCar"/>
    <w:uiPriority w:val="99"/>
    <w:unhideWhenUsed/>
    <w:qFormat/>
    <w:rsid w:val="00DF62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2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261"/>
    <w:rPr>
      <w:rFonts w:ascii="Segoe UI" w:hAnsi="Segoe UI" w:cs="Segoe UI"/>
      <w:noProof/>
      <w:sz w:val="18"/>
      <w:szCs w:val="18"/>
    </w:rPr>
  </w:style>
  <w:style w:type="paragraph" w:styleId="Legenda">
    <w:name w:val="caption"/>
    <w:aliases w:val="Table Header"/>
    <w:basedOn w:val="Normalny"/>
    <w:next w:val="Normalny"/>
    <w:link w:val="LegendaZnak"/>
    <w:uiPriority w:val="35"/>
    <w:unhideWhenUsed/>
    <w:qFormat/>
    <w:rsid w:val="00DF626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FootnoteReferenceCharCarCharCharCarCharCarCharCarCharCarCharCharCarCarCharCharCharCharCharCarCharCarCharCharCarCharCar">
    <w:name w:val="Footnote Reference Char Car Char Char Car Char Car Char Car Char Car Char Char Car Car Char Char Char Char Char Car Char Car Char Char Car Char Car"/>
    <w:aliases w:val="Footnotes refss Car Char Car,callout Car Car Char Char Car,Footnotes refss Car1"/>
    <w:basedOn w:val="Normalny"/>
    <w:link w:val="Odwoanieprzypisudolnego"/>
    <w:uiPriority w:val="99"/>
    <w:rsid w:val="00DF6261"/>
    <w:pPr>
      <w:spacing w:after="160" w:line="240" w:lineRule="exact"/>
    </w:pPr>
    <w:rPr>
      <w:vertAlign w:val="superscript"/>
    </w:rPr>
  </w:style>
  <w:style w:type="character" w:customStyle="1" w:styleId="AkapitzlistZnak">
    <w:name w:val="Akapit z listą Znak"/>
    <w:aliases w:val="Numbered Para 1 Znak,Dot pt Znak,No Spacing1 Znak,List Paragraph Char Char Char Znak,Indicator Text Znak,Bullet 1 Znak,List Paragraph1 Znak,Bullet Points Znak,MAIN CONTENT Znak,List Paragraph12 Znak,F5 List Paragraph Znak,L Znak"/>
    <w:basedOn w:val="Domylnaczcionkaakapitu"/>
    <w:link w:val="Akapitzlist"/>
    <w:uiPriority w:val="34"/>
    <w:qFormat/>
    <w:rsid w:val="00DF6261"/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ny"/>
    <w:uiPriority w:val="99"/>
    <w:rsid w:val="00DF6261"/>
    <w:pPr>
      <w:spacing w:after="160" w:line="240" w:lineRule="exact"/>
      <w:jc w:val="both"/>
    </w:pPr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261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261"/>
    <w:rPr>
      <w:b/>
      <w:bCs/>
      <w:sz w:val="20"/>
      <w:szCs w:val="20"/>
    </w:rPr>
  </w:style>
  <w:style w:type="character" w:customStyle="1" w:styleId="LegendaZnak">
    <w:name w:val="Legenda Znak"/>
    <w:aliases w:val="Table Header Znak"/>
    <w:link w:val="Legenda"/>
    <w:uiPriority w:val="35"/>
    <w:locked/>
    <w:rsid w:val="00DF6261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F6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F62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F6261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6261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F6261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DF6261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DF6261"/>
    <w:rPr>
      <w:i/>
      <w:iCs/>
    </w:rPr>
  </w:style>
  <w:style w:type="paragraph" w:styleId="Poprawka">
    <w:name w:val="Revision"/>
    <w:hidden/>
    <w:uiPriority w:val="99"/>
    <w:semiHidden/>
    <w:rsid w:val="00DF626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F626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D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DF626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F6261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261"/>
    <w:rPr>
      <w:vertAlign w:val="superscript"/>
    </w:rPr>
  </w:style>
  <w:style w:type="paragraph" w:styleId="Bezodstpw">
    <w:name w:val="No Spacing"/>
    <w:uiPriority w:val="1"/>
    <w:qFormat/>
    <w:rsid w:val="00DF626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DF6261"/>
    <w:rPr>
      <w:i/>
      <w:iCs/>
      <w:color w:val="4F81BD" w:themeColor="accent1"/>
    </w:rPr>
  </w:style>
  <w:style w:type="character" w:customStyle="1" w:styleId="Briefinglist1Char">
    <w:name w:val="Briefing list 1 Char"/>
    <w:link w:val="Briefinglist1"/>
    <w:locked/>
    <w:rsid w:val="00DF6261"/>
    <w:rPr>
      <w:rFonts w:ascii="Arial" w:hAnsi="Arial" w:cs="Arial"/>
      <w:szCs w:val="24"/>
    </w:rPr>
  </w:style>
  <w:style w:type="paragraph" w:customStyle="1" w:styleId="Briefinglist1">
    <w:name w:val="Briefing list 1"/>
    <w:basedOn w:val="Normalny"/>
    <w:link w:val="Briefinglist1Char"/>
    <w:qFormat/>
    <w:rsid w:val="00DF6261"/>
    <w:pPr>
      <w:keepLines/>
      <w:numPr>
        <w:numId w:val="19"/>
      </w:numPr>
      <w:spacing w:after="120" w:line="240" w:lineRule="auto"/>
      <w:jc w:val="both"/>
    </w:pPr>
    <w:rPr>
      <w:rFonts w:ascii="Arial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DF6261"/>
    <w:rPr>
      <w:b/>
      <w:bCs/>
    </w:rPr>
  </w:style>
  <w:style w:type="character" w:customStyle="1" w:styleId="Hyperlink0">
    <w:name w:val="Hyperlink.0"/>
    <w:basedOn w:val="Domylnaczcionkaakapitu"/>
    <w:rsid w:val="00DF6261"/>
    <w:rPr>
      <w:color w:val="0563C1"/>
      <w:sz w:val="18"/>
      <w:szCs w:val="18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DF626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F6261"/>
  </w:style>
  <w:style w:type="paragraph" w:customStyle="1" w:styleId="Text1">
    <w:name w:val="Text 1"/>
    <w:link w:val="Text1Char"/>
    <w:uiPriority w:val="1"/>
    <w:qFormat/>
    <w:rsid w:val="00DF6261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360" w:hanging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Text1Char">
    <w:name w:val="Text 1 Char"/>
    <w:basedOn w:val="Domylnaczcionkaakapitu"/>
    <w:link w:val="Text1"/>
    <w:uiPriority w:val="1"/>
    <w:locked/>
    <w:rsid w:val="00DF626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en-GB"/>
    </w:rPr>
  </w:style>
  <w:style w:type="paragraph" w:customStyle="1" w:styleId="datetime">
    <w:name w:val="datetime"/>
    <w:basedOn w:val="Normalny"/>
    <w:uiPriority w:val="99"/>
    <w:rsid w:val="00DF6261"/>
    <w:pPr>
      <w:spacing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ormal2">
    <w:name w:val="Normal2"/>
    <w:basedOn w:val="Normalny"/>
    <w:uiPriority w:val="99"/>
    <w:rsid w:val="00DF62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isible-description">
    <w:name w:val="visible-description"/>
    <w:basedOn w:val="Domylnaczcionkaakapitu"/>
    <w:rsid w:val="00DF6261"/>
  </w:style>
  <w:style w:type="character" w:customStyle="1" w:styleId="show-more-description">
    <w:name w:val="show-more-description"/>
    <w:basedOn w:val="Domylnaczcionkaakapitu"/>
    <w:rsid w:val="00DF6261"/>
  </w:style>
  <w:style w:type="paragraph" w:customStyle="1" w:styleId="Char1">
    <w:name w:val="Char1"/>
    <w:aliases w:val="(NECG) Footnote Reference,fr,Style 6,Signature Ch"/>
    <w:basedOn w:val="Normalny"/>
    <w:uiPriority w:val="99"/>
    <w:rsid w:val="00DF6261"/>
    <w:pPr>
      <w:spacing w:after="160" w:line="240" w:lineRule="exact"/>
      <w:jc w:val="both"/>
    </w:pPr>
    <w:rPr>
      <w:vertAlign w:val="superscript"/>
    </w:rPr>
  </w:style>
  <w:style w:type="paragraph" w:customStyle="1" w:styleId="paragraph">
    <w:name w:val="paragraph"/>
    <w:basedOn w:val="Normalny"/>
    <w:rsid w:val="00DF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DF6261"/>
  </w:style>
  <w:style w:type="character" w:customStyle="1" w:styleId="eop">
    <w:name w:val="eop"/>
    <w:basedOn w:val="Domylnaczcionkaakapitu"/>
    <w:rsid w:val="00DF6261"/>
  </w:style>
  <w:style w:type="character" w:customStyle="1" w:styleId="scxw37327740">
    <w:name w:val="scxw37327740"/>
    <w:basedOn w:val="Domylnaczcionkaakapitu"/>
    <w:rsid w:val="00DF6261"/>
  </w:style>
  <w:style w:type="character" w:customStyle="1" w:styleId="spellingerror">
    <w:name w:val="spellingerror"/>
    <w:basedOn w:val="Domylnaczcionkaakapitu"/>
    <w:rsid w:val="00DF6261"/>
  </w:style>
  <w:style w:type="character" w:customStyle="1" w:styleId="scxw6602268">
    <w:name w:val="scxw6602268"/>
    <w:basedOn w:val="Domylnaczcionkaakapitu"/>
    <w:rsid w:val="00DF6261"/>
  </w:style>
  <w:style w:type="paragraph" w:customStyle="1" w:styleId="I-Standardtext">
    <w:name w:val="ÖI-Standardtext"/>
    <w:basedOn w:val="Normalny"/>
    <w:qFormat/>
    <w:rsid w:val="00DF6261"/>
    <w:pPr>
      <w:spacing w:after="180" w:line="280" w:lineRule="atLeast"/>
      <w:jc w:val="both"/>
    </w:pPr>
    <w:rPr>
      <w:rFonts w:ascii="Arial" w:hAnsi="Arial"/>
    </w:rPr>
  </w:style>
  <w:style w:type="character" w:customStyle="1" w:styleId="findhit">
    <w:name w:val="findhit"/>
    <w:basedOn w:val="Domylnaczcionkaakapitu"/>
    <w:rsid w:val="00DF6261"/>
  </w:style>
  <w:style w:type="character" w:customStyle="1" w:styleId="scxw119860584">
    <w:name w:val="scxw119860584"/>
    <w:basedOn w:val="Domylnaczcionkaakapitu"/>
    <w:rsid w:val="00DF6261"/>
  </w:style>
  <w:style w:type="character" w:customStyle="1" w:styleId="hyperlink00">
    <w:name w:val="hyperlink0"/>
    <w:basedOn w:val="Domylnaczcionkaakapitu"/>
    <w:rsid w:val="00DF6261"/>
  </w:style>
  <w:style w:type="character" w:customStyle="1" w:styleId="Emphasis1">
    <w:name w:val="Emphasis1"/>
    <w:basedOn w:val="Domylnaczcionkaakapitu"/>
    <w:rsid w:val="00DF6261"/>
  </w:style>
  <w:style w:type="character" w:customStyle="1" w:styleId="scxw215405909">
    <w:name w:val="scxw215405909"/>
    <w:basedOn w:val="Domylnaczcionkaakapitu"/>
    <w:rsid w:val="00F51D1A"/>
  </w:style>
  <w:style w:type="character" w:customStyle="1" w:styleId="Nagwek7Znak">
    <w:name w:val="Nagłówek 7 Znak"/>
    <w:basedOn w:val="Domylnaczcionkaakapitu"/>
    <w:link w:val="Nagwek7"/>
    <w:semiHidden/>
    <w:rsid w:val="00077AF0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customStyle="1" w:styleId="Copies">
    <w:name w:val="Copies"/>
    <w:basedOn w:val="Normalny"/>
    <w:next w:val="Normalny"/>
    <w:uiPriority w:val="99"/>
    <w:rsid w:val="00B04A2E"/>
    <w:pPr>
      <w:tabs>
        <w:tab w:val="left" w:pos="5669"/>
      </w:tabs>
      <w:spacing w:before="480" w:line="240" w:lineRule="auto"/>
      <w:ind w:left="1984" w:hanging="198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CAPRGraphtitles">
    <w:name w:val="CAPR Graph titles"/>
    <w:basedOn w:val="Normalny"/>
    <w:link w:val="CAPRGraphtitlesChar"/>
    <w:qFormat/>
    <w:rsid w:val="00731FC1"/>
    <w:pPr>
      <w:spacing w:before="0" w:line="240" w:lineRule="auto"/>
      <w:jc w:val="both"/>
    </w:pPr>
    <w:rPr>
      <w:rFonts w:ascii="Calibri" w:eastAsia="Calibri" w:hAnsi="Calibri" w:cs="Times New Roman"/>
      <w:b/>
      <w:bCs/>
      <w:sz w:val="20"/>
      <w:szCs w:val="18"/>
    </w:rPr>
  </w:style>
  <w:style w:type="paragraph" w:customStyle="1" w:styleId="CAPRExamples">
    <w:name w:val="CAPR Examples"/>
    <w:basedOn w:val="Normalny"/>
    <w:link w:val="CAPRExamplesChar"/>
    <w:qFormat/>
    <w:rsid w:val="00731FC1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CAPRGraphtitlesChar">
    <w:name w:val="CAPR Graph titles Char"/>
    <w:basedOn w:val="Domylnaczcionkaakapitu"/>
    <w:link w:val="CAPRGraphtitles"/>
    <w:rsid w:val="00731FC1"/>
    <w:rPr>
      <w:rFonts w:ascii="Calibri" w:eastAsia="Calibri" w:hAnsi="Calibri" w:cs="Times New Roman"/>
      <w:b/>
      <w:bCs/>
      <w:noProof/>
      <w:sz w:val="20"/>
      <w:szCs w:val="18"/>
      <w:lang w:val="pl-PL"/>
    </w:rPr>
  </w:style>
  <w:style w:type="character" w:customStyle="1" w:styleId="CAPRExamplesChar">
    <w:name w:val="CAPR Examples Char"/>
    <w:basedOn w:val="Domylnaczcionkaakapitu"/>
    <w:link w:val="CAPRExamples"/>
    <w:rsid w:val="00731FC1"/>
    <w:rPr>
      <w:rFonts w:ascii="Garamond" w:hAnsi="Garamond"/>
      <w:sz w:val="24"/>
    </w:rPr>
  </w:style>
  <w:style w:type="character" w:customStyle="1" w:styleId="CAPRbodyChar">
    <w:name w:val="CAPR body Char"/>
    <w:basedOn w:val="Domylnaczcionkaakapitu"/>
    <w:link w:val="CAPRbody"/>
    <w:locked/>
    <w:rsid w:val="009401B3"/>
    <w:rPr>
      <w:rFonts w:ascii="Times New Roman" w:hAnsi="Times New Roman" w:cs="Times New Roman"/>
      <w:sz w:val="24"/>
    </w:rPr>
  </w:style>
  <w:style w:type="paragraph" w:customStyle="1" w:styleId="CAPRbody">
    <w:name w:val="CAPR body"/>
    <w:basedOn w:val="Normalny"/>
    <w:link w:val="CAPRbodyChar"/>
    <w:qFormat/>
    <w:rsid w:val="009401B3"/>
    <w:pPr>
      <w:spacing w:line="24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9.emf"/><Relationship Id="rId3" Type="http://schemas.openxmlformats.org/officeDocument/2006/relationships/customXml" Target="../customXml/item3.xml"/><Relationship Id="rId21" Type="http://schemas.openxmlformats.org/officeDocument/2006/relationships/chart" Target="charts/chart1.xml"/><Relationship Id="rId34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emf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7.emf"/><Relationship Id="rId32" Type="http://schemas.openxmlformats.org/officeDocument/2006/relationships/header" Target="header5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36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31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chart" Target="charts/chart2.xml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arradid.is/library/02-Rit--skyrslur-og-skrar/Iceland%20National%20Plan%202020.pdf" TargetMode="External"/><Relationship Id="rId3" Type="http://schemas.openxmlformats.org/officeDocument/2006/relationships/hyperlink" Target="https://ec.europa.eu/info/strategy/priorities-2019-2024/european-green-deal/finance-and-green-deal/just-transition-mechanism/just-transition-platform_pl" TargetMode="External"/><Relationship Id="rId7" Type="http://schemas.openxmlformats.org/officeDocument/2006/relationships/hyperlink" Target="https://www.regjeringen.no/en/dokumenter/norways-national-plan-related-to-the-decision-of-the-eea-joint-commitee-no-269-2019-of-26-october-2019/id2684252/" TargetMode="External"/><Relationship Id="rId2" Type="http://schemas.openxmlformats.org/officeDocument/2006/relationships/hyperlink" Target="http://ec.europa.eu/social/esde2020" TargetMode="External"/><Relationship Id="rId1" Type="http://schemas.openxmlformats.org/officeDocument/2006/relationships/hyperlink" Target="https://unfccc.int/documents/307266" TargetMode="External"/><Relationship Id="rId6" Type="http://schemas.openxmlformats.org/officeDocument/2006/relationships/hyperlink" Target="https://www.covenantofmayors.eu/about/covenant-initiative/covenant-in-figures.html" TargetMode="External"/><Relationship Id="rId11" Type="http://schemas.openxmlformats.org/officeDocument/2006/relationships/hyperlink" Target="https://eur-lex.europa.eu/legal-content/PL/TXT/?uri=CELEX:32020R1208" TargetMode="External"/><Relationship Id="rId5" Type="http://schemas.openxmlformats.org/officeDocument/2006/relationships/hyperlink" Target="https://europa.eu/climate-pact/ambassadors/meet-our-ambassadors_pl" TargetMode="External"/><Relationship Id="rId10" Type="http://schemas.openxmlformats.org/officeDocument/2006/relationships/hyperlink" Target="https://publications.jrc.ec.europa.eu/repository/handle/JRC124374" TargetMode="External"/><Relationship Id="rId4" Type="http://schemas.openxmlformats.org/officeDocument/2006/relationships/hyperlink" Target="https://europa.eu/climate-pact/index_pl" TargetMode="External"/><Relationship Id="rId9" Type="http://schemas.openxmlformats.org/officeDocument/2006/relationships/hyperlink" Target="https://www.eftasurv.int/cms/sites/default/files/documents/gopro/Determination%20of%20the%20forest%20reference%20levels%20(FRLs)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zeliciv\AppData\Local\Microsoft\Windows\INetCache\Content.Outlook\TBDV797W\Figure%20for%20ESD%202019%20CAPR%202021_v3%20without%2028_v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ossiers.dgt.cec.eu.int\dossiers\CLIMA\CLIMA-2021-80098\CLIMA-2021-80098-05-00-PL-TRA-99.20211025151647595458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02657845338185"/>
          <c:y val="5.617376742359606E-2"/>
          <c:w val="0.63759867147973792"/>
          <c:h val="0.8018346456692913"/>
        </c:manualLayout>
      </c:layout>
      <c:barChart>
        <c:barDir val="bar"/>
        <c:grouping val="stacked"/>
        <c:varyColors val="0"/>
        <c:ser>
          <c:idx val="1"/>
          <c:order val="1"/>
          <c:tx>
            <c:strRef>
              <c:f>Sheet1!$B$5</c:f>
              <c:strCache>
                <c:ptCount val="1"/>
                <c:pt idx="0">
                  <c:v>Cumulative surplus of AEAs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anchorCtr="0"/>
              <a:lstStyle/>
              <a:p>
                <a:pPr algn="ctr">
                  <a:defRPr/>
                </a:pPr>
                <a:endParaRPr lang="pl-PL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Sheet1!$A$7:$A$37</c:f>
              <c:strCache>
                <c:ptCount val="31"/>
                <c:pt idx="0">
                  <c:v>United Kingdom</c:v>
                </c:pt>
                <c:pt idx="2">
                  <c:v>EU-27</c:v>
                </c:pt>
                <c:pt idx="4">
                  <c:v>Cyprus</c:v>
                </c:pt>
                <c:pt idx="5">
                  <c:v>Greece</c:v>
                </c:pt>
                <c:pt idx="6">
                  <c:v>Croatia</c:v>
                </c:pt>
                <c:pt idx="7">
                  <c:v>Hungary</c:v>
                </c:pt>
                <c:pt idx="8">
                  <c:v>Slovakia</c:v>
                </c:pt>
                <c:pt idx="9">
                  <c:v>Portugal</c:v>
                </c:pt>
                <c:pt idx="10">
                  <c:v>Slovenia</c:v>
                </c:pt>
                <c:pt idx="11">
                  <c:v>Netherlands</c:v>
                </c:pt>
                <c:pt idx="12">
                  <c:v>Romania</c:v>
                </c:pt>
                <c:pt idx="13">
                  <c:v>Spain</c:v>
                </c:pt>
                <c:pt idx="14">
                  <c:v>Italy</c:v>
                </c:pt>
                <c:pt idx="15">
                  <c:v>Bulgaria</c:v>
                </c:pt>
                <c:pt idx="16">
                  <c:v>Latvia</c:v>
                </c:pt>
                <c:pt idx="17">
                  <c:v>Czechia</c:v>
                </c:pt>
                <c:pt idx="18">
                  <c:v>Denmark</c:v>
                </c:pt>
                <c:pt idx="19">
                  <c:v>Lithuania</c:v>
                </c:pt>
                <c:pt idx="20">
                  <c:v>France</c:v>
                </c:pt>
                <c:pt idx="21">
                  <c:v>Belgium</c:v>
                </c:pt>
                <c:pt idx="22">
                  <c:v>Sweden</c:v>
                </c:pt>
                <c:pt idx="23">
                  <c:v>Estonia</c:v>
                </c:pt>
                <c:pt idx="24">
                  <c:v>Austria</c:v>
                </c:pt>
                <c:pt idx="25">
                  <c:v>Luxembourg</c:v>
                </c:pt>
                <c:pt idx="26">
                  <c:v>Finland</c:v>
                </c:pt>
                <c:pt idx="27">
                  <c:v>Poland</c:v>
                </c:pt>
                <c:pt idx="28">
                  <c:v>Germany</c:v>
                </c:pt>
                <c:pt idx="29">
                  <c:v>Ireland</c:v>
                </c:pt>
                <c:pt idx="30">
                  <c:v>Malta</c:v>
                </c:pt>
              </c:strCache>
            </c:strRef>
          </c:cat>
          <c:val>
            <c:numRef>
              <c:f>Sheet1!$B$7:$B$37</c:f>
              <c:numCache>
                <c:formatCode>General</c:formatCode>
                <c:ptCount val="31"/>
                <c:pt idx="0" formatCode="0%">
                  <c:v>5.9810255078744878E-2</c:v>
                </c:pt>
                <c:pt idx="2" formatCode="0%">
                  <c:v>0.42819693657027669</c:v>
                </c:pt>
                <c:pt idx="4" formatCode="0%">
                  <c:v>1.7252960389173717</c:v>
                </c:pt>
                <c:pt idx="5" formatCode="0%">
                  <c:v>1.6349323537302523</c:v>
                </c:pt>
                <c:pt idx="6" formatCode="0%">
                  <c:v>1.4925879130477051</c:v>
                </c:pt>
                <c:pt idx="7" formatCode="0%">
                  <c:v>1.4495071829609854</c:v>
                </c:pt>
                <c:pt idx="8" formatCode="0%">
                  <c:v>1.3577011283428433</c:v>
                </c:pt>
                <c:pt idx="9" formatCode="0%">
                  <c:v>1.2733773622997249</c:v>
                </c:pt>
                <c:pt idx="10" formatCode="0%">
                  <c:v>0.85418027921222806</c:v>
                </c:pt>
                <c:pt idx="11" formatCode="0%">
                  <c:v>0.82835054184023649</c:v>
                </c:pt>
                <c:pt idx="12" formatCode="0%">
                  <c:v>0.66553100018717071</c:v>
                </c:pt>
                <c:pt idx="13" formatCode="0%">
                  <c:v>0.62293109866179486</c:v>
                </c:pt>
                <c:pt idx="14" formatCode="0%">
                  <c:v>0.60379672773967052</c:v>
                </c:pt>
                <c:pt idx="15" formatCode="0%">
                  <c:v>0.58209674176883086</c:v>
                </c:pt>
                <c:pt idx="16" formatCode="0%">
                  <c:v>0.48134927825066309</c:v>
                </c:pt>
                <c:pt idx="17" formatCode="0%">
                  <c:v>0.40928327719846425</c:v>
                </c:pt>
                <c:pt idx="18" formatCode="0%">
                  <c:v>0.34039783714310262</c:v>
                </c:pt>
                <c:pt idx="19" formatCode="0%">
                  <c:v>0.16185207335408958</c:v>
                </c:pt>
                <c:pt idx="20" formatCode="0%">
                  <c:v>0.12625777395550003</c:v>
                </c:pt>
                <c:pt idx="21" formatCode="0%">
                  <c:v>0.11674777051190388</c:v>
                </c:pt>
                <c:pt idx="22" formatCode="0%">
                  <c:v>0.11442686686719117</c:v>
                </c:pt>
                <c:pt idx="23" formatCode="0%">
                  <c:v>8.8736009854540776E-2</c:v>
                </c:pt>
                <c:pt idx="24" formatCode="0%">
                  <c:v>6.2741935604823371E-2</c:v>
                </c:pt>
                <c:pt idx="25" formatCode="0%">
                  <c:v>1.3961473423702844E-2</c:v>
                </c:pt>
                <c:pt idx="26" formatCode="0%">
                  <c:v>1.2917456478507039E-2</c:v>
                </c:pt>
                <c:pt idx="27" formatCode="0%">
                  <c:v>2.5417532190844705E-3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93-4958-B7B5-70873FA94395}"/>
            </c:ext>
          </c:extLst>
        </c:ser>
        <c:ser>
          <c:idx val="2"/>
          <c:order val="2"/>
          <c:tx>
            <c:strRef>
              <c:f>Sheet1!$C$5</c:f>
              <c:strCache>
                <c:ptCount val="1"/>
                <c:pt idx="0">
                  <c:v>FR, SE, UK: cumulative surplus of AEAs, deleted</c:v>
                </c:pt>
              </c:strCache>
            </c:strRef>
          </c:tx>
          <c:spPr>
            <a:pattFill prst="pct25">
              <a:fgClr>
                <a:schemeClr val="accent1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invertIfNegative val="0"/>
          <c:dPt>
            <c:idx val="11"/>
            <c:invertIfNegative val="0"/>
            <c:bubble3D val="0"/>
            <c:spPr>
              <a:pattFill prst="pct25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3175">
                <a:solidFill>
                  <a:schemeClr val="accent1">
                    <a:lumMod val="60000"/>
                    <a:lumOff val="40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393-4958-B7B5-70873FA94395}"/>
              </c:ext>
            </c:extLst>
          </c:dPt>
          <c:dLbls>
            <c:dLbl>
              <c:idx val="0"/>
              <c:layout>
                <c:manualLayout>
                  <c:x val="2.18458611084874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93-4958-B7B5-70873FA94395}"/>
                </c:ex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1902493275559829E-2"/>
                  <c:y val="-7.31168318368922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93-4958-B7B5-70873FA94395}"/>
                </c:ex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4.9751293476818795E-2"/>
                  <c:y val="-6.407558869046636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93-4958-B7B5-70873FA943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Sheet1!$A$7:$A$37</c:f>
              <c:strCache>
                <c:ptCount val="31"/>
                <c:pt idx="0">
                  <c:v>United Kingdom</c:v>
                </c:pt>
                <c:pt idx="2">
                  <c:v>EU-27</c:v>
                </c:pt>
                <c:pt idx="4">
                  <c:v>Cyprus</c:v>
                </c:pt>
                <c:pt idx="5">
                  <c:v>Greece</c:v>
                </c:pt>
                <c:pt idx="6">
                  <c:v>Croatia</c:v>
                </c:pt>
                <c:pt idx="7">
                  <c:v>Hungary</c:v>
                </c:pt>
                <c:pt idx="8">
                  <c:v>Slovakia</c:v>
                </c:pt>
                <c:pt idx="9">
                  <c:v>Portugal</c:v>
                </c:pt>
                <c:pt idx="10">
                  <c:v>Slovenia</c:v>
                </c:pt>
                <c:pt idx="11">
                  <c:v>Netherlands</c:v>
                </c:pt>
                <c:pt idx="12">
                  <c:v>Romania</c:v>
                </c:pt>
                <c:pt idx="13">
                  <c:v>Spain</c:v>
                </c:pt>
                <c:pt idx="14">
                  <c:v>Italy</c:v>
                </c:pt>
                <c:pt idx="15">
                  <c:v>Bulgaria</c:v>
                </c:pt>
                <c:pt idx="16">
                  <c:v>Latvia</c:v>
                </c:pt>
                <c:pt idx="17">
                  <c:v>Czechia</c:v>
                </c:pt>
                <c:pt idx="18">
                  <c:v>Denmark</c:v>
                </c:pt>
                <c:pt idx="19">
                  <c:v>Lithuania</c:v>
                </c:pt>
                <c:pt idx="20">
                  <c:v>France</c:v>
                </c:pt>
                <c:pt idx="21">
                  <c:v>Belgium</c:v>
                </c:pt>
                <c:pt idx="22">
                  <c:v>Sweden</c:v>
                </c:pt>
                <c:pt idx="23">
                  <c:v>Estonia</c:v>
                </c:pt>
                <c:pt idx="24">
                  <c:v>Austria</c:v>
                </c:pt>
                <c:pt idx="25">
                  <c:v>Luxembourg</c:v>
                </c:pt>
                <c:pt idx="26">
                  <c:v>Finland</c:v>
                </c:pt>
                <c:pt idx="27">
                  <c:v>Poland</c:v>
                </c:pt>
                <c:pt idx="28">
                  <c:v>Germany</c:v>
                </c:pt>
                <c:pt idx="29">
                  <c:v>Ireland</c:v>
                </c:pt>
                <c:pt idx="30">
                  <c:v>Malta</c:v>
                </c:pt>
              </c:strCache>
            </c:strRef>
          </c:cat>
          <c:val>
            <c:numRef>
              <c:f>Sheet1!$C$7:$C$37</c:f>
              <c:numCache>
                <c:formatCode>General</c:formatCode>
                <c:ptCount val="31"/>
                <c:pt idx="0" formatCode="0%">
                  <c:v>0.33450867046326854</c:v>
                </c:pt>
                <c:pt idx="20" formatCode="0%">
                  <c:v>0.25111316474545864</c:v>
                </c:pt>
                <c:pt idx="22" formatCode="0%">
                  <c:v>0.866944890228182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393-4958-B7B5-70873FA94395}"/>
            </c:ext>
          </c:extLst>
        </c:ser>
        <c:ser>
          <c:idx val="3"/>
          <c:order val="3"/>
          <c:tx>
            <c:strRef>
              <c:f>Sheet1!$D$5</c:f>
              <c:strCache>
                <c:ptCount val="1"/>
                <c:pt idx="0">
                  <c:v>Bulgaria, Malta: traded AEAs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30"/>
              <c:layout>
                <c:manualLayout>
                  <c:x val="-1.996608595227067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93-4958-B7B5-70873FA943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l"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Sheet1!$A$7:$A$37</c:f>
              <c:strCache>
                <c:ptCount val="31"/>
                <c:pt idx="0">
                  <c:v>United Kingdom</c:v>
                </c:pt>
                <c:pt idx="2">
                  <c:v>EU-27</c:v>
                </c:pt>
                <c:pt idx="4">
                  <c:v>Cyprus</c:v>
                </c:pt>
                <c:pt idx="5">
                  <c:v>Greece</c:v>
                </c:pt>
                <c:pt idx="6">
                  <c:v>Croatia</c:v>
                </c:pt>
                <c:pt idx="7">
                  <c:v>Hungary</c:v>
                </c:pt>
                <c:pt idx="8">
                  <c:v>Slovakia</c:v>
                </c:pt>
                <c:pt idx="9">
                  <c:v>Portugal</c:v>
                </c:pt>
                <c:pt idx="10">
                  <c:v>Slovenia</c:v>
                </c:pt>
                <c:pt idx="11">
                  <c:v>Netherlands</c:v>
                </c:pt>
                <c:pt idx="12">
                  <c:v>Romania</c:v>
                </c:pt>
                <c:pt idx="13">
                  <c:v>Spain</c:v>
                </c:pt>
                <c:pt idx="14">
                  <c:v>Italy</c:v>
                </c:pt>
                <c:pt idx="15">
                  <c:v>Bulgaria</c:v>
                </c:pt>
                <c:pt idx="16">
                  <c:v>Latvia</c:v>
                </c:pt>
                <c:pt idx="17">
                  <c:v>Czechia</c:v>
                </c:pt>
                <c:pt idx="18">
                  <c:v>Denmark</c:v>
                </c:pt>
                <c:pt idx="19">
                  <c:v>Lithuania</c:v>
                </c:pt>
                <c:pt idx="20">
                  <c:v>France</c:v>
                </c:pt>
                <c:pt idx="21">
                  <c:v>Belgium</c:v>
                </c:pt>
                <c:pt idx="22">
                  <c:v>Sweden</c:v>
                </c:pt>
                <c:pt idx="23">
                  <c:v>Estonia</c:v>
                </c:pt>
                <c:pt idx="24">
                  <c:v>Austria</c:v>
                </c:pt>
                <c:pt idx="25">
                  <c:v>Luxembourg</c:v>
                </c:pt>
                <c:pt idx="26">
                  <c:v>Finland</c:v>
                </c:pt>
                <c:pt idx="27">
                  <c:v>Poland</c:v>
                </c:pt>
                <c:pt idx="28">
                  <c:v>Germany</c:v>
                </c:pt>
                <c:pt idx="29">
                  <c:v>Ireland</c:v>
                </c:pt>
                <c:pt idx="30">
                  <c:v>Malta</c:v>
                </c:pt>
              </c:strCache>
            </c:strRef>
          </c:cat>
          <c:val>
            <c:numRef>
              <c:f>Sheet1!$D$7:$D$37</c:f>
              <c:numCache>
                <c:formatCode>General</c:formatCode>
                <c:ptCount val="31"/>
                <c:pt idx="15" formatCode="0%">
                  <c:v>5.5486532929573763E-2</c:v>
                </c:pt>
                <c:pt idx="30" formatCode="0%">
                  <c:v>-1.099613866313216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93-4958-B7B5-70873FA94395}"/>
            </c:ext>
          </c:extLst>
        </c:ser>
        <c:ser>
          <c:idx val="4"/>
          <c:order val="4"/>
          <c:tx>
            <c:strRef>
              <c:f>Sheet1!$E$5</c:f>
              <c:strCache>
                <c:ptCount val="1"/>
                <c:pt idx="0">
                  <c:v>Germany, Ireland: cumulative deficit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>
              <c:idx val="10"/>
              <c:layout>
                <c:manualLayout>
                  <c:x val="-4.0056842031786707E-2"/>
                  <c:y val="6.367229651806455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393-4958-B7B5-70873FA94395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106240958271507E-2"/>
                  <c:y val="1.8067014137019346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393-4958-B7B5-70873FA94395}"/>
                </c:ex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3.993217190454143E-2"/>
                  <c:y val="7.41243089061050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393-4958-B7B5-70873FA94395}"/>
                </c:ex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-2.9906624190514673E-2"/>
                  <c:y val="-2.0214239823349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9393-4958-B7B5-70873FA9439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Sheet1!$A$7:$A$37</c:f>
              <c:strCache>
                <c:ptCount val="31"/>
                <c:pt idx="0">
                  <c:v>United Kingdom</c:v>
                </c:pt>
                <c:pt idx="2">
                  <c:v>EU-27</c:v>
                </c:pt>
                <c:pt idx="4">
                  <c:v>Cyprus</c:v>
                </c:pt>
                <c:pt idx="5">
                  <c:v>Greece</c:v>
                </c:pt>
                <c:pt idx="6">
                  <c:v>Croatia</c:v>
                </c:pt>
                <c:pt idx="7">
                  <c:v>Hungary</c:v>
                </c:pt>
                <c:pt idx="8">
                  <c:v>Slovakia</c:v>
                </c:pt>
                <c:pt idx="9">
                  <c:v>Portugal</c:v>
                </c:pt>
                <c:pt idx="10">
                  <c:v>Slovenia</c:v>
                </c:pt>
                <c:pt idx="11">
                  <c:v>Netherlands</c:v>
                </c:pt>
                <c:pt idx="12">
                  <c:v>Romania</c:v>
                </c:pt>
                <c:pt idx="13">
                  <c:v>Spain</c:v>
                </c:pt>
                <c:pt idx="14">
                  <c:v>Italy</c:v>
                </c:pt>
                <c:pt idx="15">
                  <c:v>Bulgaria</c:v>
                </c:pt>
                <c:pt idx="16">
                  <c:v>Latvia</c:v>
                </c:pt>
                <c:pt idx="17">
                  <c:v>Czechia</c:v>
                </c:pt>
                <c:pt idx="18">
                  <c:v>Denmark</c:v>
                </c:pt>
                <c:pt idx="19">
                  <c:v>Lithuania</c:v>
                </c:pt>
                <c:pt idx="20">
                  <c:v>France</c:v>
                </c:pt>
                <c:pt idx="21">
                  <c:v>Belgium</c:v>
                </c:pt>
                <c:pt idx="22">
                  <c:v>Sweden</c:v>
                </c:pt>
                <c:pt idx="23">
                  <c:v>Estonia</c:v>
                </c:pt>
                <c:pt idx="24">
                  <c:v>Austria</c:v>
                </c:pt>
                <c:pt idx="25">
                  <c:v>Luxembourg</c:v>
                </c:pt>
                <c:pt idx="26">
                  <c:v>Finland</c:v>
                </c:pt>
                <c:pt idx="27">
                  <c:v>Poland</c:v>
                </c:pt>
                <c:pt idx="28">
                  <c:v>Germany</c:v>
                </c:pt>
                <c:pt idx="29">
                  <c:v>Ireland</c:v>
                </c:pt>
                <c:pt idx="30">
                  <c:v>Malta</c:v>
                </c:pt>
              </c:strCache>
            </c:strRef>
          </c:cat>
          <c:val>
            <c:numRef>
              <c:f>Sheet1!$E$7:$E$37</c:f>
              <c:numCache>
                <c:formatCode>General</c:formatCode>
                <c:ptCount val="31"/>
                <c:pt idx="28" formatCode="0%">
                  <c:v>-3.1115382693931437E-2</c:v>
                </c:pt>
                <c:pt idx="29" formatCode="0%">
                  <c:v>-0.1123771070307174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9393-4958-B7B5-70873FA943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2"/>
        <c:overlap val="100"/>
        <c:axId val="493530704"/>
        <c:axId val="49353109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/>
                    <a:lstStyle/>
                    <a:p>
                      <a:pPr>
                        <a:defRPr sz="800"/>
                      </a:pPr>
                      <a:endParaRPr lang="pl-PL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Sheet1!$A$7:$A$37</c15:sqref>
                        </c15:formulaRef>
                      </c:ext>
                    </c:extLst>
                    <c:strCache>
                      <c:ptCount val="31"/>
                      <c:pt idx="0">
                        <c:v>United Kingdom</c:v>
                      </c:pt>
                      <c:pt idx="2">
                        <c:v>EU-27</c:v>
                      </c:pt>
                      <c:pt idx="4">
                        <c:v>Cyprus</c:v>
                      </c:pt>
                      <c:pt idx="5">
                        <c:v>Greece</c:v>
                      </c:pt>
                      <c:pt idx="6">
                        <c:v>Croatia</c:v>
                      </c:pt>
                      <c:pt idx="7">
                        <c:v>Hungary</c:v>
                      </c:pt>
                      <c:pt idx="8">
                        <c:v>Slovakia</c:v>
                      </c:pt>
                      <c:pt idx="9">
                        <c:v>Portugal</c:v>
                      </c:pt>
                      <c:pt idx="10">
                        <c:v>Slovenia</c:v>
                      </c:pt>
                      <c:pt idx="11">
                        <c:v>Netherlands</c:v>
                      </c:pt>
                      <c:pt idx="12">
                        <c:v>Romania</c:v>
                      </c:pt>
                      <c:pt idx="13">
                        <c:v>Spain</c:v>
                      </c:pt>
                      <c:pt idx="14">
                        <c:v>Italy</c:v>
                      </c:pt>
                      <c:pt idx="15">
                        <c:v>Bulgaria</c:v>
                      </c:pt>
                      <c:pt idx="16">
                        <c:v>Latvia</c:v>
                      </c:pt>
                      <c:pt idx="17">
                        <c:v>Czechia</c:v>
                      </c:pt>
                      <c:pt idx="18">
                        <c:v>Denmark</c:v>
                      </c:pt>
                      <c:pt idx="19">
                        <c:v>Lithuania</c:v>
                      </c:pt>
                      <c:pt idx="20">
                        <c:v>France</c:v>
                      </c:pt>
                      <c:pt idx="21">
                        <c:v>Belgium</c:v>
                      </c:pt>
                      <c:pt idx="22">
                        <c:v>Sweden</c:v>
                      </c:pt>
                      <c:pt idx="23">
                        <c:v>Estonia</c:v>
                      </c:pt>
                      <c:pt idx="24">
                        <c:v>Austria</c:v>
                      </c:pt>
                      <c:pt idx="25">
                        <c:v>Luxembourg</c:v>
                      </c:pt>
                      <c:pt idx="26">
                        <c:v>Finland</c:v>
                      </c:pt>
                      <c:pt idx="27">
                        <c:v>Poland</c:v>
                      </c:pt>
                      <c:pt idx="28">
                        <c:v>Germany</c:v>
                      </c:pt>
                      <c:pt idx="29">
                        <c:v>Ireland</c:v>
                      </c:pt>
                      <c:pt idx="30">
                        <c:v>Malta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Sheet1!$B$19:$B$41</c15:sqref>
                        </c15:formulaRef>
                      </c:ext>
                    </c:extLst>
                    <c:numCache>
                      <c:formatCode>0%</c:formatCode>
                      <c:ptCount val="23"/>
                      <c:pt idx="0">
                        <c:v>0.66553100018717071</c:v>
                      </c:pt>
                      <c:pt idx="1">
                        <c:v>0.62293109866179486</c:v>
                      </c:pt>
                      <c:pt idx="2">
                        <c:v>0.60379672773967052</c:v>
                      </c:pt>
                      <c:pt idx="3">
                        <c:v>0.58209674176883086</c:v>
                      </c:pt>
                      <c:pt idx="4">
                        <c:v>0.48134927825066309</c:v>
                      </c:pt>
                      <c:pt idx="5">
                        <c:v>0.40928327719846425</c:v>
                      </c:pt>
                      <c:pt idx="6">
                        <c:v>0.34039783714310262</c:v>
                      </c:pt>
                      <c:pt idx="7">
                        <c:v>0.16185207335408958</c:v>
                      </c:pt>
                      <c:pt idx="8">
                        <c:v>0.12625777395550003</c:v>
                      </c:pt>
                      <c:pt idx="9">
                        <c:v>0.11674777051190388</c:v>
                      </c:pt>
                      <c:pt idx="10">
                        <c:v>0.11442686686719117</c:v>
                      </c:pt>
                      <c:pt idx="11">
                        <c:v>8.8736009854540776E-2</c:v>
                      </c:pt>
                      <c:pt idx="12">
                        <c:v>6.2741935604823371E-2</c:v>
                      </c:pt>
                      <c:pt idx="13">
                        <c:v>1.3961473423702844E-2</c:v>
                      </c:pt>
                      <c:pt idx="14">
                        <c:v>1.2917456478507039E-2</c:v>
                      </c:pt>
                      <c:pt idx="15">
                        <c:v>2.5417532190844705E-3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E-9393-4958-B7B5-70873FA94395}"/>
                  </c:ext>
                </c:extLst>
              </c15:ser>
            </c15:filteredBarSeries>
          </c:ext>
        </c:extLst>
      </c:barChart>
      <c:catAx>
        <c:axId val="493530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pl-PL"/>
          </a:p>
        </c:txPr>
        <c:crossAx val="493531096"/>
        <c:crosses val="autoZero"/>
        <c:auto val="1"/>
        <c:lblAlgn val="ctr"/>
        <c:lblOffset val="100"/>
        <c:noMultiLvlLbl val="0"/>
      </c:catAx>
      <c:valAx>
        <c:axId val="49353109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spPr>
          <a:noFill/>
          <a:ln w="12700"/>
        </c:spPr>
        <c:crossAx val="493530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5806782597558992E-2"/>
          <c:y val="0.90349386084849237"/>
          <c:w val="0.75534049921331681"/>
          <c:h val="8.493465380683147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aseline="0"/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'CAPR Wykres 5'!$K$3:$K$4</c:f>
              <c:strCache>
                <c:ptCount val="2"/>
                <c:pt idx="0">
                  <c:v>2030</c:v>
                </c:pt>
                <c:pt idx="1">
                  <c:v>z dodatkowymi środkami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'CAPR Wykres 5'!$J$5:$J$38</c:f>
              <c:strCache>
                <c:ptCount val="34"/>
                <c:pt idx="0">
                  <c:v>Norwegia</c:v>
                </c:pt>
                <c:pt idx="1">
                  <c:v>Islandia</c:v>
                </c:pt>
                <c:pt idx="3">
                  <c:v>UE-27 + IS + NO</c:v>
                </c:pt>
                <c:pt idx="5">
                  <c:v>Malta</c:v>
                </c:pt>
                <c:pt idx="6">
                  <c:v>Luksemburg</c:v>
                </c:pt>
                <c:pt idx="7">
                  <c:v>Irlandia</c:v>
                </c:pt>
                <c:pt idx="8">
                  <c:v>Słowacja</c:v>
                </c:pt>
                <c:pt idx="9">
                  <c:v>Belgia</c:v>
                </c:pt>
                <c:pt idx="10">
                  <c:v>Austria</c:v>
                </c:pt>
                <c:pt idx="11">
                  <c:v>Cypr</c:v>
                </c:pt>
                <c:pt idx="12">
                  <c:v>Polska</c:v>
                </c:pt>
                <c:pt idx="13">
                  <c:v>Bułgaria</c:v>
                </c:pt>
                <c:pt idx="14">
                  <c:v>Niemcy</c:v>
                </c:pt>
                <c:pt idx="15">
                  <c:v>Finlandia</c:v>
                </c:pt>
                <c:pt idx="16">
                  <c:v>Hiszpania</c:v>
                </c:pt>
                <c:pt idx="17">
                  <c:v>Rumunia</c:v>
                </c:pt>
                <c:pt idx="18">
                  <c:v>Francja</c:v>
                </c:pt>
                <c:pt idx="19">
                  <c:v>Słowenia</c:v>
                </c:pt>
                <c:pt idx="20">
                  <c:v>Niderlandy</c:v>
                </c:pt>
                <c:pt idx="21">
                  <c:v>Włochy</c:v>
                </c:pt>
                <c:pt idx="22">
                  <c:v>Dania</c:v>
                </c:pt>
                <c:pt idx="23">
                  <c:v>Łotwa</c:v>
                </c:pt>
                <c:pt idx="24">
                  <c:v>Estonia</c:v>
                </c:pt>
                <c:pt idx="25">
                  <c:v>Szwecja</c:v>
                </c:pt>
                <c:pt idx="26">
                  <c:v>Węgry</c:v>
                </c:pt>
                <c:pt idx="27">
                  <c:v>Litwa</c:v>
                </c:pt>
                <c:pt idx="28">
                  <c:v>Chorwacja</c:v>
                </c:pt>
                <c:pt idx="29">
                  <c:v>Czechy</c:v>
                </c:pt>
                <c:pt idx="30">
                  <c:v>Grecja</c:v>
                </c:pt>
                <c:pt idx="31">
                  <c:v>Portugalia</c:v>
                </c:pt>
                <c:pt idx="33">
                  <c:v>UE-27</c:v>
                </c:pt>
              </c:strCache>
            </c:strRef>
          </c:cat>
          <c:val>
            <c:numRef>
              <c:f>'CAPR Wykres 5'!$K$5:$K$38</c:f>
              <c:numCache>
                <c:formatCode>0%</c:formatCode>
                <c:ptCount val="34"/>
                <c:pt idx="0">
                  <c:v>-8.1121857232130723E-2</c:v>
                </c:pt>
                <c:pt idx="1">
                  <c:v>-7.3972692183361666E-3</c:v>
                </c:pt>
                <c:pt idx="3">
                  <c:v>0.01</c:v>
                </c:pt>
                <c:pt idx="5">
                  <c:v>-0.69088476328717396</c:v>
                </c:pt>
                <c:pt idx="6">
                  <c:v>0.12705719046155317</c:v>
                </c:pt>
                <c:pt idx="7">
                  <c:v>-8.0911809989148487E-2</c:v>
                </c:pt>
                <c:pt idx="8">
                  <c:v>-0.12627150470033632</c:v>
                </c:pt>
                <c:pt idx="9">
                  <c:v>2.526515388076167E-2</c:v>
                </c:pt>
                <c:pt idx="10">
                  <c:v>-8.7845213776821862E-2</c:v>
                </c:pt>
                <c:pt idx="11">
                  <c:v>-6.721414082885746E-2</c:v>
                </c:pt>
                <c:pt idx="12">
                  <c:v>4.5989765194925591E-2</c:v>
                </c:pt>
                <c:pt idx="13">
                  <c:v>-6.0437015876231737E-2</c:v>
                </c:pt>
                <c:pt idx="14">
                  <c:v>-8.5555213941784336E-2</c:v>
                </c:pt>
                <c:pt idx="15">
                  <c:v>-5.2139417533365817E-2</c:v>
                </c:pt>
                <c:pt idx="16">
                  <c:v>0.12266460879896013</c:v>
                </c:pt>
                <c:pt idx="17">
                  <c:v>-4.4013711500926367E-2</c:v>
                </c:pt>
                <c:pt idx="18">
                  <c:v>-6.161226000174469E-2</c:v>
                </c:pt>
                <c:pt idx="19">
                  <c:v>0.11379496850308513</c:v>
                </c:pt>
                <c:pt idx="20">
                  <c:v>-4.699738038654977E-2</c:v>
                </c:pt>
                <c:pt idx="21">
                  <c:v>6.9372920574692687E-2</c:v>
                </c:pt>
                <c:pt idx="22">
                  <c:v>-3.3243704586978895E-2</c:v>
                </c:pt>
                <c:pt idx="23">
                  <c:v>4.039289929541523E-2</c:v>
                </c:pt>
                <c:pt idx="24">
                  <c:v>9.0929098447516399E-3</c:v>
                </c:pt>
                <c:pt idx="25">
                  <c:v>-6.8818728570736454E-3</c:v>
                </c:pt>
                <c:pt idx="26">
                  <c:v>0.14601619085597572</c:v>
                </c:pt>
                <c:pt idx="27">
                  <c:v>0.14241368721214476</c:v>
                </c:pt>
                <c:pt idx="28">
                  <c:v>0.12341365517381542</c:v>
                </c:pt>
                <c:pt idx="29">
                  <c:v>0.23097402117029542</c:v>
                </c:pt>
                <c:pt idx="30">
                  <c:v>0.19989790661350559</c:v>
                </c:pt>
                <c:pt idx="31">
                  <c:v>0.25269131309019233</c:v>
                </c:pt>
                <c:pt idx="33">
                  <c:v>9.9164608664727982E-3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FC-4774-B027-FEE003B4B999}"/>
            </c:ext>
          </c:extLst>
        </c:ser>
        <c:ser>
          <c:idx val="1"/>
          <c:order val="1"/>
          <c:tx>
            <c:strRef>
              <c:f>'CAPR Wykres 5'!$L$3:$L$4</c:f>
              <c:strCache>
                <c:ptCount val="2"/>
                <c:pt idx="0">
                  <c:v>2030</c:v>
                </c:pt>
                <c:pt idx="1">
                  <c:v>z istniejącymi środkami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'CAPR Wykres 5'!$J$5:$J$38</c:f>
              <c:strCache>
                <c:ptCount val="34"/>
                <c:pt idx="0">
                  <c:v>Norwegia</c:v>
                </c:pt>
                <c:pt idx="1">
                  <c:v>Islandia</c:v>
                </c:pt>
                <c:pt idx="3">
                  <c:v>UE-27 + IS + NO</c:v>
                </c:pt>
                <c:pt idx="5">
                  <c:v>Malta</c:v>
                </c:pt>
                <c:pt idx="6">
                  <c:v>Luksemburg</c:v>
                </c:pt>
                <c:pt idx="7">
                  <c:v>Irlandia</c:v>
                </c:pt>
                <c:pt idx="8">
                  <c:v>Słowacja</c:v>
                </c:pt>
                <c:pt idx="9">
                  <c:v>Belgia</c:v>
                </c:pt>
                <c:pt idx="10">
                  <c:v>Austria</c:v>
                </c:pt>
                <c:pt idx="11">
                  <c:v>Cypr</c:v>
                </c:pt>
                <c:pt idx="12">
                  <c:v>Polska</c:v>
                </c:pt>
                <c:pt idx="13">
                  <c:v>Bułgaria</c:v>
                </c:pt>
                <c:pt idx="14">
                  <c:v>Niemcy</c:v>
                </c:pt>
                <c:pt idx="15">
                  <c:v>Finlandia</c:v>
                </c:pt>
                <c:pt idx="16">
                  <c:v>Hiszpania</c:v>
                </c:pt>
                <c:pt idx="17">
                  <c:v>Rumunia</c:v>
                </c:pt>
                <c:pt idx="18">
                  <c:v>Francja</c:v>
                </c:pt>
                <c:pt idx="19">
                  <c:v>Słowenia</c:v>
                </c:pt>
                <c:pt idx="20">
                  <c:v>Niderlandy</c:v>
                </c:pt>
                <c:pt idx="21">
                  <c:v>Włochy</c:v>
                </c:pt>
                <c:pt idx="22">
                  <c:v>Dania</c:v>
                </c:pt>
                <c:pt idx="23">
                  <c:v>Łotwa</c:v>
                </c:pt>
                <c:pt idx="24">
                  <c:v>Estonia</c:v>
                </c:pt>
                <c:pt idx="25">
                  <c:v>Szwecja</c:v>
                </c:pt>
                <c:pt idx="26">
                  <c:v>Węgry</c:v>
                </c:pt>
                <c:pt idx="27">
                  <c:v>Litwa</c:v>
                </c:pt>
                <c:pt idx="28">
                  <c:v>Chorwacja</c:v>
                </c:pt>
                <c:pt idx="29">
                  <c:v>Czechy</c:v>
                </c:pt>
                <c:pt idx="30">
                  <c:v>Grecja</c:v>
                </c:pt>
                <c:pt idx="31">
                  <c:v>Portugalia</c:v>
                </c:pt>
                <c:pt idx="33">
                  <c:v>UE-27</c:v>
                </c:pt>
              </c:strCache>
            </c:strRef>
          </c:cat>
          <c:val>
            <c:numRef>
              <c:f>'CAPR Wykres 5'!$L$5:$L$38</c:f>
              <c:numCache>
                <c:formatCode>0%</c:formatCode>
                <c:ptCount val="34"/>
                <c:pt idx="0">
                  <c:v>-8.1121857232130723E-2</c:v>
                </c:pt>
                <c:pt idx="1">
                  <c:v>-7.3972692183361666E-3</c:v>
                </c:pt>
                <c:pt idx="3">
                  <c:v>-6.5702922507844597E-2</c:v>
                </c:pt>
                <c:pt idx="5">
                  <c:v>-0.69088476328717396</c:v>
                </c:pt>
                <c:pt idx="6">
                  <c:v>-0.25598775324733536</c:v>
                </c:pt>
                <c:pt idx="7">
                  <c:v>-0.24423299210356153</c:v>
                </c:pt>
                <c:pt idx="8">
                  <c:v>-0.21230370726790693</c:v>
                </c:pt>
                <c:pt idx="9">
                  <c:v>-0.2060398068081889</c:v>
                </c:pt>
                <c:pt idx="10">
                  <c:v>-0.19185633315017903</c:v>
                </c:pt>
                <c:pt idx="11">
                  <c:v>-0.1675237104209335</c:v>
                </c:pt>
                <c:pt idx="12">
                  <c:v>-0.12938352841317957</c:v>
                </c:pt>
                <c:pt idx="13">
                  <c:v>-0.10941393767894025</c:v>
                </c:pt>
                <c:pt idx="14">
                  <c:v>-8.5555213941784336E-2</c:v>
                </c:pt>
                <c:pt idx="15">
                  <c:v>-8.144346386410406E-2</c:v>
                </c:pt>
                <c:pt idx="16">
                  <c:v>-7.6751860538961325E-2</c:v>
                </c:pt>
                <c:pt idx="17">
                  <c:v>-6.6732294341320553E-2</c:v>
                </c:pt>
                <c:pt idx="18">
                  <c:v>-6.161226000174469E-2</c:v>
                </c:pt>
                <c:pt idx="19">
                  <c:v>-5.3366008378155416E-2</c:v>
                </c:pt>
                <c:pt idx="20">
                  <c:v>-5.0856101558742872E-2</c:v>
                </c:pt>
                <c:pt idx="21">
                  <c:v>-3.5158621876697493E-2</c:v>
                </c:pt>
                <c:pt idx="22">
                  <c:v>-3.3243704586978895E-2</c:v>
                </c:pt>
                <c:pt idx="23">
                  <c:v>-1.6768079183333007E-2</c:v>
                </c:pt>
                <c:pt idx="24">
                  <c:v>-9.5143848463870029E-3</c:v>
                </c:pt>
                <c:pt idx="25">
                  <c:v>-6.8818728570736454E-3</c:v>
                </c:pt>
                <c:pt idx="26">
                  <c:v>4.0781189309567756E-3</c:v>
                </c:pt>
                <c:pt idx="27">
                  <c:v>1.7157628484153475E-2</c:v>
                </c:pt>
                <c:pt idx="28">
                  <c:v>6.6087013906470427E-2</c:v>
                </c:pt>
                <c:pt idx="29">
                  <c:v>7.6705979078887099E-2</c:v>
                </c:pt>
                <c:pt idx="30">
                  <c:v>0.11396667882237443</c:v>
                </c:pt>
                <c:pt idx="31">
                  <c:v>0.21702494809818684</c:v>
                </c:pt>
                <c:pt idx="33">
                  <c:v>-6.5598176826290766E-2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FC-4774-B027-FEE003B4B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overlap val="-60"/>
        <c:axId val="493535016"/>
        <c:axId val="493535408"/>
      </c:barChart>
      <c:catAx>
        <c:axId val="493535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3535408"/>
        <c:crosses val="autoZero"/>
        <c:auto val="1"/>
        <c:lblAlgn val="ctr"/>
        <c:lblOffset val="100"/>
        <c:noMultiLvlLbl val="0"/>
      </c:catAx>
      <c:valAx>
        <c:axId val="493535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3535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Obraz 7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0800" y="50800"/>
          <a:ext cx="5731510" cy="64363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860d912c-537d-45a8-8150-6acaed830b3a">Draft</EC_Collab_Status>
    <_Status xmlns="http://schemas.microsoft.com/sharepoint/v3/fields">Not Started</_Status>
    <EC_Collab_Reference xmlns="860d912c-537d-45a8-8150-6acaed830b3a" xsi:nil="true"/>
    <EC_Collab_DocumentLanguage xmlns="860d912c-537d-45a8-8150-6acaed830b3a">EN</EC_Collab_Document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6847E1B8AD23243ABCBDF4B7200F2DF" ma:contentTypeVersion="0" ma:contentTypeDescription="Create a new document in this library." ma:contentTypeScope="" ma:versionID="9a4cabf7f0ec1910422d457b83992ea6">
  <xsd:schema xmlns:xsd="http://www.w3.org/2001/XMLSchema" xmlns:xs="http://www.w3.org/2001/XMLSchema" xmlns:p="http://schemas.microsoft.com/office/2006/metadata/properties" xmlns:ns2="http://schemas.microsoft.com/sharepoint/v3/fields" xmlns:ns3="860d912c-537d-45a8-8150-6acaed830b3a" targetNamespace="http://schemas.microsoft.com/office/2006/metadata/properties" ma:root="true" ma:fieldsID="4e9f4e14874d6c160478bed546b860fb" ns2:_="" ns3:_="">
    <xsd:import namespace="http://schemas.microsoft.com/sharepoint/v3/fields"/>
    <xsd:import namespace="860d912c-537d-45a8-8150-6acaed830b3a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d912c-537d-45a8-8150-6acaed830b3a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B975A4C-32C0-4E64-BEE1-0FDAD968193B}">
  <ds:schemaRefs>
    <ds:schemaRef ds:uri="http://schemas.microsoft.com/office/2006/metadata/properties"/>
    <ds:schemaRef ds:uri="http://schemas.microsoft.com/office/infopath/2007/PartnerControls"/>
    <ds:schemaRef ds:uri="860d912c-537d-45a8-8150-6acaed830b3a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07CC916-F9D6-4B8A-A5C8-A8AA00EEB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AE1CBA-F055-4692-803C-7E629D6DA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860d912c-537d-45a8-8150-6acaed830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9FF6FD-E0EE-4216-86C1-AFD37611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8419</Words>
  <Characters>50517</Characters>
  <Application>Microsoft Office Word</Application>
  <DocSecurity>0</DocSecurity>
  <Lines>420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 Ewelina</dc:creator>
  <cp:keywords/>
  <dc:description/>
  <cp:lastModifiedBy>MKiŚ</cp:lastModifiedBy>
  <cp:revision>2</cp:revision>
  <dcterms:created xsi:type="dcterms:W3CDTF">2021-11-23T06:19:00Z</dcterms:created>
  <dcterms:modified xsi:type="dcterms:W3CDTF">2021-11-23T06:19:00Z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Part">
    <vt:lpwstr>1</vt:lpwstr>
  </property>
  <property fmtid="{D5CDD505-2E9C-101B-9397-08002B2CF9AE}" pid="4" name="Total parts">
    <vt:lpwstr>1</vt:lpwstr>
  </property>
  <property fmtid="{D5CDD505-2E9C-101B-9397-08002B2CF9AE}" pid="5" name="DocStatus">
    <vt:lpwstr>Green</vt:lpwstr>
  </property>
  <property fmtid="{D5CDD505-2E9C-101B-9397-08002B2CF9AE}" pid="6" name="CPTemplateID">
    <vt:lpwstr>CP-008</vt:lpwstr>
  </property>
  <property fmtid="{D5CDD505-2E9C-101B-9397-08002B2CF9AE}" pid="7" name="Last edited using">
    <vt:lpwstr>LW 7.0.1, Build 20200226</vt:lpwstr>
  </property>
  <property fmtid="{D5CDD505-2E9C-101B-9397-08002B2CF9AE}" pid="8" name="Created using">
    <vt:lpwstr>LW 7.0.1, Build 20200226</vt:lpwstr>
  </property>
  <property fmtid="{D5CDD505-2E9C-101B-9397-08002B2CF9AE}" pid="9" name="_LW_INVALIDATED__LW_INVALIDATED__LW_INVALIDATED__LW_INVALIDATED__LW_INVALIDATED_ContentTypeId">
    <vt:lpwstr>0x010100258AA79CEB83498886A3A0868112325000D6847E1B8AD23243ABCBDF4B7200F2DF</vt:lpwstr>
  </property>
  <property fmtid="{D5CDD505-2E9C-101B-9397-08002B2CF9AE}" pid="10" name="_LW_INVALIDATED__LW_INVALIDATED__LW_INVALIDATED__LW_INVALIDATED_ContentTypeId">
    <vt:lpwstr>0x010100258AA79CEB83498886A3A0868112325000D6847E1B8AD23243ABCBDF4B7200F2DF</vt:lpwstr>
  </property>
</Properties>
</file>