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96C13" w14:textId="77777777" w:rsidR="007D682E" w:rsidRPr="00E20B66" w:rsidRDefault="007D682E" w:rsidP="005C7DD6">
      <w:pPr>
        <w:pStyle w:val="ODNONIKtreodnonika"/>
        <w:ind w:left="0" w:firstLine="0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0D3AF558" w14:textId="6807D3EF" w:rsidR="00C428E6" w:rsidRPr="00E20B66" w:rsidRDefault="004A5524" w:rsidP="005C7DD6">
      <w:pPr>
        <w:pStyle w:val="ODNONIKtreodnonika"/>
        <w:ind w:left="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UZASADNIENIE</w:t>
      </w:r>
    </w:p>
    <w:p w14:paraId="29E2D9A8" w14:textId="77777777" w:rsidR="00E15A52" w:rsidRPr="00E20B66" w:rsidRDefault="00E15A52" w:rsidP="00E20B66">
      <w:pPr>
        <w:pStyle w:val="ODNONIKtreodnonika"/>
        <w:jc w:val="center"/>
        <w:rPr>
          <w:rFonts w:cs="Times New Roman"/>
          <w:sz w:val="24"/>
          <w:szCs w:val="24"/>
        </w:rPr>
      </w:pPr>
    </w:p>
    <w:p w14:paraId="30C4F185" w14:textId="0FFD40A0" w:rsidR="0092608D" w:rsidRDefault="00E61D08" w:rsidP="002260D7">
      <w:pPr>
        <w:pStyle w:val="ODNONIKtreodnonika"/>
        <w:spacing w:before="120" w:after="120" w:line="276" w:lineRule="auto"/>
        <w:ind w:left="0" w:firstLine="0"/>
        <w:rPr>
          <w:sz w:val="24"/>
          <w:szCs w:val="24"/>
        </w:rPr>
      </w:pPr>
      <w:r w:rsidRPr="00B80930">
        <w:rPr>
          <w:rFonts w:cs="Times New Roman"/>
          <w:sz w:val="24"/>
          <w:szCs w:val="24"/>
        </w:rPr>
        <w:t>Zmiana</w:t>
      </w:r>
      <w:r w:rsidR="00F05450" w:rsidRPr="00B80930">
        <w:rPr>
          <w:rFonts w:cs="Times New Roman"/>
          <w:sz w:val="24"/>
          <w:szCs w:val="24"/>
        </w:rPr>
        <w:t xml:space="preserve"> </w:t>
      </w:r>
      <w:r w:rsidR="00952684" w:rsidRPr="00B80930">
        <w:rPr>
          <w:rFonts w:cs="Times New Roman"/>
          <w:sz w:val="24"/>
          <w:szCs w:val="24"/>
        </w:rPr>
        <w:t>r</w:t>
      </w:r>
      <w:r w:rsidR="00B80930" w:rsidRPr="00B80930">
        <w:rPr>
          <w:rFonts w:cs="Times New Roman"/>
          <w:sz w:val="24"/>
          <w:szCs w:val="24"/>
        </w:rPr>
        <w:t xml:space="preserve">ozporządzenia </w:t>
      </w:r>
      <w:r w:rsidR="007D7375" w:rsidRPr="007D7375">
        <w:rPr>
          <w:rFonts w:cs="Times New Roman"/>
          <w:sz w:val="24"/>
          <w:szCs w:val="24"/>
        </w:rPr>
        <w:t>Ministra Finansów, Funduszy i Polityk</w:t>
      </w:r>
      <w:r w:rsidR="007D7375">
        <w:rPr>
          <w:rFonts w:cs="Times New Roman"/>
          <w:sz w:val="24"/>
          <w:szCs w:val="24"/>
        </w:rPr>
        <w:t>i Regionalnej z dnia</w:t>
      </w:r>
      <w:r w:rsidR="007D7375" w:rsidRPr="007D7375">
        <w:rPr>
          <w:rFonts w:cs="Times New Roman"/>
          <w:sz w:val="24"/>
          <w:szCs w:val="24"/>
        </w:rPr>
        <w:t xml:space="preserve"> 28 czerwca 2021 r. w sprawie zwolnień od podatku akcyzowego (Dz. U. poz. 1178) </w:t>
      </w:r>
      <w:r w:rsidR="00B80930">
        <w:rPr>
          <w:sz w:val="24"/>
          <w:szCs w:val="24"/>
        </w:rPr>
        <w:t xml:space="preserve">ma charakter dostosowujący </w:t>
      </w:r>
      <w:r w:rsidR="00FE00D7">
        <w:rPr>
          <w:sz w:val="24"/>
          <w:szCs w:val="24"/>
        </w:rPr>
        <w:t xml:space="preserve">jego </w:t>
      </w:r>
      <w:r w:rsidR="00B80930">
        <w:rPr>
          <w:sz w:val="24"/>
          <w:szCs w:val="24"/>
        </w:rPr>
        <w:t xml:space="preserve">dotychczasowe </w:t>
      </w:r>
      <w:r w:rsidR="00D13799">
        <w:rPr>
          <w:sz w:val="24"/>
          <w:szCs w:val="24"/>
        </w:rPr>
        <w:t>brzmienie</w:t>
      </w:r>
      <w:r w:rsidR="00B80930">
        <w:rPr>
          <w:sz w:val="24"/>
          <w:szCs w:val="24"/>
        </w:rPr>
        <w:t xml:space="preserve"> do </w:t>
      </w:r>
      <w:r w:rsidR="0061689F">
        <w:rPr>
          <w:sz w:val="24"/>
          <w:szCs w:val="24"/>
        </w:rPr>
        <w:t>zmian wprowadzonych w ustawie z dnia 6</w:t>
      </w:r>
      <w:r w:rsidR="00FE00D7">
        <w:rPr>
          <w:sz w:val="24"/>
          <w:szCs w:val="24"/>
        </w:rPr>
        <w:t> </w:t>
      </w:r>
      <w:r w:rsidR="0061689F">
        <w:rPr>
          <w:sz w:val="24"/>
          <w:szCs w:val="24"/>
        </w:rPr>
        <w:t xml:space="preserve">grudnia 2008 r. </w:t>
      </w:r>
      <w:r w:rsidR="00A41322">
        <w:rPr>
          <w:sz w:val="24"/>
          <w:szCs w:val="24"/>
        </w:rPr>
        <w:t xml:space="preserve">o podatku akcyzowym </w:t>
      </w:r>
      <w:r w:rsidR="0061689F">
        <w:rPr>
          <w:sz w:val="24"/>
          <w:szCs w:val="24"/>
        </w:rPr>
        <w:t>(Dz. U. z 2020 r. poz. 722</w:t>
      </w:r>
      <w:r w:rsidR="00FE00D7">
        <w:rPr>
          <w:sz w:val="24"/>
          <w:szCs w:val="24"/>
        </w:rPr>
        <w:t>,</w:t>
      </w:r>
      <w:r w:rsidR="0061689F">
        <w:rPr>
          <w:sz w:val="24"/>
          <w:szCs w:val="24"/>
        </w:rPr>
        <w:t xml:space="preserve"> z późn. zm.) w związku z</w:t>
      </w:r>
      <w:r w:rsidR="00FE00D7">
        <w:rPr>
          <w:sz w:val="24"/>
          <w:szCs w:val="24"/>
        </w:rPr>
        <w:t> </w:t>
      </w:r>
      <w:r w:rsidR="0061689F">
        <w:rPr>
          <w:sz w:val="24"/>
          <w:szCs w:val="24"/>
        </w:rPr>
        <w:t>implementacją postanowień</w:t>
      </w:r>
      <w:r w:rsidR="0092608D">
        <w:rPr>
          <w:sz w:val="24"/>
          <w:szCs w:val="24"/>
        </w:rPr>
        <w:t>:</w:t>
      </w:r>
    </w:p>
    <w:p w14:paraId="28BFDA42" w14:textId="2EA96537" w:rsidR="0092608D" w:rsidRDefault="0061689F" w:rsidP="0092608D">
      <w:pPr>
        <w:pStyle w:val="ODNONIKtreodnonika"/>
        <w:numPr>
          <w:ilvl w:val="0"/>
          <w:numId w:val="2"/>
        </w:numPr>
        <w:spacing w:before="120" w:after="12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dyrektywy</w:t>
      </w:r>
      <w:r w:rsidRPr="0061689F">
        <w:rPr>
          <w:color w:val="000000"/>
          <w:sz w:val="24"/>
          <w:szCs w:val="24"/>
        </w:rPr>
        <w:t xml:space="preserve"> </w:t>
      </w:r>
      <w:r w:rsidR="00C80115">
        <w:rPr>
          <w:color w:val="000000"/>
          <w:sz w:val="24"/>
          <w:szCs w:val="24"/>
        </w:rPr>
        <w:t xml:space="preserve">Rady (UE) </w:t>
      </w:r>
      <w:r w:rsidR="00C80115" w:rsidRPr="00C80115">
        <w:rPr>
          <w:color w:val="000000"/>
          <w:sz w:val="24"/>
          <w:szCs w:val="24"/>
        </w:rPr>
        <w:t>2020/1151 z dnia 29 lipca 2020 r. zmieniającej dyrektywę 92/83/EWG w sprawie harmonizacji struktury podatków akcyzowych od alkoholu i</w:t>
      </w:r>
      <w:r w:rsidR="00FE00D7">
        <w:rPr>
          <w:color w:val="000000"/>
          <w:sz w:val="24"/>
          <w:szCs w:val="24"/>
        </w:rPr>
        <w:t> </w:t>
      </w:r>
      <w:r w:rsidR="00C80115" w:rsidRPr="00C80115">
        <w:rPr>
          <w:color w:val="000000"/>
          <w:sz w:val="24"/>
          <w:szCs w:val="24"/>
        </w:rPr>
        <w:t xml:space="preserve">napojów alkoholowych, tj. </w:t>
      </w:r>
      <w:r w:rsidR="00C80115">
        <w:rPr>
          <w:color w:val="000000"/>
          <w:sz w:val="24"/>
          <w:szCs w:val="24"/>
        </w:rPr>
        <w:t xml:space="preserve">tzw. „dyrektywy alkoholowej”, </w:t>
      </w:r>
      <w:r w:rsidR="00C80115" w:rsidRPr="00C80115">
        <w:rPr>
          <w:color w:val="000000"/>
          <w:sz w:val="24"/>
          <w:szCs w:val="24"/>
        </w:rPr>
        <w:t>która ma zostać wdrożona do 31 grudnia 2021 r.</w:t>
      </w:r>
      <w:r w:rsidR="00460C45">
        <w:rPr>
          <w:color w:val="000000"/>
          <w:sz w:val="24"/>
          <w:szCs w:val="24"/>
        </w:rPr>
        <w:t xml:space="preserve"> oraz</w:t>
      </w:r>
    </w:p>
    <w:p w14:paraId="2082E9E2" w14:textId="3F3BE07E" w:rsidR="009C6095" w:rsidRPr="00A84F5F" w:rsidRDefault="0092608D" w:rsidP="00965D3F">
      <w:pPr>
        <w:pStyle w:val="ODNONIKtreodnonika"/>
        <w:numPr>
          <w:ilvl w:val="0"/>
          <w:numId w:val="2"/>
        </w:numPr>
        <w:spacing w:before="120" w:after="12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dyrektywy </w:t>
      </w:r>
      <w:r w:rsidRPr="0092608D">
        <w:rPr>
          <w:color w:val="000000"/>
          <w:sz w:val="24"/>
          <w:szCs w:val="24"/>
        </w:rPr>
        <w:t>Rady (UE) 2020/262 z dnia 19 grudnia 2019 r. ustanawiającej ogólne zasady dotyczące podat</w:t>
      </w:r>
      <w:r w:rsidR="00A84F5F">
        <w:rPr>
          <w:color w:val="000000"/>
          <w:sz w:val="24"/>
          <w:szCs w:val="24"/>
        </w:rPr>
        <w:t>ku akcyzowego (przekształcenie)</w:t>
      </w:r>
      <w:r w:rsidR="00965D3F">
        <w:rPr>
          <w:color w:val="000000"/>
          <w:sz w:val="24"/>
          <w:szCs w:val="24"/>
        </w:rPr>
        <w:t>,</w:t>
      </w:r>
      <w:r w:rsidR="00965D3F" w:rsidRPr="00965D3F">
        <w:t xml:space="preserve"> </w:t>
      </w:r>
      <w:r w:rsidR="00965D3F" w:rsidRPr="00965D3F">
        <w:rPr>
          <w:color w:val="000000"/>
          <w:sz w:val="24"/>
          <w:szCs w:val="24"/>
        </w:rPr>
        <w:t xml:space="preserve">tj. tzw. „dyrektywy horyzontalnej” –  która ma zostać </w:t>
      </w:r>
      <w:r w:rsidR="00965D3F">
        <w:rPr>
          <w:color w:val="000000"/>
          <w:sz w:val="24"/>
          <w:szCs w:val="24"/>
        </w:rPr>
        <w:t xml:space="preserve">wdrożona do 31 grudnia 2021 r. </w:t>
      </w:r>
    </w:p>
    <w:p w14:paraId="70D80465" w14:textId="2E41E9CC" w:rsidR="00E1710E" w:rsidRPr="00E1710E" w:rsidRDefault="00E1710E" w:rsidP="00ED3256">
      <w:pPr>
        <w:spacing w:before="120" w:after="120" w:line="276" w:lineRule="auto"/>
        <w:jc w:val="both"/>
        <w:rPr>
          <w:rFonts w:cs="Times New Roman"/>
          <w:b/>
          <w:szCs w:val="24"/>
          <w:u w:val="single"/>
        </w:rPr>
      </w:pPr>
      <w:r w:rsidRPr="00E1710E">
        <w:rPr>
          <w:b/>
          <w:szCs w:val="24"/>
          <w:u w:val="single"/>
        </w:rPr>
        <w:t>Zmiana w zakresie implementacji dyrektywy</w:t>
      </w:r>
      <w:r w:rsidRPr="00E1710E">
        <w:rPr>
          <w:b/>
          <w:color w:val="000000"/>
          <w:szCs w:val="24"/>
          <w:u w:val="single"/>
        </w:rPr>
        <w:t xml:space="preserve"> Rady (UE) 2020/1151 z</w:t>
      </w:r>
      <w:r>
        <w:rPr>
          <w:b/>
          <w:color w:val="000000"/>
          <w:szCs w:val="24"/>
          <w:u w:val="single"/>
        </w:rPr>
        <w:t>mieniającej dyrektywę 92/83/EWG:</w:t>
      </w:r>
    </w:p>
    <w:p w14:paraId="0D9ED5E9" w14:textId="77FE2B18" w:rsidR="00ED3256" w:rsidRPr="00ED3256" w:rsidRDefault="00A41322" w:rsidP="00ED3256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a</w:t>
      </w:r>
      <w:r w:rsidR="00ED3256" w:rsidRPr="00ED3256">
        <w:rPr>
          <w:rFonts w:cs="Times New Roman"/>
          <w:szCs w:val="24"/>
        </w:rPr>
        <w:t>rt. 23a dyrektywy 92/83</w:t>
      </w:r>
      <w:r w:rsidR="0080393D">
        <w:rPr>
          <w:rFonts w:cs="Times New Roman"/>
          <w:szCs w:val="24"/>
        </w:rPr>
        <w:t>/EWG</w:t>
      </w:r>
      <w:r w:rsidR="00ED3256" w:rsidRPr="00ED3256">
        <w:rPr>
          <w:rFonts w:cs="Times New Roman"/>
          <w:szCs w:val="24"/>
        </w:rPr>
        <w:t>, państwa członkowskie, na wniosek, wydają niezależnym, małym producentom mającym siedzibę na ich terytorium roczny certyfikat potwierdzający ich łączną roczną produkcję, i potwierdzający, że dany niezależny, mały producent spełnia określone kryteria ustanowione na mocy dyrektywy, któr</w:t>
      </w:r>
      <w:r w:rsidR="00FE00D7">
        <w:rPr>
          <w:rFonts w:cs="Times New Roman"/>
          <w:szCs w:val="24"/>
        </w:rPr>
        <w:t>y</w:t>
      </w:r>
      <w:r w:rsidR="00ED3256" w:rsidRPr="00ED3256">
        <w:rPr>
          <w:rFonts w:cs="Times New Roman"/>
          <w:szCs w:val="24"/>
        </w:rPr>
        <w:t xml:space="preserve"> umożliwia m</w:t>
      </w:r>
      <w:r w:rsidR="00FE00D7">
        <w:rPr>
          <w:rFonts w:cs="Times New Roman"/>
          <w:szCs w:val="24"/>
        </w:rPr>
        <w:t>u</w:t>
      </w:r>
      <w:r w:rsidR="00ED3256" w:rsidRPr="00ED3256">
        <w:rPr>
          <w:rFonts w:cs="Times New Roman"/>
          <w:szCs w:val="24"/>
        </w:rPr>
        <w:t xml:space="preserve"> korzystanie z obniżonych stawek podatku. Jednocześnie państwa członkowskie mają uznawać certyfikat niezależnych, małych producentów, wydany przez inne państwo członkowskie. Natomiast Komisja przyjmie akt wykonawczy ustanawiający wzór takiego certyfikatu.</w:t>
      </w:r>
    </w:p>
    <w:p w14:paraId="2180F335" w14:textId="695A2B1D" w:rsidR="00ED3256" w:rsidRPr="00ED3256" w:rsidRDefault="00A41322" w:rsidP="00ED3256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związku z powyższym w projekcie zmiany ustawy o podatku akcyzowym dodawany jest art. 97a, gdzie zostało prz</w:t>
      </w:r>
      <w:r w:rsidR="00C72E0B">
        <w:rPr>
          <w:rFonts w:cs="Times New Roman"/>
          <w:szCs w:val="24"/>
        </w:rPr>
        <w:t>ewidziane</w:t>
      </w:r>
      <w:r w:rsidR="00ED3256" w:rsidRPr="00ED3256">
        <w:rPr>
          <w:rFonts w:cs="Times New Roman"/>
          <w:szCs w:val="24"/>
        </w:rPr>
        <w:t xml:space="preserve">, że warunkiem zastosowania </w:t>
      </w:r>
      <w:r w:rsidR="00C72E0B" w:rsidRPr="00ED3256">
        <w:rPr>
          <w:rFonts w:cs="Times New Roman"/>
          <w:szCs w:val="24"/>
        </w:rPr>
        <w:t xml:space="preserve">obniżonych (preferencyjnych) stawek </w:t>
      </w:r>
      <w:r w:rsidR="00C72E0B">
        <w:rPr>
          <w:rFonts w:cs="Times New Roman"/>
          <w:szCs w:val="24"/>
        </w:rPr>
        <w:t xml:space="preserve">akcyzy </w:t>
      </w:r>
      <w:r w:rsidR="00ED3256" w:rsidRPr="00ED3256">
        <w:rPr>
          <w:rFonts w:cs="Times New Roman"/>
          <w:szCs w:val="24"/>
        </w:rPr>
        <w:t xml:space="preserve">do napojów alkoholowych </w:t>
      </w:r>
      <w:r w:rsidR="00C72E0B">
        <w:rPr>
          <w:rFonts w:cs="Times New Roman"/>
          <w:szCs w:val="24"/>
        </w:rPr>
        <w:t xml:space="preserve">(wino, </w:t>
      </w:r>
      <w:r w:rsidR="00C72E0B" w:rsidRPr="00ED3256">
        <w:rPr>
          <w:rFonts w:cs="Times New Roman"/>
          <w:szCs w:val="24"/>
        </w:rPr>
        <w:t xml:space="preserve">napoje fermentowane </w:t>
      </w:r>
      <w:r w:rsidR="00C72E0B">
        <w:rPr>
          <w:rFonts w:cs="Times New Roman"/>
          <w:szCs w:val="24"/>
        </w:rPr>
        <w:t>oraz wyroby pośrednie</w:t>
      </w:r>
      <w:r w:rsidR="00C72E0B" w:rsidRPr="00ED3256">
        <w:rPr>
          <w:rFonts w:cs="Times New Roman"/>
          <w:szCs w:val="24"/>
        </w:rPr>
        <w:t xml:space="preserve">) </w:t>
      </w:r>
      <w:r w:rsidR="00ED3256" w:rsidRPr="00ED3256">
        <w:rPr>
          <w:rFonts w:cs="Times New Roman"/>
          <w:szCs w:val="24"/>
        </w:rPr>
        <w:t xml:space="preserve">jest posiadanie przez producenta tych napojów alkoholowych certyfikatu małego producenta, którego wzór </w:t>
      </w:r>
      <w:r w:rsidR="00FE00D7" w:rsidRPr="00ED3256">
        <w:rPr>
          <w:rFonts w:cs="Times New Roman"/>
          <w:szCs w:val="24"/>
        </w:rPr>
        <w:t xml:space="preserve">będzie </w:t>
      </w:r>
      <w:r w:rsidR="00ED3256" w:rsidRPr="00ED3256">
        <w:rPr>
          <w:rFonts w:cs="Times New Roman"/>
          <w:szCs w:val="24"/>
        </w:rPr>
        <w:t xml:space="preserve">określać akt wykonawczy Komisji Europejskiej. </w:t>
      </w:r>
    </w:p>
    <w:p w14:paraId="6AFF0E7E" w14:textId="669477A4" w:rsidR="00ED3256" w:rsidRPr="00ED3256" w:rsidRDefault="00C72E0B" w:rsidP="00ED3256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Analogiczne przepisy (dot. certyfikatów), oprócz tych przewidzianych dla wina, napojów fermentowanych</w:t>
      </w:r>
      <w:r w:rsidRPr="00ED32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oraz wyrobów pośrednich, muszą zostać wprowadzone również dla piwa. Z</w:t>
      </w:r>
      <w:r w:rsidR="00FE00D7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uwagi na to, że już w chwili obecnej mali producenci piwa korzystają z obniżonej stawki akcyzy na podstawie przepisów rozporządzenia </w:t>
      </w:r>
      <w:r w:rsidRPr="007D7375">
        <w:rPr>
          <w:rFonts w:cs="Times New Roman"/>
          <w:szCs w:val="24"/>
        </w:rPr>
        <w:t>w sprawie zwolnień od podatku akcyzowego</w:t>
      </w:r>
      <w:r>
        <w:rPr>
          <w:rFonts w:cs="Times New Roman"/>
          <w:szCs w:val="24"/>
        </w:rPr>
        <w:t xml:space="preserve">, przepisy dotyczące certyfikowania takiej produkcji zostaną wprowadzone </w:t>
      </w:r>
      <w:r w:rsidR="00E12909">
        <w:rPr>
          <w:rFonts w:cs="Times New Roman"/>
          <w:szCs w:val="24"/>
        </w:rPr>
        <w:t>tym</w:t>
      </w:r>
      <w:r>
        <w:rPr>
          <w:rFonts w:cs="Times New Roman"/>
          <w:szCs w:val="24"/>
        </w:rPr>
        <w:t xml:space="preserve"> rozporządzeni</w:t>
      </w:r>
      <w:r w:rsidR="00E12909">
        <w:rPr>
          <w:rFonts w:cs="Times New Roman"/>
          <w:szCs w:val="24"/>
        </w:rPr>
        <w:t>em</w:t>
      </w:r>
      <w:r>
        <w:rPr>
          <w:rFonts w:cs="Times New Roman"/>
          <w:szCs w:val="24"/>
        </w:rPr>
        <w:t>.</w:t>
      </w:r>
    </w:p>
    <w:p w14:paraId="0392F89A" w14:textId="7757DB4D" w:rsidR="00EF5864" w:rsidRDefault="00731002" w:rsidP="00ED3256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§ 12 w ust. 1 i 5 </w:t>
      </w:r>
      <w:r w:rsidR="00E12909">
        <w:rPr>
          <w:rFonts w:cs="Times New Roman"/>
          <w:szCs w:val="24"/>
        </w:rPr>
        <w:t>uregulowano</w:t>
      </w:r>
      <w:r w:rsidR="007850C4">
        <w:rPr>
          <w:rFonts w:cs="Times New Roman"/>
          <w:szCs w:val="24"/>
        </w:rPr>
        <w:t xml:space="preserve">, że </w:t>
      </w:r>
      <w:r w:rsidR="00E12909">
        <w:rPr>
          <w:rFonts w:cs="Times New Roman"/>
          <w:szCs w:val="24"/>
        </w:rPr>
        <w:t xml:space="preserve">do określenia </w:t>
      </w:r>
      <w:r w:rsidR="007850C4">
        <w:rPr>
          <w:rFonts w:cs="Times New Roman"/>
          <w:szCs w:val="24"/>
        </w:rPr>
        <w:t>limit</w:t>
      </w:r>
      <w:r w:rsidR="00E12909">
        <w:rPr>
          <w:rFonts w:cs="Times New Roman"/>
          <w:szCs w:val="24"/>
        </w:rPr>
        <w:t>u</w:t>
      </w:r>
      <w:r w:rsidR="007850C4">
        <w:rPr>
          <w:rFonts w:cs="Times New Roman"/>
          <w:szCs w:val="24"/>
        </w:rPr>
        <w:t xml:space="preserve"> wielkości produkcji </w:t>
      </w:r>
      <w:r w:rsidR="00E12909">
        <w:rPr>
          <w:rFonts w:cs="Times New Roman"/>
          <w:szCs w:val="24"/>
        </w:rPr>
        <w:t>bierze się pod uwagę produkcję z</w:t>
      </w:r>
      <w:r w:rsidR="007850C4">
        <w:rPr>
          <w:rFonts w:cs="Times New Roman"/>
          <w:szCs w:val="24"/>
        </w:rPr>
        <w:t xml:space="preserve"> po</w:t>
      </w:r>
      <w:r w:rsidR="00596655">
        <w:rPr>
          <w:rFonts w:cs="Times New Roman"/>
          <w:szCs w:val="24"/>
        </w:rPr>
        <w:t>p</w:t>
      </w:r>
      <w:r w:rsidR="007850C4">
        <w:rPr>
          <w:rFonts w:cs="Times New Roman"/>
          <w:szCs w:val="24"/>
        </w:rPr>
        <w:t>rzedniego roku kalendarzowego.</w:t>
      </w:r>
      <w:r w:rsidR="00CB7CF7">
        <w:rPr>
          <w:rFonts w:cs="Times New Roman"/>
          <w:szCs w:val="24"/>
        </w:rPr>
        <w:t xml:space="preserve"> </w:t>
      </w:r>
      <w:r w:rsidR="00EF5864">
        <w:rPr>
          <w:rFonts w:cs="Times New Roman"/>
          <w:szCs w:val="24"/>
        </w:rPr>
        <w:t>Doda</w:t>
      </w:r>
      <w:r w:rsidR="00686572">
        <w:rPr>
          <w:rFonts w:cs="Times New Roman"/>
          <w:szCs w:val="24"/>
        </w:rPr>
        <w:t xml:space="preserve">tkowo, </w:t>
      </w:r>
      <w:r w:rsidR="00E12909">
        <w:rPr>
          <w:rFonts w:cs="Times New Roman"/>
          <w:szCs w:val="24"/>
        </w:rPr>
        <w:t xml:space="preserve">uchylony </w:t>
      </w:r>
      <w:r w:rsidR="00686572">
        <w:rPr>
          <w:rFonts w:cs="Times New Roman"/>
          <w:szCs w:val="24"/>
        </w:rPr>
        <w:t>został ust. 8</w:t>
      </w:r>
      <w:r w:rsidR="00EF5864">
        <w:rPr>
          <w:rFonts w:cs="Times New Roman"/>
          <w:szCs w:val="24"/>
        </w:rPr>
        <w:t>, który</w:t>
      </w:r>
      <w:r w:rsidR="00E12909">
        <w:rPr>
          <w:rFonts w:cs="Times New Roman"/>
          <w:szCs w:val="24"/>
        </w:rPr>
        <w:t xml:space="preserve"> przewidywał dotychczas</w:t>
      </w:r>
      <w:r w:rsidR="00EF5864">
        <w:rPr>
          <w:rFonts w:cs="Times New Roman"/>
          <w:szCs w:val="24"/>
        </w:rPr>
        <w:t xml:space="preserve">, </w:t>
      </w:r>
      <w:r w:rsidR="00E12909">
        <w:rPr>
          <w:rFonts w:cs="Times New Roman"/>
          <w:szCs w:val="24"/>
        </w:rPr>
        <w:t>w sytuacji</w:t>
      </w:r>
      <w:r w:rsidR="00EF5864">
        <w:rPr>
          <w:rFonts w:cs="Times New Roman"/>
          <w:szCs w:val="24"/>
        </w:rPr>
        <w:t xml:space="preserve"> </w:t>
      </w:r>
      <w:r w:rsidR="00E12909">
        <w:rPr>
          <w:rFonts w:cs="Times New Roman"/>
          <w:szCs w:val="24"/>
        </w:rPr>
        <w:t xml:space="preserve">przekroczenia limitu </w:t>
      </w:r>
      <w:r w:rsidR="00EF5864">
        <w:rPr>
          <w:rFonts w:cs="Times New Roman"/>
          <w:szCs w:val="24"/>
        </w:rPr>
        <w:t>roczn</w:t>
      </w:r>
      <w:r w:rsidR="00E12909">
        <w:rPr>
          <w:rFonts w:cs="Times New Roman"/>
          <w:szCs w:val="24"/>
        </w:rPr>
        <w:t>ej</w:t>
      </w:r>
      <w:r w:rsidR="00EF5864">
        <w:rPr>
          <w:rFonts w:cs="Times New Roman"/>
          <w:szCs w:val="24"/>
        </w:rPr>
        <w:t xml:space="preserve"> </w:t>
      </w:r>
      <w:r w:rsidR="00E12909">
        <w:rPr>
          <w:rFonts w:cs="Times New Roman"/>
          <w:szCs w:val="24"/>
        </w:rPr>
        <w:t xml:space="preserve">produkcji </w:t>
      </w:r>
      <w:r w:rsidR="00EF5864">
        <w:rPr>
          <w:rFonts w:cs="Times New Roman"/>
          <w:szCs w:val="24"/>
        </w:rPr>
        <w:t>(a więc</w:t>
      </w:r>
      <w:r w:rsidR="00E12909">
        <w:rPr>
          <w:rFonts w:cs="Times New Roman"/>
          <w:szCs w:val="24"/>
        </w:rPr>
        <w:t xml:space="preserve"> gdy</w:t>
      </w:r>
      <w:r w:rsidR="00EF5864">
        <w:rPr>
          <w:rFonts w:cs="Times New Roman"/>
          <w:szCs w:val="24"/>
        </w:rPr>
        <w:t xml:space="preserve"> nie zosta</w:t>
      </w:r>
      <w:r w:rsidR="00E12909">
        <w:rPr>
          <w:rFonts w:cs="Times New Roman"/>
          <w:szCs w:val="24"/>
        </w:rPr>
        <w:t>ł</w:t>
      </w:r>
      <w:r w:rsidR="00EF5864">
        <w:rPr>
          <w:rFonts w:cs="Times New Roman"/>
          <w:szCs w:val="24"/>
        </w:rPr>
        <w:t xml:space="preserve"> spełniony warunek co do ilości produkcji rocznej), </w:t>
      </w:r>
      <w:r w:rsidR="00E12909">
        <w:rPr>
          <w:rFonts w:cs="Times New Roman"/>
          <w:szCs w:val="24"/>
        </w:rPr>
        <w:t xml:space="preserve">że </w:t>
      </w:r>
      <w:r w:rsidR="00EF5864">
        <w:rPr>
          <w:rFonts w:cs="Times New Roman"/>
          <w:szCs w:val="24"/>
        </w:rPr>
        <w:t xml:space="preserve">do całości wyprodukowanego piwa w danym roku </w:t>
      </w:r>
      <w:r w:rsidR="00E12909">
        <w:rPr>
          <w:rFonts w:cs="Times New Roman"/>
          <w:szCs w:val="24"/>
        </w:rPr>
        <w:t xml:space="preserve">była </w:t>
      </w:r>
      <w:r w:rsidR="00EF5864">
        <w:rPr>
          <w:rFonts w:cs="Times New Roman"/>
          <w:szCs w:val="24"/>
        </w:rPr>
        <w:t>stos</w:t>
      </w:r>
      <w:r w:rsidR="00E12909">
        <w:rPr>
          <w:rFonts w:cs="Times New Roman"/>
          <w:szCs w:val="24"/>
        </w:rPr>
        <w:t>owana</w:t>
      </w:r>
      <w:r w:rsidR="00EF5864">
        <w:rPr>
          <w:rFonts w:cs="Times New Roman"/>
          <w:szCs w:val="24"/>
        </w:rPr>
        <w:t xml:space="preserve"> stawk</w:t>
      </w:r>
      <w:r w:rsidR="00E12909">
        <w:rPr>
          <w:rFonts w:cs="Times New Roman"/>
          <w:szCs w:val="24"/>
        </w:rPr>
        <w:t>a</w:t>
      </w:r>
      <w:r w:rsidR="00EF5864">
        <w:rPr>
          <w:rFonts w:cs="Times New Roman"/>
          <w:szCs w:val="24"/>
        </w:rPr>
        <w:t xml:space="preserve"> standardow</w:t>
      </w:r>
      <w:r w:rsidR="00E12909">
        <w:rPr>
          <w:rFonts w:cs="Times New Roman"/>
          <w:szCs w:val="24"/>
        </w:rPr>
        <w:t>a</w:t>
      </w:r>
      <w:r w:rsidR="00EF5864">
        <w:rPr>
          <w:rFonts w:cs="Times New Roman"/>
          <w:szCs w:val="24"/>
        </w:rPr>
        <w:t xml:space="preserve">. Zgodnie z przepisami ustawy, do </w:t>
      </w:r>
      <w:r w:rsidR="00EF5864">
        <w:rPr>
          <w:rFonts w:cs="Times New Roman"/>
          <w:szCs w:val="24"/>
        </w:rPr>
        <w:lastRenderedPageBreak/>
        <w:t xml:space="preserve">której w tym zakresie </w:t>
      </w:r>
      <w:r w:rsidR="00E12909">
        <w:rPr>
          <w:rFonts w:cs="Times New Roman"/>
          <w:szCs w:val="24"/>
        </w:rPr>
        <w:t xml:space="preserve">będą </w:t>
      </w:r>
      <w:r w:rsidR="00EF5864">
        <w:rPr>
          <w:rFonts w:cs="Times New Roman"/>
          <w:szCs w:val="24"/>
        </w:rPr>
        <w:t>odsyła</w:t>
      </w:r>
      <w:r w:rsidR="00E12909">
        <w:rPr>
          <w:rFonts w:cs="Times New Roman"/>
          <w:szCs w:val="24"/>
        </w:rPr>
        <w:t>ć</w:t>
      </w:r>
      <w:r w:rsidR="00EF5864">
        <w:rPr>
          <w:rFonts w:cs="Times New Roman"/>
          <w:szCs w:val="24"/>
        </w:rPr>
        <w:t xml:space="preserve"> przepisy rozporządzenia, </w:t>
      </w:r>
      <w:r w:rsidR="00EF5864" w:rsidRPr="00BC030D">
        <w:rPr>
          <w:rFonts w:cs="Times New Roman"/>
          <w:szCs w:val="24"/>
        </w:rPr>
        <w:t xml:space="preserve">w przypadku, gdy w danym roku kalendarzowym podmiot, któremu </w:t>
      </w:r>
      <w:r w:rsidR="00E12909">
        <w:rPr>
          <w:rFonts w:cs="Times New Roman"/>
          <w:szCs w:val="24"/>
        </w:rPr>
        <w:t xml:space="preserve">zostanie </w:t>
      </w:r>
      <w:r w:rsidR="00EF5864" w:rsidRPr="00BC030D">
        <w:rPr>
          <w:rFonts w:cs="Times New Roman"/>
          <w:szCs w:val="24"/>
        </w:rPr>
        <w:t>wydan</w:t>
      </w:r>
      <w:r w:rsidR="00E12909">
        <w:rPr>
          <w:rFonts w:cs="Times New Roman"/>
          <w:szCs w:val="24"/>
        </w:rPr>
        <w:t>y</w:t>
      </w:r>
      <w:r w:rsidR="00EF5864" w:rsidRPr="00BC030D">
        <w:rPr>
          <w:rFonts w:cs="Times New Roman"/>
          <w:szCs w:val="24"/>
        </w:rPr>
        <w:t xml:space="preserve"> certyfikat przesta</w:t>
      </w:r>
      <w:r w:rsidR="00E12909">
        <w:rPr>
          <w:rFonts w:cs="Times New Roman"/>
          <w:szCs w:val="24"/>
        </w:rPr>
        <w:t>nie</w:t>
      </w:r>
      <w:r w:rsidR="00EF5864" w:rsidRPr="00BC030D">
        <w:rPr>
          <w:rFonts w:cs="Times New Roman"/>
          <w:szCs w:val="24"/>
        </w:rPr>
        <w:t xml:space="preserve"> spełniać warunki dla wydania mu certyfikatu, </w:t>
      </w:r>
      <w:r w:rsidR="00386EFD">
        <w:rPr>
          <w:rFonts w:cs="Times New Roman"/>
          <w:szCs w:val="24"/>
        </w:rPr>
        <w:t xml:space="preserve">będzie mógł zastosować </w:t>
      </w:r>
      <w:r w:rsidR="00EF5864" w:rsidRPr="00BC030D">
        <w:rPr>
          <w:rFonts w:cs="Times New Roman"/>
          <w:szCs w:val="24"/>
        </w:rPr>
        <w:t xml:space="preserve">obniżoną stawkę akcyzy, tylko do 200 tyś. hl, a do pozostałej ilości wyprodukowanego piwa </w:t>
      </w:r>
      <w:r w:rsidR="000C41B2">
        <w:rPr>
          <w:rFonts w:cs="Times New Roman"/>
          <w:szCs w:val="24"/>
        </w:rPr>
        <w:t xml:space="preserve">będzie </w:t>
      </w:r>
      <w:r w:rsidR="00386EFD">
        <w:rPr>
          <w:rFonts w:cs="Times New Roman"/>
          <w:szCs w:val="24"/>
        </w:rPr>
        <w:t>musiał</w:t>
      </w:r>
      <w:r w:rsidR="00EF5864" w:rsidRPr="00BC030D">
        <w:rPr>
          <w:rFonts w:cs="Times New Roman"/>
          <w:szCs w:val="24"/>
        </w:rPr>
        <w:t xml:space="preserve"> zastosować stawkę standardową, obowiązującą dla piwa</w:t>
      </w:r>
      <w:r w:rsidR="000C41B2">
        <w:rPr>
          <w:rFonts w:cs="Times New Roman"/>
          <w:szCs w:val="24"/>
        </w:rPr>
        <w:t>.</w:t>
      </w:r>
    </w:p>
    <w:p w14:paraId="099E20EE" w14:textId="37E7122B" w:rsidR="00686572" w:rsidRDefault="00731002" w:rsidP="00ED3256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Ponadto </w:t>
      </w:r>
      <w:r w:rsidR="00ED20DA">
        <w:rPr>
          <w:rFonts w:cs="Times New Roman"/>
          <w:szCs w:val="24"/>
        </w:rPr>
        <w:t>w</w:t>
      </w:r>
      <w:r w:rsidR="00A21CA7">
        <w:rPr>
          <w:rFonts w:cs="Times New Roman"/>
          <w:szCs w:val="24"/>
        </w:rPr>
        <w:t xml:space="preserve"> § 12 zostaj</w:t>
      </w:r>
      <w:r w:rsidR="00012646">
        <w:rPr>
          <w:rFonts w:cs="Times New Roman"/>
          <w:szCs w:val="24"/>
        </w:rPr>
        <w:t>e</w:t>
      </w:r>
      <w:r w:rsidR="00A21CA7">
        <w:rPr>
          <w:rFonts w:cs="Times New Roman"/>
          <w:szCs w:val="24"/>
        </w:rPr>
        <w:t xml:space="preserve"> dodan</w:t>
      </w:r>
      <w:r w:rsidR="00012646">
        <w:rPr>
          <w:rFonts w:cs="Times New Roman"/>
          <w:szCs w:val="24"/>
        </w:rPr>
        <w:t>y</w:t>
      </w:r>
      <w:r w:rsidR="00A21CA7">
        <w:rPr>
          <w:rFonts w:cs="Times New Roman"/>
          <w:szCs w:val="24"/>
        </w:rPr>
        <w:t xml:space="preserve"> ust. 9</w:t>
      </w:r>
      <w:r w:rsidR="00ED20DA">
        <w:rPr>
          <w:rFonts w:cs="Times New Roman"/>
          <w:szCs w:val="24"/>
        </w:rPr>
        <w:t xml:space="preserve">, gdzie </w:t>
      </w:r>
      <w:r w:rsidR="003D2D99">
        <w:rPr>
          <w:rFonts w:cs="Times New Roman"/>
          <w:szCs w:val="24"/>
        </w:rPr>
        <w:t xml:space="preserve">określono, że </w:t>
      </w:r>
      <w:r w:rsidR="0044608A">
        <w:rPr>
          <w:rFonts w:cs="Times New Roman"/>
          <w:szCs w:val="24"/>
        </w:rPr>
        <w:t>w</w:t>
      </w:r>
      <w:r w:rsidR="005B75B9" w:rsidRPr="00ED3256">
        <w:rPr>
          <w:rFonts w:cs="Times New Roman"/>
          <w:szCs w:val="24"/>
        </w:rPr>
        <w:t xml:space="preserve">arunkiem zastosowania </w:t>
      </w:r>
      <w:r w:rsidR="005B75B9">
        <w:rPr>
          <w:rFonts w:cs="Times New Roman"/>
          <w:szCs w:val="24"/>
        </w:rPr>
        <w:t>obniżonej</w:t>
      </w:r>
      <w:r w:rsidR="005B75B9" w:rsidRPr="00ED3256">
        <w:rPr>
          <w:rFonts w:cs="Times New Roman"/>
          <w:szCs w:val="24"/>
        </w:rPr>
        <w:t xml:space="preserve"> </w:t>
      </w:r>
      <w:r w:rsidR="005B75B9">
        <w:rPr>
          <w:rFonts w:cs="Times New Roman"/>
          <w:szCs w:val="24"/>
        </w:rPr>
        <w:t>staw</w:t>
      </w:r>
      <w:r w:rsidR="005B75B9" w:rsidRPr="00ED3256">
        <w:rPr>
          <w:rFonts w:cs="Times New Roman"/>
          <w:szCs w:val="24"/>
        </w:rPr>
        <w:t>k</w:t>
      </w:r>
      <w:r w:rsidR="005B75B9">
        <w:rPr>
          <w:rFonts w:cs="Times New Roman"/>
          <w:szCs w:val="24"/>
        </w:rPr>
        <w:t>i</w:t>
      </w:r>
      <w:r w:rsidR="005B75B9" w:rsidRPr="00ED3256">
        <w:rPr>
          <w:rFonts w:cs="Times New Roman"/>
          <w:szCs w:val="24"/>
        </w:rPr>
        <w:t xml:space="preserve"> </w:t>
      </w:r>
      <w:r w:rsidR="005B75B9">
        <w:rPr>
          <w:rFonts w:cs="Times New Roman"/>
          <w:szCs w:val="24"/>
        </w:rPr>
        <w:t xml:space="preserve">akcyzy dla piwa </w:t>
      </w:r>
      <w:r w:rsidR="005B75B9" w:rsidRPr="00ED3256">
        <w:rPr>
          <w:rFonts w:cs="Times New Roman"/>
          <w:szCs w:val="24"/>
        </w:rPr>
        <w:t>jest posiadanie przez producenta certyfikatu małego producenta, którego wzór określać będzie akt wykonawczy Komisji Europejskiej</w:t>
      </w:r>
      <w:r w:rsidR="00C170AB">
        <w:rPr>
          <w:rFonts w:cs="Times New Roman"/>
          <w:szCs w:val="24"/>
        </w:rPr>
        <w:t xml:space="preserve"> oraz </w:t>
      </w:r>
      <w:r w:rsidR="00BD0967" w:rsidRPr="00FD1C87">
        <w:rPr>
          <w:rFonts w:cs="Times New Roman"/>
        </w:rPr>
        <w:t xml:space="preserve">zgodnie z którym </w:t>
      </w:r>
      <w:r w:rsidR="00C170AB">
        <w:rPr>
          <w:rFonts w:cs="Times New Roman"/>
        </w:rPr>
        <w:t>każdy</w:t>
      </w:r>
      <w:r w:rsidR="00C170AB" w:rsidRPr="00C170AB">
        <w:rPr>
          <w:rFonts w:cs="Times New Roman"/>
        </w:rPr>
        <w:t xml:space="preserve"> ze współpracujących ze sobą podatników </w:t>
      </w:r>
      <w:r w:rsidR="00BD0967" w:rsidRPr="00FD1C87">
        <w:rPr>
          <w:rFonts w:cs="Times New Roman"/>
        </w:rPr>
        <w:t>również mus</w:t>
      </w:r>
      <w:r w:rsidR="00C170AB">
        <w:rPr>
          <w:rFonts w:cs="Times New Roman"/>
        </w:rPr>
        <w:t>i</w:t>
      </w:r>
      <w:r w:rsidR="00BD0967" w:rsidRPr="00FD1C87">
        <w:rPr>
          <w:rFonts w:cs="Times New Roman"/>
        </w:rPr>
        <w:t xml:space="preserve"> posiadać certyfikat małego producenta, w sytuacji gdy chcą skorzystać z obniżonej stawki akcyzy dla piwa. </w:t>
      </w:r>
      <w:r w:rsidR="00A44C69" w:rsidRPr="00FD1C87">
        <w:rPr>
          <w:rFonts w:cs="Times New Roman"/>
        </w:rPr>
        <w:t>Wzór certyfikatu będzie określony przez przepisy prawa UE i będzie rodzajem zaświadczenia, że dany podmiot spełnia warunki do uznania go za małego producenta piwa. Dlatego też do wydawania certyfikatu będą miały zastosowanie przepisy Ordynacji podatkowej dotyczące zaświadczeń.</w:t>
      </w:r>
      <w:r w:rsidR="00012646">
        <w:rPr>
          <w:rFonts w:cs="Times New Roman"/>
        </w:rPr>
        <w:t xml:space="preserve"> </w:t>
      </w:r>
      <w:r w:rsidR="00686572">
        <w:rPr>
          <w:rFonts w:cs="Times New Roman"/>
          <w:szCs w:val="24"/>
        </w:rPr>
        <w:t xml:space="preserve">Jeśli chodzi o przepisy szczegółowe dotyczące certyfikatów, w tym </w:t>
      </w:r>
      <w:r w:rsidR="00386EFD">
        <w:rPr>
          <w:rFonts w:cs="Times New Roman"/>
          <w:szCs w:val="24"/>
        </w:rPr>
        <w:t xml:space="preserve">ich </w:t>
      </w:r>
      <w:r w:rsidR="00686572">
        <w:rPr>
          <w:rFonts w:cs="Times New Roman"/>
          <w:szCs w:val="24"/>
        </w:rPr>
        <w:t>wydawania, stosowania oraz ważności</w:t>
      </w:r>
      <w:r w:rsidR="00386EFD">
        <w:rPr>
          <w:rFonts w:cs="Times New Roman"/>
          <w:szCs w:val="24"/>
        </w:rPr>
        <w:t>,</w:t>
      </w:r>
      <w:r w:rsidR="00686572">
        <w:rPr>
          <w:rFonts w:cs="Times New Roman"/>
          <w:szCs w:val="24"/>
        </w:rPr>
        <w:t xml:space="preserve"> przepisy rozporządzenia odsyłają w tym zakresie do analogicznych przepisów wspomnianego wyżej przepisu art. 97a ustawy o podatku akcyzowym.</w:t>
      </w:r>
    </w:p>
    <w:p w14:paraId="49DBEC23" w14:textId="231FF27E" w:rsidR="00ED3256" w:rsidRPr="00ED3256" w:rsidRDefault="00C237BD" w:rsidP="00ED3256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§ 13 ust. 1 i 2 (tak jak do tej pory), uregulowano kwestię nabycia</w:t>
      </w:r>
      <w:r w:rsidR="00ED3256" w:rsidRPr="00ED3256">
        <w:rPr>
          <w:rFonts w:cs="Times New Roman"/>
          <w:szCs w:val="24"/>
        </w:rPr>
        <w:t xml:space="preserve"> wewnątrzwspólnotowe</w:t>
      </w:r>
      <w:r>
        <w:rPr>
          <w:rFonts w:cs="Times New Roman"/>
          <w:szCs w:val="24"/>
        </w:rPr>
        <w:t>go</w:t>
      </w:r>
      <w:r w:rsidR="00ED3256" w:rsidRPr="00ED325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oraz </w:t>
      </w:r>
      <w:r w:rsidR="00ED3256" w:rsidRPr="00ED3256">
        <w:rPr>
          <w:rFonts w:cs="Times New Roman"/>
          <w:szCs w:val="24"/>
        </w:rPr>
        <w:t>import</w:t>
      </w:r>
      <w:r>
        <w:rPr>
          <w:rFonts w:cs="Times New Roman"/>
          <w:szCs w:val="24"/>
        </w:rPr>
        <w:t>u piwa. Z t</w:t>
      </w:r>
      <w:r w:rsidR="00386EFD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jednak różnicą, że tylko w przypadku importu </w:t>
      </w:r>
      <w:r w:rsidR="00ED3256" w:rsidRPr="00ED3256">
        <w:rPr>
          <w:rFonts w:cs="Times New Roman"/>
          <w:szCs w:val="24"/>
        </w:rPr>
        <w:t>podmiot dokonujący takiego importu, aby móc skorzystać ze stawki obniżonej, jest obowiązany przedstawić właściwemu naczelnikowi urzędu celno-skarbowego (z chwilą złożen</w:t>
      </w:r>
      <w:r w:rsidR="0019398C">
        <w:rPr>
          <w:rFonts w:cs="Times New Roman"/>
          <w:szCs w:val="24"/>
        </w:rPr>
        <w:t>ia zgłoszenia celnego) dokument</w:t>
      </w:r>
      <w:r w:rsidR="00ED3256" w:rsidRPr="00ED3256">
        <w:rPr>
          <w:rFonts w:cs="Times New Roman"/>
          <w:szCs w:val="24"/>
        </w:rPr>
        <w:t xml:space="preserve"> potwierdzającego spełnienie przez </w:t>
      </w:r>
      <w:r>
        <w:rPr>
          <w:rFonts w:cs="Times New Roman"/>
          <w:szCs w:val="24"/>
        </w:rPr>
        <w:t xml:space="preserve">zagranicznego </w:t>
      </w:r>
      <w:r w:rsidR="00ED3256" w:rsidRPr="00ED3256">
        <w:rPr>
          <w:rFonts w:cs="Times New Roman"/>
          <w:szCs w:val="24"/>
        </w:rPr>
        <w:t xml:space="preserve">producenta </w:t>
      </w:r>
      <w:r>
        <w:rPr>
          <w:rFonts w:cs="Times New Roman"/>
          <w:szCs w:val="24"/>
        </w:rPr>
        <w:t xml:space="preserve">piwa tych samych </w:t>
      </w:r>
      <w:r w:rsidR="00ED3256" w:rsidRPr="00ED3256">
        <w:rPr>
          <w:rFonts w:cs="Times New Roman"/>
          <w:szCs w:val="24"/>
        </w:rPr>
        <w:t xml:space="preserve">warunków, </w:t>
      </w:r>
      <w:r>
        <w:rPr>
          <w:rFonts w:cs="Times New Roman"/>
          <w:szCs w:val="24"/>
        </w:rPr>
        <w:t>które musi spełnić polski mały producent piwa</w:t>
      </w:r>
      <w:r w:rsidR="00207A81">
        <w:rPr>
          <w:rFonts w:cs="Times New Roman"/>
          <w:szCs w:val="24"/>
        </w:rPr>
        <w:t xml:space="preserve"> (który ubiega się o certyfikat, celem możliwości skorzystania z obniżonej stawki)</w:t>
      </w:r>
      <w:r>
        <w:rPr>
          <w:rFonts w:cs="Times New Roman"/>
          <w:szCs w:val="24"/>
        </w:rPr>
        <w:t>.</w:t>
      </w:r>
      <w:r w:rsidR="00ED3256" w:rsidRPr="00ED3256">
        <w:rPr>
          <w:rFonts w:cs="Times New Roman"/>
          <w:szCs w:val="24"/>
        </w:rPr>
        <w:t xml:space="preserve">W szczególności przedmiotowy dokument ma zawierać takie same dane, jakie są wymagane dla certyfikatu małego producenta. </w:t>
      </w:r>
    </w:p>
    <w:p w14:paraId="6675D16D" w14:textId="07A63D14" w:rsidR="00ED3256" w:rsidRDefault="00ED3256" w:rsidP="00ED3256">
      <w:pPr>
        <w:spacing w:before="120" w:after="120" w:line="276" w:lineRule="auto"/>
        <w:jc w:val="both"/>
        <w:rPr>
          <w:rFonts w:cs="Times New Roman"/>
          <w:szCs w:val="24"/>
        </w:rPr>
      </w:pPr>
      <w:r w:rsidRPr="00ED3256">
        <w:rPr>
          <w:rFonts w:cs="Times New Roman"/>
          <w:szCs w:val="24"/>
        </w:rPr>
        <w:t xml:space="preserve">Jeśli chodzi o nabycie wewnątrzwspólnotowe, to nie ma konieczności </w:t>
      </w:r>
      <w:r w:rsidR="00386EFD">
        <w:rPr>
          <w:rFonts w:cs="Times New Roman"/>
          <w:szCs w:val="24"/>
        </w:rPr>
        <w:t xml:space="preserve">przedkładania </w:t>
      </w:r>
      <w:r w:rsidR="00E52EBD">
        <w:rPr>
          <w:rFonts w:cs="Times New Roman"/>
          <w:szCs w:val="24"/>
        </w:rPr>
        <w:t xml:space="preserve">takiej </w:t>
      </w:r>
      <w:r w:rsidRPr="00ED3256">
        <w:rPr>
          <w:rFonts w:cs="Times New Roman"/>
          <w:szCs w:val="24"/>
        </w:rPr>
        <w:t>dokumentacji z uwagi na konieczność zawarcia informacji o takim przemieszczaniu w</w:t>
      </w:r>
      <w:r w:rsidR="00A63854">
        <w:rPr>
          <w:rFonts w:cs="Times New Roman"/>
          <w:szCs w:val="24"/>
        </w:rPr>
        <w:t> </w:t>
      </w:r>
      <w:r w:rsidRPr="00ED3256">
        <w:rPr>
          <w:rFonts w:cs="Times New Roman"/>
          <w:szCs w:val="24"/>
        </w:rPr>
        <w:t>systemach informatycznych, gdzie na odpowiednich formularzach zawarta jest adnotacja o</w:t>
      </w:r>
      <w:r w:rsidR="00A63854">
        <w:rPr>
          <w:rFonts w:cs="Times New Roman"/>
          <w:szCs w:val="24"/>
        </w:rPr>
        <w:t> </w:t>
      </w:r>
      <w:r w:rsidRPr="00ED3256">
        <w:rPr>
          <w:rFonts w:cs="Times New Roman"/>
          <w:szCs w:val="24"/>
        </w:rPr>
        <w:t>certyfikacie małego producenta.</w:t>
      </w:r>
    </w:p>
    <w:p w14:paraId="46BE1C73" w14:textId="4F61C8E6" w:rsidR="00C80B06" w:rsidRPr="00C80B06" w:rsidRDefault="00C80B06" w:rsidP="00C80B06">
      <w:pPr>
        <w:spacing w:before="120" w:after="120" w:line="276" w:lineRule="auto"/>
        <w:jc w:val="both"/>
        <w:rPr>
          <w:b/>
          <w:color w:val="000000"/>
          <w:szCs w:val="24"/>
          <w:u w:val="single"/>
        </w:rPr>
      </w:pPr>
      <w:r w:rsidRPr="00C80B06">
        <w:rPr>
          <w:b/>
          <w:color w:val="000000"/>
          <w:szCs w:val="24"/>
          <w:u w:val="single"/>
        </w:rPr>
        <w:t xml:space="preserve">Zmiana w zakresie implementacji </w:t>
      </w:r>
      <w:r w:rsidR="0092608D" w:rsidRPr="00C80B06">
        <w:rPr>
          <w:b/>
          <w:color w:val="000000"/>
          <w:szCs w:val="24"/>
          <w:u w:val="single"/>
        </w:rPr>
        <w:t>dyrektywy Rady (UE) 2020/262 ustanawiającej ogólne zasady dotyczące podat</w:t>
      </w:r>
      <w:r>
        <w:rPr>
          <w:b/>
          <w:color w:val="000000"/>
          <w:szCs w:val="24"/>
          <w:u w:val="single"/>
        </w:rPr>
        <w:t>ku akcyzowego:</w:t>
      </w:r>
      <w:r w:rsidR="0092608D" w:rsidRPr="00C80B06">
        <w:rPr>
          <w:b/>
          <w:color w:val="000000"/>
          <w:szCs w:val="24"/>
          <w:u w:val="single"/>
        </w:rPr>
        <w:t xml:space="preserve"> </w:t>
      </w:r>
    </w:p>
    <w:p w14:paraId="3C7E0B9F" w14:textId="38291706" w:rsidR="0092608D" w:rsidRPr="00C80B06" w:rsidRDefault="00C80B06" w:rsidP="00C80B06">
      <w:pPr>
        <w:spacing w:before="120" w:after="120" w:line="276" w:lineRule="auto"/>
        <w:jc w:val="both"/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t xml:space="preserve">Na mocy postanowień </w:t>
      </w:r>
      <w:r w:rsidR="0092608D" w:rsidRPr="0092608D">
        <w:rPr>
          <w:color w:val="000000"/>
          <w:szCs w:val="24"/>
        </w:rPr>
        <w:t>art. 6 ust.</w:t>
      </w:r>
      <w:r w:rsidR="00386EFD">
        <w:rPr>
          <w:color w:val="000000"/>
          <w:szCs w:val="24"/>
        </w:rPr>
        <w:t xml:space="preserve"> </w:t>
      </w:r>
      <w:r w:rsidR="0092608D" w:rsidRPr="0092608D">
        <w:rPr>
          <w:color w:val="000000"/>
          <w:szCs w:val="24"/>
        </w:rPr>
        <w:t>5 i art. 45 ust.</w:t>
      </w:r>
      <w:r w:rsidR="00386EFD">
        <w:rPr>
          <w:color w:val="000000"/>
          <w:szCs w:val="24"/>
        </w:rPr>
        <w:t xml:space="preserve"> </w:t>
      </w:r>
      <w:r w:rsidR="0092608D" w:rsidRPr="0092608D">
        <w:rPr>
          <w:color w:val="000000"/>
          <w:szCs w:val="24"/>
        </w:rPr>
        <w:t xml:space="preserve">1 </w:t>
      </w:r>
      <w:r>
        <w:rPr>
          <w:color w:val="000000"/>
          <w:szCs w:val="24"/>
        </w:rPr>
        <w:t xml:space="preserve">tejże dyrektywy, </w:t>
      </w:r>
      <w:r w:rsidR="0092608D" w:rsidRPr="0092608D">
        <w:rPr>
          <w:color w:val="000000"/>
          <w:szCs w:val="24"/>
        </w:rPr>
        <w:t xml:space="preserve">wyłącza </w:t>
      </w:r>
      <w:r w:rsidR="00FE0169">
        <w:rPr>
          <w:color w:val="000000"/>
          <w:szCs w:val="24"/>
        </w:rPr>
        <w:t xml:space="preserve">się </w:t>
      </w:r>
      <w:r w:rsidR="0092608D" w:rsidRPr="0092608D">
        <w:rPr>
          <w:color w:val="000000"/>
          <w:szCs w:val="24"/>
        </w:rPr>
        <w:t>z opodatkowania akcyzą przypadki całkowitego zniszczenia wyrobów akcyzowych w następstwie zezwolenia na zniszczenie tych wyrobów udzielonego przez właściwe organy państwa członkowskiego.</w:t>
      </w:r>
    </w:p>
    <w:p w14:paraId="73A460D8" w14:textId="58C298C7" w:rsidR="0092608D" w:rsidRPr="0092608D" w:rsidRDefault="00FE0169" w:rsidP="0092608D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="0092608D" w:rsidRPr="0092608D">
        <w:rPr>
          <w:rFonts w:cs="Times New Roman"/>
          <w:szCs w:val="24"/>
        </w:rPr>
        <w:t xml:space="preserve">becnie obowiązujące przepisy </w:t>
      </w:r>
      <w:r>
        <w:rPr>
          <w:rFonts w:cs="Times New Roman"/>
          <w:szCs w:val="24"/>
        </w:rPr>
        <w:t xml:space="preserve">krajowe, </w:t>
      </w:r>
      <w:r w:rsidR="0092608D" w:rsidRPr="0092608D">
        <w:rPr>
          <w:rFonts w:cs="Times New Roman"/>
          <w:szCs w:val="24"/>
        </w:rPr>
        <w:t xml:space="preserve">przewidują zwolnienie od akcyzy wyrobów akcyzowych objętych procedurą zawieszenia poboru akcyzy, które stały się nieprzydatne do spożycia, dalszego przerobu lub zużycia i za zgodą właściwego naczelnika urzędu skarbowego zostały zniszczone w składzie podatkowym. Przypadek ten dotyczy zatem niszczenia w składzie podatkowym wyrobów akcyzowych dokonanego przez podatnika za zgodą właściwego organu podatkowego. </w:t>
      </w:r>
    </w:p>
    <w:p w14:paraId="04242DE4" w14:textId="7EF6D844" w:rsidR="0092608D" w:rsidRPr="0092608D" w:rsidRDefault="0092608D" w:rsidP="0092608D">
      <w:pPr>
        <w:spacing w:before="120" w:after="120" w:line="276" w:lineRule="auto"/>
        <w:jc w:val="both"/>
        <w:rPr>
          <w:rFonts w:cs="Times New Roman"/>
          <w:szCs w:val="24"/>
        </w:rPr>
      </w:pPr>
      <w:r w:rsidRPr="0092608D">
        <w:rPr>
          <w:rFonts w:cs="Times New Roman"/>
          <w:szCs w:val="24"/>
        </w:rPr>
        <w:lastRenderedPageBreak/>
        <w:t xml:space="preserve">W przepisach brakuje </w:t>
      </w:r>
      <w:r w:rsidR="00644CC3">
        <w:rPr>
          <w:rFonts w:cs="Times New Roman"/>
          <w:szCs w:val="24"/>
        </w:rPr>
        <w:t xml:space="preserve">kompleksowej </w:t>
      </w:r>
      <w:r w:rsidRPr="0092608D">
        <w:rPr>
          <w:rFonts w:cs="Times New Roman"/>
          <w:szCs w:val="24"/>
        </w:rPr>
        <w:t>regulacji polegającej na niszczeniu wyrobów akcyzowych przez właściwe organy państwa</w:t>
      </w:r>
      <w:r w:rsidR="00C51077">
        <w:rPr>
          <w:rFonts w:cs="Times New Roman"/>
          <w:szCs w:val="24"/>
        </w:rPr>
        <w:t xml:space="preserve">. </w:t>
      </w:r>
      <w:r w:rsidRPr="0092608D">
        <w:rPr>
          <w:rFonts w:cs="Times New Roman"/>
          <w:szCs w:val="24"/>
        </w:rPr>
        <w:t xml:space="preserve">Często na skutek orzeczenia przepadku przez sąd takie organy znajdują się w posiadaniu wyrobów akcyzowych, które następnie powinny zostać zniszczone. Ponieważ całkowite zniszczenie wyrobów akcyzowych jest przedmiotem opodatkowania akcyzą (art. 8 ust. 3 ustawy o podatku akcyzowym) właściwe organy państwa które znalazły się w posiadaniu takich wyrobów dokonując ich niszczenia powinny odprowadzić należny podatek akcyzowy na rzecz Skarbu Państwa. W efekcie w magazynach właściwych organów  państwa znajdują się wyroby akcyzowe, w stosunku do których orzeczono przepadek, a które nie są niszczone wobec koniczności poniesienia ciężaru podatku akcyzowego. </w:t>
      </w:r>
      <w:r w:rsidR="00644CC3">
        <w:rPr>
          <w:rFonts w:cs="Times New Roman"/>
          <w:szCs w:val="24"/>
        </w:rPr>
        <w:t xml:space="preserve">Wyjątkiem w tym zakresie są </w:t>
      </w:r>
      <w:r w:rsidR="00782C9D">
        <w:t>wyroby tytoniowe, płyn do papierosów elektronicznych i wyroby nowatorskie</w:t>
      </w:r>
      <w:r w:rsidR="00782C9D">
        <w:rPr>
          <w:rFonts w:cs="Times New Roman"/>
          <w:szCs w:val="24"/>
        </w:rPr>
        <w:t xml:space="preserve"> znajdujące się w posiadaniu organów podatkowych. Do nich bowiem stosuje się </w:t>
      </w:r>
      <w:r w:rsidR="00644CC3" w:rsidRPr="00431084">
        <w:t>§</w:t>
      </w:r>
      <w:r w:rsidR="00644CC3">
        <w:t xml:space="preserve"> 11 ust. 2 </w:t>
      </w:r>
      <w:r w:rsidR="00782C9D">
        <w:t xml:space="preserve">rozporządzenia </w:t>
      </w:r>
      <w:r w:rsidR="00644CC3">
        <w:t xml:space="preserve">przewidujący zwolnienie </w:t>
      </w:r>
      <w:r w:rsidR="00782C9D">
        <w:t xml:space="preserve">takich wyrobów </w:t>
      </w:r>
      <w:r w:rsidR="00644CC3">
        <w:t xml:space="preserve">od akcyzy </w:t>
      </w:r>
      <w:r w:rsidR="00782C9D">
        <w:t xml:space="preserve">jeśli pochodzą one z przepadku i są niszczone </w:t>
      </w:r>
      <w:r w:rsidR="00644CC3">
        <w:t>przez organ podatkowy wykonujący orzeczenie sądu o przepadku.</w:t>
      </w:r>
    </w:p>
    <w:p w14:paraId="6CE07B68" w14:textId="0F81E736" w:rsidR="00AC5DDA" w:rsidRPr="00AC5DDA" w:rsidRDefault="0092608D" w:rsidP="00132D22">
      <w:pPr>
        <w:shd w:val="clear" w:color="auto" w:fill="FFFFFF"/>
        <w:spacing w:line="336" w:lineRule="atLeast"/>
        <w:jc w:val="both"/>
        <w:rPr>
          <w:rFonts w:eastAsia="Calibri" w:cs="Times New Roman"/>
          <w:szCs w:val="24"/>
          <w:lang w:eastAsia="en-US"/>
        </w:rPr>
      </w:pPr>
      <w:r w:rsidRPr="0092608D">
        <w:rPr>
          <w:rFonts w:cs="Times New Roman"/>
          <w:szCs w:val="24"/>
        </w:rPr>
        <w:t xml:space="preserve">W związku z powyższym zaproponowano </w:t>
      </w:r>
      <w:r w:rsidR="004D21BC">
        <w:rPr>
          <w:rFonts w:cs="Times New Roman"/>
          <w:szCs w:val="24"/>
        </w:rPr>
        <w:t xml:space="preserve">rozszerzenie </w:t>
      </w:r>
      <w:r w:rsidR="004D21BC" w:rsidRPr="00431084">
        <w:t>§</w:t>
      </w:r>
      <w:r w:rsidR="004D21BC">
        <w:t xml:space="preserve"> 11 ust. 2 w ten sposób</w:t>
      </w:r>
      <w:r w:rsidR="00A63854">
        <w:t>,</w:t>
      </w:r>
      <w:r w:rsidR="004D21BC">
        <w:t xml:space="preserve"> aby obejmował on swoim zakresem wszystkie przypadki </w:t>
      </w:r>
      <w:r w:rsidR="00AC5DDA">
        <w:t>z</w:t>
      </w:r>
      <w:r w:rsidR="00AC5DDA" w:rsidRPr="00AC5DDA">
        <w:rPr>
          <w:rFonts w:eastAsia="Calibri" w:cs="Times New Roman"/>
          <w:szCs w:val="24"/>
          <w:lang w:eastAsia="en-US"/>
        </w:rPr>
        <w:t>w</w:t>
      </w:r>
      <w:r w:rsidR="00AC5DDA">
        <w:rPr>
          <w:rFonts w:eastAsia="Calibri" w:cs="Times New Roman"/>
          <w:szCs w:val="24"/>
          <w:lang w:eastAsia="en-US"/>
        </w:rPr>
        <w:t>o</w:t>
      </w:r>
      <w:r w:rsidR="00AC5DDA" w:rsidRPr="00AC5DDA">
        <w:rPr>
          <w:rFonts w:eastAsia="Calibri" w:cs="Times New Roman"/>
          <w:szCs w:val="24"/>
          <w:lang w:eastAsia="en-US"/>
        </w:rPr>
        <w:t>l</w:t>
      </w:r>
      <w:r w:rsidR="00AC5DDA">
        <w:rPr>
          <w:rFonts w:eastAsia="Calibri" w:cs="Times New Roman"/>
          <w:szCs w:val="24"/>
          <w:lang w:eastAsia="en-US"/>
        </w:rPr>
        <w:t>nienia</w:t>
      </w:r>
      <w:r w:rsidR="00AC5DDA" w:rsidRPr="00AC5DDA">
        <w:rPr>
          <w:rFonts w:eastAsia="Calibri" w:cs="Times New Roman"/>
          <w:szCs w:val="24"/>
          <w:lang w:eastAsia="en-US"/>
        </w:rPr>
        <w:t xml:space="preserve"> się od akcyzy wyrob</w:t>
      </w:r>
      <w:r w:rsidR="00AC5DDA">
        <w:rPr>
          <w:rFonts w:eastAsia="Calibri" w:cs="Times New Roman"/>
          <w:szCs w:val="24"/>
          <w:lang w:eastAsia="en-US"/>
        </w:rPr>
        <w:t>ów</w:t>
      </w:r>
      <w:r w:rsidR="00AC5DDA" w:rsidRPr="00AC5DDA">
        <w:rPr>
          <w:rFonts w:eastAsia="Calibri" w:cs="Times New Roman"/>
          <w:szCs w:val="24"/>
          <w:lang w:eastAsia="en-US"/>
        </w:rPr>
        <w:t xml:space="preserve"> akcyzow</w:t>
      </w:r>
      <w:r w:rsidR="00AC5DDA">
        <w:rPr>
          <w:rFonts w:eastAsia="Calibri" w:cs="Times New Roman"/>
          <w:szCs w:val="24"/>
          <w:lang w:eastAsia="en-US"/>
        </w:rPr>
        <w:t>ych</w:t>
      </w:r>
      <w:r w:rsidR="00AC5DDA" w:rsidRPr="00AC5DDA">
        <w:rPr>
          <w:rFonts w:eastAsia="Calibri" w:cs="Times New Roman"/>
          <w:szCs w:val="24"/>
          <w:lang w:eastAsia="en-US"/>
        </w:rPr>
        <w:t xml:space="preserve"> pochodząc</w:t>
      </w:r>
      <w:r w:rsidR="00AC5DDA">
        <w:rPr>
          <w:rFonts w:eastAsia="Calibri" w:cs="Times New Roman"/>
          <w:szCs w:val="24"/>
          <w:lang w:eastAsia="en-US"/>
        </w:rPr>
        <w:t>ych</w:t>
      </w:r>
      <w:r w:rsidR="00AC5DDA" w:rsidRPr="00AC5DDA">
        <w:rPr>
          <w:rFonts w:eastAsia="Calibri" w:cs="Times New Roman"/>
          <w:szCs w:val="24"/>
          <w:lang w:eastAsia="en-US"/>
        </w:rPr>
        <w:t xml:space="preserve"> z przepadku, z chwilą ich zniszczenia przez uprawniony organ wykonujący orzeczenie sądu o przepadku tych wyrobów.</w:t>
      </w:r>
    </w:p>
    <w:p w14:paraId="7948F648" w14:textId="058FBCE8" w:rsidR="0092608D" w:rsidRDefault="0092608D" w:rsidP="0092608D">
      <w:pPr>
        <w:spacing w:before="120" w:after="120" w:line="276" w:lineRule="auto"/>
        <w:jc w:val="both"/>
        <w:rPr>
          <w:rFonts w:cs="Times New Roman"/>
          <w:szCs w:val="24"/>
        </w:rPr>
      </w:pPr>
      <w:r w:rsidRPr="0092608D">
        <w:rPr>
          <w:rFonts w:cs="Times New Roman"/>
          <w:szCs w:val="24"/>
        </w:rPr>
        <w:t xml:space="preserve">W konsekwencji przyjęto, że </w:t>
      </w:r>
      <w:r w:rsidR="00AC5DDA">
        <w:rPr>
          <w:rFonts w:cs="Times New Roman"/>
          <w:szCs w:val="24"/>
        </w:rPr>
        <w:t xml:space="preserve">uprawniony </w:t>
      </w:r>
      <w:r w:rsidRPr="0092608D">
        <w:rPr>
          <w:rFonts w:cs="Times New Roman"/>
          <w:szCs w:val="24"/>
        </w:rPr>
        <w:t xml:space="preserve">organ państwa, w którego dyspozycji znajdą się wyroby akcyzowe z orzeczonego przez sąd przepadku będzie mógł dokonać ich całkowitego zniszczenia nie ponosząc ciężaru podatku akcyzowego. </w:t>
      </w:r>
    </w:p>
    <w:p w14:paraId="4ACCCC63" w14:textId="0421CBA5" w:rsidR="004C2F0D" w:rsidRDefault="004C2F0D" w:rsidP="0092608D">
      <w:pPr>
        <w:spacing w:before="120" w:after="120" w:line="276" w:lineRule="auto"/>
        <w:jc w:val="both"/>
        <w:rPr>
          <w:rFonts w:cs="Times New Roman"/>
          <w:b/>
          <w:szCs w:val="24"/>
          <w:u w:val="single"/>
        </w:rPr>
      </w:pPr>
      <w:r w:rsidRPr="00C57790">
        <w:rPr>
          <w:rFonts w:cs="Times New Roman"/>
          <w:b/>
          <w:szCs w:val="24"/>
          <w:u w:val="single"/>
        </w:rPr>
        <w:t xml:space="preserve">Zmiana w zakresie nieobjętym </w:t>
      </w:r>
      <w:r w:rsidR="00C67E85" w:rsidRPr="00C57790">
        <w:rPr>
          <w:rFonts w:cs="Times New Roman"/>
          <w:b/>
          <w:szCs w:val="24"/>
          <w:u w:val="single"/>
        </w:rPr>
        <w:t xml:space="preserve">ww. </w:t>
      </w:r>
      <w:r w:rsidRPr="00C57790">
        <w:rPr>
          <w:rFonts w:cs="Times New Roman"/>
          <w:b/>
          <w:szCs w:val="24"/>
          <w:u w:val="single"/>
        </w:rPr>
        <w:t>dyrektywami</w:t>
      </w:r>
    </w:p>
    <w:p w14:paraId="0446C90E" w14:textId="76C26AD8" w:rsidR="00C170AB" w:rsidRPr="00132D22" w:rsidRDefault="00A63854" w:rsidP="00132D22">
      <w:pPr>
        <w:pStyle w:val="Tekstkomentarza"/>
        <w:numPr>
          <w:ilvl w:val="0"/>
          <w:numId w:val="4"/>
        </w:numPr>
        <w:spacing w:line="276" w:lineRule="auto"/>
        <w:ind w:left="0" w:firstLine="0"/>
        <w:jc w:val="both"/>
      </w:pPr>
      <w:r>
        <w:t>R</w:t>
      </w:r>
      <w:r w:rsidR="00C170AB">
        <w:t>ozporządzeni</w:t>
      </w:r>
      <w:r>
        <w:t>e, zgodnie z tytułem,</w:t>
      </w:r>
      <w:r w:rsidR="00C170AB">
        <w:t xml:space="preserve"> </w:t>
      </w:r>
      <w:r>
        <w:t xml:space="preserve">reguluje kwestie zwolnień </w:t>
      </w:r>
      <w:r w:rsidR="00C170AB">
        <w:t>o</w:t>
      </w:r>
      <w:r>
        <w:t>d</w:t>
      </w:r>
      <w:r w:rsidR="00C170AB">
        <w:t xml:space="preserve"> "podatku akcyzow</w:t>
      </w:r>
      <w:r>
        <w:t>ego</w:t>
      </w:r>
      <w:r w:rsidR="00C170AB">
        <w:t>"</w:t>
      </w:r>
      <w:r>
        <w:t>. Tymczasem</w:t>
      </w:r>
      <w:r w:rsidR="00C170AB">
        <w:t xml:space="preserve"> w przepisach </w:t>
      </w:r>
      <w:r>
        <w:t xml:space="preserve">tego aktu prawnego </w:t>
      </w:r>
      <w:r w:rsidR="00C170AB">
        <w:t xml:space="preserve">jest mowa o </w:t>
      </w:r>
      <w:r>
        <w:t xml:space="preserve">zwolnieniach z </w:t>
      </w:r>
      <w:r w:rsidR="00C170AB">
        <w:t>"akcyz</w:t>
      </w:r>
      <w:r>
        <w:t>y". Taki</w:t>
      </w:r>
      <w:r w:rsidR="00C170AB">
        <w:t xml:space="preserve"> skrót jest wprowadzony w ustawie</w:t>
      </w:r>
      <w:r>
        <w:t xml:space="preserve"> o podatku akcyzowym, ale</w:t>
      </w:r>
      <w:r w:rsidR="00C170AB">
        <w:t xml:space="preserve"> tylko na potrzeby</w:t>
      </w:r>
      <w:r>
        <w:t xml:space="preserve"> tej</w:t>
      </w:r>
      <w:r w:rsidR="00C170AB">
        <w:t xml:space="preserve"> ustawy,</w:t>
      </w:r>
      <w:r>
        <w:t xml:space="preserve"> brakuje więc wyraźnego </w:t>
      </w:r>
      <w:r w:rsidR="00E64DD1">
        <w:t xml:space="preserve">ustanowienia skrótu na potrzeby rozporządzenia w sprawie zwolnień od podatku akcyzowego. </w:t>
      </w:r>
      <w:r w:rsidR="00C170AB">
        <w:t xml:space="preserve"> </w:t>
      </w:r>
      <w:r w:rsidR="00E64DD1">
        <w:t xml:space="preserve">Stąd proponuje się wprowadzić wyraźny skrót "akcyza" w </w:t>
      </w:r>
      <w:r w:rsidR="00E64DD1" w:rsidRPr="00455FAC">
        <w:t xml:space="preserve">§ 1 </w:t>
      </w:r>
      <w:r w:rsidR="00E64DD1">
        <w:t>w pkt 1 zmienianego rozporządzenia. P</w:t>
      </w:r>
      <w:r w:rsidR="00C170AB">
        <w:t>onadto w przepisie § 1 pkt 1 o przedmiocie rozporządzenia nie wskazuje się w ogóle, jakiego podatku dotyczą zwolnienia</w:t>
      </w:r>
      <w:r w:rsidR="00E64DD1">
        <w:t xml:space="preserve"> – przepis został stosownie uzupełniony.</w:t>
      </w:r>
      <w:r w:rsidR="00C170AB">
        <w:t xml:space="preserve"> </w:t>
      </w:r>
    </w:p>
    <w:p w14:paraId="1064E6F0" w14:textId="10D9768D" w:rsidR="00011AF5" w:rsidRPr="00132D22" w:rsidRDefault="000957FF" w:rsidP="00132D22">
      <w:pPr>
        <w:pStyle w:val="Akapitzlist"/>
        <w:numPr>
          <w:ilvl w:val="0"/>
          <w:numId w:val="4"/>
        </w:numPr>
        <w:spacing w:before="120" w:after="120" w:line="276" w:lineRule="auto"/>
        <w:ind w:left="0" w:firstLine="0"/>
        <w:jc w:val="both"/>
        <w:rPr>
          <w:rFonts w:cs="Times New Roman"/>
          <w:szCs w:val="24"/>
        </w:rPr>
      </w:pPr>
      <w:r w:rsidRPr="00C170AB">
        <w:rPr>
          <w:rFonts w:ascii="Times New Roman" w:eastAsiaTheme="minorEastAsia" w:hAnsi="Times New Roman" w:cs="Times New Roman"/>
          <w:sz w:val="24"/>
          <w:szCs w:val="24"/>
          <w:lang w:eastAsia="pl-PL"/>
        </w:rPr>
        <w:t>Z uwagi na zmianę klasyfikacji</w:t>
      </w:r>
      <w:r w:rsidR="00011AF5" w:rsidRPr="00C170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ciężkich frakcji olejowych z kodu CN 2710 19 64 (które</w:t>
      </w:r>
      <w:r w:rsid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="00011AF5" w:rsidRPr="00C170A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przed zmianą korzystały ze zwolnienia od akcyzy) na </w:t>
      </w:r>
      <w:r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kod </w:t>
      </w:r>
      <w:r w:rsidR="00011AF5"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>CN 2707 99 99 (które w chwili obecnej są zaliczane do pozostałych paliw opałowych</w:t>
      </w:r>
      <w:r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011AF5"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opodatkowanych </w:t>
      </w:r>
      <w:r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>stawką podatku: 64 zł/1000 kg), a</w:t>
      </w:r>
      <w:r w:rsidR="00011AF5"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>by zac</w:t>
      </w:r>
      <w:r w:rsidR="00F7636B"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>hować dotychczasowy status quo,</w:t>
      </w:r>
      <w:r w:rsidR="00011AF5"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Orlen zwrócił się z wnioskiem o</w:t>
      </w:r>
      <w:r w:rsidR="00E64DD1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="00011AF5" w:rsidRPr="00132D22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rozszerzenie zwolnienia od akcyzy na wyroby należące do kodu CN 2707 99 99. </w:t>
      </w:r>
    </w:p>
    <w:p w14:paraId="6FD7FDF1" w14:textId="07741809" w:rsidR="00F7636B" w:rsidRPr="00C57790" w:rsidRDefault="000957FF" w:rsidP="00C170AB">
      <w:pPr>
        <w:spacing w:before="120" w:after="120" w:line="276" w:lineRule="auto"/>
        <w:jc w:val="both"/>
        <w:rPr>
          <w:rFonts w:cs="Times New Roman"/>
          <w:szCs w:val="24"/>
        </w:rPr>
      </w:pPr>
      <w:r w:rsidRPr="00C57790">
        <w:rPr>
          <w:rFonts w:cs="Times New Roman"/>
          <w:szCs w:val="24"/>
        </w:rPr>
        <w:t>P</w:t>
      </w:r>
      <w:r w:rsidR="00011AF5" w:rsidRPr="00C57790">
        <w:rPr>
          <w:rFonts w:cs="Times New Roman"/>
          <w:szCs w:val="24"/>
        </w:rPr>
        <w:t xml:space="preserve">onieważ </w:t>
      </w:r>
      <w:r w:rsidRPr="00C57790">
        <w:rPr>
          <w:rFonts w:cs="Times New Roman"/>
          <w:szCs w:val="24"/>
        </w:rPr>
        <w:t xml:space="preserve">wniosek ten </w:t>
      </w:r>
      <w:r w:rsidR="00011AF5" w:rsidRPr="00C57790">
        <w:rPr>
          <w:rFonts w:cs="Times New Roman"/>
          <w:szCs w:val="24"/>
        </w:rPr>
        <w:t>dotyczy wyrobu, który do niedawna korz</w:t>
      </w:r>
      <w:r w:rsidR="00F7636B" w:rsidRPr="00C57790">
        <w:rPr>
          <w:rFonts w:cs="Times New Roman"/>
          <w:szCs w:val="24"/>
        </w:rPr>
        <w:t>ystał ze zwolnienia od akcyzy a p</w:t>
      </w:r>
      <w:r w:rsidR="00011AF5" w:rsidRPr="00C57790">
        <w:rPr>
          <w:rFonts w:cs="Times New Roman"/>
          <w:szCs w:val="24"/>
        </w:rPr>
        <w:t xml:space="preserve">ropozycja pozostaje w zgodzie </w:t>
      </w:r>
      <w:r w:rsidR="00F7636B" w:rsidRPr="00C57790">
        <w:rPr>
          <w:rFonts w:cs="Times New Roman"/>
          <w:szCs w:val="24"/>
        </w:rPr>
        <w:t>z dyrektywą energetyczną</w:t>
      </w:r>
      <w:r w:rsidR="00151865" w:rsidRPr="00C57790">
        <w:rPr>
          <w:rFonts w:cs="Times New Roman"/>
          <w:szCs w:val="24"/>
        </w:rPr>
        <w:t xml:space="preserve"> (dyrektywa 2003/96/WE)</w:t>
      </w:r>
      <w:r w:rsidR="00F7636B" w:rsidRPr="00C57790">
        <w:rPr>
          <w:rFonts w:cs="Times New Roman"/>
          <w:szCs w:val="24"/>
        </w:rPr>
        <w:t>, wniosek został uwzględniony.</w:t>
      </w:r>
    </w:p>
    <w:p w14:paraId="5BC56766" w14:textId="205F45DC" w:rsidR="00011AF5" w:rsidRDefault="00F7636B" w:rsidP="00C170AB">
      <w:pPr>
        <w:spacing w:before="120" w:after="120" w:line="276" w:lineRule="auto"/>
        <w:jc w:val="both"/>
        <w:rPr>
          <w:rFonts w:cs="Times New Roman"/>
          <w:szCs w:val="24"/>
        </w:rPr>
      </w:pPr>
      <w:r w:rsidRPr="00C57790">
        <w:rPr>
          <w:rFonts w:cs="Times New Roman"/>
          <w:szCs w:val="24"/>
        </w:rPr>
        <w:t>W efekcie powyższego, zmiana rozporządzenia w § 6 pkt 1 skutkuje objęcie</w:t>
      </w:r>
      <w:r w:rsidR="00CF5420">
        <w:rPr>
          <w:rFonts w:cs="Times New Roman"/>
          <w:szCs w:val="24"/>
        </w:rPr>
        <w:t>m</w:t>
      </w:r>
      <w:r w:rsidRPr="00C57790">
        <w:rPr>
          <w:rFonts w:cs="Times New Roman"/>
          <w:szCs w:val="24"/>
        </w:rPr>
        <w:t xml:space="preserve"> zwolnieniem </w:t>
      </w:r>
      <w:r w:rsidR="00C170AB">
        <w:rPr>
          <w:rFonts w:cs="Times New Roman"/>
          <w:szCs w:val="24"/>
        </w:rPr>
        <w:t>pozostałych paliw opałowych</w:t>
      </w:r>
      <w:r w:rsidRPr="00C57790">
        <w:rPr>
          <w:rFonts w:cs="Times New Roman"/>
          <w:szCs w:val="24"/>
        </w:rPr>
        <w:t xml:space="preserve">, o których mowa w art. 89 ust. 1 pkt 15 lit. a tiret drugie ustawy, </w:t>
      </w:r>
      <w:r w:rsidRPr="00C57790">
        <w:rPr>
          <w:rFonts w:cs="Times New Roman"/>
          <w:szCs w:val="24"/>
        </w:rPr>
        <w:lastRenderedPageBreak/>
        <w:t>zaliczanych do kodu CN 2707 99 99.</w:t>
      </w:r>
      <w:r>
        <w:rPr>
          <w:rFonts w:cs="Times New Roman"/>
          <w:szCs w:val="24"/>
        </w:rPr>
        <w:t xml:space="preserve"> </w:t>
      </w:r>
    </w:p>
    <w:p w14:paraId="37C0BB9D" w14:textId="77777777" w:rsidR="006A7F5F" w:rsidRDefault="006A7F5F" w:rsidP="00CB6457">
      <w:pPr>
        <w:spacing w:before="120" w:after="120" w:line="276" w:lineRule="auto"/>
        <w:jc w:val="both"/>
        <w:rPr>
          <w:rFonts w:cs="Times New Roman"/>
          <w:b/>
          <w:szCs w:val="24"/>
          <w:u w:val="single"/>
        </w:rPr>
      </w:pPr>
    </w:p>
    <w:p w14:paraId="66418735" w14:textId="11B6EE36" w:rsidR="00CB6457" w:rsidRPr="00CB6457" w:rsidRDefault="00CB6457" w:rsidP="00CB6457">
      <w:pPr>
        <w:spacing w:before="120" w:after="120" w:line="276" w:lineRule="auto"/>
        <w:jc w:val="both"/>
        <w:rPr>
          <w:rFonts w:cs="Times New Roman"/>
          <w:b/>
          <w:szCs w:val="24"/>
          <w:u w:val="single"/>
        </w:rPr>
      </w:pPr>
      <w:r w:rsidRPr="00CB6457">
        <w:rPr>
          <w:rFonts w:cs="Times New Roman"/>
          <w:b/>
          <w:szCs w:val="24"/>
          <w:u w:val="single"/>
        </w:rPr>
        <w:t>Przepis</w:t>
      </w:r>
      <w:r w:rsidR="00AE5A34">
        <w:rPr>
          <w:rFonts w:cs="Times New Roman"/>
          <w:b/>
          <w:szCs w:val="24"/>
          <w:u w:val="single"/>
        </w:rPr>
        <w:t>y</w:t>
      </w:r>
      <w:r w:rsidRPr="00CB6457">
        <w:rPr>
          <w:rFonts w:cs="Times New Roman"/>
          <w:b/>
          <w:szCs w:val="24"/>
          <w:u w:val="single"/>
        </w:rPr>
        <w:t xml:space="preserve"> przejściow</w:t>
      </w:r>
      <w:r w:rsidR="00AE5A34">
        <w:rPr>
          <w:rFonts w:cs="Times New Roman"/>
          <w:b/>
          <w:szCs w:val="24"/>
          <w:u w:val="single"/>
        </w:rPr>
        <w:t>e</w:t>
      </w:r>
    </w:p>
    <w:p w14:paraId="4F9414ED" w14:textId="4D54D164" w:rsidR="00CB6457" w:rsidRDefault="00CF5420" w:rsidP="00F7636B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Ponieważ nowe warunki dla zastosowania zwolnienia piwa będą w przeważającej mierze dotyczyć podmiotów, które w chwili wejścia w życie rozporządzenia prowadzą już działalność gospodarczą jako małe browary, konieczne jest wprowadzenie przepisu przejściowego. Dla takich </w:t>
      </w:r>
      <w:r w:rsidR="00CB6457">
        <w:rPr>
          <w:rFonts w:cs="Times New Roman"/>
          <w:szCs w:val="24"/>
        </w:rPr>
        <w:t>podatników</w:t>
      </w:r>
      <w:r>
        <w:rPr>
          <w:rFonts w:cs="Times New Roman"/>
          <w:szCs w:val="24"/>
        </w:rPr>
        <w:t>,</w:t>
      </w:r>
      <w:r w:rsidR="00CB6457">
        <w:rPr>
          <w:rFonts w:cs="Times New Roman"/>
          <w:szCs w:val="24"/>
        </w:rPr>
        <w:t xml:space="preserve"> produkujących piwo </w:t>
      </w:r>
      <w:r w:rsidR="00C170AB">
        <w:rPr>
          <w:rFonts w:cs="Times New Roman"/>
          <w:szCs w:val="24"/>
        </w:rPr>
        <w:t xml:space="preserve">na terytorium kraju </w:t>
      </w:r>
      <w:r w:rsidR="00CB6457">
        <w:rPr>
          <w:rFonts w:cs="Times New Roman"/>
          <w:szCs w:val="24"/>
        </w:rPr>
        <w:t xml:space="preserve">do 200 tyś. hl (małe bowary), </w:t>
      </w:r>
      <w:r w:rsidR="00C170AB">
        <w:rPr>
          <w:rFonts w:cs="Times New Roman"/>
          <w:szCs w:val="24"/>
        </w:rPr>
        <w:t xml:space="preserve">gdzie </w:t>
      </w:r>
      <w:r w:rsidR="00CB6457">
        <w:rPr>
          <w:rFonts w:cs="Times New Roman"/>
          <w:szCs w:val="24"/>
        </w:rPr>
        <w:t>obowi</w:t>
      </w:r>
      <w:r w:rsidR="00B05070">
        <w:rPr>
          <w:rFonts w:cs="Times New Roman"/>
          <w:szCs w:val="24"/>
        </w:rPr>
        <w:t xml:space="preserve">ązek podatkowy </w:t>
      </w:r>
      <w:r w:rsidR="00C170AB">
        <w:rPr>
          <w:rFonts w:cs="Times New Roman"/>
          <w:szCs w:val="24"/>
        </w:rPr>
        <w:t xml:space="preserve">w stosunku do produkowanego piwa </w:t>
      </w:r>
      <w:r w:rsidR="00B05070">
        <w:rPr>
          <w:rFonts w:cs="Times New Roman"/>
          <w:szCs w:val="24"/>
        </w:rPr>
        <w:t>powstał w 2021 roku</w:t>
      </w:r>
      <w:r w:rsidR="00CB6457">
        <w:rPr>
          <w:rFonts w:cs="Times New Roman"/>
          <w:szCs w:val="24"/>
        </w:rPr>
        <w:t xml:space="preserve">, aby </w:t>
      </w:r>
      <w:r w:rsidR="00B05070">
        <w:rPr>
          <w:rFonts w:cs="Times New Roman"/>
          <w:szCs w:val="24"/>
        </w:rPr>
        <w:t xml:space="preserve">zapewnić im czas na dostosowanie się do nowych wymogów, wprowadzono </w:t>
      </w:r>
      <w:r>
        <w:rPr>
          <w:rFonts w:cs="Times New Roman"/>
          <w:szCs w:val="24"/>
        </w:rPr>
        <w:t>przepis (</w:t>
      </w:r>
      <w:r w:rsidR="00B05070">
        <w:rPr>
          <w:rFonts w:cs="Times New Roman"/>
          <w:szCs w:val="24"/>
        </w:rPr>
        <w:t>§ 2 projektu), który</w:t>
      </w:r>
      <w:r w:rsidR="00B05070" w:rsidRPr="00B05070">
        <w:rPr>
          <w:rFonts w:cs="Times New Roman"/>
          <w:szCs w:val="24"/>
        </w:rPr>
        <w:t xml:space="preserve"> </w:t>
      </w:r>
      <w:r w:rsidR="00B05070">
        <w:rPr>
          <w:rFonts w:cs="Times New Roman"/>
          <w:szCs w:val="24"/>
        </w:rPr>
        <w:t xml:space="preserve">umożliwia tym podmiotom </w:t>
      </w:r>
      <w:r w:rsidR="00CB6457">
        <w:rPr>
          <w:rFonts w:cs="Times New Roman"/>
          <w:szCs w:val="24"/>
        </w:rPr>
        <w:t>kontynuację stosowania zwolnień na dotychczasowych zasadach, tj. bez konieczności posiadani</w:t>
      </w:r>
      <w:r w:rsidR="00B05070">
        <w:rPr>
          <w:rFonts w:cs="Times New Roman"/>
          <w:szCs w:val="24"/>
        </w:rPr>
        <w:t>a certyfikatu małego producenta</w:t>
      </w:r>
      <w:r w:rsidR="00CB6457">
        <w:rPr>
          <w:rFonts w:cs="Times New Roman"/>
          <w:szCs w:val="24"/>
        </w:rPr>
        <w:t>.</w:t>
      </w:r>
    </w:p>
    <w:p w14:paraId="60900764" w14:textId="2BE44217" w:rsidR="00C170AB" w:rsidRDefault="00C170AB" w:rsidP="00F7636B">
      <w:pPr>
        <w:spacing w:before="120" w:after="120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Analogiczne przepisy zostały wprowadzone w § 3 dla </w:t>
      </w:r>
      <w:r>
        <w:t>podmiotów dokonujących nabycia wewnątrzwspólnotowego</w:t>
      </w:r>
      <w:r w:rsidRPr="00527507">
        <w:t xml:space="preserve"> </w:t>
      </w:r>
      <w:r>
        <w:t>piwa lub importu piwa.</w:t>
      </w:r>
    </w:p>
    <w:p w14:paraId="36636962" w14:textId="2D20E521" w:rsidR="00CC7428" w:rsidRDefault="00DC069F" w:rsidP="00D54607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D54607">
        <w:rPr>
          <w:rFonts w:ascii="Times New Roman" w:hAnsi="Times New Roman" w:cs="Times New Roman"/>
          <w:szCs w:val="24"/>
        </w:rPr>
        <w:t>Dodatkowo, w sytuacji kiedy mały browar złoży wniosek o wydanie certyfikatu</w:t>
      </w:r>
      <w:r w:rsidR="00C170AB">
        <w:rPr>
          <w:rFonts w:ascii="Times New Roman" w:hAnsi="Times New Roman" w:cs="Times New Roman"/>
          <w:szCs w:val="24"/>
        </w:rPr>
        <w:t xml:space="preserve"> (do 31 marca 2022 r.)</w:t>
      </w:r>
      <w:r w:rsidRPr="00D54607">
        <w:rPr>
          <w:rFonts w:ascii="Times New Roman" w:hAnsi="Times New Roman" w:cs="Times New Roman"/>
          <w:szCs w:val="24"/>
        </w:rPr>
        <w:t xml:space="preserve">, ale organ nie zdąży go wydać, wprowadzono stosowną regulację (§ </w:t>
      </w:r>
      <w:r w:rsidR="00C170AB">
        <w:rPr>
          <w:rFonts w:ascii="Times New Roman" w:hAnsi="Times New Roman" w:cs="Times New Roman"/>
          <w:szCs w:val="24"/>
        </w:rPr>
        <w:t>4</w:t>
      </w:r>
      <w:r w:rsidR="00E64DD1">
        <w:rPr>
          <w:rFonts w:ascii="Times New Roman" w:hAnsi="Times New Roman" w:cs="Times New Roman"/>
          <w:szCs w:val="24"/>
        </w:rPr>
        <w:t xml:space="preserve"> projektu), na podstawie której</w:t>
      </w:r>
      <w:r w:rsidRPr="00D54607">
        <w:rPr>
          <w:rFonts w:ascii="Times New Roman" w:hAnsi="Times New Roman" w:cs="Times New Roman"/>
          <w:szCs w:val="24"/>
        </w:rPr>
        <w:t xml:space="preserve"> taki mały browar </w:t>
      </w:r>
      <w:r w:rsidR="00E64DD1" w:rsidRPr="00D54607">
        <w:rPr>
          <w:rFonts w:ascii="Times New Roman" w:hAnsi="Times New Roman" w:cs="Times New Roman"/>
          <w:szCs w:val="24"/>
        </w:rPr>
        <w:t xml:space="preserve">w okresie do dnia 31 marca 2022 r. </w:t>
      </w:r>
      <w:r w:rsidRPr="00D54607">
        <w:rPr>
          <w:rFonts w:ascii="Times New Roman" w:hAnsi="Times New Roman" w:cs="Times New Roman"/>
          <w:szCs w:val="24"/>
        </w:rPr>
        <w:t>skorzysta z</w:t>
      </w:r>
      <w:r w:rsidR="00E64DD1">
        <w:rPr>
          <w:rFonts w:ascii="Times New Roman" w:hAnsi="Times New Roman" w:cs="Times New Roman"/>
          <w:szCs w:val="24"/>
        </w:rPr>
        <w:t> </w:t>
      </w:r>
      <w:r w:rsidRPr="00D54607">
        <w:rPr>
          <w:rFonts w:ascii="Times New Roman" w:hAnsi="Times New Roman" w:cs="Times New Roman"/>
          <w:szCs w:val="24"/>
        </w:rPr>
        <w:t xml:space="preserve">przysługującego mu zwolnienia, </w:t>
      </w:r>
      <w:r w:rsidR="00FF5E33" w:rsidRPr="00D54607">
        <w:rPr>
          <w:rFonts w:ascii="Times New Roman" w:hAnsi="Times New Roman" w:cs="Times New Roman"/>
          <w:szCs w:val="24"/>
        </w:rPr>
        <w:t xml:space="preserve">mimo braku takiego certyfikatu. </w:t>
      </w:r>
    </w:p>
    <w:p w14:paraId="5E64A8EF" w14:textId="5B1E1730" w:rsidR="00DC069F" w:rsidRPr="00D54607" w:rsidRDefault="00DC069F" w:rsidP="00D54607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D54607">
        <w:rPr>
          <w:rFonts w:ascii="Times New Roman" w:hAnsi="Times New Roman" w:cs="Times New Roman"/>
          <w:szCs w:val="24"/>
        </w:rPr>
        <w:t>Ponadto analogicznie przepis ten będzie stosowany w przypadku podmiotu nabywającego wewnątrzwspólnotowo piwo, pochodzące od małego zagranicznego browaru</w:t>
      </w:r>
      <w:r w:rsidR="006E5C53" w:rsidRPr="00D54607">
        <w:rPr>
          <w:rFonts w:ascii="Times New Roman" w:hAnsi="Times New Roman" w:cs="Times New Roman"/>
          <w:szCs w:val="24"/>
        </w:rPr>
        <w:t>, któremu również zagraniczny organ nie zdąży wydać certyfikatu (o którego wydanie zagraniczny browar złożył wniosek)</w:t>
      </w:r>
      <w:r w:rsidR="00D36A8C" w:rsidRPr="00D54607">
        <w:rPr>
          <w:rFonts w:ascii="Times New Roman" w:hAnsi="Times New Roman" w:cs="Times New Roman"/>
          <w:szCs w:val="24"/>
        </w:rPr>
        <w:t xml:space="preserve"> - § </w:t>
      </w:r>
      <w:r w:rsidR="00CC7428">
        <w:rPr>
          <w:rFonts w:ascii="Times New Roman" w:hAnsi="Times New Roman" w:cs="Times New Roman"/>
          <w:szCs w:val="24"/>
        </w:rPr>
        <w:t>5</w:t>
      </w:r>
      <w:r w:rsidR="00D36A8C" w:rsidRPr="00D54607">
        <w:rPr>
          <w:rFonts w:ascii="Times New Roman" w:hAnsi="Times New Roman" w:cs="Times New Roman"/>
          <w:szCs w:val="24"/>
        </w:rPr>
        <w:t xml:space="preserve"> projektu.</w:t>
      </w:r>
      <w:r w:rsidR="00CC7428">
        <w:rPr>
          <w:rFonts w:ascii="Times New Roman" w:hAnsi="Times New Roman" w:cs="Times New Roman"/>
          <w:szCs w:val="24"/>
        </w:rPr>
        <w:t xml:space="preserve"> Informację o tym, że podmiot taki złożył wniosek, polski organ będzie mógł otrzymać, działając na podstawie rozporządzenia </w:t>
      </w:r>
      <w:r w:rsidR="00CC7428" w:rsidRPr="00CC7428">
        <w:rPr>
          <w:rFonts w:ascii="Times New Roman" w:hAnsi="Times New Roman" w:cs="Times New Roman"/>
          <w:szCs w:val="24"/>
        </w:rPr>
        <w:t>Rady (UE) nr 389/2012 z dnia 2 maja 2012 r. w sprawie współpracy administracyjnej w dziedzinie podatków akcyzowych oraz uchylenia rozporządzenia (WE) nr 2073/2004</w:t>
      </w:r>
      <w:r w:rsidR="00E76982">
        <w:rPr>
          <w:rFonts w:ascii="Times New Roman" w:hAnsi="Times New Roman" w:cs="Times New Roman"/>
          <w:szCs w:val="24"/>
        </w:rPr>
        <w:t>.</w:t>
      </w:r>
    </w:p>
    <w:p w14:paraId="56B1B955" w14:textId="2C6C7603" w:rsidR="00DC069F" w:rsidRPr="00D54607" w:rsidRDefault="00276377" w:rsidP="00D54607">
      <w:pPr>
        <w:pStyle w:val="ARTartustawynprozporzdzenia"/>
        <w:spacing w:line="276" w:lineRule="auto"/>
        <w:ind w:firstLine="0"/>
        <w:rPr>
          <w:rFonts w:ascii="Times New Roman" w:hAnsi="Times New Roman" w:cs="Times New Roman"/>
          <w:szCs w:val="24"/>
        </w:rPr>
      </w:pPr>
      <w:r w:rsidRPr="00D54607">
        <w:rPr>
          <w:rFonts w:ascii="Times New Roman" w:hAnsi="Times New Roman" w:cs="Times New Roman"/>
          <w:szCs w:val="24"/>
        </w:rPr>
        <w:t xml:space="preserve">W myśl § </w:t>
      </w:r>
      <w:r w:rsidR="00CC7428">
        <w:rPr>
          <w:rFonts w:ascii="Times New Roman" w:hAnsi="Times New Roman" w:cs="Times New Roman"/>
          <w:szCs w:val="24"/>
        </w:rPr>
        <w:t>6</w:t>
      </w:r>
      <w:r w:rsidRPr="00D54607">
        <w:rPr>
          <w:rFonts w:ascii="Times New Roman" w:hAnsi="Times New Roman" w:cs="Times New Roman"/>
          <w:szCs w:val="24"/>
        </w:rPr>
        <w:t xml:space="preserve"> projektu, w</w:t>
      </w:r>
      <w:r w:rsidR="00D36A8C" w:rsidRPr="00D54607">
        <w:rPr>
          <w:rFonts w:ascii="Times New Roman" w:hAnsi="Times New Roman" w:cs="Times New Roman"/>
          <w:szCs w:val="24"/>
        </w:rPr>
        <w:t xml:space="preserve"> przypadku importu piwa, pochodzącego od małego browaru, w</w:t>
      </w:r>
      <w:r w:rsidR="00DC069F" w:rsidRPr="00D54607">
        <w:rPr>
          <w:rFonts w:ascii="Times New Roman" w:hAnsi="Times New Roman" w:cs="Times New Roman"/>
          <w:szCs w:val="24"/>
        </w:rPr>
        <w:t xml:space="preserve"> okresie do dnia 31 marca 2022 r. podmiot dokonujący </w:t>
      </w:r>
      <w:r w:rsidR="00D36A8C" w:rsidRPr="00D54607">
        <w:rPr>
          <w:rFonts w:ascii="Times New Roman" w:hAnsi="Times New Roman" w:cs="Times New Roman"/>
          <w:szCs w:val="24"/>
        </w:rPr>
        <w:t xml:space="preserve">takiego </w:t>
      </w:r>
      <w:r w:rsidR="00DC069F" w:rsidRPr="00D54607">
        <w:rPr>
          <w:rFonts w:ascii="Times New Roman" w:hAnsi="Times New Roman" w:cs="Times New Roman"/>
          <w:szCs w:val="24"/>
        </w:rPr>
        <w:t>importu zamiast dokumentu</w:t>
      </w:r>
      <w:r w:rsidR="00D36A8C" w:rsidRPr="00D54607">
        <w:rPr>
          <w:rFonts w:ascii="Times New Roman" w:hAnsi="Times New Roman" w:cs="Times New Roman"/>
          <w:szCs w:val="24"/>
        </w:rPr>
        <w:t>, który ma zawierać takie same dane, jakie są wymagane dla certyfikatu</w:t>
      </w:r>
      <w:r w:rsidR="00DC069F" w:rsidRPr="00D54607">
        <w:rPr>
          <w:rFonts w:ascii="Times New Roman" w:hAnsi="Times New Roman" w:cs="Times New Roman"/>
          <w:szCs w:val="24"/>
        </w:rPr>
        <w:t>, może przedstawić zaświadczenie</w:t>
      </w:r>
      <w:r w:rsidR="00D36A8C" w:rsidRPr="00D54607">
        <w:rPr>
          <w:rFonts w:ascii="Times New Roman" w:hAnsi="Times New Roman" w:cs="Times New Roman"/>
          <w:szCs w:val="24"/>
        </w:rPr>
        <w:t xml:space="preserve">, o którym mowa w obecnie obowiązujących przepisach § 13 ust. 1 zmienianego rozporządzenia. </w:t>
      </w:r>
      <w:r w:rsidR="00DC069F" w:rsidRPr="00D54607">
        <w:rPr>
          <w:rFonts w:ascii="Times New Roman" w:hAnsi="Times New Roman" w:cs="Times New Roman"/>
          <w:szCs w:val="24"/>
        </w:rPr>
        <w:t xml:space="preserve"> </w:t>
      </w:r>
    </w:p>
    <w:p w14:paraId="1766274D" w14:textId="77777777" w:rsidR="00DC069F" w:rsidRPr="00011AF5" w:rsidRDefault="00DC069F" w:rsidP="00F7636B">
      <w:pPr>
        <w:spacing w:before="120" w:after="120" w:line="276" w:lineRule="auto"/>
        <w:jc w:val="both"/>
        <w:rPr>
          <w:rFonts w:cs="Times New Roman"/>
          <w:szCs w:val="24"/>
        </w:rPr>
      </w:pPr>
    </w:p>
    <w:p w14:paraId="37AF3986" w14:textId="6AFFD4FC" w:rsidR="00DA244C" w:rsidRPr="00B80930" w:rsidRDefault="00615A63" w:rsidP="002260D7">
      <w:pPr>
        <w:spacing w:before="120" w:after="120" w:line="276" w:lineRule="auto"/>
        <w:jc w:val="both"/>
        <w:rPr>
          <w:rFonts w:cs="Times New Roman"/>
          <w:szCs w:val="24"/>
        </w:rPr>
      </w:pPr>
      <w:r w:rsidRPr="00B80930">
        <w:rPr>
          <w:rFonts w:cs="Times New Roman"/>
          <w:szCs w:val="24"/>
        </w:rPr>
        <w:t>Przewiduje się, że rozporządzenie wejdzie</w:t>
      </w:r>
      <w:r w:rsidR="00F96548" w:rsidRPr="00B80930">
        <w:rPr>
          <w:rFonts w:cs="Times New Roman"/>
          <w:szCs w:val="24"/>
        </w:rPr>
        <w:t xml:space="preserve"> w życie </w:t>
      </w:r>
      <w:r w:rsidR="0044608A">
        <w:rPr>
          <w:rFonts w:cs="Times New Roman"/>
          <w:szCs w:val="24"/>
        </w:rPr>
        <w:t xml:space="preserve">z dniem </w:t>
      </w:r>
      <w:r w:rsidR="00590D00">
        <w:rPr>
          <w:rFonts w:cs="Times New Roman"/>
          <w:szCs w:val="24"/>
        </w:rPr>
        <w:t>1 stycznia 2022</w:t>
      </w:r>
      <w:r w:rsidR="00363F68">
        <w:rPr>
          <w:rFonts w:cs="Times New Roman"/>
          <w:szCs w:val="24"/>
        </w:rPr>
        <w:t xml:space="preserve"> r</w:t>
      </w:r>
      <w:r w:rsidR="001F7448" w:rsidRPr="00B80930">
        <w:rPr>
          <w:rFonts w:cs="Times New Roman"/>
          <w:szCs w:val="24"/>
        </w:rPr>
        <w:t>.</w:t>
      </w:r>
    </w:p>
    <w:p w14:paraId="0DCF9B86" w14:textId="77777777" w:rsidR="009C6095" w:rsidRPr="00B80930" w:rsidRDefault="009C6095" w:rsidP="002260D7">
      <w:pPr>
        <w:spacing w:before="120" w:after="120" w:line="276" w:lineRule="auto"/>
        <w:jc w:val="both"/>
        <w:rPr>
          <w:rFonts w:cs="Times New Roman"/>
          <w:szCs w:val="24"/>
        </w:rPr>
      </w:pPr>
      <w:r w:rsidRPr="00B80930">
        <w:rPr>
          <w:rFonts w:cs="Times New Roman"/>
          <w:szCs w:val="24"/>
        </w:rPr>
        <w:t xml:space="preserve">Projekt rozporządzenia jest zgodny z prawem Unii Europejskiej. </w:t>
      </w:r>
    </w:p>
    <w:p w14:paraId="708E1129" w14:textId="77777777" w:rsidR="009C6095" w:rsidRPr="00B80930" w:rsidRDefault="009C6095" w:rsidP="002260D7">
      <w:pPr>
        <w:spacing w:before="120" w:after="120" w:line="276" w:lineRule="auto"/>
        <w:jc w:val="both"/>
        <w:rPr>
          <w:rFonts w:cs="Times New Roman"/>
          <w:szCs w:val="24"/>
        </w:rPr>
      </w:pPr>
      <w:r w:rsidRPr="00B80930">
        <w:rPr>
          <w:rFonts w:cs="Times New Roman"/>
          <w:szCs w:val="24"/>
        </w:rPr>
        <w:t xml:space="preserve">Projekt rozporządzenia nie podlega przedstawieniu właściwym organom i instytucjom Unii Europejskiej, w tym Europejskiemu Bankowi Centralnemu. </w:t>
      </w:r>
    </w:p>
    <w:p w14:paraId="1535358D" w14:textId="77777777" w:rsidR="009C6095" w:rsidRPr="00B80930" w:rsidRDefault="009C6095" w:rsidP="002260D7">
      <w:pPr>
        <w:spacing w:line="276" w:lineRule="auto"/>
        <w:jc w:val="both"/>
        <w:rPr>
          <w:rFonts w:cs="Times New Roman"/>
          <w:szCs w:val="24"/>
        </w:rPr>
      </w:pPr>
      <w:r w:rsidRPr="00B80930">
        <w:rPr>
          <w:rFonts w:cs="Times New Roman"/>
          <w:szCs w:val="24"/>
        </w:rPr>
        <w:t>Projekt rozporządzenia nie zawiera norm technicznych w rozumieniu przepisów rozporządzenia Rady Ministrów z dnia 23 grudnia 2002 r. w sprawie sposobu funkcjonowania krajowego systemu notyfikacji norm i aktów prawnych (Dz. U. poz. 2039, z późn. zm.), w związku z czym nie podlega notyfikacji.</w:t>
      </w:r>
    </w:p>
    <w:p w14:paraId="2F4E7AA0" w14:textId="77777777" w:rsidR="00E20B66" w:rsidRPr="00B80930" w:rsidRDefault="00E20B66" w:rsidP="002260D7">
      <w:pPr>
        <w:spacing w:line="276" w:lineRule="auto"/>
        <w:jc w:val="both"/>
        <w:rPr>
          <w:rFonts w:cs="Times New Roman"/>
          <w:szCs w:val="24"/>
        </w:rPr>
      </w:pPr>
    </w:p>
    <w:p w14:paraId="0A979B7A" w14:textId="561995A4" w:rsidR="00DA244C" w:rsidRPr="00B80930" w:rsidRDefault="009C6095" w:rsidP="002260D7">
      <w:pPr>
        <w:spacing w:line="276" w:lineRule="auto"/>
        <w:jc w:val="both"/>
        <w:rPr>
          <w:rFonts w:cs="Times New Roman"/>
          <w:szCs w:val="24"/>
        </w:rPr>
      </w:pPr>
      <w:r w:rsidRPr="00B80930">
        <w:rPr>
          <w:rFonts w:cs="Times New Roman"/>
          <w:szCs w:val="24"/>
        </w:rPr>
        <w:t>Zgodnie z art. 5 ustawy z dnia 7 lipca 2005 r. o działalności lobbingowej w procesie stanowienia prawa (Dz. U. z 2017 r., poz. 248) w związku z § 52 uchwały Nr 190 Rady Ministrów z dnia 29 października 2013 r. Regulamin pracy Rady Ministrów (M.P. z 2016 r. poz. 1006, z późn. zm.), projekt rozporządzenia, z chwilą przekazania do uzgodnień z</w:t>
      </w:r>
      <w:r w:rsidR="00712D7C" w:rsidRPr="00B80930">
        <w:rPr>
          <w:rFonts w:cs="Times New Roman"/>
          <w:szCs w:val="24"/>
        </w:rPr>
        <w:t> </w:t>
      </w:r>
      <w:r w:rsidRPr="00B80930">
        <w:rPr>
          <w:rFonts w:cs="Times New Roman"/>
          <w:szCs w:val="24"/>
        </w:rPr>
        <w:t>członkami Rady Ministrów oraz k</w:t>
      </w:r>
      <w:r w:rsidR="00363F68">
        <w:rPr>
          <w:rFonts w:cs="Times New Roman"/>
          <w:szCs w:val="24"/>
        </w:rPr>
        <w:t>onsultacji publicznych, zostanie</w:t>
      </w:r>
      <w:r w:rsidRPr="00B80930">
        <w:rPr>
          <w:rFonts w:cs="Times New Roman"/>
          <w:szCs w:val="24"/>
        </w:rPr>
        <w:t xml:space="preserve"> udostępniony w Biuletynie Informacji Publicznej na stronie podmiotowej Rządowego Centrum Legislacji, w serwisie Rządowy Proces Legislacji.</w:t>
      </w:r>
    </w:p>
    <w:sectPr w:rsidR="00DA244C" w:rsidRPr="00B80930" w:rsidSect="001A7F15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5E514" w14:textId="77777777" w:rsidR="001B298D" w:rsidRDefault="001B298D" w:rsidP="001F29D8">
      <w:pPr>
        <w:spacing w:line="240" w:lineRule="auto"/>
      </w:pPr>
      <w:r>
        <w:separator/>
      </w:r>
    </w:p>
  </w:endnote>
  <w:endnote w:type="continuationSeparator" w:id="0">
    <w:p w14:paraId="36546EDF" w14:textId="77777777" w:rsidR="001B298D" w:rsidRDefault="001B298D" w:rsidP="001F29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6E708" w14:textId="77777777" w:rsidR="001B298D" w:rsidRDefault="001B298D" w:rsidP="001F29D8">
      <w:pPr>
        <w:spacing w:line="240" w:lineRule="auto"/>
      </w:pPr>
      <w:r>
        <w:separator/>
      </w:r>
    </w:p>
  </w:footnote>
  <w:footnote w:type="continuationSeparator" w:id="0">
    <w:p w14:paraId="1EDA8535" w14:textId="77777777" w:rsidR="001B298D" w:rsidRDefault="001B298D" w:rsidP="001F29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DF3A8" w14:textId="77777777" w:rsidR="00CC3E3D" w:rsidRPr="00B371CC" w:rsidRDefault="00977D2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91108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148EF"/>
    <w:multiLevelType w:val="hybridMultilevel"/>
    <w:tmpl w:val="852EB942"/>
    <w:lvl w:ilvl="0" w:tplc="FF946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F09"/>
    <w:multiLevelType w:val="hybridMultilevel"/>
    <w:tmpl w:val="7EFA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A1A0D"/>
    <w:multiLevelType w:val="hybridMultilevel"/>
    <w:tmpl w:val="831C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436EA"/>
    <w:multiLevelType w:val="hybridMultilevel"/>
    <w:tmpl w:val="831C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D8"/>
    <w:rsid w:val="00000ACF"/>
    <w:rsid w:val="00000E3A"/>
    <w:rsid w:val="00011AF5"/>
    <w:rsid w:val="00012646"/>
    <w:rsid w:val="000137F2"/>
    <w:rsid w:val="000357FF"/>
    <w:rsid w:val="00046A0C"/>
    <w:rsid w:val="00091108"/>
    <w:rsid w:val="000957FF"/>
    <w:rsid w:val="000C41B2"/>
    <w:rsid w:val="001055DE"/>
    <w:rsid w:val="0010630A"/>
    <w:rsid w:val="00107915"/>
    <w:rsid w:val="001125D0"/>
    <w:rsid w:val="00113519"/>
    <w:rsid w:val="001170A0"/>
    <w:rsid w:val="00122F75"/>
    <w:rsid w:val="00131CDC"/>
    <w:rsid w:val="00132D22"/>
    <w:rsid w:val="00135A6E"/>
    <w:rsid w:val="00151865"/>
    <w:rsid w:val="001530E1"/>
    <w:rsid w:val="00154E99"/>
    <w:rsid w:val="00174942"/>
    <w:rsid w:val="0018062C"/>
    <w:rsid w:val="0019323D"/>
    <w:rsid w:val="0019398C"/>
    <w:rsid w:val="0019693D"/>
    <w:rsid w:val="001A276B"/>
    <w:rsid w:val="001A6C02"/>
    <w:rsid w:val="001B298D"/>
    <w:rsid w:val="001B44E6"/>
    <w:rsid w:val="001F29D8"/>
    <w:rsid w:val="001F7448"/>
    <w:rsid w:val="00207A81"/>
    <w:rsid w:val="00223951"/>
    <w:rsid w:val="002260D7"/>
    <w:rsid w:val="00231C27"/>
    <w:rsid w:val="00236D44"/>
    <w:rsid w:val="00253E31"/>
    <w:rsid w:val="00254B50"/>
    <w:rsid w:val="00276377"/>
    <w:rsid w:val="0028189C"/>
    <w:rsid w:val="00282E92"/>
    <w:rsid w:val="002A7153"/>
    <w:rsid w:val="002B1833"/>
    <w:rsid w:val="002C7D94"/>
    <w:rsid w:val="002E26F7"/>
    <w:rsid w:val="002F1A9D"/>
    <w:rsid w:val="002F39D6"/>
    <w:rsid w:val="00303EEA"/>
    <w:rsid w:val="00310225"/>
    <w:rsid w:val="003404A5"/>
    <w:rsid w:val="00363F68"/>
    <w:rsid w:val="00386EFD"/>
    <w:rsid w:val="00387724"/>
    <w:rsid w:val="00391ABA"/>
    <w:rsid w:val="003A1925"/>
    <w:rsid w:val="003B3734"/>
    <w:rsid w:val="003C3F01"/>
    <w:rsid w:val="003D2D99"/>
    <w:rsid w:val="003D5436"/>
    <w:rsid w:val="003D60E8"/>
    <w:rsid w:val="00402170"/>
    <w:rsid w:val="004064EC"/>
    <w:rsid w:val="00413E6D"/>
    <w:rsid w:val="004150C4"/>
    <w:rsid w:val="00432ED1"/>
    <w:rsid w:val="00435861"/>
    <w:rsid w:val="00435A9D"/>
    <w:rsid w:val="00440A79"/>
    <w:rsid w:val="004424D5"/>
    <w:rsid w:val="0044608A"/>
    <w:rsid w:val="00447EFC"/>
    <w:rsid w:val="00460C45"/>
    <w:rsid w:val="004670A2"/>
    <w:rsid w:val="00474A39"/>
    <w:rsid w:val="004A5524"/>
    <w:rsid w:val="004A7823"/>
    <w:rsid w:val="004B592A"/>
    <w:rsid w:val="004C2300"/>
    <w:rsid w:val="004C2F0D"/>
    <w:rsid w:val="004D21BC"/>
    <w:rsid w:val="004E2603"/>
    <w:rsid w:val="004E6390"/>
    <w:rsid w:val="004F6704"/>
    <w:rsid w:val="0050463F"/>
    <w:rsid w:val="00510DC9"/>
    <w:rsid w:val="005142E8"/>
    <w:rsid w:val="0052047D"/>
    <w:rsid w:val="00545EDE"/>
    <w:rsid w:val="005603B7"/>
    <w:rsid w:val="00561FBC"/>
    <w:rsid w:val="00563E81"/>
    <w:rsid w:val="00580388"/>
    <w:rsid w:val="00580C78"/>
    <w:rsid w:val="005836A2"/>
    <w:rsid w:val="005909DB"/>
    <w:rsid w:val="00590D00"/>
    <w:rsid w:val="00594C09"/>
    <w:rsid w:val="00596655"/>
    <w:rsid w:val="005A7628"/>
    <w:rsid w:val="005B75B9"/>
    <w:rsid w:val="005C7DD6"/>
    <w:rsid w:val="005D3301"/>
    <w:rsid w:val="00602A80"/>
    <w:rsid w:val="006054D1"/>
    <w:rsid w:val="00615A45"/>
    <w:rsid w:val="00615A63"/>
    <w:rsid w:val="0061689F"/>
    <w:rsid w:val="006368BA"/>
    <w:rsid w:val="00644CC3"/>
    <w:rsid w:val="0065750D"/>
    <w:rsid w:val="00663389"/>
    <w:rsid w:val="00664E4D"/>
    <w:rsid w:val="00674830"/>
    <w:rsid w:val="00686572"/>
    <w:rsid w:val="006874AC"/>
    <w:rsid w:val="006A547B"/>
    <w:rsid w:val="006A7F5F"/>
    <w:rsid w:val="006B353B"/>
    <w:rsid w:val="006E5C53"/>
    <w:rsid w:val="00702C67"/>
    <w:rsid w:val="00712B3A"/>
    <w:rsid w:val="00712D7C"/>
    <w:rsid w:val="0072195F"/>
    <w:rsid w:val="007302B6"/>
    <w:rsid w:val="00731002"/>
    <w:rsid w:val="00733E40"/>
    <w:rsid w:val="007367BC"/>
    <w:rsid w:val="0074525A"/>
    <w:rsid w:val="00765EB1"/>
    <w:rsid w:val="0078205C"/>
    <w:rsid w:val="00782C9D"/>
    <w:rsid w:val="007850C4"/>
    <w:rsid w:val="00786F0D"/>
    <w:rsid w:val="00793C84"/>
    <w:rsid w:val="007A625D"/>
    <w:rsid w:val="007B33DD"/>
    <w:rsid w:val="007C2121"/>
    <w:rsid w:val="007D2504"/>
    <w:rsid w:val="007D558A"/>
    <w:rsid w:val="007D682E"/>
    <w:rsid w:val="007D7375"/>
    <w:rsid w:val="007E171B"/>
    <w:rsid w:val="007E4793"/>
    <w:rsid w:val="007E731B"/>
    <w:rsid w:val="007F297C"/>
    <w:rsid w:val="008012AE"/>
    <w:rsid w:val="00801C06"/>
    <w:rsid w:val="0080393D"/>
    <w:rsid w:val="008639D1"/>
    <w:rsid w:val="00863AC2"/>
    <w:rsid w:val="0087294A"/>
    <w:rsid w:val="00897B90"/>
    <w:rsid w:val="008A3DF8"/>
    <w:rsid w:val="008A47C2"/>
    <w:rsid w:val="008A4A69"/>
    <w:rsid w:val="008B07C8"/>
    <w:rsid w:val="008B64A2"/>
    <w:rsid w:val="008B76B9"/>
    <w:rsid w:val="008C431B"/>
    <w:rsid w:val="0092608D"/>
    <w:rsid w:val="00935BE6"/>
    <w:rsid w:val="00952684"/>
    <w:rsid w:val="00965D3F"/>
    <w:rsid w:val="009673F0"/>
    <w:rsid w:val="00974B82"/>
    <w:rsid w:val="00977324"/>
    <w:rsid w:val="00977D2B"/>
    <w:rsid w:val="00981911"/>
    <w:rsid w:val="009C384D"/>
    <w:rsid w:val="009C439C"/>
    <w:rsid w:val="009C6095"/>
    <w:rsid w:val="00A13F12"/>
    <w:rsid w:val="00A21CA7"/>
    <w:rsid w:val="00A23F81"/>
    <w:rsid w:val="00A41322"/>
    <w:rsid w:val="00A44C69"/>
    <w:rsid w:val="00A5363C"/>
    <w:rsid w:val="00A610E4"/>
    <w:rsid w:val="00A63854"/>
    <w:rsid w:val="00A84F5F"/>
    <w:rsid w:val="00A902B4"/>
    <w:rsid w:val="00A90D4D"/>
    <w:rsid w:val="00AC5DDA"/>
    <w:rsid w:val="00AD0657"/>
    <w:rsid w:val="00AE5A34"/>
    <w:rsid w:val="00AF5C9B"/>
    <w:rsid w:val="00B05070"/>
    <w:rsid w:val="00B2015A"/>
    <w:rsid w:val="00B30DD2"/>
    <w:rsid w:val="00B344CD"/>
    <w:rsid w:val="00B80930"/>
    <w:rsid w:val="00B90CF0"/>
    <w:rsid w:val="00BD0967"/>
    <w:rsid w:val="00BE6A14"/>
    <w:rsid w:val="00BF5448"/>
    <w:rsid w:val="00C05071"/>
    <w:rsid w:val="00C170AB"/>
    <w:rsid w:val="00C237BD"/>
    <w:rsid w:val="00C311C7"/>
    <w:rsid w:val="00C37EAC"/>
    <w:rsid w:val="00C428E6"/>
    <w:rsid w:val="00C51077"/>
    <w:rsid w:val="00C57790"/>
    <w:rsid w:val="00C64C76"/>
    <w:rsid w:val="00C67E85"/>
    <w:rsid w:val="00C72E0B"/>
    <w:rsid w:val="00C80115"/>
    <w:rsid w:val="00C80B06"/>
    <w:rsid w:val="00CA120C"/>
    <w:rsid w:val="00CA23B3"/>
    <w:rsid w:val="00CB12EE"/>
    <w:rsid w:val="00CB6457"/>
    <w:rsid w:val="00CB7CF7"/>
    <w:rsid w:val="00CC7428"/>
    <w:rsid w:val="00CD50DD"/>
    <w:rsid w:val="00CE4746"/>
    <w:rsid w:val="00CE4AF5"/>
    <w:rsid w:val="00CF5420"/>
    <w:rsid w:val="00D071A1"/>
    <w:rsid w:val="00D13799"/>
    <w:rsid w:val="00D17A48"/>
    <w:rsid w:val="00D36A8C"/>
    <w:rsid w:val="00D4107E"/>
    <w:rsid w:val="00D47700"/>
    <w:rsid w:val="00D52EA8"/>
    <w:rsid w:val="00D54607"/>
    <w:rsid w:val="00D62E0B"/>
    <w:rsid w:val="00D63DF8"/>
    <w:rsid w:val="00D82E4E"/>
    <w:rsid w:val="00D9403D"/>
    <w:rsid w:val="00DA244C"/>
    <w:rsid w:val="00DA2CCF"/>
    <w:rsid w:val="00DB0862"/>
    <w:rsid w:val="00DC069F"/>
    <w:rsid w:val="00DE0E91"/>
    <w:rsid w:val="00DF5C6A"/>
    <w:rsid w:val="00E12909"/>
    <w:rsid w:val="00E15A52"/>
    <w:rsid w:val="00E1710E"/>
    <w:rsid w:val="00E20B66"/>
    <w:rsid w:val="00E46F78"/>
    <w:rsid w:val="00E52EBD"/>
    <w:rsid w:val="00E61D08"/>
    <w:rsid w:val="00E64DD1"/>
    <w:rsid w:val="00E65B1F"/>
    <w:rsid w:val="00E748FD"/>
    <w:rsid w:val="00E76982"/>
    <w:rsid w:val="00E90ADD"/>
    <w:rsid w:val="00EA0F6F"/>
    <w:rsid w:val="00EC1BDA"/>
    <w:rsid w:val="00ED20DA"/>
    <w:rsid w:val="00ED319A"/>
    <w:rsid w:val="00ED3256"/>
    <w:rsid w:val="00ED39DE"/>
    <w:rsid w:val="00EF5864"/>
    <w:rsid w:val="00F00254"/>
    <w:rsid w:val="00F02E17"/>
    <w:rsid w:val="00F05450"/>
    <w:rsid w:val="00F12312"/>
    <w:rsid w:val="00F30DAE"/>
    <w:rsid w:val="00F316B8"/>
    <w:rsid w:val="00F70301"/>
    <w:rsid w:val="00F7636B"/>
    <w:rsid w:val="00F76B8E"/>
    <w:rsid w:val="00F96548"/>
    <w:rsid w:val="00FA7528"/>
    <w:rsid w:val="00FD1C87"/>
    <w:rsid w:val="00FD5338"/>
    <w:rsid w:val="00FD6930"/>
    <w:rsid w:val="00FD7669"/>
    <w:rsid w:val="00FE00D7"/>
    <w:rsid w:val="00FE0169"/>
    <w:rsid w:val="00FF227C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7B22"/>
  <w15:chartTrackingRefBased/>
  <w15:docId w15:val="{AB958176-CE10-4AFE-B9C2-98E0CE8F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9D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F29D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29D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ODNONIKtreodnonika">
    <w:name w:val="ODNOŚNIK – treść odnośnika"/>
    <w:uiPriority w:val="19"/>
    <w:qFormat/>
    <w:rsid w:val="001F29D8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F29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F29D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F29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29D8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9D8"/>
    <w:rPr>
      <w:rFonts w:ascii="Times" w:eastAsia="Times New Roman" w:hAnsi="Times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9D8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LITlitera">
    <w:name w:val="LIT – litera"/>
    <w:basedOn w:val="PKTpunkt"/>
    <w:uiPriority w:val="14"/>
    <w:qFormat/>
    <w:rsid w:val="00D82E4E"/>
    <w:pPr>
      <w:ind w:left="986" w:hanging="476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5A"/>
    <w:pPr>
      <w:spacing w:line="240" w:lineRule="auto"/>
    </w:pPr>
    <w:rPr>
      <w:rFonts w:ascii="Times New Roman" w:eastAsiaTheme="minorEastAsia" w:hAnsi="Times New Roman" w:cs="Arial"/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5A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Akapitzlist">
    <w:name w:val="List Paragraph"/>
    <w:aliases w:val="Dot pt,F5 List Paragraph,Recommendation,Kolorowa lista — akcent 11,Numerowanie,Akapit z listą11,Numbered Para 1,No Spacing1,List Paragraph Char Char Char,Indicator Text,2,3"/>
    <w:basedOn w:val="Normalny"/>
    <w:link w:val="AkapitzlistZnak"/>
    <w:uiPriority w:val="34"/>
    <w:qFormat/>
    <w:rsid w:val="00ED325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Dot pt Znak,F5 List Paragraph Znak,Recommendation Znak,Kolorowa lista — akcent 11 Znak,Numerowanie Znak,Akapit z listą11 Znak,Numbered Para 1 Znak,No Spacing1 Znak,List Paragraph Char Char Char Znak,Indicator Text Znak,2 Znak,3 Znak"/>
    <w:link w:val="Akapitzlist"/>
    <w:uiPriority w:val="34"/>
    <w:qFormat/>
    <w:locked/>
    <w:rsid w:val="00ED3256"/>
  </w:style>
  <w:style w:type="paragraph" w:customStyle="1" w:styleId="Default">
    <w:name w:val="Default"/>
    <w:rsid w:val="00A44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pogrubienie">
    <w:name w:val="_P_ – pogrubienie"/>
    <w:basedOn w:val="Domylnaczcionkaakapitu"/>
    <w:uiPriority w:val="1"/>
    <w:qFormat/>
    <w:rsid w:val="00DC069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10636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Łućko Renata</dc:creator>
  <cp:keywords/>
  <dc:description/>
  <cp:lastModifiedBy>Kaute Agnieszka</cp:lastModifiedBy>
  <cp:revision>2</cp:revision>
  <cp:lastPrinted>2020-03-07T11:42:00Z</cp:lastPrinted>
  <dcterms:created xsi:type="dcterms:W3CDTF">2021-12-20T08:05:00Z</dcterms:created>
  <dcterms:modified xsi:type="dcterms:W3CDTF">2021-12-20T08:05:00Z</dcterms:modified>
</cp:coreProperties>
</file>