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41" w:rsidRPr="008D0E84" w:rsidRDefault="00266B41" w:rsidP="00266B41">
      <w:pPr>
        <w:pStyle w:val="Nagwek6"/>
      </w:pPr>
      <w:bookmarkStart w:id="0" w:name="_GoBack"/>
      <w:bookmarkEnd w:id="0"/>
      <w:r w:rsidRPr="008D0E84">
        <w:t>UZASADNIENIE</w:t>
      </w:r>
    </w:p>
    <w:p w:rsidR="00266B41" w:rsidRPr="008D0E84" w:rsidRDefault="00266B41" w:rsidP="00266B41"/>
    <w:p w:rsidR="00266B41" w:rsidRPr="008D0E84" w:rsidRDefault="009136E6" w:rsidP="00266B41">
      <w:pPr>
        <w:pStyle w:val="Tekstpodstawowywcity3"/>
      </w:pPr>
      <w:r>
        <w:t>W dniu 29 maja 2020 r. Rzeczpospolita Polska związała się ze Zjednoczonym Królestwem Wielkiej Brytanii i Irlandii Północnej umową w sprawie udziału w niektórych wyborach przez obywateli jednego Państwa zamieszkujących na terytorium drugiego Państwa, ratyfikowaną za uprzedni</w:t>
      </w:r>
      <w:r w:rsidR="00F84311">
        <w:t>ą</w:t>
      </w:r>
      <w:r>
        <w:t xml:space="preserve"> zgodą wyrażoną w ustawie ratyfikacyjnej z dnia 27 października 2020 r. i ogł</w:t>
      </w:r>
      <w:r w:rsidR="00D716CA">
        <w:t>oszoną w Dzienniku Ustaw RP pod</w:t>
      </w:r>
      <w:r>
        <w:t xml:space="preserve"> poz. 2264. W wyniku umowy obywa</w:t>
      </w:r>
      <w:r w:rsidR="00F83D56">
        <w:t>tele</w:t>
      </w:r>
      <w:r>
        <w:t xml:space="preserve"> Polski</w:t>
      </w:r>
      <w:r w:rsidR="00F83D56">
        <w:t xml:space="preserve"> zachowali</w:t>
      </w:r>
      <w:r>
        <w:t xml:space="preserve"> prawa wyborcze w wyborach samor</w:t>
      </w:r>
      <w:r w:rsidR="00B10A95">
        <w:t>ządowych, analogiczne</w:t>
      </w:r>
      <w:r>
        <w:t xml:space="preserve"> do tych, które posiadali do momentu wystąpienia Zjednoczonego Królestwa Wielkiej Brytanii i Irlandii Północnej </w:t>
      </w:r>
      <w:r w:rsidR="00F83D56">
        <w:br/>
      </w:r>
      <w:r>
        <w:t>z Unii Europejskiej (co nastąpiło z dniem 3</w:t>
      </w:r>
      <w:r w:rsidR="00F83D56">
        <w:t>1 stycznia 2020 r.)</w:t>
      </w:r>
      <w:r w:rsidR="004F3AE8">
        <w:t>,</w:t>
      </w:r>
      <w:r w:rsidR="00F83D56">
        <w:t xml:space="preserve"> a obywatele</w:t>
      </w:r>
      <w:r>
        <w:t xml:space="preserve"> Zjednoczonego Królestwa Wielkiej Brytanii i Irlandii Północnej</w:t>
      </w:r>
      <w:r w:rsidR="00B10A95">
        <w:t>, którzy legalnie zamieszkują w Polsce,</w:t>
      </w:r>
      <w:r w:rsidR="00F83D56">
        <w:t xml:space="preserve"> utrzymali</w:t>
      </w:r>
      <w:r w:rsidR="00B10A95">
        <w:t xml:space="preserve"> czynne i bierne prawo wyborcze w wyborach do rad gmin oraz czynne prawo wyborcze w wyborach wójtów, burmistrzów i prezydentów miast, jakie posiadali do momentu tzw. Brexitu. </w:t>
      </w:r>
      <w:r>
        <w:t xml:space="preserve">  </w:t>
      </w:r>
    </w:p>
    <w:p w:rsidR="00024585" w:rsidRDefault="00B10A95" w:rsidP="00266B41">
      <w:pPr>
        <w:pStyle w:val="Tekstpodstawowywcity3"/>
      </w:pPr>
      <w:r>
        <w:t>Skutkiem prawnym związania Rzeczypospolitej Polskiej umową jest potrzeba nowelizacji przepisów ustawy z dnia 5 stycznia 2011 r. – Kodeks wyborczy (Dz. U. z 2020 r. poz. 1319</w:t>
      </w:r>
      <w:r w:rsidR="00CD0547">
        <w:t>, z późn. zm.</w:t>
      </w:r>
      <w:r>
        <w:t xml:space="preserve">), gdyż przyznanie praw wyborczych obywatelom państwa trzeciego jest regulacją nie dającą się pogodzić z postanowieniami Kodeksu </w:t>
      </w:r>
      <w:r w:rsidR="00CD0547">
        <w:t xml:space="preserve">wyborczego. Wprawdzie, zgodnie </w:t>
      </w:r>
      <w:r>
        <w:t xml:space="preserve">z art. 91 ust. 2 Konstytucji RP, umowa międzynarodowa ratyfikowana za uprzednią zgodą wyrażoną w ustawie ma pierwszeństwo przed ustawą, jeżeli </w:t>
      </w:r>
      <w:r w:rsidR="00CD0547">
        <w:t xml:space="preserve">ustawy tej nie da się pogodzić </w:t>
      </w:r>
      <w:r>
        <w:t xml:space="preserve">z umową, jednak mając na względzie konstytucyjną zasadę zaufania obywateli </w:t>
      </w:r>
      <w:r w:rsidR="00CD0547">
        <w:br/>
      </w:r>
      <w:r>
        <w:t>do państwa oraz stanowionego</w:t>
      </w:r>
      <w:r w:rsidR="00F83D56">
        <w:t xml:space="preserve"> przez nie</w:t>
      </w:r>
      <w:r>
        <w:t xml:space="preserve"> prawa</w:t>
      </w:r>
      <w:r w:rsidR="00F83D56">
        <w:t xml:space="preserve">, a także z uwagi na zasady prawidłowej legislacji, niezbędne jest dostosowanie przepisów Kodeksu wyborczego do regulacji zawartych </w:t>
      </w:r>
      <w:r w:rsidR="00F83D56">
        <w:br/>
        <w:t>w umowie.</w:t>
      </w:r>
    </w:p>
    <w:p w:rsidR="00B10A95" w:rsidRDefault="00CD0547" w:rsidP="00024585">
      <w:pPr>
        <w:ind w:firstLine="708"/>
        <w:jc w:val="both"/>
        <w:rPr>
          <w:lang w:eastAsia="zh-CN"/>
        </w:rPr>
      </w:pPr>
      <w:r>
        <w:rPr>
          <w:lang w:eastAsia="zh-CN"/>
        </w:rPr>
        <w:t>S</w:t>
      </w:r>
      <w:r w:rsidR="00024585" w:rsidRPr="00EA7C4B">
        <w:rPr>
          <w:lang w:eastAsia="zh-CN"/>
        </w:rPr>
        <w:t xml:space="preserve">prawy dotyczące wyborów nie zostały objęte żadnym z działów administracji rządowej. Materia ta zwyczajowo należy do domeny Sejmu i Senatu, a najwyższym organem wyborczym jest Państwowa Komisja Wyborcza. </w:t>
      </w:r>
      <w:r>
        <w:rPr>
          <w:lang w:eastAsia="zh-CN"/>
        </w:rPr>
        <w:t xml:space="preserve">Niemniej jednak </w:t>
      </w:r>
      <w:r w:rsidR="00024585">
        <w:rPr>
          <w:lang w:eastAsia="zh-CN"/>
        </w:rPr>
        <w:t>to Minister Spraw Wewnętrznych i Administracji został</w:t>
      </w:r>
      <w:r w:rsidR="00C15C9B">
        <w:rPr>
          <w:lang w:eastAsia="zh-CN"/>
        </w:rPr>
        <w:t xml:space="preserve"> zobowiązany</w:t>
      </w:r>
      <w:r w:rsidR="00024585">
        <w:rPr>
          <w:lang w:eastAsia="zh-CN"/>
        </w:rPr>
        <w:t xml:space="preserve"> w uzasadnieniu </w:t>
      </w:r>
      <w:r w:rsidR="00C15C9B">
        <w:rPr>
          <w:lang w:eastAsia="zh-CN"/>
        </w:rPr>
        <w:t xml:space="preserve">do wniosku </w:t>
      </w:r>
      <w:r w:rsidR="00024585">
        <w:rPr>
          <w:lang w:eastAsia="zh-CN"/>
        </w:rPr>
        <w:t xml:space="preserve">o ratyfikację umowy </w:t>
      </w:r>
      <w:r w:rsidR="00C15C9B">
        <w:t>do</w:t>
      </w:r>
      <w:r w:rsidR="00024585" w:rsidRPr="00EA7C4B">
        <w:t xml:space="preserve"> podjęcia działań związanych z dostosowaniem praw</w:t>
      </w:r>
      <w:r w:rsidR="00024585">
        <w:t>a polskiego do jej postanowień</w:t>
      </w:r>
      <w:r w:rsidR="00F84311">
        <w:t>.</w:t>
      </w:r>
      <w:r w:rsidR="00024585">
        <w:rPr>
          <w:lang w:eastAsia="zh-CN"/>
        </w:rPr>
        <w:t xml:space="preserve">  </w:t>
      </w:r>
    </w:p>
    <w:p w:rsidR="00F83D56" w:rsidRDefault="00F83D56" w:rsidP="00266B41">
      <w:pPr>
        <w:pStyle w:val="Tekstpodstawowywcity3"/>
      </w:pPr>
      <w:r>
        <w:t>Celem przygotowanego projektu ustawy o zmianie ustawy Kodeks wyborczy jest więc dostosowanie jego przepisów w zakresie potwierdzenia dalszego przysługiwania w wyborach lokalnych praw wyborczych obywatelom Zjednoczonego Królestwa Wielkiej Brytanii i Irlandii Północnej, analogicznych do tych, które posiadali do momentu opuszczenia Unii Europejskiej przez ich kraj.</w:t>
      </w:r>
    </w:p>
    <w:p w:rsidR="00896DF7" w:rsidRDefault="0099497A" w:rsidP="00266B41">
      <w:pPr>
        <w:pStyle w:val="Tekstpodstawowywcity3"/>
      </w:pPr>
      <w:r>
        <w:t>Zmiany przewidziane</w:t>
      </w:r>
      <w:r w:rsidR="00F83D56">
        <w:t xml:space="preserve"> w projekcie ustawy sprowadzają się w istocie do uzupełnienia tych przepisów ustawy – Kodeks wyborczy, które określają udział obywateli Unii Europejskiej nie będących obywatelami polskim w wyborach samorządowych przeprowadzanych </w:t>
      </w:r>
      <w:r w:rsidR="00896DF7">
        <w:br/>
      </w:r>
      <w:r w:rsidR="00F83D56">
        <w:t>na terytorium Polski o obywateli</w:t>
      </w:r>
      <w:r w:rsidR="00896DF7">
        <w:t xml:space="preserve"> Zjednoczonego Królestwa Wielkiej Brytanii i Irlandii Północnej. </w:t>
      </w:r>
    </w:p>
    <w:p w:rsidR="00896DF7" w:rsidRDefault="00896DF7" w:rsidP="00266B41">
      <w:pPr>
        <w:pStyle w:val="Tekstpodstawowywcity3"/>
      </w:pPr>
      <w:r>
        <w:t xml:space="preserve">Są to zatem zmiany w zakresie: </w:t>
      </w:r>
    </w:p>
    <w:p w:rsidR="00F84311" w:rsidRDefault="00896DF7" w:rsidP="00BB08B0">
      <w:pPr>
        <w:pStyle w:val="Tekstpodstawowywcity3"/>
        <w:numPr>
          <w:ilvl w:val="0"/>
          <w:numId w:val="1"/>
        </w:numPr>
      </w:pPr>
      <w:r>
        <w:t xml:space="preserve">pojęcia numeru ewidencyjnego PESEL (art. 1 pkt 1 projektu ustawy, który uzupełnia treść art. 5 pkt 10 Kodeksu wyborczego o Zjednoczone Królestwo Wielkiej Brytanii </w:t>
      </w:r>
      <w:r w:rsidR="00CD0547">
        <w:br/>
      </w:r>
      <w:r>
        <w:t>i Irlandii Północnej)</w:t>
      </w:r>
      <w:r w:rsidR="00F84311">
        <w:t>;</w:t>
      </w:r>
    </w:p>
    <w:p w:rsidR="00F84311" w:rsidRDefault="00896DF7" w:rsidP="00BB08B0">
      <w:pPr>
        <w:pStyle w:val="Tekstpodstawowywcity3"/>
        <w:numPr>
          <w:ilvl w:val="0"/>
          <w:numId w:val="1"/>
        </w:numPr>
      </w:pPr>
      <w:r>
        <w:t>czynnego prawa wyborczego do rady gminy (art. 1 pkt 2 projektu ustawy, który uzupełnia treść art. 10</w:t>
      </w:r>
      <w:r w:rsidR="00543E2F">
        <w:t xml:space="preserve"> §</w:t>
      </w:r>
      <w:r>
        <w:t xml:space="preserve"> 1 pkt 3 lit. a Kodeksu wyborczego o obywateli Zjednoczonego Królestwa Wielkiej B</w:t>
      </w:r>
      <w:r w:rsidR="00543E2F">
        <w:t>rytanii i Irlandii Północnej). Prawo wybierania wójta w danej gminie, na podstawie art. 10 § 1 pkt 4 Kodeksu wyborczego, ma osoba, która ma prawo wybierania do rady tej gminy</w:t>
      </w:r>
      <w:r w:rsidR="00F84311">
        <w:t>;</w:t>
      </w:r>
    </w:p>
    <w:p w:rsidR="00F84311" w:rsidRDefault="00543E2F" w:rsidP="00BB08B0">
      <w:pPr>
        <w:pStyle w:val="Tekstpodstawowywcity3"/>
        <w:numPr>
          <w:ilvl w:val="0"/>
          <w:numId w:val="1"/>
        </w:numPr>
      </w:pPr>
      <w:r>
        <w:t xml:space="preserve">braku prawa wybieralności, co w przypadku obywatela Zjednoczonego Królestwa Wielkiej Brytanii i Irlandii Północnej będzie się odnosiło do wyborów do rady gminy, </w:t>
      </w:r>
      <w:r>
        <w:lastRenderedPageBreak/>
        <w:t>jeśli został pozbawiony takiego prawa w swoim kraju (art. 1 pkt 3 projektu ustawy, który uzupełnia treść art. 11 § 3 Kodeksu wyborczego o obywateli Zjednoczonego Królestwa Wielkiej Brytanii i Irlandii Północnej)</w:t>
      </w:r>
      <w:r w:rsidR="00F84311">
        <w:t>;</w:t>
      </w:r>
    </w:p>
    <w:p w:rsidR="00F84311" w:rsidRDefault="00FD60A9" w:rsidP="00BB08B0">
      <w:pPr>
        <w:pStyle w:val="Tekstpodstawowywcity3"/>
        <w:numPr>
          <w:ilvl w:val="0"/>
          <w:numId w:val="1"/>
        </w:numPr>
      </w:pPr>
      <w:r>
        <w:t xml:space="preserve">części B rejestru wyborców, przekazywaniu informacji pomiędzy Rzeczpospolitą Polską a Zjednoczonym Królestwem Wielkiej Brytanii i Irlandii Północnej danych </w:t>
      </w:r>
      <w:r w:rsidR="00E30330">
        <w:br/>
      </w:r>
      <w:r>
        <w:t>o obywatelach polskich, którzy zamierzają skorzystać z praw wyborczych na terytorium Zjednoczonego Królestwa Wielkiej Brytanii i Irlandii Północnej, a także danych jego obywateli wpisanych oraz skreślonych z reje</w:t>
      </w:r>
      <w:r w:rsidR="00E30330">
        <w:t>stru wyborców (art. 1 pkt 4, 5,</w:t>
      </w:r>
      <w:r>
        <w:t xml:space="preserve"> 6</w:t>
      </w:r>
      <w:r w:rsidR="00E30330">
        <w:t xml:space="preserve"> i 7</w:t>
      </w:r>
      <w:r>
        <w:t xml:space="preserve"> projektu ustawy, który uzupełnia treść art. 18 § 9,</w:t>
      </w:r>
      <w:r w:rsidR="00E30330">
        <w:t xml:space="preserve"> art. 23 § 3,</w:t>
      </w:r>
      <w:r>
        <w:t xml:space="preserve"> art. 24 § 1</w:t>
      </w:r>
      <w:r w:rsidR="00934150">
        <w:t xml:space="preserve"> i art. 25 pkt 4 Kodeksu wyborczego)</w:t>
      </w:r>
      <w:r w:rsidR="00F84311">
        <w:t>;</w:t>
      </w:r>
    </w:p>
    <w:p w:rsidR="00C0686E" w:rsidRDefault="00934150" w:rsidP="00BB08B0">
      <w:pPr>
        <w:pStyle w:val="Tekstpodstawowywcity3"/>
        <w:numPr>
          <w:ilvl w:val="0"/>
          <w:numId w:val="1"/>
        </w:numPr>
      </w:pPr>
      <w:r>
        <w:t>części B spisu wyborców, który po zmianie obejmie również obywateli Zjednoczonego Królestwa Wielkiej Brytanii i Irlandii Północnej niebędących obywatelami polskimi, uprawnionych do korzystania z praw wyborczych w wyborach, które zostały zarządzone w Rzeczyp</w:t>
      </w:r>
      <w:r w:rsidR="00E30330">
        <w:t>ospolitej Polskiej (art. 1 pkt 8</w:t>
      </w:r>
      <w:r>
        <w:t xml:space="preserve"> projektu ustawy, który uzupełnia treść art. 26 § 8 Kodeksu wyborczego). </w:t>
      </w:r>
      <w:r w:rsidR="00FD60A9">
        <w:t xml:space="preserve"> </w:t>
      </w:r>
    </w:p>
    <w:p w:rsidR="00E30330" w:rsidRDefault="00E30330" w:rsidP="00BB08B0">
      <w:pPr>
        <w:pStyle w:val="Tekstpodstawowywcity3"/>
        <w:numPr>
          <w:ilvl w:val="0"/>
          <w:numId w:val="1"/>
        </w:numPr>
      </w:pPr>
      <w:r>
        <w:t xml:space="preserve">zgłoszenia kandydatury obywatela Zjednoczonego Królestwa Wielkiej Brytanii </w:t>
      </w:r>
      <w:r>
        <w:br/>
        <w:t xml:space="preserve">i Irlandii Północnej niebędącego obywatelem polskim w wyborach do rady gminy </w:t>
      </w:r>
      <w:r>
        <w:br/>
        <w:t xml:space="preserve">(art. 1 pkt 9 projektu ustawy, który uzupełnia treść art. 426 § 3 i 4 Kodeksu wyborczego). </w:t>
      </w:r>
    </w:p>
    <w:p w:rsidR="00E97827" w:rsidRPr="00BB08B0" w:rsidRDefault="00C0686E" w:rsidP="00E97827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tab/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Dodatkowo 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>art. 2 projektu ustawy przewiduje, że przepisy</w:t>
      </w:r>
      <w:r w:rsidR="00975FA5">
        <w:rPr>
          <w:rFonts w:ascii="Times New Roman" w:hAnsi="Times New Roman" w:cs="Times New Roman"/>
          <w:color w:val="auto"/>
          <w:sz w:val="24"/>
          <w:szCs w:val="24"/>
        </w:rPr>
        <w:t xml:space="preserve"> rozporządzenia </w:t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>Ministra Spraw Wewnęt</w:t>
      </w:r>
      <w:r w:rsidR="00975FA5">
        <w:rPr>
          <w:rFonts w:ascii="Times New Roman" w:hAnsi="Times New Roman" w:cs="Times New Roman"/>
          <w:color w:val="auto"/>
          <w:sz w:val="24"/>
          <w:szCs w:val="24"/>
        </w:rPr>
        <w:t>rznych i Administracji z dnia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27 lipca 2011 r. </w:t>
      </w:r>
      <w:r w:rsidR="005C41EA" w:rsidRPr="007446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w </w:t>
      </w:r>
      <w:r w:rsidRPr="007446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sprawie rejestru wyborców oraz trybu przekazywania przez Rzeczpospolitą Polską innym państwom członkowskim Unii Europejskiej danych zawartych w tym rejestrze </w:t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(Dz. U. 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>017 r. poz. 1316, z późn. z</w:t>
      </w:r>
      <w:r w:rsidR="00064082" w:rsidRPr="00343276">
        <w:rPr>
          <w:rFonts w:ascii="Times New Roman" w:hAnsi="Times New Roman" w:cs="Times New Roman"/>
          <w:color w:val="auto"/>
          <w:sz w:val="24"/>
          <w:szCs w:val="24"/>
        </w:rPr>
        <w:t>m.) i</w:t>
      </w:r>
      <w:r w:rsidR="00975FA5">
        <w:rPr>
          <w:rFonts w:ascii="Times New Roman" w:hAnsi="Times New Roman" w:cs="Times New Roman"/>
          <w:color w:val="auto"/>
          <w:sz w:val="24"/>
          <w:szCs w:val="24"/>
        </w:rPr>
        <w:t xml:space="preserve"> rozporządzenia Ministra Spraw Wewnętrznych z dnia </w:t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>29 grudnia 20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14 r. </w:t>
      </w:r>
      <w:r w:rsidR="005C41EA" w:rsidRPr="00744668">
        <w:rPr>
          <w:rFonts w:ascii="Times New Roman" w:hAnsi="Times New Roman" w:cs="Times New Roman"/>
          <w:i/>
          <w:color w:val="auto"/>
          <w:sz w:val="24"/>
          <w:szCs w:val="24"/>
        </w:rPr>
        <w:t>w sprawie spisu wyborców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(Dz. U. </w:t>
      </w:r>
      <w:r w:rsidR="005C41EA" w:rsidRPr="0034327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975FA5">
        <w:rPr>
          <w:rFonts w:ascii="Times New Roman" w:hAnsi="Times New Roman" w:cs="Times New Roman"/>
          <w:color w:val="auto"/>
          <w:sz w:val="24"/>
          <w:szCs w:val="24"/>
        </w:rPr>
        <w:t xml:space="preserve"> 2021 r. poz. 697</w:t>
      </w:r>
      <w:r w:rsidR="00064082" w:rsidRPr="00343276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97827" w:rsidRPr="00E97827">
        <w:rPr>
          <w:rFonts w:ascii="Times New Roman" w:hAnsi="Times New Roman" w:cs="Times New Roman"/>
          <w:color w:val="auto"/>
          <w:sz w:val="24"/>
          <w:szCs w:val="24"/>
        </w:rPr>
        <w:t>zachowują moc do dnia wejścia w życi</w:t>
      </w:r>
      <w:r w:rsidR="00E97827">
        <w:rPr>
          <w:rFonts w:ascii="Times New Roman" w:hAnsi="Times New Roman" w:cs="Times New Roman"/>
          <w:color w:val="auto"/>
          <w:sz w:val="24"/>
          <w:szCs w:val="24"/>
        </w:rPr>
        <w:t xml:space="preserve">e nowych przepisów wykonawczych, </w:t>
      </w:r>
      <w:r w:rsidR="00E97827" w:rsidRPr="00E97827">
        <w:rPr>
          <w:rFonts w:ascii="Times New Roman" w:hAnsi="Times New Roman" w:cs="Times New Roman"/>
          <w:color w:val="auto"/>
          <w:sz w:val="24"/>
          <w:szCs w:val="24"/>
        </w:rPr>
        <w:t xml:space="preserve">jednak nie dłużej niż przez 3 miesiące od </w:t>
      </w:r>
      <w:r w:rsidR="00E97827">
        <w:rPr>
          <w:rFonts w:ascii="Times New Roman" w:hAnsi="Times New Roman" w:cs="Times New Roman"/>
          <w:color w:val="auto"/>
          <w:sz w:val="24"/>
          <w:szCs w:val="24"/>
        </w:rPr>
        <w:t>dnia wejścia w</w:t>
      </w:r>
      <w:r w:rsidR="00975FA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97827">
        <w:rPr>
          <w:rFonts w:ascii="Times New Roman" w:hAnsi="Times New Roman" w:cs="Times New Roman"/>
          <w:color w:val="auto"/>
          <w:sz w:val="24"/>
          <w:szCs w:val="24"/>
        </w:rPr>
        <w:t xml:space="preserve">życie </w:t>
      </w:r>
      <w:r w:rsidR="00E97827" w:rsidRPr="00E97827">
        <w:rPr>
          <w:rFonts w:ascii="Times New Roman" w:hAnsi="Times New Roman" w:cs="Times New Roman"/>
          <w:color w:val="auto"/>
          <w:sz w:val="24"/>
          <w:szCs w:val="24"/>
        </w:rPr>
        <w:t>ustawy</w:t>
      </w:r>
      <w:r w:rsidR="003854DF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E978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54DF" w:rsidRPr="00FF5AF7">
        <w:rPr>
          <w:rFonts w:ascii="Times New Roman" w:eastAsia="Times New Roman" w:hAnsi="Times New Roman" w:cs="Times New Roman"/>
          <w:color w:val="auto"/>
          <w:sz w:val="24"/>
          <w:szCs w:val="24"/>
        </w:rPr>
        <w:t>mogą być zmieniane na podstawie tych przepisów.</w:t>
      </w:r>
    </w:p>
    <w:p w:rsidR="007D319D" w:rsidRPr="00E97827" w:rsidRDefault="005C41EA" w:rsidP="00E97827">
      <w:pPr>
        <w:pStyle w:val="Nagwek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7827">
        <w:rPr>
          <w:rFonts w:ascii="Times New Roman" w:hAnsi="Times New Roman" w:cs="Times New Roman"/>
          <w:color w:val="auto"/>
          <w:sz w:val="24"/>
          <w:szCs w:val="24"/>
        </w:rPr>
        <w:t>Zgodnie z art. 3 projektu</w:t>
      </w:r>
      <w:r w:rsidR="007D319D" w:rsidRPr="00E97827">
        <w:rPr>
          <w:rFonts w:ascii="Times New Roman" w:hAnsi="Times New Roman" w:cs="Times New Roman"/>
          <w:color w:val="auto"/>
          <w:sz w:val="24"/>
          <w:szCs w:val="24"/>
        </w:rPr>
        <w:t>, ustawa wejdzie w życie po up</w:t>
      </w:r>
      <w:r w:rsidR="00E97827">
        <w:rPr>
          <w:rFonts w:ascii="Times New Roman" w:hAnsi="Times New Roman" w:cs="Times New Roman"/>
          <w:color w:val="auto"/>
          <w:sz w:val="24"/>
          <w:szCs w:val="24"/>
        </w:rPr>
        <w:t>ływie 14 dni od dnia ogłoszenia.</w:t>
      </w:r>
    </w:p>
    <w:p w:rsidR="00B56F6A" w:rsidRDefault="00B56F6A" w:rsidP="00266B41">
      <w:pPr>
        <w:pStyle w:val="Tekstpodstawowywcity3"/>
      </w:pPr>
    </w:p>
    <w:p w:rsidR="00266B41" w:rsidRPr="004E6FF7" w:rsidRDefault="00266B41" w:rsidP="00266B41">
      <w:pPr>
        <w:pStyle w:val="Tekstpodstawowywcity3"/>
      </w:pPr>
      <w:r w:rsidRPr="004E6FF7">
        <w:t xml:space="preserve">Przedmiot projektowanych regulacji nie jest objęty zakresem prawa Unii Europejskiej.  </w:t>
      </w:r>
    </w:p>
    <w:p w:rsidR="00B56F6A" w:rsidRDefault="00B56F6A" w:rsidP="00C25FAA">
      <w:pPr>
        <w:pStyle w:val="Tekstpodstawowywcity3"/>
      </w:pPr>
    </w:p>
    <w:p w:rsidR="00C25FAA" w:rsidRPr="003B051D" w:rsidRDefault="00266B41" w:rsidP="00C25FAA">
      <w:pPr>
        <w:pStyle w:val="Tekstpodstawowywcity3"/>
        <w:rPr>
          <w:color w:val="000000" w:themeColor="text1"/>
        </w:rPr>
      </w:pPr>
      <w:r w:rsidRPr="004E6FF7">
        <w:t>Projektowane rozporządzenie nie podlega not</w:t>
      </w:r>
      <w:r w:rsidRPr="003B051D">
        <w:rPr>
          <w:color w:val="000000" w:themeColor="text1"/>
        </w:rPr>
        <w:t xml:space="preserve">yfikacji, o której mowa w </w:t>
      </w:r>
      <w:r w:rsidRPr="003B051D">
        <w:rPr>
          <w:rStyle w:val="Kkursywa"/>
          <w:color w:val="000000" w:themeColor="text1"/>
        </w:rPr>
        <w:t xml:space="preserve">rozporządzeniu Rady Ministrów z dnia 23 grudnia 2002 r. w sprawie sposobu funkcjonowania krajowego systemu </w:t>
      </w:r>
      <w:r w:rsidR="00AE294C" w:rsidRPr="003B051D">
        <w:rPr>
          <w:rStyle w:val="Kkursywa"/>
          <w:color w:val="000000" w:themeColor="text1"/>
        </w:rPr>
        <w:t xml:space="preserve">notyfikacji </w:t>
      </w:r>
      <w:r w:rsidRPr="003B051D">
        <w:rPr>
          <w:rStyle w:val="Kkursywa"/>
          <w:color w:val="000000" w:themeColor="text1"/>
        </w:rPr>
        <w:t>norm i aktów prawnych</w:t>
      </w:r>
      <w:r w:rsidR="00C25FAA" w:rsidRPr="003B051D">
        <w:rPr>
          <w:color w:val="000000" w:themeColor="text1"/>
        </w:rPr>
        <w:t xml:space="preserve"> (Dz. U. poz. 2039 </w:t>
      </w:r>
      <w:r w:rsidR="00C25FAA" w:rsidRPr="00145A6A">
        <w:t>oraz z 2004 r. poz. 59</w:t>
      </w:r>
      <w:r w:rsidR="003E1259" w:rsidRPr="00145A6A">
        <w:t>7</w:t>
      </w:r>
      <w:r w:rsidR="00C25FAA" w:rsidRPr="00145A6A">
        <w:t>).</w:t>
      </w:r>
    </w:p>
    <w:p w:rsidR="00266B41" w:rsidRPr="003B051D" w:rsidRDefault="00266B41" w:rsidP="00266B41">
      <w:pPr>
        <w:pStyle w:val="Tekstpodstawowywcity3"/>
        <w:rPr>
          <w:color w:val="000000" w:themeColor="text1"/>
        </w:rPr>
      </w:pPr>
      <w:r w:rsidRPr="003B051D">
        <w:rPr>
          <w:color w:val="000000" w:themeColor="text1"/>
        </w:rPr>
        <w:t xml:space="preserve">Projekt nie wymaga przedstawienia właściwym organom i instytucjom Unii Europejskiej, w tym Europejskiemu Bankowi Centralnemu, w celu uzyskania opinii, dokonania powiadomienia, konsultacji albo uzgodnienia. </w:t>
      </w:r>
    </w:p>
    <w:p w:rsidR="000A2851" w:rsidRPr="003B051D" w:rsidRDefault="0085239E" w:rsidP="000A2851">
      <w:pPr>
        <w:pStyle w:val="Tekstpodstawowywcity3"/>
        <w:rPr>
          <w:color w:val="000000" w:themeColor="text1"/>
        </w:rPr>
      </w:pPr>
      <w:r>
        <w:rPr>
          <w:color w:val="000000" w:themeColor="text1"/>
        </w:rPr>
        <w:t>Projekt został</w:t>
      </w:r>
      <w:r w:rsidR="00266B41" w:rsidRPr="003B051D">
        <w:rPr>
          <w:color w:val="000000" w:themeColor="text1"/>
        </w:rPr>
        <w:t xml:space="preserve"> udostępniony w Biuletynie Informacji Publicznej na stronie internetowej Rządowego Centrum Legislacji w zakładce Rządowy Proces Legislacyjny zgodnie z § 52 </w:t>
      </w:r>
      <w:r w:rsidR="00266B41" w:rsidRPr="003B051D">
        <w:rPr>
          <w:rStyle w:val="Kkursywa"/>
          <w:color w:val="000000" w:themeColor="text1"/>
        </w:rPr>
        <w:t>uchwały nr 190 Rady Ministrów z dnia 29 października 2013 r. – Regulamin pracy Rady Ministrów</w:t>
      </w:r>
      <w:r w:rsidR="00266B41" w:rsidRPr="003B051D">
        <w:rPr>
          <w:color w:val="000000" w:themeColor="text1"/>
        </w:rPr>
        <w:t xml:space="preserve"> (M.P. z 2016 r. poz. 1006, z późn. zm.) oraz stosownie do wymogów art. 5 </w:t>
      </w:r>
      <w:r w:rsidR="00266B41" w:rsidRPr="003B051D">
        <w:rPr>
          <w:rStyle w:val="Kkursywa"/>
          <w:color w:val="000000" w:themeColor="text1"/>
        </w:rPr>
        <w:t>ustawy z</w:t>
      </w:r>
      <w:r>
        <w:rPr>
          <w:rStyle w:val="Kkursywa"/>
          <w:color w:val="000000" w:themeColor="text1"/>
        </w:rPr>
        <w:t> </w:t>
      </w:r>
      <w:r w:rsidR="00266B41" w:rsidRPr="003B051D">
        <w:rPr>
          <w:rStyle w:val="Kkursywa"/>
          <w:color w:val="000000" w:themeColor="text1"/>
        </w:rPr>
        <w:t>dnia 7 lipca 2005 r. o działalności lobbingowej w procesie stanowienia prawa</w:t>
      </w:r>
      <w:r w:rsidR="00266B41" w:rsidRPr="003B051D">
        <w:rPr>
          <w:color w:val="000000" w:themeColor="text1"/>
        </w:rPr>
        <w:t xml:space="preserve"> (Dz. U. z</w:t>
      </w:r>
      <w:r>
        <w:rPr>
          <w:color w:val="000000" w:themeColor="text1"/>
        </w:rPr>
        <w:t> </w:t>
      </w:r>
      <w:r w:rsidR="00266B41" w:rsidRPr="003B051D">
        <w:rPr>
          <w:color w:val="000000" w:themeColor="text1"/>
        </w:rPr>
        <w:t>2017</w:t>
      </w:r>
      <w:r>
        <w:rPr>
          <w:color w:val="000000" w:themeColor="text1"/>
        </w:rPr>
        <w:t> </w:t>
      </w:r>
      <w:r w:rsidR="00266B41" w:rsidRPr="003B051D">
        <w:rPr>
          <w:color w:val="000000" w:themeColor="text1"/>
        </w:rPr>
        <w:t xml:space="preserve">r. poz. 248). </w:t>
      </w:r>
    </w:p>
    <w:p w:rsidR="00266B41" w:rsidRPr="003B051D" w:rsidRDefault="00266B41" w:rsidP="00266B41">
      <w:pPr>
        <w:pStyle w:val="Tekstpodstawowywcity3"/>
        <w:rPr>
          <w:color w:val="000000" w:themeColor="text1"/>
        </w:rPr>
      </w:pPr>
      <w:r w:rsidRPr="003B051D">
        <w:rPr>
          <w:color w:val="000000" w:themeColor="text1"/>
        </w:rPr>
        <w:t xml:space="preserve">Projekt nie podlega dokonaniu oceny OSR przez koordynatora OSR w trybie § 32 </w:t>
      </w:r>
      <w:r w:rsidRPr="003B051D">
        <w:rPr>
          <w:rStyle w:val="Kkursywa"/>
          <w:color w:val="000000" w:themeColor="text1"/>
        </w:rPr>
        <w:t>uchwały nr 190 Rady Ministrów z dnia 29 października 2013 r. – Regulamin pracy Rady Ministrów</w:t>
      </w:r>
      <w:r w:rsidRPr="003B051D">
        <w:rPr>
          <w:color w:val="000000" w:themeColor="text1"/>
        </w:rPr>
        <w:t xml:space="preserve">.  </w:t>
      </w:r>
    </w:p>
    <w:p w:rsidR="00266B41" w:rsidRPr="00145A6A" w:rsidRDefault="00266B41" w:rsidP="00266B41">
      <w:pPr>
        <w:pStyle w:val="Tekstpodstawowywcity3"/>
      </w:pPr>
      <w:r w:rsidRPr="003B051D">
        <w:rPr>
          <w:color w:val="000000" w:themeColor="text1"/>
        </w:rPr>
        <w:t xml:space="preserve">Wejście w życie rozporządzenia nie będzie miało wpływu na działalność mikroprzedsiębiorców, małych i średnich </w:t>
      </w:r>
      <w:r w:rsidR="00673AC9" w:rsidRPr="00145A6A">
        <w:t>przedsiębiorców</w:t>
      </w:r>
      <w:r w:rsidRPr="00145A6A">
        <w:t>.</w:t>
      </w:r>
    </w:p>
    <w:p w:rsidR="00266B41" w:rsidRDefault="00266B41" w:rsidP="00266B41">
      <w:pPr>
        <w:pStyle w:val="Tekstpodstawowywcity3"/>
      </w:pPr>
    </w:p>
    <w:p w:rsidR="00AD54AD" w:rsidRDefault="00AD54AD"/>
    <w:sectPr w:rsidR="00AD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92" w:rsidRDefault="00893D92" w:rsidP="00FD60A9">
      <w:r>
        <w:separator/>
      </w:r>
    </w:p>
  </w:endnote>
  <w:endnote w:type="continuationSeparator" w:id="0">
    <w:p w:rsidR="00893D92" w:rsidRDefault="00893D92" w:rsidP="00FD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92" w:rsidRDefault="00893D92" w:rsidP="00FD60A9">
      <w:r>
        <w:separator/>
      </w:r>
    </w:p>
  </w:footnote>
  <w:footnote w:type="continuationSeparator" w:id="0">
    <w:p w:rsidR="00893D92" w:rsidRDefault="00893D92" w:rsidP="00FD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3351"/>
    <w:multiLevelType w:val="hybridMultilevel"/>
    <w:tmpl w:val="C6F8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5"/>
    <w:rsid w:val="00024585"/>
    <w:rsid w:val="00064082"/>
    <w:rsid w:val="000A2851"/>
    <w:rsid w:val="00131D69"/>
    <w:rsid w:val="00145A6A"/>
    <w:rsid w:val="001D09A6"/>
    <w:rsid w:val="001D1AC0"/>
    <w:rsid w:val="00266B41"/>
    <w:rsid w:val="00343276"/>
    <w:rsid w:val="003854DF"/>
    <w:rsid w:val="003B051D"/>
    <w:rsid w:val="003E1259"/>
    <w:rsid w:val="003F7C33"/>
    <w:rsid w:val="00405BBF"/>
    <w:rsid w:val="00427627"/>
    <w:rsid w:val="004644E5"/>
    <w:rsid w:val="00494E8D"/>
    <w:rsid w:val="004F3AE8"/>
    <w:rsid w:val="004F427E"/>
    <w:rsid w:val="00522E8D"/>
    <w:rsid w:val="00531C4C"/>
    <w:rsid w:val="00543E2F"/>
    <w:rsid w:val="005C41EA"/>
    <w:rsid w:val="00673AC9"/>
    <w:rsid w:val="00721C2C"/>
    <w:rsid w:val="00735B39"/>
    <w:rsid w:val="00744668"/>
    <w:rsid w:val="00794D5D"/>
    <w:rsid w:val="007D319D"/>
    <w:rsid w:val="007E36E1"/>
    <w:rsid w:val="0085239E"/>
    <w:rsid w:val="0085346A"/>
    <w:rsid w:val="00875B8D"/>
    <w:rsid w:val="00893D92"/>
    <w:rsid w:val="00896DF7"/>
    <w:rsid w:val="009136E6"/>
    <w:rsid w:val="00934150"/>
    <w:rsid w:val="00975FA5"/>
    <w:rsid w:val="0099497A"/>
    <w:rsid w:val="009A122F"/>
    <w:rsid w:val="00A770B0"/>
    <w:rsid w:val="00A87352"/>
    <w:rsid w:val="00AA7D12"/>
    <w:rsid w:val="00AB5A17"/>
    <w:rsid w:val="00AD54AD"/>
    <w:rsid w:val="00AE294C"/>
    <w:rsid w:val="00B10A95"/>
    <w:rsid w:val="00B56F6A"/>
    <w:rsid w:val="00BA71C7"/>
    <w:rsid w:val="00BB08B0"/>
    <w:rsid w:val="00C0686E"/>
    <w:rsid w:val="00C15C9B"/>
    <w:rsid w:val="00C25FAA"/>
    <w:rsid w:val="00CD0547"/>
    <w:rsid w:val="00D06682"/>
    <w:rsid w:val="00D4533B"/>
    <w:rsid w:val="00D716CA"/>
    <w:rsid w:val="00DB0E48"/>
    <w:rsid w:val="00E30330"/>
    <w:rsid w:val="00E97827"/>
    <w:rsid w:val="00F53BC5"/>
    <w:rsid w:val="00F83D56"/>
    <w:rsid w:val="00F84311"/>
    <w:rsid w:val="00FD60A9"/>
    <w:rsid w:val="00FE4E2F"/>
    <w:rsid w:val="00FF3A0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DB2D-6603-418F-AC15-33A6EEE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266B41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6B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266B41"/>
    <w:rPr>
      <w:i/>
    </w:rPr>
  </w:style>
  <w:style w:type="paragraph" w:styleId="Tekstpodstawowywcity3">
    <w:name w:val="Body Text Indent 3"/>
    <w:basedOn w:val="Normalny"/>
    <w:link w:val="Tekstpodstawowywcity3Znak"/>
    <w:unhideWhenUsed/>
    <w:rsid w:val="00266B41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6B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0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0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C41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B207-4FF6-47CF-BE62-9719E73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Janik-Buczkowska Magdalena</dc:creator>
  <cp:keywords/>
  <dc:description/>
  <cp:lastModifiedBy>Zakrzewska Alicja</cp:lastModifiedBy>
  <cp:revision>2</cp:revision>
  <dcterms:created xsi:type="dcterms:W3CDTF">2021-12-17T11:54:00Z</dcterms:created>
  <dcterms:modified xsi:type="dcterms:W3CDTF">2021-12-17T11:54:00Z</dcterms:modified>
</cp:coreProperties>
</file>