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68"/>
        <w:gridCol w:w="257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31BF15F" w14:textId="77777777" w:rsidTr="00D2324B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  <w:shd w:val="clear" w:color="auto" w:fill="auto"/>
          </w:tcPr>
          <w:p w14:paraId="78AFE004" w14:textId="77777777" w:rsidR="006A701A" w:rsidRPr="008B4FE6" w:rsidRDefault="006A701A" w:rsidP="00F31485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E31ED72" w14:textId="77777777" w:rsidR="00B0290A" w:rsidRDefault="00463704" w:rsidP="00F31485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2" w:name="t2"/>
            <w:r w:rsidRPr="00156FC6">
              <w:rPr>
                <w:rFonts w:ascii="Times New Roman" w:hAnsi="Times New Roman"/>
                <w:color w:val="000000"/>
              </w:rPr>
              <w:t>Projekt r</w:t>
            </w:r>
            <w:r w:rsidR="004D71BB" w:rsidRPr="00156FC6">
              <w:rPr>
                <w:rFonts w:ascii="Times New Roman" w:hAnsi="Times New Roman"/>
                <w:color w:val="000000"/>
              </w:rPr>
              <w:t>ozporządzeni</w:t>
            </w:r>
            <w:r w:rsidRPr="00156FC6">
              <w:rPr>
                <w:rFonts w:ascii="Times New Roman" w:hAnsi="Times New Roman"/>
                <w:color w:val="000000"/>
              </w:rPr>
              <w:t>a</w:t>
            </w:r>
            <w:r w:rsidR="004D71BB" w:rsidRPr="00156FC6">
              <w:rPr>
                <w:rFonts w:ascii="Times New Roman" w:hAnsi="Times New Roman"/>
                <w:color w:val="000000"/>
              </w:rPr>
              <w:t xml:space="preserve"> Ministra Finansów</w:t>
            </w:r>
            <w:bookmarkEnd w:id="2"/>
            <w:r w:rsidR="004A2D08">
              <w:t xml:space="preserve"> </w:t>
            </w:r>
            <w:r w:rsidR="004A2D08" w:rsidRPr="004A2D08">
              <w:rPr>
                <w:rFonts w:ascii="Times New Roman" w:hAnsi="Times New Roman"/>
                <w:color w:val="000000"/>
              </w:rPr>
              <w:t>zmieniające</w:t>
            </w:r>
            <w:r w:rsidR="004A2D08">
              <w:rPr>
                <w:rFonts w:ascii="Times New Roman" w:hAnsi="Times New Roman"/>
                <w:color w:val="000000"/>
              </w:rPr>
              <w:t>go</w:t>
            </w:r>
            <w:r w:rsidR="004A2D08" w:rsidRPr="004A2D08">
              <w:rPr>
                <w:rFonts w:ascii="Times New Roman" w:hAnsi="Times New Roman"/>
                <w:color w:val="000000"/>
              </w:rPr>
              <w:t xml:space="preserve"> rozporządzenie w sprawie wyższej wagi ryzyka dla ekspozycji zabezpieczonych hipotekami na nieruchomościach</w:t>
            </w:r>
          </w:p>
          <w:p w14:paraId="2C6EE8C9" w14:textId="77777777" w:rsidR="006A701A" w:rsidRPr="008B4FE6" w:rsidRDefault="006A701A" w:rsidP="00F31485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5E52D9A" w14:textId="77777777" w:rsidR="00FF5943" w:rsidRDefault="00B44A19" w:rsidP="00F3148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Finansów </w:t>
            </w:r>
          </w:p>
          <w:p w14:paraId="34134AD5" w14:textId="77777777" w:rsidR="00506386" w:rsidRDefault="001B3460" w:rsidP="00506386">
            <w:pPr>
              <w:spacing w:before="120" w:line="240" w:lineRule="auto"/>
              <w:ind w:left="-45"/>
              <w:jc w:val="both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987F9D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32A97B5" w14:textId="77777777" w:rsidR="00022CE8" w:rsidRPr="00506386" w:rsidRDefault="00022CE8" w:rsidP="00506386">
            <w:pPr>
              <w:spacing w:before="120" w:line="240" w:lineRule="auto"/>
              <w:ind w:left="-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Pan</w:t>
            </w:r>
            <w:r w:rsidR="00D2324B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C57D2E">
              <w:rPr>
                <w:rFonts w:ascii="Times New Roman" w:hAnsi="Times New Roman"/>
                <w:noProof/>
                <w:color w:val="000000"/>
              </w:rPr>
              <w:t>Piotr Patkowski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 w:rsidR="00D2324B">
              <w:rPr>
                <w:rFonts w:ascii="Times New Roman" w:hAnsi="Times New Roman"/>
                <w:noProof/>
                <w:color w:val="000000"/>
              </w:rPr>
              <w:t>Pods</w:t>
            </w:r>
            <w:r>
              <w:rPr>
                <w:rFonts w:ascii="Times New Roman" w:hAnsi="Times New Roman"/>
                <w:noProof/>
                <w:color w:val="000000"/>
              </w:rPr>
              <w:t>ekretarz Stanu w Ministerstwie Finansów</w:t>
            </w:r>
          </w:p>
          <w:p w14:paraId="740ADBC8" w14:textId="77777777" w:rsidR="006A701A" w:rsidRPr="008B4FE6" w:rsidRDefault="006A701A" w:rsidP="00F31485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F9E9079" w14:textId="77777777" w:rsidR="00D2324B" w:rsidRPr="00A0484D" w:rsidRDefault="004A2D08" w:rsidP="00D2324B">
            <w:pPr>
              <w:spacing w:line="240" w:lineRule="auto"/>
              <w:ind w:hanging="34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</w:rPr>
              <w:t>Anna Wendler</w:t>
            </w:r>
            <w:r w:rsidR="00467DDF">
              <w:t xml:space="preserve"> </w:t>
            </w:r>
            <w:hyperlink r:id="rId8" w:history="1">
              <w:r w:rsidRPr="004C4ABF">
                <w:rPr>
                  <w:rStyle w:val="Hipercze"/>
                  <w:rFonts w:ascii="Times New Roman" w:hAnsi="Times New Roman"/>
                  <w:noProof/>
                </w:rPr>
                <w:t>anna.wendler@mf.gov.pl</w:t>
              </w:r>
            </w:hyperlink>
            <w:r w:rsidR="00D2324B" w:rsidRPr="00A0484D">
              <w:rPr>
                <w:rFonts w:ascii="Times New Roman" w:hAnsi="Times New Roman"/>
                <w:noProof/>
                <w:color w:val="000000"/>
              </w:rPr>
              <w:t xml:space="preserve">, tel. 22 694 </w:t>
            </w:r>
            <w:r w:rsidR="00C57D2E">
              <w:rPr>
                <w:rFonts w:ascii="Times New Roman" w:hAnsi="Times New Roman"/>
                <w:noProof/>
                <w:color w:val="000000"/>
              </w:rPr>
              <w:t>5</w:t>
            </w:r>
            <w:r>
              <w:rPr>
                <w:rFonts w:ascii="Times New Roman" w:hAnsi="Times New Roman"/>
                <w:noProof/>
                <w:color w:val="000000"/>
              </w:rPr>
              <w:t>8</w:t>
            </w:r>
            <w:r w:rsidR="00C57D2E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</w:rPr>
              <w:t>14</w:t>
            </w:r>
            <w:r w:rsidR="00D2324B" w:rsidRPr="00A0484D">
              <w:rPr>
                <w:rFonts w:ascii="Times New Roman" w:hAnsi="Times New Roman"/>
                <w:noProof/>
                <w:color w:val="000000"/>
              </w:rPr>
              <w:t>;</w:t>
            </w:r>
          </w:p>
          <w:p w14:paraId="611965DF" w14:textId="77777777" w:rsidR="00F31485" w:rsidRPr="00A0484D" w:rsidRDefault="00F31485" w:rsidP="00F3148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auto"/>
          </w:tcPr>
          <w:p w14:paraId="2665F5C7" w14:textId="77777777" w:rsidR="001B3460" w:rsidRPr="00642825" w:rsidRDefault="001B3460" w:rsidP="00F31485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30929DFF" w14:textId="22780DF3" w:rsidR="009B627B" w:rsidRPr="003D7C5B" w:rsidRDefault="00DA6F7C" w:rsidP="009B6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stycznia 2022</w:t>
            </w:r>
            <w:r w:rsidR="009B627B">
              <w:rPr>
                <w:rFonts w:ascii="Times New Roman" w:hAnsi="Times New Roman"/>
              </w:rPr>
              <w:t xml:space="preserve"> </w:t>
            </w:r>
            <w:r w:rsidR="009B627B" w:rsidRPr="003D7C5B">
              <w:rPr>
                <w:rFonts w:ascii="Times New Roman" w:hAnsi="Times New Roman"/>
              </w:rPr>
              <w:t>r.</w:t>
            </w:r>
          </w:p>
          <w:p w14:paraId="03C41D27" w14:textId="77777777" w:rsidR="008C5E43" w:rsidRDefault="008C5E43" w:rsidP="00F3148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59F08A8" w14:textId="77777777" w:rsidR="00F76884" w:rsidRPr="0065019F" w:rsidRDefault="00F76884" w:rsidP="00F3148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111BE44F" w14:textId="05D3370D" w:rsidR="00D2324B" w:rsidRPr="003D7C5B" w:rsidRDefault="009F5E03" w:rsidP="00D2324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Upoważnienie ustawowe</w:t>
            </w:r>
            <w:r w:rsidR="00320169">
              <w:rPr>
                <w:rFonts w:ascii="Times New Roman" w:hAnsi="Times New Roman"/>
                <w:color w:val="000000"/>
              </w:rPr>
              <w:t xml:space="preserve">  - </w:t>
            </w:r>
            <w:r w:rsidR="00506386" w:rsidRPr="00506386">
              <w:rPr>
                <w:rFonts w:ascii="Times New Roman" w:hAnsi="Times New Roman"/>
                <w:color w:val="000000"/>
              </w:rPr>
              <w:t xml:space="preserve">art. 128 ust. 6a pkt 2 ustawy z dnia 29 sierpnia 1997 r. – Prawo bankowe (Dz. U. z </w:t>
            </w:r>
            <w:r w:rsidR="0079038F" w:rsidRPr="0079038F">
              <w:rPr>
                <w:rFonts w:ascii="Times New Roman" w:hAnsi="Times New Roman"/>
                <w:color w:val="000000"/>
              </w:rPr>
              <w:t>2021 r. poz. 2439 i 2447</w:t>
            </w:r>
            <w:r w:rsidR="00FB6798">
              <w:rPr>
                <w:rFonts w:ascii="Times New Roman" w:hAnsi="Times New Roman"/>
                <w:color w:val="000000"/>
              </w:rPr>
              <w:t>)</w:t>
            </w:r>
          </w:p>
          <w:p w14:paraId="761264EA" w14:textId="77777777" w:rsidR="006A701A" w:rsidRPr="00D2324B" w:rsidRDefault="006A701A" w:rsidP="00F3148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F31485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D2324B">
              <w:rPr>
                <w:rFonts w:ascii="Times New Roman" w:hAnsi="Times New Roman"/>
                <w:b/>
                <w:color w:val="000000"/>
              </w:rPr>
              <w:t>:</w:t>
            </w:r>
            <w:r w:rsidR="00D2324B">
              <w:rPr>
                <w:rFonts w:ascii="Times New Roman" w:hAnsi="Times New Roman"/>
                <w:color w:val="000000"/>
              </w:rPr>
              <w:t xml:space="preserve"> </w:t>
            </w:r>
            <w:r w:rsidR="00A920A0">
              <w:rPr>
                <w:rFonts w:ascii="Times New Roman" w:hAnsi="Times New Roman"/>
                <w:color w:val="000000"/>
              </w:rPr>
              <w:t>470</w:t>
            </w:r>
          </w:p>
          <w:p w14:paraId="3AB66A61" w14:textId="77777777" w:rsidR="006A701A" w:rsidRPr="008B4FE6" w:rsidRDefault="006A701A" w:rsidP="00F314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1E303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2076CB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241D0D7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0D0FCD40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F4040E" w14:paraId="64DFEEC7" w14:textId="77777777" w:rsidTr="00D30A3C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1F5919D" w14:textId="77777777" w:rsidR="000D0207" w:rsidRPr="00F4040E" w:rsidRDefault="00506386" w:rsidP="0050638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3E56">
              <w:rPr>
                <w:rFonts w:ascii="Times New Roman" w:hAnsi="Times New Roman"/>
                <w:color w:val="000000"/>
              </w:rPr>
              <w:t xml:space="preserve">Projektowane rozporządzenie ma na celu zmianę poziomu wagi ryzyka </w:t>
            </w:r>
            <w:r w:rsidRPr="009D7AF9">
              <w:rPr>
                <w:rFonts w:ascii="Times New Roman" w:hAnsi="Times New Roman"/>
                <w:color w:val="000000"/>
              </w:rPr>
              <w:t xml:space="preserve">dla części ekspozycji zabezpieczonych hipoteką </w:t>
            </w:r>
            <w:r w:rsidR="00AF7FB2" w:rsidRPr="00AF7FB2">
              <w:rPr>
                <w:rFonts w:ascii="Times New Roman" w:hAnsi="Times New Roman"/>
                <w:color w:val="000000"/>
              </w:rPr>
              <w:t>na nieruchomości mieszkalnej</w:t>
            </w:r>
            <w:r w:rsidRPr="009D7AF9">
              <w:rPr>
                <w:rFonts w:ascii="Times New Roman" w:hAnsi="Times New Roman"/>
                <w:color w:val="000000"/>
              </w:rPr>
              <w:t xml:space="preserve"> ustanowion</w:t>
            </w:r>
            <w:r>
              <w:rPr>
                <w:rFonts w:ascii="Times New Roman" w:hAnsi="Times New Roman"/>
                <w:color w:val="000000"/>
              </w:rPr>
              <w:t>ej</w:t>
            </w:r>
            <w:r w:rsidRPr="009D7AF9">
              <w:rPr>
                <w:rFonts w:ascii="Times New Roman" w:hAnsi="Times New Roman"/>
                <w:color w:val="000000"/>
              </w:rPr>
              <w:t xml:space="preserve"> na mocy rozporządzenia</w:t>
            </w:r>
            <w:r w:rsidRPr="00303E56">
              <w:rPr>
                <w:rFonts w:ascii="Times New Roman" w:hAnsi="Times New Roman"/>
                <w:color w:val="000000"/>
              </w:rPr>
              <w:t xml:space="preserve"> Ministra Rozwoju i Finansów z dnia 25 maja 2017 r. w sprawie wyższej wagi ryzyka dla ekspozycji zabezpieczonych hipotekami na nieruchomościach</w:t>
            </w:r>
            <w:r>
              <w:rPr>
                <w:rFonts w:ascii="Times New Roman" w:hAnsi="Times New Roman"/>
                <w:color w:val="000000"/>
              </w:rPr>
              <w:t xml:space="preserve"> (Dz. U. </w:t>
            </w:r>
            <w:r w:rsidR="00373BE6">
              <w:rPr>
                <w:rFonts w:ascii="Times New Roman" w:hAnsi="Times New Roman"/>
                <w:color w:val="000000"/>
              </w:rPr>
              <w:t xml:space="preserve">z 2021 r. </w:t>
            </w:r>
            <w:r>
              <w:rPr>
                <w:rFonts w:ascii="Times New Roman" w:hAnsi="Times New Roman"/>
                <w:color w:val="000000"/>
              </w:rPr>
              <w:t>poz. 1</w:t>
            </w:r>
            <w:r w:rsidR="00373BE6">
              <w:rPr>
                <w:rFonts w:ascii="Times New Roman" w:hAnsi="Times New Roman"/>
                <w:color w:val="000000"/>
              </w:rPr>
              <w:t>741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303E56">
              <w:rPr>
                <w:rFonts w:ascii="Times New Roman" w:hAnsi="Times New Roman"/>
                <w:color w:val="000000"/>
              </w:rPr>
              <w:t xml:space="preserve">. </w:t>
            </w:r>
            <w:r w:rsidR="00826592" w:rsidRPr="00826592">
              <w:rPr>
                <w:rFonts w:ascii="Times New Roman" w:hAnsi="Times New Roman"/>
                <w:color w:val="000000"/>
              </w:rPr>
              <w:t>Jednocześnie projektowane rozporządzenie stanowi realizację rekomendacji Komitetu Stabilności Finansowej nr 52/2021, wydanej w dniu 28 września 2021 r. w drodze uchwały, dotyczącej wag ryzyka dla ekspozycji zabezpieczonych hipoteką na nieruchomości mieszkalnej.</w:t>
            </w:r>
          </w:p>
        </w:tc>
      </w:tr>
      <w:tr w:rsidR="006A701A" w:rsidRPr="008B4FE6" w14:paraId="69F8291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DD831B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5DC9156" w14:textId="77777777" w:rsidTr="00565A0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04E7CF9" w14:textId="77777777" w:rsidR="00C87E97" w:rsidRPr="00C87E97" w:rsidRDefault="00C87E97" w:rsidP="00B65C3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Projektowane rozporządzenie stanowi realizację rekomendacji Komitetu Stabilności Finansowej nr 52/2021, wydanej w dniu 28 września 2021 r. w drodze uchwały, dotyczącej wag ryzyka dla ekspozycji zabezpieczonych hipoteką na nieruchomości mieszkalnej.</w:t>
            </w:r>
          </w:p>
          <w:p w14:paraId="0E1D602F" w14:textId="797EB52C" w:rsidR="00C87E97" w:rsidRPr="00C87E97" w:rsidRDefault="00C87E97" w:rsidP="00B65C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Zgodnie z projektem rozporządzenia obniżenie wagi ryzyka dla ekspozycji zabezpieczonych na nieruchomości  mieszkalnej, w przypadku której wysokość raty kapitałowej lub odsetkowej uzależniona jest od zmian kursu waluty lub walut innych niż waluty przychodów osiąganych przez dłużnika, będzie możliwe w sytuacji, w której banki zobowiążą się do uczestnictwa w postępowaniach przed sądem polubownym, których celem jest zaw</w:t>
            </w:r>
            <w:r w:rsidR="00FC0CBE">
              <w:rPr>
                <w:rFonts w:ascii="Times New Roman" w:hAnsi="Times New Roman"/>
                <w:color w:val="000000"/>
              </w:rPr>
              <w:t>arcie ugód z kredytobiorcami. Z </w:t>
            </w:r>
            <w:r w:rsidRPr="00C87E97">
              <w:rPr>
                <w:rFonts w:ascii="Times New Roman" w:hAnsi="Times New Roman"/>
                <w:color w:val="000000"/>
              </w:rPr>
              <w:t xml:space="preserve">uwagi na efektywność pozasądowego rozwiązywania sporów, którego formą są postępowania przed sądem polubownym, uzasadnione jest stworzenie regulacyjnych bodźców, by tego rodzaju proces objął w szerokim zakresie walutowe kredyty mieszkaniowe. </w:t>
            </w:r>
          </w:p>
          <w:p w14:paraId="17FFAB24" w14:textId="77777777" w:rsidR="000A3331" w:rsidRDefault="00C87E97" w:rsidP="00B65C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 xml:space="preserve">Jak najszersze zaangażowanie banków w postępowania przed sądem polubownym (zmierzające do zawarcia ugód z kredytobiorcami) jest szczególnie istotne z perspektywy utrzymania stabilności sektora finansowego. </w:t>
            </w:r>
          </w:p>
          <w:p w14:paraId="4655432B" w14:textId="77777777" w:rsidR="00C87E97" w:rsidRDefault="00C87E97" w:rsidP="00B65C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Jednocześnie przez zobowiązanie się do uczestnictwa w postępowaniach przed sądem polubownym banki w świetle obowiązujących dotąd przepisów są dwukrotnie obciążone kapitałowo, co z kolei może przyczyniać się do mniejszego zainteresowania ugodami i osłabia oczekiwany efekt w postaci ograniczania ryzyka systemowego.</w:t>
            </w:r>
          </w:p>
          <w:p w14:paraId="4FFEA036" w14:textId="77777777" w:rsidR="009C6549" w:rsidRPr="009C6549" w:rsidRDefault="009C6549" w:rsidP="009C654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Komisja Nadzoru Finansowego, realizując rekomendację</w:t>
            </w:r>
            <w:r w:rsidR="00C248F8">
              <w:rPr>
                <w:rFonts w:ascii="Times New Roman" w:hAnsi="Times New Roman"/>
                <w:color w:val="000000"/>
              </w:rPr>
              <w:t xml:space="preserve"> </w:t>
            </w:r>
            <w:r w:rsidR="00C248F8" w:rsidRPr="00C87E97">
              <w:rPr>
                <w:rFonts w:ascii="Times New Roman" w:hAnsi="Times New Roman"/>
                <w:color w:val="000000"/>
              </w:rPr>
              <w:t>Komitetu Stabilności Finansowej</w:t>
            </w:r>
            <w:r w:rsidR="00F676C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6549">
              <w:rPr>
                <w:rFonts w:ascii="Times New Roman" w:hAnsi="Times New Roman"/>
                <w:color w:val="000000"/>
              </w:rPr>
              <w:t>zaproponował</w:t>
            </w:r>
            <w:r w:rsidR="00F676C8">
              <w:rPr>
                <w:rFonts w:ascii="Times New Roman" w:hAnsi="Times New Roman"/>
                <w:color w:val="000000"/>
              </w:rPr>
              <w:t>a</w:t>
            </w:r>
            <w:r w:rsidRPr="009C6549">
              <w:rPr>
                <w:rFonts w:ascii="Times New Roman" w:hAnsi="Times New Roman"/>
                <w:color w:val="000000"/>
              </w:rPr>
              <w:t xml:space="preserve"> poniższe rozwiązanie dotyczące obniżenia wagi ryzyka:</w:t>
            </w:r>
          </w:p>
          <w:p w14:paraId="76551E6A" w14:textId="77777777" w:rsidR="009C6549" w:rsidRPr="009C6549" w:rsidRDefault="009C6549" w:rsidP="009C654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6549">
              <w:rPr>
                <w:rFonts w:ascii="Times New Roman" w:hAnsi="Times New Roman"/>
                <w:color w:val="000000"/>
              </w:rPr>
              <w:t>waga ryzyka 50%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9C6549">
              <w:rPr>
                <w:rFonts w:ascii="Times New Roman" w:hAnsi="Times New Roman"/>
                <w:color w:val="000000"/>
              </w:rPr>
              <w:t>z wyjątkiem ekspozycji lub ich części ponad wartość w pełni i całkowicie zabezpieczoną hipoteką na nieruchomości mieszkalnej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9C6549">
              <w:rPr>
                <w:rFonts w:ascii="Times New Roman" w:hAnsi="Times New Roman"/>
                <w:color w:val="000000"/>
              </w:rPr>
              <w:t>, jeżeli rezerwy celowe i odpisy lub korekty wyniosą co najmniej 35%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3A7CD0CE" w14:textId="77777777" w:rsidR="009C6549" w:rsidRPr="009C6549" w:rsidRDefault="009C6549" w:rsidP="009C654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6549">
              <w:rPr>
                <w:rFonts w:ascii="Times New Roman" w:hAnsi="Times New Roman"/>
                <w:color w:val="000000"/>
              </w:rPr>
              <w:t>waga ryzyka 75%, jeżeli rezerwy celowe i odpisy lub korekty wyniosą co najmniej 28%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16331E5" w14:textId="77777777" w:rsidR="009C6549" w:rsidRPr="009C6549" w:rsidRDefault="009C6549" w:rsidP="009C654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C6549">
              <w:rPr>
                <w:rFonts w:ascii="Times New Roman" w:hAnsi="Times New Roman"/>
                <w:color w:val="000000"/>
              </w:rPr>
              <w:t>waga ryzyka 100%, jeżeli rezerwy celowe i odpisy lub korekty wyniosą co najmniej 20%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57E0DD6" w14:textId="77777777" w:rsidR="009C6549" w:rsidRPr="00C87E97" w:rsidRDefault="009C6549" w:rsidP="009C654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549">
              <w:rPr>
                <w:rFonts w:ascii="Times New Roman" w:hAnsi="Times New Roman"/>
                <w:color w:val="000000"/>
              </w:rPr>
              <w:t>Tym samym im wyższą rezerwę bank zawiąże, tym niższą wagę ryzyka będzie mógł zastosować.</w:t>
            </w:r>
            <w:r w:rsidR="00C248F8">
              <w:rPr>
                <w:rFonts w:ascii="Times New Roman" w:hAnsi="Times New Roman"/>
                <w:color w:val="000000"/>
              </w:rPr>
              <w:t xml:space="preserve"> Projektowane zmiany będą miały zastosowanie w okresie 18 miesięcy od dnia wejścia w życie rozporządzenia. </w:t>
            </w:r>
          </w:p>
          <w:p w14:paraId="0CF9646E" w14:textId="77777777" w:rsidR="0062440A" w:rsidRDefault="00C87E97" w:rsidP="002249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E97">
              <w:rPr>
                <w:rFonts w:ascii="Times New Roman" w:hAnsi="Times New Roman"/>
                <w:color w:val="000000"/>
              </w:rPr>
              <w:t>Biorąc pod uwagę wskazane powyżej uwarunkowania oraz kierując się rekomendacją Komitetu Stabilności Finansowej proponuje się zastosowanie trzech poziomów wag ryzyka dla walutowych kredytów mieszkaniowych – 50%, 75% i 100%. Każdorazowo waga ryzyka jest zależna od poziomu zawiązanych rezerw związanych z deklaracją uczestnictwa w ww. postępowaniach przed sądem polubownym. Proponowane wagi ryzyka są niższe niż obecny poziom wynikający z przepisu §</w:t>
            </w:r>
            <w:r w:rsidR="00F676C8">
              <w:rPr>
                <w:rFonts w:ascii="Times New Roman" w:hAnsi="Times New Roman"/>
                <w:color w:val="000000"/>
              </w:rPr>
              <w:t xml:space="preserve"> </w:t>
            </w:r>
            <w:r w:rsidRPr="00C87E97">
              <w:rPr>
                <w:rFonts w:ascii="Times New Roman" w:hAnsi="Times New Roman"/>
                <w:color w:val="000000"/>
              </w:rPr>
              <w:t xml:space="preserve">2 pkt 1 rozporządzenia, a równocześnie wyższe niż waga wskazana w art. 125 ust. 1 lit. a </w:t>
            </w:r>
            <w:r w:rsidR="00F676C8">
              <w:rPr>
                <w:rFonts w:ascii="Times New Roman" w:hAnsi="Times New Roman"/>
                <w:color w:val="000000"/>
              </w:rPr>
              <w:t>r</w:t>
            </w:r>
            <w:r w:rsidRPr="00C87E97">
              <w:rPr>
                <w:rFonts w:ascii="Times New Roman" w:hAnsi="Times New Roman"/>
                <w:color w:val="000000"/>
              </w:rPr>
              <w:t>ozporządzenia Parlamentu Europejskiego i Rady (UE) nr 575/2013 z dnia 26 czerwca 2013 r. w sprawie wymogów ostrożnościowych dla instytucji kredytowych oraz zmieniającego rozporządzenie (UE) nr 648/2012</w:t>
            </w:r>
            <w:r w:rsidR="002249E6">
              <w:rPr>
                <w:rFonts w:ascii="Times New Roman" w:hAnsi="Times New Roman"/>
                <w:color w:val="000000"/>
              </w:rPr>
              <w:t>.</w:t>
            </w:r>
          </w:p>
          <w:p w14:paraId="3FE596F2" w14:textId="77777777" w:rsidR="00FC0CBE" w:rsidRPr="00D30A3C" w:rsidRDefault="00FC0CBE" w:rsidP="002249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48CBD59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9C07EC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3652DF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ECE822F" w14:textId="77777777" w:rsidR="00B05869" w:rsidRPr="00B0290A" w:rsidRDefault="00523F15" w:rsidP="00D408E5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informacji w tym zakresie.</w:t>
            </w:r>
          </w:p>
        </w:tc>
      </w:tr>
      <w:tr w:rsidR="006A701A" w:rsidRPr="008B4FE6" w14:paraId="3FEBB8A0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BA18EB0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417920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51169EE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BDBCAE7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A03F3D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4AE0C3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A5353" w:rsidRPr="008B4FE6" w14:paraId="714A9383" w14:textId="77777777" w:rsidTr="00AD465C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67497CD7" w14:textId="77777777" w:rsidR="003A5353" w:rsidRPr="00BF2B48" w:rsidRDefault="003A5353" w:rsidP="003A5353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Banki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4738B3" w14:textId="77777777" w:rsidR="003A5353" w:rsidRDefault="008A2A0A" w:rsidP="003A535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 banków komercyjnych</w:t>
            </w:r>
          </w:p>
          <w:p w14:paraId="0C56D06C" w14:textId="77777777" w:rsidR="003A5353" w:rsidRPr="00B37C80" w:rsidRDefault="003A5353" w:rsidP="003A535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535 banków spółdzielczych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8664D8" w14:textId="77777777" w:rsidR="003A5353" w:rsidRPr="00B37C80" w:rsidRDefault="003A5353" w:rsidP="00F53A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Wykaz podmiotów sektora bankowego prowadzony przez Urząd Komisji Nadzoru Finansowego (www.knf.gov.pl – stan na 16 </w:t>
            </w:r>
            <w:r w:rsidR="00F53A3F">
              <w:rPr>
                <w:rFonts w:ascii="Times New Roman" w:hAnsi="Times New Roman"/>
                <w:noProof/>
                <w:color w:val="000000"/>
              </w:rPr>
              <w:t xml:space="preserve">listopada </w:t>
            </w:r>
            <w:r>
              <w:rPr>
                <w:rFonts w:ascii="Times New Roman" w:hAnsi="Times New Roman"/>
                <w:noProof/>
                <w:color w:val="000000"/>
              </w:rPr>
              <w:t>2021 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D7B9B7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7142">
              <w:rPr>
                <w:rFonts w:ascii="Times New Roman" w:hAnsi="Times New Roman"/>
                <w:noProof/>
                <w:color w:val="000000"/>
              </w:rPr>
              <w:t>Konieczność dostosowania się do nowych regulacji wynikających z projektu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rozporządzenia.</w:t>
            </w:r>
          </w:p>
          <w:p w14:paraId="75FC7612" w14:textId="77777777" w:rsidR="003A5353" w:rsidRPr="00B37C80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5353" w:rsidRPr="008B4FE6" w14:paraId="199BDB8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5509F5E9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Komisja Nadzoru Finansowego</w:t>
            </w:r>
          </w:p>
          <w:p w14:paraId="7A2BC614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7C5AF6A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8B6768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AED3877" w14:textId="77777777" w:rsidR="003A5353" w:rsidRPr="00B37C80" w:rsidRDefault="003A5353" w:rsidP="0009560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CC48B4">
              <w:rPr>
                <w:rFonts w:ascii="Times New Roman" w:hAnsi="Times New Roman"/>
                <w:color w:val="000000"/>
                <w:spacing w:val="-2"/>
              </w:rPr>
              <w:t>Konieczność dostosowania się do nowych regulacji wynikających z projektu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rozporządzenia.</w:t>
            </w:r>
          </w:p>
        </w:tc>
      </w:tr>
      <w:tr w:rsidR="003A5353" w:rsidRPr="008B4FE6" w14:paraId="7D2E118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0B41FA5A" w14:textId="77777777" w:rsidR="003A5353" w:rsidRPr="008B4FE6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A5353" w:rsidRPr="008B4FE6" w14:paraId="5DF68286" w14:textId="77777777" w:rsidTr="000D3ECB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auto"/>
          </w:tcPr>
          <w:p w14:paraId="6B636924" w14:textId="77777777" w:rsidR="003A5353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prowadzono konsultacji poprzedzających przygotowanie projektu rozporządzenia. </w:t>
            </w:r>
          </w:p>
          <w:p w14:paraId="5FC58914" w14:textId="77777777" w:rsidR="003A5353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podstawie art. 18 ust. 1 ustawy z dnia 5 sierpnia 2015 r.</w:t>
            </w:r>
            <w:r w:rsidRPr="00373B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9560D">
              <w:rPr>
                <w:rFonts w:ascii="Times New Roman" w:hAnsi="Times New Roman"/>
                <w:color w:val="000000"/>
                <w:spacing w:val="-2"/>
              </w:rPr>
              <w:t>o nadzorze makroostrożnościowym nad systemem finansowym i zarządzaniu kryzysowym w systemie finansowym</w:t>
            </w:r>
            <w:r w:rsidRPr="00373B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(Dz. U. z 2021 r. poz. 140, z późn. zm.), Komitet Stabilności Finansowej w dniu 28 września 2021 r. podjął uchwałę w sprawie rekomendacji dotyczącej wag ryzyka dla ekspozycji zabezpieczonych hipoteką na nieruchomości mieszkalnej. W projekcie rozporządzenia wzięto pod uwagę rekomendację Komitetu Stabilności Finansowej.</w:t>
            </w:r>
          </w:p>
          <w:p w14:paraId="3828BFF9" w14:textId="2B574E0E" w:rsidR="003A5353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C248F8">
              <w:rPr>
                <w:rFonts w:ascii="Times New Roman" w:hAnsi="Times New Roman"/>
                <w:color w:val="000000"/>
                <w:spacing w:val="-2"/>
              </w:rPr>
              <w:t>nie przekazany do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zaopiniowany przez Komisję Nadzoru Finansowego, zgodnie z art. 128 ust. 6a ustawy – Prawo bankowe (Dz. U. z </w:t>
            </w:r>
            <w:r w:rsidR="0079038F" w:rsidRPr="0079038F">
              <w:rPr>
                <w:rFonts w:ascii="Times New Roman" w:hAnsi="Times New Roman"/>
                <w:color w:val="000000"/>
                <w:spacing w:val="-2"/>
              </w:rPr>
              <w:t>2021 r. poz. 2439 i 2447</w:t>
            </w:r>
            <w:r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0E598907" w14:textId="77777777" w:rsidR="003A5353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Zgodnie z art. 124 ust. 2 rozporządzenia Parlamentu Europejskiego i Rady (UE) nr 575/2013 z dnia 26 czerwca 2013 r. w sprawie wymogów ostrożnościowych dla instytucji kredytowych oraz zmieniającego rozporządzenie (UE) nr 648/2012 zostanie przekazany formularz notyfikacyjny do Europejskiego Urzędu Nadzoru Bankowego (EUNB) oraz Europejskiej Rady ds. Ryzyka Systemowego (ERRS). </w:t>
            </w:r>
          </w:p>
          <w:p w14:paraId="1BEA95A8" w14:textId="77777777" w:rsidR="003A5353" w:rsidRDefault="003A5353" w:rsidP="003A5353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</w:rPr>
            </w:pPr>
            <w:r w:rsidRPr="00DB7003">
              <w:rPr>
                <w:rFonts w:ascii="Times New Roman" w:hAnsi="Times New Roman"/>
                <w:color w:val="000000"/>
                <w:spacing w:val="-2"/>
              </w:rPr>
              <w:t>Projekt rozporządzenia b</w:t>
            </w:r>
            <w:r>
              <w:rPr>
                <w:rFonts w:ascii="Times New Roman" w:hAnsi="Times New Roman"/>
                <w:color w:val="000000"/>
                <w:spacing w:val="-2"/>
              </w:rPr>
              <w:t>ędzie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 xml:space="preserve"> przedmiotem konsultacji publicznych i opinio</w:t>
            </w:r>
            <w:r>
              <w:rPr>
                <w:rFonts w:ascii="Times New Roman" w:hAnsi="Times New Roman"/>
                <w:color w:val="000000"/>
                <w:spacing w:val="-2"/>
              </w:rPr>
              <w:t>wania, w ramach których zostanie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 xml:space="preserve"> przedstawiony</w:t>
            </w:r>
            <w:r w:rsidR="00B65C3F">
              <w:rPr>
                <w:rFonts w:ascii="Times New Roman" w:hAnsi="Times New Roman"/>
                <w:color w:val="000000"/>
                <w:spacing w:val="-2"/>
              </w:rPr>
              <w:t xml:space="preserve"> m.in.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 xml:space="preserve"> następującym podmiotom: Komisji Nadzoru Finansowego, Narodowemu Bankowi Polskiemu, Urzędowi Ochr</w:t>
            </w:r>
            <w:r>
              <w:rPr>
                <w:rFonts w:ascii="Times New Roman" w:hAnsi="Times New Roman"/>
                <w:color w:val="000000"/>
                <w:spacing w:val="-2"/>
              </w:rPr>
              <w:t>ony Konkurencji  i Konsumentów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 xml:space="preserve">, Prokuratorii Generalnej </w:t>
            </w:r>
            <w:r>
              <w:rPr>
                <w:rFonts w:ascii="Times New Roman" w:hAnsi="Times New Roman"/>
                <w:color w:val="000000"/>
                <w:spacing w:val="-2"/>
              </w:rPr>
              <w:t>Rzeczypospolitej Polskiej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Rzecznikowi Finansowemu, 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>Bank</w:t>
            </w:r>
            <w:r>
              <w:rPr>
                <w:rFonts w:ascii="Times New Roman" w:hAnsi="Times New Roman"/>
                <w:color w:val="000000"/>
                <w:spacing w:val="-2"/>
              </w:rPr>
              <w:t>owemu Funduszowi Gwarancyjnemu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>, Związkowi Banków Polskich, Krajowemu Związkowi Banków Spółdzielczych, Bankowemu Funduszowi Gwarancyjnemu, Giełdzie Papierów W</w:t>
            </w:r>
            <w:r>
              <w:rPr>
                <w:rFonts w:ascii="Times New Roman" w:hAnsi="Times New Roman"/>
                <w:color w:val="000000"/>
                <w:spacing w:val="-2"/>
              </w:rPr>
              <w:t>artościowych S. A., BondSpot S.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>A., Krajowemu Depoz</w:t>
            </w:r>
            <w:r>
              <w:rPr>
                <w:rFonts w:ascii="Times New Roman" w:hAnsi="Times New Roman"/>
                <w:color w:val="000000"/>
                <w:spacing w:val="-2"/>
              </w:rPr>
              <w:t>ytowi Papierów Wartościowych S.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>A., Stowarzysze</w:t>
            </w:r>
            <w:r>
              <w:rPr>
                <w:rFonts w:ascii="Times New Roman" w:hAnsi="Times New Roman"/>
                <w:color w:val="000000"/>
                <w:spacing w:val="-2"/>
              </w:rPr>
              <w:t>niu Inwestorów  Indywidualnych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>, Izbie Domów Maklerskich, Stowarzyszeniu Emitentów Giełdowych, Izbie Zarządzających Funduszami i Aktywami</w:t>
            </w:r>
            <w:r>
              <w:rPr>
                <w:rFonts w:ascii="Times New Roman" w:hAnsi="Times New Roman"/>
                <w:color w:val="000000"/>
                <w:spacing w:val="-2"/>
              </w:rPr>
              <w:t>, Radzie Banków Depozytariuszy, Polskiej Agencji Nadzoru Audytowego, Polskiej Izbie Biegłych Rewidentów oraz</w:t>
            </w:r>
            <w:r w:rsidRPr="00DB7003">
              <w:rPr>
                <w:rFonts w:ascii="Times New Roman" w:hAnsi="Times New Roman"/>
                <w:color w:val="000000"/>
                <w:spacing w:val="-2"/>
              </w:rPr>
              <w:t xml:space="preserve"> Polskiemu Stowarz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yszeniu Inwestorów Kapitałowych. </w:t>
            </w:r>
          </w:p>
          <w:p w14:paraId="117C05C8" w14:textId="77777777" w:rsidR="003A5353" w:rsidRPr="000F1D4F" w:rsidRDefault="003A5353" w:rsidP="003A5353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Podsumowanie wyników konsultacji znajdzie się w raporcie z konsultacji dostępnym w BIP RCL zakładka RPL.</w:t>
            </w:r>
          </w:p>
        </w:tc>
      </w:tr>
      <w:tr w:rsidR="003A5353" w:rsidRPr="008B4FE6" w14:paraId="20EAAEB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4FA49B6" w14:textId="77777777" w:rsidR="003A5353" w:rsidRPr="008B4FE6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A5353" w:rsidRPr="008B4FE6" w14:paraId="6A5196B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 w:val="restart"/>
            <w:shd w:val="clear" w:color="auto" w:fill="FFFFFF"/>
          </w:tcPr>
          <w:p w14:paraId="663CCBDD" w14:textId="77777777" w:rsidR="003A5353" w:rsidRPr="00C53F26" w:rsidRDefault="003A5353" w:rsidP="003A5353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565B806" w14:textId="77777777" w:rsidR="003A5353" w:rsidRPr="00C53F26" w:rsidRDefault="003A5353" w:rsidP="003A535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A5353" w:rsidRPr="008B4FE6" w14:paraId="34474F7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/>
            <w:shd w:val="clear" w:color="auto" w:fill="FFFFFF"/>
          </w:tcPr>
          <w:p w14:paraId="5710EBB0" w14:textId="77777777" w:rsidR="003A5353" w:rsidRPr="00C53F26" w:rsidRDefault="003A5353" w:rsidP="003A5353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F2E91A9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96C83F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D2082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24EC61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8CEDDA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08D88E7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CA03CD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0088F1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26B9A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36E762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577EED" w14:textId="77777777" w:rsidR="003A5353" w:rsidRPr="00C53F26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0AD529F" w14:textId="77777777" w:rsidR="003A5353" w:rsidRPr="00C53F26" w:rsidRDefault="003A5353" w:rsidP="003A535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A5353" w:rsidRPr="008B4FE6" w14:paraId="6078F4AA" w14:textId="77777777" w:rsidTr="00676C8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EBF65F0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B6716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8F4E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48FBA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EAB0B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A837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E3744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EFC8A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F10C2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6B0B9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A8127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D8658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9BC864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A5353" w:rsidRPr="008B4FE6" w14:paraId="207C7274" w14:textId="77777777" w:rsidTr="00676C8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B4EFC8B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B31B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EF35C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F46F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8287F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A6C97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8C106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5D48F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C4B22D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433A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E563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EDB5C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E633F3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A5353" w:rsidRPr="008B4FE6" w14:paraId="011D9CDC" w14:textId="77777777" w:rsidTr="00676C8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13F8755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37B4C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E00A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0C6E9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FAB7B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660DA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262E9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D5FA7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F5CC0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A199A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90D65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C7AA6C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5E34D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062857C2" w14:textId="77777777" w:rsidTr="00676C8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817505A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7281E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EDA3B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ADF9B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52E78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8A2FB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55665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4499F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D3313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48D7D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849AD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3557A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F6FFC2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2E6FB6EA" w14:textId="77777777" w:rsidTr="00676C8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54BB51F7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445C2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91165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1217D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8601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FBA19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73A15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01148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7DEA1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8A6D2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89D06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0DB0F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4B365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2551209B" w14:textId="77777777" w:rsidTr="00676C8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EC901A8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514AE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B3FEB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40DC5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53136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1D6AE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9A26C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CDC55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18141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C7716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634F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3BAD1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B596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2A53943D" w14:textId="77777777" w:rsidTr="00676C8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45C9487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BADE0D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E57ED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403AC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1BA60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BC59A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C8BEC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4BA0F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6B51A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27CA9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9487D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2BC30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E5DCC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1E49C9E5" w14:textId="77777777" w:rsidTr="00676C8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36AA8BF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D8974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2F79B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5D714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CF2D5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0B7B8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8F063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ED745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94448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16E27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FAB1C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82916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12120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26CC024F" w14:textId="77777777" w:rsidTr="00676C8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FD310A4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320AC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D3DAF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426C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D13D9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35CA9D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AAB86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706F2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65060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A62D9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2FBFE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E2478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DFDA7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0010EA4A" w14:textId="77777777" w:rsidTr="00676C8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B8161B2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8DDC9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53825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BB168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5BD5E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29630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C9875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5924F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EBD8D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EAAA6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97829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79A08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10BC3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2A837F7C" w14:textId="77777777" w:rsidTr="00676C8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3F8D2BB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B90C1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12237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E6E31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A2F44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81F22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32A78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51506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85D33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04920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625D4C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A20F2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2BAC7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39DCB29B" w14:textId="77777777" w:rsidTr="00676C8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1BE8B5F" w14:textId="77777777" w:rsidR="003A5353" w:rsidRPr="00C53F2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F56E6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98B29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092B6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D28CE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74FB4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D96A0E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C64DA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9E3D8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AB953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8981F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4C49D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B94D7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A5353" w:rsidRPr="008B4FE6" w14:paraId="75E5B68F" w14:textId="77777777" w:rsidTr="00855680">
        <w:trPr>
          <w:gridAfter w:val="1"/>
          <w:wAfter w:w="10" w:type="dxa"/>
          <w:trHeight w:val="348"/>
        </w:trPr>
        <w:tc>
          <w:tcPr>
            <w:tcW w:w="2411" w:type="dxa"/>
            <w:gridSpan w:val="3"/>
            <w:shd w:val="clear" w:color="auto" w:fill="auto"/>
            <w:vAlign w:val="center"/>
          </w:tcPr>
          <w:p w14:paraId="62BCB3E1" w14:textId="77777777" w:rsidR="003A5353" w:rsidRPr="008556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680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26" w:type="dxa"/>
            <w:gridSpan w:val="27"/>
            <w:shd w:val="clear" w:color="auto" w:fill="auto"/>
            <w:vAlign w:val="center"/>
          </w:tcPr>
          <w:p w14:paraId="7C4DBB31" w14:textId="77777777" w:rsidR="003A5353" w:rsidRPr="00467DDF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7DDF">
              <w:rPr>
                <w:rFonts w:ascii="Times New Roman" w:hAnsi="Times New Roman"/>
              </w:rPr>
              <w:t xml:space="preserve">Wejście w </w:t>
            </w:r>
            <w:r w:rsidRPr="00467DDF">
              <w:rPr>
                <w:rFonts w:ascii="Times New Roman" w:hAnsi="Times New Roman"/>
                <w:color w:val="000000"/>
              </w:rPr>
              <w:t>życie</w:t>
            </w:r>
            <w:r w:rsidRPr="00467DDF">
              <w:rPr>
                <w:rFonts w:ascii="Times New Roman" w:hAnsi="Times New Roman"/>
              </w:rPr>
              <w:t xml:space="preserve"> rozporządzenia nie wpłynie na sektor finansów publicznych, w tym budżet państwa i budżety jednostek samorządu terytorialnego.</w:t>
            </w:r>
          </w:p>
          <w:p w14:paraId="4D133BB0" w14:textId="77777777" w:rsidR="003A5353" w:rsidRPr="00B37C80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A5353" w:rsidRPr="008B4FE6" w14:paraId="5E696489" w14:textId="77777777" w:rsidTr="00855680">
        <w:trPr>
          <w:gridAfter w:val="1"/>
          <w:wAfter w:w="10" w:type="dxa"/>
          <w:trHeight w:val="1926"/>
        </w:trPr>
        <w:tc>
          <w:tcPr>
            <w:tcW w:w="2411" w:type="dxa"/>
            <w:gridSpan w:val="3"/>
            <w:shd w:val="clear" w:color="auto" w:fill="auto"/>
          </w:tcPr>
          <w:p w14:paraId="0899942C" w14:textId="77777777" w:rsidR="003A5353" w:rsidRPr="00467DDF" w:rsidRDefault="003A5353" w:rsidP="003A5353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467DD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26" w:type="dxa"/>
            <w:gridSpan w:val="27"/>
            <w:shd w:val="clear" w:color="auto" w:fill="auto"/>
          </w:tcPr>
          <w:p w14:paraId="06D61828" w14:textId="77777777" w:rsidR="003A5353" w:rsidRPr="00467DDF" w:rsidRDefault="003A5353" w:rsidP="003A5353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</w:rPr>
            </w:pPr>
            <w:r w:rsidRPr="00467DDF">
              <w:rPr>
                <w:rFonts w:ascii="Times New Roman" w:hAnsi="Times New Roman"/>
                <w:color w:val="000000"/>
              </w:rPr>
              <w:t>Wejście w życie rozporządzenia nie będzie miało wpływu na dochody i wydatki sektora finansów publicznych.</w:t>
            </w:r>
          </w:p>
        </w:tc>
      </w:tr>
      <w:tr w:rsidR="003A5353" w:rsidRPr="008B4FE6" w14:paraId="7946106C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0C42C9D8" w14:textId="77777777" w:rsidR="003A5353" w:rsidRPr="008B4FE6" w:rsidRDefault="003A5353" w:rsidP="003A53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A5353" w:rsidRPr="008B4FE6" w14:paraId="2B6D3E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0FF0FED7" w14:textId="77777777" w:rsidR="003A5353" w:rsidRPr="00855680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55680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A5353" w:rsidRPr="008B4FE6" w14:paraId="42936E7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19025C8F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A5A10F" w14:textId="77777777" w:rsidR="003A5353" w:rsidRPr="00301959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F207E64" w14:textId="77777777" w:rsidR="003A5353" w:rsidRPr="00301959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9D6FCF" w14:textId="77777777" w:rsidR="003A5353" w:rsidRPr="00301959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D73BDA" w14:textId="77777777" w:rsidR="003A5353" w:rsidRPr="00301959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2200A83" w14:textId="77777777" w:rsidR="003A5353" w:rsidRPr="00301959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2402838" w14:textId="77777777" w:rsidR="003A5353" w:rsidRPr="00301959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253C402" w14:textId="77777777" w:rsidR="003A5353" w:rsidRPr="001B3460" w:rsidRDefault="003A5353" w:rsidP="003A535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A5353" w:rsidRPr="008B4FE6" w14:paraId="0B1F0E4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D02DBF3" w14:textId="77777777" w:rsidR="003A5353" w:rsidRDefault="003A5353" w:rsidP="003A535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1BCBCA3" w14:textId="77777777" w:rsidR="003A5353" w:rsidRDefault="003A5353" w:rsidP="003A535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09D9E5F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9D15E3A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18CE5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2B1597D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C307D8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D10D7D6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351BF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27D8EF2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5E19BB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A5353" w:rsidRPr="008B4FE6" w14:paraId="7540875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746582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966F549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DDCA8D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54535B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2A749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6C786CA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8AED9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FC99D95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4AF5444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A5353" w:rsidRPr="008B4FE6" w14:paraId="386C1DD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7954895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50E61A8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C54897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27EAB8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878913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AA283BB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A47101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90058F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23222C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A5353" w:rsidRPr="008B4FE6" w14:paraId="505E029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6C228EF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01A93284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03B5B0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A5353" w:rsidRPr="008B4FE6" w14:paraId="1B47899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9573FB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1D8F2EF7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90977D9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A5353" w:rsidRPr="008B4FE6" w14:paraId="4F0817C9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27528F7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3B1426F" w14:textId="77777777" w:rsidR="003A5353" w:rsidRPr="00301959" w:rsidRDefault="003A5353" w:rsidP="003A535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24E405D" w14:textId="77777777" w:rsidR="003A5353" w:rsidRPr="00B37C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A5353" w:rsidRPr="008B4FE6" w14:paraId="4A828B1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485585C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0A9B68D6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11A20D" w14:textId="77777777" w:rsidR="003A5353" w:rsidRPr="00884760" w:rsidRDefault="003A5353" w:rsidP="003A535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3A5353" w:rsidRPr="008B4FE6" w14:paraId="1F6D79D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D1DC373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9DFD610" w14:textId="77777777" w:rsidR="003A5353" w:rsidRPr="00301959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gospodarka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B240200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A5353" w:rsidRPr="008B4FE6" w14:paraId="1B5BB388" w14:textId="77777777" w:rsidTr="00855680">
        <w:trPr>
          <w:gridAfter w:val="1"/>
          <w:wAfter w:w="10" w:type="dxa"/>
          <w:trHeight w:val="1643"/>
        </w:trPr>
        <w:tc>
          <w:tcPr>
            <w:tcW w:w="2411" w:type="dxa"/>
            <w:gridSpan w:val="3"/>
            <w:shd w:val="clear" w:color="auto" w:fill="auto"/>
          </w:tcPr>
          <w:p w14:paraId="45E7FDA7" w14:textId="77777777" w:rsidR="003A5353" w:rsidRPr="00855680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680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26" w:type="dxa"/>
            <w:gridSpan w:val="27"/>
            <w:shd w:val="clear" w:color="auto" w:fill="auto"/>
            <w:vAlign w:val="center"/>
          </w:tcPr>
          <w:p w14:paraId="6FFAD39F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956072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1A19542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E7E662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17E1C8A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1992ED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26822A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5C520F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C4EA42" w14:textId="77777777" w:rsidR="003A5353" w:rsidRPr="00301959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A5353" w:rsidRPr="008B4FE6" w14:paraId="1A4E9EE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8031BCF" w14:textId="77777777" w:rsidR="003A5353" w:rsidRPr="008B4FE6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A5353" w:rsidRPr="008B4FE6" w14:paraId="1BFF06D0" w14:textId="77777777" w:rsidTr="000D3ECB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auto"/>
          </w:tcPr>
          <w:p w14:paraId="5532E16D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A5353" w:rsidRPr="008B4FE6" w14:paraId="2EBB17C3" w14:textId="77777777" w:rsidTr="000D3ECB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auto"/>
          </w:tcPr>
          <w:p w14:paraId="21B528D7" w14:textId="77777777" w:rsidR="003A5353" w:rsidRDefault="003A5353" w:rsidP="003A535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3DEC7A53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1DA12A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FBC8805" w14:textId="77777777" w:rsidR="003A5353" w:rsidRDefault="003A5353" w:rsidP="003A53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A5353" w:rsidRPr="008B4FE6" w14:paraId="182D71E1" w14:textId="77777777" w:rsidTr="000D3ECB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auto"/>
          </w:tcPr>
          <w:p w14:paraId="5A8B55B3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E63A745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14C37B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9C0F1C" w14:textId="77777777" w:rsidR="003A5353" w:rsidRPr="008B4FE6" w:rsidRDefault="003A5353" w:rsidP="003A5353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38FCA5AD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F6CA51B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606CCAF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DE7212E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6F09FC0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5353" w:rsidRPr="008B4FE6" w14:paraId="09587881" w14:textId="77777777" w:rsidTr="000D3ECB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auto"/>
          </w:tcPr>
          <w:p w14:paraId="22767226" w14:textId="77777777" w:rsidR="003A5353" w:rsidRPr="008B4FE6" w:rsidRDefault="003A5353" w:rsidP="003A5353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3505D221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B5B09EA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982C40" w14:textId="77777777" w:rsidR="003A5353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EE66FB7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5353" w:rsidRPr="008B4FE6" w14:paraId="4EB51164" w14:textId="77777777" w:rsidTr="000D3ECB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auto"/>
          </w:tcPr>
          <w:p w14:paraId="2213A91C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74B4C25" w14:textId="77777777" w:rsidR="003A5353" w:rsidRPr="008B4FE6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nie przewiduje z</w:t>
            </w:r>
            <w:r w:rsidRPr="009C5EF0">
              <w:rPr>
                <w:rFonts w:ascii="Times New Roman" w:hAnsi="Times New Roman"/>
                <w:color w:val="000000"/>
              </w:rPr>
              <w:t>mian w z</w:t>
            </w:r>
            <w:r>
              <w:rPr>
                <w:rFonts w:ascii="Times New Roman" w:hAnsi="Times New Roman"/>
                <w:color w:val="000000"/>
              </w:rPr>
              <w:t>akresie obciążeń regulacyjnych.</w:t>
            </w:r>
          </w:p>
        </w:tc>
      </w:tr>
      <w:tr w:rsidR="003A5353" w:rsidRPr="008B4FE6" w14:paraId="3DBFA4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368FD07" w14:textId="77777777" w:rsidR="003A5353" w:rsidRPr="008B4FE6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A5353" w:rsidRPr="008B4FE6" w14:paraId="53B332D0" w14:textId="77777777" w:rsidTr="000D3ECB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C25DD99" w14:textId="77777777" w:rsidR="003A5353" w:rsidRPr="008B4FE6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Projektowane</w:t>
            </w:r>
            <w:r w:rsidRPr="009C5EF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rozporządzenie nie wpłynie na rynek pracy.</w:t>
            </w:r>
          </w:p>
        </w:tc>
      </w:tr>
      <w:tr w:rsidR="000E38D4" w:rsidRPr="008B4FE6" w14:paraId="5565C93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CB135B3" w14:textId="77777777" w:rsidR="000E38D4" w:rsidRPr="008B4FE6" w:rsidRDefault="000E38D4" w:rsidP="000E38D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E38D4" w:rsidRPr="008B4FE6" w14:paraId="62648376" w14:textId="77777777" w:rsidTr="000D3ECB">
        <w:trPr>
          <w:gridAfter w:val="1"/>
          <w:wAfter w:w="10" w:type="dxa"/>
          <w:trHeight w:val="1031"/>
        </w:trPr>
        <w:tc>
          <w:tcPr>
            <w:tcW w:w="3547" w:type="dxa"/>
            <w:gridSpan w:val="6"/>
            <w:shd w:val="clear" w:color="auto" w:fill="auto"/>
          </w:tcPr>
          <w:p w14:paraId="3CE58E90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9AF1A5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351DC8" w14:textId="77777777" w:rsidR="000E38D4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CC46F81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auto"/>
          </w:tcPr>
          <w:p w14:paraId="06F66648" w14:textId="77777777" w:rsidR="000E38D4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5BE9766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BC2E338" w14:textId="77777777" w:rsidR="000E38D4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E93B9E8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auto"/>
          </w:tcPr>
          <w:p w14:paraId="744FB5BF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FC50A1" w14:textId="77777777" w:rsidR="000E38D4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AAE0E39" w14:textId="77777777" w:rsidR="000E38D4" w:rsidRPr="008B4FE6" w:rsidRDefault="000E38D4" w:rsidP="000E38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17655">
              <w:rPr>
                <w:rFonts w:ascii="Times New Roman" w:hAnsi="Times New Roman"/>
                <w:color w:val="000000"/>
              </w:rPr>
            </w:r>
            <w:r w:rsidR="00C176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A5353" w:rsidRPr="008B4FE6" w14:paraId="2DEECBE8" w14:textId="77777777" w:rsidTr="000D3ECB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45142F24" w14:textId="77777777" w:rsidR="003A5353" w:rsidRPr="008B4FE6" w:rsidRDefault="003A5353" w:rsidP="003A53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auto"/>
            <w:vAlign w:val="center"/>
          </w:tcPr>
          <w:p w14:paraId="326159C9" w14:textId="77777777" w:rsidR="003A5353" w:rsidRPr="009C5EF0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Pr="009C5EF0">
              <w:rPr>
                <w:rFonts w:ascii="Times New Roman" w:hAnsi="Times New Roman"/>
                <w:color w:val="000000"/>
              </w:rPr>
              <w:t xml:space="preserve"> nie wpłynie na </w:t>
            </w:r>
            <w:r>
              <w:rPr>
                <w:rFonts w:ascii="Times New Roman" w:hAnsi="Times New Roman"/>
                <w:color w:val="000000"/>
              </w:rPr>
              <w:t>wymienione obszary.</w:t>
            </w:r>
          </w:p>
          <w:p w14:paraId="5BBE4876" w14:textId="77777777" w:rsidR="003A5353" w:rsidRPr="008B4FE6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5353" w:rsidRPr="008B4FE6" w14:paraId="5C96124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D11527B" w14:textId="77777777" w:rsidR="003A5353" w:rsidRPr="00996ACC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96ACC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3A5353" w:rsidRPr="008B4FE6" w14:paraId="787CC869" w14:textId="77777777" w:rsidTr="00F731B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448D0BE" w14:textId="77777777" w:rsidR="003A5353" w:rsidRPr="001438A1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2D08">
              <w:rPr>
                <w:rFonts w:ascii="Times New Roman" w:hAnsi="Times New Roman"/>
                <w:color w:val="000000"/>
              </w:rPr>
              <w:t>Rozporządzenie wchodzi w życie z dniem następującym po dniu ogłoszenia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A5353" w:rsidRPr="008B4FE6" w14:paraId="282AD21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621579B" w14:textId="77777777" w:rsidR="003A5353" w:rsidRPr="00996ACC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96AC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96ACC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A5353" w:rsidRPr="008B4FE6" w14:paraId="0A2DE0C3" w14:textId="77777777" w:rsidTr="00D6491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DC99A37" w14:textId="77777777" w:rsidR="003A5353" w:rsidRPr="00B37C80" w:rsidRDefault="003A5353" w:rsidP="003A535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38A1">
              <w:rPr>
                <w:rFonts w:ascii="Times New Roman" w:hAnsi="Times New Roman"/>
                <w:color w:val="000000"/>
              </w:rPr>
              <w:t>Ewaluacja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D7E97">
              <w:rPr>
                <w:rFonts w:ascii="Times New Roman" w:hAnsi="Times New Roman"/>
                <w:color w:val="000000"/>
                <w:spacing w:val="-2"/>
              </w:rPr>
              <w:t>efektów projektu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będzie dokonywana na bieżąco przez Komisję Nadzoru Finansowego.</w:t>
            </w:r>
          </w:p>
        </w:tc>
      </w:tr>
      <w:tr w:rsidR="003A5353" w:rsidRPr="008B4FE6" w14:paraId="302DA0A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D1455D5" w14:textId="77777777" w:rsidR="003A5353" w:rsidRPr="00996ACC" w:rsidRDefault="003A5353" w:rsidP="003A535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96AC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996ACC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996AC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A5353" w:rsidRPr="008B4FE6" w14:paraId="0BFB49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179CD96" w14:textId="77777777" w:rsidR="003A5353" w:rsidRPr="00B37C80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18D0CAF0" w14:textId="77777777" w:rsidR="003A5353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1D060BB1" w14:textId="77777777" w:rsidR="003A5353" w:rsidRPr="00B37C80" w:rsidRDefault="003A5353" w:rsidP="003A5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2309FC6" w14:textId="77777777" w:rsidR="006176ED" w:rsidRPr="00522D94" w:rsidRDefault="006176ED" w:rsidP="00473E5F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0B2D" w14:textId="77777777" w:rsidR="00C17655" w:rsidRDefault="00C17655" w:rsidP="00044739">
      <w:pPr>
        <w:spacing w:line="240" w:lineRule="auto"/>
      </w:pPr>
      <w:r>
        <w:separator/>
      </w:r>
    </w:p>
  </w:endnote>
  <w:endnote w:type="continuationSeparator" w:id="0">
    <w:p w14:paraId="2E99C050" w14:textId="77777777" w:rsidR="00C17655" w:rsidRDefault="00C1765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D9C2" w14:textId="77777777" w:rsidR="00C17655" w:rsidRDefault="00C17655" w:rsidP="00044739">
      <w:pPr>
        <w:spacing w:line="240" w:lineRule="auto"/>
      </w:pPr>
      <w:r>
        <w:separator/>
      </w:r>
    </w:p>
  </w:footnote>
  <w:footnote w:type="continuationSeparator" w:id="0">
    <w:p w14:paraId="79511447" w14:textId="77777777" w:rsidR="00C17655" w:rsidRDefault="00C1765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C25BDC"/>
    <w:multiLevelType w:val="hybridMultilevel"/>
    <w:tmpl w:val="8D3CD63A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E4D"/>
    <w:rsid w:val="00007B4A"/>
    <w:rsid w:val="00010F37"/>
    <w:rsid w:val="00011674"/>
    <w:rsid w:val="00012D11"/>
    <w:rsid w:val="00013EB5"/>
    <w:rsid w:val="00015E07"/>
    <w:rsid w:val="00016F37"/>
    <w:rsid w:val="000174D2"/>
    <w:rsid w:val="00022CE8"/>
    <w:rsid w:val="00023836"/>
    <w:rsid w:val="000356A9"/>
    <w:rsid w:val="00044138"/>
    <w:rsid w:val="00044739"/>
    <w:rsid w:val="00051637"/>
    <w:rsid w:val="00056681"/>
    <w:rsid w:val="000648A7"/>
    <w:rsid w:val="00064D2D"/>
    <w:rsid w:val="0006618B"/>
    <w:rsid w:val="000670C0"/>
    <w:rsid w:val="00071B99"/>
    <w:rsid w:val="00072013"/>
    <w:rsid w:val="000756E5"/>
    <w:rsid w:val="0007704E"/>
    <w:rsid w:val="00080EC8"/>
    <w:rsid w:val="00086FC8"/>
    <w:rsid w:val="000944AC"/>
    <w:rsid w:val="00094CB9"/>
    <w:rsid w:val="0009560D"/>
    <w:rsid w:val="000956B2"/>
    <w:rsid w:val="000969E7"/>
    <w:rsid w:val="000A1340"/>
    <w:rsid w:val="000A23DE"/>
    <w:rsid w:val="000A3331"/>
    <w:rsid w:val="000A4020"/>
    <w:rsid w:val="000A50CF"/>
    <w:rsid w:val="000A6BF9"/>
    <w:rsid w:val="000A7CD7"/>
    <w:rsid w:val="000B54FB"/>
    <w:rsid w:val="000C29B0"/>
    <w:rsid w:val="000C76FC"/>
    <w:rsid w:val="000D0207"/>
    <w:rsid w:val="000D38FC"/>
    <w:rsid w:val="000D3ECB"/>
    <w:rsid w:val="000D4D90"/>
    <w:rsid w:val="000E2D10"/>
    <w:rsid w:val="000E38D4"/>
    <w:rsid w:val="000E3D99"/>
    <w:rsid w:val="000F1D4F"/>
    <w:rsid w:val="000F3204"/>
    <w:rsid w:val="000F5AFC"/>
    <w:rsid w:val="0010170A"/>
    <w:rsid w:val="0010271F"/>
    <w:rsid w:val="0010548B"/>
    <w:rsid w:val="00105ACE"/>
    <w:rsid w:val="001072D1"/>
    <w:rsid w:val="00117017"/>
    <w:rsid w:val="00117FE6"/>
    <w:rsid w:val="00122E78"/>
    <w:rsid w:val="0012390B"/>
    <w:rsid w:val="00124167"/>
    <w:rsid w:val="00127259"/>
    <w:rsid w:val="00130E8E"/>
    <w:rsid w:val="0013216E"/>
    <w:rsid w:val="001401B5"/>
    <w:rsid w:val="001422B9"/>
    <w:rsid w:val="001438A1"/>
    <w:rsid w:val="001442DB"/>
    <w:rsid w:val="0014665F"/>
    <w:rsid w:val="00153464"/>
    <w:rsid w:val="001541B3"/>
    <w:rsid w:val="00155B15"/>
    <w:rsid w:val="00156E85"/>
    <w:rsid w:val="00156FC6"/>
    <w:rsid w:val="001625BE"/>
    <w:rsid w:val="001643A4"/>
    <w:rsid w:val="00164E8E"/>
    <w:rsid w:val="001670D3"/>
    <w:rsid w:val="001727BB"/>
    <w:rsid w:val="00180D25"/>
    <w:rsid w:val="00181979"/>
    <w:rsid w:val="0018318D"/>
    <w:rsid w:val="00183B00"/>
    <w:rsid w:val="0018572C"/>
    <w:rsid w:val="00187E79"/>
    <w:rsid w:val="00187F0D"/>
    <w:rsid w:val="00191099"/>
    <w:rsid w:val="00192CC5"/>
    <w:rsid w:val="00194AA4"/>
    <w:rsid w:val="001956A7"/>
    <w:rsid w:val="001A118A"/>
    <w:rsid w:val="001A27F4"/>
    <w:rsid w:val="001A2D95"/>
    <w:rsid w:val="001A6A5B"/>
    <w:rsid w:val="001B1645"/>
    <w:rsid w:val="001B3460"/>
    <w:rsid w:val="001B4AF6"/>
    <w:rsid w:val="001B4CA1"/>
    <w:rsid w:val="001B4EF2"/>
    <w:rsid w:val="001B75D8"/>
    <w:rsid w:val="001B7C5B"/>
    <w:rsid w:val="001C1060"/>
    <w:rsid w:val="001C3C63"/>
    <w:rsid w:val="001D038E"/>
    <w:rsid w:val="001D4732"/>
    <w:rsid w:val="001D6A3C"/>
    <w:rsid w:val="001D6D51"/>
    <w:rsid w:val="001D7990"/>
    <w:rsid w:val="001F297A"/>
    <w:rsid w:val="001F32E7"/>
    <w:rsid w:val="001F653A"/>
    <w:rsid w:val="001F6979"/>
    <w:rsid w:val="001F715A"/>
    <w:rsid w:val="00202BC6"/>
    <w:rsid w:val="00205141"/>
    <w:rsid w:val="0020516B"/>
    <w:rsid w:val="00213559"/>
    <w:rsid w:val="00213BED"/>
    <w:rsid w:val="00213EFD"/>
    <w:rsid w:val="002172F1"/>
    <w:rsid w:val="00221FF3"/>
    <w:rsid w:val="00223C7B"/>
    <w:rsid w:val="00223D3B"/>
    <w:rsid w:val="002249E6"/>
    <w:rsid w:val="00224AB1"/>
    <w:rsid w:val="0022687A"/>
    <w:rsid w:val="00230728"/>
    <w:rsid w:val="0023280D"/>
    <w:rsid w:val="00234040"/>
    <w:rsid w:val="00235CD2"/>
    <w:rsid w:val="0023759B"/>
    <w:rsid w:val="00246DF8"/>
    <w:rsid w:val="00246E8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6ECA"/>
    <w:rsid w:val="00277FEA"/>
    <w:rsid w:val="00282D72"/>
    <w:rsid w:val="00283402"/>
    <w:rsid w:val="00290FD6"/>
    <w:rsid w:val="00294259"/>
    <w:rsid w:val="002979CD"/>
    <w:rsid w:val="002A2C81"/>
    <w:rsid w:val="002A5448"/>
    <w:rsid w:val="002A7430"/>
    <w:rsid w:val="002B3D1A"/>
    <w:rsid w:val="002C01D1"/>
    <w:rsid w:val="002C27D0"/>
    <w:rsid w:val="002C2C9B"/>
    <w:rsid w:val="002D17D6"/>
    <w:rsid w:val="002D18D7"/>
    <w:rsid w:val="002D21CE"/>
    <w:rsid w:val="002E05FB"/>
    <w:rsid w:val="002E3DA3"/>
    <w:rsid w:val="002E450F"/>
    <w:rsid w:val="002E6B38"/>
    <w:rsid w:val="002E6D63"/>
    <w:rsid w:val="002E6E2B"/>
    <w:rsid w:val="002F255E"/>
    <w:rsid w:val="002F500B"/>
    <w:rsid w:val="00300991"/>
    <w:rsid w:val="00301959"/>
    <w:rsid w:val="00305B8A"/>
    <w:rsid w:val="003114D5"/>
    <w:rsid w:val="00320169"/>
    <w:rsid w:val="00324E55"/>
    <w:rsid w:val="00331BF9"/>
    <w:rsid w:val="0033495E"/>
    <w:rsid w:val="00334A79"/>
    <w:rsid w:val="00334D8D"/>
    <w:rsid w:val="00337345"/>
    <w:rsid w:val="00337DD2"/>
    <w:rsid w:val="003404D1"/>
    <w:rsid w:val="00340766"/>
    <w:rsid w:val="00340FFE"/>
    <w:rsid w:val="00343DD2"/>
    <w:rsid w:val="003443FF"/>
    <w:rsid w:val="00352611"/>
    <w:rsid w:val="00355808"/>
    <w:rsid w:val="00357219"/>
    <w:rsid w:val="00357337"/>
    <w:rsid w:val="0035773E"/>
    <w:rsid w:val="00362C7E"/>
    <w:rsid w:val="00363309"/>
    <w:rsid w:val="00363601"/>
    <w:rsid w:val="00371840"/>
    <w:rsid w:val="003726A8"/>
    <w:rsid w:val="00373BE6"/>
    <w:rsid w:val="00376AC9"/>
    <w:rsid w:val="00384DC8"/>
    <w:rsid w:val="00393032"/>
    <w:rsid w:val="00394B69"/>
    <w:rsid w:val="00394E5E"/>
    <w:rsid w:val="00397078"/>
    <w:rsid w:val="003A5353"/>
    <w:rsid w:val="003A6151"/>
    <w:rsid w:val="003A6953"/>
    <w:rsid w:val="003B6083"/>
    <w:rsid w:val="003C0BF6"/>
    <w:rsid w:val="003C3838"/>
    <w:rsid w:val="003C5847"/>
    <w:rsid w:val="003D0681"/>
    <w:rsid w:val="003D12F6"/>
    <w:rsid w:val="003D1426"/>
    <w:rsid w:val="003E2F4E"/>
    <w:rsid w:val="003E720A"/>
    <w:rsid w:val="003F5269"/>
    <w:rsid w:val="00403E6E"/>
    <w:rsid w:val="004100AD"/>
    <w:rsid w:val="004129B4"/>
    <w:rsid w:val="00413E9A"/>
    <w:rsid w:val="004168BD"/>
    <w:rsid w:val="00417EF0"/>
    <w:rsid w:val="0042157A"/>
    <w:rsid w:val="00422181"/>
    <w:rsid w:val="00423D35"/>
    <w:rsid w:val="004244A8"/>
    <w:rsid w:val="00425F72"/>
    <w:rsid w:val="00427736"/>
    <w:rsid w:val="004338B9"/>
    <w:rsid w:val="004363BC"/>
    <w:rsid w:val="00441787"/>
    <w:rsid w:val="00444F2D"/>
    <w:rsid w:val="00452034"/>
    <w:rsid w:val="00455FA6"/>
    <w:rsid w:val="00463704"/>
    <w:rsid w:val="00466C70"/>
    <w:rsid w:val="00467DDF"/>
    <w:rsid w:val="004702C9"/>
    <w:rsid w:val="00472E45"/>
    <w:rsid w:val="00473E5F"/>
    <w:rsid w:val="00473FEA"/>
    <w:rsid w:val="00473FF0"/>
    <w:rsid w:val="0047579D"/>
    <w:rsid w:val="00483262"/>
    <w:rsid w:val="00484107"/>
    <w:rsid w:val="00485CC5"/>
    <w:rsid w:val="0049343F"/>
    <w:rsid w:val="004964FC"/>
    <w:rsid w:val="004967D1"/>
    <w:rsid w:val="00496A03"/>
    <w:rsid w:val="00497760"/>
    <w:rsid w:val="004A145E"/>
    <w:rsid w:val="004A1F15"/>
    <w:rsid w:val="004A2A81"/>
    <w:rsid w:val="004A2D08"/>
    <w:rsid w:val="004A7BD7"/>
    <w:rsid w:val="004B1660"/>
    <w:rsid w:val="004B607B"/>
    <w:rsid w:val="004C15C2"/>
    <w:rsid w:val="004C1757"/>
    <w:rsid w:val="004C36D8"/>
    <w:rsid w:val="004C42FC"/>
    <w:rsid w:val="004D1248"/>
    <w:rsid w:val="004D1E3C"/>
    <w:rsid w:val="004D4169"/>
    <w:rsid w:val="004D6E14"/>
    <w:rsid w:val="004D71BB"/>
    <w:rsid w:val="004E477D"/>
    <w:rsid w:val="004F4E17"/>
    <w:rsid w:val="004F5008"/>
    <w:rsid w:val="0050082F"/>
    <w:rsid w:val="00500C56"/>
    <w:rsid w:val="005010D4"/>
    <w:rsid w:val="00501713"/>
    <w:rsid w:val="00506386"/>
    <w:rsid w:val="00506568"/>
    <w:rsid w:val="0050787D"/>
    <w:rsid w:val="00512C1F"/>
    <w:rsid w:val="0051551B"/>
    <w:rsid w:val="00520C57"/>
    <w:rsid w:val="00522D94"/>
    <w:rsid w:val="00523F15"/>
    <w:rsid w:val="00533D89"/>
    <w:rsid w:val="00536564"/>
    <w:rsid w:val="00543CEE"/>
    <w:rsid w:val="00544597"/>
    <w:rsid w:val="00544FFE"/>
    <w:rsid w:val="005473F5"/>
    <w:rsid w:val="005477E7"/>
    <w:rsid w:val="00552794"/>
    <w:rsid w:val="00561471"/>
    <w:rsid w:val="00563199"/>
    <w:rsid w:val="00564874"/>
    <w:rsid w:val="00565A08"/>
    <w:rsid w:val="00567963"/>
    <w:rsid w:val="0057009A"/>
    <w:rsid w:val="00571260"/>
    <w:rsid w:val="0057189C"/>
    <w:rsid w:val="00573FC1"/>
    <w:rsid w:val="005741EE"/>
    <w:rsid w:val="00575A35"/>
    <w:rsid w:val="0057668E"/>
    <w:rsid w:val="00586A4E"/>
    <w:rsid w:val="005876B7"/>
    <w:rsid w:val="00595E83"/>
    <w:rsid w:val="00596184"/>
    <w:rsid w:val="00596530"/>
    <w:rsid w:val="005967F3"/>
    <w:rsid w:val="0059734C"/>
    <w:rsid w:val="005A06DF"/>
    <w:rsid w:val="005A08F8"/>
    <w:rsid w:val="005A4AE7"/>
    <w:rsid w:val="005A5527"/>
    <w:rsid w:val="005A5AE6"/>
    <w:rsid w:val="005B1206"/>
    <w:rsid w:val="005B2A70"/>
    <w:rsid w:val="005B37E8"/>
    <w:rsid w:val="005C0056"/>
    <w:rsid w:val="005D61D6"/>
    <w:rsid w:val="005E0D13"/>
    <w:rsid w:val="005E1E1A"/>
    <w:rsid w:val="005E5047"/>
    <w:rsid w:val="005E5981"/>
    <w:rsid w:val="005E7205"/>
    <w:rsid w:val="005E7371"/>
    <w:rsid w:val="005F116C"/>
    <w:rsid w:val="005F2131"/>
    <w:rsid w:val="005F4A00"/>
    <w:rsid w:val="005F5B1E"/>
    <w:rsid w:val="005F616B"/>
    <w:rsid w:val="005F75CF"/>
    <w:rsid w:val="006055FF"/>
    <w:rsid w:val="00605EF6"/>
    <w:rsid w:val="00605F5F"/>
    <w:rsid w:val="00606455"/>
    <w:rsid w:val="006112AA"/>
    <w:rsid w:val="00612170"/>
    <w:rsid w:val="00614929"/>
    <w:rsid w:val="006156DC"/>
    <w:rsid w:val="00616511"/>
    <w:rsid w:val="006176ED"/>
    <w:rsid w:val="006202F3"/>
    <w:rsid w:val="0062097A"/>
    <w:rsid w:val="00621DA6"/>
    <w:rsid w:val="00623CFE"/>
    <w:rsid w:val="0062440A"/>
    <w:rsid w:val="00624FC0"/>
    <w:rsid w:val="006253B6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2E6B"/>
    <w:rsid w:val="006660E9"/>
    <w:rsid w:val="00667249"/>
    <w:rsid w:val="00667558"/>
    <w:rsid w:val="00671523"/>
    <w:rsid w:val="0067349E"/>
    <w:rsid w:val="006754EF"/>
    <w:rsid w:val="00676C8D"/>
    <w:rsid w:val="00676F1F"/>
    <w:rsid w:val="00677381"/>
    <w:rsid w:val="00677414"/>
    <w:rsid w:val="006832CF"/>
    <w:rsid w:val="0068601E"/>
    <w:rsid w:val="00694276"/>
    <w:rsid w:val="0069486B"/>
    <w:rsid w:val="006A4904"/>
    <w:rsid w:val="006A548F"/>
    <w:rsid w:val="006A701A"/>
    <w:rsid w:val="006A7631"/>
    <w:rsid w:val="006A7635"/>
    <w:rsid w:val="006B64DC"/>
    <w:rsid w:val="006B7A91"/>
    <w:rsid w:val="006D4704"/>
    <w:rsid w:val="006D6A2D"/>
    <w:rsid w:val="006E0DBD"/>
    <w:rsid w:val="006E1E18"/>
    <w:rsid w:val="006E2258"/>
    <w:rsid w:val="006E31CE"/>
    <w:rsid w:val="006E34D3"/>
    <w:rsid w:val="006E3793"/>
    <w:rsid w:val="006F1435"/>
    <w:rsid w:val="006F20BE"/>
    <w:rsid w:val="006F42A8"/>
    <w:rsid w:val="006F78C4"/>
    <w:rsid w:val="007031A0"/>
    <w:rsid w:val="00705A29"/>
    <w:rsid w:val="00707498"/>
    <w:rsid w:val="00711A65"/>
    <w:rsid w:val="007121B5"/>
    <w:rsid w:val="00714133"/>
    <w:rsid w:val="00714DA4"/>
    <w:rsid w:val="007158B2"/>
    <w:rsid w:val="00716081"/>
    <w:rsid w:val="007229A7"/>
    <w:rsid w:val="00722B48"/>
    <w:rsid w:val="00724164"/>
    <w:rsid w:val="00725DE7"/>
    <w:rsid w:val="0072636A"/>
    <w:rsid w:val="00726B44"/>
    <w:rsid w:val="007318DD"/>
    <w:rsid w:val="007329C7"/>
    <w:rsid w:val="00733167"/>
    <w:rsid w:val="00740D2C"/>
    <w:rsid w:val="00744BF9"/>
    <w:rsid w:val="00746901"/>
    <w:rsid w:val="0074776B"/>
    <w:rsid w:val="00752623"/>
    <w:rsid w:val="0075730D"/>
    <w:rsid w:val="00760F1F"/>
    <w:rsid w:val="0076423E"/>
    <w:rsid w:val="007646CB"/>
    <w:rsid w:val="00764F64"/>
    <w:rsid w:val="0076658F"/>
    <w:rsid w:val="0077040A"/>
    <w:rsid w:val="00772D64"/>
    <w:rsid w:val="00787F3E"/>
    <w:rsid w:val="0079038F"/>
    <w:rsid w:val="007919FF"/>
    <w:rsid w:val="00792609"/>
    <w:rsid w:val="00792887"/>
    <w:rsid w:val="00792A1B"/>
    <w:rsid w:val="0079348E"/>
    <w:rsid w:val="007943E2"/>
    <w:rsid w:val="00794F2C"/>
    <w:rsid w:val="007973ED"/>
    <w:rsid w:val="007A020A"/>
    <w:rsid w:val="007A1125"/>
    <w:rsid w:val="007A3BC7"/>
    <w:rsid w:val="007A449D"/>
    <w:rsid w:val="007A5AC4"/>
    <w:rsid w:val="007B0FDD"/>
    <w:rsid w:val="007B4802"/>
    <w:rsid w:val="007B6668"/>
    <w:rsid w:val="007B6B33"/>
    <w:rsid w:val="007C2701"/>
    <w:rsid w:val="007C4223"/>
    <w:rsid w:val="007C52F2"/>
    <w:rsid w:val="007C5E71"/>
    <w:rsid w:val="007D0D59"/>
    <w:rsid w:val="007D18D1"/>
    <w:rsid w:val="007D2192"/>
    <w:rsid w:val="007D658A"/>
    <w:rsid w:val="007E2047"/>
    <w:rsid w:val="007F0021"/>
    <w:rsid w:val="007F2F52"/>
    <w:rsid w:val="00801F71"/>
    <w:rsid w:val="0080269E"/>
    <w:rsid w:val="00805F28"/>
    <w:rsid w:val="0080749F"/>
    <w:rsid w:val="00811D46"/>
    <w:rsid w:val="008125B0"/>
    <w:rsid w:val="008144CB"/>
    <w:rsid w:val="00821717"/>
    <w:rsid w:val="00824210"/>
    <w:rsid w:val="00824CC9"/>
    <w:rsid w:val="008263C0"/>
    <w:rsid w:val="00826592"/>
    <w:rsid w:val="00827522"/>
    <w:rsid w:val="00831455"/>
    <w:rsid w:val="008353D8"/>
    <w:rsid w:val="00841422"/>
    <w:rsid w:val="00841D3B"/>
    <w:rsid w:val="0084314C"/>
    <w:rsid w:val="00843171"/>
    <w:rsid w:val="00855680"/>
    <w:rsid w:val="008575C3"/>
    <w:rsid w:val="00863D28"/>
    <w:rsid w:val="008648C3"/>
    <w:rsid w:val="00880F26"/>
    <w:rsid w:val="00894944"/>
    <w:rsid w:val="00896C2E"/>
    <w:rsid w:val="008A2A0A"/>
    <w:rsid w:val="008A5095"/>
    <w:rsid w:val="008A608F"/>
    <w:rsid w:val="008B1A9A"/>
    <w:rsid w:val="008B4FE6"/>
    <w:rsid w:val="008B5F63"/>
    <w:rsid w:val="008B6C37"/>
    <w:rsid w:val="008C5E43"/>
    <w:rsid w:val="008D2D85"/>
    <w:rsid w:val="008E18F7"/>
    <w:rsid w:val="008E1E10"/>
    <w:rsid w:val="008E291B"/>
    <w:rsid w:val="008E4F2F"/>
    <w:rsid w:val="008E74B0"/>
    <w:rsid w:val="008F1D62"/>
    <w:rsid w:val="008F3769"/>
    <w:rsid w:val="008F7DE7"/>
    <w:rsid w:val="009008A8"/>
    <w:rsid w:val="009063B0"/>
    <w:rsid w:val="00907106"/>
    <w:rsid w:val="009107FD"/>
    <w:rsid w:val="0091137C"/>
    <w:rsid w:val="00911567"/>
    <w:rsid w:val="00912D3C"/>
    <w:rsid w:val="00917AAE"/>
    <w:rsid w:val="00920CA0"/>
    <w:rsid w:val="00923070"/>
    <w:rsid w:val="00924BFF"/>
    <w:rsid w:val="009251A9"/>
    <w:rsid w:val="00930699"/>
    <w:rsid w:val="00931F69"/>
    <w:rsid w:val="00932306"/>
    <w:rsid w:val="00933A48"/>
    <w:rsid w:val="00934123"/>
    <w:rsid w:val="00950CA7"/>
    <w:rsid w:val="00955774"/>
    <w:rsid w:val="009560B5"/>
    <w:rsid w:val="00956104"/>
    <w:rsid w:val="0095679D"/>
    <w:rsid w:val="0095700F"/>
    <w:rsid w:val="009703D6"/>
    <w:rsid w:val="00970DEA"/>
    <w:rsid w:val="0097181B"/>
    <w:rsid w:val="00972563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F9D"/>
    <w:rsid w:val="00991F96"/>
    <w:rsid w:val="00996ACC"/>
    <w:rsid w:val="00996F0A"/>
    <w:rsid w:val="009A1D86"/>
    <w:rsid w:val="009A77E2"/>
    <w:rsid w:val="009B049C"/>
    <w:rsid w:val="009B11C8"/>
    <w:rsid w:val="009B2BCF"/>
    <w:rsid w:val="009B2FF8"/>
    <w:rsid w:val="009B5966"/>
    <w:rsid w:val="009B5BA3"/>
    <w:rsid w:val="009B627B"/>
    <w:rsid w:val="009C6549"/>
    <w:rsid w:val="009D0027"/>
    <w:rsid w:val="009D0655"/>
    <w:rsid w:val="009D1031"/>
    <w:rsid w:val="009D2BAE"/>
    <w:rsid w:val="009D5D76"/>
    <w:rsid w:val="009E1E98"/>
    <w:rsid w:val="009E3ABE"/>
    <w:rsid w:val="009E3C4B"/>
    <w:rsid w:val="009F0637"/>
    <w:rsid w:val="009F0E81"/>
    <w:rsid w:val="009F310E"/>
    <w:rsid w:val="009F5E03"/>
    <w:rsid w:val="009F62A6"/>
    <w:rsid w:val="009F674F"/>
    <w:rsid w:val="009F799E"/>
    <w:rsid w:val="00A02020"/>
    <w:rsid w:val="00A0484D"/>
    <w:rsid w:val="00A056CB"/>
    <w:rsid w:val="00A07A29"/>
    <w:rsid w:val="00A10FF1"/>
    <w:rsid w:val="00A1506B"/>
    <w:rsid w:val="00A17CB2"/>
    <w:rsid w:val="00A23191"/>
    <w:rsid w:val="00A319C0"/>
    <w:rsid w:val="00A33560"/>
    <w:rsid w:val="00A35429"/>
    <w:rsid w:val="00A364E4"/>
    <w:rsid w:val="00A371A5"/>
    <w:rsid w:val="00A42680"/>
    <w:rsid w:val="00A47BDF"/>
    <w:rsid w:val="00A51CD7"/>
    <w:rsid w:val="00A52ADB"/>
    <w:rsid w:val="00A533E8"/>
    <w:rsid w:val="00A53AC5"/>
    <w:rsid w:val="00A542D9"/>
    <w:rsid w:val="00A56E64"/>
    <w:rsid w:val="00A624C3"/>
    <w:rsid w:val="00A662D1"/>
    <w:rsid w:val="00A6641C"/>
    <w:rsid w:val="00A67D06"/>
    <w:rsid w:val="00A702DE"/>
    <w:rsid w:val="00A75A3A"/>
    <w:rsid w:val="00A767D2"/>
    <w:rsid w:val="00A77616"/>
    <w:rsid w:val="00A805DA"/>
    <w:rsid w:val="00A811B4"/>
    <w:rsid w:val="00A84B81"/>
    <w:rsid w:val="00A874E8"/>
    <w:rsid w:val="00A8750A"/>
    <w:rsid w:val="00A87CDE"/>
    <w:rsid w:val="00A920A0"/>
    <w:rsid w:val="00A92BAF"/>
    <w:rsid w:val="00A94737"/>
    <w:rsid w:val="00A94BA3"/>
    <w:rsid w:val="00A960C8"/>
    <w:rsid w:val="00A96B46"/>
    <w:rsid w:val="00A96CBA"/>
    <w:rsid w:val="00AA6A60"/>
    <w:rsid w:val="00AB1ACD"/>
    <w:rsid w:val="00AB277F"/>
    <w:rsid w:val="00AB3025"/>
    <w:rsid w:val="00AB4099"/>
    <w:rsid w:val="00AB449A"/>
    <w:rsid w:val="00AB44CB"/>
    <w:rsid w:val="00AC318F"/>
    <w:rsid w:val="00AD14F9"/>
    <w:rsid w:val="00AD35D6"/>
    <w:rsid w:val="00AD465C"/>
    <w:rsid w:val="00AD48D1"/>
    <w:rsid w:val="00AD58C5"/>
    <w:rsid w:val="00AD6411"/>
    <w:rsid w:val="00AE36C4"/>
    <w:rsid w:val="00AE472C"/>
    <w:rsid w:val="00AE5375"/>
    <w:rsid w:val="00AE6CF8"/>
    <w:rsid w:val="00AE7739"/>
    <w:rsid w:val="00AE7906"/>
    <w:rsid w:val="00AE7A13"/>
    <w:rsid w:val="00AE7D4A"/>
    <w:rsid w:val="00AF4CAC"/>
    <w:rsid w:val="00AF6C67"/>
    <w:rsid w:val="00AF7FB2"/>
    <w:rsid w:val="00B0290A"/>
    <w:rsid w:val="00B03E0D"/>
    <w:rsid w:val="00B04D1F"/>
    <w:rsid w:val="00B054F8"/>
    <w:rsid w:val="00B05869"/>
    <w:rsid w:val="00B16458"/>
    <w:rsid w:val="00B2219A"/>
    <w:rsid w:val="00B22D18"/>
    <w:rsid w:val="00B264EE"/>
    <w:rsid w:val="00B3581B"/>
    <w:rsid w:val="00B36B81"/>
    <w:rsid w:val="00B36CA7"/>
    <w:rsid w:val="00B36FEE"/>
    <w:rsid w:val="00B37C80"/>
    <w:rsid w:val="00B44A19"/>
    <w:rsid w:val="00B5092B"/>
    <w:rsid w:val="00B5194E"/>
    <w:rsid w:val="00B51968"/>
    <w:rsid w:val="00B51AF5"/>
    <w:rsid w:val="00B531FC"/>
    <w:rsid w:val="00B55347"/>
    <w:rsid w:val="00B57E5E"/>
    <w:rsid w:val="00B61F37"/>
    <w:rsid w:val="00B62935"/>
    <w:rsid w:val="00B62FEB"/>
    <w:rsid w:val="00B6433D"/>
    <w:rsid w:val="00B65C3F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542A"/>
    <w:rsid w:val="00BA6BCE"/>
    <w:rsid w:val="00BB0DCA"/>
    <w:rsid w:val="00BB2666"/>
    <w:rsid w:val="00BB4874"/>
    <w:rsid w:val="00BB6B80"/>
    <w:rsid w:val="00BC3773"/>
    <w:rsid w:val="00BC381A"/>
    <w:rsid w:val="00BD0962"/>
    <w:rsid w:val="00BD1EED"/>
    <w:rsid w:val="00BD377D"/>
    <w:rsid w:val="00BD61EF"/>
    <w:rsid w:val="00BD66CB"/>
    <w:rsid w:val="00BF0DA2"/>
    <w:rsid w:val="00BF109C"/>
    <w:rsid w:val="00BF2B48"/>
    <w:rsid w:val="00BF34FA"/>
    <w:rsid w:val="00C004B6"/>
    <w:rsid w:val="00C047A7"/>
    <w:rsid w:val="00C05DE5"/>
    <w:rsid w:val="00C127A7"/>
    <w:rsid w:val="00C16355"/>
    <w:rsid w:val="00C17655"/>
    <w:rsid w:val="00C246FF"/>
    <w:rsid w:val="00C248F8"/>
    <w:rsid w:val="00C30D93"/>
    <w:rsid w:val="00C310E1"/>
    <w:rsid w:val="00C33027"/>
    <w:rsid w:val="00C37667"/>
    <w:rsid w:val="00C435DB"/>
    <w:rsid w:val="00C44D73"/>
    <w:rsid w:val="00C50B42"/>
    <w:rsid w:val="00C516FF"/>
    <w:rsid w:val="00C51A92"/>
    <w:rsid w:val="00C52BFA"/>
    <w:rsid w:val="00C53D1D"/>
    <w:rsid w:val="00C53F26"/>
    <w:rsid w:val="00C540BC"/>
    <w:rsid w:val="00C545DC"/>
    <w:rsid w:val="00C57D2E"/>
    <w:rsid w:val="00C604C4"/>
    <w:rsid w:val="00C636B2"/>
    <w:rsid w:val="00C64F7D"/>
    <w:rsid w:val="00C67309"/>
    <w:rsid w:val="00C7497E"/>
    <w:rsid w:val="00C7614E"/>
    <w:rsid w:val="00C77BF1"/>
    <w:rsid w:val="00C80520"/>
    <w:rsid w:val="00C80D60"/>
    <w:rsid w:val="00C82FBD"/>
    <w:rsid w:val="00C84BBA"/>
    <w:rsid w:val="00C84F65"/>
    <w:rsid w:val="00C85267"/>
    <w:rsid w:val="00C8721B"/>
    <w:rsid w:val="00C87E97"/>
    <w:rsid w:val="00C916F0"/>
    <w:rsid w:val="00C9372C"/>
    <w:rsid w:val="00C9470E"/>
    <w:rsid w:val="00C95CEB"/>
    <w:rsid w:val="00CA1054"/>
    <w:rsid w:val="00CA63EB"/>
    <w:rsid w:val="00CA69F1"/>
    <w:rsid w:val="00CB5B25"/>
    <w:rsid w:val="00CB6991"/>
    <w:rsid w:val="00CC6194"/>
    <w:rsid w:val="00CC6305"/>
    <w:rsid w:val="00CC78A5"/>
    <w:rsid w:val="00CD0516"/>
    <w:rsid w:val="00CD756B"/>
    <w:rsid w:val="00CE734F"/>
    <w:rsid w:val="00CE7F40"/>
    <w:rsid w:val="00CF112E"/>
    <w:rsid w:val="00CF5F4F"/>
    <w:rsid w:val="00D05E0E"/>
    <w:rsid w:val="00D17777"/>
    <w:rsid w:val="00D218D3"/>
    <w:rsid w:val="00D218DC"/>
    <w:rsid w:val="00D21CE2"/>
    <w:rsid w:val="00D2324B"/>
    <w:rsid w:val="00D233CF"/>
    <w:rsid w:val="00D24E56"/>
    <w:rsid w:val="00D30A3C"/>
    <w:rsid w:val="00D31643"/>
    <w:rsid w:val="00D31AEB"/>
    <w:rsid w:val="00D32ECD"/>
    <w:rsid w:val="00D3531E"/>
    <w:rsid w:val="00D361E4"/>
    <w:rsid w:val="00D408E5"/>
    <w:rsid w:val="00D41E1B"/>
    <w:rsid w:val="00D42A8F"/>
    <w:rsid w:val="00D439F6"/>
    <w:rsid w:val="00D459C6"/>
    <w:rsid w:val="00D50729"/>
    <w:rsid w:val="00D50C19"/>
    <w:rsid w:val="00D5379E"/>
    <w:rsid w:val="00D62643"/>
    <w:rsid w:val="00D6491D"/>
    <w:rsid w:val="00D64C0F"/>
    <w:rsid w:val="00D65825"/>
    <w:rsid w:val="00D67B5E"/>
    <w:rsid w:val="00D72E18"/>
    <w:rsid w:val="00D72EFE"/>
    <w:rsid w:val="00D751E6"/>
    <w:rsid w:val="00D75CF3"/>
    <w:rsid w:val="00D76227"/>
    <w:rsid w:val="00D762F2"/>
    <w:rsid w:val="00D77DF1"/>
    <w:rsid w:val="00D86AFF"/>
    <w:rsid w:val="00D8783D"/>
    <w:rsid w:val="00D95A44"/>
    <w:rsid w:val="00D95D16"/>
    <w:rsid w:val="00D97C76"/>
    <w:rsid w:val="00DA6F7C"/>
    <w:rsid w:val="00DB02B4"/>
    <w:rsid w:val="00DB05EE"/>
    <w:rsid w:val="00DB538D"/>
    <w:rsid w:val="00DB7003"/>
    <w:rsid w:val="00DC275C"/>
    <w:rsid w:val="00DC30FA"/>
    <w:rsid w:val="00DC4B0D"/>
    <w:rsid w:val="00DC7FE1"/>
    <w:rsid w:val="00DD3F3F"/>
    <w:rsid w:val="00DD5572"/>
    <w:rsid w:val="00DE0522"/>
    <w:rsid w:val="00DE5D80"/>
    <w:rsid w:val="00DF58CD"/>
    <w:rsid w:val="00DF65DE"/>
    <w:rsid w:val="00DF7310"/>
    <w:rsid w:val="00DF7B39"/>
    <w:rsid w:val="00DF7EEE"/>
    <w:rsid w:val="00E019A5"/>
    <w:rsid w:val="00E027F0"/>
    <w:rsid w:val="00E02EC8"/>
    <w:rsid w:val="00E037F5"/>
    <w:rsid w:val="00E048A7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26851"/>
    <w:rsid w:val="00E3412D"/>
    <w:rsid w:val="00E37B8B"/>
    <w:rsid w:val="00E51B29"/>
    <w:rsid w:val="00E55B1C"/>
    <w:rsid w:val="00E57322"/>
    <w:rsid w:val="00E628CB"/>
    <w:rsid w:val="00E62AD9"/>
    <w:rsid w:val="00E638C8"/>
    <w:rsid w:val="00E72CB8"/>
    <w:rsid w:val="00E745C5"/>
    <w:rsid w:val="00E7509B"/>
    <w:rsid w:val="00E80BAF"/>
    <w:rsid w:val="00E86590"/>
    <w:rsid w:val="00E907FF"/>
    <w:rsid w:val="00EA42D1"/>
    <w:rsid w:val="00EA42EF"/>
    <w:rsid w:val="00EB2DD1"/>
    <w:rsid w:val="00EB6B37"/>
    <w:rsid w:val="00EC29FE"/>
    <w:rsid w:val="00EC3C70"/>
    <w:rsid w:val="00EC6158"/>
    <w:rsid w:val="00ED3A3D"/>
    <w:rsid w:val="00ED538A"/>
    <w:rsid w:val="00ED6FBC"/>
    <w:rsid w:val="00EE2F16"/>
    <w:rsid w:val="00EE3861"/>
    <w:rsid w:val="00EE6A1B"/>
    <w:rsid w:val="00EF2E73"/>
    <w:rsid w:val="00EF4BAA"/>
    <w:rsid w:val="00EF63A3"/>
    <w:rsid w:val="00EF7683"/>
    <w:rsid w:val="00EF7A2D"/>
    <w:rsid w:val="00F02521"/>
    <w:rsid w:val="00F04989"/>
    <w:rsid w:val="00F04F8D"/>
    <w:rsid w:val="00F10AD0"/>
    <w:rsid w:val="00F116CC"/>
    <w:rsid w:val="00F12BD1"/>
    <w:rsid w:val="00F15327"/>
    <w:rsid w:val="00F168CF"/>
    <w:rsid w:val="00F240C9"/>
    <w:rsid w:val="00F2555C"/>
    <w:rsid w:val="00F27265"/>
    <w:rsid w:val="00F31485"/>
    <w:rsid w:val="00F31DF3"/>
    <w:rsid w:val="00F33AE5"/>
    <w:rsid w:val="00F3597D"/>
    <w:rsid w:val="00F37EFF"/>
    <w:rsid w:val="00F4040E"/>
    <w:rsid w:val="00F40F71"/>
    <w:rsid w:val="00F4376D"/>
    <w:rsid w:val="00F45399"/>
    <w:rsid w:val="00F45AB1"/>
    <w:rsid w:val="00F465EA"/>
    <w:rsid w:val="00F53A3F"/>
    <w:rsid w:val="00F54E7B"/>
    <w:rsid w:val="00F55A88"/>
    <w:rsid w:val="00F650CE"/>
    <w:rsid w:val="00F668E5"/>
    <w:rsid w:val="00F66B8A"/>
    <w:rsid w:val="00F676C8"/>
    <w:rsid w:val="00F731B6"/>
    <w:rsid w:val="00F74005"/>
    <w:rsid w:val="00F75E8F"/>
    <w:rsid w:val="00F76884"/>
    <w:rsid w:val="00F83D24"/>
    <w:rsid w:val="00F83DD9"/>
    <w:rsid w:val="00F83F40"/>
    <w:rsid w:val="00F866A7"/>
    <w:rsid w:val="00F90C1F"/>
    <w:rsid w:val="00F95EBD"/>
    <w:rsid w:val="00F97B7D"/>
    <w:rsid w:val="00FA117A"/>
    <w:rsid w:val="00FA2CBE"/>
    <w:rsid w:val="00FB386A"/>
    <w:rsid w:val="00FB4550"/>
    <w:rsid w:val="00FB6798"/>
    <w:rsid w:val="00FC0786"/>
    <w:rsid w:val="00FC0CBE"/>
    <w:rsid w:val="00FC0D58"/>
    <w:rsid w:val="00FC3638"/>
    <w:rsid w:val="00FC49EF"/>
    <w:rsid w:val="00FE2E53"/>
    <w:rsid w:val="00FE36E2"/>
    <w:rsid w:val="00FF11AD"/>
    <w:rsid w:val="00FF241C"/>
    <w:rsid w:val="00FF2971"/>
    <w:rsid w:val="00FF34D4"/>
    <w:rsid w:val="00FF5044"/>
    <w:rsid w:val="00FF594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EB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46DF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017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Kkursywa">
    <w:name w:val="_K_ – kursywa"/>
    <w:uiPriority w:val="1"/>
    <w:qFormat/>
    <w:rsid w:val="0010170A"/>
    <w:rPr>
      <w:i/>
    </w:rPr>
  </w:style>
  <w:style w:type="character" w:customStyle="1" w:styleId="IGindeksgrny">
    <w:name w:val="_IG_ – indeks górny"/>
    <w:uiPriority w:val="2"/>
    <w:qFormat/>
    <w:rsid w:val="001017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0170A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DB05EE"/>
    <w:rPr>
      <w:b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F7310"/>
    <w:rPr>
      <w:vanish w:val="0"/>
      <w:color w:val="FF0000"/>
      <w:u w:val="single" w:color="FF000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156FC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endler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F7F6-B33E-403C-B73B-3F13CB06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10821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mailto:pawel.wendler@mf.gov.pl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2022-01-10T15:38:00Z</dcterms:created>
  <dcterms:modified xsi:type="dcterms:W3CDTF">2022-01-10T15:38:00Z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MF\AMOT;Piskorz Małgorzata</vt:lpwstr>
  </property>
  <property fmtid="{D5CDD505-2E9C-101B-9397-08002B2CF9AE}" pid="4" name="MFClassificationDate">
    <vt:lpwstr>2021-12-28T15:21:14.9172043+01:00</vt:lpwstr>
  </property>
  <property fmtid="{D5CDD505-2E9C-101B-9397-08002B2CF9AE}" pid="5" name="MFClassifiedBySID">
    <vt:lpwstr>MF\S-1-5-21-1525952054-1005573771-2909822258-27804</vt:lpwstr>
  </property>
  <property fmtid="{D5CDD505-2E9C-101B-9397-08002B2CF9AE}" pid="6" name="MFGRNItemId">
    <vt:lpwstr>GRN-71280e14-a5eb-4fed-932f-2b60bf600aaa</vt:lpwstr>
  </property>
  <property fmtid="{D5CDD505-2E9C-101B-9397-08002B2CF9AE}" pid="7" name="MFHash">
    <vt:lpwstr>ij1g0ehXOYCskUaTeaI2WwDxA+L5hqr/CkSIVXfHWPI=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