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557F82EC" w14:textId="77777777" w:rsidTr="00676C8D">
        <w:trPr>
          <w:gridAfter w:val="1"/>
          <w:wAfter w:w="10" w:type="dxa"/>
          <w:trHeight w:val="1611"/>
        </w:trPr>
        <w:tc>
          <w:tcPr>
            <w:tcW w:w="6631" w:type="dxa"/>
            <w:gridSpan w:val="17"/>
          </w:tcPr>
          <w:p w14:paraId="6BAC9A68"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57AC8356" w14:textId="707382EC" w:rsidR="006A701A" w:rsidRPr="00C4078D" w:rsidRDefault="00523EB1" w:rsidP="00C4078D">
            <w:pPr>
              <w:spacing w:line="240" w:lineRule="auto"/>
              <w:jc w:val="both"/>
              <w:rPr>
                <w:rFonts w:ascii="Times New Roman" w:hAnsi="Times New Roman"/>
                <w:i/>
                <w:iCs/>
                <w:color w:val="000000"/>
              </w:rPr>
            </w:pPr>
            <w:r w:rsidRPr="00523EB1">
              <w:rPr>
                <w:rFonts w:ascii="Times New Roman" w:hAnsi="Times New Roman"/>
                <w:color w:val="000000"/>
              </w:rPr>
              <w:t>Rozporządzenie Ministra Klimatu i Środowiska</w:t>
            </w:r>
            <w:r>
              <w:rPr>
                <w:rFonts w:ascii="Times New Roman" w:hAnsi="Times New Roman"/>
                <w:color w:val="000000"/>
              </w:rPr>
              <w:t xml:space="preserve"> </w:t>
            </w:r>
            <w:r w:rsidR="00881DCB" w:rsidRPr="00881DCB">
              <w:rPr>
                <w:rFonts w:ascii="Times New Roman" w:hAnsi="Times New Roman"/>
                <w:i/>
                <w:iCs/>
                <w:color w:val="000000"/>
              </w:rPr>
              <w:t>zmieniające rozporządzenie w sprawie szczegółowego zakresu i sposobu sporządzania audytu efektywności energetycznej oraz metod obliczania oszczędności energii</w:t>
            </w:r>
          </w:p>
          <w:p w14:paraId="10376851"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38A99862" w14:textId="77777777" w:rsidR="00523EB1" w:rsidRDefault="00523EB1" w:rsidP="001B3460">
            <w:pPr>
              <w:spacing w:line="240" w:lineRule="auto"/>
              <w:rPr>
                <w:rFonts w:ascii="Times New Roman" w:hAnsi="Times New Roman"/>
                <w:color w:val="000000"/>
              </w:rPr>
            </w:pPr>
            <w:r>
              <w:rPr>
                <w:rFonts w:ascii="Times New Roman" w:hAnsi="Times New Roman"/>
                <w:color w:val="000000"/>
              </w:rPr>
              <w:t>Ministerstwo Klimatu i Środowiska</w:t>
            </w:r>
          </w:p>
          <w:p w14:paraId="5D47C0D7" w14:textId="77777777" w:rsidR="00523EB1" w:rsidRDefault="00523EB1" w:rsidP="001B3460">
            <w:pPr>
              <w:spacing w:line="240" w:lineRule="auto"/>
              <w:rPr>
                <w:rFonts w:ascii="Times New Roman" w:hAnsi="Times New Roman"/>
                <w:color w:val="000000"/>
              </w:rPr>
            </w:pPr>
          </w:p>
          <w:p w14:paraId="24BDDEC2"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23178C79" w14:textId="77777777" w:rsidR="00523EB1" w:rsidRPr="00523EB1" w:rsidRDefault="00523EB1" w:rsidP="001B3460">
            <w:pPr>
              <w:spacing w:line="240" w:lineRule="auto"/>
              <w:rPr>
                <w:rFonts w:ascii="Times New Roman" w:hAnsi="Times New Roman"/>
              </w:rPr>
            </w:pPr>
            <w:r w:rsidRPr="00523EB1">
              <w:rPr>
                <w:rFonts w:ascii="Times New Roman" w:hAnsi="Times New Roman"/>
              </w:rPr>
              <w:t>Jacek Ozdoba, Sekretarz Stanu</w:t>
            </w:r>
          </w:p>
          <w:p w14:paraId="5974C92F" w14:textId="77777777" w:rsidR="00523EB1" w:rsidRPr="0063060B" w:rsidRDefault="00523EB1" w:rsidP="001B3460">
            <w:pPr>
              <w:spacing w:line="240" w:lineRule="auto"/>
              <w:rPr>
                <w:rFonts w:ascii="Times New Roman" w:hAnsi="Times New Roman"/>
                <w:sz w:val="21"/>
                <w:szCs w:val="21"/>
              </w:rPr>
            </w:pPr>
          </w:p>
          <w:p w14:paraId="7056F7FF" w14:textId="570C422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w:t>
            </w:r>
            <w:r w:rsidR="007B4065">
              <w:rPr>
                <w:rFonts w:ascii="Times New Roman" w:hAnsi="Times New Roman"/>
                <w:b/>
                <w:color w:val="000000"/>
              </w:rPr>
              <w:t>n</w:t>
            </w:r>
            <w:r w:rsidRPr="008B4FE6">
              <w:rPr>
                <w:rFonts w:ascii="Times New Roman" w:hAnsi="Times New Roman"/>
                <w:b/>
                <w:color w:val="000000"/>
              </w:rPr>
              <w:t>ego projektu</w:t>
            </w:r>
          </w:p>
          <w:p w14:paraId="5374EF5E" w14:textId="77777777" w:rsidR="00E55399" w:rsidRPr="00E55399" w:rsidRDefault="00E55399" w:rsidP="00E55399">
            <w:pPr>
              <w:spacing w:line="240" w:lineRule="auto"/>
              <w:ind w:hanging="34"/>
              <w:rPr>
                <w:rFonts w:ascii="Times New Roman" w:hAnsi="Times New Roman"/>
                <w:color w:val="000000"/>
              </w:rPr>
            </w:pPr>
            <w:r w:rsidRPr="00E55399">
              <w:rPr>
                <w:rFonts w:ascii="Times New Roman" w:hAnsi="Times New Roman"/>
                <w:color w:val="000000"/>
              </w:rPr>
              <w:t>Piotr Sprzączak - Dyrektor Departamentu Ciepłownictwa</w:t>
            </w:r>
          </w:p>
          <w:p w14:paraId="480FBB32" w14:textId="77777777" w:rsidR="00E55399" w:rsidRPr="00E55399" w:rsidRDefault="00E55399" w:rsidP="00E55399">
            <w:pPr>
              <w:spacing w:line="240" w:lineRule="auto"/>
              <w:ind w:hanging="34"/>
              <w:rPr>
                <w:rFonts w:ascii="Times New Roman" w:hAnsi="Times New Roman"/>
                <w:color w:val="000000"/>
              </w:rPr>
            </w:pPr>
            <w:r w:rsidRPr="00E55399">
              <w:rPr>
                <w:rFonts w:ascii="Times New Roman" w:hAnsi="Times New Roman"/>
                <w:color w:val="000000"/>
              </w:rPr>
              <w:t>piotr.sprzaczak@klimat.gov.pl</w:t>
            </w:r>
          </w:p>
          <w:p w14:paraId="1E8D4309" w14:textId="77777777" w:rsidR="00E55399" w:rsidRPr="00E55399" w:rsidRDefault="00E55399" w:rsidP="00E55399">
            <w:pPr>
              <w:spacing w:line="240" w:lineRule="auto"/>
              <w:ind w:hanging="34"/>
              <w:rPr>
                <w:rFonts w:ascii="Times New Roman" w:hAnsi="Times New Roman"/>
                <w:color w:val="000000"/>
              </w:rPr>
            </w:pPr>
          </w:p>
          <w:p w14:paraId="2C5169E4" w14:textId="77777777" w:rsidR="00E55399" w:rsidRPr="00E55399" w:rsidRDefault="00E55399" w:rsidP="00E55399">
            <w:pPr>
              <w:spacing w:line="240" w:lineRule="auto"/>
              <w:ind w:hanging="34"/>
              <w:rPr>
                <w:rFonts w:ascii="Times New Roman" w:hAnsi="Times New Roman"/>
                <w:color w:val="000000"/>
              </w:rPr>
            </w:pPr>
            <w:r w:rsidRPr="00E55399">
              <w:rPr>
                <w:rFonts w:ascii="Times New Roman" w:hAnsi="Times New Roman"/>
                <w:color w:val="000000"/>
              </w:rPr>
              <w:t xml:space="preserve">Ewa Kossak - Naczelnik Wydziału, Departament Ciepłownictwa </w:t>
            </w:r>
          </w:p>
          <w:p w14:paraId="4A581D74" w14:textId="77777777" w:rsidR="006A701A" w:rsidRDefault="00E55399" w:rsidP="00E55399">
            <w:pPr>
              <w:spacing w:line="240" w:lineRule="auto"/>
              <w:ind w:hanging="34"/>
              <w:rPr>
                <w:rFonts w:ascii="Times New Roman" w:hAnsi="Times New Roman"/>
                <w:color w:val="000000"/>
              </w:rPr>
            </w:pPr>
            <w:r w:rsidRPr="00E55399">
              <w:rPr>
                <w:rFonts w:ascii="Times New Roman" w:hAnsi="Times New Roman"/>
                <w:color w:val="000000"/>
              </w:rPr>
              <w:t>ewa.kossak@klimat.gov.pl</w:t>
            </w:r>
          </w:p>
          <w:p w14:paraId="316ECBE0" w14:textId="77777777" w:rsidR="00E55399" w:rsidRPr="008B4FE6" w:rsidRDefault="00E55399" w:rsidP="00A17CB2">
            <w:pPr>
              <w:spacing w:line="240" w:lineRule="auto"/>
              <w:ind w:hanging="34"/>
              <w:rPr>
                <w:rFonts w:ascii="Times New Roman" w:hAnsi="Times New Roman"/>
                <w:color w:val="000000"/>
              </w:rPr>
            </w:pPr>
          </w:p>
        </w:tc>
        <w:tc>
          <w:tcPr>
            <w:tcW w:w="4306" w:type="dxa"/>
            <w:gridSpan w:val="12"/>
            <w:shd w:val="clear" w:color="auto" w:fill="FFFFFF"/>
          </w:tcPr>
          <w:p w14:paraId="029016F6" w14:textId="336D853A"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sz w:val="21"/>
                  <w:szCs w:val="21"/>
                </w:rPr>
                <w:id w:val="-345788683"/>
                <w:placeholder>
                  <w:docPart w:val="DefaultPlaceholder_1082065160"/>
                </w:placeholder>
                <w:date w:fullDate="2021-10-11T00:00:00Z">
                  <w:dateFormat w:val="dd.MM.yyyy"/>
                  <w:lid w:val="pl-PL"/>
                  <w:storeMappedDataAs w:val="dateTime"/>
                  <w:calendar w:val="gregorian"/>
                </w:date>
              </w:sdtPr>
              <w:sdtEndPr/>
              <w:sdtContent>
                <w:r w:rsidR="0091131A">
                  <w:rPr>
                    <w:rFonts w:ascii="Times New Roman" w:hAnsi="Times New Roman"/>
                    <w:sz w:val="21"/>
                    <w:szCs w:val="21"/>
                  </w:rPr>
                  <w:t>11.10.2021</w:t>
                </w:r>
              </w:sdtContent>
            </w:sdt>
          </w:p>
          <w:p w14:paraId="6CCD92E3" w14:textId="77777777" w:rsidR="00F76884" w:rsidRDefault="00F76884" w:rsidP="00F76884">
            <w:pPr>
              <w:spacing w:line="240" w:lineRule="auto"/>
              <w:rPr>
                <w:rFonts w:ascii="Times New Roman" w:hAnsi="Times New Roman"/>
                <w:b/>
              </w:rPr>
            </w:pPr>
          </w:p>
          <w:p w14:paraId="2588FF29" w14:textId="77777777" w:rsidR="00F76884" w:rsidRDefault="00523EB1" w:rsidP="00F76884">
            <w:pPr>
              <w:spacing w:line="240" w:lineRule="auto"/>
              <w:rPr>
                <w:rFonts w:ascii="Times New Roman" w:hAnsi="Times New Roman"/>
                <w:b/>
              </w:rPr>
            </w:pPr>
            <w:r>
              <w:rPr>
                <w:rFonts w:ascii="Times New Roman" w:hAnsi="Times New Roman"/>
                <w:b/>
              </w:rPr>
              <w:t>Źródło:</w:t>
            </w:r>
          </w:p>
          <w:p w14:paraId="13B199A5" w14:textId="78798EE5" w:rsidR="00523EB1" w:rsidRPr="00EF290C" w:rsidRDefault="00864BA4" w:rsidP="00F76884">
            <w:pPr>
              <w:spacing w:line="240" w:lineRule="auto"/>
              <w:rPr>
                <w:rFonts w:ascii="Times New Roman" w:hAnsi="Times New Roman"/>
              </w:rPr>
            </w:pPr>
            <w:r>
              <w:rPr>
                <w:rFonts w:ascii="Times New Roman" w:hAnsi="Times New Roman"/>
              </w:rPr>
              <w:t xml:space="preserve">art. </w:t>
            </w:r>
            <w:r w:rsidR="00274A1A">
              <w:rPr>
                <w:rFonts w:ascii="Times New Roman" w:hAnsi="Times New Roman"/>
              </w:rPr>
              <w:t>29</w:t>
            </w:r>
            <w:r>
              <w:rPr>
                <w:rFonts w:ascii="Times New Roman" w:hAnsi="Times New Roman"/>
              </w:rPr>
              <w:t xml:space="preserve"> </w:t>
            </w:r>
            <w:r w:rsidRPr="00523EB1">
              <w:rPr>
                <w:rFonts w:ascii="Times New Roman" w:hAnsi="Times New Roman"/>
              </w:rPr>
              <w:t>ustaw</w:t>
            </w:r>
            <w:r>
              <w:rPr>
                <w:rFonts w:ascii="Times New Roman" w:hAnsi="Times New Roman"/>
              </w:rPr>
              <w:t>y</w:t>
            </w:r>
            <w:r w:rsidRPr="00523EB1">
              <w:rPr>
                <w:rFonts w:ascii="Times New Roman" w:hAnsi="Times New Roman"/>
              </w:rPr>
              <w:t xml:space="preserve"> </w:t>
            </w:r>
            <w:r w:rsidR="00523EB1" w:rsidRPr="00523EB1">
              <w:rPr>
                <w:rFonts w:ascii="Times New Roman" w:hAnsi="Times New Roman"/>
              </w:rPr>
              <w:t xml:space="preserve">z dnia </w:t>
            </w:r>
            <w:r w:rsidR="00373888">
              <w:rPr>
                <w:rFonts w:ascii="Times New Roman" w:hAnsi="Times New Roman"/>
              </w:rPr>
              <w:t>20</w:t>
            </w:r>
            <w:r w:rsidR="00523EB1" w:rsidRPr="00523EB1">
              <w:rPr>
                <w:rFonts w:ascii="Times New Roman" w:hAnsi="Times New Roman"/>
              </w:rPr>
              <w:t xml:space="preserve"> maja 2016 r. </w:t>
            </w:r>
            <w:r w:rsidR="00523EB1" w:rsidRPr="00C4078D">
              <w:rPr>
                <w:rFonts w:ascii="Times New Roman" w:hAnsi="Times New Roman"/>
                <w:i/>
                <w:iCs/>
              </w:rPr>
              <w:t>o efektywności energetycznej</w:t>
            </w:r>
            <w:r w:rsidR="00B52329">
              <w:rPr>
                <w:rFonts w:ascii="Times New Roman" w:hAnsi="Times New Roman"/>
                <w:i/>
                <w:iCs/>
              </w:rPr>
              <w:t xml:space="preserve"> </w:t>
            </w:r>
            <w:r w:rsidR="00B52329" w:rsidRPr="00B25211">
              <w:rPr>
                <w:rFonts w:ascii="Times New Roman" w:hAnsi="Times New Roman"/>
                <w:iCs/>
              </w:rPr>
              <w:t>(Dz. U. z 2021 r. poz. 468 i 868)</w:t>
            </w:r>
          </w:p>
          <w:p w14:paraId="1F6008F0" w14:textId="77777777" w:rsidR="00BA2BB7" w:rsidRPr="0065019F" w:rsidRDefault="00BA2BB7" w:rsidP="00F76884">
            <w:pPr>
              <w:spacing w:line="240" w:lineRule="auto"/>
              <w:rPr>
                <w:rFonts w:ascii="Times New Roman" w:hAnsi="Times New Roman"/>
              </w:rPr>
            </w:pPr>
          </w:p>
          <w:p w14:paraId="4243A94B" w14:textId="77777777" w:rsidR="00F76884" w:rsidRPr="0065019F" w:rsidRDefault="00F76884" w:rsidP="00F76884">
            <w:pPr>
              <w:spacing w:line="240" w:lineRule="auto"/>
              <w:rPr>
                <w:rFonts w:ascii="Times New Roman" w:hAnsi="Times New Roman"/>
              </w:rPr>
            </w:pPr>
          </w:p>
          <w:p w14:paraId="38C26E60"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523EB1" w:rsidRPr="00523EB1">
              <w:rPr>
                <w:rFonts w:ascii="Times New Roman" w:hAnsi="Times New Roman"/>
                <w:b/>
                <w:color w:val="000000"/>
              </w:rPr>
              <w:t>legislacyjnych Ministra Klimatu i Środowiska</w:t>
            </w:r>
          </w:p>
          <w:p w14:paraId="16112155" w14:textId="77777777" w:rsidR="006A701A" w:rsidRPr="00E55399" w:rsidRDefault="00523EB1" w:rsidP="007943E2">
            <w:pPr>
              <w:spacing w:line="240" w:lineRule="auto"/>
              <w:rPr>
                <w:rFonts w:ascii="Times New Roman" w:hAnsi="Times New Roman"/>
                <w:color w:val="000000"/>
              </w:rPr>
            </w:pPr>
            <w:r w:rsidRPr="00E55399">
              <w:rPr>
                <w:rFonts w:ascii="Times New Roman" w:hAnsi="Times New Roman"/>
                <w:color w:val="000000"/>
              </w:rPr>
              <w:t>632</w:t>
            </w:r>
          </w:p>
          <w:p w14:paraId="2A388628"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6863297E" w14:textId="77777777" w:rsidTr="00676C8D">
        <w:trPr>
          <w:gridAfter w:val="1"/>
          <w:wAfter w:w="10" w:type="dxa"/>
          <w:trHeight w:val="142"/>
        </w:trPr>
        <w:tc>
          <w:tcPr>
            <w:tcW w:w="10937" w:type="dxa"/>
            <w:gridSpan w:val="29"/>
            <w:shd w:val="clear" w:color="auto" w:fill="99CCFF"/>
          </w:tcPr>
          <w:p w14:paraId="17CE8223"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6EFA8848" w14:textId="77777777" w:rsidTr="00676C8D">
        <w:trPr>
          <w:gridAfter w:val="1"/>
          <w:wAfter w:w="10" w:type="dxa"/>
          <w:trHeight w:val="333"/>
        </w:trPr>
        <w:tc>
          <w:tcPr>
            <w:tcW w:w="10937" w:type="dxa"/>
            <w:gridSpan w:val="29"/>
            <w:shd w:val="clear" w:color="auto" w:fill="99CCFF"/>
            <w:vAlign w:val="center"/>
          </w:tcPr>
          <w:p w14:paraId="3F3BAA21"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1" w:name="Wybór1"/>
            <w:bookmarkEnd w:id="1"/>
          </w:p>
        </w:tc>
      </w:tr>
      <w:tr w:rsidR="006A701A" w:rsidRPr="008B4FE6" w14:paraId="68019B31" w14:textId="77777777" w:rsidTr="00676C8D">
        <w:trPr>
          <w:gridAfter w:val="1"/>
          <w:wAfter w:w="10" w:type="dxa"/>
          <w:trHeight w:val="142"/>
        </w:trPr>
        <w:tc>
          <w:tcPr>
            <w:tcW w:w="10937" w:type="dxa"/>
            <w:gridSpan w:val="29"/>
            <w:shd w:val="clear" w:color="auto" w:fill="FFFFFF"/>
          </w:tcPr>
          <w:p w14:paraId="5599420F" w14:textId="2DE87D31" w:rsidR="009B4322" w:rsidRPr="009B4322" w:rsidRDefault="009B4322" w:rsidP="009B4322">
            <w:pPr>
              <w:spacing w:line="240" w:lineRule="auto"/>
              <w:jc w:val="both"/>
              <w:rPr>
                <w:rFonts w:ascii="Times New Roman" w:hAnsi="Times New Roman"/>
                <w:color w:val="000000"/>
              </w:rPr>
            </w:pPr>
            <w:r w:rsidRPr="009B4322">
              <w:rPr>
                <w:rFonts w:ascii="Times New Roman" w:hAnsi="Times New Roman"/>
                <w:color w:val="000000"/>
              </w:rPr>
              <w:t xml:space="preserve">Ustawa z dnia </w:t>
            </w:r>
            <w:r w:rsidR="00373888">
              <w:rPr>
                <w:rFonts w:ascii="Times New Roman" w:hAnsi="Times New Roman"/>
                <w:color w:val="000000"/>
              </w:rPr>
              <w:t>20</w:t>
            </w:r>
            <w:r w:rsidRPr="009B4322">
              <w:rPr>
                <w:rFonts w:ascii="Times New Roman" w:hAnsi="Times New Roman"/>
                <w:color w:val="000000"/>
              </w:rPr>
              <w:t xml:space="preserve"> maja 2016 r. </w:t>
            </w:r>
            <w:r w:rsidRPr="00373888">
              <w:rPr>
                <w:rFonts w:ascii="Times New Roman" w:hAnsi="Times New Roman"/>
                <w:i/>
                <w:color w:val="000000"/>
              </w:rPr>
              <w:t xml:space="preserve">o efektywności energetycznej (dalej: </w:t>
            </w:r>
            <w:r w:rsidR="00373888" w:rsidRPr="00373888">
              <w:rPr>
                <w:rFonts w:ascii="Times New Roman" w:hAnsi="Times New Roman"/>
                <w:i/>
                <w:color w:val="000000"/>
              </w:rPr>
              <w:t>„</w:t>
            </w:r>
            <w:r w:rsidRPr="00373888">
              <w:rPr>
                <w:rFonts w:ascii="Times New Roman" w:hAnsi="Times New Roman"/>
                <w:i/>
                <w:color w:val="000000"/>
              </w:rPr>
              <w:t>ustawa</w:t>
            </w:r>
            <w:r w:rsidR="00373888">
              <w:rPr>
                <w:rFonts w:ascii="Times New Roman" w:hAnsi="Times New Roman"/>
                <w:color w:val="000000"/>
              </w:rPr>
              <w:t>”</w:t>
            </w:r>
            <w:r w:rsidRPr="009B4322">
              <w:rPr>
                <w:rFonts w:ascii="Times New Roman" w:hAnsi="Times New Roman"/>
                <w:color w:val="000000"/>
              </w:rPr>
              <w:t xml:space="preserve">), po zmianach wprowadzonych ustawą z dnia </w:t>
            </w:r>
            <w:r w:rsidR="00373888">
              <w:rPr>
                <w:rFonts w:ascii="Times New Roman" w:hAnsi="Times New Roman"/>
                <w:color w:val="000000"/>
              </w:rPr>
              <w:t>20 kwietnia</w:t>
            </w:r>
            <w:r w:rsidRPr="009B4322">
              <w:rPr>
                <w:rFonts w:ascii="Times New Roman" w:hAnsi="Times New Roman"/>
                <w:color w:val="000000"/>
              </w:rPr>
              <w:t xml:space="preserve"> 2021 r. </w:t>
            </w:r>
            <w:r w:rsidRPr="00373888">
              <w:rPr>
                <w:rFonts w:ascii="Times New Roman" w:hAnsi="Times New Roman"/>
                <w:i/>
                <w:color w:val="000000"/>
              </w:rPr>
              <w:t>o zmianie ustawy o efektywności energetycznej oraz niektórych innych ustaw</w:t>
            </w:r>
            <w:r w:rsidR="00373888">
              <w:rPr>
                <w:rFonts w:ascii="Times New Roman" w:hAnsi="Times New Roman"/>
                <w:i/>
                <w:color w:val="000000"/>
              </w:rPr>
              <w:t xml:space="preserve"> </w:t>
            </w:r>
            <w:r w:rsidR="00373888">
              <w:rPr>
                <w:rFonts w:ascii="Times New Roman" w:hAnsi="Times New Roman"/>
                <w:color w:val="000000"/>
              </w:rPr>
              <w:t>(Dz. U. z 2021 r. poz. 468)</w:t>
            </w:r>
            <w:r w:rsidRPr="009B4322">
              <w:rPr>
                <w:rFonts w:ascii="Times New Roman" w:hAnsi="Times New Roman"/>
                <w:color w:val="000000"/>
              </w:rPr>
              <w:t>, poszerza katalog podmiotów objętych systemem świadectw efektywności energetycznej o przedsiębiorstwa paliwowe wprowadzające paliwa ciekłe do obrotu. Obowiązujący system świadectw efektywności energetycznej okazał się niewystarczający w zakresie wypełnienia wyznaczonego celu, stąd pojawiła się konieczność objęcia systemem większej liczby podmiotów. Celem, który powinien zostać osiągnięty w sektorze paliw ciekłych jest realizowanie przedsięwzięć służących poprawie efektywności energetycznej, dzięki którym możliwe będzie osiągniecie wymaganego dyrektywą 2018/2002/UE poziomu oszczędności energii. Przedsięwzięcia służące poprawie efektywności energetycznej realizowane przez podmioty paliwowe mogą dotyczyć zarówno obszaru transportu, jak również innych obszarów końcowego zużycia energii, zgodnie z zakresem wskazanym w ustawie. Obowiązek oszczędności energii może też być spełniony w drodze umarzania białych certyfikatów.</w:t>
            </w:r>
          </w:p>
          <w:p w14:paraId="23F42379" w14:textId="63F332FB" w:rsidR="006A701A" w:rsidRPr="00B37C80" w:rsidRDefault="009B4322" w:rsidP="00373888">
            <w:pPr>
              <w:spacing w:line="240" w:lineRule="auto"/>
              <w:jc w:val="both"/>
              <w:rPr>
                <w:rFonts w:ascii="Times New Roman" w:hAnsi="Times New Roman"/>
                <w:color w:val="000000"/>
              </w:rPr>
            </w:pPr>
            <w:r w:rsidRPr="009B4322">
              <w:rPr>
                <w:rFonts w:ascii="Times New Roman" w:hAnsi="Times New Roman"/>
                <w:color w:val="000000"/>
              </w:rPr>
              <w:t xml:space="preserve">Projekt rozporządzenia ma na celu wprowadzenie zapisów dostosowujących treść istniejącego rozporządzenia wydanego na podstawie upoważnienia zawartego w art. 29 ustawy z dnia </w:t>
            </w:r>
            <w:r w:rsidR="00373888">
              <w:rPr>
                <w:rFonts w:ascii="Times New Roman" w:hAnsi="Times New Roman"/>
                <w:color w:val="000000"/>
              </w:rPr>
              <w:t>20</w:t>
            </w:r>
            <w:r w:rsidRPr="009B4322">
              <w:rPr>
                <w:rFonts w:ascii="Times New Roman" w:hAnsi="Times New Roman"/>
                <w:color w:val="000000"/>
              </w:rPr>
              <w:t xml:space="preserve"> maja 2016 r. </w:t>
            </w:r>
            <w:r w:rsidRPr="00373888">
              <w:rPr>
                <w:rFonts w:ascii="Times New Roman" w:hAnsi="Times New Roman"/>
                <w:i/>
                <w:color w:val="000000"/>
              </w:rPr>
              <w:t xml:space="preserve">o efektywności energetycznej </w:t>
            </w:r>
            <w:r w:rsidRPr="009B4322">
              <w:rPr>
                <w:rFonts w:ascii="Times New Roman" w:hAnsi="Times New Roman"/>
                <w:color w:val="000000"/>
              </w:rPr>
              <w:t>do zmi</w:t>
            </w:r>
            <w:r>
              <w:rPr>
                <w:rFonts w:ascii="Times New Roman" w:hAnsi="Times New Roman"/>
                <w:color w:val="000000"/>
              </w:rPr>
              <w:t>an wprowadzonych ustawą z dnia 20</w:t>
            </w:r>
            <w:r w:rsidRPr="009B4322">
              <w:rPr>
                <w:rFonts w:ascii="Times New Roman" w:hAnsi="Times New Roman"/>
                <w:color w:val="000000"/>
              </w:rPr>
              <w:t xml:space="preserve"> </w:t>
            </w:r>
            <w:r>
              <w:rPr>
                <w:rFonts w:ascii="Times New Roman" w:hAnsi="Times New Roman"/>
                <w:color w:val="000000"/>
              </w:rPr>
              <w:t>kwietnia</w:t>
            </w:r>
            <w:r w:rsidRPr="009B4322">
              <w:rPr>
                <w:rFonts w:ascii="Times New Roman" w:hAnsi="Times New Roman"/>
                <w:color w:val="000000"/>
              </w:rPr>
              <w:t xml:space="preserve"> 2021 r. </w:t>
            </w:r>
            <w:r w:rsidRPr="00373888">
              <w:rPr>
                <w:rFonts w:ascii="Times New Roman" w:hAnsi="Times New Roman"/>
                <w:i/>
                <w:color w:val="000000"/>
              </w:rPr>
              <w:t>o zmianie ustawy o efektywności energetycznej oraz niektórych innych ustaw</w:t>
            </w:r>
            <w:r w:rsidRPr="009B4322">
              <w:rPr>
                <w:rFonts w:ascii="Times New Roman" w:hAnsi="Times New Roman"/>
                <w:color w:val="000000"/>
              </w:rPr>
              <w:t>.</w:t>
            </w:r>
          </w:p>
        </w:tc>
      </w:tr>
      <w:tr w:rsidR="006A701A" w:rsidRPr="008B4FE6" w14:paraId="71BA3F7C" w14:textId="77777777" w:rsidTr="00676C8D">
        <w:trPr>
          <w:gridAfter w:val="1"/>
          <w:wAfter w:w="10" w:type="dxa"/>
          <w:trHeight w:val="142"/>
        </w:trPr>
        <w:tc>
          <w:tcPr>
            <w:tcW w:w="10937" w:type="dxa"/>
            <w:gridSpan w:val="29"/>
            <w:shd w:val="clear" w:color="auto" w:fill="99CCFF"/>
            <w:vAlign w:val="center"/>
          </w:tcPr>
          <w:p w14:paraId="20AB9685" w14:textId="77777777" w:rsidR="006A701A" w:rsidRPr="008B4FE6" w:rsidRDefault="0013216E" w:rsidP="00C655DD">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55D16B70" w14:textId="77777777" w:rsidTr="00676C8D">
        <w:trPr>
          <w:gridAfter w:val="1"/>
          <w:wAfter w:w="10" w:type="dxa"/>
          <w:trHeight w:val="142"/>
        </w:trPr>
        <w:tc>
          <w:tcPr>
            <w:tcW w:w="10937" w:type="dxa"/>
            <w:gridSpan w:val="29"/>
            <w:shd w:val="clear" w:color="auto" w:fill="auto"/>
          </w:tcPr>
          <w:p w14:paraId="774BD485" w14:textId="3324F4B1" w:rsidR="00373888" w:rsidRDefault="009B4322" w:rsidP="00E55399">
            <w:pPr>
              <w:spacing w:line="240" w:lineRule="auto"/>
              <w:jc w:val="both"/>
              <w:rPr>
                <w:rFonts w:ascii="Times New Roman" w:hAnsi="Times New Roman"/>
                <w:color w:val="000000"/>
                <w:spacing w:val="-2"/>
              </w:rPr>
            </w:pPr>
            <w:r w:rsidRPr="009B4322">
              <w:rPr>
                <w:rFonts w:ascii="Times New Roman" w:hAnsi="Times New Roman"/>
                <w:color w:val="000000"/>
                <w:spacing w:val="-2"/>
              </w:rPr>
              <w:t>Projekt rozporządzenia określa: sposoby realizacji przez podmioty paliwowe obowiązku efektywnościowego w</w:t>
            </w:r>
            <w:r>
              <w:rPr>
                <w:rFonts w:ascii="Times New Roman" w:hAnsi="Times New Roman"/>
                <w:color w:val="000000"/>
                <w:spacing w:val="-2"/>
              </w:rPr>
              <w:t>prowadzonego w ustawie z dnia 20 kwietnia 2021 r.</w:t>
            </w:r>
            <w:r w:rsidRPr="009B4322">
              <w:rPr>
                <w:rFonts w:ascii="Times New Roman" w:hAnsi="Times New Roman"/>
                <w:color w:val="000000"/>
                <w:spacing w:val="-2"/>
              </w:rPr>
              <w:t xml:space="preserve"> </w:t>
            </w:r>
            <w:r w:rsidR="00373888" w:rsidRPr="00373888">
              <w:rPr>
                <w:rFonts w:ascii="Times New Roman" w:hAnsi="Times New Roman"/>
                <w:i/>
                <w:color w:val="000000"/>
                <w:spacing w:val="-2"/>
              </w:rPr>
              <w:t xml:space="preserve">o </w:t>
            </w:r>
            <w:r w:rsidRPr="00373888">
              <w:rPr>
                <w:rFonts w:ascii="Times New Roman" w:hAnsi="Times New Roman"/>
                <w:i/>
                <w:color w:val="000000"/>
                <w:spacing w:val="-2"/>
              </w:rPr>
              <w:t xml:space="preserve">zmianie </w:t>
            </w:r>
            <w:r w:rsidR="00373888">
              <w:rPr>
                <w:rFonts w:ascii="Times New Roman" w:hAnsi="Times New Roman"/>
                <w:i/>
                <w:color w:val="000000"/>
                <w:spacing w:val="-2"/>
              </w:rPr>
              <w:t xml:space="preserve">ustawy </w:t>
            </w:r>
            <w:r w:rsidRPr="00373888">
              <w:rPr>
                <w:rFonts w:ascii="Times New Roman" w:hAnsi="Times New Roman"/>
                <w:i/>
                <w:color w:val="000000"/>
                <w:spacing w:val="-2"/>
              </w:rPr>
              <w:t>o efektywności energetycznej oraz niektórych innych ustaw</w:t>
            </w:r>
            <w:r w:rsidRPr="009B4322">
              <w:rPr>
                <w:rFonts w:ascii="Times New Roman" w:hAnsi="Times New Roman"/>
                <w:color w:val="000000"/>
                <w:spacing w:val="-2"/>
              </w:rPr>
              <w:t>; uaktualniony sposób określenia ilości za</w:t>
            </w:r>
            <w:r>
              <w:rPr>
                <w:rFonts w:ascii="Times New Roman" w:hAnsi="Times New Roman"/>
                <w:color w:val="000000"/>
                <w:spacing w:val="-2"/>
              </w:rPr>
              <w:t>oszczędzonej energii pierwotnej; współczynnik</w:t>
            </w:r>
            <w:r w:rsidR="00373888">
              <w:rPr>
                <w:rFonts w:ascii="Times New Roman" w:hAnsi="Times New Roman"/>
                <w:color w:val="000000"/>
                <w:spacing w:val="-2"/>
              </w:rPr>
              <w:t>i</w:t>
            </w:r>
            <w:r>
              <w:rPr>
                <w:rFonts w:ascii="Times New Roman" w:hAnsi="Times New Roman"/>
                <w:color w:val="000000"/>
                <w:spacing w:val="-2"/>
              </w:rPr>
              <w:t xml:space="preserve"> nakładu </w:t>
            </w:r>
            <w:r w:rsidRPr="009B4322">
              <w:rPr>
                <w:rFonts w:ascii="Times New Roman" w:hAnsi="Times New Roman"/>
                <w:color w:val="000000"/>
                <w:spacing w:val="-2"/>
              </w:rPr>
              <w:t>nieodnawialnej energii pierwotnej dla</w:t>
            </w:r>
            <w:r w:rsidR="00373888">
              <w:rPr>
                <w:rFonts w:ascii="Times New Roman" w:hAnsi="Times New Roman"/>
                <w:color w:val="000000"/>
                <w:spacing w:val="-2"/>
              </w:rPr>
              <w:t xml:space="preserve"> wodoru oraz</w:t>
            </w:r>
            <w:r w:rsidRPr="009B4322">
              <w:rPr>
                <w:rFonts w:ascii="Times New Roman" w:hAnsi="Times New Roman"/>
                <w:color w:val="000000"/>
                <w:spacing w:val="-2"/>
              </w:rPr>
              <w:t xml:space="preserve"> gazu ziemnego, dostarczanego do odbiorcy końcowego z sie</w:t>
            </w:r>
            <w:r w:rsidR="00373888">
              <w:rPr>
                <w:rFonts w:ascii="Times New Roman" w:hAnsi="Times New Roman"/>
                <w:color w:val="000000"/>
                <w:spacing w:val="-2"/>
              </w:rPr>
              <w:t>ci gazowej.</w:t>
            </w:r>
          </w:p>
          <w:p w14:paraId="4D182721" w14:textId="10AD0DCF" w:rsidR="00373888" w:rsidRDefault="00373888" w:rsidP="00E55399">
            <w:pPr>
              <w:spacing w:line="240" w:lineRule="auto"/>
              <w:jc w:val="both"/>
              <w:rPr>
                <w:rFonts w:ascii="Times New Roman" w:hAnsi="Times New Roman"/>
                <w:color w:val="000000"/>
                <w:spacing w:val="-2"/>
              </w:rPr>
            </w:pPr>
            <w:r>
              <w:rPr>
                <w:rFonts w:ascii="Times New Roman" w:hAnsi="Times New Roman"/>
                <w:color w:val="000000"/>
                <w:spacing w:val="-2"/>
              </w:rPr>
              <w:t xml:space="preserve">Podmioty paliwowe będą realizowały swój obowiązek w zakresie efektywności energetycznej między innymi </w:t>
            </w:r>
            <w:r w:rsidR="004B2C8C">
              <w:rPr>
                <w:rFonts w:ascii="Times New Roman" w:hAnsi="Times New Roman"/>
                <w:color w:val="000000"/>
                <w:spacing w:val="-2"/>
              </w:rPr>
              <w:t>przez</w:t>
            </w:r>
            <w:r>
              <w:rPr>
                <w:rFonts w:ascii="Times New Roman" w:hAnsi="Times New Roman"/>
                <w:color w:val="000000"/>
                <w:spacing w:val="-2"/>
              </w:rPr>
              <w:t xml:space="preserve"> realizację przedsięwzięć służących poprawie efektywności energetycznej. Dla tych przedsięwzięć w sektorze transportu przedstawiono w projekcie rozporządzenia metody obliczania oszczędności energii finalnej wynikające z realizacji tych przedsięwzięć</w:t>
            </w:r>
            <w:r w:rsidR="004C11FF">
              <w:rPr>
                <w:rFonts w:ascii="Times New Roman" w:hAnsi="Times New Roman"/>
                <w:color w:val="000000"/>
                <w:spacing w:val="-2"/>
              </w:rPr>
              <w:t>. Dla większości przedsięwzięć opisano metodę bilansową a dla wybranych do obliczania oszczędności energii finalnej zaproponowano metody uproszczone.</w:t>
            </w:r>
          </w:p>
          <w:p w14:paraId="6EE9FF16" w14:textId="2EE0BE01" w:rsidR="004C11FF" w:rsidRDefault="004C11FF" w:rsidP="00E55399">
            <w:pPr>
              <w:spacing w:line="240" w:lineRule="auto"/>
              <w:jc w:val="both"/>
              <w:rPr>
                <w:rFonts w:ascii="Times New Roman" w:hAnsi="Times New Roman"/>
                <w:color w:val="000000"/>
                <w:spacing w:val="-2"/>
              </w:rPr>
            </w:pPr>
            <w:r>
              <w:rPr>
                <w:rFonts w:ascii="Times New Roman" w:hAnsi="Times New Roman"/>
                <w:color w:val="000000"/>
                <w:spacing w:val="-2"/>
              </w:rPr>
              <w:t>Projektowane rozwiązania pozwolą na pełne uczestnictwo wszystkich podmiotów zobowiązanych w systemie świadectw efektywności energetycznej (białych certyfikatów). Dla przedsięwzięć, dla których zaproponowano metody uproszczone obliczania oszczędności energii finalnej projektowane rozwiązania przyczynią się do skrócenia czasu potrzebnego na weryfikację takich audytów efektywności energetycznej, co oznacza usprawnienie procesu wydawania świadectw efektywności energetycznej.</w:t>
            </w:r>
          </w:p>
          <w:p w14:paraId="2F366BC7" w14:textId="06D35460" w:rsidR="006A701A" w:rsidRPr="00B37C80" w:rsidRDefault="00864BA4" w:rsidP="004D06C1">
            <w:pPr>
              <w:spacing w:line="240" w:lineRule="auto"/>
              <w:jc w:val="both"/>
              <w:rPr>
                <w:rFonts w:ascii="Times New Roman" w:hAnsi="Times New Roman"/>
                <w:color w:val="000000"/>
                <w:spacing w:val="-2"/>
              </w:rPr>
            </w:pPr>
            <w:r>
              <w:rPr>
                <w:rFonts w:ascii="Times New Roman" w:hAnsi="Times New Roman"/>
                <w:color w:val="000000"/>
                <w:spacing w:val="-2"/>
              </w:rPr>
              <w:t>W p</w:t>
            </w:r>
            <w:r w:rsidR="00B52329">
              <w:rPr>
                <w:rFonts w:ascii="Times New Roman" w:hAnsi="Times New Roman"/>
                <w:color w:val="000000"/>
                <w:spacing w:val="-2"/>
              </w:rPr>
              <w:t>olskim porządku prawnym nie istnieją podobne rozwiązania</w:t>
            </w:r>
            <w:r>
              <w:rPr>
                <w:rFonts w:ascii="Times New Roman" w:hAnsi="Times New Roman"/>
                <w:color w:val="000000"/>
                <w:spacing w:val="-2"/>
              </w:rPr>
              <w:t>, w związku z tym</w:t>
            </w:r>
            <w:r w:rsidR="00B52329">
              <w:rPr>
                <w:rFonts w:ascii="Times New Roman" w:hAnsi="Times New Roman"/>
                <w:color w:val="000000"/>
                <w:spacing w:val="-2"/>
              </w:rPr>
              <w:t xml:space="preserve"> cele projektu z</w:t>
            </w:r>
            <w:r w:rsidR="009B4322">
              <w:rPr>
                <w:rFonts w:ascii="Times New Roman" w:hAnsi="Times New Roman"/>
                <w:color w:val="000000"/>
                <w:spacing w:val="-2"/>
              </w:rPr>
              <w:t xml:space="preserve">ostaną osiągnięte </w:t>
            </w:r>
            <w:r w:rsidR="004B2C8C">
              <w:rPr>
                <w:rFonts w:ascii="Times New Roman" w:hAnsi="Times New Roman"/>
                <w:color w:val="000000"/>
                <w:spacing w:val="-2"/>
              </w:rPr>
              <w:t>przez</w:t>
            </w:r>
            <w:r w:rsidR="009B4322">
              <w:rPr>
                <w:rFonts w:ascii="Times New Roman" w:hAnsi="Times New Roman"/>
                <w:color w:val="000000"/>
                <w:spacing w:val="-2"/>
              </w:rPr>
              <w:t xml:space="preserve"> nowelizację</w:t>
            </w:r>
            <w:r w:rsidR="00B52329">
              <w:rPr>
                <w:rFonts w:ascii="Times New Roman" w:hAnsi="Times New Roman"/>
                <w:color w:val="000000"/>
                <w:spacing w:val="-2"/>
              </w:rPr>
              <w:t xml:space="preserve"> przedmiotowego rozporządzenia.</w:t>
            </w:r>
          </w:p>
        </w:tc>
      </w:tr>
      <w:tr w:rsidR="006A701A" w:rsidRPr="008B4FE6" w14:paraId="2D17ECD2" w14:textId="77777777" w:rsidTr="00676C8D">
        <w:trPr>
          <w:gridAfter w:val="1"/>
          <w:wAfter w:w="10" w:type="dxa"/>
          <w:trHeight w:val="307"/>
        </w:trPr>
        <w:tc>
          <w:tcPr>
            <w:tcW w:w="10937" w:type="dxa"/>
            <w:gridSpan w:val="29"/>
            <w:shd w:val="clear" w:color="auto" w:fill="99CCFF"/>
            <w:vAlign w:val="center"/>
          </w:tcPr>
          <w:p w14:paraId="5E137FBA"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0A295ABA" w14:textId="77777777" w:rsidTr="00676C8D">
        <w:trPr>
          <w:gridAfter w:val="1"/>
          <w:wAfter w:w="10" w:type="dxa"/>
          <w:trHeight w:val="142"/>
        </w:trPr>
        <w:tc>
          <w:tcPr>
            <w:tcW w:w="10937" w:type="dxa"/>
            <w:gridSpan w:val="29"/>
            <w:shd w:val="clear" w:color="auto" w:fill="auto"/>
          </w:tcPr>
          <w:p w14:paraId="09E4FD7F" w14:textId="6108AB4E" w:rsidR="00D904E8" w:rsidRDefault="00D904E8" w:rsidP="00D904E8">
            <w:pPr>
              <w:spacing w:line="240" w:lineRule="auto"/>
              <w:jc w:val="both"/>
              <w:rPr>
                <w:rFonts w:ascii="Times New Roman" w:hAnsi="Times New Roman"/>
                <w:color w:val="000000"/>
                <w:spacing w:val="-2"/>
              </w:rPr>
            </w:pPr>
            <w:r w:rsidRPr="00D904E8">
              <w:rPr>
                <w:rFonts w:ascii="Times New Roman" w:hAnsi="Times New Roman"/>
                <w:color w:val="000000"/>
                <w:spacing w:val="-2"/>
              </w:rPr>
              <w:t xml:space="preserve">Państwa UE przyjęły różnorodne środki mające na celu realizację obowiązku ograniczania zużycia energii. </w:t>
            </w:r>
            <w:r w:rsidR="00DC40E3" w:rsidRPr="00DC40E3">
              <w:rPr>
                <w:rFonts w:ascii="Times New Roman" w:hAnsi="Times New Roman"/>
                <w:color w:val="000000"/>
                <w:spacing w:val="-2"/>
              </w:rPr>
              <w:t>System „białych certyfikatów” nie jest powszechnie stosowany w krajach Unii Europejskiej. Pierwszy system p</w:t>
            </w:r>
            <w:r w:rsidR="00DC40E3">
              <w:rPr>
                <w:rFonts w:ascii="Times New Roman" w:hAnsi="Times New Roman"/>
                <w:color w:val="000000"/>
                <w:spacing w:val="-2"/>
              </w:rPr>
              <w:t>ojawił się w Wielkiej Brytanii</w:t>
            </w:r>
            <w:r w:rsidR="00DC40E3" w:rsidRPr="00DC40E3">
              <w:rPr>
                <w:rFonts w:ascii="Times New Roman" w:hAnsi="Times New Roman"/>
                <w:color w:val="000000"/>
                <w:spacing w:val="-2"/>
              </w:rPr>
              <w:t xml:space="preserve">, a następnie we Włoszech i Francji. Wszędzie jednak systemy oparte na </w:t>
            </w:r>
            <w:r w:rsidR="007D55FB">
              <w:rPr>
                <w:rFonts w:ascii="Times New Roman" w:hAnsi="Times New Roman"/>
                <w:color w:val="000000"/>
                <w:spacing w:val="-2"/>
              </w:rPr>
              <w:t>nałożeniu obowiązku</w:t>
            </w:r>
            <w:r w:rsidR="00DC40E3" w:rsidRPr="00DC40E3">
              <w:rPr>
                <w:rFonts w:ascii="Times New Roman" w:hAnsi="Times New Roman"/>
                <w:color w:val="000000"/>
                <w:spacing w:val="-2"/>
              </w:rPr>
              <w:t xml:space="preserve"> oszczędzania energii przynio</w:t>
            </w:r>
            <w:r w:rsidR="00DC40E3">
              <w:rPr>
                <w:rFonts w:ascii="Times New Roman" w:hAnsi="Times New Roman"/>
                <w:color w:val="000000"/>
                <w:spacing w:val="-2"/>
              </w:rPr>
              <w:t>sły spodziewane oszczędności</w:t>
            </w:r>
            <w:r w:rsidR="00DC40E3" w:rsidRPr="00DC40E3">
              <w:rPr>
                <w:rFonts w:ascii="Times New Roman" w:hAnsi="Times New Roman"/>
                <w:color w:val="000000"/>
                <w:spacing w:val="-2"/>
              </w:rPr>
              <w:t>.</w:t>
            </w:r>
          </w:p>
          <w:p w14:paraId="32E7C0DB" w14:textId="77777777" w:rsidR="009B4322" w:rsidRPr="009B4322" w:rsidRDefault="009B4322" w:rsidP="009B4322">
            <w:pPr>
              <w:spacing w:line="240" w:lineRule="auto"/>
              <w:jc w:val="both"/>
              <w:rPr>
                <w:rFonts w:ascii="Times New Roman" w:hAnsi="Times New Roman"/>
                <w:color w:val="000000"/>
                <w:spacing w:val="-2"/>
              </w:rPr>
            </w:pPr>
            <w:r w:rsidRPr="009B4322">
              <w:rPr>
                <w:rFonts w:ascii="Times New Roman" w:hAnsi="Times New Roman"/>
                <w:color w:val="000000"/>
                <w:spacing w:val="-2"/>
              </w:rPr>
              <w:lastRenderedPageBreak/>
              <w:t xml:space="preserve">Państwa UE przyjęły różnorodne środki mające na celu realizację obowiązku ograniczania zużycia energii. </w:t>
            </w:r>
          </w:p>
          <w:p w14:paraId="45D2B319" w14:textId="6A6BCD8B" w:rsidR="004C11FF" w:rsidRDefault="009B4322" w:rsidP="009B4322">
            <w:pPr>
              <w:spacing w:line="240" w:lineRule="auto"/>
              <w:jc w:val="both"/>
              <w:rPr>
                <w:rFonts w:ascii="Times New Roman" w:hAnsi="Times New Roman"/>
                <w:color w:val="000000"/>
                <w:spacing w:val="-2"/>
              </w:rPr>
            </w:pPr>
            <w:r w:rsidRPr="009B4322">
              <w:rPr>
                <w:rFonts w:ascii="Times New Roman" w:hAnsi="Times New Roman"/>
                <w:color w:val="000000"/>
                <w:spacing w:val="-2"/>
              </w:rPr>
              <w:t xml:space="preserve">Przedsięwzięcia służące poprawie efektywności energetycznej związane z transportem są obecne m.in. we </w:t>
            </w:r>
            <w:r w:rsidR="004C11FF">
              <w:rPr>
                <w:rFonts w:ascii="Times New Roman" w:hAnsi="Times New Roman"/>
                <w:color w:val="000000"/>
                <w:spacing w:val="-2"/>
              </w:rPr>
              <w:t>Francji, Austrii, Niemczech, Holandii, Włoszech. W wymienionych państwach udział sektora transportu w systemie zobowiązującym do efektywności energetycznej odbywa się przez:</w:t>
            </w:r>
          </w:p>
          <w:p w14:paraId="56FF4046" w14:textId="77777777" w:rsidR="004C11FF" w:rsidRDefault="004C11FF" w:rsidP="009B4322">
            <w:pPr>
              <w:spacing w:line="240" w:lineRule="auto"/>
              <w:jc w:val="both"/>
              <w:rPr>
                <w:rFonts w:ascii="Times New Roman" w:hAnsi="Times New Roman"/>
                <w:color w:val="000000"/>
                <w:spacing w:val="-2"/>
              </w:rPr>
            </w:pPr>
            <w:r>
              <w:rPr>
                <w:rFonts w:ascii="Times New Roman" w:hAnsi="Times New Roman"/>
                <w:color w:val="000000"/>
                <w:spacing w:val="-2"/>
              </w:rPr>
              <w:t>- programy dotacyjne,</w:t>
            </w:r>
          </w:p>
          <w:p w14:paraId="195191A7" w14:textId="057698BF" w:rsidR="004C11FF" w:rsidRDefault="004C11FF" w:rsidP="009B4322">
            <w:pPr>
              <w:spacing w:line="240" w:lineRule="auto"/>
              <w:jc w:val="both"/>
              <w:rPr>
                <w:rFonts w:ascii="Times New Roman" w:hAnsi="Times New Roman"/>
                <w:color w:val="000000"/>
                <w:spacing w:val="-2"/>
              </w:rPr>
            </w:pPr>
            <w:r>
              <w:rPr>
                <w:rFonts w:ascii="Times New Roman" w:hAnsi="Times New Roman"/>
                <w:color w:val="000000"/>
                <w:spacing w:val="-2"/>
              </w:rPr>
              <w:t>- zachęty podatkowe,</w:t>
            </w:r>
          </w:p>
          <w:p w14:paraId="31CE785B" w14:textId="0C139D57" w:rsidR="004C11FF" w:rsidRDefault="004C11FF" w:rsidP="009B4322">
            <w:pPr>
              <w:spacing w:line="240" w:lineRule="auto"/>
              <w:jc w:val="both"/>
              <w:rPr>
                <w:rFonts w:ascii="Times New Roman" w:hAnsi="Times New Roman"/>
                <w:color w:val="000000"/>
                <w:spacing w:val="-2"/>
              </w:rPr>
            </w:pPr>
            <w:r>
              <w:rPr>
                <w:rFonts w:ascii="Times New Roman" w:hAnsi="Times New Roman"/>
                <w:color w:val="000000"/>
                <w:spacing w:val="-2"/>
              </w:rPr>
              <w:t>- systemy związane z certyfikacją oszczędności energii.</w:t>
            </w:r>
          </w:p>
          <w:p w14:paraId="319DBF1E" w14:textId="2C33EE22" w:rsidR="00564BE5" w:rsidRPr="00564BE5" w:rsidRDefault="00564BE5" w:rsidP="009B4322">
            <w:pPr>
              <w:spacing w:line="240" w:lineRule="auto"/>
              <w:jc w:val="both"/>
              <w:rPr>
                <w:rFonts w:ascii="Times New Roman" w:hAnsi="Times New Roman"/>
                <w:b/>
                <w:color w:val="000000"/>
                <w:spacing w:val="-2"/>
              </w:rPr>
            </w:pPr>
            <w:r w:rsidRPr="00564BE5">
              <w:rPr>
                <w:rFonts w:ascii="Times New Roman" w:hAnsi="Times New Roman"/>
                <w:b/>
                <w:color w:val="000000"/>
                <w:spacing w:val="-2"/>
              </w:rPr>
              <w:t>Francja</w:t>
            </w:r>
          </w:p>
          <w:p w14:paraId="7D5E707E" w14:textId="44B92C21" w:rsidR="0091131A" w:rsidRPr="0091131A" w:rsidRDefault="0091131A" w:rsidP="00564BE5">
            <w:pPr>
              <w:spacing w:line="240" w:lineRule="auto"/>
              <w:jc w:val="both"/>
              <w:rPr>
                <w:rFonts w:ascii="Times New Roman" w:hAnsi="Times New Roman"/>
                <w:color w:val="000000"/>
                <w:spacing w:val="-2"/>
              </w:rPr>
            </w:pPr>
            <w:r w:rsidRPr="0091131A">
              <w:rPr>
                <w:rFonts w:ascii="Times New Roman" w:hAnsi="Times New Roman"/>
                <w:color w:val="000000"/>
                <w:spacing w:val="-2"/>
              </w:rPr>
              <w:t>System świadectw oszczędności energii (fr. Certificats d'Economie d'Energie, w skrócie CEE) został wprowadzony przez ustawę energetyczną z dnia 13.07.2005 r. i jest jednym z głównych narzędzi polityki kontroli zapotrzebowania na energię we Francji. Podstawowym celem jest osiągnięcie oszczędności energii w budownictwie, przemyśle, rolnictwie i transporcie oraz spełnienie zobowiązania Francji, w ramach Unii Europejskiej, w zakresie efektywności energetycznej</w:t>
            </w:r>
            <w:r>
              <w:rPr>
                <w:rFonts w:ascii="Times New Roman" w:hAnsi="Times New Roman"/>
                <w:color w:val="000000"/>
                <w:spacing w:val="-2"/>
              </w:rPr>
              <w:t>.</w:t>
            </w:r>
            <w:r w:rsidR="00564BE5">
              <w:rPr>
                <w:rFonts w:ascii="Times New Roman" w:hAnsi="Times New Roman"/>
                <w:color w:val="000000"/>
                <w:spacing w:val="-2"/>
              </w:rPr>
              <w:t xml:space="preserve"> </w:t>
            </w:r>
            <w:r w:rsidRPr="0091131A">
              <w:rPr>
                <w:rFonts w:ascii="Times New Roman" w:hAnsi="Times New Roman"/>
                <w:color w:val="000000"/>
                <w:spacing w:val="-2"/>
              </w:rPr>
              <w:t>Certyfikaty CEE są przyznawane podmiotom zobowiązanym, a także innym, za podejmowanie działań przynoszących oszczędność energii. Ponieważ CEE są zbywalne, podmioty zobowiązane mogą kupować je od innych, w ten sposób wspierając finansowo realizowane przedsięwzięcia zwiększające efektywność energetyczną. Mogą także uzyskiwać certyfikaty wnosząc wkład finansowy do określonych programów wsparcia. Aby ułatwić podejmowanie działań mających na celu oszczędność energii, sporządzono katalog przeszło 200 standardowych przedsięwzięć w podziale na sektory (mieszkaniowy, usługowy, przemysłowy, rolniczy, transportowy). Dla każdego przedsięwzięcia opracowano specjalną kartę, w której określono m.in. zryczałtowaną wielkość skumulowanej oszczędności energii końcowej lub sposób jej obliczenia, a także główne informacje o zakresie danego działania. Zostały one przygotowane przez sektorowe grupy robocze Stowarzyszenia Technicznego Środowiska Energetycznego (ATEE) w porozumieniu ze specjalistami z zainteresowanych sektorów i we współpracy z Francuską Agencją ds. Przemian Ekologicznych (ADEME) i są publikowane po zatwierdzeniu przez Dyrekcję Generalną ds. Energii i Klimatu (DGEC). Dla sektora transportu sporządzono karty dla 32 przedsięwzięć wymienionych poniżej:</w:t>
            </w:r>
          </w:p>
          <w:p w14:paraId="2B0E8D55"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TRA-EQ-101 – TRA-EQ-101/A2: Jednostka intermodalnego transportu towarowego dla przewozu kolejowo-drogowego;</w:t>
            </w:r>
          </w:p>
          <w:p w14:paraId="6850BD95"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TRA-EQ-103 – TRA-EQ-103/A2: Telematyka pokładowa do monitorowania jazdy pojazdu;</w:t>
            </w:r>
          </w:p>
          <w:p w14:paraId="7C85F6CF"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TRA-EQ-104 – TRA-EQ-104 /A2: Energooszczędny środek smarny do lekkich pojazdów;</w:t>
            </w:r>
          </w:p>
          <w:p w14:paraId="3A5A62CE"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TRA-EQ-106 – TRA-EQ-106/A2: Opony do lekkich pojazdów samochodowych o niskim oporze toczenia;</w:t>
            </w:r>
          </w:p>
          <w:p w14:paraId="388D3933"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TRA-EQ-107 – TRA-EQ-107/A2: Jednostka intermodalnego transportu towarowego dla przewozu rzeczno-drogowego;</w:t>
            </w:r>
          </w:p>
          <w:p w14:paraId="1CD8347E"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TRA-EQ-108 – TRA-EQ-108/A2: Wagon kolejowy (do 31.03.2020);</w:t>
            </w:r>
          </w:p>
          <w:p w14:paraId="2D628CE2"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TRA-EQ-109 – TRA-EQ-109/A2: Barka rzeczna;</w:t>
            </w:r>
          </w:p>
          <w:p w14:paraId="38C37C0A"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TRA-EQ-110 – TRA-EQ-110/A2: Samobieżna łódź rzeczna;</w:t>
            </w:r>
          </w:p>
          <w:p w14:paraId="3E7A5F7A"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TRA-EQ-111 – TRA-EQ-111/A2: Autonomiczna jednostka chłodnicza o wysokiej efektywności energetycznej do samochodów ciężarowych, naczep, przyczep i chłodni mobilnych;</w:t>
            </w:r>
          </w:p>
          <w:p w14:paraId="77ADAEF9"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TRA-EQ-113 – TRA-EQ-113/A2: Smar energooszczędny dla pojazdów przewożących osoby i towary;</w:t>
            </w:r>
          </w:p>
          <w:p w14:paraId="5D1E76A0"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TRA-EQ-114 – TRA-EQ-114/A2: Wymiana pojazdów na nowe sprawne pojazdy we flocie profesjonalnej;</w:t>
            </w:r>
          </w:p>
          <w:p w14:paraId="74B9AED0"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TRA-EQ-115 – TRA-EQ-115/A2: Zoptymalizowany pojazd do transportu towarów;</w:t>
            </w:r>
          </w:p>
          <w:p w14:paraId="127467D6"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TRA-EQ-117 – TRA-EQ-117/A2: Wymiana pojazdów na nowe sprawne pojazdy we flocie indywidualnej lub grupowej;</w:t>
            </w:r>
          </w:p>
          <w:p w14:paraId="16C04367"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TRA-EQ-118 – TRA-EQ-118/A2: Energooszczędny środek smarny do połowów komercyjnych (profesjonalnych);</w:t>
            </w:r>
          </w:p>
          <w:p w14:paraId="68E684E8"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TRA-EQ-119 – TRA-EQ-119/A2: Optymalizacja procesu spalania i właściwości silników Diesla;</w:t>
            </w:r>
          </w:p>
          <w:p w14:paraId="6E85A4DA"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TRA-EQ-120 – TRA-EQ-120/A2: Śruba napędowa z dyszą na jednostce transportu rzecznego</w:t>
            </w:r>
          </w:p>
          <w:p w14:paraId="1812209B"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TRA-EQ-121: Rower wspomagany elektrycznie;</w:t>
            </w:r>
          </w:p>
          <w:p w14:paraId="0A7992E2"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TRA-EQ-122 – TRA-EQ-122/A2: "Stop &amp; Start" dla nowych maszyn/pojazdów samojezdnych nieporuszających się po drogach;</w:t>
            </w:r>
          </w:p>
          <w:p w14:paraId="7504A0E5"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TRA-EQ-123: Symulator jazdy;</w:t>
            </w:r>
          </w:p>
          <w:p w14:paraId="4D9D6541"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TRA-EQ-124 – TRA-EQ-124/A2: Podłączenie elektryczne statków i łodzi na nabrzeżu;</w:t>
            </w:r>
          </w:p>
          <w:p w14:paraId="2A425664"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TRA-SE-101 – TRA-SE-101/A2: Szkolenie kierowcy pojazdu transportu ciężarowego z ekonomicznej jazdy;</w:t>
            </w:r>
          </w:p>
          <w:p w14:paraId="4DF903C2"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TRA-SE-102 – TRA-SE-102/A2: Szkolenie kierowcy pojazdu lekkiego z ekonomicznej jazdy;</w:t>
            </w:r>
          </w:p>
          <w:p w14:paraId="6512039D"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TRA-SE-104 – TRA-SE-104 / A2: Stacja pompowania opon;</w:t>
            </w:r>
          </w:p>
          <w:p w14:paraId="7F218B94"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TRA-SE-105 - TRA-SE-105/A2: Regeneracja opon;</w:t>
            </w:r>
          </w:p>
          <w:p w14:paraId="44F49C09"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TRA-SE-106 – TRA-SE-106/A2: Pomiar i optymalizacja zużycia paliwa rzecznej jednostki transportu opon;</w:t>
            </w:r>
          </w:p>
          <w:p w14:paraId="7712D511"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TRA-SE-107 – TRA-SE-107/A2: Czyszczenie i konserwacja kadłuba jednostki transportu rzecznego;</w:t>
            </w:r>
          </w:p>
          <w:p w14:paraId="2884D82D"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TRA-SE-108 – TRA-SE-108/A2: Outsourcing zarządzania całością stacji pneumatycznych (pojazdy do transportu towarów);</w:t>
            </w:r>
          </w:p>
          <w:p w14:paraId="0B65F883"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TRA-SE-109 – TRA-SE-109/A2: Outsourcing zarządzania całością stacji pneumatycznych (pojazdy do transportu osób);</w:t>
            </w:r>
          </w:p>
          <w:p w14:paraId="61FB7BF9"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TRA-SE-110 – TRA-SE-110/A2: Optymalizacja zarządzania całością stacji pneumatycznych (pojazdy do transportu towarów);</w:t>
            </w:r>
          </w:p>
          <w:p w14:paraId="07CFFD1E"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lastRenderedPageBreak/>
              <w:t>TRA-SE-111 – TRA-SE-111/A2: Optymalizacja zarządzania całością stacji pneumatycznych (pojazdy do transportu osób);</w:t>
            </w:r>
          </w:p>
          <w:p w14:paraId="512E0C76"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TRA-SE-112 – TRA-SE-112/A2: Usługa udostępniania samochodów w pętli;</w:t>
            </w:r>
          </w:p>
          <w:p w14:paraId="6EA0FD48"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TRA-SE-113 – TRA-SE-113/A2: Monitorowanie zużycia paliwa dzięki prywatnym kartom.</w:t>
            </w:r>
          </w:p>
          <w:p w14:paraId="31219B02" w14:textId="32AEDD5E"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W karcie TRA-EQ-117 – TRA-EQ-117/A2: Wymiana pojazdów na nowe sprawne pojazdy we flocie indywidualnej lub grupowej zamieszczono m.in. następujące informacje:</w:t>
            </w:r>
          </w:p>
          <w:p w14:paraId="71446C46"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1. Obszar zastosowania</w:t>
            </w:r>
          </w:p>
          <w:p w14:paraId="68FA9D62" w14:textId="77777777" w:rsidR="0091131A" w:rsidRPr="0091131A" w:rsidRDefault="0091131A" w:rsidP="0091131A">
            <w:pPr>
              <w:pStyle w:val="lista"/>
              <w:numPr>
                <w:ilvl w:val="0"/>
                <w:numId w:val="0"/>
              </w:numPr>
              <w:ind w:left="862"/>
              <w:rPr>
                <w:rFonts w:ascii="Times New Roman" w:hAnsi="Times New Roman" w:cs="Times New Roman"/>
                <w:color w:val="000000"/>
                <w:spacing w:val="-2"/>
              </w:rPr>
            </w:pPr>
            <w:r w:rsidRPr="0091131A">
              <w:rPr>
                <w:rFonts w:ascii="Times New Roman" w:hAnsi="Times New Roman" w:cs="Times New Roman"/>
                <w:color w:val="000000"/>
                <w:spacing w:val="-2"/>
              </w:rPr>
              <w:t>Pojazdy kategorii M1 zgodnie z artykułem R311-1 kodeksu drogowego.</w:t>
            </w:r>
          </w:p>
          <w:p w14:paraId="71749E6D"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 xml:space="preserve">2. Nazwa przedsięwzięcia </w:t>
            </w:r>
          </w:p>
          <w:p w14:paraId="21EEB608" w14:textId="77777777" w:rsidR="0091131A" w:rsidRPr="0091131A" w:rsidRDefault="0091131A" w:rsidP="0091131A">
            <w:pPr>
              <w:pStyle w:val="lista"/>
              <w:numPr>
                <w:ilvl w:val="0"/>
                <w:numId w:val="0"/>
              </w:numPr>
              <w:ind w:left="862"/>
              <w:rPr>
                <w:rFonts w:ascii="Times New Roman" w:hAnsi="Times New Roman" w:cs="Times New Roman"/>
                <w:color w:val="000000"/>
                <w:spacing w:val="-2"/>
              </w:rPr>
            </w:pPr>
            <w:r w:rsidRPr="0091131A">
              <w:rPr>
                <w:rFonts w:ascii="Times New Roman" w:hAnsi="Times New Roman" w:cs="Times New Roman"/>
                <w:color w:val="000000"/>
                <w:spacing w:val="-2"/>
              </w:rPr>
              <w:t>Wymiana pojazdów na nowe sprawne pojazdy.</w:t>
            </w:r>
          </w:p>
          <w:p w14:paraId="5DCA2340"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3. Warunki wydawania certyfikatów</w:t>
            </w:r>
          </w:p>
          <w:p w14:paraId="2EB73FFE"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Kwalifikuje się każdy nowy pojazd o poziomie emisji poniżej 116 gCO2/km. Emisje CO2 są wskazane w dowodzie rejestracyjnym pojazdu;</w:t>
            </w:r>
          </w:p>
          <w:p w14:paraId="471EC2C6"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Beneficjentem może być osoba fizyczna lub społeczność;</w:t>
            </w:r>
          </w:p>
          <w:p w14:paraId="0222F50F"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Dowodem realizacji jest faktura zakupu lub umowa najmu pojazdu, w której wskazano czy pojazd jest nowy, jego numer rejestracyjny lub numer identyfikacyjny;</w:t>
            </w:r>
          </w:p>
          <w:p w14:paraId="121FECBC"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W przypadku najmu czas trwania umowy powinien wynosić 24 miesiące lub dłużej.</w:t>
            </w:r>
          </w:p>
          <w:p w14:paraId="6DC9A92F"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 xml:space="preserve">4. Żywotność </w:t>
            </w:r>
          </w:p>
          <w:p w14:paraId="6C6C6C74" w14:textId="77777777" w:rsidR="0091131A" w:rsidRPr="0091131A" w:rsidRDefault="0091131A" w:rsidP="0091131A">
            <w:pPr>
              <w:ind w:left="862"/>
              <w:jc w:val="both"/>
              <w:rPr>
                <w:rFonts w:ascii="Times New Roman" w:hAnsi="Times New Roman"/>
                <w:color w:val="000000"/>
                <w:spacing w:val="-2"/>
              </w:rPr>
            </w:pPr>
            <w:r w:rsidRPr="0091131A">
              <w:rPr>
                <w:rFonts w:ascii="Times New Roman" w:hAnsi="Times New Roman"/>
                <w:color w:val="000000"/>
                <w:spacing w:val="-2"/>
              </w:rPr>
              <w:t>8 lat.</w:t>
            </w:r>
          </w:p>
          <w:p w14:paraId="16898C10"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Do obliczenia ilości certyfikatów przysługujących za realizację tego przedsięwzięcia podano następujący wzór:</w:t>
            </w:r>
          </w:p>
          <w:p w14:paraId="35CF0746" w14:textId="77777777" w:rsidR="0091131A" w:rsidRPr="0091131A" w:rsidRDefault="0091131A" w:rsidP="0091131A">
            <w:pPr>
              <w:spacing w:before="120" w:after="120"/>
              <w:jc w:val="center"/>
              <w:rPr>
                <w:rFonts w:ascii="Times New Roman" w:hAnsi="Times New Roman"/>
                <w:color w:val="000000"/>
                <w:spacing w:val="-2"/>
              </w:rPr>
            </w:pPr>
            <w:r w:rsidRPr="0091131A">
              <w:rPr>
                <w:rFonts w:ascii="Times New Roman" w:hAnsi="Times New Roman"/>
                <w:color w:val="000000"/>
                <w:spacing w:val="-2"/>
              </w:rPr>
              <w:t>340 x (116 – E) x N</w:t>
            </w:r>
          </w:p>
          <w:p w14:paraId="6256CA84"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gdzie:</w:t>
            </w:r>
          </w:p>
          <w:p w14:paraId="36A40BBC" w14:textId="1A907395" w:rsidR="0091131A" w:rsidRPr="0091131A" w:rsidRDefault="0091131A" w:rsidP="0091131A">
            <w:pPr>
              <w:jc w:val="both"/>
              <w:rPr>
                <w:rFonts w:ascii="Times New Roman" w:hAnsi="Times New Roman"/>
                <w:color w:val="000000"/>
                <w:spacing w:val="-2"/>
              </w:rPr>
            </w:pPr>
            <w:r w:rsidRPr="0091131A">
              <w:rPr>
                <w:rFonts w:ascii="Times New Roman" w:hAnsi="Times New Roman"/>
                <w:color w:val="000000"/>
                <w:spacing w:val="-2"/>
              </w:rPr>
              <w:t>340 – współczynnik oszczędności energii końcowej [kWh Cumac];</w:t>
            </w:r>
          </w:p>
          <w:p w14:paraId="4E6306B5" w14:textId="77777777" w:rsidR="0091131A" w:rsidRPr="0091131A" w:rsidRDefault="0091131A" w:rsidP="0091131A">
            <w:pPr>
              <w:jc w:val="both"/>
              <w:rPr>
                <w:rFonts w:ascii="Times New Roman" w:hAnsi="Times New Roman"/>
                <w:color w:val="000000"/>
                <w:spacing w:val="-2"/>
              </w:rPr>
            </w:pPr>
            <w:r w:rsidRPr="0091131A">
              <w:rPr>
                <w:rFonts w:ascii="Times New Roman" w:hAnsi="Times New Roman"/>
                <w:color w:val="000000"/>
                <w:spacing w:val="-2"/>
              </w:rPr>
              <w:t>E – średnia emisji CO2 pojazdów nabytych lub wydzierżawionych w ramach działania [gCO2/km];</w:t>
            </w:r>
          </w:p>
          <w:p w14:paraId="48053EAC" w14:textId="77777777" w:rsidR="0091131A" w:rsidRPr="0091131A" w:rsidRDefault="0091131A" w:rsidP="0091131A">
            <w:pPr>
              <w:jc w:val="both"/>
              <w:rPr>
                <w:rFonts w:ascii="Times New Roman" w:hAnsi="Times New Roman"/>
                <w:color w:val="000000"/>
                <w:spacing w:val="-2"/>
              </w:rPr>
            </w:pPr>
            <w:r w:rsidRPr="0091131A">
              <w:rPr>
                <w:rFonts w:ascii="Times New Roman" w:hAnsi="Times New Roman"/>
                <w:color w:val="000000"/>
                <w:spacing w:val="-2"/>
              </w:rPr>
              <w:t>N – liczba pojazdów.</w:t>
            </w:r>
          </w:p>
          <w:p w14:paraId="0C421C10" w14:textId="0EDED7A4"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Z informacji zamieszczonych w karcie przedsięwzięcia wynika, że możliwa jest tylko wymiana na pojazdy o emisji CO2 mniejszej niż 116 gCO2/km. Określony w karcie współczynnik oszczędności energii wynoszący 340 zawiera w sobie ilość oszczędności energii przypadającą na jednostkę zmniejszenia emisji CO2 przez pojazd zastępczy (wyrażonej w gCO2/km) w okresie jego eksploatacji oraz z uwzględnieniem zmiany wartości zaoszczędzonej energii w czasie.</w:t>
            </w:r>
          </w:p>
          <w:p w14:paraId="5F3B418A"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W karcie przedstawiono także przykład obliczeń:</w:t>
            </w:r>
          </w:p>
          <w:p w14:paraId="7F4E4004"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 xml:space="preserve">Dla 10 pojazdów nabytych ze średnią emisją 100 gCO2/km, całkowita ilość skumulowanej oszczędności energii końcowej została obliczona w następujący sposób: </w:t>
            </w:r>
          </w:p>
          <w:p w14:paraId="77FAE770" w14:textId="77777777" w:rsidR="0091131A" w:rsidRPr="0091131A" w:rsidRDefault="0091131A" w:rsidP="0091131A">
            <w:pPr>
              <w:spacing w:before="120" w:after="120"/>
              <w:jc w:val="center"/>
              <w:rPr>
                <w:rFonts w:ascii="Times New Roman" w:hAnsi="Times New Roman"/>
                <w:color w:val="000000"/>
                <w:spacing w:val="-2"/>
              </w:rPr>
            </w:pPr>
            <w:r w:rsidRPr="0091131A">
              <w:rPr>
                <w:rFonts w:ascii="Times New Roman" w:hAnsi="Times New Roman"/>
                <w:color w:val="000000"/>
                <w:spacing w:val="-2"/>
              </w:rPr>
              <w:t>340 x (116-100) x 10 = 54 400 kWh cumac.</w:t>
            </w:r>
          </w:p>
          <w:p w14:paraId="6F8DBBFB" w14:textId="48BAB22B" w:rsidR="0091131A" w:rsidRDefault="0091131A" w:rsidP="0091131A">
            <w:pPr>
              <w:pStyle w:val="tekstzwyky"/>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Należy zauważyć, że przytoczona metodyka obliczeń oszczedności energii wraz z innymi, wchodzącymi w skład całego katalogu znormalizowanych przedsięwzięć, została zrewidowana po raz ostatni w 2014 roku i nie uwzględnia ona aktualnie obowiązującej dyrektywy w sprawie efektywności energetycznej ani zalecenia Komisji z dnia 25 września 2019 dotyczącego transpozycji obowiązków oszczędności ener</w:t>
            </w:r>
            <w:r w:rsidR="00564BE5">
              <w:rPr>
                <w:rFonts w:ascii="Times New Roman" w:eastAsia="Calibri" w:hAnsi="Times New Roman"/>
                <w:noProof w:val="0"/>
                <w:color w:val="000000"/>
                <w:spacing w:val="-2"/>
                <w:sz w:val="22"/>
              </w:rPr>
              <w:t>gii na podstawie tej dyrektywy.</w:t>
            </w:r>
          </w:p>
          <w:p w14:paraId="3D51F024" w14:textId="58E90649" w:rsidR="00564BE5" w:rsidRPr="00564BE5" w:rsidRDefault="00564BE5" w:rsidP="0091131A">
            <w:pPr>
              <w:pStyle w:val="tekstzwyky"/>
              <w:rPr>
                <w:rFonts w:ascii="Times New Roman" w:eastAsia="Calibri" w:hAnsi="Times New Roman"/>
                <w:b/>
                <w:noProof w:val="0"/>
                <w:color w:val="000000"/>
                <w:spacing w:val="-2"/>
                <w:sz w:val="22"/>
              </w:rPr>
            </w:pPr>
            <w:r w:rsidRPr="00564BE5">
              <w:rPr>
                <w:rFonts w:ascii="Times New Roman" w:eastAsia="Calibri" w:hAnsi="Times New Roman"/>
                <w:b/>
                <w:noProof w:val="0"/>
                <w:color w:val="000000"/>
                <w:spacing w:val="-2"/>
                <w:sz w:val="22"/>
              </w:rPr>
              <w:t>Austria</w:t>
            </w:r>
          </w:p>
          <w:p w14:paraId="3129505B"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 xml:space="preserve">Austriacka ustawa o efektywności energetycznej określa sposoby oceny wpływu środków poprawy efektywności energetycznej na zużycie energii. Zastosowanie mają wskazane w Rozporządzeniu w sprawie efektywności energetycznej (EERV) metody obliczania oszczędności energii dla przedsięwzięć poprawiających efektywność energetyczną, obejmujące różne sektory. W części poświęconej sektorowi transportu ujęto 8 przedsięwzięć, w tym działanie polegające na wymianie pojazdów klasy M1 (samochody osobowe) lub N1 (lekkie pojazdy dostawcze) na nowe pojazdy tego samego typu. Sposób obliczania rocznej oszczędności energii określono za pomocą wzoru: </w:t>
            </w:r>
          </w:p>
          <w:p w14:paraId="18FC6F96" w14:textId="77777777" w:rsidR="0091131A" w:rsidRPr="0091131A" w:rsidRDefault="0091131A" w:rsidP="0091131A">
            <w:pPr>
              <w:spacing w:before="120" w:after="120"/>
              <w:jc w:val="center"/>
              <w:rPr>
                <w:rFonts w:ascii="Times New Roman" w:hAnsi="Times New Roman"/>
                <w:color w:val="000000"/>
                <w:spacing w:val="-2"/>
              </w:rPr>
            </w:pPr>
            <w:r w:rsidRPr="0091131A">
              <w:rPr>
                <w:rFonts w:ascii="Times New Roman" w:hAnsi="Times New Roman"/>
                <w:color w:val="000000"/>
                <w:spacing w:val="-2"/>
              </w:rPr>
              <w:t>EEges = n·(eevRef – eevEff) ·FL·rb·so·cz</w:t>
            </w:r>
          </w:p>
          <w:p w14:paraId="27517FD9"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gdzie:</w:t>
            </w:r>
          </w:p>
          <w:p w14:paraId="7CA25DB4"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lastRenderedPageBreak/>
              <w:t>EEges – oszczędność energii końcowej [kWh/r]</w:t>
            </w:r>
          </w:p>
          <w:p w14:paraId="7BF1B33B"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n – liczba nowych pojazdów [-]</w:t>
            </w:r>
          </w:p>
          <w:p w14:paraId="0275CD8E"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eevRef – zużycie referencyjne pojazdu wzorcowego [kWh/100km]</w:t>
            </w:r>
          </w:p>
          <w:p w14:paraId="7C5B8272"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eevEff – zużycie energii nowego pojazdu [kWh/100km]</w:t>
            </w:r>
          </w:p>
          <w:p w14:paraId="5DA842A8"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FL – średni roczny przebieg [100km/r]</w:t>
            </w:r>
          </w:p>
          <w:p w14:paraId="1B11FF86"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rb – efekt odbicia, wzrost zużycia energii ze względu na niższe koszty usługi energetycznej [-]</w:t>
            </w:r>
          </w:p>
          <w:p w14:paraId="1C847F04"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so – efekt rozlania = efekt mnożnikowy [-]</w:t>
            </w:r>
          </w:p>
          <w:p w14:paraId="22096CEF" w14:textId="77777777" w:rsidR="0091131A" w:rsidRPr="0091131A" w:rsidRDefault="0091131A" w:rsidP="0091131A">
            <w:pPr>
              <w:pStyle w:val="tekstzwyky"/>
              <w:spacing w:before="0" w:after="0"/>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cz – dopłata za bezpieczeństwo/rabat [=1]</w:t>
            </w:r>
          </w:p>
          <w:p w14:paraId="5EA4D44E"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W opisie metodyki uwzględniono 2 przypadki: wymiana na nowy pojazd z jednoczesnym zezłomowaniem starego pojazdu i wymiana bez złomowania starego pojazdu. Wyjaśniono, że złomowanie wymienianych pojazdów prowadzi do odmłodzenia floty samochodów co z kolei przekłada się na obniżenie średniego zużycia energii. Wyznaczono jednocześnie stałe wartości eevRef jakie należy przyjmować do obliczeń w zależności od przypadku. W sytuacji wymiany bez złomowania należy przyjąć 54,7 kWh/100 km, a z zezłomowaniem 66,0 kWh/100 km. Wartości te określa Federalne Ministerstwo Rolnictwa, Leśnictwa, Środowiska i Gospodarki Wodnej na podstawie przeprowadzanego corocznnie monitoringu emisji CO2 nowo zarejestrowanych pojazdów. W przypadku samochodów nowo zarejestrowanych w Austrii w 2012 r. średnia emisja CO2 dla pojazdów z silnikiem Diesla wyniosła 138 gCO2/km, a dla samochodów benzynowych 134 gCO2/km. Następnie na podstawie liczby zarejestrowanych pojazdów dla obu rodzajów napędu wyznaczono średnią ważoną wynoszącą 136 gCO2/km (we Francji przyjęto wartość bazową 116 gCO2/km).</w:t>
            </w:r>
          </w:p>
          <w:p w14:paraId="7471991D"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Do określenia długości żywotności środka transportu przyjęto wartość, wg Federalnej Agencji Środowiska, wynoszącą 10 lat. W przypadku pojazdów prywatnych należy przyjąć przebieg roczny wynoszący 14 000 km, a w przypadku pojazdów firmowych przebieg rzeczywisty. W metodzie podano także współczynniki przeliczeniowe dla oleju napędowego oraz benzyny przedstawione w poniższej tabeli.</w:t>
            </w:r>
          </w:p>
          <w:p w14:paraId="450BD323" w14:textId="6D400DB4" w:rsidR="0091131A" w:rsidRPr="0091131A" w:rsidRDefault="0091131A" w:rsidP="0091131A">
            <w:pPr>
              <w:pStyle w:val="Podpistabeli"/>
              <w:rPr>
                <w:rFonts w:ascii="Times New Roman" w:eastAsia="Calibri" w:hAnsi="Times New Roman"/>
                <w:b w:val="0"/>
                <w:bCs w:val="0"/>
                <w:noProof w:val="0"/>
                <w:color w:val="000000"/>
                <w:spacing w:val="-2"/>
                <w:sz w:val="22"/>
                <w:szCs w:val="22"/>
              </w:rPr>
            </w:pPr>
            <w:bookmarkStart w:id="2" w:name="_Toc78285100"/>
            <w:r w:rsidRPr="0091131A">
              <w:rPr>
                <w:rFonts w:ascii="Times New Roman" w:eastAsia="Calibri" w:hAnsi="Times New Roman"/>
                <w:b w:val="0"/>
                <w:bCs w:val="0"/>
                <w:noProof w:val="0"/>
                <w:color w:val="000000"/>
                <w:spacing w:val="-2"/>
                <w:sz w:val="22"/>
                <w:szCs w:val="22"/>
              </w:rPr>
              <w:t xml:space="preserve">Tabela </w:t>
            </w:r>
            <w:r w:rsidRPr="0091131A">
              <w:rPr>
                <w:rFonts w:ascii="Times New Roman" w:eastAsia="Calibri" w:hAnsi="Times New Roman"/>
                <w:b w:val="0"/>
                <w:bCs w:val="0"/>
                <w:noProof w:val="0"/>
                <w:color w:val="000000"/>
                <w:spacing w:val="-2"/>
                <w:sz w:val="22"/>
                <w:szCs w:val="22"/>
              </w:rPr>
              <w:fldChar w:fldCharType="begin"/>
            </w:r>
            <w:r w:rsidRPr="0091131A">
              <w:rPr>
                <w:rFonts w:ascii="Times New Roman" w:eastAsia="Calibri" w:hAnsi="Times New Roman"/>
                <w:b w:val="0"/>
                <w:bCs w:val="0"/>
                <w:noProof w:val="0"/>
                <w:color w:val="000000"/>
                <w:spacing w:val="-2"/>
                <w:sz w:val="22"/>
                <w:szCs w:val="22"/>
              </w:rPr>
              <w:instrText xml:space="preserve"> SEQ Tabela \* ARABIC </w:instrText>
            </w:r>
            <w:r w:rsidRPr="0091131A">
              <w:rPr>
                <w:rFonts w:ascii="Times New Roman" w:eastAsia="Calibri" w:hAnsi="Times New Roman"/>
                <w:b w:val="0"/>
                <w:bCs w:val="0"/>
                <w:noProof w:val="0"/>
                <w:color w:val="000000"/>
                <w:spacing w:val="-2"/>
                <w:sz w:val="22"/>
                <w:szCs w:val="22"/>
              </w:rPr>
              <w:fldChar w:fldCharType="separate"/>
            </w:r>
            <w:r w:rsidRPr="0091131A">
              <w:rPr>
                <w:rFonts w:ascii="Times New Roman" w:eastAsia="Calibri" w:hAnsi="Times New Roman"/>
                <w:b w:val="0"/>
                <w:bCs w:val="0"/>
                <w:noProof w:val="0"/>
                <w:color w:val="000000"/>
                <w:spacing w:val="-2"/>
                <w:sz w:val="22"/>
                <w:szCs w:val="22"/>
              </w:rPr>
              <w:t>4</w:t>
            </w:r>
            <w:r w:rsidRPr="0091131A">
              <w:rPr>
                <w:rFonts w:ascii="Times New Roman" w:eastAsia="Calibri" w:hAnsi="Times New Roman"/>
                <w:b w:val="0"/>
                <w:bCs w:val="0"/>
                <w:noProof w:val="0"/>
                <w:color w:val="000000"/>
                <w:spacing w:val="-2"/>
                <w:sz w:val="22"/>
                <w:szCs w:val="22"/>
              </w:rPr>
              <w:fldChar w:fldCharType="end"/>
            </w:r>
            <w:r w:rsidRPr="0091131A">
              <w:rPr>
                <w:rFonts w:ascii="Times New Roman" w:eastAsia="Calibri" w:hAnsi="Times New Roman"/>
                <w:b w:val="0"/>
                <w:bCs w:val="0"/>
                <w:noProof w:val="0"/>
                <w:color w:val="000000"/>
                <w:spacing w:val="-2"/>
                <w:sz w:val="22"/>
                <w:szCs w:val="22"/>
              </w:rPr>
              <w:t xml:space="preserve"> Współczynniki przeliczeniowe dla paliw</w:t>
            </w:r>
            <w:bookmarkEnd w:id="2"/>
          </w:p>
          <w:tbl>
            <w:tblPr>
              <w:tblStyle w:val="MKi"/>
              <w:tblW w:w="0" w:type="auto"/>
              <w:jc w:val="center"/>
              <w:tblLayout w:type="fixed"/>
              <w:tblLook w:val="04A0" w:firstRow="1" w:lastRow="0" w:firstColumn="1" w:lastColumn="0" w:noHBand="0" w:noVBand="1"/>
            </w:tblPr>
            <w:tblGrid>
              <w:gridCol w:w="1291"/>
              <w:gridCol w:w="800"/>
              <w:gridCol w:w="1529"/>
              <w:gridCol w:w="2019"/>
            </w:tblGrid>
            <w:tr w:rsidR="0091131A" w:rsidRPr="0091131A" w14:paraId="1512A0C7" w14:textId="77777777" w:rsidTr="00E14DB6">
              <w:trPr>
                <w:cnfStyle w:val="100000000000" w:firstRow="1" w:lastRow="0" w:firstColumn="0" w:lastColumn="0" w:oddVBand="0" w:evenVBand="0" w:oddHBand="0" w:evenHBand="0" w:firstRowFirstColumn="0" w:firstRowLastColumn="0" w:lastRowFirstColumn="0" w:lastRowLastColumn="0"/>
                <w:trHeight w:val="285"/>
                <w:jc w:val="center"/>
              </w:trPr>
              <w:tc>
                <w:tcPr>
                  <w:tcW w:w="1291" w:type="dxa"/>
                  <w:noWrap/>
                  <w:hideMark/>
                </w:tcPr>
                <w:p w14:paraId="71AFCB3D" w14:textId="77777777" w:rsidR="0091131A" w:rsidRPr="0091131A" w:rsidRDefault="0091131A" w:rsidP="0091131A">
                  <w:pPr>
                    <w:spacing w:before="120" w:after="120"/>
                    <w:rPr>
                      <w:rFonts w:ascii="Times New Roman" w:eastAsia="Calibri" w:hAnsi="Times New Roman"/>
                      <w:b w:val="0"/>
                      <w:spacing w:val="-2"/>
                    </w:rPr>
                  </w:pPr>
                  <w:r w:rsidRPr="0091131A">
                    <w:rPr>
                      <w:rFonts w:ascii="Times New Roman" w:eastAsia="Calibri" w:hAnsi="Times New Roman"/>
                      <w:b w:val="0"/>
                      <w:spacing w:val="-2"/>
                    </w:rPr>
                    <w:t>Rodzaj paliwa</w:t>
                  </w:r>
                </w:p>
              </w:tc>
              <w:tc>
                <w:tcPr>
                  <w:tcW w:w="800" w:type="dxa"/>
                  <w:noWrap/>
                  <w:hideMark/>
                </w:tcPr>
                <w:p w14:paraId="0014E816" w14:textId="77777777" w:rsidR="0091131A" w:rsidRPr="0091131A" w:rsidRDefault="0091131A" w:rsidP="0091131A">
                  <w:pPr>
                    <w:spacing w:before="120" w:after="120"/>
                    <w:rPr>
                      <w:rFonts w:ascii="Times New Roman" w:eastAsia="Calibri" w:hAnsi="Times New Roman"/>
                      <w:b w:val="0"/>
                      <w:spacing w:val="-2"/>
                    </w:rPr>
                  </w:pPr>
                  <w:r w:rsidRPr="0091131A">
                    <w:rPr>
                      <w:rFonts w:ascii="Times New Roman" w:eastAsia="Calibri" w:hAnsi="Times New Roman"/>
                      <w:b w:val="0"/>
                      <w:spacing w:val="-2"/>
                    </w:rPr>
                    <w:t>Gęstość</w:t>
                  </w:r>
                </w:p>
                <w:p w14:paraId="3D185076" w14:textId="77777777" w:rsidR="0091131A" w:rsidRPr="0091131A" w:rsidRDefault="0091131A" w:rsidP="0091131A">
                  <w:pPr>
                    <w:spacing w:before="120" w:after="120"/>
                    <w:rPr>
                      <w:rFonts w:ascii="Times New Roman" w:eastAsia="Calibri" w:hAnsi="Times New Roman"/>
                      <w:b w:val="0"/>
                      <w:spacing w:val="-2"/>
                    </w:rPr>
                  </w:pPr>
                  <w:r w:rsidRPr="0091131A">
                    <w:rPr>
                      <w:rFonts w:ascii="Times New Roman" w:eastAsia="Calibri" w:hAnsi="Times New Roman"/>
                      <w:b w:val="0"/>
                      <w:spacing w:val="-2"/>
                    </w:rPr>
                    <w:t>[ kg/l ]</w:t>
                  </w:r>
                </w:p>
              </w:tc>
              <w:tc>
                <w:tcPr>
                  <w:tcW w:w="1529" w:type="dxa"/>
                  <w:noWrap/>
                  <w:hideMark/>
                </w:tcPr>
                <w:p w14:paraId="68D388BF" w14:textId="77777777" w:rsidR="0091131A" w:rsidRPr="0091131A" w:rsidRDefault="0091131A" w:rsidP="0091131A">
                  <w:pPr>
                    <w:spacing w:before="120" w:after="120"/>
                    <w:rPr>
                      <w:rFonts w:ascii="Times New Roman" w:eastAsia="Calibri" w:hAnsi="Times New Roman"/>
                      <w:b w:val="0"/>
                      <w:spacing w:val="-2"/>
                    </w:rPr>
                  </w:pPr>
                  <w:r w:rsidRPr="0091131A">
                    <w:rPr>
                      <w:rFonts w:ascii="Times New Roman" w:eastAsia="Calibri" w:hAnsi="Times New Roman"/>
                      <w:b w:val="0"/>
                      <w:spacing w:val="-2"/>
                    </w:rPr>
                    <w:t>Wartość opałowa</w:t>
                  </w:r>
                </w:p>
                <w:p w14:paraId="1631F29D" w14:textId="77777777" w:rsidR="0091131A" w:rsidRPr="0091131A" w:rsidRDefault="0091131A" w:rsidP="0091131A">
                  <w:pPr>
                    <w:spacing w:before="120" w:after="120"/>
                    <w:rPr>
                      <w:rFonts w:ascii="Times New Roman" w:eastAsia="Calibri" w:hAnsi="Times New Roman"/>
                      <w:b w:val="0"/>
                      <w:spacing w:val="-2"/>
                    </w:rPr>
                  </w:pPr>
                  <w:r w:rsidRPr="0091131A">
                    <w:rPr>
                      <w:rFonts w:ascii="Times New Roman" w:eastAsia="Calibri" w:hAnsi="Times New Roman"/>
                      <w:b w:val="0"/>
                      <w:spacing w:val="-2"/>
                    </w:rPr>
                    <w:t>[ kWh/kg ]</w:t>
                  </w:r>
                </w:p>
              </w:tc>
              <w:tc>
                <w:tcPr>
                  <w:tcW w:w="2019" w:type="dxa"/>
                  <w:noWrap/>
                  <w:hideMark/>
                </w:tcPr>
                <w:p w14:paraId="153521BE" w14:textId="77777777" w:rsidR="0091131A" w:rsidRPr="0091131A" w:rsidRDefault="0091131A" w:rsidP="0091131A">
                  <w:pPr>
                    <w:spacing w:before="120" w:after="120"/>
                    <w:rPr>
                      <w:rFonts w:ascii="Times New Roman" w:eastAsia="Calibri" w:hAnsi="Times New Roman"/>
                      <w:b w:val="0"/>
                      <w:spacing w:val="-2"/>
                    </w:rPr>
                  </w:pPr>
                  <w:r w:rsidRPr="0091131A">
                    <w:rPr>
                      <w:rFonts w:ascii="Times New Roman" w:eastAsia="Calibri" w:hAnsi="Times New Roman"/>
                      <w:b w:val="0"/>
                      <w:spacing w:val="-2"/>
                    </w:rPr>
                    <w:t>Współczynnik konwersji</w:t>
                  </w:r>
                </w:p>
                <w:p w14:paraId="325C2C0C" w14:textId="77777777" w:rsidR="0091131A" w:rsidRPr="0091131A" w:rsidRDefault="0091131A" w:rsidP="0091131A">
                  <w:pPr>
                    <w:spacing w:before="120" w:after="120"/>
                    <w:rPr>
                      <w:rFonts w:ascii="Times New Roman" w:eastAsia="Calibri" w:hAnsi="Times New Roman"/>
                      <w:b w:val="0"/>
                      <w:spacing w:val="-2"/>
                    </w:rPr>
                  </w:pPr>
                  <w:r w:rsidRPr="0091131A">
                    <w:rPr>
                      <w:rFonts w:ascii="Times New Roman" w:eastAsia="Calibri" w:hAnsi="Times New Roman"/>
                      <w:b w:val="0"/>
                      <w:spacing w:val="-2"/>
                    </w:rPr>
                    <w:t>[ kWh/l ]</w:t>
                  </w:r>
                </w:p>
              </w:tc>
            </w:tr>
            <w:tr w:rsidR="0091131A" w:rsidRPr="0091131A" w14:paraId="60CF7ADE" w14:textId="77777777" w:rsidTr="00E14DB6">
              <w:trPr>
                <w:trHeight w:val="285"/>
                <w:jc w:val="center"/>
              </w:trPr>
              <w:tc>
                <w:tcPr>
                  <w:tcW w:w="1291" w:type="dxa"/>
                  <w:noWrap/>
                  <w:hideMark/>
                </w:tcPr>
                <w:p w14:paraId="06AEB2A9"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olej napędowy</w:t>
                  </w:r>
                </w:p>
              </w:tc>
              <w:tc>
                <w:tcPr>
                  <w:tcW w:w="800" w:type="dxa"/>
                  <w:noWrap/>
                  <w:hideMark/>
                </w:tcPr>
                <w:p w14:paraId="7708B1FE"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0,8374</w:t>
                  </w:r>
                </w:p>
              </w:tc>
              <w:tc>
                <w:tcPr>
                  <w:tcW w:w="1529" w:type="dxa"/>
                  <w:noWrap/>
                  <w:hideMark/>
                </w:tcPr>
                <w:p w14:paraId="23A14ABF"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11,83</w:t>
                  </w:r>
                </w:p>
              </w:tc>
              <w:tc>
                <w:tcPr>
                  <w:tcW w:w="2019" w:type="dxa"/>
                  <w:noWrap/>
                  <w:hideMark/>
                </w:tcPr>
                <w:p w14:paraId="7DBD4365"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9,91</w:t>
                  </w:r>
                </w:p>
              </w:tc>
            </w:tr>
            <w:tr w:rsidR="0091131A" w:rsidRPr="0091131A" w14:paraId="06CB5FCC" w14:textId="77777777" w:rsidTr="00E14DB6">
              <w:trPr>
                <w:trHeight w:val="285"/>
                <w:jc w:val="center"/>
              </w:trPr>
              <w:tc>
                <w:tcPr>
                  <w:tcW w:w="1291" w:type="dxa"/>
                  <w:noWrap/>
                  <w:hideMark/>
                </w:tcPr>
                <w:p w14:paraId="12A9762F"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benzyna</w:t>
                  </w:r>
                </w:p>
              </w:tc>
              <w:tc>
                <w:tcPr>
                  <w:tcW w:w="800" w:type="dxa"/>
                  <w:noWrap/>
                  <w:hideMark/>
                </w:tcPr>
                <w:p w14:paraId="0A27B342"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0,7469</w:t>
                  </w:r>
                </w:p>
              </w:tc>
              <w:tc>
                <w:tcPr>
                  <w:tcW w:w="1529" w:type="dxa"/>
                  <w:noWrap/>
                  <w:hideMark/>
                </w:tcPr>
                <w:p w14:paraId="301497B6"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11,67</w:t>
                  </w:r>
                </w:p>
              </w:tc>
              <w:tc>
                <w:tcPr>
                  <w:tcW w:w="2019" w:type="dxa"/>
                  <w:noWrap/>
                  <w:hideMark/>
                </w:tcPr>
                <w:p w14:paraId="210CE574" w14:textId="77777777" w:rsidR="0091131A" w:rsidRPr="0091131A" w:rsidRDefault="0091131A" w:rsidP="0091131A">
                  <w:pPr>
                    <w:spacing w:before="120" w:after="120"/>
                    <w:rPr>
                      <w:rFonts w:ascii="Times New Roman" w:eastAsia="Calibri" w:hAnsi="Times New Roman"/>
                      <w:color w:val="000000"/>
                      <w:spacing w:val="-2"/>
                    </w:rPr>
                  </w:pPr>
                  <w:r w:rsidRPr="0091131A">
                    <w:rPr>
                      <w:rFonts w:ascii="Times New Roman" w:eastAsia="Calibri" w:hAnsi="Times New Roman"/>
                      <w:color w:val="000000"/>
                      <w:spacing w:val="-2"/>
                    </w:rPr>
                    <w:t>8,72</w:t>
                  </w:r>
                </w:p>
              </w:tc>
            </w:tr>
          </w:tbl>
          <w:p w14:paraId="4326C19E" w14:textId="2EA68F34" w:rsidR="0091131A" w:rsidRPr="0091131A" w:rsidRDefault="0091131A" w:rsidP="0091131A">
            <w:pPr>
              <w:pStyle w:val="tekstzwyky"/>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Do obliczeń należy przyjąć także współczynniki odnoszące się do efektu odbicia (rb) i efektu rozlania (so). „Ponieważ klauzula odbicia została usunięta wraz z publikacją dyrektywy w sprawie efektywności energetycznej, „rb” i „so” w formule oceny są mierzone współczynnikiem 1 (Federalne Ministerstwo Nauki, Badań Naukowych i Gospodarki, 2017)”.</w:t>
            </w:r>
          </w:p>
          <w:p w14:paraId="40DEA031" w14:textId="77777777" w:rsidR="0091131A" w:rsidRPr="0091131A" w:rsidRDefault="0091131A" w:rsidP="0091131A">
            <w:pPr>
              <w:pStyle w:val="tekstzwyky"/>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 xml:space="preserve">W przypadku wymiany pojazdu, z jednoczesnym jego zezłomowaniem, na pojazd z emisją wynoszącą 100 gCO2/km (pojazd zastępczy z przykładu francuskiego), czyli zużyciem energii wynoszącym 37,9 kWh/100 km, wartość średniorocznej oszczędności energii obliczona za pomocą wskazanego w metodyce wzoru wyniosłaby: </w:t>
            </w:r>
          </w:p>
          <w:p w14:paraId="37B450D1" w14:textId="77777777" w:rsidR="0091131A" w:rsidRPr="0091131A" w:rsidRDefault="0091131A" w:rsidP="0091131A">
            <w:pPr>
              <w:pStyle w:val="tekstzwyky"/>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EEges = 1·(54,7 – 37,9) ·140·1·1·1 = 2 352 [kWh/r].</w:t>
            </w:r>
          </w:p>
          <w:p w14:paraId="1B8D33AD" w14:textId="16036667" w:rsidR="0091131A" w:rsidRDefault="0091131A" w:rsidP="0091131A">
            <w:pPr>
              <w:pStyle w:val="tekstzwyky"/>
              <w:rPr>
                <w:rFonts w:ascii="Times New Roman" w:eastAsia="Calibri" w:hAnsi="Times New Roman"/>
                <w:noProof w:val="0"/>
                <w:color w:val="000000"/>
                <w:spacing w:val="-2"/>
                <w:sz w:val="22"/>
              </w:rPr>
            </w:pPr>
            <w:r w:rsidRPr="0091131A">
              <w:rPr>
                <w:rFonts w:ascii="Times New Roman" w:eastAsia="Calibri" w:hAnsi="Times New Roman"/>
                <w:noProof w:val="0"/>
                <w:color w:val="000000"/>
                <w:spacing w:val="-2"/>
                <w:sz w:val="22"/>
              </w:rPr>
              <w:t>Należy zauważyć, że przytoczona metodyka obliczeń oszczedności energii przedstawiona w załączniku do austriackiego Rozporządzenia w sprawie efektywności energetycznej (EERV) obowiązuje od 29.06.2016 r., zatem nie uwzględnia ona aktualnie obowiązującej dyrektywy w sprawie efektywności energetycznej ani zalecenia Komisji z dnia 25 września 2019 r.dotyczącego transpozycji obowiązków oszczędności ener</w:t>
            </w:r>
            <w:r w:rsidR="00564BE5">
              <w:rPr>
                <w:rFonts w:ascii="Times New Roman" w:eastAsia="Calibri" w:hAnsi="Times New Roman"/>
                <w:noProof w:val="0"/>
                <w:color w:val="000000"/>
                <w:spacing w:val="-2"/>
                <w:sz w:val="22"/>
              </w:rPr>
              <w:t>gii na podstawie tej dyrektywy.</w:t>
            </w:r>
          </w:p>
          <w:p w14:paraId="2BD095CE" w14:textId="03F3F7FE" w:rsidR="00564BE5" w:rsidRPr="00564BE5" w:rsidRDefault="00564BE5" w:rsidP="0091131A">
            <w:pPr>
              <w:pStyle w:val="tekstzwyky"/>
              <w:rPr>
                <w:rFonts w:ascii="Times New Roman" w:eastAsia="Calibri" w:hAnsi="Times New Roman"/>
                <w:b/>
                <w:noProof w:val="0"/>
                <w:color w:val="000000"/>
                <w:spacing w:val="-2"/>
                <w:sz w:val="22"/>
              </w:rPr>
            </w:pPr>
            <w:r w:rsidRPr="00564BE5">
              <w:rPr>
                <w:rFonts w:ascii="Times New Roman" w:eastAsia="Calibri" w:hAnsi="Times New Roman"/>
                <w:b/>
                <w:noProof w:val="0"/>
                <w:color w:val="000000"/>
                <w:spacing w:val="-2"/>
                <w:sz w:val="22"/>
              </w:rPr>
              <w:t>Niemcy</w:t>
            </w:r>
          </w:p>
          <w:p w14:paraId="4501F797" w14:textId="77694770"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Aby upowszechnić zastępowanie pojazdów spalinowych pojazdami elektrycznymi w Niemczech został przyjęty „Centralny Plan Infrastruktury Ładowania”. Zgodnie z nim docelowo ma powstać milion punktów umożliwiających ładowanie 10 mln pojazdów elektrycznych. W drugim kwartale 2021 r. ilość punktów ładowania przekroczyła 23 tys. sztuk.</w:t>
            </w:r>
          </w:p>
          <w:p w14:paraId="778429ED"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Przyjęty plan zakłada w szczególności odpowiednie ukierunkowanie finansowania, ulepszenie ram prawnych i aktywnej koordynacji działań między szczeblem federalnym, stanowym, lokalnym i przemysłowym. </w:t>
            </w:r>
          </w:p>
          <w:p w14:paraId="244973A4" w14:textId="77777777" w:rsidR="0091131A" w:rsidRPr="0091131A" w:rsidRDefault="0091131A" w:rsidP="0091131A">
            <w:pPr>
              <w:spacing w:before="120" w:after="120"/>
              <w:jc w:val="both"/>
              <w:rPr>
                <w:rFonts w:ascii="Times New Roman" w:hAnsi="Times New Roman"/>
                <w:color w:val="000000"/>
                <w:spacing w:val="-2"/>
              </w:rPr>
            </w:pPr>
            <w:r w:rsidRPr="0091131A">
              <w:rPr>
                <w:rFonts w:ascii="Times New Roman" w:hAnsi="Times New Roman"/>
                <w:color w:val="000000"/>
                <w:spacing w:val="-2"/>
              </w:rPr>
              <w:t>Plan zawiera następujące kluczowe punkty:</w:t>
            </w:r>
          </w:p>
          <w:p w14:paraId="30E62EE0"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lastRenderedPageBreak/>
              <w:t>Instalację w ciągu najbliższych dwóch lat 50 tys. publicznych punktów ładowania. Przemysł motoryzacyjny miałby wnieść do 2022 roku 15 tys. publicznych punktów ładowania;</w:t>
            </w:r>
          </w:p>
          <w:p w14:paraId="09A1081E"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Przeznaczenie 50 mln euro na prywatne punkty ładowania;</w:t>
            </w:r>
          </w:p>
          <w:p w14:paraId="01C117FB"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Upowszechnianie punktów ładowania na parkingach dla klientów;</w:t>
            </w:r>
          </w:p>
          <w:p w14:paraId="67C1AAAF"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Udostępnienie punktów ładowania na wszystkich stacjach paliw w Niemczech;</w:t>
            </w:r>
          </w:p>
          <w:p w14:paraId="0BBDE5C1"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Utworzenie „Krajowego Centrum Kontroli Infrastruktury Ładowania”;</w:t>
            </w:r>
          </w:p>
          <w:p w14:paraId="0F23CFFE" w14:textId="77777777" w:rsidR="0091131A" w:rsidRP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Uruchomienie przez branżę motoryzacyjną do 2030 r. 100 tys. punktów ładowania na własnych terenach i terenach partnerów handlowych;</w:t>
            </w:r>
          </w:p>
          <w:p w14:paraId="6BEF038F" w14:textId="77777777" w:rsidR="0091131A" w:rsidRDefault="0091131A" w:rsidP="0091131A">
            <w:pPr>
              <w:numPr>
                <w:ilvl w:val="0"/>
                <w:numId w:val="27"/>
              </w:numPr>
              <w:spacing w:line="240" w:lineRule="auto"/>
              <w:jc w:val="both"/>
              <w:rPr>
                <w:rFonts w:ascii="Times New Roman" w:hAnsi="Times New Roman"/>
                <w:color w:val="000000"/>
                <w:spacing w:val="-2"/>
              </w:rPr>
            </w:pPr>
            <w:r w:rsidRPr="0091131A">
              <w:rPr>
                <w:rFonts w:ascii="Times New Roman" w:hAnsi="Times New Roman"/>
                <w:color w:val="000000"/>
                <w:spacing w:val="-2"/>
              </w:rPr>
              <w:t>Zaangażowanie branży energetycznej w rozwój punktów ładowania.</w:t>
            </w:r>
          </w:p>
          <w:p w14:paraId="08412E96" w14:textId="209A5EF7" w:rsidR="00564BE5" w:rsidRPr="0091131A" w:rsidRDefault="00564BE5" w:rsidP="00564BE5">
            <w:pPr>
              <w:spacing w:line="240" w:lineRule="auto"/>
              <w:jc w:val="both"/>
              <w:rPr>
                <w:rFonts w:ascii="Times New Roman" w:hAnsi="Times New Roman"/>
                <w:color w:val="000000"/>
                <w:spacing w:val="-2"/>
              </w:rPr>
            </w:pPr>
            <w:r>
              <w:rPr>
                <w:rFonts w:ascii="Times New Roman" w:hAnsi="Times New Roman"/>
                <w:color w:val="000000"/>
                <w:spacing w:val="-2"/>
              </w:rPr>
              <w:t>Dodatkowo, w Niemczech funkcjonują programy finansowania „Lokalna Infrastruktura Ładowania”, dopłaty do prywatnych stacji ładowania, dopłaty do samochodów niskoemisyjnych, dopłaty do aut elektrycznych dla sektora zdrowia i opieki społecznej oraz regulacje podatkowe (w tym: podatek od pojazdów silnikowych, zwolnienie z opłat drogowych dla pojazdów wykorzystujących paliwa alternatywne).</w:t>
            </w:r>
          </w:p>
          <w:p w14:paraId="4FB5BD3B" w14:textId="546A484A" w:rsidR="006A701A" w:rsidRPr="00B37C80" w:rsidRDefault="006A701A" w:rsidP="00DC40E3">
            <w:pPr>
              <w:spacing w:line="240" w:lineRule="auto"/>
              <w:jc w:val="both"/>
              <w:rPr>
                <w:rFonts w:ascii="Times New Roman" w:hAnsi="Times New Roman"/>
                <w:color w:val="000000"/>
                <w:spacing w:val="-2"/>
              </w:rPr>
            </w:pPr>
          </w:p>
        </w:tc>
      </w:tr>
      <w:tr w:rsidR="006A701A" w:rsidRPr="008B4FE6" w14:paraId="25D2972E" w14:textId="77777777" w:rsidTr="00676C8D">
        <w:trPr>
          <w:gridAfter w:val="1"/>
          <w:wAfter w:w="10" w:type="dxa"/>
          <w:trHeight w:val="359"/>
        </w:trPr>
        <w:tc>
          <w:tcPr>
            <w:tcW w:w="10937" w:type="dxa"/>
            <w:gridSpan w:val="29"/>
            <w:shd w:val="clear" w:color="auto" w:fill="99CCFF"/>
            <w:vAlign w:val="center"/>
          </w:tcPr>
          <w:p w14:paraId="6F8A4053"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CE012A" w:rsidRPr="008B4FE6" w14:paraId="142F140F" w14:textId="77777777" w:rsidTr="00676C8D">
        <w:trPr>
          <w:gridAfter w:val="1"/>
          <w:wAfter w:w="10" w:type="dxa"/>
          <w:trHeight w:val="142"/>
        </w:trPr>
        <w:tc>
          <w:tcPr>
            <w:tcW w:w="2668" w:type="dxa"/>
            <w:gridSpan w:val="3"/>
            <w:shd w:val="clear" w:color="auto" w:fill="auto"/>
          </w:tcPr>
          <w:p w14:paraId="1AFE9043" w14:textId="77777777" w:rsidR="00CE012A" w:rsidRPr="008B4FE6" w:rsidRDefault="00CE012A" w:rsidP="00CE012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32F117EF" w14:textId="77777777" w:rsidR="00CE012A" w:rsidRPr="008B4FE6" w:rsidRDefault="00CE012A" w:rsidP="00CE012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662FEB23" w14:textId="77777777" w:rsidR="00CE012A" w:rsidRPr="008B4FE6" w:rsidRDefault="00CE012A" w:rsidP="00CE012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575C8A36" w14:textId="67521E6C" w:rsidR="00CE012A" w:rsidRPr="0091131A" w:rsidRDefault="00CE012A" w:rsidP="00CE012A">
            <w:pPr>
              <w:spacing w:before="40" w:line="240" w:lineRule="auto"/>
              <w:jc w:val="center"/>
              <w:rPr>
                <w:rFonts w:ascii="Times New Roman" w:hAnsi="Times New Roman"/>
              </w:rPr>
            </w:pPr>
            <w:r w:rsidRPr="0091131A">
              <w:rPr>
                <w:rFonts w:ascii="Times New Roman" w:hAnsi="Times New Roman"/>
              </w:rPr>
              <w:t>Określenie sposobu realizacji obowiązku uzyskania określonego poziomu oszczędności energii</w:t>
            </w:r>
          </w:p>
        </w:tc>
      </w:tr>
      <w:tr w:rsidR="00CE012A" w:rsidRPr="008B4FE6" w14:paraId="3F396577" w14:textId="77777777" w:rsidTr="00676C8D">
        <w:trPr>
          <w:gridAfter w:val="1"/>
          <w:wAfter w:w="10" w:type="dxa"/>
          <w:trHeight w:val="142"/>
        </w:trPr>
        <w:tc>
          <w:tcPr>
            <w:tcW w:w="2668" w:type="dxa"/>
            <w:gridSpan w:val="3"/>
            <w:shd w:val="clear" w:color="auto" w:fill="auto"/>
          </w:tcPr>
          <w:p w14:paraId="6D214024" w14:textId="77777777" w:rsidR="00CE012A" w:rsidRPr="00C4078D" w:rsidRDefault="00CE012A" w:rsidP="00CE012A">
            <w:pPr>
              <w:rPr>
                <w:rFonts w:ascii="Times New Roman" w:hAnsi="Times New Roman"/>
              </w:rPr>
            </w:pPr>
            <w:r w:rsidRPr="00C4078D">
              <w:rPr>
                <w:rFonts w:ascii="Times New Roman" w:hAnsi="Times New Roman"/>
              </w:rPr>
              <w:t>Sprzedawcy energii odbiorcom końcowym</w:t>
            </w:r>
          </w:p>
        </w:tc>
        <w:tc>
          <w:tcPr>
            <w:tcW w:w="2292" w:type="dxa"/>
            <w:gridSpan w:val="8"/>
            <w:shd w:val="clear" w:color="auto" w:fill="auto"/>
          </w:tcPr>
          <w:p w14:paraId="2FA683DD" w14:textId="77777777" w:rsidR="00CE012A" w:rsidRPr="00C4078D" w:rsidRDefault="00CE012A" w:rsidP="00CE012A">
            <w:pPr>
              <w:jc w:val="center"/>
              <w:rPr>
                <w:rFonts w:ascii="Times New Roman" w:hAnsi="Times New Roman"/>
              </w:rPr>
            </w:pPr>
            <w:r w:rsidRPr="00C4078D">
              <w:rPr>
                <w:rFonts w:ascii="Times New Roman" w:hAnsi="Times New Roman"/>
              </w:rPr>
              <w:t>800</w:t>
            </w:r>
          </w:p>
        </w:tc>
        <w:tc>
          <w:tcPr>
            <w:tcW w:w="2996" w:type="dxa"/>
            <w:gridSpan w:val="12"/>
            <w:shd w:val="clear" w:color="auto" w:fill="auto"/>
          </w:tcPr>
          <w:p w14:paraId="221D8696" w14:textId="67E09731" w:rsidR="00CE012A" w:rsidRPr="00C4078D" w:rsidRDefault="00CE012A" w:rsidP="00CE012A">
            <w:pPr>
              <w:rPr>
                <w:rFonts w:ascii="Times New Roman" w:hAnsi="Times New Roman"/>
              </w:rPr>
            </w:pPr>
            <w:r w:rsidRPr="00C4078D">
              <w:rPr>
                <w:rFonts w:ascii="Times New Roman" w:hAnsi="Times New Roman"/>
              </w:rPr>
              <w:t xml:space="preserve">Sprawozdanie z działalności Prezesa URE w 2018 r. (źródło: </w:t>
            </w:r>
            <w:r w:rsidRPr="00FC3AFF">
              <w:rPr>
                <w:rFonts w:ascii="Times New Roman" w:hAnsi="Times New Roman"/>
              </w:rPr>
              <w:t>https://bip.ure.gov.pl/bip/o-urzedzie/zadania-prezesa-ure/sprawozdania/800,Sprawozdania.html</w:t>
            </w:r>
            <w:r>
              <w:rPr>
                <w:rFonts w:ascii="Times New Roman" w:hAnsi="Times New Roman"/>
              </w:rPr>
              <w:t xml:space="preserve"> </w:t>
            </w:r>
            <w:r w:rsidRPr="00C4078D">
              <w:rPr>
                <w:rFonts w:ascii="Times New Roman" w:hAnsi="Times New Roman"/>
              </w:rPr>
              <w:t>)</w:t>
            </w:r>
          </w:p>
        </w:tc>
        <w:tc>
          <w:tcPr>
            <w:tcW w:w="2981" w:type="dxa"/>
            <w:gridSpan w:val="6"/>
            <w:shd w:val="clear" w:color="auto" w:fill="auto"/>
          </w:tcPr>
          <w:p w14:paraId="61C0DF0A" w14:textId="674C351F" w:rsidR="00CE012A" w:rsidRPr="00C4078D" w:rsidRDefault="00CE012A" w:rsidP="00CE012A">
            <w:pPr>
              <w:jc w:val="center"/>
              <w:rPr>
                <w:rFonts w:ascii="Times New Roman" w:hAnsi="Times New Roman"/>
              </w:rPr>
            </w:pPr>
            <w:r w:rsidRPr="0091131A">
              <w:rPr>
                <w:rFonts w:ascii="Times New Roman" w:hAnsi="Times New Roman"/>
              </w:rPr>
              <w:t>Określenie sposobu realizacji obowiązku uzyskania określonego poziomu oszczędności energii</w:t>
            </w:r>
          </w:p>
        </w:tc>
      </w:tr>
      <w:tr w:rsidR="00CE012A" w:rsidRPr="008B4FE6" w14:paraId="088CC9CD" w14:textId="77777777" w:rsidTr="00676C8D">
        <w:trPr>
          <w:gridAfter w:val="1"/>
          <w:wAfter w:w="10" w:type="dxa"/>
          <w:trHeight w:val="142"/>
        </w:trPr>
        <w:tc>
          <w:tcPr>
            <w:tcW w:w="2668" w:type="dxa"/>
            <w:gridSpan w:val="3"/>
            <w:shd w:val="clear" w:color="auto" w:fill="auto"/>
          </w:tcPr>
          <w:p w14:paraId="17F6501D" w14:textId="77777777" w:rsidR="00CE012A" w:rsidRPr="00C4078D" w:rsidRDefault="00CE012A" w:rsidP="00CE012A">
            <w:pPr>
              <w:rPr>
                <w:rFonts w:ascii="Times New Roman" w:hAnsi="Times New Roman"/>
              </w:rPr>
            </w:pPr>
            <w:r w:rsidRPr="00C4078D">
              <w:rPr>
                <w:rFonts w:ascii="Times New Roman" w:hAnsi="Times New Roman"/>
              </w:rPr>
              <w:t xml:space="preserve">Podmioty paliwowe </w:t>
            </w:r>
          </w:p>
        </w:tc>
        <w:tc>
          <w:tcPr>
            <w:tcW w:w="2292" w:type="dxa"/>
            <w:gridSpan w:val="8"/>
            <w:shd w:val="clear" w:color="auto" w:fill="auto"/>
          </w:tcPr>
          <w:p w14:paraId="5F6C1FC1" w14:textId="77777777" w:rsidR="00CE012A" w:rsidRPr="00C4078D" w:rsidRDefault="00CE012A" w:rsidP="00CE012A">
            <w:pPr>
              <w:jc w:val="center"/>
              <w:rPr>
                <w:rFonts w:ascii="Times New Roman" w:hAnsi="Times New Roman"/>
              </w:rPr>
            </w:pPr>
            <w:r w:rsidRPr="00C4078D">
              <w:rPr>
                <w:rFonts w:ascii="Times New Roman" w:hAnsi="Times New Roman"/>
              </w:rPr>
              <w:t>140</w:t>
            </w:r>
          </w:p>
        </w:tc>
        <w:tc>
          <w:tcPr>
            <w:tcW w:w="2996" w:type="dxa"/>
            <w:gridSpan w:val="12"/>
            <w:shd w:val="clear" w:color="auto" w:fill="auto"/>
          </w:tcPr>
          <w:p w14:paraId="520B2A4B" w14:textId="77777777" w:rsidR="00CE012A" w:rsidRPr="00C4078D" w:rsidRDefault="00CE012A" w:rsidP="00CE012A">
            <w:pPr>
              <w:rPr>
                <w:rFonts w:ascii="Times New Roman" w:hAnsi="Times New Roman"/>
              </w:rPr>
            </w:pPr>
            <w:r w:rsidRPr="00C4078D">
              <w:rPr>
                <w:rFonts w:ascii="Times New Roman" w:hAnsi="Times New Roman"/>
              </w:rPr>
              <w:t>URE (informacja nt. podmiotów paliwowych zarejestrowanych w bazach i rejestrach URE, które posiadają ważną koncesję)</w:t>
            </w:r>
          </w:p>
        </w:tc>
        <w:tc>
          <w:tcPr>
            <w:tcW w:w="2981" w:type="dxa"/>
            <w:gridSpan w:val="6"/>
            <w:shd w:val="clear" w:color="auto" w:fill="auto"/>
          </w:tcPr>
          <w:p w14:paraId="116270C4" w14:textId="73984777" w:rsidR="00CE012A" w:rsidRPr="00C4078D" w:rsidRDefault="00CE012A" w:rsidP="00CE012A">
            <w:pPr>
              <w:jc w:val="center"/>
              <w:rPr>
                <w:rFonts w:ascii="Times New Roman" w:hAnsi="Times New Roman"/>
              </w:rPr>
            </w:pPr>
            <w:r w:rsidRPr="0091131A">
              <w:rPr>
                <w:rFonts w:ascii="Times New Roman" w:hAnsi="Times New Roman"/>
              </w:rPr>
              <w:t>Określenie sposobu realizacji obowiązku uzyskania określonego poziomu oszczędności energii</w:t>
            </w:r>
          </w:p>
        </w:tc>
      </w:tr>
      <w:tr w:rsidR="00CE012A" w:rsidRPr="008B4FE6" w14:paraId="04DACC35" w14:textId="77777777" w:rsidTr="00676C8D">
        <w:trPr>
          <w:gridAfter w:val="1"/>
          <w:wAfter w:w="10" w:type="dxa"/>
          <w:trHeight w:val="142"/>
        </w:trPr>
        <w:tc>
          <w:tcPr>
            <w:tcW w:w="2668" w:type="dxa"/>
            <w:gridSpan w:val="3"/>
            <w:shd w:val="clear" w:color="auto" w:fill="auto"/>
          </w:tcPr>
          <w:p w14:paraId="1C267299" w14:textId="77777777" w:rsidR="00CE012A" w:rsidRPr="00C4078D" w:rsidRDefault="00CE012A" w:rsidP="00CE012A">
            <w:pPr>
              <w:rPr>
                <w:rFonts w:ascii="Times New Roman" w:hAnsi="Times New Roman"/>
              </w:rPr>
            </w:pPr>
            <w:r w:rsidRPr="00C4078D">
              <w:rPr>
                <w:rFonts w:ascii="Times New Roman" w:hAnsi="Times New Roman"/>
              </w:rPr>
              <w:t>Sprzedawcy gazu ziemnego</w:t>
            </w:r>
          </w:p>
        </w:tc>
        <w:tc>
          <w:tcPr>
            <w:tcW w:w="2292" w:type="dxa"/>
            <w:gridSpan w:val="8"/>
            <w:shd w:val="clear" w:color="auto" w:fill="auto"/>
          </w:tcPr>
          <w:p w14:paraId="0A07291C" w14:textId="77777777" w:rsidR="00CE012A" w:rsidRPr="00C4078D" w:rsidRDefault="00CE012A" w:rsidP="00CE012A">
            <w:pPr>
              <w:jc w:val="center"/>
              <w:rPr>
                <w:rFonts w:ascii="Times New Roman" w:hAnsi="Times New Roman"/>
              </w:rPr>
            </w:pPr>
            <w:r w:rsidRPr="00C4078D">
              <w:rPr>
                <w:rFonts w:ascii="Times New Roman" w:hAnsi="Times New Roman"/>
              </w:rPr>
              <w:t>300</w:t>
            </w:r>
          </w:p>
        </w:tc>
        <w:tc>
          <w:tcPr>
            <w:tcW w:w="2996" w:type="dxa"/>
            <w:gridSpan w:val="12"/>
            <w:shd w:val="clear" w:color="auto" w:fill="auto"/>
          </w:tcPr>
          <w:p w14:paraId="4FC0BC43" w14:textId="77777777" w:rsidR="00CE012A" w:rsidRPr="00C4078D" w:rsidRDefault="00CE012A" w:rsidP="00CE012A">
            <w:pPr>
              <w:rPr>
                <w:rFonts w:ascii="Times New Roman" w:hAnsi="Times New Roman"/>
              </w:rPr>
            </w:pPr>
            <w:r w:rsidRPr="00C4078D">
              <w:rPr>
                <w:rFonts w:ascii="Times New Roman" w:hAnsi="Times New Roman"/>
              </w:rPr>
              <w:t>BIP URE</w:t>
            </w:r>
          </w:p>
        </w:tc>
        <w:tc>
          <w:tcPr>
            <w:tcW w:w="2981" w:type="dxa"/>
            <w:gridSpan w:val="6"/>
            <w:shd w:val="clear" w:color="auto" w:fill="auto"/>
          </w:tcPr>
          <w:p w14:paraId="30032CCF" w14:textId="30DE1497" w:rsidR="00CE012A" w:rsidRPr="00C4078D" w:rsidRDefault="00CE012A" w:rsidP="00CE012A">
            <w:pPr>
              <w:jc w:val="center"/>
              <w:rPr>
                <w:rFonts w:ascii="Times New Roman" w:hAnsi="Times New Roman"/>
              </w:rPr>
            </w:pPr>
            <w:r w:rsidRPr="0091131A">
              <w:rPr>
                <w:rFonts w:ascii="Times New Roman" w:hAnsi="Times New Roman"/>
              </w:rPr>
              <w:t>Określenie sposobu realizacji obowiązku uzyskania określonego poziomu oszczędności energii</w:t>
            </w:r>
          </w:p>
        </w:tc>
      </w:tr>
      <w:tr w:rsidR="00CE012A" w:rsidRPr="008B4FE6" w14:paraId="5A5C7C74" w14:textId="77777777" w:rsidTr="00676C8D">
        <w:trPr>
          <w:gridAfter w:val="1"/>
          <w:wAfter w:w="10" w:type="dxa"/>
          <w:trHeight w:val="142"/>
        </w:trPr>
        <w:tc>
          <w:tcPr>
            <w:tcW w:w="2668" w:type="dxa"/>
            <w:gridSpan w:val="3"/>
            <w:shd w:val="clear" w:color="auto" w:fill="auto"/>
          </w:tcPr>
          <w:p w14:paraId="58D8B9E9" w14:textId="77777777" w:rsidR="00CE012A" w:rsidRPr="00C4078D" w:rsidRDefault="00CE012A" w:rsidP="00CE012A">
            <w:pPr>
              <w:rPr>
                <w:rFonts w:ascii="Times New Roman" w:hAnsi="Times New Roman"/>
              </w:rPr>
            </w:pPr>
            <w:r w:rsidRPr="00C4078D">
              <w:rPr>
                <w:rFonts w:ascii="Times New Roman" w:hAnsi="Times New Roman"/>
              </w:rPr>
              <w:t>Dostawcy gazu i ciepła</w:t>
            </w:r>
          </w:p>
        </w:tc>
        <w:tc>
          <w:tcPr>
            <w:tcW w:w="2292" w:type="dxa"/>
            <w:gridSpan w:val="8"/>
            <w:shd w:val="clear" w:color="auto" w:fill="auto"/>
          </w:tcPr>
          <w:p w14:paraId="0D610361" w14:textId="23A8CF7C" w:rsidR="00CE012A" w:rsidRPr="00C4078D" w:rsidRDefault="00CE012A" w:rsidP="00CE012A">
            <w:pPr>
              <w:jc w:val="center"/>
              <w:rPr>
                <w:rFonts w:ascii="Times New Roman" w:hAnsi="Times New Roman"/>
              </w:rPr>
            </w:pPr>
            <w:r w:rsidRPr="00C4078D">
              <w:rPr>
                <w:rFonts w:ascii="Times New Roman" w:hAnsi="Times New Roman"/>
              </w:rPr>
              <w:t xml:space="preserve">Gaz (197 </w:t>
            </w:r>
            <w:r>
              <w:rPr>
                <w:rFonts w:ascii="Times New Roman" w:hAnsi="Times New Roman"/>
              </w:rPr>
              <w:t xml:space="preserve">- </w:t>
            </w:r>
            <w:r w:rsidRPr="00C4078D">
              <w:rPr>
                <w:rFonts w:ascii="Times New Roman" w:hAnsi="Times New Roman"/>
              </w:rPr>
              <w:t>koncesja</w:t>
            </w:r>
            <w:r>
              <w:rPr>
                <w:rFonts w:ascii="Times New Roman" w:hAnsi="Times New Roman"/>
              </w:rPr>
              <w:t>,</w:t>
            </w:r>
            <w:r w:rsidRPr="00C4078D">
              <w:rPr>
                <w:rFonts w:ascii="Times New Roman" w:hAnsi="Times New Roman"/>
              </w:rPr>
              <w:t xml:space="preserve"> 102</w:t>
            </w:r>
            <w:r>
              <w:rPr>
                <w:rFonts w:ascii="Times New Roman" w:hAnsi="Times New Roman"/>
              </w:rPr>
              <w:t xml:space="preserve"> -</w:t>
            </w:r>
            <w:r w:rsidRPr="00C4078D">
              <w:rPr>
                <w:rFonts w:ascii="Times New Roman" w:hAnsi="Times New Roman"/>
              </w:rPr>
              <w:t xml:space="preserve"> aktywne ) </w:t>
            </w:r>
            <w:r>
              <w:rPr>
                <w:rFonts w:ascii="Times New Roman" w:hAnsi="Times New Roman"/>
              </w:rPr>
              <w:t>oraz</w:t>
            </w:r>
            <w:r w:rsidRPr="00C4078D">
              <w:rPr>
                <w:rFonts w:ascii="Times New Roman" w:hAnsi="Times New Roman"/>
              </w:rPr>
              <w:t xml:space="preserve"> ciepło (76 </w:t>
            </w:r>
            <w:r>
              <w:rPr>
                <w:rFonts w:ascii="Times New Roman" w:hAnsi="Times New Roman"/>
              </w:rPr>
              <w:t xml:space="preserve">- </w:t>
            </w:r>
            <w:r w:rsidRPr="00C4078D">
              <w:rPr>
                <w:rFonts w:ascii="Times New Roman" w:hAnsi="Times New Roman"/>
              </w:rPr>
              <w:t>koncesj</w:t>
            </w:r>
            <w:r>
              <w:rPr>
                <w:rFonts w:ascii="Times New Roman" w:hAnsi="Times New Roman"/>
              </w:rPr>
              <w:t>a</w:t>
            </w:r>
            <w:r w:rsidRPr="00C4078D">
              <w:rPr>
                <w:rFonts w:ascii="Times New Roman" w:hAnsi="Times New Roman"/>
              </w:rPr>
              <w:t xml:space="preserve"> na obrót ciepłem)</w:t>
            </w:r>
          </w:p>
        </w:tc>
        <w:tc>
          <w:tcPr>
            <w:tcW w:w="2996" w:type="dxa"/>
            <w:gridSpan w:val="12"/>
            <w:shd w:val="clear" w:color="auto" w:fill="auto"/>
          </w:tcPr>
          <w:p w14:paraId="008855CB" w14:textId="5677EC99" w:rsidR="00CE012A" w:rsidRPr="00C4078D" w:rsidRDefault="00CE012A" w:rsidP="00CE012A">
            <w:pPr>
              <w:rPr>
                <w:rFonts w:ascii="Times New Roman" w:hAnsi="Times New Roman"/>
              </w:rPr>
            </w:pPr>
            <w:r w:rsidRPr="00C4078D">
              <w:rPr>
                <w:rFonts w:ascii="Times New Roman" w:hAnsi="Times New Roman"/>
              </w:rPr>
              <w:t>Jw. i URE: ENERGETYKA</w:t>
            </w:r>
            <w:r>
              <w:rPr>
                <w:rFonts w:ascii="Times New Roman" w:hAnsi="Times New Roman"/>
              </w:rPr>
              <w:t xml:space="preserve"> </w:t>
            </w:r>
            <w:r w:rsidRPr="00C4078D">
              <w:rPr>
                <w:rFonts w:ascii="Times New Roman" w:hAnsi="Times New Roman"/>
              </w:rPr>
              <w:t>CIEPLNA</w:t>
            </w:r>
            <w:r>
              <w:rPr>
                <w:rFonts w:ascii="Times New Roman" w:hAnsi="Times New Roman"/>
              </w:rPr>
              <w:t xml:space="preserve"> </w:t>
            </w:r>
            <w:r w:rsidRPr="00C4078D">
              <w:rPr>
                <w:rFonts w:ascii="Times New Roman" w:hAnsi="Times New Roman"/>
              </w:rPr>
              <w:t>W LICZBACH − 2018</w:t>
            </w:r>
          </w:p>
        </w:tc>
        <w:tc>
          <w:tcPr>
            <w:tcW w:w="2981" w:type="dxa"/>
            <w:gridSpan w:val="6"/>
            <w:shd w:val="clear" w:color="auto" w:fill="auto"/>
          </w:tcPr>
          <w:p w14:paraId="094FEDA5" w14:textId="77FB3ED8" w:rsidR="00CE012A" w:rsidRPr="00C4078D" w:rsidRDefault="00CE012A" w:rsidP="00CE012A">
            <w:pPr>
              <w:jc w:val="center"/>
              <w:rPr>
                <w:rFonts w:ascii="Times New Roman" w:hAnsi="Times New Roman"/>
              </w:rPr>
            </w:pPr>
            <w:r w:rsidRPr="0091131A">
              <w:rPr>
                <w:rFonts w:ascii="Times New Roman" w:hAnsi="Times New Roman"/>
              </w:rPr>
              <w:t>Określenie sposobu realizacji obowiązku uzyskania określonego poziomu oszczędności energii</w:t>
            </w:r>
          </w:p>
        </w:tc>
      </w:tr>
      <w:tr w:rsidR="006A701A" w:rsidRPr="008B4FE6" w14:paraId="2FB04E9D" w14:textId="77777777" w:rsidTr="00676C8D">
        <w:trPr>
          <w:gridAfter w:val="1"/>
          <w:wAfter w:w="10" w:type="dxa"/>
          <w:trHeight w:val="302"/>
        </w:trPr>
        <w:tc>
          <w:tcPr>
            <w:tcW w:w="10937" w:type="dxa"/>
            <w:gridSpan w:val="29"/>
            <w:shd w:val="clear" w:color="auto" w:fill="99CCFF"/>
            <w:vAlign w:val="center"/>
          </w:tcPr>
          <w:p w14:paraId="291F453F"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64499E55" w14:textId="77777777" w:rsidTr="00676C8D">
        <w:trPr>
          <w:gridAfter w:val="1"/>
          <w:wAfter w:w="10" w:type="dxa"/>
          <w:trHeight w:val="342"/>
        </w:trPr>
        <w:tc>
          <w:tcPr>
            <w:tcW w:w="10937" w:type="dxa"/>
            <w:gridSpan w:val="29"/>
            <w:shd w:val="clear" w:color="auto" w:fill="FFFFFF"/>
          </w:tcPr>
          <w:p w14:paraId="5DB618F5" w14:textId="77777777" w:rsidR="00C75E77" w:rsidRPr="00C75E77" w:rsidRDefault="00C75E77" w:rsidP="00C75E77">
            <w:pPr>
              <w:spacing w:line="240" w:lineRule="auto"/>
              <w:jc w:val="both"/>
              <w:rPr>
                <w:rFonts w:ascii="Times New Roman" w:hAnsi="Times New Roman"/>
                <w:color w:val="000000"/>
                <w:spacing w:val="-2"/>
              </w:rPr>
            </w:pPr>
            <w:r w:rsidRPr="00C75E77">
              <w:rPr>
                <w:rFonts w:ascii="Times New Roman" w:hAnsi="Times New Roman"/>
                <w:color w:val="000000"/>
                <w:spacing w:val="-2"/>
              </w:rPr>
              <w:t xml:space="preserve">Projekt rozporządzenia zostanie zamieszczony na stronie Rządowego Centrum Legislacji, w serwisie Rządowy Proces Legislacyjny, zgodnie z przepisami ustawy z dnia 7 lipca 2005 r. o działalności lobbingowej w procesie stanowienia prawa (Dz. U. z 2017 r. poz. 248). </w:t>
            </w:r>
          </w:p>
          <w:p w14:paraId="1FEBAC41" w14:textId="11C90E85" w:rsidR="00C75E77" w:rsidRDefault="00C75E77" w:rsidP="00C75E77">
            <w:pPr>
              <w:spacing w:line="240" w:lineRule="auto"/>
              <w:jc w:val="both"/>
              <w:rPr>
                <w:rFonts w:ascii="Times New Roman" w:hAnsi="Times New Roman"/>
                <w:color w:val="000000"/>
                <w:spacing w:val="-2"/>
              </w:rPr>
            </w:pPr>
          </w:p>
          <w:p w14:paraId="19C4B6E0" w14:textId="6EF2505E" w:rsidR="00B727C5" w:rsidRPr="00B727C5" w:rsidRDefault="00B727C5" w:rsidP="00B727C5">
            <w:pPr>
              <w:spacing w:line="240" w:lineRule="auto"/>
              <w:jc w:val="both"/>
              <w:rPr>
                <w:rFonts w:ascii="Times New Roman" w:hAnsi="Times New Roman"/>
                <w:color w:val="000000"/>
                <w:spacing w:val="-2"/>
              </w:rPr>
            </w:pPr>
            <w:r w:rsidRPr="00B727C5">
              <w:rPr>
                <w:rFonts w:ascii="Times New Roman" w:hAnsi="Times New Roman"/>
                <w:color w:val="000000"/>
                <w:spacing w:val="-2"/>
              </w:rPr>
              <w:t>Projekt zostanie przekazany do konsultacji podmiotom, które uczestniczyły w procesie konsultacji projektu ustawy o zmianie ustaw o efektywności energetycznej oraz niektórych innych ustaw:</w:t>
            </w:r>
          </w:p>
          <w:p w14:paraId="50EEC74C" w14:textId="7B542A0E"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Organizacji Przemysłu i Handlu Naftowego,</w:t>
            </w:r>
          </w:p>
          <w:p w14:paraId="7360A01F" w14:textId="66DE5272"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Polskiej Izbie Paliw Płynnych,</w:t>
            </w:r>
          </w:p>
          <w:p w14:paraId="5CEBCC95" w14:textId="7A0DC6E3"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Polskiej Organizacji Gazu Płynnego,</w:t>
            </w:r>
          </w:p>
          <w:p w14:paraId="5D144BC4" w14:textId="7D93ECBF"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Polskiej Izbie Gazu Płynnego,</w:t>
            </w:r>
          </w:p>
          <w:p w14:paraId="6EAB7DA9" w14:textId="77777777"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Izbie Gospodarczej Ciepłownictwo Polskie,</w:t>
            </w:r>
          </w:p>
          <w:p w14:paraId="4400A5F8" w14:textId="77777777"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Izbie Gospodarczej Gazownictwa,</w:t>
            </w:r>
          </w:p>
          <w:p w14:paraId="67EBF262" w14:textId="77777777" w:rsidR="00363309"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Energy Solution Sp. z o.o.,</w:t>
            </w:r>
          </w:p>
          <w:p w14:paraId="61BE8AE4" w14:textId="77777777"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Krajowa Agencja Poszanowania Energii S.A.,</w:t>
            </w:r>
          </w:p>
          <w:p w14:paraId="65E33F3E" w14:textId="77777777"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Narodowa Agencja Poszanowania Energii S.A.,</w:t>
            </w:r>
          </w:p>
          <w:p w14:paraId="59FE155F" w14:textId="77777777" w:rsidR="00B727C5" w:rsidRPr="00B25211"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Stowarzyszenie Producentów i Importerów Urządzeń Grzewczych,</w:t>
            </w:r>
          </w:p>
          <w:p w14:paraId="0386D447" w14:textId="77777777" w:rsidR="006A701A" w:rsidRDefault="00B727C5" w:rsidP="00B25211">
            <w:pPr>
              <w:pStyle w:val="Akapitzlist"/>
              <w:numPr>
                <w:ilvl w:val="0"/>
                <w:numId w:val="24"/>
              </w:numPr>
              <w:spacing w:line="240" w:lineRule="auto"/>
              <w:jc w:val="both"/>
              <w:rPr>
                <w:rFonts w:ascii="Times New Roman" w:hAnsi="Times New Roman"/>
                <w:color w:val="000000"/>
                <w:spacing w:val="-2"/>
              </w:rPr>
            </w:pPr>
            <w:r w:rsidRPr="00B25211">
              <w:rPr>
                <w:rFonts w:ascii="Times New Roman" w:hAnsi="Times New Roman"/>
                <w:color w:val="000000"/>
                <w:spacing w:val="-2"/>
              </w:rPr>
              <w:t>Polska Organizacja Rozwoju Technologii Pomp Ciepła PORT PC.</w:t>
            </w:r>
          </w:p>
          <w:p w14:paraId="3EC861F4" w14:textId="77777777" w:rsidR="00B52329" w:rsidRDefault="00B52329" w:rsidP="00B52329">
            <w:pPr>
              <w:spacing w:line="240" w:lineRule="auto"/>
              <w:jc w:val="both"/>
              <w:rPr>
                <w:rFonts w:ascii="Times New Roman" w:hAnsi="Times New Roman"/>
                <w:color w:val="000000"/>
                <w:spacing w:val="-2"/>
              </w:rPr>
            </w:pPr>
          </w:p>
          <w:p w14:paraId="1298A516" w14:textId="1B7C3D42" w:rsidR="00C75E77" w:rsidRPr="00C75E77" w:rsidRDefault="00C75E77" w:rsidP="00C75E77">
            <w:pPr>
              <w:spacing w:line="240" w:lineRule="auto"/>
              <w:jc w:val="both"/>
              <w:rPr>
                <w:rFonts w:ascii="Times New Roman" w:hAnsi="Times New Roman"/>
                <w:color w:val="000000"/>
                <w:spacing w:val="-2"/>
              </w:rPr>
            </w:pPr>
            <w:r w:rsidRPr="00C75E77">
              <w:rPr>
                <w:rFonts w:ascii="Times New Roman" w:hAnsi="Times New Roman"/>
                <w:color w:val="000000"/>
                <w:spacing w:val="-2"/>
              </w:rPr>
              <w:t xml:space="preserve">Ze względu na zakres, projekt nie zostanie skierowany do zaopiniowania przez Komisję Wspólną Rządu i Samorządu Terytorialnego, zgodnie z ustawą z dnia 6 maja 2005 r. o Komisji Wspólnej Rządu i Samorządu Terytorialnego oraz o przedstawicielach Rzeczypospolitej Polskiej w Komitecie Regionów Unii Europejskiej (Dz. U. poz. 759). </w:t>
            </w:r>
          </w:p>
          <w:p w14:paraId="47792900" w14:textId="0846DD87" w:rsidR="00D4455F" w:rsidRPr="00D4455F" w:rsidRDefault="00D4455F" w:rsidP="00D4455F">
            <w:pPr>
              <w:spacing w:line="240" w:lineRule="auto"/>
              <w:jc w:val="both"/>
              <w:rPr>
                <w:rFonts w:ascii="Times New Roman" w:hAnsi="Times New Roman"/>
                <w:color w:val="000000"/>
                <w:spacing w:val="-2"/>
              </w:rPr>
            </w:pPr>
            <w:r w:rsidRPr="00D4455F">
              <w:rPr>
                <w:rFonts w:ascii="Times New Roman" w:hAnsi="Times New Roman"/>
                <w:color w:val="000000"/>
                <w:spacing w:val="-2"/>
              </w:rPr>
              <w:t>Projekt nie dotyczy spraw, o których mowa w art. 1 ustawy z dnia 24 lipca 2015 r. o Radzie Dialogu Społecznego i innych instytucjach dialogu społecznego (Dz. U. poz. 1240, z późn. zm.), w związku z czym nie podlega opiniowaniu przez Radę Dialogu Społecznego.</w:t>
            </w:r>
          </w:p>
          <w:p w14:paraId="47760769" w14:textId="0E26B733" w:rsidR="00D4455F" w:rsidRDefault="00D4455F" w:rsidP="00D4455F">
            <w:pPr>
              <w:spacing w:line="240" w:lineRule="auto"/>
              <w:jc w:val="both"/>
              <w:rPr>
                <w:rFonts w:ascii="Times New Roman" w:hAnsi="Times New Roman"/>
                <w:color w:val="000000"/>
                <w:spacing w:val="-2"/>
              </w:rPr>
            </w:pPr>
            <w:r w:rsidRPr="00D4455F">
              <w:rPr>
                <w:rFonts w:ascii="Times New Roman" w:hAnsi="Times New Roman"/>
                <w:color w:val="000000"/>
                <w:spacing w:val="-2"/>
              </w:rPr>
              <w:t>Projekt nie wpływa bezpośrednio na prawa i obowiązki przedsiębiorców, ponieważ przepisy projektowanego rozporządzenia tworzą jedynie ramy techniczne i obliczeniowe dla systemu wprowadzonego ustawą. W związku z tym projekt rozporządzenia nie podlega opiniowaniu przez reprezentatywne organizacje związkowe lub organizacje pracodawców.</w:t>
            </w:r>
          </w:p>
          <w:p w14:paraId="05020261" w14:textId="4DC98812" w:rsidR="00C75E77" w:rsidRPr="00C75E77" w:rsidRDefault="00C75E77" w:rsidP="00C75E77">
            <w:pPr>
              <w:spacing w:line="240" w:lineRule="auto"/>
              <w:jc w:val="both"/>
              <w:rPr>
                <w:rFonts w:ascii="Times New Roman" w:hAnsi="Times New Roman"/>
                <w:color w:val="000000"/>
                <w:spacing w:val="-2"/>
              </w:rPr>
            </w:pPr>
            <w:r w:rsidRPr="00C75E77">
              <w:rPr>
                <w:rFonts w:ascii="Times New Roman" w:hAnsi="Times New Roman"/>
                <w:color w:val="000000"/>
                <w:spacing w:val="-2"/>
              </w:rPr>
              <w:t xml:space="preserve">Projekt nie będzie podlegał opiniowaniu, konsultacjom ani uzgodnieniom z organami i instytucjami Unii Europejskiej, w tym z Europejskim Bankiem Centralnym. </w:t>
            </w:r>
          </w:p>
          <w:p w14:paraId="668A5772" w14:textId="45B38018" w:rsidR="006A701A" w:rsidRPr="00B37C80" w:rsidRDefault="00C75E77" w:rsidP="00B37C80">
            <w:pPr>
              <w:spacing w:line="240" w:lineRule="auto"/>
              <w:jc w:val="both"/>
              <w:rPr>
                <w:rFonts w:ascii="Times New Roman" w:hAnsi="Times New Roman"/>
                <w:color w:val="000000"/>
                <w:spacing w:val="-2"/>
              </w:rPr>
            </w:pPr>
            <w:r w:rsidRPr="00C75E77">
              <w:rPr>
                <w:rFonts w:ascii="Times New Roman" w:hAnsi="Times New Roman"/>
                <w:color w:val="000000"/>
                <w:spacing w:val="-2"/>
              </w:rPr>
              <w:t>Wyniki przeprowadzonych konsultacji publicznych zostaną zamieszczone na stronie internetowej Biuletynu Informacji Publicznej Rządowego Centrum Legislacji w Raporcie z konsultacji.</w:t>
            </w:r>
          </w:p>
        </w:tc>
      </w:tr>
      <w:tr w:rsidR="006A701A" w:rsidRPr="008B4FE6" w14:paraId="3BD9F19B" w14:textId="77777777" w:rsidTr="00676C8D">
        <w:trPr>
          <w:gridAfter w:val="1"/>
          <w:wAfter w:w="10" w:type="dxa"/>
          <w:trHeight w:val="363"/>
        </w:trPr>
        <w:tc>
          <w:tcPr>
            <w:tcW w:w="10937" w:type="dxa"/>
            <w:gridSpan w:val="29"/>
            <w:shd w:val="clear" w:color="auto" w:fill="99CCFF"/>
            <w:vAlign w:val="center"/>
          </w:tcPr>
          <w:p w14:paraId="774C0E9F"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697B23FF" w14:textId="77777777" w:rsidTr="00676C8D">
        <w:trPr>
          <w:gridAfter w:val="1"/>
          <w:wAfter w:w="10" w:type="dxa"/>
          <w:trHeight w:val="142"/>
        </w:trPr>
        <w:tc>
          <w:tcPr>
            <w:tcW w:w="3133" w:type="dxa"/>
            <w:gridSpan w:val="4"/>
            <w:vMerge w:val="restart"/>
            <w:shd w:val="clear" w:color="auto" w:fill="FFFFFF"/>
          </w:tcPr>
          <w:p w14:paraId="3316AD4A"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0802AB88"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013BBC07" w14:textId="77777777" w:rsidTr="00676C8D">
        <w:trPr>
          <w:gridAfter w:val="1"/>
          <w:wAfter w:w="10" w:type="dxa"/>
          <w:trHeight w:val="142"/>
        </w:trPr>
        <w:tc>
          <w:tcPr>
            <w:tcW w:w="3133" w:type="dxa"/>
            <w:gridSpan w:val="4"/>
            <w:vMerge/>
            <w:shd w:val="clear" w:color="auto" w:fill="FFFFFF"/>
          </w:tcPr>
          <w:p w14:paraId="3420D231"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6A2C727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4631640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6FD73DF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2F718D11"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323D98B9"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0018B8F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4F7D9C33"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20DE25A6"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05571F9C"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7A64500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755F0AC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5A2CBC2C"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B727C5" w:rsidRPr="008B4FE6" w14:paraId="2B31DCF2" w14:textId="77777777" w:rsidTr="00676C8D">
        <w:trPr>
          <w:trHeight w:val="321"/>
        </w:trPr>
        <w:tc>
          <w:tcPr>
            <w:tcW w:w="3133" w:type="dxa"/>
            <w:gridSpan w:val="4"/>
            <w:shd w:val="clear" w:color="auto" w:fill="FFFFFF"/>
            <w:vAlign w:val="center"/>
          </w:tcPr>
          <w:p w14:paraId="6BA91C6D"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51B4712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664F79"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03880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4877CA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C58DA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1D7ECB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3A06F3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CD8335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D35F1E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98D592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EA2C06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4BB297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7278AB92" w14:textId="77777777" w:rsidTr="00676C8D">
        <w:trPr>
          <w:trHeight w:val="321"/>
        </w:trPr>
        <w:tc>
          <w:tcPr>
            <w:tcW w:w="3133" w:type="dxa"/>
            <w:gridSpan w:val="4"/>
            <w:shd w:val="clear" w:color="auto" w:fill="FFFFFF"/>
            <w:vAlign w:val="center"/>
          </w:tcPr>
          <w:p w14:paraId="32F60449"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30F2C3A"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20806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1EA559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5E1825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51A48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22100D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72939DA"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39D378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69613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C31C8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22B0F1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8EE8BD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1BCFFC50" w14:textId="77777777" w:rsidTr="00676C8D">
        <w:trPr>
          <w:trHeight w:val="344"/>
        </w:trPr>
        <w:tc>
          <w:tcPr>
            <w:tcW w:w="3133" w:type="dxa"/>
            <w:gridSpan w:val="4"/>
            <w:shd w:val="clear" w:color="auto" w:fill="FFFFFF"/>
            <w:vAlign w:val="center"/>
          </w:tcPr>
          <w:p w14:paraId="1A5AFDD9"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FC92069"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1ED26E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1FB103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7A9D7B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C530C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CECAC4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E99774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080EE8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D4C6D5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80A8AF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78173E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C4846C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2D164BBA" w14:textId="77777777" w:rsidTr="00676C8D">
        <w:trPr>
          <w:trHeight w:val="344"/>
        </w:trPr>
        <w:tc>
          <w:tcPr>
            <w:tcW w:w="3133" w:type="dxa"/>
            <w:gridSpan w:val="4"/>
            <w:shd w:val="clear" w:color="auto" w:fill="FFFFFF"/>
            <w:vAlign w:val="center"/>
          </w:tcPr>
          <w:p w14:paraId="150F4F7F"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7698B1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099D8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6EE7D9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65519C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9CB57F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8FA62B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8A8F079"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41E396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68E2B3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71DD42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E607B9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671214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31AC18F9" w14:textId="77777777" w:rsidTr="00676C8D">
        <w:trPr>
          <w:trHeight w:val="330"/>
        </w:trPr>
        <w:tc>
          <w:tcPr>
            <w:tcW w:w="3133" w:type="dxa"/>
            <w:gridSpan w:val="4"/>
            <w:shd w:val="clear" w:color="auto" w:fill="FFFFFF"/>
            <w:vAlign w:val="center"/>
          </w:tcPr>
          <w:p w14:paraId="4B63FB7B"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55B3808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5611D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F6F5F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F46D98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C14C16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34B60D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DCEA6D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BE4642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3E3B76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011A29"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F553BA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3DF898A"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245A2CBB" w14:textId="77777777" w:rsidTr="00676C8D">
        <w:trPr>
          <w:trHeight w:val="330"/>
        </w:trPr>
        <w:tc>
          <w:tcPr>
            <w:tcW w:w="3133" w:type="dxa"/>
            <w:gridSpan w:val="4"/>
            <w:shd w:val="clear" w:color="auto" w:fill="FFFFFF"/>
            <w:vAlign w:val="center"/>
          </w:tcPr>
          <w:p w14:paraId="3246D7E2"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2D4C14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706D7B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8F7AE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76AB27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34CF15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9D48C3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A134D5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18A706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06CD9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B09560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036E0E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45ECFE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1A0F17BA" w14:textId="77777777" w:rsidTr="00676C8D">
        <w:trPr>
          <w:trHeight w:val="351"/>
        </w:trPr>
        <w:tc>
          <w:tcPr>
            <w:tcW w:w="3133" w:type="dxa"/>
            <w:gridSpan w:val="4"/>
            <w:shd w:val="clear" w:color="auto" w:fill="FFFFFF"/>
            <w:vAlign w:val="center"/>
          </w:tcPr>
          <w:p w14:paraId="3272BFAD"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7301D1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BD92C5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586BA9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CB0A9B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6BA52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CAC851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179AF39"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443F39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E42E6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5D4599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E7DD69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C9E257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1E9C1571" w14:textId="77777777" w:rsidTr="00676C8D">
        <w:trPr>
          <w:trHeight w:val="351"/>
        </w:trPr>
        <w:tc>
          <w:tcPr>
            <w:tcW w:w="3133" w:type="dxa"/>
            <w:gridSpan w:val="4"/>
            <w:shd w:val="clear" w:color="auto" w:fill="FFFFFF"/>
            <w:vAlign w:val="center"/>
          </w:tcPr>
          <w:p w14:paraId="500DEC79"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135B6B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B0A09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70DAD9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2C8CFB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D6A91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221443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14418E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C7B2A1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0B3AC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5D9E78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392F27A"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76D13C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1614094D" w14:textId="77777777" w:rsidTr="00676C8D">
        <w:trPr>
          <w:trHeight w:val="360"/>
        </w:trPr>
        <w:tc>
          <w:tcPr>
            <w:tcW w:w="3133" w:type="dxa"/>
            <w:gridSpan w:val="4"/>
            <w:shd w:val="clear" w:color="auto" w:fill="FFFFFF"/>
            <w:vAlign w:val="center"/>
          </w:tcPr>
          <w:p w14:paraId="64EF59F7"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4D5B4CF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2A51F1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3A66A0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23E82F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333BB5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2A7B30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68B0D7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F919CB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035578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96B50A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501C72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041C44A"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794A44F2" w14:textId="77777777" w:rsidTr="00676C8D">
        <w:trPr>
          <w:trHeight w:val="360"/>
        </w:trPr>
        <w:tc>
          <w:tcPr>
            <w:tcW w:w="3133" w:type="dxa"/>
            <w:gridSpan w:val="4"/>
            <w:shd w:val="clear" w:color="auto" w:fill="FFFFFF"/>
            <w:vAlign w:val="center"/>
          </w:tcPr>
          <w:p w14:paraId="19B58E37"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51D932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AA2D10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38CFA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584288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A1335C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E030DB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6326AC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736C50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B30B579"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AE8B0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11905A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7FABDA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4869A8C1" w14:textId="77777777" w:rsidTr="00676C8D">
        <w:trPr>
          <w:trHeight w:val="357"/>
        </w:trPr>
        <w:tc>
          <w:tcPr>
            <w:tcW w:w="3133" w:type="dxa"/>
            <w:gridSpan w:val="4"/>
            <w:shd w:val="clear" w:color="auto" w:fill="FFFFFF"/>
            <w:vAlign w:val="center"/>
          </w:tcPr>
          <w:p w14:paraId="3143E83C"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531041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75B17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26831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A7FE72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D41FF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FDBDC5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0A0CEA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4237B8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460A9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10E69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56B47B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FAAD993"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6FD07339" w14:textId="77777777" w:rsidTr="00676C8D">
        <w:trPr>
          <w:trHeight w:val="357"/>
        </w:trPr>
        <w:tc>
          <w:tcPr>
            <w:tcW w:w="3133" w:type="dxa"/>
            <w:gridSpan w:val="4"/>
            <w:shd w:val="clear" w:color="auto" w:fill="FFFFFF"/>
            <w:vAlign w:val="center"/>
          </w:tcPr>
          <w:p w14:paraId="187BD17A" w14:textId="77777777" w:rsidR="00B727C5" w:rsidRPr="00C53F26" w:rsidRDefault="00B727C5" w:rsidP="00B727C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11FF53C"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0FD65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9D9AE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D4C293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DD7188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FD3AC5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6871DC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88F5B6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B14F29"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336B734"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51F218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656178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6A701A" w:rsidRPr="008B4FE6" w14:paraId="01A5D920" w14:textId="77777777" w:rsidTr="00676C8D">
        <w:trPr>
          <w:gridAfter w:val="1"/>
          <w:wAfter w:w="10" w:type="dxa"/>
          <w:trHeight w:val="348"/>
        </w:trPr>
        <w:tc>
          <w:tcPr>
            <w:tcW w:w="2243" w:type="dxa"/>
            <w:gridSpan w:val="2"/>
            <w:shd w:val="clear" w:color="auto" w:fill="FFFFFF"/>
            <w:vAlign w:val="center"/>
          </w:tcPr>
          <w:p w14:paraId="2AE136DD"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598C97BB" w14:textId="1756CC42" w:rsidR="006A701A" w:rsidRPr="00B37C80" w:rsidRDefault="00B727C5"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Brak.</w:t>
            </w:r>
          </w:p>
        </w:tc>
      </w:tr>
      <w:tr w:rsidR="00E24BD7" w:rsidRPr="008B4FE6" w14:paraId="09943326" w14:textId="77777777" w:rsidTr="00395AFA">
        <w:trPr>
          <w:gridAfter w:val="1"/>
          <w:wAfter w:w="10" w:type="dxa"/>
          <w:trHeight w:val="1341"/>
        </w:trPr>
        <w:tc>
          <w:tcPr>
            <w:tcW w:w="2243" w:type="dxa"/>
            <w:gridSpan w:val="2"/>
            <w:shd w:val="clear" w:color="auto" w:fill="FFFFFF"/>
          </w:tcPr>
          <w:p w14:paraId="5287523A"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2C6A5E5A" w14:textId="2ACDE12C" w:rsidR="00E24BD7" w:rsidRPr="00C53F26" w:rsidRDefault="00B727C5" w:rsidP="00B37C80">
            <w:pPr>
              <w:spacing w:line="240" w:lineRule="auto"/>
              <w:jc w:val="both"/>
              <w:rPr>
                <w:rFonts w:ascii="Times New Roman" w:hAnsi="Times New Roman"/>
                <w:color w:val="000000"/>
                <w:sz w:val="21"/>
                <w:szCs w:val="21"/>
              </w:rPr>
            </w:pPr>
            <w:r w:rsidRPr="00B727C5">
              <w:rPr>
                <w:rFonts w:ascii="Times New Roman" w:hAnsi="Times New Roman"/>
                <w:color w:val="000000"/>
                <w:sz w:val="21"/>
                <w:szCs w:val="21"/>
              </w:rPr>
              <w:t xml:space="preserve">Projekt rozporządzenia nie ma wpływu na </w:t>
            </w:r>
            <w:r w:rsidR="00C4078D">
              <w:rPr>
                <w:rFonts w:ascii="Times New Roman" w:hAnsi="Times New Roman"/>
                <w:color w:val="000000"/>
                <w:sz w:val="21"/>
                <w:szCs w:val="21"/>
              </w:rPr>
              <w:t>sektor finansów publicznych</w:t>
            </w:r>
            <w:r w:rsidRPr="00B727C5">
              <w:rPr>
                <w:rFonts w:ascii="Times New Roman" w:hAnsi="Times New Roman"/>
                <w:color w:val="000000"/>
                <w:sz w:val="21"/>
                <w:szCs w:val="21"/>
              </w:rPr>
              <w:t>.</w:t>
            </w:r>
            <w:r w:rsidR="005E5C2A">
              <w:rPr>
                <w:rFonts w:ascii="Times New Roman" w:hAnsi="Times New Roman"/>
                <w:color w:val="000000"/>
                <w:sz w:val="21"/>
                <w:szCs w:val="21"/>
              </w:rPr>
              <w:t xml:space="preserve"> </w:t>
            </w:r>
          </w:p>
          <w:p w14:paraId="567637FF" w14:textId="77777777" w:rsidR="00C4078D" w:rsidRPr="00301959" w:rsidRDefault="00C4078D" w:rsidP="00C4078D">
            <w:pPr>
              <w:spacing w:line="240" w:lineRule="auto"/>
              <w:jc w:val="both"/>
              <w:rPr>
                <w:rFonts w:ascii="Times New Roman" w:hAnsi="Times New Roman"/>
                <w:color w:val="000000"/>
                <w:sz w:val="21"/>
                <w:szCs w:val="21"/>
              </w:rPr>
            </w:pPr>
            <w:r w:rsidRPr="005E5C2A">
              <w:rPr>
                <w:rFonts w:ascii="Times New Roman" w:hAnsi="Times New Roman"/>
                <w:color w:val="000000"/>
                <w:sz w:val="21"/>
                <w:szCs w:val="21"/>
              </w:rPr>
              <w:t>Obowiązek w zakresie uzyskania oszczędności energii</w:t>
            </w:r>
            <w:r>
              <w:rPr>
                <w:rFonts w:ascii="Times New Roman" w:hAnsi="Times New Roman"/>
                <w:color w:val="000000"/>
                <w:sz w:val="21"/>
                <w:szCs w:val="21"/>
              </w:rPr>
              <w:t xml:space="preserve"> </w:t>
            </w:r>
            <w:r w:rsidRPr="005E5C2A">
              <w:rPr>
                <w:rFonts w:ascii="Times New Roman" w:hAnsi="Times New Roman"/>
                <w:color w:val="000000"/>
                <w:sz w:val="21"/>
                <w:szCs w:val="21"/>
              </w:rPr>
              <w:t>nakłada bowiem ustawa, przepisy projektowanego rozporządzenia tworzą jedynie ramy techniczne i obliczeniowe dla systemu wprowadzonego ustawą</w:t>
            </w:r>
            <w:r>
              <w:rPr>
                <w:rFonts w:ascii="Times New Roman" w:hAnsi="Times New Roman"/>
                <w:color w:val="000000"/>
                <w:sz w:val="21"/>
                <w:szCs w:val="21"/>
              </w:rPr>
              <w:t>.</w:t>
            </w:r>
          </w:p>
          <w:p w14:paraId="09FB5262" w14:textId="77777777" w:rsidR="00E24BD7" w:rsidRPr="00C53F26" w:rsidRDefault="00E24BD7" w:rsidP="00B37C80">
            <w:pPr>
              <w:spacing w:line="240" w:lineRule="auto"/>
              <w:jc w:val="both"/>
              <w:rPr>
                <w:rFonts w:ascii="Times New Roman" w:hAnsi="Times New Roman"/>
                <w:color w:val="000000"/>
                <w:sz w:val="21"/>
                <w:szCs w:val="21"/>
              </w:rPr>
            </w:pPr>
          </w:p>
        </w:tc>
      </w:tr>
      <w:tr w:rsidR="006A701A" w:rsidRPr="008B4FE6" w14:paraId="2AA736B9" w14:textId="77777777" w:rsidTr="00676C8D">
        <w:trPr>
          <w:gridAfter w:val="1"/>
          <w:wAfter w:w="10" w:type="dxa"/>
          <w:trHeight w:val="345"/>
        </w:trPr>
        <w:tc>
          <w:tcPr>
            <w:tcW w:w="10937" w:type="dxa"/>
            <w:gridSpan w:val="29"/>
            <w:shd w:val="clear" w:color="auto" w:fill="99CCFF"/>
          </w:tcPr>
          <w:p w14:paraId="157AFF77"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35D44CEA" w14:textId="77777777" w:rsidTr="00676C8D">
        <w:trPr>
          <w:gridAfter w:val="1"/>
          <w:wAfter w:w="10" w:type="dxa"/>
          <w:trHeight w:val="142"/>
        </w:trPr>
        <w:tc>
          <w:tcPr>
            <w:tcW w:w="10937" w:type="dxa"/>
            <w:gridSpan w:val="29"/>
            <w:shd w:val="clear" w:color="auto" w:fill="FFFFFF"/>
          </w:tcPr>
          <w:p w14:paraId="6BEB1D6A"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743BB525" w14:textId="77777777" w:rsidTr="00676C8D">
        <w:trPr>
          <w:gridAfter w:val="1"/>
          <w:wAfter w:w="10" w:type="dxa"/>
          <w:trHeight w:val="142"/>
        </w:trPr>
        <w:tc>
          <w:tcPr>
            <w:tcW w:w="3889" w:type="dxa"/>
            <w:gridSpan w:val="7"/>
            <w:shd w:val="clear" w:color="auto" w:fill="FFFFFF"/>
          </w:tcPr>
          <w:p w14:paraId="2C978BF2"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4CE07BB6"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5AF6C2D1"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479CB3A0"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61A3E9F3"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6852ED89"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506F8DF0"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62A522FA"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B727C5" w:rsidRPr="008B4FE6" w14:paraId="2AE38A94" w14:textId="77777777" w:rsidTr="008A5095">
        <w:trPr>
          <w:gridAfter w:val="1"/>
          <w:wAfter w:w="10" w:type="dxa"/>
          <w:trHeight w:val="142"/>
        </w:trPr>
        <w:tc>
          <w:tcPr>
            <w:tcW w:w="1596" w:type="dxa"/>
            <w:vMerge w:val="restart"/>
            <w:shd w:val="clear" w:color="auto" w:fill="FFFFFF"/>
          </w:tcPr>
          <w:p w14:paraId="31A154F6" w14:textId="77777777" w:rsidR="00B727C5" w:rsidRDefault="00B727C5" w:rsidP="00B727C5">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15453969" w14:textId="77777777" w:rsidR="00B727C5" w:rsidRDefault="00B727C5" w:rsidP="00B727C5">
            <w:pPr>
              <w:rPr>
                <w:rFonts w:ascii="Times New Roman" w:hAnsi="Times New Roman"/>
                <w:spacing w:val="-2"/>
                <w:sz w:val="21"/>
                <w:szCs w:val="21"/>
              </w:rPr>
            </w:pPr>
            <w:r>
              <w:rPr>
                <w:rFonts w:ascii="Times New Roman" w:hAnsi="Times New Roman"/>
                <w:spacing w:val="-2"/>
                <w:sz w:val="21"/>
                <w:szCs w:val="21"/>
              </w:rPr>
              <w:t xml:space="preserve">(w mln zł, </w:t>
            </w:r>
          </w:p>
          <w:p w14:paraId="1BB83508" w14:textId="77777777" w:rsidR="00B727C5" w:rsidRPr="00301959" w:rsidRDefault="00B727C5" w:rsidP="00B727C5">
            <w:pPr>
              <w:spacing w:line="240" w:lineRule="auto"/>
              <w:rPr>
                <w:rFonts w:ascii="Times New Roman" w:hAnsi="Times New Roman"/>
                <w:color w:val="000000"/>
                <w:sz w:val="21"/>
                <w:szCs w:val="21"/>
              </w:rPr>
            </w:pPr>
            <w:r>
              <w:rPr>
                <w:rFonts w:ascii="Times New Roman" w:hAnsi="Times New Roman"/>
                <w:spacing w:val="-2"/>
                <w:sz w:val="21"/>
                <w:szCs w:val="21"/>
              </w:rPr>
              <w:t>ceny stałe z 2018 r.)</w:t>
            </w:r>
          </w:p>
        </w:tc>
        <w:tc>
          <w:tcPr>
            <w:tcW w:w="2293" w:type="dxa"/>
            <w:gridSpan w:val="6"/>
            <w:shd w:val="clear" w:color="auto" w:fill="FFFFFF"/>
          </w:tcPr>
          <w:p w14:paraId="04D73D1D" w14:textId="77777777" w:rsidR="00B727C5" w:rsidRPr="00301959" w:rsidRDefault="00B727C5" w:rsidP="00B727C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505046C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32B7C71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4F5E6B5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7447DCB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3EB2D9A"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70412D9B"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0F7F8A2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40021890" w14:textId="77777777" w:rsidTr="008A5095">
        <w:trPr>
          <w:gridAfter w:val="1"/>
          <w:wAfter w:w="10" w:type="dxa"/>
          <w:trHeight w:val="142"/>
        </w:trPr>
        <w:tc>
          <w:tcPr>
            <w:tcW w:w="1596" w:type="dxa"/>
            <w:vMerge/>
            <w:shd w:val="clear" w:color="auto" w:fill="FFFFFF"/>
          </w:tcPr>
          <w:p w14:paraId="76482122" w14:textId="77777777" w:rsidR="00B727C5" w:rsidRPr="00301959" w:rsidRDefault="00B727C5" w:rsidP="00B727C5">
            <w:pPr>
              <w:spacing w:line="240" w:lineRule="auto"/>
              <w:rPr>
                <w:rFonts w:ascii="Times New Roman" w:hAnsi="Times New Roman"/>
                <w:color w:val="000000"/>
                <w:sz w:val="21"/>
                <w:szCs w:val="21"/>
              </w:rPr>
            </w:pPr>
          </w:p>
        </w:tc>
        <w:tc>
          <w:tcPr>
            <w:tcW w:w="2293" w:type="dxa"/>
            <w:gridSpan w:val="6"/>
            <w:shd w:val="clear" w:color="auto" w:fill="FFFFFF"/>
          </w:tcPr>
          <w:p w14:paraId="482C1F98" w14:textId="77777777" w:rsidR="00B727C5" w:rsidRPr="00301959" w:rsidRDefault="00B727C5" w:rsidP="00B727C5">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5FC4E900"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202B9C9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4422FC6F"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0D3B1547"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2EAC0E4D"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19AD5AB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2A7E07E8"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727C5" w:rsidRPr="008B4FE6" w14:paraId="54EC08F4" w14:textId="77777777" w:rsidTr="008A5095">
        <w:trPr>
          <w:gridAfter w:val="1"/>
          <w:wAfter w:w="10" w:type="dxa"/>
          <w:trHeight w:val="142"/>
        </w:trPr>
        <w:tc>
          <w:tcPr>
            <w:tcW w:w="1596" w:type="dxa"/>
            <w:vMerge/>
            <w:shd w:val="clear" w:color="auto" w:fill="FFFFFF"/>
          </w:tcPr>
          <w:p w14:paraId="2B751884" w14:textId="77777777" w:rsidR="00B727C5" w:rsidRPr="00301959" w:rsidRDefault="00B727C5" w:rsidP="00B727C5">
            <w:pPr>
              <w:spacing w:line="240" w:lineRule="auto"/>
              <w:rPr>
                <w:rFonts w:ascii="Times New Roman" w:hAnsi="Times New Roman"/>
                <w:color w:val="000000"/>
                <w:sz w:val="21"/>
                <w:szCs w:val="21"/>
              </w:rPr>
            </w:pPr>
          </w:p>
        </w:tc>
        <w:tc>
          <w:tcPr>
            <w:tcW w:w="2293" w:type="dxa"/>
            <w:gridSpan w:val="6"/>
            <w:shd w:val="clear" w:color="auto" w:fill="FFFFFF"/>
          </w:tcPr>
          <w:p w14:paraId="463A4F61" w14:textId="77777777" w:rsidR="00B727C5" w:rsidRPr="00301959" w:rsidRDefault="00B727C5" w:rsidP="00B727C5">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46040465"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23296D76"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759086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7DA35A22"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7EC5D5F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06AD67AE"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456F2BB1" w14:textId="77777777" w:rsidR="00B727C5" w:rsidRPr="00B37C80" w:rsidRDefault="00B727C5" w:rsidP="00B727C5">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8A608F" w:rsidRPr="008B4FE6" w14:paraId="2D6DBF02" w14:textId="77777777" w:rsidTr="00676C8D">
        <w:trPr>
          <w:gridAfter w:val="1"/>
          <w:wAfter w:w="10" w:type="dxa"/>
          <w:trHeight w:val="142"/>
        </w:trPr>
        <w:tc>
          <w:tcPr>
            <w:tcW w:w="1596" w:type="dxa"/>
            <w:vMerge w:val="restart"/>
            <w:shd w:val="clear" w:color="auto" w:fill="FFFFFF"/>
          </w:tcPr>
          <w:p w14:paraId="514F8C22" w14:textId="77777777"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14:paraId="73BFE3C4"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14:paraId="2391DA3B" w14:textId="77777777" w:rsidR="008A608F" w:rsidRPr="00B37C80" w:rsidRDefault="00B727C5"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8A608F" w:rsidRPr="008B4FE6" w14:paraId="0124D642" w14:textId="77777777" w:rsidTr="00676C8D">
        <w:trPr>
          <w:gridAfter w:val="1"/>
          <w:wAfter w:w="10" w:type="dxa"/>
          <w:trHeight w:val="142"/>
        </w:trPr>
        <w:tc>
          <w:tcPr>
            <w:tcW w:w="1596" w:type="dxa"/>
            <w:vMerge/>
            <w:shd w:val="clear" w:color="auto" w:fill="FFFFFF"/>
          </w:tcPr>
          <w:p w14:paraId="664584B1"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140079C2"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14:paraId="714BB9D3" w14:textId="77777777" w:rsidR="008A608F" w:rsidRPr="00B37C80" w:rsidRDefault="00B727C5" w:rsidP="00B727C5">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9E3C4B" w:rsidRPr="008B4FE6" w14:paraId="2AA44996" w14:textId="77777777" w:rsidTr="00676C8D">
        <w:trPr>
          <w:gridAfter w:val="1"/>
          <w:wAfter w:w="10" w:type="dxa"/>
          <w:trHeight w:val="596"/>
        </w:trPr>
        <w:tc>
          <w:tcPr>
            <w:tcW w:w="1596" w:type="dxa"/>
            <w:vMerge/>
            <w:shd w:val="clear" w:color="auto" w:fill="FFFFFF"/>
          </w:tcPr>
          <w:p w14:paraId="7D3C462A"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14:paraId="0C5CAF33" w14:textId="63B5233D"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w:t>
            </w:r>
            <w:r w:rsidR="00C655DD">
              <w:t xml:space="preserve">, w </w:t>
            </w:r>
            <w:r w:rsidR="00C655DD" w:rsidRPr="00C655DD">
              <w:rPr>
                <w:rFonts w:ascii="Times New Roman" w:hAnsi="Times New Roman"/>
                <w:sz w:val="21"/>
                <w:szCs w:val="21"/>
              </w:rPr>
              <w:t>tym osoby starsze i niepełnosprawne</w:t>
            </w:r>
            <w:r w:rsidR="009E3C4B" w:rsidRPr="00301959">
              <w:rPr>
                <w:rFonts w:ascii="Times New Roman" w:hAnsi="Times New Roman"/>
                <w:sz w:val="21"/>
                <w:szCs w:val="21"/>
              </w:rPr>
              <w:t xml:space="preserv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14:paraId="5AB9F2CB" w14:textId="77777777" w:rsidR="009E3C4B" w:rsidRPr="00B37C80" w:rsidRDefault="00B727C5" w:rsidP="00955774">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7D55FB" w:rsidRPr="008B4FE6" w14:paraId="092874DA" w14:textId="77777777" w:rsidTr="00395AFA">
        <w:trPr>
          <w:gridAfter w:val="1"/>
          <w:wAfter w:w="10" w:type="dxa"/>
          <w:trHeight w:val="342"/>
        </w:trPr>
        <w:tc>
          <w:tcPr>
            <w:tcW w:w="1596" w:type="dxa"/>
            <w:shd w:val="clear" w:color="auto" w:fill="FFFFFF"/>
          </w:tcPr>
          <w:p w14:paraId="7AE1BB46" w14:textId="77777777" w:rsidR="007D55FB" w:rsidRPr="00301959" w:rsidRDefault="007D55F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9341" w:type="dxa"/>
            <w:gridSpan w:val="28"/>
            <w:shd w:val="clear" w:color="auto" w:fill="FFFFFF"/>
          </w:tcPr>
          <w:p w14:paraId="16A3134F" w14:textId="58A58DF1" w:rsidR="007D55FB" w:rsidRPr="00B37C80" w:rsidRDefault="00D4455F"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E24BD7" w:rsidRPr="008B4FE6" w14:paraId="7652D070" w14:textId="77777777" w:rsidTr="00676C8D">
        <w:trPr>
          <w:gridAfter w:val="1"/>
          <w:wAfter w:w="10" w:type="dxa"/>
          <w:trHeight w:val="1643"/>
        </w:trPr>
        <w:tc>
          <w:tcPr>
            <w:tcW w:w="2243" w:type="dxa"/>
            <w:gridSpan w:val="2"/>
            <w:shd w:val="clear" w:color="auto" w:fill="FFFFFF"/>
          </w:tcPr>
          <w:p w14:paraId="1C9F69DD"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2BA16B69" w14:textId="4D911C1A" w:rsidR="00C4078D" w:rsidRDefault="00B727C5" w:rsidP="00B37C80">
            <w:pPr>
              <w:spacing w:line="240" w:lineRule="auto"/>
              <w:jc w:val="both"/>
              <w:rPr>
                <w:rFonts w:ascii="Times New Roman" w:hAnsi="Times New Roman"/>
                <w:color w:val="000000"/>
                <w:sz w:val="21"/>
                <w:szCs w:val="21"/>
              </w:rPr>
            </w:pPr>
            <w:r w:rsidRPr="00B727C5">
              <w:rPr>
                <w:rFonts w:ascii="Times New Roman" w:hAnsi="Times New Roman"/>
                <w:color w:val="000000"/>
                <w:sz w:val="21"/>
                <w:szCs w:val="21"/>
              </w:rPr>
              <w:t>Projekt rozporządzenia nie</w:t>
            </w:r>
            <w:r w:rsidR="00C4078D">
              <w:rPr>
                <w:rFonts w:ascii="Times New Roman" w:hAnsi="Times New Roman"/>
                <w:color w:val="000000"/>
                <w:sz w:val="21"/>
                <w:szCs w:val="21"/>
              </w:rPr>
              <w:t xml:space="preserve"> </w:t>
            </w:r>
            <w:r w:rsidRPr="00B727C5">
              <w:rPr>
                <w:rFonts w:ascii="Times New Roman" w:hAnsi="Times New Roman"/>
                <w:color w:val="000000"/>
                <w:sz w:val="21"/>
                <w:szCs w:val="21"/>
              </w:rPr>
              <w:t>wpływ</w:t>
            </w:r>
            <w:r w:rsidR="00C4078D">
              <w:rPr>
                <w:rFonts w:ascii="Times New Roman" w:hAnsi="Times New Roman"/>
                <w:color w:val="000000"/>
                <w:sz w:val="21"/>
                <w:szCs w:val="21"/>
              </w:rPr>
              <w:t xml:space="preserve">a bezpośrednio na konkurencyjność gospodarki i przedsiębiorczość, w tym funkcjonowanie przedsiębiorców oraz na rodzinę, obywateli </w:t>
            </w:r>
            <w:r w:rsidR="00D4455F" w:rsidRPr="00D4455F">
              <w:rPr>
                <w:rFonts w:ascii="Times New Roman" w:hAnsi="Times New Roman"/>
                <w:color w:val="000000"/>
                <w:sz w:val="21"/>
                <w:szCs w:val="21"/>
              </w:rPr>
              <w:t xml:space="preserve">w tym osoby starsze i niepełnosprawne </w:t>
            </w:r>
            <w:r w:rsidR="00C4078D">
              <w:rPr>
                <w:rFonts w:ascii="Times New Roman" w:hAnsi="Times New Roman"/>
                <w:color w:val="000000"/>
                <w:sz w:val="21"/>
                <w:szCs w:val="21"/>
              </w:rPr>
              <w:t xml:space="preserve">i gospodarstwa domowe. </w:t>
            </w:r>
          </w:p>
          <w:p w14:paraId="40FAF341" w14:textId="77E6C6DB" w:rsidR="00E24BD7" w:rsidRPr="00301959" w:rsidRDefault="005E5C2A" w:rsidP="00B37C80">
            <w:pPr>
              <w:spacing w:line="240" w:lineRule="auto"/>
              <w:jc w:val="both"/>
              <w:rPr>
                <w:rFonts w:ascii="Times New Roman" w:hAnsi="Times New Roman"/>
                <w:color w:val="000000"/>
                <w:sz w:val="21"/>
                <w:szCs w:val="21"/>
              </w:rPr>
            </w:pPr>
            <w:r w:rsidRPr="005E5C2A">
              <w:rPr>
                <w:rFonts w:ascii="Times New Roman" w:hAnsi="Times New Roman"/>
                <w:color w:val="000000"/>
                <w:sz w:val="21"/>
                <w:szCs w:val="21"/>
              </w:rPr>
              <w:t>Obowiązek w zakresie uzyskania oszczędności energii</w:t>
            </w:r>
            <w:r w:rsidR="00C4078D">
              <w:rPr>
                <w:rFonts w:ascii="Times New Roman" w:hAnsi="Times New Roman"/>
                <w:color w:val="000000"/>
                <w:sz w:val="21"/>
                <w:szCs w:val="21"/>
              </w:rPr>
              <w:t xml:space="preserve"> </w:t>
            </w:r>
            <w:r w:rsidRPr="005E5C2A">
              <w:rPr>
                <w:rFonts w:ascii="Times New Roman" w:hAnsi="Times New Roman"/>
                <w:color w:val="000000"/>
                <w:sz w:val="21"/>
                <w:szCs w:val="21"/>
              </w:rPr>
              <w:t>nakłada bowiem ustawa, przepisy projektowanego rozporządzenia tworzą jedynie ramy techniczne i obliczeniowe dla systemu wprowadzonego ustawą</w:t>
            </w:r>
            <w:r>
              <w:rPr>
                <w:rFonts w:ascii="Times New Roman" w:hAnsi="Times New Roman"/>
                <w:color w:val="000000"/>
                <w:sz w:val="21"/>
                <w:szCs w:val="21"/>
              </w:rPr>
              <w:t>.</w:t>
            </w:r>
          </w:p>
        </w:tc>
      </w:tr>
      <w:tr w:rsidR="006A701A" w:rsidRPr="008B4FE6" w14:paraId="1A3D807A" w14:textId="77777777" w:rsidTr="00676C8D">
        <w:trPr>
          <w:gridAfter w:val="1"/>
          <w:wAfter w:w="10" w:type="dxa"/>
          <w:trHeight w:val="342"/>
        </w:trPr>
        <w:tc>
          <w:tcPr>
            <w:tcW w:w="10937" w:type="dxa"/>
            <w:gridSpan w:val="29"/>
            <w:shd w:val="clear" w:color="auto" w:fill="99CCFF"/>
            <w:vAlign w:val="center"/>
          </w:tcPr>
          <w:p w14:paraId="621351FF" w14:textId="77777777"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10C5AF4B" w14:textId="77777777" w:rsidTr="00676C8D">
        <w:trPr>
          <w:gridAfter w:val="1"/>
          <w:wAfter w:w="10" w:type="dxa"/>
          <w:trHeight w:val="151"/>
        </w:trPr>
        <w:tc>
          <w:tcPr>
            <w:tcW w:w="10937" w:type="dxa"/>
            <w:gridSpan w:val="29"/>
            <w:shd w:val="clear" w:color="auto" w:fill="FFFFFF"/>
          </w:tcPr>
          <w:p w14:paraId="44767DD2" w14:textId="77777777" w:rsidR="00D86AFF" w:rsidRPr="008B4FE6" w:rsidRDefault="009965BF"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EndPr/>
              <w:sdtContent>
                <w:r w:rsidR="00B727C5">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14:paraId="7C272356" w14:textId="77777777" w:rsidTr="00676C8D">
        <w:trPr>
          <w:gridAfter w:val="1"/>
          <w:wAfter w:w="10" w:type="dxa"/>
          <w:trHeight w:val="946"/>
        </w:trPr>
        <w:tc>
          <w:tcPr>
            <w:tcW w:w="5111" w:type="dxa"/>
            <w:gridSpan w:val="12"/>
            <w:shd w:val="clear" w:color="auto" w:fill="FFFFFF"/>
          </w:tcPr>
          <w:p w14:paraId="0AE28719" w14:textId="77777777"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2F657C0F" w14:textId="77777777" w:rsidR="00D86AFF" w:rsidRDefault="009965BF"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14:paraId="63552B35" w14:textId="40923C8F" w:rsidR="00D86AFF" w:rsidRDefault="009965BF" w:rsidP="004F4E17">
            <w:pPr>
              <w:spacing w:line="240" w:lineRule="auto"/>
              <w:rPr>
                <w:rFonts w:ascii="Times New Roman" w:hAnsi="Times New Roman"/>
                <w:color w:val="000000"/>
              </w:rPr>
            </w:pPr>
            <w:sdt>
              <w:sdtPr>
                <w:rPr>
                  <w:rFonts w:ascii="Times New Roman" w:hAnsi="Times New Roman"/>
                  <w:color w:val="000000"/>
                </w:rPr>
                <w:id w:val="-1774005171"/>
                <w14:checkbox>
                  <w14:checked w14:val="1"/>
                  <w14:checkedState w14:val="2612" w14:font="MS Gothic"/>
                  <w14:uncheckedState w14:val="2610" w14:font="MS Gothic"/>
                </w14:checkbox>
              </w:sdtPr>
              <w:sdtEndPr/>
              <w:sdtContent>
                <w:r w:rsidR="00F055E3">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14:paraId="55676F56" w14:textId="7704638E" w:rsidR="00D86AFF" w:rsidRDefault="009965BF" w:rsidP="004F4E17">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F055E3">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629A6307" w14:textId="77777777" w:rsidTr="00676C8D">
        <w:trPr>
          <w:gridAfter w:val="1"/>
          <w:wAfter w:w="10" w:type="dxa"/>
          <w:trHeight w:val="1245"/>
        </w:trPr>
        <w:tc>
          <w:tcPr>
            <w:tcW w:w="5111" w:type="dxa"/>
            <w:gridSpan w:val="12"/>
            <w:shd w:val="clear" w:color="auto" w:fill="FFFFFF"/>
          </w:tcPr>
          <w:p w14:paraId="04838611" w14:textId="77777777" w:rsidR="001B3460" w:rsidRPr="008B4FE6" w:rsidRDefault="009965BF"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14:paraId="44BAFC56" w14:textId="77777777" w:rsidR="001B3460" w:rsidRPr="008B4FE6" w:rsidRDefault="009965BF"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14:paraId="546F57FE" w14:textId="77777777" w:rsidR="001B3460" w:rsidRDefault="009965BF"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4E8F8290" w14:textId="77777777" w:rsidR="001B3460" w:rsidRPr="008B4FE6" w:rsidRDefault="009965BF"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c>
          <w:tcPr>
            <w:tcW w:w="5826" w:type="dxa"/>
            <w:gridSpan w:val="17"/>
            <w:shd w:val="clear" w:color="auto" w:fill="FFFFFF"/>
          </w:tcPr>
          <w:p w14:paraId="7290BF9A" w14:textId="77777777" w:rsidR="001B3460" w:rsidRPr="008B4FE6" w:rsidRDefault="009965BF"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14:paraId="3613695D" w14:textId="77777777" w:rsidR="001B3460" w:rsidRPr="008B4FE6" w:rsidRDefault="009965BF"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14:paraId="21BDD659" w14:textId="77777777" w:rsidR="001B3460" w:rsidRPr="008B4FE6" w:rsidRDefault="009965BF"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256303ED" w14:textId="48951C66" w:rsidR="001B3460" w:rsidRPr="008B4FE6" w:rsidRDefault="009965BF"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r>
      <w:tr w:rsidR="00BF0DA2" w:rsidRPr="008B4FE6" w14:paraId="643C0EC4" w14:textId="77777777" w:rsidTr="00676C8D">
        <w:trPr>
          <w:gridAfter w:val="1"/>
          <w:wAfter w:w="10" w:type="dxa"/>
          <w:trHeight w:val="870"/>
        </w:trPr>
        <w:tc>
          <w:tcPr>
            <w:tcW w:w="5111" w:type="dxa"/>
            <w:gridSpan w:val="12"/>
            <w:shd w:val="clear" w:color="auto" w:fill="FFFFFF"/>
          </w:tcPr>
          <w:p w14:paraId="57D5EBC4"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44C2B171" w14:textId="77777777" w:rsidR="00BF0DA2" w:rsidRDefault="009965BF"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14:paraId="7C1E23D3" w14:textId="77777777" w:rsidR="00BF0DA2" w:rsidRDefault="009965BF"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14:paraId="67E2008D" w14:textId="3A03EAB4" w:rsidR="00117017" w:rsidRPr="008B4FE6" w:rsidRDefault="009965BF"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F055E3">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tc>
      </w:tr>
      <w:tr w:rsidR="00117017" w:rsidRPr="008B4FE6" w14:paraId="534CF56E" w14:textId="77777777" w:rsidTr="00676C8D">
        <w:trPr>
          <w:gridAfter w:val="1"/>
          <w:wAfter w:w="10" w:type="dxa"/>
          <w:trHeight w:val="630"/>
        </w:trPr>
        <w:tc>
          <w:tcPr>
            <w:tcW w:w="10937" w:type="dxa"/>
            <w:gridSpan w:val="29"/>
            <w:shd w:val="clear" w:color="auto" w:fill="FFFFFF"/>
          </w:tcPr>
          <w:p w14:paraId="6F0F6478" w14:textId="77777777" w:rsidR="00117017" w:rsidRDefault="00117017" w:rsidP="00B37C80">
            <w:pPr>
              <w:spacing w:line="240" w:lineRule="auto"/>
              <w:jc w:val="both"/>
              <w:rPr>
                <w:rFonts w:ascii="Times New Roman" w:hAnsi="Times New Roman"/>
                <w:color w:val="000000"/>
              </w:rPr>
            </w:pPr>
            <w:r>
              <w:rPr>
                <w:rFonts w:ascii="Times New Roman" w:hAnsi="Times New Roman"/>
                <w:color w:val="000000"/>
              </w:rPr>
              <w:t>Komentarz:</w:t>
            </w:r>
          </w:p>
          <w:p w14:paraId="4B31DF36" w14:textId="4D9FC801" w:rsidR="00117017" w:rsidRPr="008B4FE6" w:rsidRDefault="00F055E3" w:rsidP="00F055E3">
            <w:pPr>
              <w:spacing w:after="120" w:line="240" w:lineRule="auto"/>
              <w:jc w:val="both"/>
              <w:rPr>
                <w:rFonts w:ascii="Times New Roman" w:hAnsi="Times New Roman"/>
                <w:color w:val="000000"/>
              </w:rPr>
            </w:pPr>
            <w:r>
              <w:rPr>
                <w:rFonts w:ascii="Times New Roman" w:hAnsi="Times New Roman"/>
                <w:color w:val="000000"/>
              </w:rPr>
              <w:t xml:space="preserve">Przepisy ustawowe </w:t>
            </w:r>
            <w:r w:rsidRPr="00F055E3">
              <w:rPr>
                <w:rFonts w:ascii="Times New Roman" w:hAnsi="Times New Roman"/>
                <w:color w:val="000000"/>
              </w:rPr>
              <w:t>wprowadz</w:t>
            </w:r>
            <w:r>
              <w:rPr>
                <w:rFonts w:ascii="Times New Roman" w:hAnsi="Times New Roman"/>
                <w:color w:val="000000"/>
              </w:rPr>
              <w:t>iły</w:t>
            </w:r>
            <w:r w:rsidRPr="00F055E3">
              <w:rPr>
                <w:rFonts w:ascii="Times New Roman" w:hAnsi="Times New Roman"/>
                <w:color w:val="000000"/>
              </w:rPr>
              <w:t xml:space="preserve"> jedynie obciążenia bezwzględnie wymagane przez dyrektywę </w:t>
            </w:r>
            <w:r w:rsidRPr="00F055E3">
              <w:rPr>
                <w:rFonts w:ascii="Times New Roman" w:hAnsi="Times New Roman"/>
                <w:bCs/>
                <w:color w:val="000000"/>
              </w:rPr>
              <w:t>2018/2002/UE</w:t>
            </w:r>
            <w:r>
              <w:rPr>
                <w:rFonts w:ascii="Times New Roman" w:hAnsi="Times New Roman"/>
                <w:bCs/>
                <w:color w:val="000000"/>
              </w:rPr>
              <w:t xml:space="preserve">, a </w:t>
            </w:r>
            <w:r w:rsidRPr="00F055E3">
              <w:rPr>
                <w:rFonts w:ascii="Times New Roman" w:hAnsi="Times New Roman"/>
                <w:color w:val="000000"/>
              </w:rPr>
              <w:t>przepisy projektowanego rozporządzenia tworzą jedynie ramy techniczne i obliczeniowe dla systemu wprowadzonego ustawą.</w:t>
            </w:r>
          </w:p>
        </w:tc>
      </w:tr>
      <w:tr w:rsidR="001B3460" w:rsidRPr="008B4FE6" w14:paraId="53993E51" w14:textId="77777777" w:rsidTr="00676C8D">
        <w:trPr>
          <w:gridAfter w:val="1"/>
          <w:wAfter w:w="10" w:type="dxa"/>
          <w:trHeight w:val="142"/>
        </w:trPr>
        <w:tc>
          <w:tcPr>
            <w:tcW w:w="10937" w:type="dxa"/>
            <w:gridSpan w:val="29"/>
            <w:shd w:val="clear" w:color="auto" w:fill="99CCFF"/>
          </w:tcPr>
          <w:p w14:paraId="4A705C7F"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2417E561" w14:textId="77777777" w:rsidTr="00676C8D">
        <w:trPr>
          <w:gridAfter w:val="1"/>
          <w:wAfter w:w="10" w:type="dxa"/>
          <w:trHeight w:val="142"/>
        </w:trPr>
        <w:tc>
          <w:tcPr>
            <w:tcW w:w="10937" w:type="dxa"/>
            <w:gridSpan w:val="29"/>
            <w:shd w:val="clear" w:color="auto" w:fill="auto"/>
          </w:tcPr>
          <w:p w14:paraId="35FC1E01" w14:textId="65F3C9CA" w:rsidR="001B3460" w:rsidRPr="008B4FE6" w:rsidRDefault="00B727C5" w:rsidP="00B37C80">
            <w:pPr>
              <w:spacing w:line="240" w:lineRule="auto"/>
              <w:jc w:val="both"/>
              <w:rPr>
                <w:rFonts w:ascii="Times New Roman" w:hAnsi="Times New Roman"/>
                <w:color w:val="000000"/>
              </w:rPr>
            </w:pPr>
            <w:r>
              <w:rPr>
                <w:rFonts w:ascii="Times New Roman" w:hAnsi="Times New Roman"/>
                <w:color w:val="000000"/>
              </w:rPr>
              <w:t>Brak wpływu.</w:t>
            </w:r>
          </w:p>
        </w:tc>
      </w:tr>
      <w:tr w:rsidR="001B3460" w:rsidRPr="008B4FE6" w14:paraId="595222E7" w14:textId="77777777" w:rsidTr="00676C8D">
        <w:trPr>
          <w:gridAfter w:val="1"/>
          <w:wAfter w:w="10" w:type="dxa"/>
          <w:trHeight w:val="142"/>
        </w:trPr>
        <w:tc>
          <w:tcPr>
            <w:tcW w:w="10937" w:type="dxa"/>
            <w:gridSpan w:val="29"/>
            <w:shd w:val="clear" w:color="auto" w:fill="99CCFF"/>
          </w:tcPr>
          <w:p w14:paraId="43C78BFC"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1CD07944" w14:textId="77777777" w:rsidTr="00395AFA">
        <w:trPr>
          <w:gridAfter w:val="1"/>
          <w:wAfter w:w="10" w:type="dxa"/>
          <w:trHeight w:val="857"/>
        </w:trPr>
        <w:tc>
          <w:tcPr>
            <w:tcW w:w="3547" w:type="dxa"/>
            <w:gridSpan w:val="5"/>
            <w:shd w:val="clear" w:color="auto" w:fill="FFFFFF"/>
          </w:tcPr>
          <w:p w14:paraId="2D0CEA18" w14:textId="77777777" w:rsidR="001B3460" w:rsidRPr="008B4FE6" w:rsidRDefault="009965BF"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1"/>
                  <w14:checkedState w14:val="2612" w14:font="MS Gothic"/>
                  <w14:uncheckedState w14:val="2610" w14:font="MS Gothic"/>
                </w14:checkbox>
              </w:sdtPr>
              <w:sdtEndPr/>
              <w:sdtContent>
                <w:r w:rsidR="00B727C5">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14:paraId="637D632C" w14:textId="77777777" w:rsidR="001B3460" w:rsidRDefault="009965BF"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14:paraId="5C5281A0" w14:textId="6C2DA8EF" w:rsidR="001B3460" w:rsidRPr="008B4FE6" w:rsidRDefault="009965BF" w:rsidP="007415D0">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63594F" w:rsidRPr="0063594F">
              <w:rPr>
                <w:rFonts w:ascii="Times New Roman" w:hAnsi="Times New Roman"/>
                <w:color w:val="000000"/>
              </w:rPr>
              <w:t>sądy powszechne, administracyjne lub wojskowe</w:t>
            </w:r>
          </w:p>
        </w:tc>
        <w:tc>
          <w:tcPr>
            <w:tcW w:w="3687" w:type="dxa"/>
            <w:gridSpan w:val="15"/>
            <w:shd w:val="clear" w:color="auto" w:fill="FFFFFF"/>
          </w:tcPr>
          <w:p w14:paraId="13648B5B" w14:textId="77777777" w:rsidR="001B3460" w:rsidRPr="008B4FE6" w:rsidRDefault="009965BF"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14:paraId="458960B2" w14:textId="77777777" w:rsidR="0063594F" w:rsidRDefault="009965BF" w:rsidP="0063594F">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63594F">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p w14:paraId="1342D2D7" w14:textId="424F6F45" w:rsidR="0063594F" w:rsidRPr="008B4FE6" w:rsidRDefault="009965BF" w:rsidP="0063594F">
            <w:pPr>
              <w:spacing w:line="240" w:lineRule="auto"/>
              <w:rPr>
                <w:rFonts w:ascii="Times New Roman" w:hAnsi="Times New Roman"/>
                <w:color w:val="000000"/>
              </w:rPr>
            </w:pPr>
            <w:sdt>
              <w:sdtPr>
                <w:rPr>
                  <w:rFonts w:ascii="Times New Roman" w:hAnsi="Times New Roman"/>
                  <w:color w:val="000000"/>
                  <w:spacing w:val="-2"/>
                </w:rPr>
                <w:id w:val="-2136244945"/>
                <w14:checkbox>
                  <w14:checked w14:val="0"/>
                  <w14:checkedState w14:val="2612" w14:font="MS Gothic"/>
                  <w14:uncheckedState w14:val="2610" w14:font="MS Gothic"/>
                </w14:checkbox>
              </w:sdtPr>
              <w:sdtEndPr/>
              <w:sdtContent>
                <w:r w:rsidR="0063594F">
                  <w:rPr>
                    <w:rFonts w:ascii="MS Gothic" w:eastAsia="MS Gothic" w:hAnsi="MS Gothic" w:hint="eastAsia"/>
                    <w:color w:val="000000"/>
                    <w:spacing w:val="-2"/>
                  </w:rPr>
                  <w:t>☐</w:t>
                </w:r>
              </w:sdtContent>
            </w:sdt>
            <w:r w:rsidR="0063594F" w:rsidRPr="0063594F">
              <w:rPr>
                <w:rFonts w:ascii="Times New Roman" w:hAnsi="Times New Roman"/>
                <w:spacing w:val="-2"/>
              </w:rPr>
              <w:t xml:space="preserve"> inne: …</w:t>
            </w:r>
          </w:p>
        </w:tc>
        <w:tc>
          <w:tcPr>
            <w:tcW w:w="3703" w:type="dxa"/>
            <w:gridSpan w:val="9"/>
            <w:shd w:val="clear" w:color="auto" w:fill="FFFFFF"/>
          </w:tcPr>
          <w:p w14:paraId="49447660" w14:textId="77777777" w:rsidR="001B3460" w:rsidRDefault="009965BF"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14:paraId="627E27F9" w14:textId="77777777" w:rsidR="001B3460" w:rsidRPr="008B4FE6" w:rsidRDefault="009965BF"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1"/>
                  <w14:checkedState w14:val="2612" w14:font="MS Gothic"/>
                  <w14:uncheckedState w14:val="2610" w14:font="MS Gothic"/>
                </w14:checkbox>
              </w:sdtPr>
              <w:sdtEndPr/>
              <w:sdtContent>
                <w:r w:rsidR="00B727C5">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14:paraId="68DD66CE" w14:textId="77777777" w:rsidTr="00676C8D">
        <w:trPr>
          <w:gridAfter w:val="1"/>
          <w:wAfter w:w="10" w:type="dxa"/>
          <w:trHeight w:val="712"/>
        </w:trPr>
        <w:tc>
          <w:tcPr>
            <w:tcW w:w="2243" w:type="dxa"/>
            <w:gridSpan w:val="2"/>
            <w:shd w:val="clear" w:color="auto" w:fill="FFFFFF"/>
            <w:vAlign w:val="center"/>
          </w:tcPr>
          <w:p w14:paraId="04C8D835"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0E442F75" w14:textId="4FC14A2B" w:rsidR="001B3460" w:rsidRPr="008B4FE6" w:rsidRDefault="00B727C5" w:rsidP="00B37C80">
            <w:pPr>
              <w:spacing w:line="240" w:lineRule="auto"/>
              <w:jc w:val="both"/>
              <w:rPr>
                <w:rFonts w:ascii="Times New Roman" w:hAnsi="Times New Roman"/>
                <w:color w:val="000000"/>
                <w:spacing w:val="-2"/>
              </w:rPr>
            </w:pPr>
            <w:r w:rsidRPr="00B727C5">
              <w:rPr>
                <w:rFonts w:ascii="Times New Roman" w:hAnsi="Times New Roman"/>
                <w:color w:val="000000"/>
                <w:spacing w:val="-2"/>
              </w:rPr>
              <w:t>Projektowana regulacja stanowi element zmian ustawowych, które przyczynią się do poprawy stanu środowiska naturalnego i zdrowia dzięki przewidywanej redukcji emisji CO</w:t>
            </w:r>
            <w:r w:rsidRPr="004D070B">
              <w:rPr>
                <w:rFonts w:ascii="Times New Roman" w:hAnsi="Times New Roman"/>
                <w:color w:val="000000"/>
                <w:spacing w:val="-2"/>
                <w:vertAlign w:val="superscript"/>
              </w:rPr>
              <w:t>2</w:t>
            </w:r>
            <w:r w:rsidRPr="00B727C5">
              <w:rPr>
                <w:rFonts w:ascii="Times New Roman" w:hAnsi="Times New Roman"/>
                <w:color w:val="000000"/>
                <w:spacing w:val="-2"/>
              </w:rPr>
              <w:t xml:space="preserve"> na poziomie niemal 128,6 mln</w:t>
            </w:r>
            <w:r>
              <w:rPr>
                <w:rFonts w:ascii="Times New Roman" w:hAnsi="Times New Roman"/>
                <w:color w:val="000000"/>
                <w:spacing w:val="-2"/>
              </w:rPr>
              <w:t xml:space="preserve"> ton</w:t>
            </w:r>
            <w:r w:rsidR="004D070B">
              <w:rPr>
                <w:rFonts w:ascii="Times New Roman" w:hAnsi="Times New Roman"/>
                <w:color w:val="000000"/>
                <w:spacing w:val="-2"/>
              </w:rPr>
              <w:t>.</w:t>
            </w:r>
            <w:r>
              <w:rPr>
                <w:rStyle w:val="Odwoanieprzypisudolnego"/>
                <w:rFonts w:ascii="Times New Roman" w:hAnsi="Times New Roman"/>
                <w:color w:val="000000"/>
                <w:spacing w:val="-2"/>
              </w:rPr>
              <w:footnoteReference w:id="1"/>
            </w:r>
          </w:p>
        </w:tc>
      </w:tr>
      <w:tr w:rsidR="001B3460" w:rsidRPr="008B4FE6" w14:paraId="5EA3682D" w14:textId="77777777" w:rsidTr="00676C8D">
        <w:trPr>
          <w:gridAfter w:val="1"/>
          <w:wAfter w:w="10" w:type="dxa"/>
          <w:trHeight w:val="142"/>
        </w:trPr>
        <w:tc>
          <w:tcPr>
            <w:tcW w:w="10937" w:type="dxa"/>
            <w:gridSpan w:val="29"/>
            <w:shd w:val="clear" w:color="auto" w:fill="99CCFF"/>
          </w:tcPr>
          <w:p w14:paraId="10BDDBBC"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3985ABFD" w14:textId="77777777" w:rsidTr="00676C8D">
        <w:trPr>
          <w:gridAfter w:val="1"/>
          <w:wAfter w:w="10" w:type="dxa"/>
          <w:trHeight w:val="142"/>
        </w:trPr>
        <w:tc>
          <w:tcPr>
            <w:tcW w:w="10937" w:type="dxa"/>
            <w:gridSpan w:val="29"/>
            <w:shd w:val="clear" w:color="auto" w:fill="FFFFFF"/>
          </w:tcPr>
          <w:p w14:paraId="2D6FEA8B" w14:textId="559909E6" w:rsidR="001B3460" w:rsidRPr="00B37C80" w:rsidRDefault="00B727C5" w:rsidP="00B37C80">
            <w:pPr>
              <w:spacing w:line="240" w:lineRule="auto"/>
              <w:jc w:val="both"/>
              <w:rPr>
                <w:rFonts w:ascii="Times New Roman" w:hAnsi="Times New Roman"/>
                <w:spacing w:val="-2"/>
              </w:rPr>
            </w:pPr>
            <w:r w:rsidRPr="00B727C5">
              <w:rPr>
                <w:rFonts w:ascii="Times New Roman" w:hAnsi="Times New Roman"/>
                <w:spacing w:val="-2"/>
              </w:rPr>
              <w:t>Wraz z wejściem w życie przepisów rozporządzenia.</w:t>
            </w:r>
          </w:p>
        </w:tc>
      </w:tr>
      <w:tr w:rsidR="001B3460" w:rsidRPr="008B4FE6" w14:paraId="753180BC" w14:textId="77777777" w:rsidTr="00676C8D">
        <w:trPr>
          <w:gridAfter w:val="1"/>
          <w:wAfter w:w="10" w:type="dxa"/>
          <w:trHeight w:val="142"/>
        </w:trPr>
        <w:tc>
          <w:tcPr>
            <w:tcW w:w="10937" w:type="dxa"/>
            <w:gridSpan w:val="29"/>
            <w:shd w:val="clear" w:color="auto" w:fill="99CCFF"/>
          </w:tcPr>
          <w:p w14:paraId="5823EC6A"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2802D8FA" w14:textId="77777777" w:rsidTr="00676C8D">
        <w:trPr>
          <w:gridAfter w:val="1"/>
          <w:wAfter w:w="10" w:type="dxa"/>
          <w:trHeight w:val="142"/>
        </w:trPr>
        <w:tc>
          <w:tcPr>
            <w:tcW w:w="10937" w:type="dxa"/>
            <w:gridSpan w:val="29"/>
            <w:shd w:val="clear" w:color="auto" w:fill="FFFFFF"/>
          </w:tcPr>
          <w:p w14:paraId="495DA153" w14:textId="67D2015D" w:rsidR="001B3460" w:rsidRPr="00B37C80" w:rsidRDefault="00B727C5" w:rsidP="00D4455F">
            <w:pPr>
              <w:spacing w:line="240" w:lineRule="auto"/>
              <w:jc w:val="both"/>
              <w:rPr>
                <w:rFonts w:ascii="Times New Roman" w:hAnsi="Times New Roman"/>
                <w:color w:val="000000"/>
                <w:spacing w:val="-2"/>
              </w:rPr>
            </w:pPr>
            <w:r w:rsidRPr="00B727C5">
              <w:rPr>
                <w:rFonts w:ascii="Times New Roman" w:hAnsi="Times New Roman"/>
                <w:color w:val="000000"/>
                <w:spacing w:val="-2"/>
              </w:rPr>
              <w:t>Ustawa, będąca podstawą prawną do wydania przedmiotowego rozporządzenia, ma na celu wdrożenie dyrektywy 2018/2002/UE w sprawie efektywności energetycznej. Zgodnie z tą dyrektywą państwa członkowskie są zobowiązane do raportowania realizacji celu w zakresie efektywności energetycznej na rok 2030. Ocena efektów będzie dokonywana w ramach sprawozda</w:t>
            </w:r>
            <w:r w:rsidR="007B4065">
              <w:rPr>
                <w:rFonts w:ascii="Times New Roman" w:hAnsi="Times New Roman"/>
                <w:color w:val="000000"/>
                <w:spacing w:val="-2"/>
              </w:rPr>
              <w:t>ń z realizacji</w:t>
            </w:r>
            <w:r w:rsidRPr="00B727C5">
              <w:rPr>
                <w:rFonts w:ascii="Times New Roman" w:hAnsi="Times New Roman"/>
                <w:color w:val="000000"/>
                <w:spacing w:val="-2"/>
              </w:rPr>
              <w:t xml:space="preserve"> Krajow</w:t>
            </w:r>
            <w:r w:rsidR="007B4065">
              <w:rPr>
                <w:rFonts w:ascii="Times New Roman" w:hAnsi="Times New Roman"/>
                <w:color w:val="000000"/>
                <w:spacing w:val="-2"/>
              </w:rPr>
              <w:t>ego</w:t>
            </w:r>
            <w:r w:rsidRPr="00B727C5">
              <w:rPr>
                <w:rFonts w:ascii="Times New Roman" w:hAnsi="Times New Roman"/>
                <w:color w:val="000000"/>
                <w:spacing w:val="-2"/>
              </w:rPr>
              <w:t xml:space="preserve"> </w:t>
            </w:r>
            <w:r w:rsidR="007B4065">
              <w:rPr>
                <w:rFonts w:ascii="Times New Roman" w:hAnsi="Times New Roman"/>
                <w:color w:val="000000"/>
                <w:spacing w:val="-2"/>
              </w:rPr>
              <w:t>p</w:t>
            </w:r>
            <w:r w:rsidRPr="00B727C5">
              <w:rPr>
                <w:rFonts w:ascii="Times New Roman" w:hAnsi="Times New Roman"/>
                <w:color w:val="000000"/>
                <w:spacing w:val="-2"/>
              </w:rPr>
              <w:t>lan</w:t>
            </w:r>
            <w:r w:rsidR="007B4065">
              <w:rPr>
                <w:rFonts w:ascii="Times New Roman" w:hAnsi="Times New Roman"/>
                <w:color w:val="000000"/>
                <w:spacing w:val="-2"/>
              </w:rPr>
              <w:t>u</w:t>
            </w:r>
            <w:r w:rsidRPr="00B727C5">
              <w:rPr>
                <w:rFonts w:ascii="Times New Roman" w:hAnsi="Times New Roman"/>
                <w:color w:val="000000"/>
                <w:spacing w:val="-2"/>
              </w:rPr>
              <w:t xml:space="preserve"> na rzecz </w:t>
            </w:r>
            <w:r w:rsidR="007B4065">
              <w:rPr>
                <w:rFonts w:ascii="Times New Roman" w:hAnsi="Times New Roman"/>
                <w:color w:val="000000"/>
                <w:spacing w:val="-2"/>
              </w:rPr>
              <w:t>e</w:t>
            </w:r>
            <w:r w:rsidRPr="00B727C5">
              <w:rPr>
                <w:rFonts w:ascii="Times New Roman" w:hAnsi="Times New Roman"/>
                <w:color w:val="000000"/>
                <w:spacing w:val="-2"/>
              </w:rPr>
              <w:t xml:space="preserve">nergii i </w:t>
            </w:r>
            <w:r w:rsidR="007B4065">
              <w:rPr>
                <w:rFonts w:ascii="Times New Roman" w:hAnsi="Times New Roman"/>
                <w:color w:val="000000"/>
                <w:spacing w:val="-2"/>
              </w:rPr>
              <w:t>k</w:t>
            </w:r>
            <w:r w:rsidRPr="00B727C5">
              <w:rPr>
                <w:rFonts w:ascii="Times New Roman" w:hAnsi="Times New Roman"/>
                <w:color w:val="000000"/>
                <w:spacing w:val="-2"/>
              </w:rPr>
              <w:t>limatu</w:t>
            </w:r>
            <w:r w:rsidR="007B4065">
              <w:rPr>
                <w:rFonts w:ascii="Times New Roman" w:hAnsi="Times New Roman"/>
                <w:color w:val="000000"/>
                <w:spacing w:val="-2"/>
              </w:rPr>
              <w:t xml:space="preserve"> na lata 2021-2030</w:t>
            </w:r>
            <w:r w:rsidRPr="00B727C5">
              <w:rPr>
                <w:rFonts w:ascii="Times New Roman" w:hAnsi="Times New Roman"/>
                <w:color w:val="000000"/>
                <w:spacing w:val="-2"/>
              </w:rPr>
              <w:t>. Biorąc pod uwagę powyższe oraz specyfikę projektu rozporządzenia w ocenie Ministerstwa Klimatu i Środowiska nie ma potrzeby dokonywania dodatkowej ewaluacji efektów projektowanej regulacji.</w:t>
            </w:r>
          </w:p>
        </w:tc>
      </w:tr>
      <w:tr w:rsidR="001B3460" w:rsidRPr="008B4FE6" w14:paraId="1C719611" w14:textId="77777777" w:rsidTr="00676C8D">
        <w:trPr>
          <w:gridAfter w:val="1"/>
          <w:wAfter w:w="10" w:type="dxa"/>
          <w:trHeight w:val="142"/>
        </w:trPr>
        <w:tc>
          <w:tcPr>
            <w:tcW w:w="10937" w:type="dxa"/>
            <w:gridSpan w:val="29"/>
            <w:shd w:val="clear" w:color="auto" w:fill="99CCFF"/>
          </w:tcPr>
          <w:p w14:paraId="104AB0E9"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0944FFCA" w14:textId="77777777" w:rsidTr="00676C8D">
        <w:trPr>
          <w:gridAfter w:val="1"/>
          <w:wAfter w:w="10" w:type="dxa"/>
          <w:trHeight w:val="142"/>
        </w:trPr>
        <w:tc>
          <w:tcPr>
            <w:tcW w:w="10937" w:type="dxa"/>
            <w:gridSpan w:val="29"/>
            <w:shd w:val="clear" w:color="auto" w:fill="FFFFFF"/>
          </w:tcPr>
          <w:p w14:paraId="0330FC20" w14:textId="3DF07BCB" w:rsidR="001B3460" w:rsidRPr="00B37C80" w:rsidRDefault="00B727C5" w:rsidP="00395AFA">
            <w:pPr>
              <w:spacing w:after="120" w:line="240" w:lineRule="auto"/>
              <w:jc w:val="both"/>
              <w:rPr>
                <w:rFonts w:ascii="Times New Roman" w:hAnsi="Times New Roman"/>
                <w:color w:val="000000"/>
                <w:spacing w:val="-2"/>
              </w:rPr>
            </w:pPr>
            <w:r w:rsidRPr="00B727C5">
              <w:rPr>
                <w:rFonts w:ascii="Times New Roman" w:hAnsi="Times New Roman"/>
                <w:color w:val="000000"/>
                <w:spacing w:val="-2"/>
              </w:rPr>
              <w:t>Nie dotyczy</w:t>
            </w:r>
            <w:r w:rsidR="00D4455F">
              <w:rPr>
                <w:rFonts w:ascii="Times New Roman" w:hAnsi="Times New Roman"/>
                <w:color w:val="000000"/>
                <w:spacing w:val="-2"/>
              </w:rPr>
              <w:t>.</w:t>
            </w:r>
          </w:p>
        </w:tc>
      </w:tr>
    </w:tbl>
    <w:p w14:paraId="3715A9A6" w14:textId="77777777" w:rsidR="006176ED" w:rsidRPr="00522D94" w:rsidRDefault="006176ED" w:rsidP="005E5C2A">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3DCB" w14:textId="77777777" w:rsidR="009965BF" w:rsidRDefault="009965BF" w:rsidP="00044739">
      <w:pPr>
        <w:spacing w:line="240" w:lineRule="auto"/>
      </w:pPr>
      <w:r>
        <w:separator/>
      </w:r>
    </w:p>
  </w:endnote>
  <w:endnote w:type="continuationSeparator" w:id="0">
    <w:p w14:paraId="7F776B9A" w14:textId="77777777" w:rsidR="009965BF" w:rsidRDefault="009965BF"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155B" w14:textId="77777777" w:rsidR="009965BF" w:rsidRDefault="009965BF" w:rsidP="00044739">
      <w:pPr>
        <w:spacing w:line="240" w:lineRule="auto"/>
      </w:pPr>
      <w:r>
        <w:separator/>
      </w:r>
    </w:p>
  </w:footnote>
  <w:footnote w:type="continuationSeparator" w:id="0">
    <w:p w14:paraId="19C792F3" w14:textId="77777777" w:rsidR="009965BF" w:rsidRDefault="009965BF" w:rsidP="00044739">
      <w:pPr>
        <w:spacing w:line="240" w:lineRule="auto"/>
      </w:pPr>
      <w:r>
        <w:continuationSeparator/>
      </w:r>
    </w:p>
  </w:footnote>
  <w:footnote w:id="1">
    <w:p w14:paraId="15F7AB2A" w14:textId="77777777" w:rsidR="00881DCB" w:rsidRPr="00395AFA" w:rsidRDefault="00881DCB">
      <w:pPr>
        <w:pStyle w:val="Tekstprzypisudolnego"/>
        <w:rPr>
          <w:rFonts w:ascii="Times New Roman" w:hAnsi="Times New Roman"/>
        </w:rPr>
      </w:pPr>
      <w:r w:rsidRPr="00395AFA">
        <w:rPr>
          <w:rStyle w:val="Odwoanieprzypisudolnego"/>
          <w:rFonts w:ascii="Times New Roman" w:hAnsi="Times New Roman"/>
        </w:rPr>
        <w:footnoteRef/>
      </w:r>
      <w:r w:rsidRPr="00395AFA">
        <w:rPr>
          <w:rFonts w:ascii="Times New Roman" w:hAnsi="Times New Roman"/>
        </w:rPr>
        <w:t xml:space="preserve"> Szczegółowe szacunki zawarte są w Ocenie Skutków Regulacji projektu ustawy o zmianie ustawy o efektywności energetycznej oraz niektórych innych ustaw.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D46C9"/>
    <w:multiLevelType w:val="hybridMultilevel"/>
    <w:tmpl w:val="A9B4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F3124F"/>
    <w:multiLevelType w:val="hybridMultilevel"/>
    <w:tmpl w:val="99C8F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57248BE"/>
    <w:multiLevelType w:val="hybridMultilevel"/>
    <w:tmpl w:val="B5EA7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E13D6"/>
    <w:multiLevelType w:val="hybridMultilevel"/>
    <w:tmpl w:val="35E8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4"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0855EE4"/>
    <w:multiLevelType w:val="hybridMultilevel"/>
    <w:tmpl w:val="457AC974"/>
    <w:lvl w:ilvl="0" w:tplc="F864B376">
      <w:start w:val="1"/>
      <w:numFmt w:val="bullet"/>
      <w:pStyle w:val="lista"/>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15:restartNumberingAfterBreak="0">
    <w:nsid w:val="6D507439"/>
    <w:multiLevelType w:val="hybridMultilevel"/>
    <w:tmpl w:val="FFF26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2"/>
  </w:num>
  <w:num w:numId="4">
    <w:abstractNumId w:val="22"/>
  </w:num>
  <w:num w:numId="5">
    <w:abstractNumId w:val="2"/>
  </w:num>
  <w:num w:numId="6">
    <w:abstractNumId w:val="10"/>
  </w:num>
  <w:num w:numId="7">
    <w:abstractNumId w:val="16"/>
  </w:num>
  <w:num w:numId="8">
    <w:abstractNumId w:val="5"/>
  </w:num>
  <w:num w:numId="9">
    <w:abstractNumId w:val="18"/>
  </w:num>
  <w:num w:numId="10">
    <w:abstractNumId w:val="14"/>
  </w:num>
  <w:num w:numId="11">
    <w:abstractNumId w:val="17"/>
  </w:num>
  <w:num w:numId="12">
    <w:abstractNumId w:val="3"/>
  </w:num>
  <w:num w:numId="13">
    <w:abstractNumId w:val="13"/>
  </w:num>
  <w:num w:numId="14">
    <w:abstractNumId w:val="23"/>
  </w:num>
  <w:num w:numId="15">
    <w:abstractNumId w:val="19"/>
  </w:num>
  <w:num w:numId="16">
    <w:abstractNumId w:val="21"/>
  </w:num>
  <w:num w:numId="17">
    <w:abstractNumId w:val="6"/>
  </w:num>
  <w:num w:numId="18">
    <w:abstractNumId w:val="25"/>
  </w:num>
  <w:num w:numId="19">
    <w:abstractNumId w:val="26"/>
  </w:num>
  <w:num w:numId="20">
    <w:abstractNumId w:val="20"/>
  </w:num>
  <w:num w:numId="21">
    <w:abstractNumId w:val="8"/>
  </w:num>
  <w:num w:numId="22">
    <w:abstractNumId w:val="9"/>
  </w:num>
  <w:num w:numId="23">
    <w:abstractNumId w:val="24"/>
  </w:num>
  <w:num w:numId="24">
    <w:abstractNumId w:val="1"/>
  </w:num>
  <w:num w:numId="25">
    <w:abstractNumId w:val="11"/>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12D11"/>
    <w:rsid w:val="00013EB5"/>
    <w:rsid w:val="00023836"/>
    <w:rsid w:val="000356A9"/>
    <w:rsid w:val="00044138"/>
    <w:rsid w:val="00044739"/>
    <w:rsid w:val="00051637"/>
    <w:rsid w:val="00056681"/>
    <w:rsid w:val="000648A7"/>
    <w:rsid w:val="0006618B"/>
    <w:rsid w:val="000670C0"/>
    <w:rsid w:val="00071B99"/>
    <w:rsid w:val="000756E5"/>
    <w:rsid w:val="0007704E"/>
    <w:rsid w:val="00080EC8"/>
    <w:rsid w:val="0008388C"/>
    <w:rsid w:val="000944AC"/>
    <w:rsid w:val="00094CB9"/>
    <w:rsid w:val="000956B2"/>
    <w:rsid w:val="000969E7"/>
    <w:rsid w:val="000A23DE"/>
    <w:rsid w:val="000A4020"/>
    <w:rsid w:val="000B54FB"/>
    <w:rsid w:val="000C29B0"/>
    <w:rsid w:val="000C76FC"/>
    <w:rsid w:val="000D38FC"/>
    <w:rsid w:val="000D4D90"/>
    <w:rsid w:val="000E2D10"/>
    <w:rsid w:val="000F3204"/>
    <w:rsid w:val="0010548B"/>
    <w:rsid w:val="001072D1"/>
    <w:rsid w:val="00117017"/>
    <w:rsid w:val="00130E8E"/>
    <w:rsid w:val="0013216E"/>
    <w:rsid w:val="001401B5"/>
    <w:rsid w:val="001422B9"/>
    <w:rsid w:val="0014665F"/>
    <w:rsid w:val="001518CF"/>
    <w:rsid w:val="00153464"/>
    <w:rsid w:val="001541B3"/>
    <w:rsid w:val="00155B15"/>
    <w:rsid w:val="001625BE"/>
    <w:rsid w:val="001643A4"/>
    <w:rsid w:val="00165303"/>
    <w:rsid w:val="001727BB"/>
    <w:rsid w:val="00180D25"/>
    <w:rsid w:val="0018318D"/>
    <w:rsid w:val="0018572C"/>
    <w:rsid w:val="00186EAC"/>
    <w:rsid w:val="00187E79"/>
    <w:rsid w:val="00187F0D"/>
    <w:rsid w:val="00192CC5"/>
    <w:rsid w:val="001956A7"/>
    <w:rsid w:val="001A118A"/>
    <w:rsid w:val="001A27F4"/>
    <w:rsid w:val="001A2D95"/>
    <w:rsid w:val="001B3460"/>
    <w:rsid w:val="001B4CA1"/>
    <w:rsid w:val="001B75D8"/>
    <w:rsid w:val="001C1060"/>
    <w:rsid w:val="001C3C63"/>
    <w:rsid w:val="001C63EF"/>
    <w:rsid w:val="001D4732"/>
    <w:rsid w:val="001D6A3C"/>
    <w:rsid w:val="001D6D51"/>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377AC"/>
    <w:rsid w:val="00254DED"/>
    <w:rsid w:val="00255619"/>
    <w:rsid w:val="00255DAD"/>
    <w:rsid w:val="00256108"/>
    <w:rsid w:val="00260F33"/>
    <w:rsid w:val="002613BD"/>
    <w:rsid w:val="002624F1"/>
    <w:rsid w:val="00270C81"/>
    <w:rsid w:val="00271558"/>
    <w:rsid w:val="00274862"/>
    <w:rsid w:val="00274A1A"/>
    <w:rsid w:val="00282D72"/>
    <w:rsid w:val="00283402"/>
    <w:rsid w:val="00290A6C"/>
    <w:rsid w:val="00290FD6"/>
    <w:rsid w:val="00294259"/>
    <w:rsid w:val="002A2C81"/>
    <w:rsid w:val="002B3D1A"/>
    <w:rsid w:val="002C27D0"/>
    <w:rsid w:val="002C2C9B"/>
    <w:rsid w:val="002D17D6"/>
    <w:rsid w:val="002D18D7"/>
    <w:rsid w:val="002D21CE"/>
    <w:rsid w:val="002E3DA3"/>
    <w:rsid w:val="002E450F"/>
    <w:rsid w:val="002E6B38"/>
    <w:rsid w:val="002E6D63"/>
    <w:rsid w:val="002E6E2B"/>
    <w:rsid w:val="002F500B"/>
    <w:rsid w:val="00300991"/>
    <w:rsid w:val="00301959"/>
    <w:rsid w:val="00305B8A"/>
    <w:rsid w:val="003168C0"/>
    <w:rsid w:val="00323C0C"/>
    <w:rsid w:val="00331BF9"/>
    <w:rsid w:val="0033495E"/>
    <w:rsid w:val="00334A79"/>
    <w:rsid w:val="00334D8D"/>
    <w:rsid w:val="00337345"/>
    <w:rsid w:val="00337DD2"/>
    <w:rsid w:val="003404D1"/>
    <w:rsid w:val="003443FF"/>
    <w:rsid w:val="00355808"/>
    <w:rsid w:val="00356FF5"/>
    <w:rsid w:val="00362C7E"/>
    <w:rsid w:val="00363309"/>
    <w:rsid w:val="00363601"/>
    <w:rsid w:val="00371857"/>
    <w:rsid w:val="00373888"/>
    <w:rsid w:val="00374715"/>
    <w:rsid w:val="00376AC9"/>
    <w:rsid w:val="00393032"/>
    <w:rsid w:val="00394B69"/>
    <w:rsid w:val="00395AFA"/>
    <w:rsid w:val="00397078"/>
    <w:rsid w:val="003A6953"/>
    <w:rsid w:val="003B6083"/>
    <w:rsid w:val="003C3838"/>
    <w:rsid w:val="003C5847"/>
    <w:rsid w:val="003D0681"/>
    <w:rsid w:val="003D12F6"/>
    <w:rsid w:val="003D1426"/>
    <w:rsid w:val="003E2F4E"/>
    <w:rsid w:val="003E720A"/>
    <w:rsid w:val="00403E6E"/>
    <w:rsid w:val="004129B4"/>
    <w:rsid w:val="00417EF0"/>
    <w:rsid w:val="00422181"/>
    <w:rsid w:val="004244A8"/>
    <w:rsid w:val="00425F72"/>
    <w:rsid w:val="00427736"/>
    <w:rsid w:val="00441787"/>
    <w:rsid w:val="00444F2D"/>
    <w:rsid w:val="00452034"/>
    <w:rsid w:val="00455FA6"/>
    <w:rsid w:val="00466C70"/>
    <w:rsid w:val="004702C9"/>
    <w:rsid w:val="00472E45"/>
    <w:rsid w:val="00473FEA"/>
    <w:rsid w:val="0047579D"/>
    <w:rsid w:val="00483262"/>
    <w:rsid w:val="00484107"/>
    <w:rsid w:val="00485CC5"/>
    <w:rsid w:val="0049343F"/>
    <w:rsid w:val="004964FC"/>
    <w:rsid w:val="004A145E"/>
    <w:rsid w:val="004A1F15"/>
    <w:rsid w:val="004A2A81"/>
    <w:rsid w:val="004A7BD7"/>
    <w:rsid w:val="004B2C8C"/>
    <w:rsid w:val="004C11FF"/>
    <w:rsid w:val="004C15C2"/>
    <w:rsid w:val="004C36D8"/>
    <w:rsid w:val="004D06C1"/>
    <w:rsid w:val="004D070B"/>
    <w:rsid w:val="004D1248"/>
    <w:rsid w:val="004D1E3C"/>
    <w:rsid w:val="004D4169"/>
    <w:rsid w:val="004D6E14"/>
    <w:rsid w:val="004F0575"/>
    <w:rsid w:val="004F4E17"/>
    <w:rsid w:val="0050082F"/>
    <w:rsid w:val="00500C56"/>
    <w:rsid w:val="00501713"/>
    <w:rsid w:val="00506568"/>
    <w:rsid w:val="0051551B"/>
    <w:rsid w:val="00520C57"/>
    <w:rsid w:val="00522D94"/>
    <w:rsid w:val="00523EB1"/>
    <w:rsid w:val="00533D89"/>
    <w:rsid w:val="00536564"/>
    <w:rsid w:val="00544597"/>
    <w:rsid w:val="00544FFE"/>
    <w:rsid w:val="00547040"/>
    <w:rsid w:val="005473F5"/>
    <w:rsid w:val="005477E7"/>
    <w:rsid w:val="00552794"/>
    <w:rsid w:val="00555EB6"/>
    <w:rsid w:val="00563199"/>
    <w:rsid w:val="00564874"/>
    <w:rsid w:val="00564BE5"/>
    <w:rsid w:val="00567963"/>
    <w:rsid w:val="0057009A"/>
    <w:rsid w:val="00571260"/>
    <w:rsid w:val="0057189C"/>
    <w:rsid w:val="00573FC1"/>
    <w:rsid w:val="005741EE"/>
    <w:rsid w:val="005750E0"/>
    <w:rsid w:val="0057668E"/>
    <w:rsid w:val="00595E83"/>
    <w:rsid w:val="00596530"/>
    <w:rsid w:val="005967F3"/>
    <w:rsid w:val="005A06DF"/>
    <w:rsid w:val="005A5527"/>
    <w:rsid w:val="005A5AE6"/>
    <w:rsid w:val="005B1206"/>
    <w:rsid w:val="005B37E8"/>
    <w:rsid w:val="005C0056"/>
    <w:rsid w:val="005D61D6"/>
    <w:rsid w:val="005E0D13"/>
    <w:rsid w:val="005E5047"/>
    <w:rsid w:val="005E5C2A"/>
    <w:rsid w:val="005E7205"/>
    <w:rsid w:val="005E7371"/>
    <w:rsid w:val="005F116C"/>
    <w:rsid w:val="005F2131"/>
    <w:rsid w:val="00605EF6"/>
    <w:rsid w:val="00606455"/>
    <w:rsid w:val="00614929"/>
    <w:rsid w:val="00616511"/>
    <w:rsid w:val="006176ED"/>
    <w:rsid w:val="006202F3"/>
    <w:rsid w:val="0062097A"/>
    <w:rsid w:val="00621DA6"/>
    <w:rsid w:val="00623CFE"/>
    <w:rsid w:val="00627221"/>
    <w:rsid w:val="00627EE8"/>
    <w:rsid w:val="006316FA"/>
    <w:rsid w:val="0063275A"/>
    <w:rsid w:val="0063594F"/>
    <w:rsid w:val="006370D2"/>
    <w:rsid w:val="0064074F"/>
    <w:rsid w:val="00641F55"/>
    <w:rsid w:val="00645E4A"/>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B1F71"/>
    <w:rsid w:val="006B64DC"/>
    <w:rsid w:val="006B7A91"/>
    <w:rsid w:val="006D4704"/>
    <w:rsid w:val="006D6A2D"/>
    <w:rsid w:val="006E1E18"/>
    <w:rsid w:val="006E31CE"/>
    <w:rsid w:val="006E34D3"/>
    <w:rsid w:val="006F1435"/>
    <w:rsid w:val="006F78C4"/>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15D0"/>
    <w:rsid w:val="00744BF9"/>
    <w:rsid w:val="00752623"/>
    <w:rsid w:val="00754C1A"/>
    <w:rsid w:val="00760F1F"/>
    <w:rsid w:val="0076423E"/>
    <w:rsid w:val="007646CB"/>
    <w:rsid w:val="0076658F"/>
    <w:rsid w:val="0077040A"/>
    <w:rsid w:val="00772D64"/>
    <w:rsid w:val="00792609"/>
    <w:rsid w:val="00792887"/>
    <w:rsid w:val="007943E2"/>
    <w:rsid w:val="00794F2C"/>
    <w:rsid w:val="007A3BC7"/>
    <w:rsid w:val="007A5AC4"/>
    <w:rsid w:val="007B0FDD"/>
    <w:rsid w:val="007B1EE7"/>
    <w:rsid w:val="007B4065"/>
    <w:rsid w:val="007B4802"/>
    <w:rsid w:val="007B6668"/>
    <w:rsid w:val="007B6B33"/>
    <w:rsid w:val="007C2701"/>
    <w:rsid w:val="007D2192"/>
    <w:rsid w:val="007D55FB"/>
    <w:rsid w:val="007F0021"/>
    <w:rsid w:val="007F2F52"/>
    <w:rsid w:val="007F677E"/>
    <w:rsid w:val="00801F71"/>
    <w:rsid w:val="008059FE"/>
    <w:rsid w:val="00805F28"/>
    <w:rsid w:val="0080749F"/>
    <w:rsid w:val="00811D46"/>
    <w:rsid w:val="008125B0"/>
    <w:rsid w:val="008144CB"/>
    <w:rsid w:val="00821717"/>
    <w:rsid w:val="00824210"/>
    <w:rsid w:val="008263C0"/>
    <w:rsid w:val="00841422"/>
    <w:rsid w:val="00841D3B"/>
    <w:rsid w:val="0084314C"/>
    <w:rsid w:val="00843171"/>
    <w:rsid w:val="00856799"/>
    <w:rsid w:val="008575C3"/>
    <w:rsid w:val="00863D28"/>
    <w:rsid w:val="008648C3"/>
    <w:rsid w:val="00864BA4"/>
    <w:rsid w:val="00880F26"/>
    <w:rsid w:val="00881DCB"/>
    <w:rsid w:val="00896C2E"/>
    <w:rsid w:val="008A5095"/>
    <w:rsid w:val="008A608F"/>
    <w:rsid w:val="008B01B1"/>
    <w:rsid w:val="008B1A9A"/>
    <w:rsid w:val="008B4FE6"/>
    <w:rsid w:val="008B6C37"/>
    <w:rsid w:val="008E1226"/>
    <w:rsid w:val="008E18F7"/>
    <w:rsid w:val="008E1E10"/>
    <w:rsid w:val="008E291B"/>
    <w:rsid w:val="008E4F2F"/>
    <w:rsid w:val="008E74B0"/>
    <w:rsid w:val="008F505D"/>
    <w:rsid w:val="009008A8"/>
    <w:rsid w:val="009063B0"/>
    <w:rsid w:val="00907106"/>
    <w:rsid w:val="009107FD"/>
    <w:rsid w:val="0091131A"/>
    <w:rsid w:val="0091137C"/>
    <w:rsid w:val="00911567"/>
    <w:rsid w:val="00917AAE"/>
    <w:rsid w:val="009251A9"/>
    <w:rsid w:val="00930699"/>
    <w:rsid w:val="00931F69"/>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5BF"/>
    <w:rsid w:val="00996F0A"/>
    <w:rsid w:val="009A0658"/>
    <w:rsid w:val="009A1D86"/>
    <w:rsid w:val="009B049C"/>
    <w:rsid w:val="009B11C8"/>
    <w:rsid w:val="009B2BCF"/>
    <w:rsid w:val="009B2FF8"/>
    <w:rsid w:val="009B4322"/>
    <w:rsid w:val="009B5BA3"/>
    <w:rsid w:val="009D0027"/>
    <w:rsid w:val="009D0655"/>
    <w:rsid w:val="009E1E98"/>
    <w:rsid w:val="009E3ABE"/>
    <w:rsid w:val="009E3C4B"/>
    <w:rsid w:val="009F0637"/>
    <w:rsid w:val="009F51BE"/>
    <w:rsid w:val="009F62A6"/>
    <w:rsid w:val="009F674F"/>
    <w:rsid w:val="009F799E"/>
    <w:rsid w:val="00A02020"/>
    <w:rsid w:val="00A056CB"/>
    <w:rsid w:val="00A07A29"/>
    <w:rsid w:val="00A10FF1"/>
    <w:rsid w:val="00A1506B"/>
    <w:rsid w:val="00A17CB2"/>
    <w:rsid w:val="00A23191"/>
    <w:rsid w:val="00A319C0"/>
    <w:rsid w:val="00A33560"/>
    <w:rsid w:val="00A356E2"/>
    <w:rsid w:val="00A364E4"/>
    <w:rsid w:val="00A371A5"/>
    <w:rsid w:val="00A45CA1"/>
    <w:rsid w:val="00A47BDF"/>
    <w:rsid w:val="00A51CD7"/>
    <w:rsid w:val="00A52ADB"/>
    <w:rsid w:val="00A533E8"/>
    <w:rsid w:val="00A542D9"/>
    <w:rsid w:val="00A56E64"/>
    <w:rsid w:val="00A624C3"/>
    <w:rsid w:val="00A6610C"/>
    <w:rsid w:val="00A6641C"/>
    <w:rsid w:val="00A767D2"/>
    <w:rsid w:val="00A77616"/>
    <w:rsid w:val="00A805DA"/>
    <w:rsid w:val="00A811B4"/>
    <w:rsid w:val="00A87CDE"/>
    <w:rsid w:val="00A92BAF"/>
    <w:rsid w:val="00A94737"/>
    <w:rsid w:val="00A94BA3"/>
    <w:rsid w:val="00A96CBA"/>
    <w:rsid w:val="00AB1ACD"/>
    <w:rsid w:val="00AB277F"/>
    <w:rsid w:val="00AB4099"/>
    <w:rsid w:val="00AB449A"/>
    <w:rsid w:val="00AD14F9"/>
    <w:rsid w:val="00AD35D6"/>
    <w:rsid w:val="00AD58C5"/>
    <w:rsid w:val="00AE2F5E"/>
    <w:rsid w:val="00AE36C4"/>
    <w:rsid w:val="00AE472C"/>
    <w:rsid w:val="00AE5375"/>
    <w:rsid w:val="00AE6CF8"/>
    <w:rsid w:val="00AF4CAC"/>
    <w:rsid w:val="00B03E0D"/>
    <w:rsid w:val="00B054F8"/>
    <w:rsid w:val="00B2219A"/>
    <w:rsid w:val="00B25211"/>
    <w:rsid w:val="00B3581B"/>
    <w:rsid w:val="00B36B81"/>
    <w:rsid w:val="00B36FEE"/>
    <w:rsid w:val="00B37C80"/>
    <w:rsid w:val="00B449B6"/>
    <w:rsid w:val="00B5092B"/>
    <w:rsid w:val="00B5194E"/>
    <w:rsid w:val="00B51AF5"/>
    <w:rsid w:val="00B52329"/>
    <w:rsid w:val="00B531FC"/>
    <w:rsid w:val="00B55347"/>
    <w:rsid w:val="00B57E5E"/>
    <w:rsid w:val="00B61F37"/>
    <w:rsid w:val="00B727C5"/>
    <w:rsid w:val="00B7770F"/>
    <w:rsid w:val="00B77A89"/>
    <w:rsid w:val="00B77B27"/>
    <w:rsid w:val="00B8134E"/>
    <w:rsid w:val="00B81B55"/>
    <w:rsid w:val="00B84613"/>
    <w:rsid w:val="00B87365"/>
    <w:rsid w:val="00B87AF0"/>
    <w:rsid w:val="00B9037B"/>
    <w:rsid w:val="00B910BD"/>
    <w:rsid w:val="00B9189C"/>
    <w:rsid w:val="00B93834"/>
    <w:rsid w:val="00B96469"/>
    <w:rsid w:val="00BA0DA2"/>
    <w:rsid w:val="00BA2981"/>
    <w:rsid w:val="00BA2BB7"/>
    <w:rsid w:val="00BA42EE"/>
    <w:rsid w:val="00BA48F9"/>
    <w:rsid w:val="00BB0DCA"/>
    <w:rsid w:val="00BB2666"/>
    <w:rsid w:val="00BB6B80"/>
    <w:rsid w:val="00BC3773"/>
    <w:rsid w:val="00BC381A"/>
    <w:rsid w:val="00BD0962"/>
    <w:rsid w:val="00BD1EED"/>
    <w:rsid w:val="00BF0DA2"/>
    <w:rsid w:val="00BF109C"/>
    <w:rsid w:val="00BF34FA"/>
    <w:rsid w:val="00C004B6"/>
    <w:rsid w:val="00C01332"/>
    <w:rsid w:val="00C047A7"/>
    <w:rsid w:val="00C05DE5"/>
    <w:rsid w:val="00C33027"/>
    <w:rsid w:val="00C37667"/>
    <w:rsid w:val="00C4078D"/>
    <w:rsid w:val="00C435DB"/>
    <w:rsid w:val="00C43D8A"/>
    <w:rsid w:val="00C44D73"/>
    <w:rsid w:val="00C50B42"/>
    <w:rsid w:val="00C516FF"/>
    <w:rsid w:val="00C52BFA"/>
    <w:rsid w:val="00C53D1D"/>
    <w:rsid w:val="00C53F26"/>
    <w:rsid w:val="00C540BC"/>
    <w:rsid w:val="00C5499D"/>
    <w:rsid w:val="00C57B64"/>
    <w:rsid w:val="00C64F7D"/>
    <w:rsid w:val="00C655DD"/>
    <w:rsid w:val="00C67309"/>
    <w:rsid w:val="00C75E77"/>
    <w:rsid w:val="00C7614E"/>
    <w:rsid w:val="00C77BF1"/>
    <w:rsid w:val="00C80D60"/>
    <w:rsid w:val="00C82FBD"/>
    <w:rsid w:val="00C85267"/>
    <w:rsid w:val="00C8721B"/>
    <w:rsid w:val="00C9372C"/>
    <w:rsid w:val="00C9470E"/>
    <w:rsid w:val="00C95CEB"/>
    <w:rsid w:val="00CA1054"/>
    <w:rsid w:val="00CA63EB"/>
    <w:rsid w:val="00CA69F1"/>
    <w:rsid w:val="00CB6991"/>
    <w:rsid w:val="00CC6194"/>
    <w:rsid w:val="00CC6305"/>
    <w:rsid w:val="00CC78A5"/>
    <w:rsid w:val="00CD0516"/>
    <w:rsid w:val="00CD756B"/>
    <w:rsid w:val="00CE012A"/>
    <w:rsid w:val="00CE0FBB"/>
    <w:rsid w:val="00CE734F"/>
    <w:rsid w:val="00CF112E"/>
    <w:rsid w:val="00CF5F4F"/>
    <w:rsid w:val="00CF6C94"/>
    <w:rsid w:val="00D218DC"/>
    <w:rsid w:val="00D24E56"/>
    <w:rsid w:val="00D31643"/>
    <w:rsid w:val="00D31AEB"/>
    <w:rsid w:val="00D32ECD"/>
    <w:rsid w:val="00D361E4"/>
    <w:rsid w:val="00D42A8F"/>
    <w:rsid w:val="00D439F6"/>
    <w:rsid w:val="00D4455F"/>
    <w:rsid w:val="00D459C6"/>
    <w:rsid w:val="00D50729"/>
    <w:rsid w:val="00D50C19"/>
    <w:rsid w:val="00D5379E"/>
    <w:rsid w:val="00D62643"/>
    <w:rsid w:val="00D64C0F"/>
    <w:rsid w:val="00D72EFE"/>
    <w:rsid w:val="00D76227"/>
    <w:rsid w:val="00D77DF1"/>
    <w:rsid w:val="00D86AFF"/>
    <w:rsid w:val="00D904E8"/>
    <w:rsid w:val="00D95A44"/>
    <w:rsid w:val="00D95D16"/>
    <w:rsid w:val="00D97C76"/>
    <w:rsid w:val="00DB02B4"/>
    <w:rsid w:val="00DB538D"/>
    <w:rsid w:val="00DC275C"/>
    <w:rsid w:val="00DC40E3"/>
    <w:rsid w:val="00DC4B0D"/>
    <w:rsid w:val="00DC7FE1"/>
    <w:rsid w:val="00DD387E"/>
    <w:rsid w:val="00DD3F3F"/>
    <w:rsid w:val="00DD5572"/>
    <w:rsid w:val="00DE5D80"/>
    <w:rsid w:val="00DF58CD"/>
    <w:rsid w:val="00DF65DE"/>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55399"/>
    <w:rsid w:val="00E57322"/>
    <w:rsid w:val="00E628CB"/>
    <w:rsid w:val="00E62AD9"/>
    <w:rsid w:val="00E638C8"/>
    <w:rsid w:val="00E7509B"/>
    <w:rsid w:val="00E86590"/>
    <w:rsid w:val="00E907FF"/>
    <w:rsid w:val="00EA42D1"/>
    <w:rsid w:val="00EA42EF"/>
    <w:rsid w:val="00EA734C"/>
    <w:rsid w:val="00EB2DD1"/>
    <w:rsid w:val="00EB6B37"/>
    <w:rsid w:val="00EC29FE"/>
    <w:rsid w:val="00EC3C70"/>
    <w:rsid w:val="00ED3A3D"/>
    <w:rsid w:val="00ED538A"/>
    <w:rsid w:val="00ED6FBC"/>
    <w:rsid w:val="00EE2F16"/>
    <w:rsid w:val="00EE3861"/>
    <w:rsid w:val="00EF290C"/>
    <w:rsid w:val="00EF2E73"/>
    <w:rsid w:val="00EF7683"/>
    <w:rsid w:val="00EF7A2D"/>
    <w:rsid w:val="00F04F8D"/>
    <w:rsid w:val="00F055E3"/>
    <w:rsid w:val="00F10AD0"/>
    <w:rsid w:val="00F116CC"/>
    <w:rsid w:val="00F12BD1"/>
    <w:rsid w:val="00F15327"/>
    <w:rsid w:val="00F168CF"/>
    <w:rsid w:val="00F2555C"/>
    <w:rsid w:val="00F31DF3"/>
    <w:rsid w:val="00F33AE5"/>
    <w:rsid w:val="00F3597D"/>
    <w:rsid w:val="00F4376D"/>
    <w:rsid w:val="00F45399"/>
    <w:rsid w:val="00F465EA"/>
    <w:rsid w:val="00F54E7B"/>
    <w:rsid w:val="00F55A88"/>
    <w:rsid w:val="00F74005"/>
    <w:rsid w:val="00F76884"/>
    <w:rsid w:val="00F83D24"/>
    <w:rsid w:val="00F83DD9"/>
    <w:rsid w:val="00F83F40"/>
    <w:rsid w:val="00F945AD"/>
    <w:rsid w:val="00FA117A"/>
    <w:rsid w:val="00FB3346"/>
    <w:rsid w:val="00FB386A"/>
    <w:rsid w:val="00FC0786"/>
    <w:rsid w:val="00FC3AFF"/>
    <w:rsid w:val="00FC49EF"/>
    <w:rsid w:val="00FE36E2"/>
    <w:rsid w:val="00FE46FD"/>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D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tekstzwyky">
    <w:name w:val="tekst zwykły"/>
    <w:basedOn w:val="Normalny"/>
    <w:link w:val="tekstzwykyZnak"/>
    <w:qFormat/>
    <w:rsid w:val="0091131A"/>
    <w:pPr>
      <w:spacing w:before="120" w:after="120" w:line="240" w:lineRule="auto"/>
      <w:jc w:val="both"/>
    </w:pPr>
    <w:rPr>
      <w:rFonts w:asciiTheme="minorHAnsi" w:eastAsia="Times New Roman" w:hAnsiTheme="minorHAnsi"/>
      <w:noProof/>
      <w:sz w:val="24"/>
    </w:rPr>
  </w:style>
  <w:style w:type="character" w:customStyle="1" w:styleId="tekstzwykyZnak">
    <w:name w:val="tekst zwykły Znak"/>
    <w:basedOn w:val="Domylnaczcionkaakapitu"/>
    <w:link w:val="tekstzwyky"/>
    <w:rsid w:val="0091131A"/>
    <w:rPr>
      <w:rFonts w:asciiTheme="minorHAnsi" w:eastAsia="Times New Roman" w:hAnsiTheme="minorHAnsi"/>
      <w:noProof/>
      <w:sz w:val="24"/>
      <w:szCs w:val="22"/>
      <w:lang w:eastAsia="en-US"/>
    </w:rPr>
  </w:style>
  <w:style w:type="paragraph" w:customStyle="1" w:styleId="lista">
    <w:name w:val="lista"/>
    <w:next w:val="tekstzwyky"/>
    <w:link w:val="listaZnak"/>
    <w:qFormat/>
    <w:rsid w:val="0091131A"/>
    <w:pPr>
      <w:numPr>
        <w:numId w:val="27"/>
      </w:numPr>
      <w:jc w:val="both"/>
    </w:pPr>
    <w:rPr>
      <w:rFonts w:asciiTheme="minorHAnsi" w:hAnsiTheme="minorHAnsi" w:cstheme="minorHAnsi"/>
      <w:sz w:val="22"/>
      <w:szCs w:val="22"/>
      <w:lang w:eastAsia="en-US"/>
    </w:rPr>
  </w:style>
  <w:style w:type="character" w:customStyle="1" w:styleId="listaZnak">
    <w:name w:val="lista Znak"/>
    <w:basedOn w:val="Domylnaczcionkaakapitu"/>
    <w:link w:val="lista"/>
    <w:rsid w:val="0091131A"/>
    <w:rPr>
      <w:rFonts w:asciiTheme="minorHAnsi" w:hAnsiTheme="minorHAnsi" w:cstheme="minorHAnsi"/>
      <w:sz w:val="22"/>
      <w:szCs w:val="22"/>
      <w:lang w:eastAsia="en-US"/>
    </w:rPr>
  </w:style>
  <w:style w:type="paragraph" w:customStyle="1" w:styleId="Przypisdolny">
    <w:name w:val="Przypis dolny"/>
    <w:basedOn w:val="Tekstprzypisudolnego"/>
    <w:rsid w:val="0091131A"/>
    <w:pPr>
      <w:spacing w:line="240" w:lineRule="auto"/>
    </w:pPr>
    <w:rPr>
      <w:rFonts w:ascii="Times New Roman" w:eastAsia="Times New Roman" w:hAnsi="Times New Roman"/>
      <w:noProof/>
    </w:rPr>
  </w:style>
  <w:style w:type="paragraph" w:customStyle="1" w:styleId="Przypis">
    <w:name w:val="Przypis"/>
    <w:basedOn w:val="Normalny"/>
    <w:link w:val="PrzypisZnak"/>
    <w:qFormat/>
    <w:rsid w:val="0091131A"/>
    <w:pPr>
      <w:autoSpaceDE w:val="0"/>
      <w:autoSpaceDN w:val="0"/>
      <w:adjustRightInd w:val="0"/>
      <w:spacing w:line="240" w:lineRule="auto"/>
    </w:pPr>
    <w:rPr>
      <w:rFonts w:eastAsia="Times New Roman" w:cs="Calibri"/>
      <w:color w:val="000000"/>
      <w:sz w:val="18"/>
      <w:szCs w:val="20"/>
      <w:lang w:val="en-US"/>
    </w:rPr>
  </w:style>
  <w:style w:type="character" w:customStyle="1" w:styleId="PrzypisZnak">
    <w:name w:val="Przypis Znak"/>
    <w:basedOn w:val="Domylnaczcionkaakapitu"/>
    <w:link w:val="Przypis"/>
    <w:rsid w:val="0091131A"/>
    <w:rPr>
      <w:rFonts w:eastAsia="Times New Roman" w:cs="Calibri"/>
      <w:color w:val="000000"/>
      <w:sz w:val="18"/>
      <w:lang w:val="en-US" w:eastAsia="en-US"/>
    </w:rPr>
  </w:style>
  <w:style w:type="paragraph" w:customStyle="1" w:styleId="Podpistabeli">
    <w:name w:val="Podpis tabeli"/>
    <w:basedOn w:val="Legenda"/>
    <w:link w:val="PodpistabeliZnak"/>
    <w:qFormat/>
    <w:rsid w:val="0091131A"/>
    <w:pPr>
      <w:keepNext/>
      <w:keepLines/>
      <w:spacing w:after="120"/>
    </w:pPr>
    <w:rPr>
      <w:rFonts w:asciiTheme="minorHAnsi" w:eastAsia="Times New Roman" w:hAnsiTheme="minorHAnsi"/>
      <w:b/>
      <w:bCs/>
      <w:i w:val="0"/>
      <w:iCs w:val="0"/>
      <w:noProof/>
      <w:color w:val="auto"/>
      <w:sz w:val="20"/>
      <w:szCs w:val="20"/>
    </w:rPr>
  </w:style>
  <w:style w:type="character" w:customStyle="1" w:styleId="PodpistabeliZnak">
    <w:name w:val="Podpis tabeli Znak"/>
    <w:basedOn w:val="Domylnaczcionkaakapitu"/>
    <w:link w:val="Podpistabeli"/>
    <w:rsid w:val="0091131A"/>
    <w:rPr>
      <w:rFonts w:asciiTheme="minorHAnsi" w:eastAsia="Times New Roman" w:hAnsiTheme="minorHAnsi"/>
      <w:b/>
      <w:bCs/>
      <w:noProof/>
      <w:lang w:eastAsia="en-US"/>
    </w:rPr>
  </w:style>
  <w:style w:type="table" w:customStyle="1" w:styleId="MKi">
    <w:name w:val="MKiŚ"/>
    <w:basedOn w:val="Standardowy"/>
    <w:uiPriority w:val="99"/>
    <w:qFormat/>
    <w:rsid w:val="0091131A"/>
    <w:pPr>
      <w:jc w:val="center"/>
    </w:pPr>
    <w:rPr>
      <w:rFonts w:eastAsia="Times New Roman"/>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center"/>
      </w:pPr>
      <w:rPr>
        <w:b/>
        <w:color w:val="FFFFFF" w:themeColor="background1"/>
      </w:rPr>
      <w:tblPr/>
      <w:tcPr>
        <w:shd w:val="clear" w:color="auto" w:fill="013764"/>
      </w:tcPr>
    </w:tblStylePr>
  </w:style>
  <w:style w:type="paragraph" w:styleId="Legenda">
    <w:name w:val="caption"/>
    <w:basedOn w:val="Normalny"/>
    <w:next w:val="Normalny"/>
    <w:semiHidden/>
    <w:unhideWhenUsed/>
    <w:qFormat/>
    <w:locked/>
    <w:rsid w:val="0091131A"/>
    <w:pPr>
      <w:spacing w:after="200" w:line="240" w:lineRule="auto"/>
    </w:pPr>
    <w:rPr>
      <w:i/>
      <w:iCs/>
      <w:color w:val="1F497D" w:themeColor="text2"/>
      <w:sz w:val="18"/>
      <w:szCs w:val="18"/>
    </w:rPr>
  </w:style>
  <w:style w:type="paragraph" w:styleId="Poprawka">
    <w:name w:val="Revision"/>
    <w:hidden/>
    <w:uiPriority w:val="99"/>
    <w:semiHidden/>
    <w:rsid w:val="00D445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62EC4"/>
    <w:rsid w:val="000E2781"/>
    <w:rsid w:val="002152A7"/>
    <w:rsid w:val="002D2D28"/>
    <w:rsid w:val="00390CAC"/>
    <w:rsid w:val="004B39EE"/>
    <w:rsid w:val="00570C5E"/>
    <w:rsid w:val="006A0045"/>
    <w:rsid w:val="0073499C"/>
    <w:rsid w:val="00765B5A"/>
    <w:rsid w:val="00824322"/>
    <w:rsid w:val="008956C0"/>
    <w:rsid w:val="008C7CA2"/>
    <w:rsid w:val="00963F46"/>
    <w:rsid w:val="009C4F26"/>
    <w:rsid w:val="00AD66A9"/>
    <w:rsid w:val="00D05759"/>
    <w:rsid w:val="00D2028F"/>
    <w:rsid w:val="00DA3FA9"/>
    <w:rsid w:val="00DF40AE"/>
    <w:rsid w:val="00E02C49"/>
    <w:rsid w:val="00E44E7C"/>
    <w:rsid w:val="00EC0E61"/>
    <w:rsid w:val="00F523DD"/>
    <w:rsid w:val="00FD7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8B64-1AC7-4989-8638-3EE6C76B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3574</Words>
  <Characters>21448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24973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2021-12-02T12:02:00Z</dcterms:created>
  <dcterms:modified xsi:type="dcterms:W3CDTF">2022-01-04T09:25:00Z</dcterms:modified>
</cp:coreProperties>
</file>