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54C4B" w14:textId="77777777" w:rsidR="003A2487" w:rsidRDefault="003A2487" w:rsidP="003A2487">
      <w:pPr>
        <w:spacing w:after="240" w:line="276" w:lineRule="auto"/>
        <w:rPr>
          <w:rFonts w:cstheme="minorHAnsi"/>
          <w:b/>
        </w:rPr>
      </w:pPr>
      <w:bookmarkStart w:id="0" w:name="_GoBack"/>
      <w:bookmarkEnd w:id="0"/>
      <w:r>
        <w:rPr>
          <w:rFonts w:cstheme="minorHAnsi"/>
          <w:b/>
        </w:rPr>
        <w:t>Załącznik nr 2</w:t>
      </w:r>
    </w:p>
    <w:p w14:paraId="1F0CA021" w14:textId="77777777" w:rsidR="00F62E5D" w:rsidRPr="00B049D8" w:rsidRDefault="0012099B" w:rsidP="00D62D5D">
      <w:pPr>
        <w:spacing w:after="240" w:line="276" w:lineRule="auto"/>
        <w:jc w:val="center"/>
        <w:rPr>
          <w:rFonts w:cstheme="minorHAnsi"/>
          <w:b/>
        </w:rPr>
      </w:pPr>
      <w:r w:rsidRPr="00B049D8">
        <w:rPr>
          <w:rFonts w:cstheme="minorHAnsi"/>
          <w:b/>
        </w:rPr>
        <w:t xml:space="preserve">Materiał </w:t>
      </w:r>
      <w:r w:rsidR="00655627" w:rsidRPr="00B049D8">
        <w:rPr>
          <w:rFonts w:cstheme="minorHAnsi"/>
          <w:b/>
        </w:rPr>
        <w:t>dotyczący</w:t>
      </w:r>
      <w:r w:rsidRPr="00B049D8">
        <w:rPr>
          <w:rFonts w:cstheme="minorHAnsi"/>
          <w:b/>
        </w:rPr>
        <w:t xml:space="preserve"> sposobu wyliczenia wysokości kary </w:t>
      </w:r>
      <w:r w:rsidR="00391C55" w:rsidRPr="00B049D8">
        <w:rPr>
          <w:rFonts w:cstheme="minorHAnsi"/>
          <w:b/>
        </w:rPr>
        <w:t xml:space="preserve">za każdy </w:t>
      </w:r>
      <w:r w:rsidRPr="00B049D8">
        <w:rPr>
          <w:rFonts w:cstheme="minorHAnsi"/>
          <w:b/>
        </w:rPr>
        <w:t>RLM</w:t>
      </w:r>
      <w:r w:rsidR="00391C55" w:rsidRPr="00B049D8">
        <w:rPr>
          <w:rFonts w:cstheme="minorHAnsi"/>
          <w:b/>
        </w:rPr>
        <w:t xml:space="preserve"> w aglomeracji, który </w:t>
      </w:r>
      <w:r w:rsidRPr="00B049D8">
        <w:rPr>
          <w:rFonts w:cstheme="minorHAnsi"/>
          <w:b/>
        </w:rPr>
        <w:t>nie</w:t>
      </w:r>
      <w:r w:rsidR="00391C55" w:rsidRPr="00B049D8">
        <w:rPr>
          <w:rFonts w:cstheme="minorHAnsi"/>
          <w:b/>
        </w:rPr>
        <w:t xml:space="preserve"> </w:t>
      </w:r>
      <w:r w:rsidRPr="00B049D8">
        <w:rPr>
          <w:rFonts w:cstheme="minorHAnsi"/>
          <w:b/>
        </w:rPr>
        <w:t>spełnieni</w:t>
      </w:r>
      <w:r w:rsidR="00391C55" w:rsidRPr="00B049D8">
        <w:rPr>
          <w:rFonts w:cstheme="minorHAnsi"/>
          <w:b/>
        </w:rPr>
        <w:t>a</w:t>
      </w:r>
      <w:r w:rsidRPr="00B049D8">
        <w:rPr>
          <w:rFonts w:cstheme="minorHAnsi"/>
          <w:b/>
        </w:rPr>
        <w:t xml:space="preserve"> warunków, o których mowa w art. 87a projektu zmiany ustawy – Prawo wodne</w:t>
      </w:r>
    </w:p>
    <w:p w14:paraId="4267E562" w14:textId="77777777" w:rsidR="00391C55" w:rsidRPr="00B049D8" w:rsidRDefault="00884F73" w:rsidP="00D62D5D">
      <w:pPr>
        <w:spacing w:after="240" w:line="276" w:lineRule="auto"/>
        <w:jc w:val="both"/>
        <w:rPr>
          <w:rFonts w:cstheme="minorHAnsi"/>
        </w:rPr>
      </w:pPr>
      <w:r w:rsidRPr="00B049D8">
        <w:rPr>
          <w:rFonts w:cstheme="minorHAnsi"/>
        </w:rPr>
        <w:t>Na podstawie art. 260 ust. 2 Traktatu o funkcjonowaniu Unii Europejskiej (TFUE), jeżeli Komisja Europejska (KE) uzna, że dane Państwo Członkowskie nie podjęło środków zapewniających wykonanie wyroku Trybunału, może ona wnieść sprawę do Trybunału Sprawiedliwości Unii Europejskiej</w:t>
      </w:r>
      <w:r w:rsidR="009B6624" w:rsidRPr="00B049D8">
        <w:rPr>
          <w:rFonts w:cstheme="minorHAnsi"/>
        </w:rPr>
        <w:t xml:space="preserve"> (TSUE)</w:t>
      </w:r>
      <w:r w:rsidRPr="00B049D8">
        <w:rPr>
          <w:rFonts w:cstheme="minorHAnsi"/>
        </w:rPr>
        <w:t>, wskazuj</w:t>
      </w:r>
      <w:r w:rsidR="009B6624" w:rsidRPr="00B049D8">
        <w:rPr>
          <w:rFonts w:cstheme="minorHAnsi"/>
        </w:rPr>
        <w:t xml:space="preserve">ąc </w:t>
      </w:r>
      <w:r w:rsidRPr="00B049D8">
        <w:rPr>
          <w:rFonts w:cstheme="minorHAnsi"/>
        </w:rPr>
        <w:t>wysokość ryczałtu lub okresowej kary pieniężnej do zapłacenia przez dane Państwo Członkowskie, jaką uzna za odpowiednią do okoliczności. Jeżeli Trybunał stwierdz</w:t>
      </w:r>
      <w:r w:rsidR="002116AD">
        <w:rPr>
          <w:rFonts w:cstheme="minorHAnsi"/>
        </w:rPr>
        <w:t>i</w:t>
      </w:r>
      <w:r w:rsidRPr="00B049D8">
        <w:rPr>
          <w:rFonts w:cstheme="minorHAnsi"/>
        </w:rPr>
        <w:t>, że dane Państwo Członkowskie nie zastosowało się do jego wyroku, może na nie nałożyć ryczałt oraz okresową karę pieniężną.</w:t>
      </w:r>
    </w:p>
    <w:p w14:paraId="26D7C0D0" w14:textId="77777777" w:rsidR="00A43775" w:rsidRPr="00B049D8" w:rsidRDefault="00A43775" w:rsidP="00D62D5D">
      <w:pPr>
        <w:spacing w:after="240" w:line="276" w:lineRule="auto"/>
        <w:jc w:val="both"/>
        <w:rPr>
          <w:rFonts w:cstheme="minorHAnsi"/>
        </w:rPr>
      </w:pPr>
      <w:r w:rsidRPr="00B049D8">
        <w:rPr>
          <w:rFonts w:cstheme="minorHAnsi"/>
        </w:rPr>
        <w:t xml:space="preserve">W każdym przypadku skierowania po raz drugi sprawy do TSUE, Komisja Europejska, na podstawie </w:t>
      </w:r>
      <w:r w:rsidR="00475498" w:rsidRPr="00B049D8">
        <w:rPr>
          <w:rFonts w:cstheme="minorHAnsi"/>
        </w:rPr>
        <w:t xml:space="preserve">aktualnego </w:t>
      </w:r>
      <w:r w:rsidRPr="00B049D8">
        <w:rPr>
          <w:rFonts w:cstheme="minorHAnsi"/>
        </w:rPr>
        <w:t>Komunikatu Komisji</w:t>
      </w:r>
      <w:r w:rsidR="00EE7B9A" w:rsidRPr="00B049D8">
        <w:rPr>
          <w:rStyle w:val="Odwoanieprzypisudolnego"/>
          <w:rFonts w:cstheme="minorHAnsi"/>
        </w:rPr>
        <w:footnoteReference w:id="1"/>
      </w:r>
      <w:r w:rsidR="00BD0802" w:rsidRPr="00B049D8">
        <w:rPr>
          <w:rFonts w:cstheme="minorHAnsi"/>
        </w:rPr>
        <w:t xml:space="preserve"> </w:t>
      </w:r>
      <w:r w:rsidR="007C5388" w:rsidRPr="00B049D8">
        <w:rPr>
          <w:rFonts w:cstheme="minorHAnsi"/>
        </w:rPr>
        <w:t>dot. obliczania kar ryczałtowych i okresowych kar pieniężnych</w:t>
      </w:r>
      <w:r w:rsidR="002116AD">
        <w:rPr>
          <w:rFonts w:cstheme="minorHAnsi"/>
        </w:rPr>
        <w:t>,</w:t>
      </w:r>
      <w:r w:rsidR="007C5388" w:rsidRPr="00B049D8">
        <w:rPr>
          <w:rFonts w:cstheme="minorHAnsi"/>
        </w:rPr>
        <w:t xml:space="preserve"> </w:t>
      </w:r>
      <w:r w:rsidR="00EE7B9A" w:rsidRPr="00B049D8">
        <w:rPr>
          <w:rFonts w:cstheme="minorHAnsi"/>
        </w:rPr>
        <w:t>proponuje zastosowanie co najmniej ryczałtu minimalnego</w:t>
      </w:r>
      <w:r w:rsidR="003279D4" w:rsidRPr="00B049D8">
        <w:rPr>
          <w:rFonts w:cstheme="minorHAnsi"/>
        </w:rPr>
        <w:t xml:space="preserve"> oraz może wnosić o nałożenie kary według stawek dziennych.</w:t>
      </w:r>
    </w:p>
    <w:p w14:paraId="3E0CA7BB" w14:textId="77777777" w:rsidR="00C95BE1" w:rsidRPr="00B049D8" w:rsidRDefault="00C95BE1" w:rsidP="00D62D5D">
      <w:pPr>
        <w:spacing w:after="240" w:line="276" w:lineRule="auto"/>
        <w:jc w:val="both"/>
        <w:rPr>
          <w:rFonts w:cstheme="minorHAnsi"/>
        </w:rPr>
      </w:pPr>
      <w:r w:rsidRPr="00B049D8">
        <w:rPr>
          <w:rFonts w:cstheme="minorHAnsi"/>
        </w:rPr>
        <w:t>Ryczałt według stawek dziennych obliczany jest jako iloczyn podstawowej stawki dziennej (1 03</w:t>
      </w:r>
      <w:r w:rsidR="00A31A4C" w:rsidRPr="00B049D8">
        <w:rPr>
          <w:rFonts w:cstheme="minorHAnsi"/>
        </w:rPr>
        <w:t>9</w:t>
      </w:r>
      <w:r w:rsidRPr="00B049D8">
        <w:rPr>
          <w:rFonts w:cstheme="minorHAnsi"/>
        </w:rPr>
        <w:t xml:space="preserve"> EUR), współczynnika powagi naruszenia (od 1 do 20) oraz współczynnika zdolności płatniczej państwa członkowskiego (dla Polski </w:t>
      </w:r>
      <w:r w:rsidR="00A31A4C" w:rsidRPr="00B049D8">
        <w:rPr>
          <w:rFonts w:cstheme="minorHAnsi"/>
        </w:rPr>
        <w:t>1,27</w:t>
      </w:r>
      <w:r w:rsidRPr="00B049D8">
        <w:rPr>
          <w:rFonts w:cstheme="minorHAnsi"/>
        </w:rPr>
        <w:t>). Uzyskaną sumę mnoży się przez liczbę dni, w których istniało naruszenie zobowiązania.</w:t>
      </w:r>
    </w:p>
    <w:p w14:paraId="068B854F" w14:textId="77777777" w:rsidR="00C95BE1" w:rsidRPr="00B049D8" w:rsidRDefault="002116AD" w:rsidP="00D62D5D">
      <w:pPr>
        <w:spacing w:after="240" w:line="276" w:lineRule="auto"/>
        <w:jc w:val="both"/>
        <w:rPr>
          <w:rFonts w:cstheme="minorHAnsi"/>
        </w:rPr>
      </w:pPr>
      <w:r>
        <w:rPr>
          <w:rFonts w:cstheme="minorHAnsi"/>
        </w:rPr>
        <w:t>N</w:t>
      </w:r>
      <w:r w:rsidR="009B18B7" w:rsidRPr="00B049D8">
        <w:rPr>
          <w:rFonts w:cstheme="minorHAnsi"/>
        </w:rPr>
        <w:t xml:space="preserve">aliczanie okresowej kary pieniężnej </w:t>
      </w:r>
      <w:r>
        <w:rPr>
          <w:rFonts w:cstheme="minorHAnsi"/>
        </w:rPr>
        <w:t xml:space="preserve">obliczany jest </w:t>
      </w:r>
      <w:r w:rsidR="009B18B7" w:rsidRPr="00B049D8">
        <w:rPr>
          <w:rFonts w:cstheme="minorHAnsi"/>
        </w:rPr>
        <w:t xml:space="preserve">według podstawowej stawki </w:t>
      </w:r>
      <w:r w:rsidR="00B049D8" w:rsidRPr="00B049D8">
        <w:rPr>
          <w:rFonts w:cstheme="minorHAnsi"/>
        </w:rPr>
        <w:t>kary okresowej</w:t>
      </w:r>
      <w:r w:rsidR="009B18B7" w:rsidRPr="00B049D8">
        <w:rPr>
          <w:rFonts w:cstheme="minorHAnsi"/>
        </w:rPr>
        <w:t xml:space="preserve"> (</w:t>
      </w:r>
      <w:r w:rsidR="00B049D8" w:rsidRPr="00B049D8">
        <w:rPr>
          <w:rFonts w:cstheme="minorHAnsi"/>
        </w:rPr>
        <w:t>3116</w:t>
      </w:r>
      <w:r w:rsidR="009B18B7" w:rsidRPr="00B049D8">
        <w:rPr>
          <w:rFonts w:cstheme="minorHAnsi"/>
        </w:rPr>
        <w:t xml:space="preserve"> </w:t>
      </w:r>
      <w:r w:rsidR="00B049D8" w:rsidRPr="00B049D8">
        <w:rPr>
          <w:rFonts w:cstheme="minorHAnsi"/>
        </w:rPr>
        <w:t>EUR</w:t>
      </w:r>
      <w:r w:rsidR="009B18B7" w:rsidRPr="00B049D8">
        <w:rPr>
          <w:rFonts w:cstheme="minorHAnsi"/>
        </w:rPr>
        <w:t>), pomnożonej przez współczynnik powagi naruszenia (od 1 do 20), współczynnik długotrwałości naruszenia (od 1 do 3)</w:t>
      </w:r>
      <w:r>
        <w:rPr>
          <w:rFonts w:cstheme="minorHAnsi"/>
        </w:rPr>
        <w:t xml:space="preserve"> </w:t>
      </w:r>
      <w:r w:rsidR="009B18B7" w:rsidRPr="00B049D8">
        <w:rPr>
          <w:rFonts w:cstheme="minorHAnsi"/>
        </w:rPr>
        <w:t xml:space="preserve">i współczynnik zdolności płatniczej Państwa Członkowskiego (dla Polski </w:t>
      </w:r>
      <w:r w:rsidR="00B049D8" w:rsidRPr="00B049D8">
        <w:rPr>
          <w:rFonts w:cstheme="minorHAnsi"/>
        </w:rPr>
        <w:t>1,27</w:t>
      </w:r>
      <w:r w:rsidR="009B18B7" w:rsidRPr="00B049D8">
        <w:rPr>
          <w:rFonts w:cstheme="minorHAnsi"/>
        </w:rPr>
        <w:t>)</w:t>
      </w:r>
      <w:r w:rsidR="00B049D8" w:rsidRPr="00B049D8">
        <w:rPr>
          <w:rFonts w:cstheme="minorHAnsi"/>
        </w:rPr>
        <w:t>.</w:t>
      </w:r>
    </w:p>
    <w:p w14:paraId="3185C90B" w14:textId="77777777" w:rsidR="0059700D" w:rsidRDefault="003279D4" w:rsidP="00D62D5D">
      <w:pPr>
        <w:spacing w:after="240" w:line="276" w:lineRule="auto"/>
        <w:jc w:val="both"/>
        <w:rPr>
          <w:rFonts w:cstheme="minorHAnsi"/>
        </w:rPr>
      </w:pPr>
      <w:r w:rsidRPr="00B049D8">
        <w:rPr>
          <w:rFonts w:cstheme="minorHAnsi"/>
        </w:rPr>
        <w:t xml:space="preserve">Poniżej </w:t>
      </w:r>
      <w:r w:rsidR="003F06D9" w:rsidRPr="00B049D8">
        <w:rPr>
          <w:rFonts w:cstheme="minorHAnsi"/>
        </w:rPr>
        <w:t xml:space="preserve">przedstawiono sposób </w:t>
      </w:r>
      <w:r w:rsidRPr="00B049D8">
        <w:rPr>
          <w:rFonts w:cstheme="minorHAnsi"/>
        </w:rPr>
        <w:t>wyliczenia wysokości kary za każdy RLM w aglomeracji, który nie spełnienia warunków, o których mowa w art. 87a projektu zmiany ustawy – Prawo wodne</w:t>
      </w:r>
      <w:r w:rsidR="003F06D9" w:rsidRPr="00B049D8">
        <w:rPr>
          <w:rFonts w:cstheme="minorHAnsi"/>
        </w:rPr>
        <w:t>. Zaproponowany mechanizm karny ma na celu zmobilizowanie jednostek samorządu terytorialnego do realizacji zamierzeń inwestycyjnych niezbędnych do dostosowania do warunków dyrektywy ściekowej aglomeracji fu</w:t>
      </w:r>
      <w:r w:rsidR="0059700D">
        <w:rPr>
          <w:rFonts w:cstheme="minorHAnsi"/>
        </w:rPr>
        <w:t>nkcjonujących na ich obszarach.</w:t>
      </w:r>
    </w:p>
    <w:p w14:paraId="747E7E50" w14:textId="77777777" w:rsidR="00C66C5C" w:rsidRPr="00B049D8" w:rsidRDefault="00004CDE" w:rsidP="00D62D5D">
      <w:pPr>
        <w:spacing w:after="0" w:line="276" w:lineRule="auto"/>
        <w:jc w:val="both"/>
        <w:rPr>
          <w:rFonts w:cstheme="minorHAnsi"/>
        </w:rPr>
      </w:pPr>
      <w:r w:rsidRPr="00B049D8">
        <w:rPr>
          <w:rFonts w:cstheme="minorHAnsi"/>
        </w:rPr>
        <w:t>Zgodnie z przyjętymi założeniami z</w:t>
      </w:r>
      <w:r w:rsidR="003F06D9" w:rsidRPr="00B049D8">
        <w:rPr>
          <w:rFonts w:cstheme="minorHAnsi"/>
        </w:rPr>
        <w:t>aproponowany mechanizm kar oraz ich wysokość pow</w:t>
      </w:r>
      <w:r w:rsidR="0058775B" w:rsidRPr="00B049D8">
        <w:rPr>
          <w:rFonts w:cstheme="minorHAnsi"/>
        </w:rPr>
        <w:t>inien</w:t>
      </w:r>
      <w:r w:rsidR="004E3688" w:rsidRPr="00B049D8">
        <w:rPr>
          <w:rFonts w:cstheme="minorHAnsi"/>
        </w:rPr>
        <w:t>:</w:t>
      </w:r>
    </w:p>
    <w:p w14:paraId="33C0C2AB" w14:textId="7F43BB0B" w:rsidR="00CE1B16" w:rsidRDefault="00CE1B16" w:rsidP="00D62D5D">
      <w:pPr>
        <w:pStyle w:val="Akapitzlist"/>
        <w:numPr>
          <w:ilvl w:val="0"/>
          <w:numId w:val="3"/>
        </w:numPr>
        <w:spacing w:after="240" w:line="276" w:lineRule="auto"/>
        <w:jc w:val="both"/>
        <w:rPr>
          <w:rFonts w:cstheme="minorHAnsi"/>
        </w:rPr>
      </w:pPr>
      <w:r w:rsidRPr="00CE1B16">
        <w:rPr>
          <w:rFonts w:cstheme="minorHAnsi"/>
        </w:rPr>
        <w:t>stanowić narzędzie, dzięki któremu gminy będą przykładały większą wagę do podłączenia dotychczas nieskanalizowanego RLM do już istniejącej sieci kanalizacyjnej. W przypadku  części aglomeracji do osiągnięcia zgodności z dyrektywą ściekową wystarczy podłączenie odpowiedniej wielkości RLM do istniejącej sieci. Koszty te są nieporównywalnie niższe niż koszty nowej infrastruktury kanalizacyjnej, która także wymusza podłączanie dodatkowych wielkości RLM. Wielkość podłączonego RLM do istniejącej sieci ma także bezpośredni wpływ na wysokość taryf wodno-ściekowych</w:t>
      </w:r>
      <w:r w:rsidR="00D85BAF">
        <w:rPr>
          <w:rFonts w:cstheme="minorHAnsi"/>
        </w:rPr>
        <w:t>,</w:t>
      </w:r>
    </w:p>
    <w:p w14:paraId="04F8DA7D" w14:textId="1D05E048" w:rsidR="0059700D" w:rsidRPr="00B049D8" w:rsidRDefault="0059700D" w:rsidP="00D62D5D">
      <w:pPr>
        <w:pStyle w:val="Akapitzlist"/>
        <w:numPr>
          <w:ilvl w:val="0"/>
          <w:numId w:val="3"/>
        </w:numPr>
        <w:spacing w:after="240" w:line="276" w:lineRule="auto"/>
        <w:jc w:val="both"/>
        <w:rPr>
          <w:rFonts w:cstheme="minorHAnsi"/>
        </w:rPr>
      </w:pPr>
      <w:r>
        <w:rPr>
          <w:rFonts w:cstheme="minorHAnsi"/>
        </w:rPr>
        <w:lastRenderedPageBreak/>
        <w:t>uwzględniać wysokość opłat za odprowadzania i oczyszczanie ścieków ponoszonych przez mieszkańców i fakt niewywiązywania się przez gminy z tego obowiązku z uwagi</w:t>
      </w:r>
      <w:r w:rsidR="005F6E74">
        <w:rPr>
          <w:rFonts w:cstheme="minorHAnsi"/>
        </w:rPr>
        <w:t xml:space="preserve"> </w:t>
      </w:r>
      <w:r>
        <w:rPr>
          <w:rFonts w:cstheme="minorHAnsi"/>
        </w:rPr>
        <w:t xml:space="preserve">na brak </w:t>
      </w:r>
      <w:r w:rsidR="005F6E74">
        <w:rPr>
          <w:rFonts w:cstheme="minorHAnsi"/>
        </w:rPr>
        <w:t>dostosowania</w:t>
      </w:r>
      <w:r>
        <w:rPr>
          <w:rFonts w:cstheme="minorHAnsi"/>
        </w:rPr>
        <w:t xml:space="preserve"> aglomeracji do wymogów dyrektywy ściekowej</w:t>
      </w:r>
      <w:r w:rsidR="00D85BAF">
        <w:rPr>
          <w:rFonts w:cstheme="minorHAnsi"/>
        </w:rPr>
        <w:t>,</w:t>
      </w:r>
    </w:p>
    <w:p w14:paraId="59E2A202" w14:textId="5424EE58" w:rsidR="00080870" w:rsidRPr="00B049D8" w:rsidRDefault="00080870" w:rsidP="00D62D5D">
      <w:pPr>
        <w:pStyle w:val="Akapitzlist"/>
        <w:numPr>
          <w:ilvl w:val="0"/>
          <w:numId w:val="3"/>
        </w:numPr>
        <w:spacing w:after="240" w:line="276" w:lineRule="auto"/>
        <w:jc w:val="both"/>
        <w:rPr>
          <w:rFonts w:cstheme="minorHAnsi"/>
        </w:rPr>
      </w:pPr>
      <w:r w:rsidRPr="00B049D8">
        <w:rPr>
          <w:rFonts w:cstheme="minorHAnsi"/>
        </w:rPr>
        <w:t xml:space="preserve">uwzględniać fakt, iż zgodnie z </w:t>
      </w:r>
      <w:r w:rsidR="003713E7" w:rsidRPr="00B049D8">
        <w:rPr>
          <w:rFonts w:cstheme="minorHAnsi"/>
        </w:rPr>
        <w:t xml:space="preserve">postanowieniami Traktatu akcesyjnego Polski do Unii Europejskiej (Załącznik XII) wymagania dotyczące systemów kanalizacji i oczyszczalni ścieków komunalnych wynikające z dyrektywy </w:t>
      </w:r>
      <w:r w:rsidR="00B94967" w:rsidRPr="00B049D8">
        <w:rPr>
          <w:rFonts w:cstheme="minorHAnsi"/>
        </w:rPr>
        <w:t xml:space="preserve">ściekowej powinny zostać wdrożone w pełni </w:t>
      </w:r>
      <w:r w:rsidR="00DF2C72" w:rsidRPr="00B049D8">
        <w:rPr>
          <w:rFonts w:cstheme="minorHAnsi"/>
        </w:rPr>
        <w:t xml:space="preserve">do </w:t>
      </w:r>
      <w:r w:rsidR="00D85BAF">
        <w:rPr>
          <w:rFonts w:cstheme="minorHAnsi"/>
        </w:rPr>
        <w:t xml:space="preserve">dnia </w:t>
      </w:r>
      <w:r w:rsidR="00DF2C72" w:rsidRPr="00B049D8">
        <w:rPr>
          <w:rFonts w:cstheme="minorHAnsi"/>
        </w:rPr>
        <w:t>31 grudnia 2015 r</w:t>
      </w:r>
      <w:r w:rsidR="00D85BAF">
        <w:rPr>
          <w:rFonts w:cstheme="minorHAnsi"/>
        </w:rPr>
        <w:t>.</w:t>
      </w:r>
      <w:r w:rsidR="00DF2C72" w:rsidRPr="00B049D8">
        <w:rPr>
          <w:rFonts w:cstheme="minorHAnsi"/>
        </w:rPr>
        <w:t>, a</w:t>
      </w:r>
      <w:r w:rsidR="005B5AD4">
        <w:rPr>
          <w:rFonts w:cstheme="minorHAnsi"/>
        </w:rPr>
        <w:t> </w:t>
      </w:r>
      <w:r w:rsidR="00DF2C72" w:rsidRPr="00B049D8">
        <w:rPr>
          <w:rFonts w:cstheme="minorHAnsi"/>
        </w:rPr>
        <w:t>zatem od momentu przystąpienia do UE w 2004 r. aglomeracje miały 12 lat na dostosowanie. Z</w:t>
      </w:r>
      <w:r w:rsidR="005B5AD4">
        <w:rPr>
          <w:rFonts w:cstheme="minorHAnsi"/>
        </w:rPr>
        <w:t> </w:t>
      </w:r>
      <w:r w:rsidR="00B94967" w:rsidRPr="00B049D8">
        <w:rPr>
          <w:rFonts w:cstheme="minorHAnsi"/>
        </w:rPr>
        <w:t>końcem 2021 r. mija 6 lat od momentu</w:t>
      </w:r>
      <w:r w:rsidR="002B6C04">
        <w:rPr>
          <w:rFonts w:cstheme="minorHAnsi"/>
        </w:rPr>
        <w:t>,</w:t>
      </w:r>
      <w:r w:rsidR="00B94967" w:rsidRPr="00B049D8">
        <w:rPr>
          <w:rFonts w:cstheme="minorHAnsi"/>
        </w:rPr>
        <w:t xml:space="preserve"> kiedy wszystkie aglomeracje powinny były uzyskać</w:t>
      </w:r>
      <w:r w:rsidR="00C107B6" w:rsidRPr="00B049D8">
        <w:rPr>
          <w:rFonts w:cstheme="minorHAnsi"/>
        </w:rPr>
        <w:t xml:space="preserve"> zgodność</w:t>
      </w:r>
      <w:r w:rsidR="00D85BAF">
        <w:rPr>
          <w:rFonts w:cstheme="minorHAnsi"/>
        </w:rPr>
        <w:t xml:space="preserve"> </w:t>
      </w:r>
      <w:r w:rsidR="00C107B6" w:rsidRPr="00B049D8">
        <w:rPr>
          <w:rFonts w:cstheme="minorHAnsi"/>
        </w:rPr>
        <w:t>z warunkami dyrektywy, a przy uwzględnieniu okresu przejściowego do końca 2027 r. – 12 lat.</w:t>
      </w:r>
      <w:r w:rsidR="00D72F2F" w:rsidRPr="00B049D8">
        <w:rPr>
          <w:rFonts w:cstheme="minorHAnsi"/>
        </w:rPr>
        <w:t xml:space="preserve"> Daje to łącznie 24 lata (2004-2027)</w:t>
      </w:r>
      <w:r w:rsidR="00FC5D41" w:rsidRPr="00B049D8">
        <w:rPr>
          <w:rFonts w:cstheme="minorHAnsi"/>
        </w:rPr>
        <w:t xml:space="preserve"> </w:t>
      </w:r>
      <w:r w:rsidR="00D72F2F" w:rsidRPr="00B049D8">
        <w:rPr>
          <w:rFonts w:cstheme="minorHAnsi"/>
        </w:rPr>
        <w:t>na dostosowanie aglomeracji do warunków dyrektywy</w:t>
      </w:r>
      <w:r w:rsidR="00D85BAF">
        <w:rPr>
          <w:rFonts w:cstheme="minorHAnsi"/>
        </w:rPr>
        <w:t>,</w:t>
      </w:r>
    </w:p>
    <w:p w14:paraId="666E1432" w14:textId="77777777" w:rsidR="00FC5D41" w:rsidRPr="00B049D8" w:rsidRDefault="00FC5D41" w:rsidP="00D62D5D">
      <w:pPr>
        <w:pStyle w:val="Akapitzlist"/>
        <w:numPr>
          <w:ilvl w:val="0"/>
          <w:numId w:val="3"/>
        </w:numPr>
        <w:spacing w:after="240" w:line="276" w:lineRule="auto"/>
        <w:jc w:val="both"/>
        <w:rPr>
          <w:rFonts w:cstheme="minorHAnsi"/>
        </w:rPr>
      </w:pPr>
      <w:r w:rsidRPr="00B049D8">
        <w:rPr>
          <w:rFonts w:cstheme="minorHAnsi"/>
        </w:rPr>
        <w:t>uwzględniać wagę naruszenia, tj. ilość niespełnionych warunków dyrektywy ściekowej, ujętych</w:t>
      </w:r>
      <w:r w:rsidR="005F6E74">
        <w:rPr>
          <w:rFonts w:cstheme="minorHAnsi"/>
        </w:rPr>
        <w:br/>
      </w:r>
      <w:r w:rsidRPr="00B049D8">
        <w:rPr>
          <w:rFonts w:cstheme="minorHAnsi"/>
        </w:rPr>
        <w:t>w propozycji zmiany ustawy – Prawo wodne w art. 87a.</w:t>
      </w:r>
    </w:p>
    <w:p w14:paraId="2809AA77" w14:textId="27D88A60" w:rsidR="00C56462" w:rsidRPr="00B049D8" w:rsidRDefault="00C56462" w:rsidP="00D62D5D">
      <w:pPr>
        <w:spacing w:after="0" w:line="276" w:lineRule="auto"/>
        <w:jc w:val="both"/>
        <w:rPr>
          <w:rFonts w:cstheme="minorHAnsi"/>
        </w:rPr>
      </w:pPr>
      <w:r w:rsidRPr="00B049D8">
        <w:rPr>
          <w:rFonts w:cstheme="minorHAnsi"/>
        </w:rPr>
        <w:t xml:space="preserve">Do obliczeń </w:t>
      </w:r>
      <w:r w:rsidRPr="00B049D8">
        <w:rPr>
          <w:rFonts w:cstheme="minorHAnsi"/>
          <w:u w:val="single"/>
        </w:rPr>
        <w:t>nie mogły zostać wykorzystane wyroki TSUE</w:t>
      </w:r>
      <w:r w:rsidR="00A96542" w:rsidRPr="00B049D8">
        <w:rPr>
          <w:rFonts w:cstheme="minorHAnsi"/>
          <w:u w:val="single"/>
        </w:rPr>
        <w:t>, na które powołała się Komisja Europejska</w:t>
      </w:r>
      <w:r w:rsidR="005F6E74">
        <w:rPr>
          <w:rFonts w:cstheme="minorHAnsi"/>
          <w:u w:val="single"/>
        </w:rPr>
        <w:br/>
      </w:r>
      <w:r w:rsidR="00A96542" w:rsidRPr="00B049D8">
        <w:rPr>
          <w:rFonts w:cstheme="minorHAnsi"/>
        </w:rPr>
        <w:t>w uzasadnionej opinii z dnia 14 maja 2020 r. wystosowaną na podstawie art. 258 Traktatu</w:t>
      </w:r>
      <w:r w:rsidR="005F6E74">
        <w:rPr>
          <w:rFonts w:cstheme="minorHAnsi"/>
        </w:rPr>
        <w:br/>
      </w:r>
      <w:r w:rsidR="00A96542" w:rsidRPr="00B049D8">
        <w:rPr>
          <w:rFonts w:cstheme="minorHAnsi"/>
        </w:rPr>
        <w:t>o funkcjonowaniu Unii Europejskiej w związku z uchybieniem zobowiązaniom ciążącym na niej na mocy art. 3, 4, 5, 10, 15 oraz sekcji A, B i D załącznika I do dyrektywy Rady 91/271/EWG z dnia 21 maja 1991</w:t>
      </w:r>
      <w:r w:rsidR="003D235A">
        <w:rPr>
          <w:rFonts w:cstheme="minorHAnsi"/>
        </w:rPr>
        <w:t> </w:t>
      </w:r>
      <w:r w:rsidR="00A96542" w:rsidRPr="00B049D8">
        <w:rPr>
          <w:rFonts w:cstheme="minorHAnsi"/>
        </w:rPr>
        <w:t>r. dotyczącej oczyszczania ścieków komunalnych</w:t>
      </w:r>
      <w:r w:rsidRPr="00B049D8">
        <w:rPr>
          <w:rFonts w:cstheme="minorHAnsi"/>
        </w:rPr>
        <w:t>, tj.:</w:t>
      </w:r>
    </w:p>
    <w:p w14:paraId="15DD6B14" w14:textId="77777777" w:rsidR="00B2375A" w:rsidRPr="00B049D8" w:rsidRDefault="00B2375A" w:rsidP="00D62D5D">
      <w:pPr>
        <w:pStyle w:val="Akapitzlist"/>
        <w:numPr>
          <w:ilvl w:val="0"/>
          <w:numId w:val="1"/>
        </w:numPr>
        <w:spacing w:after="240" w:line="276" w:lineRule="auto"/>
        <w:jc w:val="both"/>
        <w:rPr>
          <w:rFonts w:cstheme="minorHAnsi"/>
        </w:rPr>
      </w:pPr>
      <w:r w:rsidRPr="00B049D8">
        <w:rPr>
          <w:rFonts w:cstheme="minorHAnsi"/>
        </w:rPr>
        <w:t>wyrok TSUE z dnia 6 listopada 2014 r. w sprawie C-395/13</w:t>
      </w:r>
      <w:r w:rsidR="00C54499" w:rsidRPr="00B049D8">
        <w:rPr>
          <w:rFonts w:cstheme="minorHAnsi"/>
        </w:rPr>
        <w:t xml:space="preserve"> –</w:t>
      </w:r>
      <w:r w:rsidRPr="00B049D8">
        <w:rPr>
          <w:rFonts w:cstheme="minorHAnsi"/>
        </w:rPr>
        <w:t xml:space="preserve"> Komisja przeciwko Belgii</w:t>
      </w:r>
      <w:r w:rsidRPr="00B049D8">
        <w:rPr>
          <w:rStyle w:val="Odwoanieprzypisudolnego"/>
          <w:rFonts w:cstheme="minorHAnsi"/>
        </w:rPr>
        <w:footnoteReference w:id="2"/>
      </w:r>
      <w:r w:rsidR="00A865AC" w:rsidRPr="00B049D8">
        <w:rPr>
          <w:rFonts w:cstheme="minorHAnsi"/>
        </w:rPr>
        <w:t>;</w:t>
      </w:r>
    </w:p>
    <w:p w14:paraId="6A619B8E" w14:textId="77777777" w:rsidR="00B2375A" w:rsidRPr="00B049D8" w:rsidRDefault="00B2375A" w:rsidP="00D62D5D">
      <w:pPr>
        <w:pStyle w:val="Akapitzlist"/>
        <w:numPr>
          <w:ilvl w:val="0"/>
          <w:numId w:val="1"/>
        </w:numPr>
        <w:spacing w:after="240" w:line="276" w:lineRule="auto"/>
        <w:jc w:val="both"/>
        <w:rPr>
          <w:rFonts w:cstheme="minorHAnsi"/>
        </w:rPr>
      </w:pPr>
      <w:r w:rsidRPr="00B049D8">
        <w:rPr>
          <w:rFonts w:cstheme="minorHAnsi"/>
        </w:rPr>
        <w:t>wyrok TSUE z dnia 25 października 2007 r. w sprawie C-440/06</w:t>
      </w:r>
      <w:r w:rsidR="00C54499" w:rsidRPr="00B049D8">
        <w:rPr>
          <w:rFonts w:cstheme="minorHAnsi"/>
        </w:rPr>
        <w:t xml:space="preserve"> –</w:t>
      </w:r>
      <w:r w:rsidRPr="00B049D8">
        <w:rPr>
          <w:rFonts w:cstheme="minorHAnsi"/>
        </w:rPr>
        <w:t xml:space="preserve"> Komisja przeciwko Grecji</w:t>
      </w:r>
      <w:r w:rsidR="00A865AC" w:rsidRPr="00B049D8">
        <w:rPr>
          <w:rStyle w:val="Odwoanieprzypisudolnego"/>
          <w:rFonts w:cstheme="minorHAnsi"/>
        </w:rPr>
        <w:footnoteReference w:id="3"/>
      </w:r>
      <w:r w:rsidR="00A865AC" w:rsidRPr="00B049D8">
        <w:rPr>
          <w:rFonts w:cstheme="minorHAnsi"/>
        </w:rPr>
        <w:t>;</w:t>
      </w:r>
    </w:p>
    <w:p w14:paraId="3D9986C1" w14:textId="77777777" w:rsidR="00A96542" w:rsidRPr="00B049D8" w:rsidRDefault="00B2375A" w:rsidP="00D62D5D">
      <w:pPr>
        <w:pStyle w:val="Akapitzlist"/>
        <w:numPr>
          <w:ilvl w:val="0"/>
          <w:numId w:val="1"/>
        </w:numPr>
        <w:spacing w:after="240" w:line="276" w:lineRule="auto"/>
        <w:jc w:val="both"/>
        <w:rPr>
          <w:rFonts w:cstheme="minorHAnsi"/>
        </w:rPr>
      </w:pPr>
      <w:r w:rsidRPr="00B049D8">
        <w:rPr>
          <w:rFonts w:cstheme="minorHAnsi"/>
        </w:rPr>
        <w:t>wyrok TSUE z dnia 16 kwietnia 2007 r. w sprawie C-219/05</w:t>
      </w:r>
      <w:r w:rsidR="00C54499" w:rsidRPr="00B049D8">
        <w:rPr>
          <w:rFonts w:cstheme="minorHAnsi"/>
        </w:rPr>
        <w:t xml:space="preserve"> – </w:t>
      </w:r>
      <w:r w:rsidRPr="00B049D8">
        <w:rPr>
          <w:rFonts w:cstheme="minorHAnsi"/>
        </w:rPr>
        <w:t>Komisja przeciwko Hiszpanii</w:t>
      </w:r>
      <w:r w:rsidR="00A865AC" w:rsidRPr="00B049D8">
        <w:rPr>
          <w:rStyle w:val="Odwoanieprzypisudolnego"/>
          <w:rFonts w:cstheme="minorHAnsi"/>
        </w:rPr>
        <w:footnoteReference w:id="4"/>
      </w:r>
      <w:r w:rsidR="00A865AC" w:rsidRPr="00B049D8">
        <w:rPr>
          <w:rFonts w:cstheme="minorHAnsi"/>
        </w:rPr>
        <w:t>.</w:t>
      </w:r>
    </w:p>
    <w:p w14:paraId="45D370BB" w14:textId="77777777" w:rsidR="00A865AC" w:rsidRPr="00B049D8" w:rsidRDefault="002F705B" w:rsidP="00D62D5D">
      <w:pPr>
        <w:spacing w:after="240" w:line="276" w:lineRule="auto"/>
        <w:jc w:val="both"/>
        <w:rPr>
          <w:rFonts w:cstheme="minorHAnsi"/>
        </w:rPr>
      </w:pPr>
      <w:r w:rsidRPr="00B049D8">
        <w:rPr>
          <w:rFonts w:cstheme="minorHAnsi"/>
        </w:rPr>
        <w:t>Wynika to z faktu, iż wyroki te wydane zostały na podstawie art. 226 (ES, GR) oraz art. 258 (BE) TFUE</w:t>
      </w:r>
      <w:r w:rsidR="00D62D5D">
        <w:rPr>
          <w:rFonts w:cstheme="minorHAnsi"/>
        </w:rPr>
        <w:br/>
      </w:r>
      <w:r w:rsidR="00A348ED" w:rsidRPr="00B049D8">
        <w:rPr>
          <w:rFonts w:cstheme="minorHAnsi"/>
        </w:rPr>
        <w:t>i</w:t>
      </w:r>
      <w:r w:rsidRPr="00B049D8">
        <w:rPr>
          <w:rFonts w:cstheme="minorHAnsi"/>
        </w:rPr>
        <w:t xml:space="preserve"> nie nakładały kar na Państwa członkowskie, a jedynie obciążały je kosztami post</w:t>
      </w:r>
      <w:r w:rsidR="00A348ED" w:rsidRPr="00B049D8">
        <w:rPr>
          <w:rFonts w:cstheme="minorHAnsi"/>
        </w:rPr>
        <w:t>ę</w:t>
      </w:r>
      <w:r w:rsidRPr="00B049D8">
        <w:rPr>
          <w:rFonts w:cstheme="minorHAnsi"/>
        </w:rPr>
        <w:t>powania.</w:t>
      </w:r>
    </w:p>
    <w:p w14:paraId="5B988EDF" w14:textId="77777777" w:rsidR="002F705B" w:rsidRPr="00B049D8" w:rsidRDefault="002F705B" w:rsidP="00D62D5D">
      <w:pPr>
        <w:spacing w:after="0" w:line="276" w:lineRule="auto"/>
        <w:jc w:val="both"/>
        <w:rPr>
          <w:rFonts w:cstheme="minorHAnsi"/>
        </w:rPr>
      </w:pPr>
      <w:r w:rsidRPr="00B049D8">
        <w:rPr>
          <w:rFonts w:cstheme="minorHAnsi"/>
        </w:rPr>
        <w:t>Na potrzeby obliczeń wykorzystano wyroki TSUE dotyczące naruszenia dyrektyw ściekowej wydane na podstawie art. 260 TFUE</w:t>
      </w:r>
      <w:r w:rsidR="00F740C8" w:rsidRPr="00B049D8">
        <w:rPr>
          <w:rFonts w:cstheme="minorHAnsi"/>
        </w:rPr>
        <w:t>:</w:t>
      </w:r>
    </w:p>
    <w:p w14:paraId="06ADF228" w14:textId="77777777" w:rsidR="00F740C8" w:rsidRPr="00B049D8" w:rsidRDefault="00F740C8" w:rsidP="00D62D5D">
      <w:pPr>
        <w:pStyle w:val="Akapitzlist"/>
        <w:numPr>
          <w:ilvl w:val="0"/>
          <w:numId w:val="2"/>
        </w:numPr>
        <w:spacing w:after="240" w:line="276" w:lineRule="auto"/>
        <w:jc w:val="both"/>
        <w:rPr>
          <w:rFonts w:cstheme="minorHAnsi"/>
        </w:rPr>
      </w:pPr>
      <w:r w:rsidRPr="00B049D8">
        <w:rPr>
          <w:rFonts w:cstheme="minorHAnsi"/>
        </w:rPr>
        <w:t xml:space="preserve">wyrok TSUE z dnia 22 czerwca 2016 r. </w:t>
      </w:r>
      <w:r w:rsidR="00C54499" w:rsidRPr="00B049D8">
        <w:rPr>
          <w:rFonts w:cstheme="minorHAnsi"/>
        </w:rPr>
        <w:t xml:space="preserve">w sprawie </w:t>
      </w:r>
      <w:r w:rsidRPr="00B049D8">
        <w:rPr>
          <w:rFonts w:cstheme="minorHAnsi"/>
        </w:rPr>
        <w:t xml:space="preserve">C-557/14 </w:t>
      </w:r>
      <w:r w:rsidR="00C54499" w:rsidRPr="00B049D8">
        <w:rPr>
          <w:rFonts w:cstheme="minorHAnsi"/>
        </w:rPr>
        <w:t>–</w:t>
      </w:r>
      <w:r w:rsidRPr="00B049D8">
        <w:rPr>
          <w:rFonts w:cstheme="minorHAnsi"/>
        </w:rPr>
        <w:t xml:space="preserve"> Komisja przeciwko Portugalii</w:t>
      </w:r>
      <w:r w:rsidR="00C54499" w:rsidRPr="00B049D8">
        <w:rPr>
          <w:rStyle w:val="Odwoanieprzypisudolnego"/>
          <w:rFonts w:cstheme="minorHAnsi"/>
        </w:rPr>
        <w:footnoteReference w:id="5"/>
      </w:r>
      <w:r w:rsidR="00C54499" w:rsidRPr="00B049D8">
        <w:rPr>
          <w:rFonts w:cstheme="minorHAnsi"/>
        </w:rPr>
        <w:t>;</w:t>
      </w:r>
    </w:p>
    <w:p w14:paraId="5A2FA6A5" w14:textId="77777777" w:rsidR="00C54499" w:rsidRPr="00B049D8" w:rsidRDefault="00C54499" w:rsidP="00D62D5D">
      <w:pPr>
        <w:pStyle w:val="Akapitzlist"/>
        <w:numPr>
          <w:ilvl w:val="0"/>
          <w:numId w:val="2"/>
        </w:numPr>
        <w:spacing w:after="240" w:line="276" w:lineRule="auto"/>
        <w:jc w:val="both"/>
        <w:rPr>
          <w:rFonts w:cstheme="minorHAnsi"/>
        </w:rPr>
      </w:pPr>
      <w:r w:rsidRPr="00B049D8">
        <w:rPr>
          <w:rFonts w:cstheme="minorHAnsi"/>
        </w:rPr>
        <w:t>wyrok TSUE  z dnia 31 maja 2018 r. w sprawie C-251/17 – Komisja przeciwko Włochom</w:t>
      </w:r>
      <w:r w:rsidRPr="00B049D8">
        <w:rPr>
          <w:rStyle w:val="Odwoanieprzypisudolnego"/>
          <w:rFonts w:cstheme="minorHAnsi"/>
        </w:rPr>
        <w:footnoteReference w:id="6"/>
      </w:r>
      <w:r w:rsidR="00A348ED" w:rsidRPr="00B049D8">
        <w:rPr>
          <w:rFonts w:cstheme="minorHAnsi"/>
        </w:rPr>
        <w:t>;</w:t>
      </w:r>
    </w:p>
    <w:p w14:paraId="7118F808" w14:textId="77777777" w:rsidR="00C54499" w:rsidRPr="00B049D8" w:rsidRDefault="00C54499" w:rsidP="00D62D5D">
      <w:pPr>
        <w:pStyle w:val="Akapitzlist"/>
        <w:numPr>
          <w:ilvl w:val="0"/>
          <w:numId w:val="2"/>
        </w:numPr>
        <w:spacing w:after="240" w:line="276" w:lineRule="auto"/>
        <w:jc w:val="both"/>
        <w:rPr>
          <w:rFonts w:cstheme="minorHAnsi"/>
        </w:rPr>
      </w:pPr>
      <w:r w:rsidRPr="00B049D8">
        <w:rPr>
          <w:rFonts w:cstheme="minorHAnsi"/>
        </w:rPr>
        <w:t xml:space="preserve">wyrok TSUE z dnia 25 lipca 2018 r. w sprawie C-205/17 </w:t>
      </w:r>
      <w:r w:rsidR="00F773CD" w:rsidRPr="00B049D8">
        <w:rPr>
          <w:rFonts w:cstheme="minorHAnsi"/>
        </w:rPr>
        <w:t>–</w:t>
      </w:r>
      <w:r w:rsidRPr="00B049D8">
        <w:rPr>
          <w:rFonts w:cstheme="minorHAnsi"/>
        </w:rPr>
        <w:t xml:space="preserve"> Komisja przeciwko Hiszpanii</w:t>
      </w:r>
      <w:r w:rsidR="00F773CD" w:rsidRPr="00B049D8">
        <w:rPr>
          <w:rStyle w:val="Odwoanieprzypisudolnego"/>
          <w:rFonts w:cstheme="minorHAnsi"/>
        </w:rPr>
        <w:footnoteReference w:id="7"/>
      </w:r>
      <w:r w:rsidR="00A348ED" w:rsidRPr="00B049D8">
        <w:rPr>
          <w:rFonts w:cstheme="minorHAnsi"/>
        </w:rPr>
        <w:t>;</w:t>
      </w:r>
    </w:p>
    <w:p w14:paraId="65F040EB" w14:textId="77777777" w:rsidR="00F773CD" w:rsidRPr="00B049D8" w:rsidRDefault="00F773CD" w:rsidP="00D62D5D">
      <w:pPr>
        <w:pStyle w:val="Akapitzlist"/>
        <w:numPr>
          <w:ilvl w:val="0"/>
          <w:numId w:val="2"/>
        </w:numPr>
        <w:spacing w:after="240" w:line="276" w:lineRule="auto"/>
        <w:jc w:val="both"/>
        <w:rPr>
          <w:rFonts w:cstheme="minorHAnsi"/>
        </w:rPr>
      </w:pPr>
      <w:r w:rsidRPr="00B049D8">
        <w:rPr>
          <w:rFonts w:cstheme="minorHAnsi"/>
        </w:rPr>
        <w:t xml:space="preserve">wyrok TSUE z dnia 22 lutego 2018 r. w sprawie C-328/16 </w:t>
      </w:r>
      <w:r w:rsidR="00E12468" w:rsidRPr="00B049D8">
        <w:rPr>
          <w:rFonts w:cstheme="minorHAnsi"/>
        </w:rPr>
        <w:t>–</w:t>
      </w:r>
      <w:r w:rsidRPr="00B049D8">
        <w:rPr>
          <w:rFonts w:cstheme="minorHAnsi"/>
        </w:rPr>
        <w:t xml:space="preserve"> Komisja przeciwko Grecji</w:t>
      </w:r>
      <w:r w:rsidR="009501C5" w:rsidRPr="00B049D8">
        <w:rPr>
          <w:rStyle w:val="Odwoanieprzypisudolnego"/>
          <w:rFonts w:cstheme="minorHAnsi"/>
        </w:rPr>
        <w:footnoteReference w:id="8"/>
      </w:r>
      <w:r w:rsidR="00A348ED" w:rsidRPr="00B049D8">
        <w:rPr>
          <w:rFonts w:cstheme="minorHAnsi"/>
        </w:rPr>
        <w:t>;</w:t>
      </w:r>
    </w:p>
    <w:p w14:paraId="4CF75482" w14:textId="77777777" w:rsidR="00A348ED" w:rsidRPr="00B049D8" w:rsidRDefault="00A348ED" w:rsidP="00D62D5D">
      <w:pPr>
        <w:pStyle w:val="Akapitzlist"/>
        <w:numPr>
          <w:ilvl w:val="0"/>
          <w:numId w:val="2"/>
        </w:numPr>
        <w:spacing w:after="240" w:line="276" w:lineRule="auto"/>
        <w:jc w:val="both"/>
        <w:rPr>
          <w:rFonts w:cstheme="minorHAnsi"/>
        </w:rPr>
      </w:pPr>
      <w:r w:rsidRPr="00B049D8">
        <w:rPr>
          <w:rFonts w:cstheme="minorHAnsi"/>
        </w:rPr>
        <w:t xml:space="preserve">wyrok TSUE z dnia 15 października 2015 r. w sprawie C-167/14 </w:t>
      </w:r>
      <w:r w:rsidR="00E12468" w:rsidRPr="00B049D8">
        <w:rPr>
          <w:rFonts w:cstheme="minorHAnsi"/>
        </w:rPr>
        <w:t>–</w:t>
      </w:r>
      <w:r w:rsidRPr="00B049D8">
        <w:rPr>
          <w:rFonts w:cstheme="minorHAnsi"/>
        </w:rPr>
        <w:t xml:space="preserve"> Komisja przeciwko Grecji</w:t>
      </w:r>
      <w:r w:rsidRPr="00B049D8">
        <w:rPr>
          <w:rStyle w:val="Odwoanieprzypisudolnego"/>
          <w:rFonts w:cstheme="minorHAnsi"/>
        </w:rPr>
        <w:footnoteReference w:id="9"/>
      </w:r>
      <w:r w:rsidRPr="00B049D8">
        <w:rPr>
          <w:rFonts w:cstheme="minorHAnsi"/>
        </w:rPr>
        <w:t>;</w:t>
      </w:r>
    </w:p>
    <w:p w14:paraId="4771D099" w14:textId="77777777" w:rsidR="00A348ED" w:rsidRPr="00B049D8" w:rsidRDefault="00A348ED" w:rsidP="00D62D5D">
      <w:pPr>
        <w:pStyle w:val="Akapitzlist"/>
        <w:numPr>
          <w:ilvl w:val="0"/>
          <w:numId w:val="2"/>
        </w:numPr>
        <w:spacing w:after="240" w:line="276" w:lineRule="auto"/>
        <w:jc w:val="both"/>
        <w:rPr>
          <w:rFonts w:cstheme="minorHAnsi"/>
        </w:rPr>
      </w:pPr>
      <w:r w:rsidRPr="00B049D8">
        <w:rPr>
          <w:rFonts w:cstheme="minorHAnsi"/>
        </w:rPr>
        <w:t xml:space="preserve">wyrok TSUE z dnia 28 listopada 2013 r. w sprawie C-576/11 </w:t>
      </w:r>
      <w:r w:rsidR="00E12468" w:rsidRPr="00B049D8">
        <w:rPr>
          <w:rFonts w:cstheme="minorHAnsi"/>
        </w:rPr>
        <w:t>–</w:t>
      </w:r>
      <w:r w:rsidRPr="00B049D8">
        <w:rPr>
          <w:rFonts w:cstheme="minorHAnsi"/>
        </w:rPr>
        <w:t xml:space="preserve"> Komisja przeciwko Luksemburgowi</w:t>
      </w:r>
      <w:r w:rsidRPr="00B049D8">
        <w:rPr>
          <w:rStyle w:val="Odwoanieprzypisudolnego"/>
          <w:rFonts w:cstheme="minorHAnsi"/>
        </w:rPr>
        <w:footnoteReference w:id="10"/>
      </w:r>
      <w:r w:rsidRPr="00B049D8">
        <w:rPr>
          <w:rFonts w:cstheme="minorHAnsi"/>
        </w:rPr>
        <w:t>.</w:t>
      </w:r>
    </w:p>
    <w:p w14:paraId="745C6175" w14:textId="77777777" w:rsidR="00870104" w:rsidRPr="00B049D8" w:rsidRDefault="00885CB4" w:rsidP="00D62D5D">
      <w:pPr>
        <w:spacing w:after="240" w:line="276" w:lineRule="auto"/>
        <w:jc w:val="both"/>
        <w:rPr>
          <w:rFonts w:cstheme="minorHAnsi"/>
        </w:rPr>
      </w:pPr>
      <w:r w:rsidRPr="00B049D8">
        <w:rPr>
          <w:rFonts w:cstheme="minorHAnsi"/>
        </w:rPr>
        <w:t>Powyższe wyroki TSUE wymieniają aglomeracje, które nie spełniają poszczególnych warunków dyrektywy</w:t>
      </w:r>
      <w:r w:rsidR="008579F5" w:rsidRPr="00B049D8">
        <w:rPr>
          <w:rFonts w:cstheme="minorHAnsi"/>
        </w:rPr>
        <w:t xml:space="preserve">, </w:t>
      </w:r>
      <w:r w:rsidRPr="00B049D8">
        <w:rPr>
          <w:rFonts w:cstheme="minorHAnsi"/>
        </w:rPr>
        <w:t xml:space="preserve">wysokość opłaty okresowej (kary finansowej) </w:t>
      </w:r>
      <w:r w:rsidR="008579F5" w:rsidRPr="00B049D8">
        <w:rPr>
          <w:rFonts w:cstheme="minorHAnsi"/>
        </w:rPr>
        <w:t xml:space="preserve">– w ujęciu dziennym lub półrocznym oraz wysokość ryczałtu na rzecz Komisji. </w:t>
      </w:r>
      <w:r w:rsidR="005F6E74">
        <w:rPr>
          <w:rFonts w:cstheme="minorHAnsi"/>
        </w:rPr>
        <w:t>Wyroki nie precyzują jednak poziomu RLM niespełniającego dyrektywy, który objęty został karą.</w:t>
      </w:r>
    </w:p>
    <w:p w14:paraId="1713CA94" w14:textId="394147A3" w:rsidR="006848F1" w:rsidRDefault="00BD3A2A" w:rsidP="00D62D5D">
      <w:pPr>
        <w:spacing w:after="240" w:line="276" w:lineRule="auto"/>
        <w:jc w:val="both"/>
        <w:rPr>
          <w:rFonts w:cstheme="minorHAnsi"/>
        </w:rPr>
      </w:pPr>
      <w:r w:rsidRPr="00B049D8">
        <w:rPr>
          <w:rFonts w:cstheme="minorHAnsi"/>
        </w:rPr>
        <w:lastRenderedPageBreak/>
        <w:t xml:space="preserve">Przedstawiony machaniem nie ma na celu oszacowania wielkości potencjalnej kary finansowej nałożonej na Polskę i tym samym </w:t>
      </w:r>
      <w:r w:rsidR="00D21807" w:rsidRPr="00B049D8">
        <w:rPr>
          <w:rFonts w:cstheme="minorHAnsi"/>
        </w:rPr>
        <w:t>nie stanowi</w:t>
      </w:r>
      <w:r w:rsidRPr="00B049D8">
        <w:rPr>
          <w:rFonts w:cstheme="minorHAnsi"/>
        </w:rPr>
        <w:t xml:space="preserve"> ewentualnej „rekompensaty” na rzecz budżetu Państwa </w:t>
      </w:r>
      <w:r w:rsidR="00E12468" w:rsidRPr="00B049D8">
        <w:rPr>
          <w:rFonts w:cstheme="minorHAnsi"/>
        </w:rPr>
        <w:t>wynikającej</w:t>
      </w:r>
      <w:r w:rsidRPr="00B049D8">
        <w:rPr>
          <w:rFonts w:cstheme="minorHAnsi"/>
        </w:rPr>
        <w:t xml:space="preserve"> z ewentualnego nałożenia kar finansowych przez TSUE</w:t>
      </w:r>
      <w:r w:rsidR="00D21807" w:rsidRPr="00B049D8">
        <w:rPr>
          <w:rFonts w:cstheme="minorHAnsi"/>
        </w:rPr>
        <w:t>, dlatego też system jej obliczenia został uproszczony, a wyroki TSUE stanowią jedynie punkt odniesienia do dalszych wyliczeń.</w:t>
      </w:r>
      <w:r w:rsidR="00B32F00" w:rsidRPr="00B049D8">
        <w:rPr>
          <w:rFonts w:cstheme="minorHAnsi"/>
        </w:rPr>
        <w:t xml:space="preserve"> </w:t>
      </w:r>
      <w:r w:rsidR="006848F1">
        <w:rPr>
          <w:rFonts w:cstheme="minorHAnsi"/>
        </w:rPr>
        <w:t>Do</w:t>
      </w:r>
      <w:r w:rsidR="006973C4">
        <w:rPr>
          <w:rFonts w:cstheme="minorHAnsi"/>
        </w:rPr>
        <w:t> </w:t>
      </w:r>
      <w:r w:rsidR="006848F1">
        <w:rPr>
          <w:rFonts w:cstheme="minorHAnsi"/>
        </w:rPr>
        <w:t xml:space="preserve">obliczeń nie zastosowany został sposób obliczania kar finansowych wynikający z ww. Komunikatu Komisji z uwagi na fakt iż nie jest znany m.in. </w:t>
      </w:r>
      <w:r w:rsidR="006848F1" w:rsidRPr="00B049D8">
        <w:rPr>
          <w:rFonts w:cstheme="minorHAnsi"/>
        </w:rPr>
        <w:t xml:space="preserve">współczynnik powagi naruszenia </w:t>
      </w:r>
      <w:r w:rsidR="006848F1">
        <w:rPr>
          <w:rFonts w:cstheme="minorHAnsi"/>
        </w:rPr>
        <w:t>oraz</w:t>
      </w:r>
      <w:r w:rsidR="006848F1" w:rsidRPr="00B049D8">
        <w:rPr>
          <w:rFonts w:cstheme="minorHAnsi"/>
        </w:rPr>
        <w:t xml:space="preserve"> współcz</w:t>
      </w:r>
      <w:r w:rsidR="006848F1">
        <w:rPr>
          <w:rFonts w:cstheme="minorHAnsi"/>
        </w:rPr>
        <w:t>ynnik długotrwałości naruszenia jaki zostałby przyjęty przez TSUE w stosunku do Polski.</w:t>
      </w:r>
    </w:p>
    <w:p w14:paraId="6D4F5A04" w14:textId="77777777" w:rsidR="00BD3A2A" w:rsidRPr="00B049D8" w:rsidRDefault="006848F1" w:rsidP="00D62D5D">
      <w:pPr>
        <w:spacing w:after="240" w:line="276" w:lineRule="auto"/>
        <w:jc w:val="both"/>
        <w:rPr>
          <w:rFonts w:cstheme="minorHAnsi"/>
        </w:rPr>
      </w:pPr>
      <w:r>
        <w:rPr>
          <w:rFonts w:cstheme="minorHAnsi"/>
        </w:rPr>
        <w:t>Powyższe nie</w:t>
      </w:r>
      <w:r w:rsidR="00B32F00" w:rsidRPr="00B049D8">
        <w:rPr>
          <w:rFonts w:cstheme="minorHAnsi"/>
        </w:rPr>
        <w:t xml:space="preserve"> oznacza to jednak, iż kary zasądzane jednostkom samorządu terytorialnego na podstawie projektowanych przepisów nie mogą zostać przeznaczone na poczet kar zasądzonych przez TSUE.</w:t>
      </w:r>
    </w:p>
    <w:p w14:paraId="183D4BE2" w14:textId="77777777" w:rsidR="00DF43F8" w:rsidRPr="00B049D8" w:rsidRDefault="00DF43F8" w:rsidP="00D62D5D">
      <w:pPr>
        <w:spacing w:after="0" w:line="276" w:lineRule="auto"/>
        <w:jc w:val="both"/>
        <w:rPr>
          <w:rFonts w:cstheme="minorHAnsi"/>
        </w:rPr>
      </w:pPr>
      <w:r w:rsidRPr="00B049D8">
        <w:rPr>
          <w:rFonts w:cstheme="minorHAnsi"/>
        </w:rPr>
        <w:t>Wielkość zasądzonych kar przez TSUE na podstawie art. 260 TFUE:</w:t>
      </w:r>
    </w:p>
    <w:tbl>
      <w:tblPr>
        <w:tblStyle w:val="Tabela-Siatka"/>
        <w:tblW w:w="0" w:type="auto"/>
        <w:tblLayout w:type="fixed"/>
        <w:tblLook w:val="04A0" w:firstRow="1" w:lastRow="0" w:firstColumn="1" w:lastColumn="0" w:noHBand="0" w:noVBand="1"/>
      </w:tblPr>
      <w:tblGrid>
        <w:gridCol w:w="846"/>
        <w:gridCol w:w="1134"/>
        <w:gridCol w:w="1134"/>
        <w:gridCol w:w="992"/>
        <w:gridCol w:w="992"/>
        <w:gridCol w:w="993"/>
        <w:gridCol w:w="1134"/>
        <w:gridCol w:w="1134"/>
      </w:tblGrid>
      <w:tr w:rsidR="00E12789" w:rsidRPr="00B049D8" w14:paraId="3E1F7302" w14:textId="77777777" w:rsidTr="00782653">
        <w:trPr>
          <w:trHeight w:val="340"/>
        </w:trPr>
        <w:tc>
          <w:tcPr>
            <w:tcW w:w="846" w:type="dxa"/>
            <w:vAlign w:val="center"/>
          </w:tcPr>
          <w:p w14:paraId="0294DD78" w14:textId="77777777" w:rsidR="00E12789" w:rsidRPr="00B049D8" w:rsidRDefault="00E12789" w:rsidP="00D62D5D">
            <w:pPr>
              <w:spacing w:line="276" w:lineRule="auto"/>
              <w:jc w:val="center"/>
              <w:rPr>
                <w:rFonts w:cstheme="minorHAnsi"/>
                <w:sz w:val="16"/>
                <w:szCs w:val="16"/>
              </w:rPr>
            </w:pPr>
            <w:r w:rsidRPr="00B049D8">
              <w:rPr>
                <w:rFonts w:cstheme="minorHAnsi"/>
                <w:sz w:val="16"/>
                <w:szCs w:val="16"/>
              </w:rPr>
              <w:t>Nr sprawy</w:t>
            </w:r>
          </w:p>
        </w:tc>
        <w:tc>
          <w:tcPr>
            <w:tcW w:w="1134" w:type="dxa"/>
            <w:vAlign w:val="center"/>
          </w:tcPr>
          <w:p w14:paraId="2400F932" w14:textId="77777777" w:rsidR="00E12789" w:rsidRPr="00B049D8" w:rsidRDefault="00E12789" w:rsidP="00D62D5D">
            <w:pPr>
              <w:spacing w:line="276" w:lineRule="auto"/>
              <w:jc w:val="center"/>
              <w:rPr>
                <w:rFonts w:cstheme="minorHAnsi"/>
                <w:sz w:val="16"/>
                <w:szCs w:val="16"/>
              </w:rPr>
            </w:pPr>
            <w:r w:rsidRPr="00B049D8">
              <w:rPr>
                <w:rFonts w:cstheme="minorHAnsi"/>
                <w:sz w:val="16"/>
                <w:szCs w:val="16"/>
              </w:rPr>
              <w:t>Kraj</w:t>
            </w:r>
          </w:p>
        </w:tc>
        <w:tc>
          <w:tcPr>
            <w:tcW w:w="1134" w:type="dxa"/>
            <w:vAlign w:val="center"/>
          </w:tcPr>
          <w:p w14:paraId="5464BA46" w14:textId="77777777" w:rsidR="00E12789" w:rsidRPr="00B049D8" w:rsidRDefault="00DB562C" w:rsidP="00D62D5D">
            <w:pPr>
              <w:spacing w:line="276" w:lineRule="auto"/>
              <w:jc w:val="center"/>
              <w:rPr>
                <w:rFonts w:cstheme="minorHAnsi"/>
                <w:sz w:val="16"/>
                <w:szCs w:val="16"/>
              </w:rPr>
            </w:pPr>
            <w:r w:rsidRPr="00B049D8">
              <w:rPr>
                <w:rFonts w:cstheme="minorHAnsi"/>
                <w:sz w:val="16"/>
                <w:szCs w:val="16"/>
              </w:rPr>
              <w:t>Art.</w:t>
            </w:r>
            <w:r w:rsidR="00E12789" w:rsidRPr="00B049D8">
              <w:rPr>
                <w:rFonts w:cstheme="minorHAnsi"/>
                <w:sz w:val="16"/>
                <w:szCs w:val="16"/>
              </w:rPr>
              <w:t xml:space="preserve"> naruszenia dyrektywy</w:t>
            </w:r>
            <w:r w:rsidR="00782653">
              <w:rPr>
                <w:rFonts w:cstheme="minorHAnsi"/>
                <w:sz w:val="16"/>
                <w:szCs w:val="16"/>
              </w:rPr>
              <w:t xml:space="preserve"> ściekowej</w:t>
            </w:r>
          </w:p>
        </w:tc>
        <w:tc>
          <w:tcPr>
            <w:tcW w:w="992" w:type="dxa"/>
            <w:vAlign w:val="center"/>
          </w:tcPr>
          <w:p w14:paraId="374AE85F" w14:textId="77777777" w:rsidR="00E12789" w:rsidRPr="00B049D8" w:rsidRDefault="00E12789" w:rsidP="00D62D5D">
            <w:pPr>
              <w:spacing w:line="276" w:lineRule="auto"/>
              <w:jc w:val="center"/>
              <w:rPr>
                <w:rFonts w:cstheme="minorHAnsi"/>
                <w:sz w:val="16"/>
                <w:szCs w:val="16"/>
              </w:rPr>
            </w:pPr>
            <w:r w:rsidRPr="00B049D8">
              <w:rPr>
                <w:rFonts w:cstheme="minorHAnsi"/>
                <w:sz w:val="16"/>
                <w:szCs w:val="16"/>
              </w:rPr>
              <w:t>Ilość aglomeracji</w:t>
            </w:r>
            <w:r w:rsidR="00B96DB2" w:rsidRPr="00B049D8">
              <w:rPr>
                <w:rFonts w:cstheme="minorHAnsi"/>
                <w:sz w:val="16"/>
                <w:szCs w:val="16"/>
              </w:rPr>
              <w:t xml:space="preserve"> dla których została zasądzona kara</w:t>
            </w:r>
          </w:p>
        </w:tc>
        <w:tc>
          <w:tcPr>
            <w:tcW w:w="992" w:type="dxa"/>
            <w:vAlign w:val="center"/>
          </w:tcPr>
          <w:p w14:paraId="4FC14F4A" w14:textId="77777777" w:rsidR="00E12789" w:rsidRPr="00B049D8" w:rsidRDefault="00E12789" w:rsidP="00D62D5D">
            <w:pPr>
              <w:spacing w:line="276" w:lineRule="auto"/>
              <w:jc w:val="center"/>
              <w:rPr>
                <w:rFonts w:cstheme="minorHAnsi"/>
                <w:sz w:val="16"/>
                <w:szCs w:val="16"/>
              </w:rPr>
            </w:pPr>
            <w:r w:rsidRPr="00B049D8">
              <w:rPr>
                <w:rFonts w:cstheme="minorHAnsi"/>
                <w:sz w:val="16"/>
                <w:szCs w:val="16"/>
              </w:rPr>
              <w:t>Rodzaj okresowej kary</w:t>
            </w:r>
          </w:p>
        </w:tc>
        <w:tc>
          <w:tcPr>
            <w:tcW w:w="993" w:type="dxa"/>
            <w:vAlign w:val="center"/>
          </w:tcPr>
          <w:p w14:paraId="460BAE5D" w14:textId="77777777" w:rsidR="00E12789" w:rsidRPr="00B049D8" w:rsidRDefault="00F145A2" w:rsidP="00D62D5D">
            <w:pPr>
              <w:spacing w:line="276" w:lineRule="auto"/>
              <w:jc w:val="center"/>
              <w:rPr>
                <w:rFonts w:cstheme="minorHAnsi"/>
                <w:sz w:val="16"/>
                <w:szCs w:val="16"/>
              </w:rPr>
            </w:pPr>
            <w:r>
              <w:rPr>
                <w:rFonts w:cstheme="minorHAnsi"/>
                <w:sz w:val="16"/>
                <w:szCs w:val="16"/>
              </w:rPr>
              <w:t>Wysokość kary</w:t>
            </w:r>
            <w:r>
              <w:rPr>
                <w:rFonts w:cstheme="minorHAnsi"/>
                <w:sz w:val="16"/>
                <w:szCs w:val="16"/>
              </w:rPr>
              <w:br/>
            </w:r>
            <w:r w:rsidR="00E12789" w:rsidRPr="00B049D8">
              <w:rPr>
                <w:rFonts w:cstheme="minorHAnsi"/>
                <w:sz w:val="16"/>
                <w:szCs w:val="16"/>
              </w:rPr>
              <w:t>(EUR)</w:t>
            </w:r>
          </w:p>
        </w:tc>
        <w:tc>
          <w:tcPr>
            <w:tcW w:w="1134" w:type="dxa"/>
            <w:vAlign w:val="center"/>
          </w:tcPr>
          <w:p w14:paraId="492CEF84" w14:textId="77777777" w:rsidR="00E12789" w:rsidRPr="00B049D8" w:rsidRDefault="00F145A2" w:rsidP="00D62D5D">
            <w:pPr>
              <w:spacing w:line="276" w:lineRule="auto"/>
              <w:jc w:val="center"/>
              <w:rPr>
                <w:rFonts w:cstheme="minorHAnsi"/>
                <w:sz w:val="16"/>
                <w:szCs w:val="16"/>
              </w:rPr>
            </w:pPr>
            <w:r>
              <w:rPr>
                <w:rFonts w:cstheme="minorHAnsi"/>
                <w:sz w:val="16"/>
                <w:szCs w:val="16"/>
              </w:rPr>
              <w:t>Wysokość ryczałtu</w:t>
            </w:r>
            <w:r>
              <w:rPr>
                <w:rFonts w:cstheme="minorHAnsi"/>
                <w:sz w:val="16"/>
                <w:szCs w:val="16"/>
              </w:rPr>
              <w:br/>
            </w:r>
            <w:r w:rsidR="00E12789" w:rsidRPr="00B049D8">
              <w:rPr>
                <w:rFonts w:cstheme="minorHAnsi"/>
                <w:sz w:val="16"/>
                <w:szCs w:val="16"/>
              </w:rPr>
              <w:t>(EUR)</w:t>
            </w:r>
          </w:p>
        </w:tc>
        <w:tc>
          <w:tcPr>
            <w:tcW w:w="1134" w:type="dxa"/>
            <w:vAlign w:val="center"/>
          </w:tcPr>
          <w:p w14:paraId="5BED6A9A" w14:textId="77777777" w:rsidR="00E12789" w:rsidRPr="00B049D8" w:rsidRDefault="00E12789" w:rsidP="00D62D5D">
            <w:pPr>
              <w:spacing w:line="276" w:lineRule="auto"/>
              <w:jc w:val="center"/>
              <w:rPr>
                <w:rFonts w:cstheme="minorHAnsi"/>
                <w:sz w:val="16"/>
                <w:szCs w:val="16"/>
              </w:rPr>
            </w:pPr>
            <w:r w:rsidRPr="00B049D8">
              <w:rPr>
                <w:rFonts w:cstheme="minorHAnsi"/>
                <w:sz w:val="16"/>
                <w:szCs w:val="16"/>
              </w:rPr>
              <w:t>Wysokość okresowej kary w ujęciu rocznym</w:t>
            </w:r>
            <w:r w:rsidR="006236DE" w:rsidRPr="00B049D8">
              <w:rPr>
                <w:rFonts w:cstheme="minorHAnsi"/>
                <w:sz w:val="16"/>
                <w:szCs w:val="16"/>
              </w:rPr>
              <w:t>*</w:t>
            </w:r>
            <w:r w:rsidR="00F145A2">
              <w:rPr>
                <w:rFonts w:cstheme="minorHAnsi"/>
                <w:sz w:val="16"/>
                <w:szCs w:val="16"/>
              </w:rPr>
              <w:br/>
            </w:r>
            <w:r w:rsidRPr="00B049D8">
              <w:rPr>
                <w:rFonts w:cstheme="minorHAnsi"/>
                <w:sz w:val="16"/>
                <w:szCs w:val="16"/>
              </w:rPr>
              <w:t>(EUR)</w:t>
            </w:r>
          </w:p>
        </w:tc>
      </w:tr>
      <w:tr w:rsidR="00E12789" w:rsidRPr="00B049D8" w14:paraId="19259A44" w14:textId="77777777" w:rsidTr="00782653">
        <w:trPr>
          <w:trHeight w:val="340"/>
        </w:trPr>
        <w:tc>
          <w:tcPr>
            <w:tcW w:w="846" w:type="dxa"/>
            <w:vAlign w:val="center"/>
          </w:tcPr>
          <w:p w14:paraId="578BDE21" w14:textId="77777777" w:rsidR="00E12789" w:rsidRPr="00B049D8" w:rsidRDefault="00E12789" w:rsidP="00D62D5D">
            <w:pPr>
              <w:spacing w:line="276" w:lineRule="auto"/>
              <w:rPr>
                <w:rFonts w:cstheme="minorHAnsi"/>
                <w:sz w:val="16"/>
                <w:szCs w:val="16"/>
              </w:rPr>
            </w:pPr>
            <w:r w:rsidRPr="00B049D8">
              <w:rPr>
                <w:rFonts w:cstheme="minorHAnsi"/>
                <w:sz w:val="16"/>
                <w:szCs w:val="16"/>
              </w:rPr>
              <w:t>C-557/14</w:t>
            </w:r>
          </w:p>
        </w:tc>
        <w:tc>
          <w:tcPr>
            <w:tcW w:w="1134" w:type="dxa"/>
            <w:vAlign w:val="center"/>
          </w:tcPr>
          <w:p w14:paraId="2BD57FFE" w14:textId="77777777" w:rsidR="00E12789" w:rsidRPr="00B049D8" w:rsidRDefault="00E12789" w:rsidP="00D62D5D">
            <w:pPr>
              <w:spacing w:line="276" w:lineRule="auto"/>
              <w:rPr>
                <w:rFonts w:cstheme="minorHAnsi"/>
                <w:sz w:val="16"/>
                <w:szCs w:val="16"/>
              </w:rPr>
            </w:pPr>
            <w:r w:rsidRPr="00B049D8">
              <w:rPr>
                <w:rFonts w:cstheme="minorHAnsi"/>
                <w:sz w:val="16"/>
                <w:szCs w:val="16"/>
              </w:rPr>
              <w:t>Portugalia</w:t>
            </w:r>
          </w:p>
        </w:tc>
        <w:tc>
          <w:tcPr>
            <w:tcW w:w="1134" w:type="dxa"/>
            <w:vAlign w:val="center"/>
          </w:tcPr>
          <w:p w14:paraId="389BEB3F" w14:textId="77777777" w:rsidR="00E12789" w:rsidRPr="00B049D8" w:rsidRDefault="00870104" w:rsidP="00D62D5D">
            <w:pPr>
              <w:spacing w:line="276" w:lineRule="auto"/>
              <w:jc w:val="right"/>
              <w:rPr>
                <w:rFonts w:cstheme="minorHAnsi"/>
                <w:sz w:val="16"/>
                <w:szCs w:val="16"/>
              </w:rPr>
            </w:pPr>
            <w:r w:rsidRPr="00B049D8">
              <w:rPr>
                <w:rFonts w:cstheme="minorHAnsi"/>
                <w:sz w:val="16"/>
                <w:szCs w:val="16"/>
              </w:rPr>
              <w:t>3,</w:t>
            </w:r>
            <w:r w:rsidR="005C6A1D" w:rsidRPr="00B049D8">
              <w:rPr>
                <w:rFonts w:cstheme="minorHAnsi"/>
                <w:sz w:val="16"/>
                <w:szCs w:val="16"/>
              </w:rPr>
              <w:t xml:space="preserve"> </w:t>
            </w:r>
            <w:r w:rsidRPr="00B049D8">
              <w:rPr>
                <w:rFonts w:cstheme="minorHAnsi"/>
                <w:sz w:val="16"/>
                <w:szCs w:val="16"/>
              </w:rPr>
              <w:t>4</w:t>
            </w:r>
          </w:p>
        </w:tc>
        <w:tc>
          <w:tcPr>
            <w:tcW w:w="992" w:type="dxa"/>
            <w:vAlign w:val="center"/>
          </w:tcPr>
          <w:p w14:paraId="509C9DA9" w14:textId="77777777" w:rsidR="00E12789" w:rsidRPr="00B049D8" w:rsidRDefault="00CC1DB0" w:rsidP="00D62D5D">
            <w:pPr>
              <w:spacing w:line="276" w:lineRule="auto"/>
              <w:jc w:val="right"/>
              <w:rPr>
                <w:rFonts w:cstheme="minorHAnsi"/>
                <w:sz w:val="16"/>
                <w:szCs w:val="16"/>
              </w:rPr>
            </w:pPr>
            <w:r w:rsidRPr="00B049D8">
              <w:rPr>
                <w:rFonts w:cstheme="minorHAnsi"/>
                <w:sz w:val="16"/>
                <w:szCs w:val="16"/>
              </w:rPr>
              <w:t>1</w:t>
            </w:r>
          </w:p>
        </w:tc>
        <w:tc>
          <w:tcPr>
            <w:tcW w:w="992" w:type="dxa"/>
            <w:vAlign w:val="center"/>
          </w:tcPr>
          <w:p w14:paraId="23594B11" w14:textId="77777777" w:rsidR="00E12789" w:rsidRPr="00B049D8" w:rsidRDefault="00E12789" w:rsidP="00D62D5D">
            <w:pPr>
              <w:spacing w:line="276" w:lineRule="auto"/>
              <w:jc w:val="right"/>
              <w:rPr>
                <w:rFonts w:cstheme="minorHAnsi"/>
                <w:sz w:val="16"/>
                <w:szCs w:val="16"/>
              </w:rPr>
            </w:pPr>
            <w:r w:rsidRPr="00B049D8">
              <w:rPr>
                <w:rFonts w:cstheme="minorHAnsi"/>
                <w:sz w:val="16"/>
                <w:szCs w:val="16"/>
              </w:rPr>
              <w:t>dzienna</w:t>
            </w:r>
          </w:p>
        </w:tc>
        <w:tc>
          <w:tcPr>
            <w:tcW w:w="993" w:type="dxa"/>
            <w:vAlign w:val="center"/>
          </w:tcPr>
          <w:p w14:paraId="33A18984" w14:textId="77777777" w:rsidR="00E12789" w:rsidRPr="00B049D8" w:rsidRDefault="00E12789" w:rsidP="00D62D5D">
            <w:pPr>
              <w:spacing w:line="276" w:lineRule="auto"/>
              <w:jc w:val="right"/>
              <w:rPr>
                <w:rFonts w:cstheme="minorHAnsi"/>
                <w:sz w:val="16"/>
                <w:szCs w:val="16"/>
              </w:rPr>
            </w:pPr>
            <w:r w:rsidRPr="00B049D8">
              <w:rPr>
                <w:rFonts w:cstheme="minorHAnsi"/>
                <w:sz w:val="16"/>
                <w:szCs w:val="16"/>
              </w:rPr>
              <w:t>10 000</w:t>
            </w:r>
          </w:p>
        </w:tc>
        <w:tc>
          <w:tcPr>
            <w:tcW w:w="1134" w:type="dxa"/>
            <w:vAlign w:val="center"/>
          </w:tcPr>
          <w:p w14:paraId="57256B96" w14:textId="77777777" w:rsidR="00E12789" w:rsidRPr="00B049D8" w:rsidRDefault="00E12789" w:rsidP="00D62D5D">
            <w:pPr>
              <w:spacing w:line="276" w:lineRule="auto"/>
              <w:jc w:val="right"/>
              <w:rPr>
                <w:rFonts w:cstheme="minorHAnsi"/>
                <w:sz w:val="16"/>
                <w:szCs w:val="16"/>
              </w:rPr>
            </w:pPr>
            <w:r w:rsidRPr="00B049D8">
              <w:rPr>
                <w:rFonts w:cstheme="minorHAnsi"/>
                <w:sz w:val="16"/>
                <w:szCs w:val="16"/>
              </w:rPr>
              <w:t>3 000 000</w:t>
            </w:r>
          </w:p>
        </w:tc>
        <w:tc>
          <w:tcPr>
            <w:tcW w:w="1134" w:type="dxa"/>
            <w:vAlign w:val="center"/>
          </w:tcPr>
          <w:p w14:paraId="519D4324" w14:textId="77777777" w:rsidR="00E12789" w:rsidRPr="00B049D8" w:rsidRDefault="00E12468" w:rsidP="00D62D5D">
            <w:pPr>
              <w:spacing w:line="276" w:lineRule="auto"/>
              <w:jc w:val="right"/>
              <w:rPr>
                <w:rFonts w:cstheme="minorHAnsi"/>
                <w:sz w:val="16"/>
                <w:szCs w:val="16"/>
              </w:rPr>
            </w:pPr>
            <w:r w:rsidRPr="00B049D8">
              <w:rPr>
                <w:rFonts w:cstheme="minorHAnsi"/>
                <w:sz w:val="16"/>
                <w:szCs w:val="16"/>
              </w:rPr>
              <w:t>3 650 000</w:t>
            </w:r>
          </w:p>
        </w:tc>
      </w:tr>
      <w:tr w:rsidR="00E12789" w:rsidRPr="00B049D8" w14:paraId="5912606E" w14:textId="77777777" w:rsidTr="00782653">
        <w:trPr>
          <w:trHeight w:val="340"/>
        </w:trPr>
        <w:tc>
          <w:tcPr>
            <w:tcW w:w="846" w:type="dxa"/>
            <w:vAlign w:val="center"/>
          </w:tcPr>
          <w:p w14:paraId="529BE28B" w14:textId="77777777" w:rsidR="00E12789" w:rsidRPr="00B049D8" w:rsidRDefault="00E12789" w:rsidP="00D62D5D">
            <w:pPr>
              <w:spacing w:line="276" w:lineRule="auto"/>
              <w:rPr>
                <w:rFonts w:cstheme="minorHAnsi"/>
                <w:sz w:val="16"/>
                <w:szCs w:val="16"/>
              </w:rPr>
            </w:pPr>
            <w:r w:rsidRPr="00B049D8">
              <w:rPr>
                <w:rFonts w:cstheme="minorHAnsi"/>
                <w:sz w:val="16"/>
                <w:szCs w:val="16"/>
              </w:rPr>
              <w:t>C-251/17</w:t>
            </w:r>
          </w:p>
        </w:tc>
        <w:tc>
          <w:tcPr>
            <w:tcW w:w="1134" w:type="dxa"/>
            <w:vAlign w:val="center"/>
          </w:tcPr>
          <w:p w14:paraId="414EBF0B" w14:textId="77777777" w:rsidR="00E12789" w:rsidRPr="00B049D8" w:rsidRDefault="00E12789" w:rsidP="00D62D5D">
            <w:pPr>
              <w:spacing w:line="276" w:lineRule="auto"/>
              <w:rPr>
                <w:rFonts w:cstheme="minorHAnsi"/>
                <w:sz w:val="16"/>
                <w:szCs w:val="16"/>
              </w:rPr>
            </w:pPr>
            <w:r w:rsidRPr="00B049D8">
              <w:rPr>
                <w:rFonts w:cstheme="minorHAnsi"/>
                <w:sz w:val="16"/>
                <w:szCs w:val="16"/>
              </w:rPr>
              <w:t>Włochy</w:t>
            </w:r>
          </w:p>
        </w:tc>
        <w:tc>
          <w:tcPr>
            <w:tcW w:w="1134" w:type="dxa"/>
            <w:vAlign w:val="center"/>
          </w:tcPr>
          <w:p w14:paraId="0503ECF4" w14:textId="77777777" w:rsidR="00E12789" w:rsidRPr="00B049D8" w:rsidRDefault="006E00B3" w:rsidP="00D62D5D">
            <w:pPr>
              <w:spacing w:line="276" w:lineRule="auto"/>
              <w:jc w:val="right"/>
              <w:rPr>
                <w:rFonts w:cstheme="minorHAnsi"/>
                <w:sz w:val="16"/>
                <w:szCs w:val="16"/>
              </w:rPr>
            </w:pPr>
            <w:r w:rsidRPr="00B049D8">
              <w:rPr>
                <w:rFonts w:cstheme="minorHAnsi"/>
                <w:sz w:val="16"/>
                <w:szCs w:val="16"/>
              </w:rPr>
              <w:t>3, 4.1, 4.3</w:t>
            </w:r>
            <w:r w:rsidR="00530558" w:rsidRPr="00B049D8">
              <w:rPr>
                <w:rFonts w:cstheme="minorHAnsi"/>
                <w:sz w:val="16"/>
                <w:szCs w:val="16"/>
              </w:rPr>
              <w:t>,</w:t>
            </w:r>
            <w:r w:rsidRPr="00B049D8">
              <w:rPr>
                <w:rFonts w:cstheme="minorHAnsi"/>
                <w:sz w:val="16"/>
                <w:szCs w:val="16"/>
              </w:rPr>
              <w:t xml:space="preserve"> 10</w:t>
            </w:r>
          </w:p>
        </w:tc>
        <w:tc>
          <w:tcPr>
            <w:tcW w:w="992" w:type="dxa"/>
            <w:vAlign w:val="center"/>
          </w:tcPr>
          <w:p w14:paraId="02A60BF6" w14:textId="77777777" w:rsidR="00E12789" w:rsidRPr="00B049D8" w:rsidRDefault="00171D36" w:rsidP="00D62D5D">
            <w:pPr>
              <w:spacing w:line="276" w:lineRule="auto"/>
              <w:jc w:val="right"/>
              <w:rPr>
                <w:rFonts w:cstheme="minorHAnsi"/>
                <w:sz w:val="16"/>
                <w:szCs w:val="16"/>
              </w:rPr>
            </w:pPr>
            <w:r w:rsidRPr="00B049D8">
              <w:rPr>
                <w:rFonts w:cstheme="minorHAnsi"/>
                <w:sz w:val="16"/>
                <w:szCs w:val="16"/>
              </w:rPr>
              <w:t>74</w:t>
            </w:r>
          </w:p>
        </w:tc>
        <w:tc>
          <w:tcPr>
            <w:tcW w:w="992" w:type="dxa"/>
            <w:vAlign w:val="center"/>
          </w:tcPr>
          <w:p w14:paraId="37257C23" w14:textId="77777777" w:rsidR="00E12789" w:rsidRPr="00B049D8" w:rsidRDefault="00DB562C" w:rsidP="00D62D5D">
            <w:pPr>
              <w:spacing w:line="276" w:lineRule="auto"/>
              <w:jc w:val="right"/>
              <w:rPr>
                <w:rFonts w:cstheme="minorHAnsi"/>
                <w:sz w:val="16"/>
                <w:szCs w:val="16"/>
              </w:rPr>
            </w:pPr>
            <w:r w:rsidRPr="00B049D8">
              <w:rPr>
                <w:rFonts w:cstheme="minorHAnsi"/>
                <w:sz w:val="16"/>
                <w:szCs w:val="16"/>
              </w:rPr>
              <w:t>półroczna</w:t>
            </w:r>
          </w:p>
        </w:tc>
        <w:tc>
          <w:tcPr>
            <w:tcW w:w="993" w:type="dxa"/>
            <w:vAlign w:val="center"/>
          </w:tcPr>
          <w:p w14:paraId="34182528" w14:textId="77777777" w:rsidR="00E12789" w:rsidRPr="00B049D8" w:rsidRDefault="00DB562C" w:rsidP="00D62D5D">
            <w:pPr>
              <w:spacing w:line="276" w:lineRule="auto"/>
              <w:jc w:val="right"/>
              <w:rPr>
                <w:rFonts w:cstheme="minorHAnsi"/>
                <w:sz w:val="16"/>
                <w:szCs w:val="16"/>
              </w:rPr>
            </w:pPr>
            <w:r w:rsidRPr="00B049D8">
              <w:rPr>
                <w:rFonts w:cstheme="minorHAnsi"/>
                <w:sz w:val="16"/>
                <w:szCs w:val="16"/>
              </w:rPr>
              <w:t>30 112 500</w:t>
            </w:r>
          </w:p>
        </w:tc>
        <w:tc>
          <w:tcPr>
            <w:tcW w:w="1134" w:type="dxa"/>
            <w:vAlign w:val="center"/>
          </w:tcPr>
          <w:p w14:paraId="1D56433B" w14:textId="77777777" w:rsidR="00E12789" w:rsidRPr="00B049D8" w:rsidRDefault="00DB562C" w:rsidP="00D62D5D">
            <w:pPr>
              <w:spacing w:line="276" w:lineRule="auto"/>
              <w:jc w:val="right"/>
              <w:rPr>
                <w:rFonts w:cstheme="minorHAnsi"/>
                <w:sz w:val="16"/>
                <w:szCs w:val="16"/>
              </w:rPr>
            </w:pPr>
            <w:r w:rsidRPr="00B049D8">
              <w:rPr>
                <w:rFonts w:cstheme="minorHAnsi"/>
                <w:sz w:val="16"/>
                <w:szCs w:val="16"/>
              </w:rPr>
              <w:t>25 000 000</w:t>
            </w:r>
          </w:p>
        </w:tc>
        <w:tc>
          <w:tcPr>
            <w:tcW w:w="1134" w:type="dxa"/>
            <w:vAlign w:val="center"/>
          </w:tcPr>
          <w:p w14:paraId="115DDDCB" w14:textId="77777777" w:rsidR="00E12789" w:rsidRPr="00B049D8" w:rsidRDefault="00DB562C" w:rsidP="00D62D5D">
            <w:pPr>
              <w:spacing w:line="276" w:lineRule="auto"/>
              <w:jc w:val="right"/>
              <w:rPr>
                <w:rFonts w:cstheme="minorHAnsi"/>
                <w:sz w:val="16"/>
                <w:szCs w:val="16"/>
              </w:rPr>
            </w:pPr>
            <w:r w:rsidRPr="00B049D8">
              <w:rPr>
                <w:rFonts w:cstheme="minorHAnsi"/>
                <w:sz w:val="16"/>
                <w:szCs w:val="16"/>
              </w:rPr>
              <w:t>60 225 000</w:t>
            </w:r>
          </w:p>
        </w:tc>
      </w:tr>
      <w:tr w:rsidR="00E12789" w:rsidRPr="00B049D8" w14:paraId="5EE4FF10" w14:textId="77777777" w:rsidTr="00782653">
        <w:trPr>
          <w:trHeight w:val="340"/>
        </w:trPr>
        <w:tc>
          <w:tcPr>
            <w:tcW w:w="846" w:type="dxa"/>
            <w:vAlign w:val="center"/>
          </w:tcPr>
          <w:p w14:paraId="310A31D4" w14:textId="77777777" w:rsidR="00E12789" w:rsidRPr="00B049D8" w:rsidRDefault="00E12789" w:rsidP="00D62D5D">
            <w:pPr>
              <w:spacing w:line="276" w:lineRule="auto"/>
              <w:rPr>
                <w:rFonts w:cstheme="minorHAnsi"/>
                <w:sz w:val="16"/>
                <w:szCs w:val="16"/>
              </w:rPr>
            </w:pPr>
            <w:r w:rsidRPr="00B049D8">
              <w:rPr>
                <w:rFonts w:cstheme="minorHAnsi"/>
                <w:sz w:val="16"/>
                <w:szCs w:val="16"/>
              </w:rPr>
              <w:t>C-205/17</w:t>
            </w:r>
          </w:p>
        </w:tc>
        <w:tc>
          <w:tcPr>
            <w:tcW w:w="1134" w:type="dxa"/>
            <w:vAlign w:val="center"/>
          </w:tcPr>
          <w:p w14:paraId="6F2671FF" w14:textId="77777777" w:rsidR="00E12789" w:rsidRPr="00B049D8" w:rsidRDefault="00E12789" w:rsidP="00D62D5D">
            <w:pPr>
              <w:spacing w:line="276" w:lineRule="auto"/>
              <w:rPr>
                <w:rFonts w:cstheme="minorHAnsi"/>
                <w:sz w:val="16"/>
                <w:szCs w:val="16"/>
              </w:rPr>
            </w:pPr>
            <w:r w:rsidRPr="00B049D8">
              <w:rPr>
                <w:rFonts w:cstheme="minorHAnsi"/>
                <w:sz w:val="16"/>
                <w:szCs w:val="16"/>
              </w:rPr>
              <w:t>Hiszpania</w:t>
            </w:r>
          </w:p>
        </w:tc>
        <w:tc>
          <w:tcPr>
            <w:tcW w:w="1134" w:type="dxa"/>
            <w:vAlign w:val="center"/>
          </w:tcPr>
          <w:p w14:paraId="30F037A1" w14:textId="77777777" w:rsidR="00E12789" w:rsidRPr="00B049D8" w:rsidRDefault="00530558" w:rsidP="00D62D5D">
            <w:pPr>
              <w:spacing w:line="276" w:lineRule="auto"/>
              <w:jc w:val="right"/>
              <w:rPr>
                <w:rFonts w:cstheme="minorHAnsi"/>
                <w:sz w:val="16"/>
                <w:szCs w:val="16"/>
              </w:rPr>
            </w:pPr>
            <w:r w:rsidRPr="00B049D8">
              <w:rPr>
                <w:rFonts w:cstheme="minorHAnsi"/>
                <w:sz w:val="16"/>
                <w:szCs w:val="16"/>
              </w:rPr>
              <w:t>3, 4</w:t>
            </w:r>
            <w:r w:rsidR="00A24452" w:rsidRPr="00B049D8">
              <w:rPr>
                <w:rFonts w:cstheme="minorHAnsi"/>
                <w:sz w:val="16"/>
                <w:szCs w:val="16"/>
              </w:rPr>
              <w:t>.1, 4.3, 4.4</w:t>
            </w:r>
          </w:p>
        </w:tc>
        <w:tc>
          <w:tcPr>
            <w:tcW w:w="992" w:type="dxa"/>
            <w:vAlign w:val="center"/>
          </w:tcPr>
          <w:p w14:paraId="0A92D5DC" w14:textId="77777777" w:rsidR="00E12789" w:rsidRPr="00B049D8" w:rsidRDefault="00B126E8" w:rsidP="00D62D5D">
            <w:pPr>
              <w:spacing w:line="276" w:lineRule="auto"/>
              <w:jc w:val="right"/>
              <w:rPr>
                <w:rFonts w:cstheme="minorHAnsi"/>
                <w:sz w:val="16"/>
                <w:szCs w:val="16"/>
              </w:rPr>
            </w:pPr>
            <w:r w:rsidRPr="00B049D8">
              <w:rPr>
                <w:rFonts w:cstheme="minorHAnsi"/>
                <w:sz w:val="16"/>
                <w:szCs w:val="16"/>
              </w:rPr>
              <w:t>15</w:t>
            </w:r>
          </w:p>
        </w:tc>
        <w:tc>
          <w:tcPr>
            <w:tcW w:w="992" w:type="dxa"/>
            <w:vAlign w:val="center"/>
          </w:tcPr>
          <w:p w14:paraId="3E231F81" w14:textId="77777777" w:rsidR="00E12789" w:rsidRPr="00B049D8" w:rsidRDefault="00B126E8" w:rsidP="00D62D5D">
            <w:pPr>
              <w:spacing w:line="276" w:lineRule="auto"/>
              <w:jc w:val="right"/>
              <w:rPr>
                <w:rFonts w:cstheme="minorHAnsi"/>
                <w:sz w:val="16"/>
                <w:szCs w:val="16"/>
              </w:rPr>
            </w:pPr>
            <w:r w:rsidRPr="00B049D8">
              <w:rPr>
                <w:rFonts w:cstheme="minorHAnsi"/>
                <w:sz w:val="16"/>
                <w:szCs w:val="16"/>
              </w:rPr>
              <w:t>półroczna</w:t>
            </w:r>
          </w:p>
        </w:tc>
        <w:tc>
          <w:tcPr>
            <w:tcW w:w="993" w:type="dxa"/>
            <w:vAlign w:val="center"/>
          </w:tcPr>
          <w:p w14:paraId="647C75BF" w14:textId="77777777" w:rsidR="00E12789" w:rsidRPr="00B049D8" w:rsidRDefault="00B126E8" w:rsidP="00D62D5D">
            <w:pPr>
              <w:spacing w:line="276" w:lineRule="auto"/>
              <w:jc w:val="right"/>
              <w:rPr>
                <w:rFonts w:cstheme="minorHAnsi"/>
                <w:sz w:val="16"/>
                <w:szCs w:val="16"/>
              </w:rPr>
            </w:pPr>
            <w:r w:rsidRPr="00B049D8">
              <w:rPr>
                <w:rFonts w:cstheme="minorHAnsi"/>
                <w:sz w:val="16"/>
                <w:szCs w:val="16"/>
              </w:rPr>
              <w:t>10 950 000</w:t>
            </w:r>
          </w:p>
        </w:tc>
        <w:tc>
          <w:tcPr>
            <w:tcW w:w="1134" w:type="dxa"/>
            <w:vAlign w:val="center"/>
          </w:tcPr>
          <w:p w14:paraId="15BE1115" w14:textId="77777777" w:rsidR="00E12789" w:rsidRPr="00B049D8" w:rsidRDefault="00B126E8" w:rsidP="00D62D5D">
            <w:pPr>
              <w:spacing w:line="276" w:lineRule="auto"/>
              <w:jc w:val="right"/>
              <w:rPr>
                <w:rFonts w:cstheme="minorHAnsi"/>
                <w:sz w:val="16"/>
                <w:szCs w:val="16"/>
              </w:rPr>
            </w:pPr>
            <w:r w:rsidRPr="00B049D8">
              <w:rPr>
                <w:rFonts w:cstheme="minorHAnsi"/>
                <w:sz w:val="16"/>
                <w:szCs w:val="16"/>
              </w:rPr>
              <w:t>12 000 000</w:t>
            </w:r>
          </w:p>
        </w:tc>
        <w:tc>
          <w:tcPr>
            <w:tcW w:w="1134" w:type="dxa"/>
            <w:vAlign w:val="center"/>
          </w:tcPr>
          <w:p w14:paraId="37A20D4C" w14:textId="77777777" w:rsidR="00E12789" w:rsidRPr="00B049D8" w:rsidRDefault="00001CF9" w:rsidP="00D62D5D">
            <w:pPr>
              <w:spacing w:line="276" w:lineRule="auto"/>
              <w:jc w:val="right"/>
              <w:rPr>
                <w:rFonts w:cstheme="minorHAnsi"/>
                <w:sz w:val="16"/>
                <w:szCs w:val="16"/>
              </w:rPr>
            </w:pPr>
            <w:r w:rsidRPr="00B049D8">
              <w:rPr>
                <w:rFonts w:cstheme="minorHAnsi"/>
                <w:sz w:val="16"/>
                <w:szCs w:val="16"/>
              </w:rPr>
              <w:t>21 900 000</w:t>
            </w:r>
          </w:p>
        </w:tc>
      </w:tr>
      <w:tr w:rsidR="00E12789" w:rsidRPr="00B049D8" w14:paraId="58A389AD" w14:textId="77777777" w:rsidTr="00782653">
        <w:trPr>
          <w:trHeight w:val="340"/>
        </w:trPr>
        <w:tc>
          <w:tcPr>
            <w:tcW w:w="846" w:type="dxa"/>
            <w:vAlign w:val="center"/>
          </w:tcPr>
          <w:p w14:paraId="1219FC94" w14:textId="77777777" w:rsidR="00E12789" w:rsidRPr="00B049D8" w:rsidRDefault="00E12789" w:rsidP="00D62D5D">
            <w:pPr>
              <w:spacing w:line="276" w:lineRule="auto"/>
              <w:rPr>
                <w:rFonts w:cstheme="minorHAnsi"/>
                <w:sz w:val="16"/>
                <w:szCs w:val="16"/>
              </w:rPr>
            </w:pPr>
            <w:r w:rsidRPr="00B049D8">
              <w:rPr>
                <w:rFonts w:cstheme="minorHAnsi"/>
                <w:sz w:val="16"/>
                <w:szCs w:val="16"/>
              </w:rPr>
              <w:t>C-328/16</w:t>
            </w:r>
          </w:p>
        </w:tc>
        <w:tc>
          <w:tcPr>
            <w:tcW w:w="1134" w:type="dxa"/>
            <w:vAlign w:val="center"/>
          </w:tcPr>
          <w:p w14:paraId="09FB8599" w14:textId="77777777" w:rsidR="00E12789" w:rsidRPr="00B049D8" w:rsidRDefault="00E12789" w:rsidP="00D62D5D">
            <w:pPr>
              <w:spacing w:line="276" w:lineRule="auto"/>
              <w:rPr>
                <w:rFonts w:cstheme="minorHAnsi"/>
                <w:sz w:val="16"/>
                <w:szCs w:val="16"/>
              </w:rPr>
            </w:pPr>
            <w:r w:rsidRPr="00B049D8">
              <w:rPr>
                <w:rFonts w:cstheme="minorHAnsi"/>
                <w:sz w:val="16"/>
                <w:szCs w:val="16"/>
              </w:rPr>
              <w:t>Grecja</w:t>
            </w:r>
          </w:p>
        </w:tc>
        <w:tc>
          <w:tcPr>
            <w:tcW w:w="1134" w:type="dxa"/>
            <w:vAlign w:val="center"/>
          </w:tcPr>
          <w:p w14:paraId="1140EB2B" w14:textId="77777777" w:rsidR="00E12789" w:rsidRPr="00B049D8" w:rsidRDefault="00001CF9" w:rsidP="00D62D5D">
            <w:pPr>
              <w:spacing w:line="276" w:lineRule="auto"/>
              <w:jc w:val="right"/>
              <w:rPr>
                <w:rFonts w:cstheme="minorHAnsi"/>
                <w:sz w:val="16"/>
                <w:szCs w:val="16"/>
              </w:rPr>
            </w:pPr>
            <w:r w:rsidRPr="00B049D8">
              <w:rPr>
                <w:rFonts w:cstheme="minorHAnsi"/>
                <w:sz w:val="16"/>
                <w:szCs w:val="16"/>
              </w:rPr>
              <w:t>3.1, 5.2</w:t>
            </w:r>
          </w:p>
        </w:tc>
        <w:tc>
          <w:tcPr>
            <w:tcW w:w="992" w:type="dxa"/>
            <w:vAlign w:val="center"/>
          </w:tcPr>
          <w:p w14:paraId="028A8706" w14:textId="77777777" w:rsidR="00E12789" w:rsidRPr="00B049D8" w:rsidRDefault="003102DF" w:rsidP="00D62D5D">
            <w:pPr>
              <w:spacing w:line="276" w:lineRule="auto"/>
              <w:jc w:val="right"/>
              <w:rPr>
                <w:rFonts w:cstheme="minorHAnsi"/>
                <w:sz w:val="16"/>
                <w:szCs w:val="16"/>
              </w:rPr>
            </w:pPr>
            <w:r w:rsidRPr="00B049D8">
              <w:rPr>
                <w:rFonts w:cstheme="minorHAnsi"/>
                <w:sz w:val="16"/>
                <w:szCs w:val="16"/>
              </w:rPr>
              <w:t>1</w:t>
            </w:r>
          </w:p>
        </w:tc>
        <w:tc>
          <w:tcPr>
            <w:tcW w:w="992" w:type="dxa"/>
            <w:vAlign w:val="center"/>
          </w:tcPr>
          <w:p w14:paraId="176A9FB7" w14:textId="77777777" w:rsidR="00E12789" w:rsidRPr="00B049D8" w:rsidRDefault="00001CF9" w:rsidP="00D62D5D">
            <w:pPr>
              <w:spacing w:line="276" w:lineRule="auto"/>
              <w:jc w:val="right"/>
              <w:rPr>
                <w:rFonts w:cstheme="minorHAnsi"/>
                <w:sz w:val="16"/>
                <w:szCs w:val="16"/>
              </w:rPr>
            </w:pPr>
            <w:r w:rsidRPr="00B049D8">
              <w:rPr>
                <w:rFonts w:cstheme="minorHAnsi"/>
                <w:sz w:val="16"/>
                <w:szCs w:val="16"/>
              </w:rPr>
              <w:t>półroczna</w:t>
            </w:r>
          </w:p>
        </w:tc>
        <w:tc>
          <w:tcPr>
            <w:tcW w:w="993" w:type="dxa"/>
            <w:vAlign w:val="center"/>
          </w:tcPr>
          <w:p w14:paraId="707DDB3D" w14:textId="77777777" w:rsidR="00E12789" w:rsidRPr="00B049D8" w:rsidRDefault="00001CF9" w:rsidP="00D62D5D">
            <w:pPr>
              <w:spacing w:line="276" w:lineRule="auto"/>
              <w:jc w:val="right"/>
              <w:rPr>
                <w:rFonts w:cstheme="minorHAnsi"/>
                <w:sz w:val="16"/>
                <w:szCs w:val="16"/>
              </w:rPr>
            </w:pPr>
            <w:r w:rsidRPr="00B049D8">
              <w:rPr>
                <w:rFonts w:cstheme="minorHAnsi"/>
                <w:sz w:val="16"/>
                <w:szCs w:val="16"/>
              </w:rPr>
              <w:t>3 276 000</w:t>
            </w:r>
          </w:p>
        </w:tc>
        <w:tc>
          <w:tcPr>
            <w:tcW w:w="1134" w:type="dxa"/>
            <w:vAlign w:val="center"/>
          </w:tcPr>
          <w:p w14:paraId="2750A700" w14:textId="77777777" w:rsidR="00E12789" w:rsidRPr="00B049D8" w:rsidRDefault="00E521D8" w:rsidP="00D62D5D">
            <w:pPr>
              <w:spacing w:line="276" w:lineRule="auto"/>
              <w:jc w:val="right"/>
              <w:rPr>
                <w:rFonts w:cstheme="minorHAnsi"/>
                <w:sz w:val="16"/>
                <w:szCs w:val="16"/>
              </w:rPr>
            </w:pPr>
            <w:r w:rsidRPr="00B049D8">
              <w:rPr>
                <w:rFonts w:cstheme="minorHAnsi"/>
                <w:sz w:val="16"/>
                <w:szCs w:val="16"/>
              </w:rPr>
              <w:t>5 000 000</w:t>
            </w:r>
          </w:p>
        </w:tc>
        <w:tc>
          <w:tcPr>
            <w:tcW w:w="1134" w:type="dxa"/>
            <w:vAlign w:val="center"/>
          </w:tcPr>
          <w:p w14:paraId="5C237DF2" w14:textId="77777777" w:rsidR="00E12789" w:rsidRPr="00B049D8" w:rsidRDefault="00E521D8" w:rsidP="00D62D5D">
            <w:pPr>
              <w:spacing w:line="276" w:lineRule="auto"/>
              <w:jc w:val="right"/>
              <w:rPr>
                <w:rFonts w:cstheme="minorHAnsi"/>
                <w:sz w:val="16"/>
                <w:szCs w:val="16"/>
              </w:rPr>
            </w:pPr>
            <w:r w:rsidRPr="00B049D8">
              <w:rPr>
                <w:rFonts w:cstheme="minorHAnsi"/>
                <w:sz w:val="16"/>
                <w:szCs w:val="16"/>
              </w:rPr>
              <w:t>6 552 000</w:t>
            </w:r>
          </w:p>
        </w:tc>
      </w:tr>
      <w:tr w:rsidR="00E12789" w:rsidRPr="00B049D8" w14:paraId="65C28E31" w14:textId="77777777" w:rsidTr="00782653">
        <w:trPr>
          <w:trHeight w:val="340"/>
        </w:trPr>
        <w:tc>
          <w:tcPr>
            <w:tcW w:w="846" w:type="dxa"/>
            <w:vAlign w:val="center"/>
          </w:tcPr>
          <w:p w14:paraId="14E586BF" w14:textId="77777777" w:rsidR="00E12789" w:rsidRPr="00B049D8" w:rsidRDefault="00E12789" w:rsidP="00D62D5D">
            <w:pPr>
              <w:spacing w:line="276" w:lineRule="auto"/>
              <w:rPr>
                <w:rFonts w:cstheme="minorHAnsi"/>
                <w:sz w:val="16"/>
                <w:szCs w:val="16"/>
              </w:rPr>
            </w:pPr>
            <w:r w:rsidRPr="00B049D8">
              <w:rPr>
                <w:rFonts w:cstheme="minorHAnsi"/>
                <w:sz w:val="16"/>
                <w:szCs w:val="16"/>
              </w:rPr>
              <w:t>C-167/14</w:t>
            </w:r>
          </w:p>
        </w:tc>
        <w:tc>
          <w:tcPr>
            <w:tcW w:w="1134" w:type="dxa"/>
            <w:vAlign w:val="center"/>
          </w:tcPr>
          <w:p w14:paraId="446EF925" w14:textId="77777777" w:rsidR="00E12789" w:rsidRPr="00B049D8" w:rsidRDefault="00E12789" w:rsidP="00D62D5D">
            <w:pPr>
              <w:spacing w:line="276" w:lineRule="auto"/>
              <w:rPr>
                <w:rFonts w:cstheme="minorHAnsi"/>
                <w:sz w:val="16"/>
                <w:szCs w:val="16"/>
              </w:rPr>
            </w:pPr>
            <w:r w:rsidRPr="00B049D8">
              <w:rPr>
                <w:rFonts w:cstheme="minorHAnsi"/>
                <w:sz w:val="16"/>
                <w:szCs w:val="16"/>
              </w:rPr>
              <w:t>Grecja</w:t>
            </w:r>
          </w:p>
        </w:tc>
        <w:tc>
          <w:tcPr>
            <w:tcW w:w="1134" w:type="dxa"/>
            <w:vAlign w:val="center"/>
          </w:tcPr>
          <w:p w14:paraId="7058DD46" w14:textId="77777777" w:rsidR="00E12789" w:rsidRPr="00B049D8" w:rsidRDefault="007D4C7D" w:rsidP="00D62D5D">
            <w:pPr>
              <w:spacing w:line="276" w:lineRule="auto"/>
              <w:jc w:val="right"/>
              <w:rPr>
                <w:rFonts w:cstheme="minorHAnsi"/>
                <w:sz w:val="16"/>
                <w:szCs w:val="16"/>
              </w:rPr>
            </w:pPr>
            <w:r w:rsidRPr="00B049D8">
              <w:rPr>
                <w:rFonts w:cstheme="minorHAnsi"/>
                <w:sz w:val="16"/>
                <w:szCs w:val="16"/>
              </w:rPr>
              <w:t>3, 4</w:t>
            </w:r>
          </w:p>
        </w:tc>
        <w:tc>
          <w:tcPr>
            <w:tcW w:w="992" w:type="dxa"/>
            <w:vAlign w:val="center"/>
          </w:tcPr>
          <w:p w14:paraId="1C2DC8A8" w14:textId="77777777" w:rsidR="00E12789" w:rsidRPr="00B049D8" w:rsidRDefault="007A566E" w:rsidP="00D62D5D">
            <w:pPr>
              <w:spacing w:line="276" w:lineRule="auto"/>
              <w:jc w:val="right"/>
              <w:rPr>
                <w:rFonts w:cstheme="minorHAnsi"/>
                <w:sz w:val="16"/>
                <w:szCs w:val="16"/>
              </w:rPr>
            </w:pPr>
            <w:r w:rsidRPr="00B049D8">
              <w:rPr>
                <w:rFonts w:cstheme="minorHAnsi"/>
                <w:sz w:val="16"/>
                <w:szCs w:val="16"/>
              </w:rPr>
              <w:t>5</w:t>
            </w:r>
          </w:p>
        </w:tc>
        <w:tc>
          <w:tcPr>
            <w:tcW w:w="992" w:type="dxa"/>
            <w:vAlign w:val="center"/>
          </w:tcPr>
          <w:p w14:paraId="2377A32F" w14:textId="77777777" w:rsidR="00E12789" w:rsidRPr="00B049D8" w:rsidRDefault="00062F10" w:rsidP="00D62D5D">
            <w:pPr>
              <w:spacing w:line="276" w:lineRule="auto"/>
              <w:jc w:val="right"/>
              <w:rPr>
                <w:rFonts w:cstheme="minorHAnsi"/>
                <w:sz w:val="16"/>
                <w:szCs w:val="16"/>
              </w:rPr>
            </w:pPr>
            <w:r w:rsidRPr="00B049D8">
              <w:rPr>
                <w:rFonts w:cstheme="minorHAnsi"/>
                <w:sz w:val="16"/>
                <w:szCs w:val="16"/>
              </w:rPr>
              <w:t>półroczna</w:t>
            </w:r>
          </w:p>
        </w:tc>
        <w:tc>
          <w:tcPr>
            <w:tcW w:w="993" w:type="dxa"/>
            <w:vAlign w:val="center"/>
          </w:tcPr>
          <w:p w14:paraId="3FBC06DC" w14:textId="77777777" w:rsidR="00E12789" w:rsidRPr="00B049D8" w:rsidRDefault="00C52E42" w:rsidP="00D62D5D">
            <w:pPr>
              <w:spacing w:line="276" w:lineRule="auto"/>
              <w:jc w:val="right"/>
              <w:rPr>
                <w:rFonts w:cstheme="minorHAnsi"/>
                <w:sz w:val="16"/>
                <w:szCs w:val="16"/>
              </w:rPr>
            </w:pPr>
            <w:r w:rsidRPr="00B049D8">
              <w:rPr>
                <w:rFonts w:cstheme="minorHAnsi"/>
                <w:sz w:val="16"/>
                <w:szCs w:val="16"/>
              </w:rPr>
              <w:t>3 640 000</w:t>
            </w:r>
          </w:p>
        </w:tc>
        <w:tc>
          <w:tcPr>
            <w:tcW w:w="1134" w:type="dxa"/>
            <w:vAlign w:val="center"/>
          </w:tcPr>
          <w:p w14:paraId="2B5FF606" w14:textId="77777777" w:rsidR="00E12789" w:rsidRPr="00B049D8" w:rsidRDefault="00062F10" w:rsidP="00D62D5D">
            <w:pPr>
              <w:spacing w:line="276" w:lineRule="auto"/>
              <w:jc w:val="right"/>
              <w:rPr>
                <w:rFonts w:cstheme="minorHAnsi"/>
                <w:sz w:val="16"/>
                <w:szCs w:val="16"/>
              </w:rPr>
            </w:pPr>
            <w:r w:rsidRPr="00B049D8">
              <w:rPr>
                <w:rFonts w:cstheme="minorHAnsi"/>
                <w:sz w:val="16"/>
                <w:szCs w:val="16"/>
              </w:rPr>
              <w:t>10 000 000</w:t>
            </w:r>
          </w:p>
        </w:tc>
        <w:tc>
          <w:tcPr>
            <w:tcW w:w="1134" w:type="dxa"/>
            <w:vAlign w:val="center"/>
          </w:tcPr>
          <w:p w14:paraId="1B6DFE54" w14:textId="77777777" w:rsidR="00E12789" w:rsidRPr="00B049D8" w:rsidRDefault="00C52E42" w:rsidP="00D62D5D">
            <w:pPr>
              <w:spacing w:line="276" w:lineRule="auto"/>
              <w:jc w:val="right"/>
              <w:rPr>
                <w:rFonts w:cstheme="minorHAnsi"/>
                <w:sz w:val="16"/>
                <w:szCs w:val="16"/>
              </w:rPr>
            </w:pPr>
            <w:r w:rsidRPr="00B049D8">
              <w:rPr>
                <w:rFonts w:cstheme="minorHAnsi"/>
                <w:sz w:val="16"/>
                <w:szCs w:val="16"/>
              </w:rPr>
              <w:t>7 280 000</w:t>
            </w:r>
          </w:p>
        </w:tc>
      </w:tr>
      <w:tr w:rsidR="00E12789" w:rsidRPr="00B049D8" w14:paraId="752DB563" w14:textId="77777777" w:rsidTr="00782653">
        <w:trPr>
          <w:trHeight w:val="340"/>
        </w:trPr>
        <w:tc>
          <w:tcPr>
            <w:tcW w:w="846" w:type="dxa"/>
            <w:vAlign w:val="center"/>
          </w:tcPr>
          <w:p w14:paraId="73D5D80C" w14:textId="77777777" w:rsidR="00E12789" w:rsidRPr="00B049D8" w:rsidRDefault="00E12789" w:rsidP="00D62D5D">
            <w:pPr>
              <w:spacing w:line="276" w:lineRule="auto"/>
              <w:rPr>
                <w:rFonts w:cstheme="minorHAnsi"/>
                <w:sz w:val="16"/>
                <w:szCs w:val="16"/>
              </w:rPr>
            </w:pPr>
            <w:r w:rsidRPr="00B049D8">
              <w:rPr>
                <w:rFonts w:cstheme="minorHAnsi"/>
                <w:sz w:val="16"/>
                <w:szCs w:val="16"/>
              </w:rPr>
              <w:t>C-576/11</w:t>
            </w:r>
          </w:p>
        </w:tc>
        <w:tc>
          <w:tcPr>
            <w:tcW w:w="1134" w:type="dxa"/>
            <w:vAlign w:val="center"/>
          </w:tcPr>
          <w:p w14:paraId="6DCE33ED" w14:textId="77777777" w:rsidR="00E12789" w:rsidRPr="00B049D8" w:rsidRDefault="00E12789" w:rsidP="00D62D5D">
            <w:pPr>
              <w:spacing w:line="276" w:lineRule="auto"/>
              <w:rPr>
                <w:rFonts w:cstheme="minorHAnsi"/>
                <w:sz w:val="16"/>
                <w:szCs w:val="16"/>
              </w:rPr>
            </w:pPr>
            <w:r w:rsidRPr="00B049D8">
              <w:rPr>
                <w:rFonts w:cstheme="minorHAnsi"/>
                <w:sz w:val="16"/>
                <w:szCs w:val="16"/>
              </w:rPr>
              <w:t>Luksemburg</w:t>
            </w:r>
          </w:p>
        </w:tc>
        <w:tc>
          <w:tcPr>
            <w:tcW w:w="1134" w:type="dxa"/>
            <w:vAlign w:val="center"/>
          </w:tcPr>
          <w:p w14:paraId="1AAAF6C6" w14:textId="77777777" w:rsidR="00E12789" w:rsidRPr="00B049D8" w:rsidRDefault="00C52E42" w:rsidP="00D62D5D">
            <w:pPr>
              <w:spacing w:line="276" w:lineRule="auto"/>
              <w:jc w:val="right"/>
              <w:rPr>
                <w:rFonts w:cstheme="minorHAnsi"/>
                <w:sz w:val="16"/>
                <w:szCs w:val="16"/>
              </w:rPr>
            </w:pPr>
            <w:r w:rsidRPr="00B049D8">
              <w:rPr>
                <w:rFonts w:cstheme="minorHAnsi"/>
                <w:sz w:val="16"/>
                <w:szCs w:val="16"/>
              </w:rPr>
              <w:t>5.4</w:t>
            </w:r>
          </w:p>
        </w:tc>
        <w:tc>
          <w:tcPr>
            <w:tcW w:w="992" w:type="dxa"/>
            <w:vAlign w:val="center"/>
          </w:tcPr>
          <w:p w14:paraId="2BC9BE28" w14:textId="77777777" w:rsidR="00E12789" w:rsidRPr="00B049D8" w:rsidRDefault="009A1A40" w:rsidP="00D62D5D">
            <w:pPr>
              <w:spacing w:line="276" w:lineRule="auto"/>
              <w:jc w:val="right"/>
              <w:rPr>
                <w:rFonts w:cstheme="minorHAnsi"/>
                <w:sz w:val="16"/>
                <w:szCs w:val="16"/>
              </w:rPr>
            </w:pPr>
            <w:r w:rsidRPr="00B049D8">
              <w:rPr>
                <w:rFonts w:cstheme="minorHAnsi"/>
                <w:sz w:val="16"/>
                <w:szCs w:val="16"/>
              </w:rPr>
              <w:t>2</w:t>
            </w:r>
          </w:p>
        </w:tc>
        <w:tc>
          <w:tcPr>
            <w:tcW w:w="992" w:type="dxa"/>
            <w:vAlign w:val="center"/>
          </w:tcPr>
          <w:p w14:paraId="7590CF28" w14:textId="77777777" w:rsidR="00E12789" w:rsidRPr="00B049D8" w:rsidRDefault="00E448FA" w:rsidP="00D62D5D">
            <w:pPr>
              <w:spacing w:line="276" w:lineRule="auto"/>
              <w:jc w:val="right"/>
              <w:rPr>
                <w:rFonts w:cstheme="minorHAnsi"/>
                <w:sz w:val="16"/>
                <w:szCs w:val="16"/>
              </w:rPr>
            </w:pPr>
            <w:r w:rsidRPr="00B049D8">
              <w:rPr>
                <w:rFonts w:cstheme="minorHAnsi"/>
                <w:sz w:val="16"/>
                <w:szCs w:val="16"/>
              </w:rPr>
              <w:t>dzienna</w:t>
            </w:r>
          </w:p>
        </w:tc>
        <w:tc>
          <w:tcPr>
            <w:tcW w:w="993" w:type="dxa"/>
            <w:vAlign w:val="center"/>
          </w:tcPr>
          <w:p w14:paraId="4F682E70" w14:textId="77777777" w:rsidR="00E12789" w:rsidRPr="00B049D8" w:rsidRDefault="00E448FA" w:rsidP="00D62D5D">
            <w:pPr>
              <w:spacing w:line="276" w:lineRule="auto"/>
              <w:jc w:val="right"/>
              <w:rPr>
                <w:rFonts w:cstheme="minorHAnsi"/>
                <w:sz w:val="16"/>
                <w:szCs w:val="16"/>
              </w:rPr>
            </w:pPr>
            <w:r w:rsidRPr="00B049D8">
              <w:rPr>
                <w:rFonts w:cstheme="minorHAnsi"/>
                <w:sz w:val="16"/>
                <w:szCs w:val="16"/>
              </w:rPr>
              <w:t>2 800</w:t>
            </w:r>
          </w:p>
        </w:tc>
        <w:tc>
          <w:tcPr>
            <w:tcW w:w="1134" w:type="dxa"/>
            <w:vAlign w:val="center"/>
          </w:tcPr>
          <w:p w14:paraId="6ACA50BB" w14:textId="77777777" w:rsidR="00E12789" w:rsidRPr="00B049D8" w:rsidRDefault="00E448FA" w:rsidP="00D62D5D">
            <w:pPr>
              <w:spacing w:line="276" w:lineRule="auto"/>
              <w:jc w:val="right"/>
              <w:rPr>
                <w:rFonts w:cstheme="minorHAnsi"/>
                <w:sz w:val="16"/>
                <w:szCs w:val="16"/>
              </w:rPr>
            </w:pPr>
            <w:r w:rsidRPr="00B049D8">
              <w:rPr>
                <w:rFonts w:cstheme="minorHAnsi"/>
                <w:sz w:val="16"/>
                <w:szCs w:val="16"/>
              </w:rPr>
              <w:t>2 000 000</w:t>
            </w:r>
          </w:p>
        </w:tc>
        <w:tc>
          <w:tcPr>
            <w:tcW w:w="1134" w:type="dxa"/>
            <w:vAlign w:val="center"/>
          </w:tcPr>
          <w:p w14:paraId="6E88122A" w14:textId="77777777" w:rsidR="00E12789" w:rsidRPr="00B049D8" w:rsidRDefault="00E448FA" w:rsidP="00D62D5D">
            <w:pPr>
              <w:spacing w:line="276" w:lineRule="auto"/>
              <w:jc w:val="right"/>
              <w:rPr>
                <w:rFonts w:cstheme="minorHAnsi"/>
                <w:sz w:val="16"/>
                <w:szCs w:val="16"/>
              </w:rPr>
            </w:pPr>
            <w:r w:rsidRPr="00B049D8">
              <w:rPr>
                <w:rFonts w:cstheme="minorHAnsi"/>
                <w:sz w:val="16"/>
                <w:szCs w:val="16"/>
              </w:rPr>
              <w:t>1 022 000</w:t>
            </w:r>
          </w:p>
        </w:tc>
      </w:tr>
    </w:tbl>
    <w:p w14:paraId="759498F6" w14:textId="77777777" w:rsidR="003E6870" w:rsidRPr="0067063B" w:rsidRDefault="006236DE" w:rsidP="00D62D5D">
      <w:pPr>
        <w:spacing w:after="240" w:line="276" w:lineRule="auto"/>
        <w:jc w:val="both"/>
        <w:rPr>
          <w:rFonts w:cstheme="minorHAnsi"/>
          <w:sz w:val="18"/>
        </w:rPr>
      </w:pPr>
      <w:r w:rsidRPr="0067063B">
        <w:rPr>
          <w:rFonts w:cstheme="minorHAnsi"/>
          <w:sz w:val="18"/>
        </w:rPr>
        <w:t xml:space="preserve">* </w:t>
      </w:r>
      <w:r w:rsidR="00143647" w:rsidRPr="0067063B">
        <w:rPr>
          <w:rFonts w:cstheme="minorHAnsi"/>
          <w:sz w:val="18"/>
        </w:rPr>
        <w:t>W</w:t>
      </w:r>
      <w:r w:rsidRPr="0067063B">
        <w:rPr>
          <w:rFonts w:cstheme="minorHAnsi"/>
          <w:sz w:val="18"/>
        </w:rPr>
        <w:t xml:space="preserve">ysokość rocznej kary nie uwzględnia jej </w:t>
      </w:r>
      <w:r w:rsidR="00143647" w:rsidRPr="0067063B">
        <w:rPr>
          <w:rFonts w:cstheme="minorHAnsi"/>
          <w:sz w:val="18"/>
        </w:rPr>
        <w:t xml:space="preserve">ewentualnego </w:t>
      </w:r>
      <w:r w:rsidRPr="0067063B">
        <w:rPr>
          <w:rFonts w:cstheme="minorHAnsi"/>
          <w:sz w:val="18"/>
        </w:rPr>
        <w:t xml:space="preserve">zmniejszenia w wyniku </w:t>
      </w:r>
      <w:r w:rsidR="00143647" w:rsidRPr="0067063B">
        <w:rPr>
          <w:rFonts w:cstheme="minorHAnsi"/>
          <w:sz w:val="18"/>
        </w:rPr>
        <w:t xml:space="preserve">częściowego </w:t>
      </w:r>
      <w:r w:rsidRPr="0067063B">
        <w:rPr>
          <w:rFonts w:cstheme="minorHAnsi"/>
          <w:sz w:val="18"/>
        </w:rPr>
        <w:t xml:space="preserve">dostosowania </w:t>
      </w:r>
      <w:r w:rsidR="00143647" w:rsidRPr="0067063B">
        <w:rPr>
          <w:rFonts w:cstheme="minorHAnsi"/>
          <w:sz w:val="18"/>
        </w:rPr>
        <w:t>aglomeracji</w:t>
      </w:r>
      <w:r w:rsidRPr="0067063B">
        <w:rPr>
          <w:rFonts w:cstheme="minorHAnsi"/>
          <w:sz w:val="18"/>
        </w:rPr>
        <w:t xml:space="preserve"> </w:t>
      </w:r>
      <w:r w:rsidR="0067063B">
        <w:rPr>
          <w:rFonts w:cstheme="minorHAnsi"/>
          <w:sz w:val="18"/>
        </w:rPr>
        <w:t xml:space="preserve">(zmniejszenia poziomu RLM niezgodnego z dyrektywą) </w:t>
      </w:r>
      <w:r w:rsidRPr="0067063B">
        <w:rPr>
          <w:rFonts w:cstheme="minorHAnsi"/>
          <w:sz w:val="18"/>
        </w:rPr>
        <w:t>do warunków dyrektywy ściekowej wyliczanego na koniec danego półrocza.</w:t>
      </w:r>
    </w:p>
    <w:p w14:paraId="60BD1B43" w14:textId="77777777" w:rsidR="006236DE" w:rsidRPr="00B049D8" w:rsidRDefault="006236DE" w:rsidP="00D62D5D">
      <w:pPr>
        <w:spacing w:after="240" w:line="276" w:lineRule="auto"/>
        <w:jc w:val="both"/>
        <w:rPr>
          <w:rFonts w:cstheme="minorHAnsi"/>
        </w:rPr>
      </w:pPr>
      <w:r w:rsidRPr="00B049D8">
        <w:rPr>
          <w:rFonts w:cstheme="minorHAnsi"/>
        </w:rPr>
        <w:t xml:space="preserve">Zgodnie z powyższymi danymi, w ramach </w:t>
      </w:r>
      <w:r w:rsidR="00796BE8" w:rsidRPr="00B049D8">
        <w:rPr>
          <w:rFonts w:cstheme="minorHAnsi"/>
        </w:rPr>
        <w:t>6</w:t>
      </w:r>
      <w:r w:rsidRPr="00B049D8">
        <w:rPr>
          <w:rFonts w:cstheme="minorHAnsi"/>
        </w:rPr>
        <w:t xml:space="preserve"> wyroków TSUE kary nałożone zostały w odniesieniu do 98 aglomeracji. </w:t>
      </w:r>
      <w:r w:rsidR="00143647" w:rsidRPr="00B049D8">
        <w:rPr>
          <w:rFonts w:cstheme="minorHAnsi"/>
        </w:rPr>
        <w:t xml:space="preserve">Wysokość okresowej kary w ujęciu rocznym wyniosła </w:t>
      </w:r>
      <w:r w:rsidR="00796BE8" w:rsidRPr="00B049D8">
        <w:rPr>
          <w:rFonts w:cstheme="minorHAnsi"/>
        </w:rPr>
        <w:t>100 629 000 EUR.</w:t>
      </w:r>
      <w:r w:rsidR="00F11BF0" w:rsidRPr="00B049D8">
        <w:rPr>
          <w:rFonts w:cstheme="minorHAnsi"/>
        </w:rPr>
        <w:t xml:space="preserve"> W przeliczeniu na 1 aglomerację daje to zatem karę w wysokości ok. 1 026 827 EUR</w:t>
      </w:r>
      <w:r w:rsidR="00787513" w:rsidRPr="00B049D8">
        <w:rPr>
          <w:rFonts w:cstheme="minorHAnsi"/>
        </w:rPr>
        <w:t xml:space="preserve"> rocznie</w:t>
      </w:r>
      <w:r w:rsidR="00F11BF0" w:rsidRPr="00B049D8">
        <w:rPr>
          <w:rFonts w:cstheme="minorHAnsi"/>
        </w:rPr>
        <w:t>.</w:t>
      </w:r>
    </w:p>
    <w:p w14:paraId="51CBC9F5" w14:textId="1DE69F3C" w:rsidR="0028333D" w:rsidRDefault="00F11BF0" w:rsidP="00D62D5D">
      <w:pPr>
        <w:spacing w:after="240" w:line="276" w:lineRule="auto"/>
        <w:jc w:val="both"/>
        <w:rPr>
          <w:rFonts w:cstheme="minorHAnsi"/>
        </w:rPr>
      </w:pPr>
      <w:r w:rsidRPr="00B049D8">
        <w:rPr>
          <w:rFonts w:cstheme="minorHAnsi"/>
        </w:rPr>
        <w:t xml:space="preserve">W ramach uzasadnionej opinii </w:t>
      </w:r>
      <w:r w:rsidR="002427D6" w:rsidRPr="00B049D8">
        <w:rPr>
          <w:rFonts w:cstheme="minorHAnsi"/>
        </w:rPr>
        <w:t>KE</w:t>
      </w:r>
      <w:r w:rsidR="004672AE" w:rsidRPr="00B049D8">
        <w:rPr>
          <w:rFonts w:cstheme="minorHAnsi"/>
        </w:rPr>
        <w:t xml:space="preserve"> skierowanej do Polski w związku z uchybieniem zobowiązaniom dyrektywy ściekowej, procedurą </w:t>
      </w:r>
      <w:proofErr w:type="spellStart"/>
      <w:r w:rsidR="004672AE" w:rsidRPr="00B049D8">
        <w:rPr>
          <w:rFonts w:cstheme="minorHAnsi"/>
        </w:rPr>
        <w:t>naruszeniową</w:t>
      </w:r>
      <w:proofErr w:type="spellEnd"/>
      <w:r w:rsidR="004672AE" w:rsidRPr="00B049D8">
        <w:rPr>
          <w:rFonts w:cstheme="minorHAnsi"/>
        </w:rPr>
        <w:t xml:space="preserve"> objętych zostało łącznie 1 285 aglomeracji</w:t>
      </w:r>
      <w:r w:rsidR="0028333D" w:rsidRPr="00B049D8">
        <w:rPr>
          <w:rFonts w:cstheme="minorHAnsi"/>
        </w:rPr>
        <w:t>. Daje to zatem karę w łącznej wysokości 1 319 472 695 EUR rocznie</w:t>
      </w:r>
      <w:r w:rsidR="008A1D43" w:rsidRPr="00B049D8">
        <w:rPr>
          <w:rFonts w:cstheme="minorHAnsi"/>
        </w:rPr>
        <w:t xml:space="preserve">, czyli </w:t>
      </w:r>
      <w:r w:rsidR="0028333D" w:rsidRPr="00B049D8">
        <w:rPr>
          <w:rFonts w:cstheme="minorHAnsi"/>
        </w:rPr>
        <w:t xml:space="preserve"> </w:t>
      </w:r>
      <w:r w:rsidR="008A1D43" w:rsidRPr="00B049D8">
        <w:rPr>
          <w:rFonts w:cstheme="minorHAnsi"/>
        </w:rPr>
        <w:t>6 095 963 851 PLN (przy kursie EUR na dzień 27</w:t>
      </w:r>
      <w:r w:rsidR="00D85BAF">
        <w:rPr>
          <w:rFonts w:cstheme="minorHAnsi"/>
        </w:rPr>
        <w:t xml:space="preserve"> października </w:t>
      </w:r>
      <w:r w:rsidR="008A1D43" w:rsidRPr="00B049D8">
        <w:rPr>
          <w:rFonts w:cstheme="minorHAnsi"/>
        </w:rPr>
        <w:t>2021</w:t>
      </w:r>
      <w:r w:rsidR="00D85BAF">
        <w:rPr>
          <w:rFonts w:cstheme="minorHAnsi"/>
        </w:rPr>
        <w:t xml:space="preserve"> r.</w:t>
      </w:r>
      <w:r w:rsidR="008A1D43" w:rsidRPr="00B049D8">
        <w:rPr>
          <w:rFonts w:cstheme="minorHAnsi"/>
        </w:rPr>
        <w:t xml:space="preserve"> wynoszącym 4,62 PLN).</w:t>
      </w:r>
    </w:p>
    <w:p w14:paraId="120F9612" w14:textId="77777777" w:rsidR="000A4FD0" w:rsidRPr="00B049D8" w:rsidRDefault="000A4FD0" w:rsidP="00D62D5D">
      <w:pPr>
        <w:spacing w:after="240" w:line="276" w:lineRule="auto"/>
        <w:jc w:val="both"/>
        <w:rPr>
          <w:rFonts w:cstheme="minorHAnsi"/>
        </w:rPr>
      </w:pPr>
      <w:r w:rsidRPr="000A4FD0">
        <w:rPr>
          <w:rFonts w:cstheme="minorHAnsi"/>
          <w:i/>
        </w:rPr>
        <w:t>Sposób obliczenia:</w:t>
      </w:r>
      <w:r>
        <w:rPr>
          <w:rFonts w:cstheme="minorHAnsi"/>
        </w:rPr>
        <w:t xml:space="preserve"> </w:t>
      </w:r>
      <w:r w:rsidRPr="00B049D8">
        <w:rPr>
          <w:rFonts w:cstheme="minorHAnsi"/>
        </w:rPr>
        <w:t>1 026 827 EUR</w:t>
      </w:r>
      <w:r>
        <w:rPr>
          <w:rFonts w:cstheme="minorHAnsi"/>
        </w:rPr>
        <w:t xml:space="preserve"> * 1 285 = </w:t>
      </w:r>
      <w:r w:rsidRPr="00B049D8">
        <w:rPr>
          <w:rFonts w:cstheme="minorHAnsi"/>
        </w:rPr>
        <w:t>1 319 472 695 EUR</w:t>
      </w:r>
    </w:p>
    <w:p w14:paraId="7AFCF0C0" w14:textId="33778EB9" w:rsidR="0028333D" w:rsidRPr="00B049D8" w:rsidRDefault="008A1D43" w:rsidP="00D62D5D">
      <w:pPr>
        <w:spacing w:after="240" w:line="276" w:lineRule="auto"/>
        <w:jc w:val="both"/>
        <w:rPr>
          <w:rFonts w:cstheme="minorHAnsi"/>
        </w:rPr>
      </w:pPr>
      <w:r w:rsidRPr="00B049D8">
        <w:rPr>
          <w:rFonts w:cstheme="minorHAnsi"/>
        </w:rPr>
        <w:t xml:space="preserve">Aglomeracje ujęte w uzasadnionej opinii KE </w:t>
      </w:r>
      <w:r w:rsidR="002427D6" w:rsidRPr="00B049D8">
        <w:rPr>
          <w:rFonts w:cstheme="minorHAnsi"/>
        </w:rPr>
        <w:t xml:space="preserve">generują ładunek </w:t>
      </w:r>
      <w:r w:rsidR="00AB75EE" w:rsidRPr="00B049D8">
        <w:rPr>
          <w:rFonts w:cstheme="minorHAnsi"/>
        </w:rPr>
        <w:t>zanieczyszczeń</w:t>
      </w:r>
      <w:r w:rsidR="002427D6" w:rsidRPr="00B049D8">
        <w:rPr>
          <w:rFonts w:cstheme="minorHAnsi"/>
        </w:rPr>
        <w:t xml:space="preserve"> wynoszący 31 454 300 RLM</w:t>
      </w:r>
      <w:r w:rsidR="004672AE" w:rsidRPr="00B049D8">
        <w:rPr>
          <w:rFonts w:cstheme="minorHAnsi"/>
        </w:rPr>
        <w:t>.</w:t>
      </w:r>
      <w:r w:rsidR="00AB75EE" w:rsidRPr="00B049D8">
        <w:rPr>
          <w:rFonts w:cstheme="minorHAnsi"/>
        </w:rPr>
        <w:t xml:space="preserve"> </w:t>
      </w:r>
      <w:r w:rsidRPr="00B049D8">
        <w:rPr>
          <w:rFonts w:cstheme="minorHAnsi"/>
        </w:rPr>
        <w:t xml:space="preserve">Zatem w przeliczeniu na </w:t>
      </w:r>
      <w:r w:rsidRPr="000A4FD0">
        <w:rPr>
          <w:rFonts w:cstheme="minorHAnsi"/>
          <w:b/>
        </w:rPr>
        <w:t xml:space="preserve">1 RLM daje to </w:t>
      </w:r>
      <w:r w:rsidR="00E13946" w:rsidRPr="000A4FD0">
        <w:rPr>
          <w:rFonts w:cstheme="minorHAnsi"/>
          <w:b/>
        </w:rPr>
        <w:t>41,95 EUR, czyli 194 PLN</w:t>
      </w:r>
      <w:r w:rsidR="00E13946" w:rsidRPr="00B049D8">
        <w:rPr>
          <w:rFonts w:cstheme="minorHAnsi"/>
        </w:rPr>
        <w:t xml:space="preserve"> (przy kursie EUR na dzień 27</w:t>
      </w:r>
      <w:r w:rsidR="00D85BAF">
        <w:rPr>
          <w:rFonts w:cstheme="minorHAnsi"/>
        </w:rPr>
        <w:t xml:space="preserve"> października </w:t>
      </w:r>
      <w:r w:rsidR="00E13946" w:rsidRPr="00B049D8">
        <w:rPr>
          <w:rFonts w:cstheme="minorHAnsi"/>
        </w:rPr>
        <w:t>2021</w:t>
      </w:r>
      <w:r w:rsidR="00D85BAF">
        <w:rPr>
          <w:rFonts w:cstheme="minorHAnsi"/>
        </w:rPr>
        <w:t xml:space="preserve"> r.</w:t>
      </w:r>
      <w:r w:rsidR="00E13946" w:rsidRPr="00B049D8">
        <w:rPr>
          <w:rFonts w:cstheme="minorHAnsi"/>
        </w:rPr>
        <w:t xml:space="preserve"> wynoszącym 4,62 PLN).</w:t>
      </w:r>
    </w:p>
    <w:p w14:paraId="54ACE923" w14:textId="77777777" w:rsidR="003742F6" w:rsidRDefault="000A4FD0" w:rsidP="00D62D5D">
      <w:pPr>
        <w:spacing w:after="240" w:line="276" w:lineRule="auto"/>
        <w:jc w:val="both"/>
        <w:rPr>
          <w:rFonts w:cstheme="minorHAnsi"/>
        </w:rPr>
      </w:pPr>
      <w:r w:rsidRPr="000A4FD0">
        <w:rPr>
          <w:rFonts w:cstheme="minorHAnsi"/>
          <w:i/>
        </w:rPr>
        <w:t>Sposób obliczenia:</w:t>
      </w:r>
      <w:r>
        <w:rPr>
          <w:rFonts w:cstheme="minorHAnsi"/>
        </w:rPr>
        <w:t xml:space="preserve"> </w:t>
      </w:r>
      <w:r w:rsidRPr="00B049D8">
        <w:rPr>
          <w:rFonts w:cstheme="minorHAnsi"/>
        </w:rPr>
        <w:t>1 319 472 695 EUR</w:t>
      </w:r>
      <w:r>
        <w:rPr>
          <w:rFonts w:cstheme="minorHAnsi"/>
        </w:rPr>
        <w:t xml:space="preserve"> / </w:t>
      </w:r>
      <w:r w:rsidRPr="00B049D8">
        <w:rPr>
          <w:rFonts w:cstheme="minorHAnsi"/>
        </w:rPr>
        <w:t>31 454 300 RLM</w:t>
      </w:r>
      <w:r>
        <w:rPr>
          <w:rFonts w:cstheme="minorHAnsi"/>
        </w:rPr>
        <w:t xml:space="preserve"> = </w:t>
      </w:r>
      <w:r w:rsidRPr="00B049D8">
        <w:rPr>
          <w:rFonts w:cstheme="minorHAnsi"/>
        </w:rPr>
        <w:t>41,95 EUR</w:t>
      </w:r>
      <w:r>
        <w:rPr>
          <w:rFonts w:cstheme="minorHAnsi"/>
        </w:rPr>
        <w:t>/RLM</w:t>
      </w:r>
    </w:p>
    <w:p w14:paraId="0878D96E" w14:textId="77777777" w:rsidR="00D62D5D" w:rsidRDefault="00D62D5D" w:rsidP="00D62D5D">
      <w:pPr>
        <w:spacing w:after="240" w:line="276" w:lineRule="auto"/>
        <w:jc w:val="both"/>
        <w:rPr>
          <w:rFonts w:cstheme="minorHAnsi"/>
          <w:b/>
        </w:rPr>
      </w:pPr>
    </w:p>
    <w:p w14:paraId="1F3A1227" w14:textId="77777777" w:rsidR="00D62D5D" w:rsidRDefault="00D62D5D" w:rsidP="00D62D5D">
      <w:pPr>
        <w:spacing w:after="240" w:line="276" w:lineRule="auto"/>
        <w:jc w:val="both"/>
        <w:rPr>
          <w:rFonts w:cstheme="minorHAnsi"/>
          <w:b/>
        </w:rPr>
      </w:pPr>
    </w:p>
    <w:p w14:paraId="11D716B2" w14:textId="77777777" w:rsidR="00D62D5D" w:rsidRDefault="00D62D5D" w:rsidP="00D62D5D">
      <w:pPr>
        <w:spacing w:after="240" w:line="276" w:lineRule="auto"/>
        <w:jc w:val="both"/>
        <w:rPr>
          <w:rFonts w:cstheme="minorHAnsi"/>
          <w:b/>
        </w:rPr>
      </w:pPr>
    </w:p>
    <w:p w14:paraId="038E6ACF" w14:textId="77777777" w:rsidR="00AB39C9" w:rsidRDefault="00C34C5C" w:rsidP="00D62D5D">
      <w:pPr>
        <w:spacing w:after="240" w:line="276" w:lineRule="auto"/>
        <w:jc w:val="both"/>
        <w:rPr>
          <w:rFonts w:cstheme="minorHAnsi"/>
        </w:rPr>
      </w:pPr>
      <w:r w:rsidRPr="00263AF7">
        <w:rPr>
          <w:rFonts w:cstheme="minorHAnsi"/>
          <w:b/>
        </w:rPr>
        <w:t>Przykładowe wysokości kar</w:t>
      </w:r>
      <w:r w:rsidR="00263AF7">
        <w:rPr>
          <w:rFonts w:cstheme="minorHAnsi"/>
          <w:b/>
        </w:rPr>
        <w:t>y rocznej</w:t>
      </w:r>
      <w:r w:rsidRPr="00263AF7">
        <w:rPr>
          <w:rFonts w:cstheme="minorHAnsi"/>
          <w:b/>
        </w:rPr>
        <w:t xml:space="preserve"> dla aglomeracji</w:t>
      </w:r>
      <w:r>
        <w:rPr>
          <w:rFonts w:cstheme="minorHAnsi"/>
        </w:rPr>
        <w:t xml:space="preserve"> za niespełnienie warunku </w:t>
      </w:r>
      <w:r w:rsidR="00263AF7">
        <w:rPr>
          <w:rFonts w:cstheme="minorHAnsi"/>
        </w:rPr>
        <w:t>dotyczącego</w:t>
      </w:r>
      <w:r>
        <w:rPr>
          <w:rFonts w:cstheme="minorHAnsi"/>
        </w:rPr>
        <w:t xml:space="preserve"> poziomu skanalizowania, w oparciu o aktualnie </w:t>
      </w:r>
      <w:r w:rsidR="00263AF7">
        <w:rPr>
          <w:rFonts w:cstheme="minorHAnsi"/>
        </w:rPr>
        <w:t>nieskanalizowany</w:t>
      </w:r>
      <w:r>
        <w:rPr>
          <w:rFonts w:cstheme="minorHAnsi"/>
        </w:rPr>
        <w:t xml:space="preserve"> RLM aglomeracji (na podstawie projektu VI AKPOŚK z sierpnia 2021)</w:t>
      </w:r>
      <w:r w:rsidR="00263AF7">
        <w:rPr>
          <w:rFonts w:cstheme="minorHAnsi"/>
        </w:rPr>
        <w:t>, przy założeniu 1 RLM nieskanalizowany = 194 PLN kary pieniężnej.</w:t>
      </w:r>
    </w:p>
    <w:tbl>
      <w:tblPr>
        <w:tblStyle w:val="Tabela-Siatka"/>
        <w:tblW w:w="0" w:type="auto"/>
        <w:tblLayout w:type="fixed"/>
        <w:tblLook w:val="04A0" w:firstRow="1" w:lastRow="0" w:firstColumn="1" w:lastColumn="0" w:noHBand="0" w:noVBand="1"/>
      </w:tblPr>
      <w:tblGrid>
        <w:gridCol w:w="1868"/>
        <w:gridCol w:w="1671"/>
        <w:gridCol w:w="1559"/>
        <w:gridCol w:w="1418"/>
        <w:gridCol w:w="1276"/>
      </w:tblGrid>
      <w:tr w:rsidR="00144BD7" w:rsidRPr="00AE2367" w14:paraId="78E4BDC0" w14:textId="77777777" w:rsidTr="00F145A2">
        <w:tc>
          <w:tcPr>
            <w:tcW w:w="1868" w:type="dxa"/>
            <w:vAlign w:val="center"/>
          </w:tcPr>
          <w:p w14:paraId="09A426E6" w14:textId="77777777" w:rsidR="00E80EF5" w:rsidRPr="00AE2367" w:rsidRDefault="00E80EF5" w:rsidP="00D62D5D">
            <w:pPr>
              <w:spacing w:line="276" w:lineRule="auto"/>
              <w:jc w:val="center"/>
              <w:rPr>
                <w:rFonts w:cstheme="minorHAnsi"/>
                <w:sz w:val="18"/>
                <w:szCs w:val="18"/>
              </w:rPr>
            </w:pPr>
            <w:r w:rsidRPr="00AE2367">
              <w:rPr>
                <w:rFonts w:cstheme="minorHAnsi"/>
                <w:sz w:val="18"/>
                <w:szCs w:val="18"/>
              </w:rPr>
              <w:t>Aglomeracja</w:t>
            </w:r>
          </w:p>
        </w:tc>
        <w:tc>
          <w:tcPr>
            <w:tcW w:w="1671" w:type="dxa"/>
            <w:vAlign w:val="center"/>
          </w:tcPr>
          <w:p w14:paraId="7974F2A9" w14:textId="77777777" w:rsidR="00E80EF5" w:rsidRPr="00AE2367" w:rsidRDefault="00E80EF5" w:rsidP="00D62D5D">
            <w:pPr>
              <w:spacing w:line="276" w:lineRule="auto"/>
              <w:jc w:val="center"/>
              <w:rPr>
                <w:rFonts w:cstheme="minorHAnsi"/>
                <w:sz w:val="18"/>
                <w:szCs w:val="18"/>
              </w:rPr>
            </w:pPr>
            <w:r w:rsidRPr="00AE2367">
              <w:rPr>
                <w:rFonts w:cstheme="minorHAnsi"/>
                <w:sz w:val="18"/>
                <w:szCs w:val="18"/>
              </w:rPr>
              <w:t>RLM aglomeracji zgodnie z uchwałą</w:t>
            </w:r>
          </w:p>
        </w:tc>
        <w:tc>
          <w:tcPr>
            <w:tcW w:w="1559" w:type="dxa"/>
            <w:vAlign w:val="center"/>
          </w:tcPr>
          <w:p w14:paraId="168E2493" w14:textId="77777777" w:rsidR="00E80EF5" w:rsidRPr="00AE2367" w:rsidRDefault="00E80EF5" w:rsidP="00D62D5D">
            <w:pPr>
              <w:spacing w:line="276" w:lineRule="auto"/>
              <w:jc w:val="center"/>
              <w:rPr>
                <w:rFonts w:cstheme="minorHAnsi"/>
                <w:sz w:val="18"/>
                <w:szCs w:val="18"/>
              </w:rPr>
            </w:pPr>
            <w:r w:rsidRPr="00AE2367">
              <w:rPr>
                <w:rFonts w:cstheme="minorHAnsi"/>
                <w:sz w:val="18"/>
                <w:szCs w:val="18"/>
              </w:rPr>
              <w:t>RLM</w:t>
            </w:r>
            <w:r w:rsidRPr="00AE2367">
              <w:rPr>
                <w:rFonts w:cstheme="minorHAnsi"/>
                <w:sz w:val="18"/>
                <w:szCs w:val="18"/>
              </w:rPr>
              <w:br/>
              <w:t>nieskanalizowany</w:t>
            </w:r>
          </w:p>
        </w:tc>
        <w:tc>
          <w:tcPr>
            <w:tcW w:w="1418" w:type="dxa"/>
            <w:vAlign w:val="center"/>
          </w:tcPr>
          <w:p w14:paraId="661DD386" w14:textId="77777777" w:rsidR="00E80EF5" w:rsidRPr="00F145A2" w:rsidRDefault="00F145A2" w:rsidP="00D62D5D">
            <w:pPr>
              <w:spacing w:line="276" w:lineRule="auto"/>
              <w:jc w:val="center"/>
              <w:rPr>
                <w:rFonts w:cstheme="minorHAnsi"/>
                <w:sz w:val="16"/>
                <w:szCs w:val="16"/>
              </w:rPr>
            </w:pPr>
            <w:r w:rsidRPr="00F145A2">
              <w:rPr>
                <w:rFonts w:cstheme="minorHAnsi"/>
                <w:sz w:val="16"/>
                <w:szCs w:val="16"/>
              </w:rPr>
              <w:t>Wysokość okresowej kary w ujęciu rocznym</w:t>
            </w:r>
            <w:r w:rsidR="00C7747A" w:rsidRPr="00F145A2">
              <w:rPr>
                <w:rFonts w:cstheme="minorHAnsi"/>
                <w:sz w:val="16"/>
                <w:szCs w:val="16"/>
              </w:rPr>
              <w:t>*</w:t>
            </w:r>
            <w:r w:rsidR="00E80EF5" w:rsidRPr="00F145A2">
              <w:rPr>
                <w:rFonts w:cstheme="minorHAnsi"/>
                <w:sz w:val="16"/>
                <w:szCs w:val="16"/>
              </w:rPr>
              <w:br/>
              <w:t>(PLN)</w:t>
            </w:r>
          </w:p>
        </w:tc>
        <w:tc>
          <w:tcPr>
            <w:tcW w:w="1276" w:type="dxa"/>
            <w:vAlign w:val="center"/>
          </w:tcPr>
          <w:p w14:paraId="21489765" w14:textId="77777777" w:rsidR="00E80EF5" w:rsidRPr="00F145A2" w:rsidRDefault="00E80EF5" w:rsidP="00D62D5D">
            <w:pPr>
              <w:spacing w:line="276" w:lineRule="auto"/>
              <w:jc w:val="center"/>
              <w:rPr>
                <w:rFonts w:cstheme="minorHAnsi"/>
                <w:sz w:val="16"/>
                <w:szCs w:val="16"/>
              </w:rPr>
            </w:pPr>
            <w:r w:rsidRPr="00F145A2">
              <w:rPr>
                <w:rFonts w:cstheme="minorHAnsi"/>
                <w:sz w:val="16"/>
                <w:szCs w:val="16"/>
              </w:rPr>
              <w:t>Aktualny procent skanalizowania</w:t>
            </w:r>
          </w:p>
        </w:tc>
      </w:tr>
      <w:tr w:rsidR="00E80EF5" w:rsidRPr="00AE2367" w14:paraId="5DE4C839" w14:textId="77777777" w:rsidTr="00F145A2">
        <w:tc>
          <w:tcPr>
            <w:tcW w:w="1868" w:type="dxa"/>
          </w:tcPr>
          <w:p w14:paraId="7A507A90" w14:textId="77777777" w:rsidR="00E80EF5" w:rsidRPr="00AE2367" w:rsidRDefault="00E80EF5" w:rsidP="00D62D5D">
            <w:pPr>
              <w:spacing w:line="276" w:lineRule="auto"/>
              <w:jc w:val="both"/>
              <w:rPr>
                <w:rFonts w:cstheme="minorHAnsi"/>
                <w:sz w:val="18"/>
                <w:szCs w:val="18"/>
              </w:rPr>
            </w:pPr>
            <w:r w:rsidRPr="00AE2367">
              <w:rPr>
                <w:rFonts w:cstheme="minorHAnsi"/>
                <w:sz w:val="18"/>
                <w:szCs w:val="18"/>
              </w:rPr>
              <w:t>PLMZ001 Warszawa</w:t>
            </w:r>
          </w:p>
        </w:tc>
        <w:tc>
          <w:tcPr>
            <w:tcW w:w="1671" w:type="dxa"/>
          </w:tcPr>
          <w:p w14:paraId="7C7AE46A" w14:textId="77777777" w:rsidR="00E80EF5" w:rsidRPr="00AE2367" w:rsidRDefault="00E80EF5" w:rsidP="00D62D5D">
            <w:pPr>
              <w:spacing w:line="276" w:lineRule="auto"/>
              <w:jc w:val="right"/>
              <w:rPr>
                <w:rFonts w:cstheme="minorHAnsi"/>
                <w:sz w:val="18"/>
                <w:szCs w:val="18"/>
              </w:rPr>
            </w:pPr>
            <w:r w:rsidRPr="00AE2367">
              <w:rPr>
                <w:rFonts w:cstheme="minorHAnsi"/>
                <w:sz w:val="18"/>
                <w:szCs w:val="18"/>
              </w:rPr>
              <w:t>2 513 880</w:t>
            </w:r>
          </w:p>
        </w:tc>
        <w:tc>
          <w:tcPr>
            <w:tcW w:w="1559" w:type="dxa"/>
          </w:tcPr>
          <w:p w14:paraId="1199AB53" w14:textId="77777777" w:rsidR="00E80EF5" w:rsidRPr="00AE2367" w:rsidRDefault="00E80EF5" w:rsidP="00D62D5D">
            <w:pPr>
              <w:spacing w:line="276" w:lineRule="auto"/>
              <w:jc w:val="right"/>
              <w:rPr>
                <w:rFonts w:cstheme="minorHAnsi"/>
                <w:sz w:val="18"/>
                <w:szCs w:val="18"/>
              </w:rPr>
            </w:pPr>
            <w:r w:rsidRPr="00AE2367">
              <w:rPr>
                <w:rFonts w:cstheme="minorHAnsi"/>
                <w:sz w:val="18"/>
                <w:szCs w:val="18"/>
              </w:rPr>
              <w:t>45 469</w:t>
            </w:r>
          </w:p>
        </w:tc>
        <w:tc>
          <w:tcPr>
            <w:tcW w:w="1418" w:type="dxa"/>
          </w:tcPr>
          <w:p w14:paraId="4F4E4985" w14:textId="77777777" w:rsidR="00E80EF5" w:rsidRPr="00AE2367" w:rsidRDefault="00E80EF5" w:rsidP="00D62D5D">
            <w:pPr>
              <w:spacing w:line="276" w:lineRule="auto"/>
              <w:jc w:val="right"/>
              <w:rPr>
                <w:rFonts w:cstheme="minorHAnsi"/>
                <w:sz w:val="18"/>
                <w:szCs w:val="18"/>
              </w:rPr>
            </w:pPr>
            <w:r w:rsidRPr="00AE2367">
              <w:rPr>
                <w:rFonts w:cstheme="minorHAnsi"/>
                <w:sz w:val="18"/>
                <w:szCs w:val="18"/>
              </w:rPr>
              <w:t>8 820 986</w:t>
            </w:r>
          </w:p>
        </w:tc>
        <w:tc>
          <w:tcPr>
            <w:tcW w:w="1276" w:type="dxa"/>
          </w:tcPr>
          <w:p w14:paraId="09676044" w14:textId="77777777" w:rsidR="00E80EF5" w:rsidRPr="00AE2367" w:rsidRDefault="00E80EF5" w:rsidP="00D62D5D">
            <w:pPr>
              <w:spacing w:line="276" w:lineRule="auto"/>
              <w:jc w:val="right"/>
              <w:rPr>
                <w:rFonts w:cstheme="minorHAnsi"/>
                <w:sz w:val="18"/>
                <w:szCs w:val="18"/>
              </w:rPr>
            </w:pPr>
            <w:r w:rsidRPr="00AE2367">
              <w:rPr>
                <w:rFonts w:cstheme="minorHAnsi"/>
                <w:sz w:val="18"/>
                <w:szCs w:val="18"/>
              </w:rPr>
              <w:t>98,19</w:t>
            </w:r>
          </w:p>
        </w:tc>
      </w:tr>
      <w:tr w:rsidR="00E80EF5" w:rsidRPr="00AE2367" w14:paraId="1D65CCBC" w14:textId="77777777" w:rsidTr="00F145A2">
        <w:tc>
          <w:tcPr>
            <w:tcW w:w="1868" w:type="dxa"/>
          </w:tcPr>
          <w:p w14:paraId="2CE22367" w14:textId="77777777" w:rsidR="00E80EF5" w:rsidRPr="00AE2367" w:rsidRDefault="00E80EF5" w:rsidP="00D62D5D">
            <w:pPr>
              <w:spacing w:line="276" w:lineRule="auto"/>
              <w:jc w:val="both"/>
              <w:rPr>
                <w:rFonts w:cstheme="minorHAnsi"/>
                <w:sz w:val="18"/>
                <w:szCs w:val="18"/>
              </w:rPr>
            </w:pPr>
            <w:r w:rsidRPr="00AE2367">
              <w:rPr>
                <w:rFonts w:cstheme="minorHAnsi"/>
                <w:sz w:val="18"/>
                <w:szCs w:val="18"/>
              </w:rPr>
              <w:t>PLDO001 Wrocław</w:t>
            </w:r>
          </w:p>
        </w:tc>
        <w:tc>
          <w:tcPr>
            <w:tcW w:w="1671" w:type="dxa"/>
          </w:tcPr>
          <w:p w14:paraId="7A74E115" w14:textId="77777777" w:rsidR="00E80EF5" w:rsidRPr="00AE2367" w:rsidRDefault="00E80EF5" w:rsidP="00D62D5D">
            <w:pPr>
              <w:spacing w:line="276" w:lineRule="auto"/>
              <w:jc w:val="right"/>
              <w:rPr>
                <w:rFonts w:cstheme="minorHAnsi"/>
                <w:sz w:val="18"/>
                <w:szCs w:val="18"/>
              </w:rPr>
            </w:pPr>
            <w:r w:rsidRPr="00AE2367">
              <w:rPr>
                <w:rFonts w:cstheme="minorHAnsi"/>
                <w:sz w:val="18"/>
                <w:szCs w:val="18"/>
              </w:rPr>
              <w:t>1 035 321</w:t>
            </w:r>
          </w:p>
        </w:tc>
        <w:tc>
          <w:tcPr>
            <w:tcW w:w="1559" w:type="dxa"/>
          </w:tcPr>
          <w:p w14:paraId="70EBEB72" w14:textId="77777777" w:rsidR="00E80EF5" w:rsidRPr="00AE2367" w:rsidRDefault="00E80EF5" w:rsidP="00D62D5D">
            <w:pPr>
              <w:spacing w:line="276" w:lineRule="auto"/>
              <w:jc w:val="right"/>
              <w:rPr>
                <w:rFonts w:cstheme="minorHAnsi"/>
                <w:sz w:val="18"/>
                <w:szCs w:val="18"/>
              </w:rPr>
            </w:pPr>
            <w:r w:rsidRPr="00AE2367">
              <w:rPr>
                <w:rFonts w:cstheme="minorHAnsi"/>
                <w:sz w:val="18"/>
                <w:szCs w:val="18"/>
              </w:rPr>
              <w:t>17 912</w:t>
            </w:r>
          </w:p>
        </w:tc>
        <w:tc>
          <w:tcPr>
            <w:tcW w:w="1418" w:type="dxa"/>
          </w:tcPr>
          <w:p w14:paraId="25B46854" w14:textId="77777777" w:rsidR="00E80EF5" w:rsidRPr="00AE2367" w:rsidRDefault="00E80EF5" w:rsidP="00D62D5D">
            <w:pPr>
              <w:spacing w:line="276" w:lineRule="auto"/>
              <w:jc w:val="right"/>
              <w:rPr>
                <w:rFonts w:cstheme="minorHAnsi"/>
                <w:sz w:val="18"/>
                <w:szCs w:val="18"/>
              </w:rPr>
            </w:pPr>
            <w:r w:rsidRPr="00AE2367">
              <w:rPr>
                <w:rFonts w:cstheme="minorHAnsi"/>
                <w:sz w:val="18"/>
                <w:szCs w:val="18"/>
              </w:rPr>
              <w:t>3 474 928</w:t>
            </w:r>
          </w:p>
        </w:tc>
        <w:tc>
          <w:tcPr>
            <w:tcW w:w="1276" w:type="dxa"/>
          </w:tcPr>
          <w:p w14:paraId="1513385C" w14:textId="77777777" w:rsidR="00E80EF5" w:rsidRPr="00AE2367" w:rsidRDefault="006058CF" w:rsidP="00D62D5D">
            <w:pPr>
              <w:spacing w:line="276" w:lineRule="auto"/>
              <w:jc w:val="right"/>
              <w:rPr>
                <w:rFonts w:cstheme="minorHAnsi"/>
                <w:sz w:val="18"/>
                <w:szCs w:val="18"/>
              </w:rPr>
            </w:pPr>
            <w:r w:rsidRPr="00AE2367">
              <w:rPr>
                <w:rFonts w:cstheme="minorHAnsi"/>
                <w:sz w:val="18"/>
                <w:szCs w:val="18"/>
              </w:rPr>
              <w:t>98,21</w:t>
            </w:r>
          </w:p>
        </w:tc>
      </w:tr>
      <w:tr w:rsidR="000C4467" w:rsidRPr="00AE2367" w14:paraId="31AE4BC3" w14:textId="77777777" w:rsidTr="00F145A2">
        <w:tc>
          <w:tcPr>
            <w:tcW w:w="1868" w:type="dxa"/>
          </w:tcPr>
          <w:p w14:paraId="656BFB52" w14:textId="77777777" w:rsidR="000C4467" w:rsidRPr="00AE2367" w:rsidRDefault="000C4467" w:rsidP="00D62D5D">
            <w:pPr>
              <w:spacing w:line="276" w:lineRule="auto"/>
              <w:jc w:val="both"/>
              <w:rPr>
                <w:rFonts w:cstheme="minorHAnsi"/>
                <w:sz w:val="18"/>
                <w:szCs w:val="18"/>
              </w:rPr>
            </w:pPr>
            <w:r w:rsidRPr="00AE2367">
              <w:rPr>
                <w:rFonts w:cstheme="minorHAnsi"/>
                <w:sz w:val="18"/>
                <w:szCs w:val="18"/>
              </w:rPr>
              <w:t>PLMP601 Dębno</w:t>
            </w:r>
          </w:p>
        </w:tc>
        <w:tc>
          <w:tcPr>
            <w:tcW w:w="1671" w:type="dxa"/>
          </w:tcPr>
          <w:p w14:paraId="7A956D60" w14:textId="77777777" w:rsidR="000C4467" w:rsidRPr="00AE2367" w:rsidRDefault="000C4467" w:rsidP="00D62D5D">
            <w:pPr>
              <w:spacing w:line="276" w:lineRule="auto"/>
              <w:jc w:val="right"/>
              <w:rPr>
                <w:rFonts w:cstheme="minorHAnsi"/>
                <w:sz w:val="18"/>
                <w:szCs w:val="18"/>
              </w:rPr>
            </w:pPr>
            <w:r w:rsidRPr="00AE2367">
              <w:rPr>
                <w:rFonts w:cstheme="minorHAnsi"/>
                <w:sz w:val="18"/>
                <w:szCs w:val="18"/>
              </w:rPr>
              <w:t>16 137</w:t>
            </w:r>
          </w:p>
        </w:tc>
        <w:tc>
          <w:tcPr>
            <w:tcW w:w="1559" w:type="dxa"/>
          </w:tcPr>
          <w:p w14:paraId="5191EDFD" w14:textId="77777777" w:rsidR="000C4467" w:rsidRPr="00AE2367" w:rsidRDefault="000C4467" w:rsidP="00D62D5D">
            <w:pPr>
              <w:spacing w:line="276" w:lineRule="auto"/>
              <w:jc w:val="right"/>
              <w:rPr>
                <w:rFonts w:cstheme="minorHAnsi"/>
                <w:sz w:val="18"/>
                <w:szCs w:val="18"/>
              </w:rPr>
            </w:pPr>
            <w:r w:rsidRPr="00AE2367">
              <w:rPr>
                <w:rFonts w:cstheme="minorHAnsi"/>
                <w:sz w:val="18"/>
                <w:szCs w:val="18"/>
              </w:rPr>
              <w:t>6 482</w:t>
            </w:r>
          </w:p>
        </w:tc>
        <w:tc>
          <w:tcPr>
            <w:tcW w:w="1418" w:type="dxa"/>
          </w:tcPr>
          <w:p w14:paraId="6663F553" w14:textId="77777777" w:rsidR="000C4467" w:rsidRPr="00AE2367" w:rsidRDefault="000C4467" w:rsidP="00D62D5D">
            <w:pPr>
              <w:spacing w:line="276" w:lineRule="auto"/>
              <w:jc w:val="right"/>
              <w:rPr>
                <w:rFonts w:cstheme="minorHAnsi"/>
                <w:sz w:val="18"/>
                <w:szCs w:val="18"/>
              </w:rPr>
            </w:pPr>
            <w:r w:rsidRPr="00AE2367">
              <w:rPr>
                <w:rFonts w:cstheme="minorHAnsi"/>
                <w:sz w:val="18"/>
                <w:szCs w:val="18"/>
              </w:rPr>
              <w:t>1 257 508</w:t>
            </w:r>
          </w:p>
        </w:tc>
        <w:tc>
          <w:tcPr>
            <w:tcW w:w="1276" w:type="dxa"/>
          </w:tcPr>
          <w:p w14:paraId="23C75901" w14:textId="77777777" w:rsidR="000C4467" w:rsidRPr="00AE2367" w:rsidRDefault="000C4467" w:rsidP="00D62D5D">
            <w:pPr>
              <w:spacing w:line="276" w:lineRule="auto"/>
              <w:jc w:val="right"/>
              <w:rPr>
                <w:rFonts w:cstheme="minorHAnsi"/>
                <w:sz w:val="18"/>
                <w:szCs w:val="18"/>
              </w:rPr>
            </w:pPr>
            <w:r w:rsidRPr="00AE2367">
              <w:rPr>
                <w:rFonts w:cstheme="minorHAnsi"/>
                <w:sz w:val="18"/>
                <w:szCs w:val="18"/>
              </w:rPr>
              <w:t>59,83</w:t>
            </w:r>
          </w:p>
        </w:tc>
      </w:tr>
      <w:tr w:rsidR="00E80EF5" w:rsidRPr="00AE2367" w14:paraId="4AE106DD" w14:textId="77777777" w:rsidTr="00F145A2">
        <w:tc>
          <w:tcPr>
            <w:tcW w:w="1868" w:type="dxa"/>
          </w:tcPr>
          <w:p w14:paraId="069D4DDD" w14:textId="77777777" w:rsidR="00E80EF5" w:rsidRPr="00AE2367" w:rsidRDefault="00E80EF5" w:rsidP="00D62D5D">
            <w:pPr>
              <w:spacing w:line="276" w:lineRule="auto"/>
              <w:jc w:val="both"/>
              <w:rPr>
                <w:rFonts w:cstheme="minorHAnsi"/>
                <w:sz w:val="18"/>
                <w:szCs w:val="18"/>
              </w:rPr>
            </w:pPr>
            <w:r w:rsidRPr="00AE2367">
              <w:rPr>
                <w:rFonts w:cstheme="minorHAnsi"/>
                <w:sz w:val="18"/>
                <w:szCs w:val="18"/>
              </w:rPr>
              <w:t>PLDO0680 Siechnice</w:t>
            </w:r>
          </w:p>
        </w:tc>
        <w:tc>
          <w:tcPr>
            <w:tcW w:w="1671" w:type="dxa"/>
          </w:tcPr>
          <w:p w14:paraId="5BC0B87A" w14:textId="77777777" w:rsidR="00E80EF5" w:rsidRPr="00AE2367" w:rsidRDefault="00E80EF5" w:rsidP="00D62D5D">
            <w:pPr>
              <w:spacing w:line="276" w:lineRule="auto"/>
              <w:jc w:val="right"/>
              <w:rPr>
                <w:rFonts w:cstheme="minorHAnsi"/>
                <w:sz w:val="18"/>
                <w:szCs w:val="18"/>
              </w:rPr>
            </w:pPr>
            <w:r w:rsidRPr="00AE2367">
              <w:rPr>
                <w:rFonts w:cstheme="minorHAnsi"/>
                <w:sz w:val="18"/>
                <w:szCs w:val="18"/>
              </w:rPr>
              <w:t>14 689</w:t>
            </w:r>
          </w:p>
        </w:tc>
        <w:tc>
          <w:tcPr>
            <w:tcW w:w="1559" w:type="dxa"/>
          </w:tcPr>
          <w:p w14:paraId="0B720C12" w14:textId="77777777" w:rsidR="00E80EF5" w:rsidRPr="00AE2367" w:rsidRDefault="00E80EF5" w:rsidP="00D62D5D">
            <w:pPr>
              <w:spacing w:line="276" w:lineRule="auto"/>
              <w:jc w:val="right"/>
              <w:rPr>
                <w:rFonts w:cstheme="minorHAnsi"/>
                <w:sz w:val="18"/>
                <w:szCs w:val="18"/>
              </w:rPr>
            </w:pPr>
            <w:r w:rsidRPr="00AE2367">
              <w:rPr>
                <w:rFonts w:cstheme="minorHAnsi"/>
                <w:sz w:val="18"/>
                <w:szCs w:val="18"/>
              </w:rPr>
              <w:t>688</w:t>
            </w:r>
          </w:p>
        </w:tc>
        <w:tc>
          <w:tcPr>
            <w:tcW w:w="1418" w:type="dxa"/>
          </w:tcPr>
          <w:p w14:paraId="3145C9A9" w14:textId="77777777" w:rsidR="00E80EF5" w:rsidRPr="00AE2367" w:rsidRDefault="00E80EF5" w:rsidP="00D62D5D">
            <w:pPr>
              <w:spacing w:line="276" w:lineRule="auto"/>
              <w:jc w:val="right"/>
              <w:rPr>
                <w:rFonts w:cstheme="minorHAnsi"/>
                <w:sz w:val="18"/>
                <w:szCs w:val="18"/>
              </w:rPr>
            </w:pPr>
            <w:r w:rsidRPr="00AE2367">
              <w:rPr>
                <w:rFonts w:cstheme="minorHAnsi"/>
                <w:sz w:val="18"/>
                <w:szCs w:val="18"/>
              </w:rPr>
              <w:t>133 472</w:t>
            </w:r>
          </w:p>
        </w:tc>
        <w:tc>
          <w:tcPr>
            <w:tcW w:w="1276" w:type="dxa"/>
          </w:tcPr>
          <w:p w14:paraId="5D5617EF" w14:textId="77777777" w:rsidR="00E80EF5" w:rsidRPr="00AE2367" w:rsidRDefault="006058CF" w:rsidP="00D62D5D">
            <w:pPr>
              <w:spacing w:line="276" w:lineRule="auto"/>
              <w:jc w:val="right"/>
              <w:rPr>
                <w:rFonts w:cstheme="minorHAnsi"/>
                <w:sz w:val="18"/>
                <w:szCs w:val="18"/>
              </w:rPr>
            </w:pPr>
            <w:r w:rsidRPr="00AE2367">
              <w:rPr>
                <w:rFonts w:cstheme="minorHAnsi"/>
                <w:sz w:val="18"/>
                <w:szCs w:val="18"/>
              </w:rPr>
              <w:t>95,29</w:t>
            </w:r>
          </w:p>
        </w:tc>
      </w:tr>
      <w:tr w:rsidR="00AE2367" w:rsidRPr="00AE2367" w14:paraId="6B079830" w14:textId="77777777" w:rsidTr="00F145A2">
        <w:tc>
          <w:tcPr>
            <w:tcW w:w="1868" w:type="dxa"/>
          </w:tcPr>
          <w:p w14:paraId="35D11A5D" w14:textId="77777777" w:rsidR="00AE2367" w:rsidRPr="00AE2367" w:rsidRDefault="00AE2367" w:rsidP="00D62D5D">
            <w:pPr>
              <w:spacing w:line="276" w:lineRule="auto"/>
              <w:jc w:val="both"/>
              <w:rPr>
                <w:rFonts w:cstheme="minorHAnsi"/>
                <w:sz w:val="18"/>
                <w:szCs w:val="18"/>
              </w:rPr>
            </w:pPr>
            <w:r w:rsidRPr="00AE2367">
              <w:rPr>
                <w:rFonts w:cstheme="minorHAnsi"/>
                <w:sz w:val="18"/>
                <w:szCs w:val="18"/>
              </w:rPr>
              <w:t>PLMP072 Spytkowice</w:t>
            </w:r>
          </w:p>
        </w:tc>
        <w:tc>
          <w:tcPr>
            <w:tcW w:w="1671" w:type="dxa"/>
          </w:tcPr>
          <w:p w14:paraId="31ED1F9A" w14:textId="77777777" w:rsidR="00AE2367" w:rsidRPr="00AE2367" w:rsidRDefault="00AE2367" w:rsidP="00D62D5D">
            <w:pPr>
              <w:spacing w:line="276" w:lineRule="auto"/>
              <w:jc w:val="right"/>
              <w:rPr>
                <w:rFonts w:cstheme="minorHAnsi"/>
                <w:sz w:val="18"/>
                <w:szCs w:val="18"/>
              </w:rPr>
            </w:pPr>
            <w:r w:rsidRPr="00AE2367">
              <w:rPr>
                <w:rFonts w:cstheme="minorHAnsi"/>
                <w:sz w:val="18"/>
                <w:szCs w:val="18"/>
              </w:rPr>
              <w:t>11 064</w:t>
            </w:r>
          </w:p>
        </w:tc>
        <w:tc>
          <w:tcPr>
            <w:tcW w:w="1559" w:type="dxa"/>
          </w:tcPr>
          <w:p w14:paraId="70E22B29" w14:textId="77777777" w:rsidR="00AE2367" w:rsidRPr="00AE2367" w:rsidRDefault="00AE2367" w:rsidP="00D62D5D">
            <w:pPr>
              <w:spacing w:line="276" w:lineRule="auto"/>
              <w:jc w:val="right"/>
              <w:rPr>
                <w:rFonts w:cstheme="minorHAnsi"/>
                <w:sz w:val="18"/>
                <w:szCs w:val="18"/>
              </w:rPr>
            </w:pPr>
            <w:r w:rsidRPr="00AE2367">
              <w:rPr>
                <w:rFonts w:cstheme="minorHAnsi"/>
                <w:sz w:val="18"/>
                <w:szCs w:val="18"/>
              </w:rPr>
              <w:t>8 460</w:t>
            </w:r>
          </w:p>
        </w:tc>
        <w:tc>
          <w:tcPr>
            <w:tcW w:w="1418" w:type="dxa"/>
          </w:tcPr>
          <w:p w14:paraId="2F9ECA64" w14:textId="77777777" w:rsidR="00AE2367" w:rsidRPr="00AE2367" w:rsidRDefault="00AE2367" w:rsidP="00D62D5D">
            <w:pPr>
              <w:spacing w:line="276" w:lineRule="auto"/>
              <w:jc w:val="right"/>
              <w:rPr>
                <w:rFonts w:cstheme="minorHAnsi"/>
                <w:sz w:val="18"/>
                <w:szCs w:val="18"/>
              </w:rPr>
            </w:pPr>
            <w:r w:rsidRPr="00AE2367">
              <w:rPr>
                <w:rFonts w:cstheme="minorHAnsi"/>
                <w:sz w:val="18"/>
                <w:szCs w:val="18"/>
              </w:rPr>
              <w:t>1 641 240</w:t>
            </w:r>
          </w:p>
        </w:tc>
        <w:tc>
          <w:tcPr>
            <w:tcW w:w="1276" w:type="dxa"/>
          </w:tcPr>
          <w:p w14:paraId="79C739F6" w14:textId="77777777" w:rsidR="00AE2367" w:rsidRPr="00AE2367" w:rsidRDefault="00AE2367" w:rsidP="00D62D5D">
            <w:pPr>
              <w:spacing w:line="276" w:lineRule="auto"/>
              <w:jc w:val="right"/>
              <w:rPr>
                <w:rFonts w:cstheme="minorHAnsi"/>
                <w:sz w:val="18"/>
                <w:szCs w:val="18"/>
              </w:rPr>
            </w:pPr>
            <w:r w:rsidRPr="00AE2367">
              <w:rPr>
                <w:rFonts w:cstheme="minorHAnsi"/>
                <w:sz w:val="18"/>
                <w:szCs w:val="18"/>
              </w:rPr>
              <w:t>23,54</w:t>
            </w:r>
          </w:p>
        </w:tc>
      </w:tr>
      <w:tr w:rsidR="00E80EF5" w:rsidRPr="00AE2367" w14:paraId="478F750D" w14:textId="77777777" w:rsidTr="00F145A2">
        <w:tc>
          <w:tcPr>
            <w:tcW w:w="1868" w:type="dxa"/>
          </w:tcPr>
          <w:p w14:paraId="1D66532A" w14:textId="77777777" w:rsidR="00E80EF5" w:rsidRPr="00AE2367" w:rsidRDefault="00E80EF5" w:rsidP="00D62D5D">
            <w:pPr>
              <w:spacing w:line="276" w:lineRule="auto"/>
              <w:jc w:val="both"/>
              <w:rPr>
                <w:rFonts w:cstheme="minorHAnsi"/>
                <w:sz w:val="18"/>
                <w:szCs w:val="18"/>
              </w:rPr>
            </w:pPr>
            <w:r w:rsidRPr="00AE2367">
              <w:rPr>
                <w:rFonts w:cstheme="minorHAnsi"/>
                <w:sz w:val="18"/>
                <w:szCs w:val="18"/>
              </w:rPr>
              <w:t>PLPM045</w:t>
            </w:r>
            <w:r w:rsidR="006058CF" w:rsidRPr="00AE2367">
              <w:rPr>
                <w:rFonts w:cstheme="minorHAnsi"/>
                <w:sz w:val="18"/>
                <w:szCs w:val="18"/>
              </w:rPr>
              <w:t xml:space="preserve"> </w:t>
            </w:r>
            <w:r w:rsidRPr="00AE2367">
              <w:rPr>
                <w:rFonts w:cstheme="minorHAnsi"/>
                <w:sz w:val="18"/>
                <w:szCs w:val="18"/>
              </w:rPr>
              <w:t>Zblewo</w:t>
            </w:r>
          </w:p>
        </w:tc>
        <w:tc>
          <w:tcPr>
            <w:tcW w:w="1671" w:type="dxa"/>
          </w:tcPr>
          <w:p w14:paraId="7991311F" w14:textId="77777777" w:rsidR="00E80EF5" w:rsidRPr="00AE2367" w:rsidRDefault="00E80EF5" w:rsidP="00D62D5D">
            <w:pPr>
              <w:spacing w:line="276" w:lineRule="auto"/>
              <w:jc w:val="right"/>
              <w:rPr>
                <w:rFonts w:cstheme="minorHAnsi"/>
                <w:sz w:val="18"/>
                <w:szCs w:val="18"/>
              </w:rPr>
            </w:pPr>
            <w:r w:rsidRPr="00AE2367">
              <w:rPr>
                <w:rFonts w:cstheme="minorHAnsi"/>
                <w:sz w:val="18"/>
                <w:szCs w:val="18"/>
              </w:rPr>
              <w:t>10 688</w:t>
            </w:r>
          </w:p>
        </w:tc>
        <w:tc>
          <w:tcPr>
            <w:tcW w:w="1559" w:type="dxa"/>
          </w:tcPr>
          <w:p w14:paraId="52165B4F" w14:textId="77777777" w:rsidR="00E80EF5" w:rsidRPr="00AE2367" w:rsidRDefault="00E80EF5" w:rsidP="00D62D5D">
            <w:pPr>
              <w:spacing w:line="276" w:lineRule="auto"/>
              <w:jc w:val="right"/>
              <w:rPr>
                <w:rFonts w:cstheme="minorHAnsi"/>
                <w:sz w:val="18"/>
                <w:szCs w:val="18"/>
              </w:rPr>
            </w:pPr>
            <w:r w:rsidRPr="00AE2367">
              <w:rPr>
                <w:rFonts w:cstheme="minorHAnsi"/>
                <w:sz w:val="18"/>
                <w:szCs w:val="18"/>
              </w:rPr>
              <w:t>1 139</w:t>
            </w:r>
          </w:p>
        </w:tc>
        <w:tc>
          <w:tcPr>
            <w:tcW w:w="1418" w:type="dxa"/>
          </w:tcPr>
          <w:p w14:paraId="3EB9D904" w14:textId="77777777" w:rsidR="00E80EF5" w:rsidRPr="00AE2367" w:rsidRDefault="00E80EF5" w:rsidP="00D62D5D">
            <w:pPr>
              <w:spacing w:line="276" w:lineRule="auto"/>
              <w:jc w:val="right"/>
              <w:rPr>
                <w:rFonts w:cstheme="minorHAnsi"/>
                <w:sz w:val="18"/>
                <w:szCs w:val="18"/>
              </w:rPr>
            </w:pPr>
            <w:r w:rsidRPr="00AE2367">
              <w:rPr>
                <w:rFonts w:cstheme="minorHAnsi"/>
                <w:sz w:val="18"/>
                <w:szCs w:val="18"/>
              </w:rPr>
              <w:t>220 966</w:t>
            </w:r>
          </w:p>
        </w:tc>
        <w:tc>
          <w:tcPr>
            <w:tcW w:w="1276" w:type="dxa"/>
          </w:tcPr>
          <w:p w14:paraId="7AC736D5" w14:textId="77777777" w:rsidR="00E80EF5" w:rsidRPr="00AE2367" w:rsidRDefault="006058CF" w:rsidP="00D62D5D">
            <w:pPr>
              <w:spacing w:line="276" w:lineRule="auto"/>
              <w:jc w:val="right"/>
              <w:rPr>
                <w:rFonts w:cstheme="minorHAnsi"/>
                <w:sz w:val="18"/>
                <w:szCs w:val="18"/>
              </w:rPr>
            </w:pPr>
            <w:r w:rsidRPr="00AE2367">
              <w:rPr>
                <w:rFonts w:cstheme="minorHAnsi"/>
                <w:sz w:val="18"/>
                <w:szCs w:val="18"/>
              </w:rPr>
              <w:t>89,34</w:t>
            </w:r>
          </w:p>
        </w:tc>
      </w:tr>
      <w:tr w:rsidR="00E80EF5" w:rsidRPr="00AE2367" w14:paraId="0B3A2063" w14:textId="77777777" w:rsidTr="00F145A2">
        <w:tc>
          <w:tcPr>
            <w:tcW w:w="1868" w:type="dxa"/>
          </w:tcPr>
          <w:p w14:paraId="658A4E4F" w14:textId="77777777" w:rsidR="00E80EF5" w:rsidRPr="00AE2367" w:rsidRDefault="00E80EF5" w:rsidP="00D62D5D">
            <w:pPr>
              <w:spacing w:line="276" w:lineRule="auto"/>
              <w:jc w:val="both"/>
              <w:rPr>
                <w:rFonts w:cstheme="minorHAnsi"/>
                <w:sz w:val="18"/>
                <w:szCs w:val="18"/>
              </w:rPr>
            </w:pPr>
            <w:r w:rsidRPr="00AE2367">
              <w:rPr>
                <w:rFonts w:cstheme="minorHAnsi"/>
                <w:sz w:val="18"/>
                <w:szCs w:val="18"/>
              </w:rPr>
              <w:t>PLLE060 Kurów</w:t>
            </w:r>
          </w:p>
        </w:tc>
        <w:tc>
          <w:tcPr>
            <w:tcW w:w="1671" w:type="dxa"/>
          </w:tcPr>
          <w:p w14:paraId="05EB1DB2" w14:textId="77777777" w:rsidR="00E80EF5" w:rsidRPr="00AE2367" w:rsidRDefault="00E80EF5" w:rsidP="00D62D5D">
            <w:pPr>
              <w:spacing w:line="276" w:lineRule="auto"/>
              <w:jc w:val="right"/>
              <w:rPr>
                <w:rFonts w:cstheme="minorHAnsi"/>
                <w:sz w:val="18"/>
                <w:szCs w:val="18"/>
              </w:rPr>
            </w:pPr>
            <w:r w:rsidRPr="00AE2367">
              <w:rPr>
                <w:rFonts w:cstheme="minorHAnsi"/>
                <w:sz w:val="18"/>
                <w:szCs w:val="18"/>
              </w:rPr>
              <w:t>3 445</w:t>
            </w:r>
          </w:p>
        </w:tc>
        <w:tc>
          <w:tcPr>
            <w:tcW w:w="1559" w:type="dxa"/>
          </w:tcPr>
          <w:p w14:paraId="27DEE5D8" w14:textId="77777777" w:rsidR="00E80EF5" w:rsidRPr="00AE2367" w:rsidRDefault="00E80EF5" w:rsidP="00D62D5D">
            <w:pPr>
              <w:spacing w:line="276" w:lineRule="auto"/>
              <w:jc w:val="right"/>
              <w:rPr>
                <w:rFonts w:cstheme="minorHAnsi"/>
                <w:sz w:val="18"/>
                <w:szCs w:val="18"/>
              </w:rPr>
            </w:pPr>
            <w:r w:rsidRPr="00AE2367">
              <w:rPr>
                <w:rFonts w:cstheme="minorHAnsi"/>
                <w:sz w:val="18"/>
                <w:szCs w:val="18"/>
              </w:rPr>
              <w:t>500</w:t>
            </w:r>
          </w:p>
        </w:tc>
        <w:tc>
          <w:tcPr>
            <w:tcW w:w="1418" w:type="dxa"/>
          </w:tcPr>
          <w:p w14:paraId="2D246171" w14:textId="77777777" w:rsidR="00E80EF5" w:rsidRPr="00AE2367" w:rsidRDefault="00E80EF5" w:rsidP="00D62D5D">
            <w:pPr>
              <w:spacing w:line="276" w:lineRule="auto"/>
              <w:jc w:val="right"/>
              <w:rPr>
                <w:rFonts w:cstheme="minorHAnsi"/>
                <w:sz w:val="18"/>
                <w:szCs w:val="18"/>
              </w:rPr>
            </w:pPr>
            <w:r w:rsidRPr="00AE2367">
              <w:rPr>
                <w:rFonts w:cstheme="minorHAnsi"/>
                <w:sz w:val="18"/>
                <w:szCs w:val="18"/>
              </w:rPr>
              <w:t>97 000</w:t>
            </w:r>
          </w:p>
        </w:tc>
        <w:tc>
          <w:tcPr>
            <w:tcW w:w="1276" w:type="dxa"/>
          </w:tcPr>
          <w:p w14:paraId="67BAFAF3" w14:textId="77777777" w:rsidR="00E80EF5" w:rsidRPr="00AE2367" w:rsidRDefault="006058CF" w:rsidP="00D62D5D">
            <w:pPr>
              <w:spacing w:line="276" w:lineRule="auto"/>
              <w:jc w:val="right"/>
              <w:rPr>
                <w:rFonts w:cstheme="minorHAnsi"/>
                <w:sz w:val="18"/>
                <w:szCs w:val="18"/>
              </w:rPr>
            </w:pPr>
            <w:r w:rsidRPr="00AE2367">
              <w:rPr>
                <w:rFonts w:cstheme="minorHAnsi"/>
                <w:sz w:val="18"/>
                <w:szCs w:val="18"/>
              </w:rPr>
              <w:t>85,35</w:t>
            </w:r>
          </w:p>
        </w:tc>
      </w:tr>
      <w:tr w:rsidR="00E80EF5" w:rsidRPr="00AE2367" w14:paraId="3A286656" w14:textId="77777777" w:rsidTr="00F145A2">
        <w:tc>
          <w:tcPr>
            <w:tcW w:w="1868" w:type="dxa"/>
          </w:tcPr>
          <w:p w14:paraId="4FF91CDA" w14:textId="77777777" w:rsidR="00E80EF5" w:rsidRPr="00AE2367" w:rsidRDefault="00E80EF5" w:rsidP="00D62D5D">
            <w:pPr>
              <w:spacing w:line="276" w:lineRule="auto"/>
              <w:jc w:val="both"/>
              <w:rPr>
                <w:rFonts w:cstheme="minorHAnsi"/>
                <w:sz w:val="18"/>
                <w:szCs w:val="18"/>
              </w:rPr>
            </w:pPr>
            <w:r w:rsidRPr="00AE2367">
              <w:rPr>
                <w:rFonts w:cstheme="minorHAnsi"/>
                <w:sz w:val="18"/>
                <w:szCs w:val="18"/>
              </w:rPr>
              <w:t>PLDO600 Zawonia</w:t>
            </w:r>
          </w:p>
        </w:tc>
        <w:tc>
          <w:tcPr>
            <w:tcW w:w="1671" w:type="dxa"/>
          </w:tcPr>
          <w:p w14:paraId="22D4BB74" w14:textId="77777777" w:rsidR="00E80EF5" w:rsidRPr="00AE2367" w:rsidRDefault="00E80EF5" w:rsidP="00D62D5D">
            <w:pPr>
              <w:spacing w:line="276" w:lineRule="auto"/>
              <w:jc w:val="right"/>
              <w:rPr>
                <w:rFonts w:cstheme="minorHAnsi"/>
                <w:sz w:val="18"/>
                <w:szCs w:val="18"/>
              </w:rPr>
            </w:pPr>
            <w:r w:rsidRPr="00AE2367">
              <w:rPr>
                <w:rFonts w:cstheme="minorHAnsi"/>
                <w:sz w:val="18"/>
                <w:szCs w:val="18"/>
              </w:rPr>
              <w:t>2 022</w:t>
            </w:r>
          </w:p>
        </w:tc>
        <w:tc>
          <w:tcPr>
            <w:tcW w:w="1559" w:type="dxa"/>
          </w:tcPr>
          <w:p w14:paraId="562805F7" w14:textId="77777777" w:rsidR="00E80EF5" w:rsidRPr="00AE2367" w:rsidRDefault="00E80EF5" w:rsidP="00D62D5D">
            <w:pPr>
              <w:spacing w:line="276" w:lineRule="auto"/>
              <w:jc w:val="right"/>
              <w:rPr>
                <w:rFonts w:cstheme="minorHAnsi"/>
                <w:sz w:val="18"/>
                <w:szCs w:val="18"/>
              </w:rPr>
            </w:pPr>
            <w:r w:rsidRPr="00AE2367">
              <w:rPr>
                <w:rFonts w:ascii="Calibri" w:hAnsi="Calibri" w:cs="Calibri"/>
                <w:sz w:val="18"/>
                <w:szCs w:val="18"/>
              </w:rPr>
              <w:t>1 911</w:t>
            </w:r>
          </w:p>
        </w:tc>
        <w:tc>
          <w:tcPr>
            <w:tcW w:w="1418" w:type="dxa"/>
          </w:tcPr>
          <w:p w14:paraId="5879B0BE" w14:textId="77777777" w:rsidR="00E80EF5" w:rsidRPr="00AE2367" w:rsidRDefault="00E80EF5" w:rsidP="00D62D5D">
            <w:pPr>
              <w:spacing w:line="276" w:lineRule="auto"/>
              <w:jc w:val="right"/>
              <w:rPr>
                <w:rFonts w:cstheme="minorHAnsi"/>
                <w:sz w:val="18"/>
                <w:szCs w:val="18"/>
              </w:rPr>
            </w:pPr>
            <w:r w:rsidRPr="00AE2367">
              <w:rPr>
                <w:rFonts w:cstheme="minorHAnsi"/>
                <w:sz w:val="18"/>
                <w:szCs w:val="18"/>
              </w:rPr>
              <w:t>370 734</w:t>
            </w:r>
          </w:p>
        </w:tc>
        <w:tc>
          <w:tcPr>
            <w:tcW w:w="1276" w:type="dxa"/>
          </w:tcPr>
          <w:p w14:paraId="4F7E44F6" w14:textId="77777777" w:rsidR="00E80EF5" w:rsidRPr="00AE2367" w:rsidRDefault="006058CF" w:rsidP="00D62D5D">
            <w:pPr>
              <w:spacing w:line="276" w:lineRule="auto"/>
              <w:jc w:val="right"/>
              <w:rPr>
                <w:rFonts w:cstheme="minorHAnsi"/>
                <w:sz w:val="18"/>
                <w:szCs w:val="18"/>
              </w:rPr>
            </w:pPr>
            <w:r w:rsidRPr="00AE2367">
              <w:rPr>
                <w:rFonts w:cstheme="minorHAnsi"/>
                <w:sz w:val="18"/>
                <w:szCs w:val="18"/>
              </w:rPr>
              <w:t>5,49</w:t>
            </w:r>
          </w:p>
        </w:tc>
      </w:tr>
    </w:tbl>
    <w:p w14:paraId="3AEACA55" w14:textId="77777777" w:rsidR="00C34C5C" w:rsidRDefault="00C7747A" w:rsidP="00D62D5D">
      <w:pPr>
        <w:spacing w:after="240" w:line="276" w:lineRule="auto"/>
        <w:jc w:val="both"/>
        <w:rPr>
          <w:rFonts w:cstheme="minorHAnsi"/>
          <w:bCs/>
          <w:sz w:val="18"/>
          <w:szCs w:val="18"/>
          <w:lang w:eastAsia="pl-PL"/>
        </w:rPr>
      </w:pPr>
      <w:r w:rsidRPr="00414634">
        <w:rPr>
          <w:rFonts w:cstheme="minorHAnsi"/>
          <w:sz w:val="18"/>
          <w:szCs w:val="18"/>
        </w:rPr>
        <w:t xml:space="preserve">*Wysokość kary ma jedynie charakter poglądowy, gdyż </w:t>
      </w:r>
      <w:r w:rsidR="00576E43" w:rsidRPr="00414634">
        <w:rPr>
          <w:rFonts w:cstheme="minorHAnsi"/>
          <w:sz w:val="18"/>
          <w:szCs w:val="18"/>
        </w:rPr>
        <w:t>oprócz</w:t>
      </w:r>
      <w:r w:rsidRPr="00414634">
        <w:rPr>
          <w:rFonts w:cstheme="minorHAnsi"/>
          <w:sz w:val="18"/>
          <w:szCs w:val="18"/>
        </w:rPr>
        <w:t xml:space="preserve"> wymienionych </w:t>
      </w:r>
      <w:r w:rsidR="00576E43" w:rsidRPr="00414634">
        <w:rPr>
          <w:rFonts w:cstheme="minorHAnsi"/>
          <w:sz w:val="18"/>
          <w:szCs w:val="18"/>
        </w:rPr>
        <w:t>uproszczeń</w:t>
      </w:r>
      <w:r w:rsidRPr="00414634">
        <w:rPr>
          <w:rFonts w:cstheme="minorHAnsi"/>
          <w:sz w:val="18"/>
          <w:szCs w:val="18"/>
        </w:rPr>
        <w:t xml:space="preserve"> mechanizmu finansowego, obliczona została w odniesieniu do pełnego (100%) skanalizowania aglomeracji, bez uwzględnienia </w:t>
      </w:r>
      <w:r w:rsidR="00414634" w:rsidRPr="00414634">
        <w:rPr>
          <w:rFonts w:cstheme="minorHAnsi"/>
          <w:sz w:val="18"/>
          <w:szCs w:val="18"/>
        </w:rPr>
        <w:t xml:space="preserve">warunku 98% skanalizowania, </w:t>
      </w:r>
      <w:r w:rsidR="00414634" w:rsidRPr="00414634">
        <w:rPr>
          <w:rFonts w:cstheme="minorHAnsi"/>
          <w:bCs/>
          <w:sz w:val="18"/>
          <w:szCs w:val="18"/>
          <w:lang w:eastAsia="pl-PL"/>
        </w:rPr>
        <w:t>przy czym pozostałe 2% niezebranego siecią kanalizacyjną ładunku nie może być większe niż 2 000 RLM</w:t>
      </w:r>
      <w:r w:rsidR="00414634">
        <w:rPr>
          <w:rFonts w:cstheme="minorHAnsi"/>
          <w:bCs/>
          <w:sz w:val="18"/>
          <w:szCs w:val="18"/>
          <w:lang w:eastAsia="pl-PL"/>
        </w:rPr>
        <w:t>.</w:t>
      </w:r>
    </w:p>
    <w:p w14:paraId="5C60F798" w14:textId="77777777" w:rsidR="00915EDE" w:rsidRPr="00915EDE" w:rsidRDefault="00F13190" w:rsidP="00D62D5D">
      <w:pPr>
        <w:spacing w:after="240" w:line="276" w:lineRule="auto"/>
        <w:jc w:val="both"/>
        <w:rPr>
          <w:rFonts w:cstheme="minorHAnsi"/>
          <w:b/>
        </w:rPr>
      </w:pPr>
      <w:r>
        <w:rPr>
          <w:rFonts w:cstheme="minorHAnsi"/>
          <w:b/>
          <w:bCs/>
          <w:lang w:eastAsia="pl-PL"/>
        </w:rPr>
        <w:t>Mając na uwadze powyższe, d</w:t>
      </w:r>
      <w:r w:rsidR="00915EDE" w:rsidRPr="00915EDE">
        <w:rPr>
          <w:rFonts w:cstheme="minorHAnsi"/>
          <w:b/>
          <w:bCs/>
          <w:lang w:eastAsia="pl-PL"/>
        </w:rPr>
        <w:t xml:space="preserve">o celów wskazania </w:t>
      </w:r>
      <w:r w:rsidR="00915EDE" w:rsidRPr="00915EDE">
        <w:rPr>
          <w:rFonts w:cstheme="minorHAnsi"/>
          <w:b/>
        </w:rPr>
        <w:t>wysokości kary za każdy RLM w aglomeracji, który nie spełnienia warunków,</w:t>
      </w:r>
      <w:r>
        <w:rPr>
          <w:rFonts w:cstheme="minorHAnsi"/>
          <w:b/>
        </w:rPr>
        <w:t xml:space="preserve"> </w:t>
      </w:r>
      <w:r w:rsidR="00915EDE" w:rsidRPr="00915EDE">
        <w:rPr>
          <w:rFonts w:cstheme="minorHAnsi"/>
          <w:b/>
        </w:rPr>
        <w:t>o których mowa w art. 87a projektu zmiany ustawy – Prawo wodne</w:t>
      </w:r>
      <w:r w:rsidR="00915EDE">
        <w:rPr>
          <w:rFonts w:cstheme="minorHAnsi"/>
          <w:b/>
        </w:rPr>
        <w:t>, proponuje się stawkę 200 PLN.</w:t>
      </w:r>
    </w:p>
    <w:sectPr w:rsidR="00915EDE" w:rsidRPr="00915E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7A4C2" w14:textId="77777777" w:rsidR="007D662F" w:rsidRDefault="007D662F" w:rsidP="00B2375A">
      <w:pPr>
        <w:spacing w:after="0" w:line="240" w:lineRule="auto"/>
      </w:pPr>
      <w:r>
        <w:separator/>
      </w:r>
    </w:p>
  </w:endnote>
  <w:endnote w:type="continuationSeparator" w:id="0">
    <w:p w14:paraId="65F5EB74" w14:textId="77777777" w:rsidR="007D662F" w:rsidRDefault="007D662F" w:rsidP="00B2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99C18" w14:textId="77777777" w:rsidR="007D662F" w:rsidRDefault="007D662F" w:rsidP="00B2375A">
      <w:pPr>
        <w:spacing w:after="0" w:line="240" w:lineRule="auto"/>
      </w:pPr>
      <w:r>
        <w:separator/>
      </w:r>
    </w:p>
  </w:footnote>
  <w:footnote w:type="continuationSeparator" w:id="0">
    <w:p w14:paraId="562E41AB" w14:textId="77777777" w:rsidR="007D662F" w:rsidRDefault="007D662F" w:rsidP="00B2375A">
      <w:pPr>
        <w:spacing w:after="0" w:line="240" w:lineRule="auto"/>
      </w:pPr>
      <w:r>
        <w:continuationSeparator/>
      </w:r>
    </w:p>
  </w:footnote>
  <w:footnote w:id="1">
    <w:p w14:paraId="5DF36200" w14:textId="77777777" w:rsidR="00EE7B9A" w:rsidRPr="00475498" w:rsidRDefault="00EE7B9A" w:rsidP="00475498">
      <w:pPr>
        <w:pStyle w:val="Tekstprzypisudolnego"/>
        <w:jc w:val="both"/>
        <w:rPr>
          <w:sz w:val="18"/>
          <w:szCs w:val="18"/>
        </w:rPr>
      </w:pPr>
      <w:r w:rsidRPr="00475498">
        <w:rPr>
          <w:rStyle w:val="Odwoanieprzypisudolnego"/>
          <w:sz w:val="18"/>
          <w:szCs w:val="18"/>
        </w:rPr>
        <w:footnoteRef/>
      </w:r>
      <w:r w:rsidRPr="00475498">
        <w:rPr>
          <w:sz w:val="18"/>
          <w:szCs w:val="18"/>
        </w:rPr>
        <w:t xml:space="preserve"> </w:t>
      </w:r>
      <w:r w:rsidR="00C0737E" w:rsidRPr="00475498">
        <w:rPr>
          <w:sz w:val="18"/>
          <w:szCs w:val="18"/>
        </w:rPr>
        <w:t xml:space="preserve">Komunikat Komisji – </w:t>
      </w:r>
      <w:r w:rsidR="00C0737E" w:rsidRPr="00475498">
        <w:rPr>
          <w:i/>
          <w:sz w:val="18"/>
          <w:szCs w:val="18"/>
        </w:rPr>
        <w:t xml:space="preserve">Aktualizacja danych wykorzystywanych do obliczania kar ryczałtowych i okresowych kar pieniężnych wskazywanych Trybunałowi Sprawiedliwości Unii Europejskiej przez Komisję w ramach postępowań w sprawie uchybienia zobowiązaniom państwa członkowskiego </w:t>
      </w:r>
      <w:r w:rsidR="00C0737E" w:rsidRPr="00475498">
        <w:rPr>
          <w:sz w:val="18"/>
          <w:szCs w:val="18"/>
        </w:rPr>
        <w:t>(2020/C 301/01),</w:t>
      </w:r>
      <w:r w:rsidR="00475498">
        <w:rPr>
          <w:sz w:val="18"/>
          <w:szCs w:val="18"/>
        </w:rPr>
        <w:t xml:space="preserve"> </w:t>
      </w:r>
      <w:r w:rsidRPr="00475498">
        <w:rPr>
          <w:sz w:val="18"/>
          <w:szCs w:val="18"/>
        </w:rPr>
        <w:t>https://eur-lex.europa.eu/legal-content/PL/TXT/?uri=CELEX:52020XC0911(01)</w:t>
      </w:r>
    </w:p>
  </w:footnote>
  <w:footnote w:id="2">
    <w:p w14:paraId="5D0384C5" w14:textId="77777777" w:rsidR="00B2375A" w:rsidRPr="00475498" w:rsidRDefault="00B2375A" w:rsidP="00475498">
      <w:pPr>
        <w:pStyle w:val="Tekstprzypisudolnego"/>
        <w:jc w:val="both"/>
        <w:rPr>
          <w:sz w:val="18"/>
          <w:szCs w:val="18"/>
        </w:rPr>
      </w:pPr>
      <w:r w:rsidRPr="00475498">
        <w:rPr>
          <w:rStyle w:val="Odwoanieprzypisudolnego"/>
          <w:sz w:val="18"/>
          <w:szCs w:val="18"/>
        </w:rPr>
        <w:footnoteRef/>
      </w:r>
      <w:r w:rsidRPr="00475498">
        <w:rPr>
          <w:sz w:val="18"/>
          <w:szCs w:val="18"/>
        </w:rPr>
        <w:t xml:space="preserve"> https://curia.europa.eu/juris/liste.jsf?language=PL&amp;num=C-395/13</w:t>
      </w:r>
    </w:p>
  </w:footnote>
  <w:footnote w:id="3">
    <w:p w14:paraId="6B09738C" w14:textId="77777777" w:rsidR="00A865AC" w:rsidRPr="00475498" w:rsidRDefault="00A865AC" w:rsidP="00475498">
      <w:pPr>
        <w:pStyle w:val="Tekstprzypisudolnego"/>
        <w:jc w:val="both"/>
        <w:rPr>
          <w:sz w:val="18"/>
          <w:szCs w:val="18"/>
        </w:rPr>
      </w:pPr>
      <w:r w:rsidRPr="00475498">
        <w:rPr>
          <w:rStyle w:val="Odwoanieprzypisudolnego"/>
          <w:sz w:val="18"/>
          <w:szCs w:val="18"/>
        </w:rPr>
        <w:footnoteRef/>
      </w:r>
      <w:r w:rsidRPr="00475498">
        <w:rPr>
          <w:sz w:val="18"/>
          <w:szCs w:val="18"/>
        </w:rPr>
        <w:t xml:space="preserve"> https://curia.europa.eu/juris/liste.jsf?language=PL&amp;num=C-440/06</w:t>
      </w:r>
    </w:p>
  </w:footnote>
  <w:footnote w:id="4">
    <w:p w14:paraId="64A2B6F8" w14:textId="77777777" w:rsidR="00A865AC" w:rsidRPr="00475498" w:rsidRDefault="00A865AC" w:rsidP="00475498">
      <w:pPr>
        <w:pStyle w:val="Tekstprzypisudolnego"/>
        <w:jc w:val="both"/>
        <w:rPr>
          <w:sz w:val="18"/>
          <w:szCs w:val="18"/>
        </w:rPr>
      </w:pPr>
      <w:r w:rsidRPr="00475498">
        <w:rPr>
          <w:rStyle w:val="Odwoanieprzypisudolnego"/>
          <w:sz w:val="18"/>
          <w:szCs w:val="18"/>
        </w:rPr>
        <w:footnoteRef/>
      </w:r>
      <w:r w:rsidRPr="00475498">
        <w:rPr>
          <w:sz w:val="18"/>
          <w:szCs w:val="18"/>
        </w:rPr>
        <w:t xml:space="preserve"> https://curia.europa.eu/juris/liste.jsf?language=PL&amp;num=C-219/05</w:t>
      </w:r>
    </w:p>
  </w:footnote>
  <w:footnote w:id="5">
    <w:p w14:paraId="515244B3" w14:textId="77777777" w:rsidR="00C54499" w:rsidRPr="00475498" w:rsidRDefault="00C54499" w:rsidP="00475498">
      <w:pPr>
        <w:pStyle w:val="Tekstprzypisudolnego"/>
        <w:jc w:val="both"/>
        <w:rPr>
          <w:sz w:val="18"/>
          <w:szCs w:val="18"/>
        </w:rPr>
      </w:pPr>
      <w:r w:rsidRPr="00475498">
        <w:rPr>
          <w:rStyle w:val="Odwoanieprzypisudolnego"/>
          <w:sz w:val="18"/>
          <w:szCs w:val="18"/>
        </w:rPr>
        <w:footnoteRef/>
      </w:r>
      <w:r w:rsidRPr="00475498">
        <w:rPr>
          <w:sz w:val="18"/>
          <w:szCs w:val="18"/>
        </w:rPr>
        <w:t xml:space="preserve"> https://curia.europa.eu/juris/liste.jsf?language=PL&amp;num=C-557/14</w:t>
      </w:r>
    </w:p>
  </w:footnote>
  <w:footnote w:id="6">
    <w:p w14:paraId="5C22637D" w14:textId="77777777" w:rsidR="00C54499" w:rsidRPr="00475498" w:rsidRDefault="00C54499" w:rsidP="00475498">
      <w:pPr>
        <w:pStyle w:val="Tekstprzypisudolnego"/>
        <w:jc w:val="both"/>
        <w:rPr>
          <w:sz w:val="18"/>
          <w:szCs w:val="18"/>
        </w:rPr>
      </w:pPr>
      <w:r w:rsidRPr="00475498">
        <w:rPr>
          <w:rStyle w:val="Odwoanieprzypisudolnego"/>
          <w:sz w:val="18"/>
          <w:szCs w:val="18"/>
        </w:rPr>
        <w:footnoteRef/>
      </w:r>
      <w:r w:rsidRPr="00475498">
        <w:rPr>
          <w:sz w:val="18"/>
          <w:szCs w:val="18"/>
        </w:rPr>
        <w:t xml:space="preserve"> https://curia.europa.eu/juris/liste.jsf?language=PL&amp;num=C-251/17</w:t>
      </w:r>
    </w:p>
  </w:footnote>
  <w:footnote w:id="7">
    <w:p w14:paraId="2E4F91CC" w14:textId="77777777" w:rsidR="00F773CD" w:rsidRPr="00475498" w:rsidRDefault="00F773CD" w:rsidP="00475498">
      <w:pPr>
        <w:pStyle w:val="Tekstprzypisudolnego"/>
        <w:jc w:val="both"/>
        <w:rPr>
          <w:sz w:val="18"/>
          <w:szCs w:val="18"/>
        </w:rPr>
      </w:pPr>
      <w:r w:rsidRPr="00475498">
        <w:rPr>
          <w:rStyle w:val="Odwoanieprzypisudolnego"/>
          <w:sz w:val="18"/>
          <w:szCs w:val="18"/>
        </w:rPr>
        <w:footnoteRef/>
      </w:r>
      <w:r w:rsidRPr="00475498">
        <w:rPr>
          <w:sz w:val="18"/>
          <w:szCs w:val="18"/>
        </w:rPr>
        <w:t xml:space="preserve"> https://curia.europa.eu/juris/liste.jsf?language=PL&amp;num=C-205/17</w:t>
      </w:r>
    </w:p>
  </w:footnote>
  <w:footnote w:id="8">
    <w:p w14:paraId="3D98FB5A" w14:textId="77777777" w:rsidR="009501C5" w:rsidRPr="00475498" w:rsidRDefault="009501C5" w:rsidP="00475498">
      <w:pPr>
        <w:pStyle w:val="Tekstprzypisudolnego"/>
        <w:jc w:val="both"/>
        <w:rPr>
          <w:sz w:val="18"/>
          <w:szCs w:val="18"/>
        </w:rPr>
      </w:pPr>
      <w:r w:rsidRPr="00475498">
        <w:rPr>
          <w:rStyle w:val="Odwoanieprzypisudolnego"/>
          <w:sz w:val="18"/>
          <w:szCs w:val="18"/>
        </w:rPr>
        <w:footnoteRef/>
      </w:r>
      <w:r w:rsidRPr="00475498">
        <w:rPr>
          <w:sz w:val="18"/>
          <w:szCs w:val="18"/>
        </w:rPr>
        <w:t xml:space="preserve"> https://curia.europa.eu/juris/liste.jsf?language=PL&amp;num=C-328/16</w:t>
      </w:r>
    </w:p>
  </w:footnote>
  <w:footnote w:id="9">
    <w:p w14:paraId="30EF8709" w14:textId="77777777" w:rsidR="00A348ED" w:rsidRPr="00475498" w:rsidRDefault="00A348ED" w:rsidP="00475498">
      <w:pPr>
        <w:pStyle w:val="Tekstprzypisudolnego"/>
        <w:jc w:val="both"/>
        <w:rPr>
          <w:sz w:val="18"/>
          <w:szCs w:val="18"/>
        </w:rPr>
      </w:pPr>
      <w:r w:rsidRPr="00475498">
        <w:rPr>
          <w:rStyle w:val="Odwoanieprzypisudolnego"/>
          <w:sz w:val="18"/>
          <w:szCs w:val="18"/>
        </w:rPr>
        <w:footnoteRef/>
      </w:r>
      <w:r w:rsidRPr="00475498">
        <w:rPr>
          <w:sz w:val="18"/>
          <w:szCs w:val="18"/>
        </w:rPr>
        <w:t xml:space="preserve"> https://curia.europa.eu/juris/liste.jsf?language=PL&amp;num=C-167/14</w:t>
      </w:r>
    </w:p>
  </w:footnote>
  <w:footnote w:id="10">
    <w:p w14:paraId="701C27DA" w14:textId="77777777" w:rsidR="00A348ED" w:rsidRPr="00475498" w:rsidRDefault="00A348ED" w:rsidP="00475498">
      <w:pPr>
        <w:pStyle w:val="Tekstprzypisudolnego"/>
        <w:jc w:val="both"/>
        <w:rPr>
          <w:sz w:val="18"/>
          <w:szCs w:val="18"/>
        </w:rPr>
      </w:pPr>
      <w:r w:rsidRPr="00475498">
        <w:rPr>
          <w:rStyle w:val="Odwoanieprzypisudolnego"/>
          <w:sz w:val="18"/>
          <w:szCs w:val="18"/>
        </w:rPr>
        <w:footnoteRef/>
      </w:r>
      <w:r w:rsidRPr="00475498">
        <w:rPr>
          <w:sz w:val="18"/>
          <w:szCs w:val="18"/>
        </w:rPr>
        <w:t xml:space="preserve"> https://curia.europa.eu/juris/liste.jsf?language=PL&amp;num=C-576/11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0906"/>
    <w:multiLevelType w:val="hybridMultilevel"/>
    <w:tmpl w:val="1DDA7A9E"/>
    <w:lvl w:ilvl="0" w:tplc="3914198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5E7C0E39"/>
    <w:multiLevelType w:val="hybridMultilevel"/>
    <w:tmpl w:val="25F8EE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75AC14F5"/>
    <w:multiLevelType w:val="hybridMultilevel"/>
    <w:tmpl w:val="6080A7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99B"/>
    <w:rsid w:val="00001CF9"/>
    <w:rsid w:val="00004CDE"/>
    <w:rsid w:val="00062F10"/>
    <w:rsid w:val="00080870"/>
    <w:rsid w:val="000A4FD0"/>
    <w:rsid w:val="000B27DB"/>
    <w:rsid w:val="000C4467"/>
    <w:rsid w:val="00112E8D"/>
    <w:rsid w:val="0012099B"/>
    <w:rsid w:val="00125957"/>
    <w:rsid w:val="001348E5"/>
    <w:rsid w:val="00143647"/>
    <w:rsid w:val="00144BD7"/>
    <w:rsid w:val="00171D36"/>
    <w:rsid w:val="002116AD"/>
    <w:rsid w:val="00215B86"/>
    <w:rsid w:val="002427D6"/>
    <w:rsid w:val="00263AF7"/>
    <w:rsid w:val="0028333D"/>
    <w:rsid w:val="00284FA4"/>
    <w:rsid w:val="002B6C04"/>
    <w:rsid w:val="002F705B"/>
    <w:rsid w:val="003102DF"/>
    <w:rsid w:val="003279D4"/>
    <w:rsid w:val="003713E7"/>
    <w:rsid w:val="003742F6"/>
    <w:rsid w:val="0039068F"/>
    <w:rsid w:val="00390EC0"/>
    <w:rsid w:val="00391C55"/>
    <w:rsid w:val="003A12C5"/>
    <w:rsid w:val="003A2487"/>
    <w:rsid w:val="003D235A"/>
    <w:rsid w:val="003E6870"/>
    <w:rsid w:val="003F06D9"/>
    <w:rsid w:val="00407EE5"/>
    <w:rsid w:val="00414634"/>
    <w:rsid w:val="00416D89"/>
    <w:rsid w:val="004672AE"/>
    <w:rsid w:val="00475498"/>
    <w:rsid w:val="00491A87"/>
    <w:rsid w:val="004B73A4"/>
    <w:rsid w:val="004D5C74"/>
    <w:rsid w:val="004E3688"/>
    <w:rsid w:val="004E3A95"/>
    <w:rsid w:val="00521390"/>
    <w:rsid w:val="00530558"/>
    <w:rsid w:val="00550BE0"/>
    <w:rsid w:val="00576E43"/>
    <w:rsid w:val="0058775B"/>
    <w:rsid w:val="0059700D"/>
    <w:rsid w:val="005B5AD4"/>
    <w:rsid w:val="005C6A1D"/>
    <w:rsid w:val="005F6E74"/>
    <w:rsid w:val="006058CF"/>
    <w:rsid w:val="00607551"/>
    <w:rsid w:val="006236DE"/>
    <w:rsid w:val="00655627"/>
    <w:rsid w:val="006637FA"/>
    <w:rsid w:val="0067063B"/>
    <w:rsid w:val="006848F1"/>
    <w:rsid w:val="006937C8"/>
    <w:rsid w:val="006973C4"/>
    <w:rsid w:val="006E00B3"/>
    <w:rsid w:val="00711F1A"/>
    <w:rsid w:val="00782653"/>
    <w:rsid w:val="00787513"/>
    <w:rsid w:val="007876D0"/>
    <w:rsid w:val="00796BE8"/>
    <w:rsid w:val="007A566E"/>
    <w:rsid w:val="007C5388"/>
    <w:rsid w:val="007D2672"/>
    <w:rsid w:val="007D4C7D"/>
    <w:rsid w:val="007D662F"/>
    <w:rsid w:val="00805F6F"/>
    <w:rsid w:val="00822A63"/>
    <w:rsid w:val="008579F5"/>
    <w:rsid w:val="00864FE3"/>
    <w:rsid w:val="00870104"/>
    <w:rsid w:val="00884F73"/>
    <w:rsid w:val="00885CB4"/>
    <w:rsid w:val="008937B6"/>
    <w:rsid w:val="008A1D43"/>
    <w:rsid w:val="00915EDE"/>
    <w:rsid w:val="00916080"/>
    <w:rsid w:val="0093104D"/>
    <w:rsid w:val="009501C5"/>
    <w:rsid w:val="00971007"/>
    <w:rsid w:val="009A1A40"/>
    <w:rsid w:val="009B18B7"/>
    <w:rsid w:val="009B6624"/>
    <w:rsid w:val="00A24452"/>
    <w:rsid w:val="00A31A4C"/>
    <w:rsid w:val="00A348ED"/>
    <w:rsid w:val="00A43775"/>
    <w:rsid w:val="00A55DD0"/>
    <w:rsid w:val="00A63913"/>
    <w:rsid w:val="00A865AC"/>
    <w:rsid w:val="00A96542"/>
    <w:rsid w:val="00AB39C9"/>
    <w:rsid w:val="00AB75EE"/>
    <w:rsid w:val="00AC376B"/>
    <w:rsid w:val="00AE2367"/>
    <w:rsid w:val="00AE437F"/>
    <w:rsid w:val="00B049D8"/>
    <w:rsid w:val="00B126E8"/>
    <w:rsid w:val="00B128A5"/>
    <w:rsid w:val="00B2375A"/>
    <w:rsid w:val="00B32F00"/>
    <w:rsid w:val="00B42737"/>
    <w:rsid w:val="00B94967"/>
    <w:rsid w:val="00B96DB2"/>
    <w:rsid w:val="00BD0802"/>
    <w:rsid w:val="00BD3A2A"/>
    <w:rsid w:val="00BF72C1"/>
    <w:rsid w:val="00C0737E"/>
    <w:rsid w:val="00C107B6"/>
    <w:rsid w:val="00C34C5C"/>
    <w:rsid w:val="00C52E42"/>
    <w:rsid w:val="00C54499"/>
    <w:rsid w:val="00C5460D"/>
    <w:rsid w:val="00C56462"/>
    <w:rsid w:val="00C66C5C"/>
    <w:rsid w:val="00C7747A"/>
    <w:rsid w:val="00C95BE1"/>
    <w:rsid w:val="00CA1FFB"/>
    <w:rsid w:val="00CC1DB0"/>
    <w:rsid w:val="00CE1B16"/>
    <w:rsid w:val="00D0599D"/>
    <w:rsid w:val="00D1416A"/>
    <w:rsid w:val="00D21807"/>
    <w:rsid w:val="00D556A6"/>
    <w:rsid w:val="00D62D5D"/>
    <w:rsid w:val="00D65C7B"/>
    <w:rsid w:val="00D72F2F"/>
    <w:rsid w:val="00D85BAF"/>
    <w:rsid w:val="00DB0D3F"/>
    <w:rsid w:val="00DB562C"/>
    <w:rsid w:val="00DF2C72"/>
    <w:rsid w:val="00DF43F8"/>
    <w:rsid w:val="00E12468"/>
    <w:rsid w:val="00E12789"/>
    <w:rsid w:val="00E13946"/>
    <w:rsid w:val="00E16991"/>
    <w:rsid w:val="00E448FA"/>
    <w:rsid w:val="00E521D8"/>
    <w:rsid w:val="00E80EF5"/>
    <w:rsid w:val="00EA1A9D"/>
    <w:rsid w:val="00EB28F0"/>
    <w:rsid w:val="00EE7B9A"/>
    <w:rsid w:val="00F11BF0"/>
    <w:rsid w:val="00F13190"/>
    <w:rsid w:val="00F145A2"/>
    <w:rsid w:val="00F62E5D"/>
    <w:rsid w:val="00F740C8"/>
    <w:rsid w:val="00F773CD"/>
    <w:rsid w:val="00FC5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CEBDC"/>
  <w15:chartTrackingRefBased/>
  <w15:docId w15:val="{6BB7B090-0CC5-48A4-A973-F5C150E7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2375A"/>
    <w:pPr>
      <w:ind w:left="720"/>
      <w:contextualSpacing/>
    </w:pPr>
  </w:style>
  <w:style w:type="paragraph" w:styleId="Tekstprzypisudolnego">
    <w:name w:val="footnote text"/>
    <w:basedOn w:val="Normalny"/>
    <w:link w:val="TekstprzypisudolnegoZnak"/>
    <w:uiPriority w:val="99"/>
    <w:semiHidden/>
    <w:unhideWhenUsed/>
    <w:rsid w:val="00B2375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2375A"/>
    <w:rPr>
      <w:sz w:val="20"/>
      <w:szCs w:val="20"/>
    </w:rPr>
  </w:style>
  <w:style w:type="character" w:styleId="Odwoanieprzypisudolnego">
    <w:name w:val="footnote reference"/>
    <w:basedOn w:val="Domylnaczcionkaakapitu"/>
    <w:uiPriority w:val="99"/>
    <w:semiHidden/>
    <w:unhideWhenUsed/>
    <w:rsid w:val="00B2375A"/>
    <w:rPr>
      <w:vertAlign w:val="superscript"/>
    </w:rPr>
  </w:style>
  <w:style w:type="table" w:styleId="Tabela-Siatka">
    <w:name w:val="Table Grid"/>
    <w:basedOn w:val="Standardowy"/>
    <w:uiPriority w:val="39"/>
    <w:rsid w:val="00971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85BAF"/>
    <w:rPr>
      <w:sz w:val="16"/>
      <w:szCs w:val="16"/>
    </w:rPr>
  </w:style>
  <w:style w:type="paragraph" w:styleId="Tekstkomentarza">
    <w:name w:val="annotation text"/>
    <w:basedOn w:val="Normalny"/>
    <w:link w:val="TekstkomentarzaZnak"/>
    <w:uiPriority w:val="99"/>
    <w:semiHidden/>
    <w:unhideWhenUsed/>
    <w:rsid w:val="00D85B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85BAF"/>
    <w:rPr>
      <w:sz w:val="20"/>
      <w:szCs w:val="20"/>
    </w:rPr>
  </w:style>
  <w:style w:type="paragraph" w:styleId="Tematkomentarza">
    <w:name w:val="annotation subject"/>
    <w:basedOn w:val="Tekstkomentarza"/>
    <w:next w:val="Tekstkomentarza"/>
    <w:link w:val="TematkomentarzaZnak"/>
    <w:uiPriority w:val="99"/>
    <w:semiHidden/>
    <w:unhideWhenUsed/>
    <w:rsid w:val="00D85BAF"/>
    <w:rPr>
      <w:b/>
      <w:bCs/>
    </w:rPr>
  </w:style>
  <w:style w:type="character" w:customStyle="1" w:styleId="TematkomentarzaZnak">
    <w:name w:val="Temat komentarza Znak"/>
    <w:basedOn w:val="TekstkomentarzaZnak"/>
    <w:link w:val="Tematkomentarza"/>
    <w:uiPriority w:val="99"/>
    <w:semiHidden/>
    <w:rsid w:val="00D85BAF"/>
    <w:rPr>
      <w:b/>
      <w:bCs/>
      <w:sz w:val="20"/>
      <w:szCs w:val="20"/>
    </w:rPr>
  </w:style>
  <w:style w:type="paragraph" w:styleId="Tekstdymka">
    <w:name w:val="Balloon Text"/>
    <w:basedOn w:val="Normalny"/>
    <w:link w:val="TekstdymkaZnak"/>
    <w:uiPriority w:val="99"/>
    <w:semiHidden/>
    <w:unhideWhenUsed/>
    <w:rsid w:val="00D85B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5B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7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7418D-4DE5-4C18-8AD9-B6D9D5871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1390</Words>
  <Characters>8341</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Pietrzak Dominik</dc:creator>
  <cp:keywords/>
  <dc:description/>
  <cp:lastModifiedBy>Jasnowski Jacek</cp:lastModifiedBy>
  <cp:revision>2</cp:revision>
  <dcterms:created xsi:type="dcterms:W3CDTF">2021-12-29T13:24:00Z</dcterms:created>
  <dcterms:modified xsi:type="dcterms:W3CDTF">2021-12-29T13:24:00Z</dcterms:modified>
</cp:coreProperties>
</file>